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Default Extension="png" ContentType="image/png"/>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Default Extension="jpeg" ContentType="image/jpeg"/>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line="271" w:lineRule="auto" w:before="116"/>
        <w:ind w:left="2386" w:hanging="293"/>
      </w:pPr>
      <w:r>
        <w:rPr/>
        <w:t>PROGRAMA DE MAESTRIA Y DOCTORADO EN CIENCIAS AGROPECUARIAS Y RECURSOS NATURALES</w:t>
      </w:r>
    </w:p>
    <w:p>
      <w:pPr>
        <w:pStyle w:val="BodyText"/>
      </w:pPr>
    </w:p>
    <w:p>
      <w:pPr>
        <w:pStyle w:val="BodyText"/>
      </w:pPr>
    </w:p>
    <w:p>
      <w:pPr>
        <w:pStyle w:val="BodyText"/>
      </w:pPr>
    </w:p>
    <w:p>
      <w:pPr>
        <w:pStyle w:val="BodyText"/>
      </w:pPr>
    </w:p>
    <w:p>
      <w:pPr>
        <w:spacing w:line="271" w:lineRule="auto" w:before="141"/>
        <w:ind w:left="1832" w:right="299" w:firstLine="0"/>
        <w:jc w:val="center"/>
        <w:rPr>
          <w:sz w:val="24"/>
        </w:rPr>
      </w:pPr>
      <w:r>
        <w:rPr>
          <w:sz w:val="24"/>
        </w:rPr>
        <w:t>Comparación de técnicas de Diagnóstico de </w:t>
      </w:r>
      <w:r>
        <w:rPr>
          <w:i/>
          <w:sz w:val="24"/>
        </w:rPr>
        <w:t>Francisella </w:t>
      </w:r>
      <w:r>
        <w:rPr>
          <w:sz w:val="24"/>
        </w:rPr>
        <w:t>sp. en muestras de tilapia (</w:t>
      </w:r>
      <w:r>
        <w:rPr>
          <w:i/>
          <w:sz w:val="24"/>
        </w:rPr>
        <w:t>Oreochomis </w:t>
      </w:r>
      <w:r>
        <w:rPr>
          <w:sz w:val="24"/>
        </w:rPr>
        <w:t>sp.)</w:t>
      </w:r>
    </w:p>
    <w:p>
      <w:pPr>
        <w:pStyle w:val="BodyText"/>
      </w:pPr>
    </w:p>
    <w:p>
      <w:pPr>
        <w:pStyle w:val="BodyText"/>
      </w:pPr>
    </w:p>
    <w:p>
      <w:pPr>
        <w:pStyle w:val="BodyText"/>
      </w:pPr>
    </w:p>
    <w:p>
      <w:pPr>
        <w:pStyle w:val="BodyText"/>
      </w:pPr>
    </w:p>
    <w:p>
      <w:pPr>
        <w:tabs>
          <w:tab w:pos="2236" w:val="left" w:leader="none"/>
          <w:tab w:pos="2956" w:val="left" w:leader="none"/>
          <w:tab w:pos="3676" w:val="left" w:leader="none"/>
          <w:tab w:pos="4210" w:val="left" w:leader="none"/>
        </w:tabs>
        <w:spacing w:before="141"/>
        <w:ind w:left="1540" w:right="0" w:firstLine="0"/>
        <w:jc w:val="center"/>
        <w:rPr>
          <w:b/>
          <w:sz w:val="48"/>
        </w:rPr>
      </w:pPr>
      <w:r>
        <w:rPr>
          <w:b/>
          <w:sz w:val="48"/>
        </w:rPr>
        <w:t>T</w:t>
        <w:tab/>
        <w:t>E</w:t>
        <w:tab/>
        <w:t>S</w:t>
        <w:tab/>
        <w:t>I</w:t>
        <w:tab/>
        <w:t>S</w:t>
      </w:r>
    </w:p>
    <w:p>
      <w:pPr>
        <w:pStyle w:val="BodyText"/>
        <w:rPr>
          <w:b/>
          <w:sz w:val="48"/>
        </w:rPr>
      </w:pPr>
    </w:p>
    <w:p>
      <w:pPr>
        <w:pStyle w:val="BodyText"/>
        <w:spacing w:line="271" w:lineRule="auto" w:before="408"/>
        <w:ind w:left="1832" w:right="299"/>
        <w:jc w:val="center"/>
      </w:pPr>
      <w:r>
        <w:rPr/>
        <w:t>QUE PARA OBTENER EL GRADO DE MAESTRO EN CIENCIAS AGROPECUARIAS Y RECURSOS NATURALES</w:t>
      </w:r>
    </w:p>
    <w:p>
      <w:pPr>
        <w:pStyle w:val="BodyText"/>
      </w:pPr>
    </w:p>
    <w:p>
      <w:pPr>
        <w:pStyle w:val="BodyText"/>
      </w:pPr>
    </w:p>
    <w:p>
      <w:pPr>
        <w:pStyle w:val="BodyText"/>
      </w:pPr>
    </w:p>
    <w:p>
      <w:pPr>
        <w:pStyle w:val="BodyText"/>
      </w:pPr>
    </w:p>
    <w:p>
      <w:pPr>
        <w:pStyle w:val="BodyText"/>
        <w:spacing w:before="141"/>
        <w:ind w:left="1831" w:right="299"/>
        <w:jc w:val="center"/>
      </w:pPr>
      <w:r>
        <w:rPr/>
        <w:t>PRESENTA</w:t>
      </w:r>
    </w:p>
    <w:p>
      <w:pPr>
        <w:pStyle w:val="BodyText"/>
      </w:pPr>
    </w:p>
    <w:p>
      <w:pPr>
        <w:pStyle w:val="BodyText"/>
      </w:pPr>
    </w:p>
    <w:p>
      <w:pPr>
        <w:pStyle w:val="BodyText"/>
        <w:spacing w:before="204"/>
        <w:ind w:left="1829" w:right="299"/>
        <w:jc w:val="center"/>
      </w:pPr>
      <w:r>
        <w:rPr/>
        <w:t>MVZ GERARDO MANCERA CUADROS</w:t>
      </w:r>
    </w:p>
    <w:p>
      <w:pPr>
        <w:spacing w:after="0"/>
        <w:jc w:val="center"/>
        <w:sectPr>
          <w:headerReference w:type="default" r:id="rId5"/>
          <w:footerReference w:type="default" r:id="rId6"/>
          <w:type w:val="continuous"/>
          <w:pgSz w:w="12240" w:h="15840"/>
          <w:pgMar w:header="1171" w:footer="2448" w:top="2840" w:bottom="2640" w:left="1460" w:right="1580"/>
        </w:sectPr>
      </w:pPr>
    </w:p>
    <w:p>
      <w:pPr>
        <w:pStyle w:val="BodyText"/>
        <w:spacing w:line="271" w:lineRule="auto" w:before="73"/>
        <w:ind w:left="2426" w:hanging="154"/>
      </w:pPr>
      <w:r>
        <w:rPr/>
        <w:t>PROGRAMA DE MAESTRIA Y DOCTORADO EN CIENCIAS AGROPECUARIAS Y RECURSOS NATURALES</w:t>
      </w:r>
    </w:p>
    <w:p>
      <w:pPr>
        <w:pStyle w:val="BodyText"/>
      </w:pPr>
    </w:p>
    <w:p>
      <w:pPr>
        <w:pStyle w:val="BodyText"/>
      </w:pPr>
    </w:p>
    <w:p>
      <w:pPr>
        <w:pStyle w:val="BodyText"/>
      </w:pPr>
    </w:p>
    <w:p>
      <w:pPr>
        <w:pStyle w:val="BodyText"/>
      </w:pPr>
    </w:p>
    <w:p>
      <w:pPr>
        <w:spacing w:line="271" w:lineRule="auto" w:before="141"/>
        <w:ind w:left="3089" w:right="496" w:hanging="1009"/>
        <w:jc w:val="left"/>
        <w:rPr>
          <w:sz w:val="24"/>
        </w:rPr>
      </w:pPr>
      <w:r>
        <w:rPr>
          <w:sz w:val="24"/>
        </w:rPr>
        <w:t>Comparación de técnicas de Diagnóstico de </w:t>
      </w:r>
      <w:r>
        <w:rPr>
          <w:i/>
          <w:sz w:val="24"/>
        </w:rPr>
        <w:t>Francisella </w:t>
      </w:r>
      <w:r>
        <w:rPr>
          <w:sz w:val="24"/>
        </w:rPr>
        <w:t>sp. en muestras de tilapia (</w:t>
      </w:r>
      <w:r>
        <w:rPr>
          <w:i/>
          <w:sz w:val="24"/>
        </w:rPr>
        <w:t>Oreochomis </w:t>
      </w:r>
      <w:r>
        <w:rPr>
          <w:sz w:val="24"/>
        </w:rPr>
        <w:t>sp</w:t>
      </w:r>
      <w:r>
        <w:rPr>
          <w:i/>
          <w:sz w:val="24"/>
        </w:rPr>
        <w:t>.</w:t>
      </w:r>
      <w:r>
        <w:rPr>
          <w:sz w:val="24"/>
        </w:rPr>
        <w:t>)</w:t>
      </w:r>
    </w:p>
    <w:p>
      <w:pPr>
        <w:pStyle w:val="BodyText"/>
      </w:pPr>
    </w:p>
    <w:p>
      <w:pPr>
        <w:pStyle w:val="BodyText"/>
      </w:pPr>
    </w:p>
    <w:p>
      <w:pPr>
        <w:tabs>
          <w:tab w:pos="2276" w:val="left" w:leader="none"/>
          <w:tab w:pos="2996" w:val="left" w:leader="none"/>
          <w:tab w:pos="3716" w:val="left" w:leader="none"/>
          <w:tab w:pos="4250" w:val="left" w:leader="none"/>
        </w:tabs>
        <w:spacing w:before="175"/>
        <w:ind w:left="1580" w:right="0" w:firstLine="0"/>
        <w:jc w:val="center"/>
        <w:rPr>
          <w:b/>
          <w:sz w:val="48"/>
        </w:rPr>
      </w:pPr>
      <w:r>
        <w:rPr>
          <w:b/>
          <w:sz w:val="48"/>
        </w:rPr>
        <w:t>T</w:t>
        <w:tab/>
        <w:t>E</w:t>
        <w:tab/>
        <w:t>S</w:t>
        <w:tab/>
        <w:t>I</w:t>
        <w:tab/>
        <w:t>S</w:t>
      </w:r>
    </w:p>
    <w:p>
      <w:pPr>
        <w:pStyle w:val="BodyText"/>
        <w:spacing w:line="271" w:lineRule="auto" w:before="287"/>
        <w:ind w:left="1573"/>
        <w:jc w:val="center"/>
      </w:pPr>
      <w:r>
        <w:rPr/>
        <w:t>QUE PARA OBTENER EL GRADO DE MAESTRO EN CIENCIAS AGROPECUARIAS Y RECURSOS NATURALES</w:t>
      </w:r>
    </w:p>
    <w:p>
      <w:pPr>
        <w:pStyle w:val="BodyText"/>
      </w:pPr>
    </w:p>
    <w:p>
      <w:pPr>
        <w:pStyle w:val="BodyText"/>
      </w:pPr>
    </w:p>
    <w:p>
      <w:pPr>
        <w:pStyle w:val="BodyText"/>
        <w:spacing w:before="169"/>
        <w:ind w:left="1572"/>
        <w:jc w:val="center"/>
      </w:pPr>
      <w:r>
        <w:rPr/>
        <w:t>PRESENTA</w:t>
      </w:r>
    </w:p>
    <w:p>
      <w:pPr>
        <w:pStyle w:val="BodyText"/>
        <w:rPr>
          <w:sz w:val="21"/>
        </w:rPr>
      </w:pPr>
    </w:p>
    <w:p>
      <w:pPr>
        <w:pStyle w:val="BodyText"/>
        <w:spacing w:before="1"/>
        <w:ind w:left="1570"/>
        <w:jc w:val="center"/>
      </w:pPr>
      <w:r>
        <w:rPr/>
        <w:t>MVZ GERARDO MANCERA CUADROS</w:t>
      </w:r>
    </w:p>
    <w:p>
      <w:pPr>
        <w:pStyle w:val="BodyText"/>
      </w:pPr>
    </w:p>
    <w:p>
      <w:pPr>
        <w:pStyle w:val="BodyText"/>
      </w:pPr>
    </w:p>
    <w:p>
      <w:pPr>
        <w:pStyle w:val="BodyText"/>
        <w:spacing w:before="209"/>
        <w:ind w:left="1576"/>
        <w:jc w:val="center"/>
      </w:pPr>
      <w:r>
        <w:rPr/>
        <w:t>COMITÉ DE TUTORES</w:t>
      </w:r>
    </w:p>
    <w:p>
      <w:pPr>
        <w:pStyle w:val="BodyText"/>
        <w:spacing w:before="7"/>
        <w:rPr>
          <w:sz w:val="20"/>
        </w:rPr>
      </w:pPr>
    </w:p>
    <w:p>
      <w:pPr>
        <w:pStyle w:val="BodyText"/>
        <w:ind w:left="1572"/>
        <w:jc w:val="center"/>
      </w:pPr>
      <w:r>
        <w:rPr/>
        <w:t>Dr. Cesar Ortega Santana</w:t>
      </w:r>
    </w:p>
    <w:p>
      <w:pPr>
        <w:pStyle w:val="BodyText"/>
        <w:spacing w:before="1"/>
        <w:rPr>
          <w:sz w:val="21"/>
        </w:rPr>
      </w:pPr>
    </w:p>
    <w:p>
      <w:pPr>
        <w:pStyle w:val="BodyText"/>
        <w:spacing w:line="451" w:lineRule="auto"/>
        <w:ind w:left="3247" w:right="1650" w:firstLine="225"/>
      </w:pPr>
      <w:r>
        <w:rPr/>
        <w:t>Dr. José Simón Martínez Castañeda Ph. D. Raúl Cuauhtémoc Fajardo Muñoz</w:t>
      </w:r>
    </w:p>
    <w:p>
      <w:pPr>
        <w:spacing w:after="0" w:line="451" w:lineRule="auto"/>
        <w:sectPr>
          <w:pgSz w:w="12240" w:h="15840"/>
          <w:pgMar w:header="1171" w:footer="2448" w:top="2880" w:bottom="2780" w:left="1420" w:right="1580"/>
        </w:sectPr>
      </w:pPr>
    </w:p>
    <w:p>
      <w:pPr>
        <w:pStyle w:val="BodyText"/>
        <w:rPr>
          <w:sz w:val="20"/>
        </w:rPr>
      </w:pPr>
    </w:p>
    <w:p>
      <w:pPr>
        <w:pStyle w:val="Heading1"/>
        <w:spacing w:before="207"/>
      </w:pPr>
      <w:bookmarkStart w:name="_bookmark0" w:id="1"/>
      <w:bookmarkEnd w:id="1"/>
      <w:r>
        <w:rPr>
          <w:b w:val="0"/>
        </w:rPr>
      </w:r>
      <w:r>
        <w:rPr>
          <w:color w:val="365F91"/>
        </w:rPr>
        <w:t>AGRADECIMIENTOS</w:t>
      </w:r>
    </w:p>
    <w:p>
      <w:pPr>
        <w:spacing w:line="273" w:lineRule="auto" w:before="50"/>
        <w:ind w:left="139" w:right="136" w:firstLine="0"/>
        <w:jc w:val="both"/>
        <w:rPr>
          <w:b/>
          <w:sz w:val="24"/>
        </w:rPr>
      </w:pPr>
      <w:r>
        <w:rPr>
          <w:sz w:val="24"/>
        </w:rPr>
        <w:t>El presente trabajo se realizó bajo el proyecto de investigación: Fondo semilla UAEM-UAch: </w:t>
      </w:r>
      <w:r>
        <w:rPr>
          <w:b/>
          <w:sz w:val="24"/>
        </w:rPr>
        <w:t>Implementación de técnicas moleculares para el diagnóstico de agentes infecciosos de importancia en peces salmonídeos Clave 3334/2012FSChF.</w:t>
      </w:r>
    </w:p>
    <w:p>
      <w:pPr>
        <w:pStyle w:val="BodyText"/>
        <w:spacing w:line="276" w:lineRule="auto" w:before="209"/>
        <w:ind w:left="139" w:right="139"/>
        <w:jc w:val="both"/>
      </w:pPr>
      <w:r>
        <w:rPr>
          <w:b/>
        </w:rPr>
        <w:t>A Dios</w:t>
      </w:r>
      <w:r>
        <w:rPr/>
        <w:t>: Gracias señor por tus bendiciones y por acompañarme día a día en cada uno de mis proyectos y metas logradas y gracias por tu amor señor y por ser “MI NOBLE SOSTEN”.</w:t>
      </w:r>
    </w:p>
    <w:p>
      <w:pPr>
        <w:pStyle w:val="BodyText"/>
        <w:spacing w:line="276" w:lineRule="auto" w:before="202"/>
        <w:ind w:left="139" w:right="142"/>
        <w:jc w:val="both"/>
      </w:pPr>
      <w:r>
        <w:rPr>
          <w:b/>
        </w:rPr>
        <w:t>A</w:t>
      </w:r>
      <w:r>
        <w:rPr>
          <w:b/>
          <w:spacing w:val="-12"/>
        </w:rPr>
        <w:t> </w:t>
      </w:r>
      <w:r>
        <w:rPr>
          <w:b/>
        </w:rPr>
        <w:t>mi</w:t>
      </w:r>
      <w:r>
        <w:rPr>
          <w:b/>
          <w:spacing w:val="-7"/>
        </w:rPr>
        <w:t> </w:t>
      </w:r>
      <w:r>
        <w:rPr>
          <w:b/>
        </w:rPr>
        <w:t>Familia</w:t>
      </w:r>
      <w:r>
        <w:rPr/>
        <w:t>:</w:t>
      </w:r>
      <w:r>
        <w:rPr>
          <w:spacing w:val="-7"/>
        </w:rPr>
        <w:t> </w:t>
      </w:r>
      <w:r>
        <w:rPr/>
        <w:t>A</w:t>
      </w:r>
      <w:r>
        <w:rPr>
          <w:spacing w:val="-8"/>
        </w:rPr>
        <w:t> </w:t>
      </w:r>
      <w:r>
        <w:rPr>
          <w:spacing w:val="-4"/>
        </w:rPr>
        <w:t>mi </w:t>
      </w:r>
      <w:r>
        <w:rPr/>
        <w:t>esposa</w:t>
      </w:r>
      <w:r>
        <w:rPr>
          <w:spacing w:val="-11"/>
        </w:rPr>
        <w:t> </w:t>
      </w:r>
      <w:r>
        <w:rPr/>
        <w:t>Norma</w:t>
      </w:r>
      <w:r>
        <w:rPr>
          <w:spacing w:val="-7"/>
        </w:rPr>
        <w:t> </w:t>
      </w:r>
      <w:r>
        <w:rPr/>
        <w:t>Gamboa</w:t>
      </w:r>
      <w:r>
        <w:rPr>
          <w:spacing w:val="-7"/>
        </w:rPr>
        <w:t> </w:t>
      </w:r>
      <w:r>
        <w:rPr/>
        <w:t>Orozco</w:t>
      </w:r>
      <w:r>
        <w:rPr>
          <w:spacing w:val="-11"/>
        </w:rPr>
        <w:t> </w:t>
      </w:r>
      <w:r>
        <w:rPr/>
        <w:t>por</w:t>
      </w:r>
      <w:r>
        <w:rPr>
          <w:spacing w:val="-10"/>
        </w:rPr>
        <w:t> </w:t>
      </w:r>
      <w:r>
        <w:rPr/>
        <w:t>tu</w:t>
      </w:r>
      <w:r>
        <w:rPr>
          <w:spacing w:val="-10"/>
        </w:rPr>
        <w:t> </w:t>
      </w:r>
      <w:r>
        <w:rPr/>
        <w:t>apoyo</w:t>
      </w:r>
      <w:r>
        <w:rPr>
          <w:spacing w:val="-15"/>
        </w:rPr>
        <w:t> </w:t>
      </w:r>
      <w:r>
        <w:rPr/>
        <w:t>incondicional</w:t>
      </w:r>
      <w:r>
        <w:rPr>
          <w:spacing w:val="-7"/>
        </w:rPr>
        <w:t> </w:t>
      </w:r>
      <w:r>
        <w:rPr/>
        <w:t>y</w:t>
      </w:r>
      <w:r>
        <w:rPr>
          <w:spacing w:val="-7"/>
        </w:rPr>
        <w:t> </w:t>
      </w:r>
      <w:r>
        <w:rPr/>
        <w:t>por tu</w:t>
      </w:r>
      <w:r>
        <w:rPr>
          <w:spacing w:val="-6"/>
        </w:rPr>
        <w:t> </w:t>
      </w:r>
      <w:r>
        <w:rPr/>
        <w:t>amor</w:t>
      </w:r>
      <w:r>
        <w:rPr>
          <w:spacing w:val="-5"/>
        </w:rPr>
        <w:t> </w:t>
      </w:r>
      <w:r>
        <w:rPr/>
        <w:t>que</w:t>
      </w:r>
      <w:r>
        <w:rPr>
          <w:spacing w:val="-6"/>
        </w:rPr>
        <w:t> </w:t>
      </w:r>
      <w:r>
        <w:rPr>
          <w:spacing w:val="-4"/>
        </w:rPr>
        <w:t>me</w:t>
      </w:r>
      <w:r>
        <w:rPr>
          <w:spacing w:val="-6"/>
        </w:rPr>
        <w:t> </w:t>
      </w:r>
      <w:r>
        <w:rPr/>
        <w:t>da</w:t>
      </w:r>
      <w:r>
        <w:rPr>
          <w:spacing w:val="-6"/>
        </w:rPr>
        <w:t> </w:t>
      </w:r>
      <w:r>
        <w:rPr/>
        <w:t>fuerzas</w:t>
      </w:r>
      <w:r>
        <w:rPr>
          <w:spacing w:val="-7"/>
        </w:rPr>
        <w:t> </w:t>
      </w:r>
      <w:r>
        <w:rPr/>
        <w:t>para</w:t>
      </w:r>
      <w:r>
        <w:rPr>
          <w:spacing w:val="-6"/>
        </w:rPr>
        <w:t> </w:t>
      </w:r>
      <w:r>
        <w:rPr/>
        <w:t>seguir</w:t>
      </w:r>
      <w:r>
        <w:rPr>
          <w:spacing w:val="-5"/>
        </w:rPr>
        <w:t> </w:t>
      </w:r>
      <w:r>
        <w:rPr/>
        <w:t>con</w:t>
      </w:r>
      <w:r>
        <w:rPr>
          <w:spacing w:val="-6"/>
        </w:rPr>
        <w:t> </w:t>
      </w:r>
      <w:r>
        <w:rPr>
          <w:spacing w:val="-3"/>
        </w:rPr>
        <w:t>mis</w:t>
      </w:r>
      <w:r>
        <w:rPr>
          <w:spacing w:val="-7"/>
        </w:rPr>
        <w:t> </w:t>
      </w:r>
      <w:r>
        <w:rPr/>
        <w:t>proyectos</w:t>
      </w:r>
      <w:r>
        <w:rPr>
          <w:spacing w:val="-12"/>
        </w:rPr>
        <w:t> </w:t>
      </w:r>
      <w:r>
        <w:rPr/>
        <w:t>que</w:t>
      </w:r>
      <w:r>
        <w:rPr>
          <w:spacing w:val="-6"/>
        </w:rPr>
        <w:t> </w:t>
      </w:r>
      <w:r>
        <w:rPr/>
        <w:t>también</w:t>
      </w:r>
      <w:r>
        <w:rPr>
          <w:spacing w:val="-6"/>
        </w:rPr>
        <w:t> </w:t>
      </w:r>
      <w:r>
        <w:rPr/>
        <w:t>son</w:t>
      </w:r>
      <w:r>
        <w:rPr>
          <w:spacing w:val="-6"/>
        </w:rPr>
        <w:t> </w:t>
      </w:r>
      <w:r>
        <w:rPr/>
        <w:t>tuyos.</w:t>
      </w:r>
      <w:r>
        <w:rPr>
          <w:spacing w:val="-6"/>
        </w:rPr>
        <w:t> </w:t>
      </w:r>
      <w:r>
        <w:rPr/>
        <w:t>A mis Hijos Aram Micael y Ara Merari porque ustedes son </w:t>
      </w:r>
      <w:r>
        <w:rPr>
          <w:spacing w:val="-4"/>
        </w:rPr>
        <w:t>mi </w:t>
      </w:r>
      <w:r>
        <w:rPr/>
        <w:t>inspiración para levantarme y seguir adelante, los </w:t>
      </w:r>
      <w:r>
        <w:rPr>
          <w:spacing w:val="-3"/>
        </w:rPr>
        <w:t>amo </w:t>
      </w:r>
      <w:r>
        <w:rPr/>
        <w:t>mis tres</w:t>
      </w:r>
      <w:r>
        <w:rPr>
          <w:spacing w:val="-12"/>
        </w:rPr>
        <w:t> </w:t>
      </w:r>
      <w:r>
        <w:rPr/>
        <w:t>amores.</w:t>
      </w:r>
    </w:p>
    <w:p>
      <w:pPr>
        <w:spacing w:line="273" w:lineRule="auto" w:before="203"/>
        <w:ind w:left="139" w:right="135" w:firstLine="0"/>
        <w:jc w:val="both"/>
        <w:rPr>
          <w:sz w:val="24"/>
        </w:rPr>
      </w:pPr>
      <w:r>
        <w:rPr>
          <w:b/>
          <w:sz w:val="24"/>
        </w:rPr>
        <w:t>A mis padres</w:t>
      </w:r>
      <w:r>
        <w:rPr>
          <w:sz w:val="24"/>
        </w:rPr>
        <w:t>: A mi padre Macedonio Mancera Arias por su dedicación, esfuerzo y por ser mi ejemplo y A mi madre Micaela Cuadros de la Cruz por tu amor y dedicación </w:t>
      </w:r>
      <w:r>
        <w:rPr>
          <w:b/>
          <w:sz w:val="24"/>
        </w:rPr>
        <w:t>Te Amo, Gracias Donde Quiera Que Estés</w:t>
      </w:r>
      <w:r>
        <w:rPr>
          <w:sz w:val="24"/>
        </w:rPr>
        <w:t>.</w:t>
      </w:r>
    </w:p>
    <w:p>
      <w:pPr>
        <w:pStyle w:val="BodyText"/>
        <w:spacing w:before="209"/>
        <w:ind w:left="139"/>
        <w:jc w:val="both"/>
      </w:pPr>
      <w:r>
        <w:rPr>
          <w:b/>
        </w:rPr>
        <w:t>A mis tutores</w:t>
      </w:r>
      <w:r>
        <w:rPr/>
        <w:t>: Dr. Cesar Ortega Santana, Dr. José Simón Martínez Castañeda, Ph.</w:t>
      </w:r>
    </w:p>
    <w:p>
      <w:pPr>
        <w:pStyle w:val="BodyText"/>
        <w:spacing w:line="271" w:lineRule="auto" w:before="46"/>
        <w:ind w:left="139" w:right="142"/>
        <w:jc w:val="both"/>
      </w:pPr>
      <w:r>
        <w:rPr/>
        <w:t>D. Raúl C. Fajardo Muñoz; Gracias por su apoyo académico y por brindarme su ayuda y tiempo para lograr un paso más en mi preparación profesional.</w:t>
      </w:r>
    </w:p>
    <w:p>
      <w:pPr>
        <w:pStyle w:val="BodyText"/>
        <w:spacing w:line="276" w:lineRule="auto" w:before="207"/>
        <w:ind w:left="139" w:right="137"/>
        <w:jc w:val="both"/>
      </w:pPr>
      <w:r>
        <w:rPr>
          <w:b/>
        </w:rPr>
        <w:t>Al personal del CIESA</w:t>
      </w:r>
      <w:r>
        <w:rPr/>
        <w:t>: por abrir el espacio para la realización de mi trabajo de investigación y por las facilidades otorgadas en especial a Neli, Carlos y Verónica.</w:t>
      </w:r>
    </w:p>
    <w:p>
      <w:pPr>
        <w:pStyle w:val="BodyText"/>
        <w:spacing w:line="276" w:lineRule="auto" w:before="202"/>
        <w:ind w:left="139" w:right="137"/>
        <w:jc w:val="both"/>
      </w:pPr>
      <w:r>
        <w:rPr>
          <w:b/>
        </w:rPr>
        <w:t>Al CONACYT</w:t>
      </w:r>
      <w:r>
        <w:rPr/>
        <w:t>: por el apoyo económico para la realización de mis estudios de Maestría.</w:t>
      </w:r>
    </w:p>
    <w:p>
      <w:pPr>
        <w:pStyle w:val="BodyText"/>
        <w:spacing w:line="276" w:lineRule="auto" w:before="202"/>
        <w:ind w:left="139" w:right="138"/>
        <w:jc w:val="both"/>
      </w:pPr>
      <w:r>
        <w:rPr>
          <w:b/>
        </w:rPr>
        <w:t>A mis amigos</w:t>
      </w:r>
      <w:r>
        <w:rPr/>
        <w:t>: Mirna Faz, Andrea Martínez, Eloy Contreras, Wael Hegazi, José A. Zepeda,</w:t>
      </w:r>
      <w:r>
        <w:rPr>
          <w:spacing w:val="-10"/>
        </w:rPr>
        <w:t> </w:t>
      </w:r>
      <w:r>
        <w:rPr/>
        <w:t>Saúl</w:t>
      </w:r>
      <w:r>
        <w:rPr>
          <w:spacing w:val="-7"/>
        </w:rPr>
        <w:t> </w:t>
      </w:r>
      <w:r>
        <w:rPr/>
        <w:t>Gabriel</w:t>
      </w:r>
      <w:r>
        <w:rPr>
          <w:spacing w:val="-7"/>
        </w:rPr>
        <w:t> </w:t>
      </w:r>
      <w:r>
        <w:rPr/>
        <w:t>Martínez,</w:t>
      </w:r>
      <w:r>
        <w:rPr>
          <w:spacing w:val="-10"/>
        </w:rPr>
        <w:t> </w:t>
      </w:r>
      <w:r>
        <w:rPr/>
        <w:t>Donal</w:t>
      </w:r>
      <w:r>
        <w:rPr>
          <w:spacing w:val="-7"/>
        </w:rPr>
        <w:t> </w:t>
      </w:r>
      <w:r>
        <w:rPr/>
        <w:t>Arguedas,</w:t>
      </w:r>
      <w:r>
        <w:rPr>
          <w:spacing w:val="-10"/>
        </w:rPr>
        <w:t> </w:t>
      </w:r>
      <w:r>
        <w:rPr/>
        <w:t>Karina</w:t>
      </w:r>
      <w:r>
        <w:rPr>
          <w:spacing w:val="-12"/>
        </w:rPr>
        <w:t> </w:t>
      </w:r>
      <w:r>
        <w:rPr/>
        <w:t>Posas</w:t>
      </w:r>
      <w:r>
        <w:rPr>
          <w:spacing w:val="-10"/>
        </w:rPr>
        <w:t> </w:t>
      </w:r>
      <w:r>
        <w:rPr/>
        <w:t>y</w:t>
      </w:r>
      <w:r>
        <w:rPr>
          <w:spacing w:val="-10"/>
        </w:rPr>
        <w:t> </w:t>
      </w:r>
      <w:r>
        <w:rPr/>
        <w:t>Jessica</w:t>
      </w:r>
      <w:r>
        <w:rPr>
          <w:spacing w:val="-9"/>
        </w:rPr>
        <w:t> </w:t>
      </w:r>
      <w:r>
        <w:rPr/>
        <w:t>Castrejón: que durante mis estudios de Maestría </w:t>
      </w:r>
      <w:r>
        <w:rPr>
          <w:spacing w:val="-4"/>
        </w:rPr>
        <w:t>me </w:t>
      </w:r>
      <w:r>
        <w:rPr/>
        <w:t>apoyaron de diferentes</w:t>
      </w:r>
      <w:r>
        <w:rPr>
          <w:spacing w:val="-16"/>
        </w:rPr>
        <w:t> </w:t>
      </w:r>
      <w:r>
        <w:rPr/>
        <w:t>formas.</w:t>
      </w:r>
    </w:p>
    <w:p>
      <w:pPr>
        <w:spacing w:after="0" w:line="276" w:lineRule="auto"/>
        <w:jc w:val="both"/>
        <w:sectPr>
          <w:headerReference w:type="default" r:id="rId7"/>
          <w:footerReference w:type="default" r:id="rId8"/>
          <w:pgSz w:w="12240" w:h="15840"/>
          <w:pgMar w:header="752" w:footer="998" w:top="1000" w:bottom="1180" w:left="1560" w:right="1560"/>
          <w:pgNumType w:start="1"/>
        </w:sectPr>
      </w:pPr>
    </w:p>
    <w:p>
      <w:pPr>
        <w:pStyle w:val="BodyText"/>
        <w:spacing w:before="7"/>
        <w:rPr>
          <w:sz w:val="28"/>
        </w:rPr>
      </w:pPr>
    </w:p>
    <w:p>
      <w:pPr>
        <w:pStyle w:val="Heading1"/>
        <w:jc w:val="left"/>
      </w:pPr>
      <w:bookmarkStart w:name="_bookmark1" w:id="2"/>
      <w:bookmarkEnd w:id="2"/>
      <w:r>
        <w:rPr>
          <w:b w:val="0"/>
        </w:rPr>
      </w:r>
      <w:r>
        <w:rPr>
          <w:color w:val="365F91"/>
        </w:rPr>
        <w:t>INDICE</w:t>
      </w:r>
    </w:p>
    <w:p>
      <w:pPr>
        <w:pStyle w:val="BodyText"/>
        <w:spacing w:before="41"/>
        <w:ind w:right="200"/>
        <w:jc w:val="right"/>
      </w:pPr>
      <w:r>
        <w:rPr/>
        <w:t>Páginas.</w:t>
      </w:r>
    </w:p>
    <w:p>
      <w:pPr>
        <w:pStyle w:val="BodyText"/>
        <w:spacing w:before="11"/>
        <w:rPr>
          <w:sz w:val="15"/>
        </w:rPr>
      </w:pPr>
    </w:p>
    <w:p>
      <w:pPr>
        <w:spacing w:after="0"/>
        <w:rPr>
          <w:sz w:val="15"/>
        </w:rPr>
        <w:sectPr>
          <w:pgSz w:w="12240" w:h="15840"/>
          <w:pgMar w:header="752" w:footer="998" w:top="1000" w:bottom="1573" w:left="1560" w:right="1560"/>
        </w:sectPr>
      </w:pPr>
    </w:p>
    <w:sdt>
      <w:sdtPr>
        <w:docPartObj>
          <w:docPartGallery w:val="Table of Contents"/>
          <w:docPartUnique/>
        </w:docPartObj>
      </w:sdtPr>
      <w:sdtEndPr/>
      <w:sdtContent>
        <w:p>
          <w:pPr>
            <w:pStyle w:val="TOC1"/>
            <w:tabs>
              <w:tab w:pos="8968" w:val="right" w:leader="dot"/>
            </w:tabs>
            <w:spacing w:before="69"/>
            <w:ind w:left="139" w:firstLine="0"/>
            <w:rPr>
              <w:rFonts w:ascii="Calibri"/>
              <w:b w:val="0"/>
            </w:rPr>
          </w:pPr>
          <w:hyperlink w:history="true" w:anchor="_bookmark0">
            <w:r>
              <w:rPr/>
              <w:t>AGRADECIMIENTOS</w:t>
            </w:r>
            <w:r>
              <w:rPr>
                <w:rFonts w:ascii="Calibri"/>
                <w:b w:val="0"/>
              </w:rPr>
              <w:tab/>
              <w:t>i</w:t>
            </w:r>
          </w:hyperlink>
        </w:p>
        <w:p>
          <w:pPr>
            <w:pStyle w:val="TOC2"/>
            <w:tabs>
              <w:tab w:pos="8975" w:val="right" w:leader="dot"/>
            </w:tabs>
            <w:spacing w:before="140"/>
            <w:ind w:firstLine="0"/>
            <w:rPr>
              <w:rFonts w:ascii="Calibri"/>
              <w:b w:val="0"/>
              <w:i w:val="0"/>
              <w:sz w:val="22"/>
            </w:rPr>
          </w:pPr>
          <w:hyperlink w:history="true" w:anchor="_bookmark1">
            <w:r>
              <w:rPr>
                <w:i w:val="0"/>
                <w:sz w:val="22"/>
              </w:rPr>
              <w:t>INDICE</w:t>
            </w:r>
            <w:r>
              <w:rPr>
                <w:rFonts w:ascii="Calibri"/>
                <w:b w:val="0"/>
                <w:i w:val="0"/>
                <w:sz w:val="22"/>
              </w:rPr>
              <w:tab/>
              <w:t>ii</w:t>
            </w:r>
          </w:hyperlink>
        </w:p>
        <w:p>
          <w:pPr>
            <w:pStyle w:val="TOC1"/>
            <w:tabs>
              <w:tab w:pos="8969" w:val="right" w:leader="dot"/>
            </w:tabs>
            <w:ind w:left="139" w:firstLine="0"/>
            <w:rPr>
              <w:rFonts w:ascii="Calibri"/>
              <w:b w:val="0"/>
            </w:rPr>
          </w:pPr>
          <w:hyperlink w:history="true" w:anchor="_bookmark2">
            <w:r>
              <w:rPr/>
              <w:t>INDICE</w:t>
            </w:r>
            <w:r>
              <w:rPr>
                <w:spacing w:val="1"/>
              </w:rPr>
              <w:t> </w:t>
            </w:r>
            <w:r>
              <w:rPr/>
              <w:t>DE</w:t>
            </w:r>
            <w:r>
              <w:rPr>
                <w:spacing w:val="1"/>
              </w:rPr>
              <w:t> </w:t>
            </w:r>
            <w:r>
              <w:rPr/>
              <w:t>FIGURAS</w:t>
            </w:r>
            <w:r>
              <w:rPr>
                <w:rFonts w:ascii="Calibri"/>
                <w:b w:val="0"/>
              </w:rPr>
              <w:tab/>
              <w:t>v</w:t>
            </w:r>
          </w:hyperlink>
        </w:p>
        <w:p>
          <w:pPr>
            <w:pStyle w:val="TOC1"/>
            <w:tabs>
              <w:tab w:pos="8973" w:val="right" w:leader="dot"/>
            </w:tabs>
            <w:spacing w:before="144"/>
            <w:ind w:left="139" w:firstLine="0"/>
            <w:rPr>
              <w:rFonts w:ascii="Calibri" w:hAnsi="Calibri"/>
              <w:b w:val="0"/>
            </w:rPr>
          </w:pPr>
          <w:hyperlink w:history="true" w:anchor="_bookmark3">
            <w:r>
              <w:rPr/>
              <w:t>ÍNDICE</w:t>
            </w:r>
            <w:r>
              <w:rPr>
                <w:spacing w:val="1"/>
              </w:rPr>
              <w:t> </w:t>
            </w:r>
            <w:r>
              <w:rPr/>
              <w:t>DE</w:t>
            </w:r>
            <w:r>
              <w:rPr>
                <w:spacing w:val="-3"/>
              </w:rPr>
              <w:t> </w:t>
            </w:r>
            <w:r>
              <w:rPr>
                <w:spacing w:val="-2"/>
              </w:rPr>
              <w:t>TABLAS</w:t>
            </w:r>
            <w:r>
              <w:rPr>
                <w:rFonts w:ascii="Calibri" w:hAnsi="Calibri"/>
                <w:b w:val="0"/>
                <w:spacing w:val="-2"/>
              </w:rPr>
              <w:tab/>
            </w:r>
            <w:r>
              <w:rPr>
                <w:rFonts w:ascii="Calibri" w:hAnsi="Calibri"/>
                <w:b w:val="0"/>
              </w:rPr>
              <w:t>vii</w:t>
            </w:r>
          </w:hyperlink>
        </w:p>
        <w:p>
          <w:pPr>
            <w:pStyle w:val="TOC2"/>
            <w:tabs>
              <w:tab w:pos="8972" w:val="right" w:leader="dot"/>
            </w:tabs>
            <w:ind w:firstLine="0"/>
            <w:rPr>
              <w:rFonts w:ascii="Calibri"/>
              <w:b w:val="0"/>
              <w:i w:val="0"/>
              <w:sz w:val="22"/>
            </w:rPr>
          </w:pPr>
          <w:hyperlink w:history="true" w:anchor="_bookmark4">
            <w:r>
              <w:rPr>
                <w:i w:val="0"/>
                <w:sz w:val="22"/>
              </w:rPr>
              <w:t>RESUMEN</w:t>
            </w:r>
            <w:r>
              <w:rPr>
                <w:rFonts w:ascii="Calibri"/>
                <w:b w:val="0"/>
                <w:i w:val="0"/>
                <w:sz w:val="22"/>
              </w:rPr>
              <w:tab/>
              <w:t>viii</w:t>
            </w:r>
          </w:hyperlink>
        </w:p>
        <w:p>
          <w:pPr>
            <w:pStyle w:val="TOC2"/>
            <w:tabs>
              <w:tab w:pos="8977" w:val="right" w:leader="dot"/>
            </w:tabs>
            <w:spacing w:before="140"/>
            <w:ind w:firstLine="0"/>
            <w:rPr>
              <w:rFonts w:ascii="Calibri"/>
              <w:b w:val="0"/>
              <w:i w:val="0"/>
              <w:sz w:val="22"/>
            </w:rPr>
          </w:pPr>
          <w:hyperlink w:history="true" w:anchor="_bookmark5">
            <w:r>
              <w:rPr>
                <w:i w:val="0"/>
                <w:sz w:val="22"/>
              </w:rPr>
              <w:t>ABSTRACT</w:t>
            </w:r>
            <w:r>
              <w:rPr>
                <w:rFonts w:ascii="Calibri"/>
                <w:b w:val="0"/>
                <w:i w:val="0"/>
                <w:sz w:val="22"/>
              </w:rPr>
              <w:tab/>
              <w:t>ix</w:t>
            </w:r>
          </w:hyperlink>
        </w:p>
        <w:p>
          <w:pPr>
            <w:pStyle w:val="TOC1"/>
            <w:numPr>
              <w:ilvl w:val="0"/>
              <w:numId w:val="1"/>
            </w:numPr>
            <w:tabs>
              <w:tab w:pos="389" w:val="left" w:leader="none"/>
              <w:tab w:pos="8972" w:val="right" w:leader="dot"/>
            </w:tabs>
            <w:spacing w:line="240" w:lineRule="auto" w:before="139" w:after="0"/>
            <w:ind w:left="388" w:right="0" w:hanging="249"/>
            <w:jc w:val="left"/>
            <w:rPr>
              <w:rFonts w:ascii="Calibri" w:hAnsi="Calibri"/>
              <w:b w:val="0"/>
            </w:rPr>
          </w:pPr>
          <w:hyperlink w:history="true" w:anchor="_bookmark6">
            <w:r>
              <w:rPr/>
              <w:t>INTRODUCCIÓN</w:t>
            </w:r>
            <w:r>
              <w:rPr>
                <w:rFonts w:ascii="Calibri" w:hAnsi="Calibri"/>
                <w:b w:val="0"/>
              </w:rPr>
              <w:tab/>
              <w:t>1</w:t>
            </w:r>
          </w:hyperlink>
        </w:p>
        <w:p>
          <w:pPr>
            <w:pStyle w:val="TOC1"/>
            <w:numPr>
              <w:ilvl w:val="0"/>
              <w:numId w:val="1"/>
            </w:numPr>
            <w:tabs>
              <w:tab w:pos="389" w:val="left" w:leader="none"/>
              <w:tab w:pos="8972" w:val="right" w:leader="dot"/>
            </w:tabs>
            <w:spacing w:line="240" w:lineRule="auto" w:before="139" w:after="0"/>
            <w:ind w:left="388" w:right="0" w:hanging="249"/>
            <w:jc w:val="left"/>
            <w:rPr>
              <w:rFonts w:ascii="Calibri" w:hAnsi="Calibri"/>
              <w:b w:val="0"/>
            </w:rPr>
          </w:pPr>
          <w:hyperlink w:history="true" w:anchor="_bookmark7">
            <w:r>
              <w:rPr/>
              <w:t>REVISIÓN</w:t>
            </w:r>
            <w:r>
              <w:rPr>
                <w:spacing w:val="-6"/>
              </w:rPr>
              <w:t> </w:t>
            </w:r>
            <w:r>
              <w:rPr/>
              <w:t>DE</w:t>
            </w:r>
            <w:r>
              <w:rPr>
                <w:spacing w:val="1"/>
              </w:rPr>
              <w:t> </w:t>
            </w:r>
            <w:r>
              <w:rPr/>
              <w:t>LITERATURA</w:t>
            </w:r>
            <w:r>
              <w:rPr>
                <w:rFonts w:ascii="Calibri" w:hAnsi="Calibri"/>
                <w:b w:val="0"/>
              </w:rPr>
              <w:tab/>
              <w:t>3</w:t>
            </w:r>
          </w:hyperlink>
        </w:p>
        <w:p>
          <w:pPr>
            <w:pStyle w:val="TOC3"/>
            <w:numPr>
              <w:ilvl w:val="1"/>
              <w:numId w:val="1"/>
            </w:numPr>
            <w:tabs>
              <w:tab w:pos="735" w:val="left" w:leader="none"/>
              <w:tab w:pos="8972" w:val="right" w:leader="dot"/>
            </w:tabs>
            <w:spacing w:line="240" w:lineRule="auto" w:before="144" w:after="0"/>
            <w:ind w:left="360" w:right="0" w:firstLine="0"/>
            <w:jc w:val="left"/>
            <w:rPr>
              <w:rFonts w:ascii="Calibri"/>
              <w:b w:val="0"/>
            </w:rPr>
          </w:pPr>
          <w:hyperlink w:history="true" w:anchor="_bookmark8">
            <w:r>
              <w:rPr/>
              <w:t>Acuicultura en</w:t>
            </w:r>
            <w:r>
              <w:rPr>
                <w:spacing w:val="1"/>
              </w:rPr>
              <w:t> </w:t>
            </w:r>
            <w:r>
              <w:rPr/>
              <w:t>el</w:t>
            </w:r>
            <w:r>
              <w:rPr>
                <w:spacing w:val="-4"/>
              </w:rPr>
              <w:t> </w:t>
            </w:r>
            <w:r>
              <w:rPr/>
              <w:t>mundo</w:t>
            </w:r>
            <w:r>
              <w:rPr>
                <w:rFonts w:ascii="Calibri"/>
                <w:b w:val="0"/>
              </w:rPr>
              <w:tab/>
              <w:t>3</w:t>
            </w:r>
          </w:hyperlink>
        </w:p>
        <w:p>
          <w:pPr>
            <w:pStyle w:val="TOC3"/>
            <w:numPr>
              <w:ilvl w:val="1"/>
              <w:numId w:val="1"/>
            </w:numPr>
            <w:tabs>
              <w:tab w:pos="735" w:val="left" w:leader="none"/>
              <w:tab w:pos="8972" w:val="right" w:leader="dot"/>
            </w:tabs>
            <w:spacing w:line="240" w:lineRule="auto" w:before="140" w:after="0"/>
            <w:ind w:left="734" w:right="0" w:hanging="374"/>
            <w:jc w:val="left"/>
            <w:rPr>
              <w:rFonts w:ascii="Calibri" w:hAnsi="Calibri"/>
              <w:b w:val="0"/>
            </w:rPr>
          </w:pPr>
          <w:hyperlink w:history="true" w:anchor="_bookmark9">
            <w:r>
              <w:rPr/>
              <w:t>Acuicultura</w:t>
            </w:r>
            <w:r>
              <w:rPr>
                <w:spacing w:val="1"/>
              </w:rPr>
              <w:t> </w:t>
            </w:r>
            <w:r>
              <w:rPr/>
              <w:t>en</w:t>
            </w:r>
            <w:r>
              <w:rPr>
                <w:spacing w:val="-1"/>
              </w:rPr>
              <w:t> </w:t>
            </w:r>
            <w:r>
              <w:rPr/>
              <w:t>México</w:t>
            </w:r>
            <w:r>
              <w:rPr>
                <w:rFonts w:ascii="Calibri" w:hAnsi="Calibri"/>
                <w:b w:val="0"/>
              </w:rPr>
              <w:tab/>
              <w:t>4</w:t>
            </w:r>
          </w:hyperlink>
        </w:p>
        <w:p>
          <w:pPr>
            <w:pStyle w:val="TOC3"/>
            <w:numPr>
              <w:ilvl w:val="1"/>
              <w:numId w:val="1"/>
            </w:numPr>
            <w:tabs>
              <w:tab w:pos="730" w:val="left" w:leader="none"/>
              <w:tab w:pos="8972" w:val="right" w:leader="dot"/>
            </w:tabs>
            <w:spacing w:line="240" w:lineRule="auto" w:before="139" w:after="0"/>
            <w:ind w:left="729" w:right="0" w:hanging="369"/>
            <w:jc w:val="left"/>
            <w:rPr>
              <w:rFonts w:ascii="Calibri"/>
              <w:b w:val="0"/>
            </w:rPr>
          </w:pPr>
          <w:hyperlink w:history="true" w:anchor="_bookmark10">
            <w:r>
              <w:rPr/>
              <w:t>Piscicultura</w:t>
            </w:r>
            <w:r>
              <w:rPr>
                <w:spacing w:val="1"/>
              </w:rPr>
              <w:t> </w:t>
            </w:r>
            <w:r>
              <w:rPr/>
              <w:t>mundial</w:t>
            </w:r>
            <w:r>
              <w:rPr>
                <w:rFonts w:ascii="Calibri"/>
                <w:b w:val="0"/>
              </w:rPr>
              <w:tab/>
              <w:t>5</w:t>
            </w:r>
          </w:hyperlink>
        </w:p>
        <w:p>
          <w:pPr>
            <w:pStyle w:val="TOC3"/>
            <w:numPr>
              <w:ilvl w:val="1"/>
              <w:numId w:val="1"/>
            </w:numPr>
            <w:tabs>
              <w:tab w:pos="730" w:val="left" w:leader="none"/>
              <w:tab w:pos="8972" w:val="right" w:leader="dot"/>
            </w:tabs>
            <w:spacing w:line="240" w:lineRule="auto" w:before="139" w:after="0"/>
            <w:ind w:left="729" w:right="0" w:hanging="369"/>
            <w:jc w:val="left"/>
            <w:rPr>
              <w:rFonts w:ascii="Calibri" w:hAnsi="Calibri"/>
              <w:b w:val="0"/>
            </w:rPr>
          </w:pPr>
          <w:hyperlink w:history="true" w:anchor="_bookmark11">
            <w:r>
              <w:rPr/>
              <w:t>Piscicultura</w:t>
            </w:r>
            <w:r>
              <w:rPr>
                <w:spacing w:val="1"/>
              </w:rPr>
              <w:t> </w:t>
            </w:r>
            <w:r>
              <w:rPr/>
              <w:t>en</w:t>
            </w:r>
            <w:r>
              <w:rPr>
                <w:spacing w:val="-1"/>
              </w:rPr>
              <w:t> </w:t>
            </w:r>
            <w:r>
              <w:rPr/>
              <w:t>México</w:t>
            </w:r>
            <w:r>
              <w:rPr>
                <w:rFonts w:ascii="Calibri" w:hAnsi="Calibri"/>
                <w:b w:val="0"/>
              </w:rPr>
              <w:tab/>
              <w:t>5</w:t>
            </w:r>
          </w:hyperlink>
        </w:p>
        <w:p>
          <w:pPr>
            <w:pStyle w:val="TOC3"/>
            <w:numPr>
              <w:ilvl w:val="1"/>
              <w:numId w:val="1"/>
            </w:numPr>
            <w:tabs>
              <w:tab w:pos="730" w:val="left" w:leader="none"/>
              <w:tab w:pos="8972" w:val="right" w:leader="dot"/>
            </w:tabs>
            <w:spacing w:line="240" w:lineRule="auto" w:before="139" w:after="0"/>
            <w:ind w:left="729" w:right="0" w:hanging="369"/>
            <w:jc w:val="left"/>
            <w:rPr>
              <w:rFonts w:ascii="Calibri" w:hAnsi="Calibri"/>
              <w:b w:val="0"/>
            </w:rPr>
          </w:pPr>
          <w:hyperlink w:history="true" w:anchor="_bookmark12">
            <w:r>
              <w:rPr/>
              <w:t>Peces del</w:t>
            </w:r>
            <w:r>
              <w:rPr>
                <w:spacing w:val="-6"/>
              </w:rPr>
              <w:t> </w:t>
            </w:r>
            <w:r>
              <w:rPr/>
              <w:t>género tilapia</w:t>
            </w:r>
            <w:r>
              <w:rPr>
                <w:rFonts w:ascii="Calibri" w:hAnsi="Calibri"/>
                <w:b w:val="0"/>
              </w:rPr>
              <w:tab/>
              <w:t>6</w:t>
            </w:r>
          </w:hyperlink>
        </w:p>
        <w:p>
          <w:pPr>
            <w:pStyle w:val="TOC3"/>
            <w:numPr>
              <w:ilvl w:val="1"/>
              <w:numId w:val="1"/>
            </w:numPr>
            <w:tabs>
              <w:tab w:pos="731" w:val="left" w:leader="none"/>
              <w:tab w:pos="8972" w:val="right" w:leader="dot"/>
            </w:tabs>
            <w:spacing w:line="240" w:lineRule="auto" w:before="140" w:after="0"/>
            <w:ind w:left="730" w:right="0" w:hanging="370"/>
            <w:jc w:val="left"/>
            <w:rPr>
              <w:rFonts w:ascii="Calibri"/>
              <w:b w:val="0"/>
            </w:rPr>
          </w:pPr>
          <w:hyperlink w:history="true" w:anchor="_bookmark13">
            <w:r>
              <w:rPr/>
              <w:t>El cultivo</w:t>
            </w:r>
            <w:r>
              <w:rPr>
                <w:spacing w:val="-4"/>
              </w:rPr>
              <w:t> </w:t>
            </w:r>
            <w:r>
              <w:rPr/>
              <w:t>de</w:t>
            </w:r>
            <w:r>
              <w:rPr>
                <w:spacing w:val="1"/>
              </w:rPr>
              <w:t> </w:t>
            </w:r>
            <w:r>
              <w:rPr/>
              <w:t>tilapia</w:t>
            </w:r>
            <w:r>
              <w:rPr>
                <w:rFonts w:ascii="Calibri"/>
                <w:b w:val="0"/>
              </w:rPr>
              <w:tab/>
              <w:t>8</w:t>
            </w:r>
          </w:hyperlink>
        </w:p>
        <w:p>
          <w:pPr>
            <w:pStyle w:val="TOC3"/>
            <w:numPr>
              <w:ilvl w:val="1"/>
              <w:numId w:val="1"/>
            </w:numPr>
            <w:tabs>
              <w:tab w:pos="730" w:val="left" w:leader="none"/>
              <w:tab w:pos="8972" w:val="right" w:leader="dot"/>
            </w:tabs>
            <w:spacing w:line="240" w:lineRule="auto" w:before="144" w:after="0"/>
            <w:ind w:left="729" w:right="0" w:hanging="369"/>
            <w:jc w:val="left"/>
            <w:rPr>
              <w:rFonts w:ascii="Calibri" w:hAnsi="Calibri"/>
              <w:b w:val="0"/>
            </w:rPr>
          </w:pPr>
          <w:hyperlink w:history="true" w:anchor="_bookmark14">
            <w:r>
              <w:rPr/>
              <w:t>El cultivo de tilapia en</w:t>
            </w:r>
            <w:r>
              <w:rPr>
                <w:spacing w:val="-1"/>
              </w:rPr>
              <w:t> </w:t>
            </w:r>
            <w:r>
              <w:rPr/>
              <w:t>México</w:t>
            </w:r>
            <w:r>
              <w:rPr>
                <w:rFonts w:ascii="Calibri" w:hAnsi="Calibri"/>
                <w:b w:val="0"/>
              </w:rPr>
              <w:tab/>
              <w:t>8</w:t>
            </w:r>
          </w:hyperlink>
        </w:p>
        <w:p>
          <w:pPr>
            <w:pStyle w:val="TOC3"/>
            <w:numPr>
              <w:ilvl w:val="1"/>
              <w:numId w:val="1"/>
            </w:numPr>
            <w:tabs>
              <w:tab w:pos="730" w:val="left" w:leader="none"/>
              <w:tab w:pos="8970" w:val="right" w:leader="dot"/>
            </w:tabs>
            <w:spacing w:line="240" w:lineRule="auto" w:before="139" w:after="0"/>
            <w:ind w:left="729" w:right="0" w:hanging="369"/>
            <w:jc w:val="left"/>
            <w:rPr>
              <w:rFonts w:ascii="Calibri"/>
              <w:b w:val="0"/>
            </w:rPr>
          </w:pPr>
          <w:hyperlink w:history="true" w:anchor="_bookmark15">
            <w:r>
              <w:rPr/>
              <w:t>Enfermedades que afectan a la tilapia en</w:t>
            </w:r>
            <w:r>
              <w:rPr>
                <w:spacing w:val="-7"/>
              </w:rPr>
              <w:t> </w:t>
            </w:r>
            <w:r>
              <w:rPr/>
              <w:t>el</w:t>
            </w:r>
            <w:r>
              <w:rPr>
                <w:spacing w:val="-4"/>
              </w:rPr>
              <w:t> </w:t>
            </w:r>
            <w:r>
              <w:rPr/>
              <w:t>mundo</w:t>
            </w:r>
            <w:r>
              <w:rPr>
                <w:rFonts w:ascii="Calibri"/>
                <w:b w:val="0"/>
              </w:rPr>
              <w:tab/>
              <w:t>11</w:t>
            </w:r>
          </w:hyperlink>
        </w:p>
        <w:p>
          <w:pPr>
            <w:pStyle w:val="TOC4"/>
            <w:numPr>
              <w:ilvl w:val="1"/>
              <w:numId w:val="1"/>
            </w:numPr>
            <w:tabs>
              <w:tab w:pos="730" w:val="left" w:leader="none"/>
              <w:tab w:pos="8970" w:val="right" w:leader="dot"/>
            </w:tabs>
            <w:spacing w:line="240" w:lineRule="auto" w:before="139" w:after="0"/>
            <w:ind w:left="729" w:right="0" w:hanging="369"/>
            <w:jc w:val="left"/>
            <w:rPr>
              <w:rFonts w:ascii="Calibri" w:hAnsi="Calibri"/>
              <w:b w:val="0"/>
              <w:i w:val="0"/>
              <w:sz w:val="22"/>
            </w:rPr>
          </w:pPr>
          <w:hyperlink w:history="true" w:anchor="_bookmark16">
            <w:r>
              <w:rPr>
                <w:i w:val="0"/>
                <w:sz w:val="22"/>
              </w:rPr>
              <w:t>Historia y antecedentes del género</w:t>
            </w:r>
            <w:r>
              <w:rPr>
                <w:i w:val="0"/>
                <w:spacing w:val="-2"/>
                <w:sz w:val="22"/>
              </w:rPr>
              <w:t> </w:t>
            </w:r>
            <w:r>
              <w:rPr>
                <w:i/>
                <w:sz w:val="22"/>
              </w:rPr>
              <w:t>Francisella</w:t>
            </w:r>
            <w:r>
              <w:rPr>
                <w:i/>
                <w:spacing w:val="3"/>
                <w:sz w:val="22"/>
              </w:rPr>
              <w:t> </w:t>
            </w:r>
            <w:r>
              <w:rPr>
                <w:i w:val="0"/>
                <w:sz w:val="22"/>
              </w:rPr>
              <w:t>sp.</w:t>
            </w:r>
            <w:r>
              <w:rPr>
                <w:rFonts w:ascii="Calibri" w:hAnsi="Calibri"/>
                <w:b w:val="0"/>
                <w:i w:val="0"/>
                <w:sz w:val="22"/>
              </w:rPr>
              <w:tab/>
              <w:t>12</w:t>
            </w:r>
          </w:hyperlink>
        </w:p>
        <w:p>
          <w:pPr>
            <w:pStyle w:val="TOC4"/>
            <w:numPr>
              <w:ilvl w:val="1"/>
              <w:numId w:val="1"/>
            </w:numPr>
            <w:tabs>
              <w:tab w:pos="855" w:val="left" w:leader="none"/>
              <w:tab w:pos="8970" w:val="right" w:leader="dot"/>
            </w:tabs>
            <w:spacing w:line="240" w:lineRule="auto" w:before="140" w:after="0"/>
            <w:ind w:left="854" w:right="0" w:hanging="494"/>
            <w:jc w:val="left"/>
            <w:rPr>
              <w:rFonts w:ascii="Calibri" w:hAnsi="Calibri"/>
              <w:b w:val="0"/>
              <w:i w:val="0"/>
              <w:sz w:val="22"/>
            </w:rPr>
          </w:pPr>
          <w:hyperlink w:history="true" w:anchor="_bookmark17">
            <w:r>
              <w:rPr>
                <w:i w:val="0"/>
                <w:sz w:val="22"/>
              </w:rPr>
              <w:t>Bacterias del género </w:t>
            </w:r>
            <w:r>
              <w:rPr>
                <w:i/>
                <w:sz w:val="22"/>
              </w:rPr>
              <w:t>Francisella </w:t>
            </w:r>
            <w:r>
              <w:rPr>
                <w:i w:val="0"/>
                <w:sz w:val="22"/>
              </w:rPr>
              <w:t>que afectan a</w:t>
            </w:r>
            <w:r>
              <w:rPr>
                <w:i w:val="0"/>
                <w:spacing w:val="-13"/>
                <w:sz w:val="22"/>
              </w:rPr>
              <w:t> </w:t>
            </w:r>
            <w:r>
              <w:rPr>
                <w:i w:val="0"/>
                <w:sz w:val="22"/>
              </w:rPr>
              <w:t>animales</w:t>
            </w:r>
            <w:r>
              <w:rPr>
                <w:i w:val="0"/>
                <w:spacing w:val="-4"/>
                <w:sz w:val="22"/>
              </w:rPr>
              <w:t> </w:t>
            </w:r>
            <w:r>
              <w:rPr>
                <w:i w:val="0"/>
                <w:sz w:val="22"/>
              </w:rPr>
              <w:t>terrestres</w:t>
            </w:r>
            <w:r>
              <w:rPr>
                <w:rFonts w:ascii="Calibri" w:hAnsi="Calibri"/>
                <w:b w:val="0"/>
                <w:i w:val="0"/>
                <w:sz w:val="22"/>
              </w:rPr>
              <w:tab/>
              <w:t>13</w:t>
            </w:r>
          </w:hyperlink>
        </w:p>
        <w:p>
          <w:pPr>
            <w:pStyle w:val="TOC4"/>
            <w:numPr>
              <w:ilvl w:val="1"/>
              <w:numId w:val="1"/>
            </w:numPr>
            <w:tabs>
              <w:tab w:pos="855" w:val="left" w:leader="none"/>
              <w:tab w:pos="8970" w:val="right" w:leader="dot"/>
            </w:tabs>
            <w:spacing w:line="240" w:lineRule="auto" w:before="139" w:after="0"/>
            <w:ind w:left="854" w:right="0" w:hanging="494"/>
            <w:jc w:val="left"/>
            <w:rPr>
              <w:rFonts w:ascii="Calibri" w:hAnsi="Calibri"/>
              <w:b w:val="0"/>
              <w:i w:val="0"/>
              <w:sz w:val="22"/>
            </w:rPr>
          </w:pPr>
          <w:hyperlink w:history="true" w:anchor="_bookmark18">
            <w:r>
              <w:rPr>
                <w:i w:val="0"/>
                <w:sz w:val="22"/>
              </w:rPr>
              <w:t>Bacterias del género </w:t>
            </w:r>
            <w:r>
              <w:rPr>
                <w:i/>
                <w:sz w:val="22"/>
              </w:rPr>
              <w:t>Francisella </w:t>
            </w:r>
            <w:r>
              <w:rPr>
                <w:i w:val="0"/>
                <w:sz w:val="22"/>
              </w:rPr>
              <w:t>que</w:t>
            </w:r>
            <w:r>
              <w:rPr>
                <w:i w:val="0"/>
                <w:spacing w:val="-5"/>
                <w:sz w:val="22"/>
              </w:rPr>
              <w:t> </w:t>
            </w:r>
            <w:r>
              <w:rPr>
                <w:i w:val="0"/>
                <w:sz w:val="22"/>
              </w:rPr>
              <w:t>afectan</w:t>
            </w:r>
            <w:r>
              <w:rPr>
                <w:i w:val="0"/>
                <w:spacing w:val="-1"/>
                <w:sz w:val="22"/>
              </w:rPr>
              <w:t> </w:t>
            </w:r>
            <w:r>
              <w:rPr>
                <w:i w:val="0"/>
                <w:sz w:val="22"/>
              </w:rPr>
              <w:t>peces</w:t>
            </w:r>
            <w:r>
              <w:rPr>
                <w:rFonts w:ascii="Calibri" w:hAnsi="Calibri"/>
                <w:b w:val="0"/>
                <w:i w:val="0"/>
                <w:sz w:val="22"/>
              </w:rPr>
              <w:tab/>
              <w:t>13</w:t>
            </w:r>
          </w:hyperlink>
        </w:p>
        <w:p>
          <w:pPr>
            <w:pStyle w:val="TOC3"/>
            <w:numPr>
              <w:ilvl w:val="1"/>
              <w:numId w:val="1"/>
            </w:numPr>
            <w:tabs>
              <w:tab w:pos="870" w:val="left" w:leader="none"/>
              <w:tab w:pos="8970" w:val="right" w:leader="dot"/>
            </w:tabs>
            <w:spacing w:line="288" w:lineRule="auto" w:before="128" w:after="0"/>
            <w:ind w:left="360" w:right="137" w:firstLine="0"/>
            <w:jc w:val="left"/>
            <w:rPr>
              <w:rFonts w:ascii="Calibri" w:hAnsi="Calibri"/>
              <w:b w:val="0"/>
            </w:rPr>
          </w:pPr>
          <w:hyperlink w:history="true" w:anchor="_bookmark19">
            <w:r>
              <w:rPr/>
              <w:t>Relación entre las bacterias de género </w:t>
            </w:r>
            <w:r>
              <w:rPr>
                <w:i/>
              </w:rPr>
              <w:t>Francisella </w:t>
            </w:r>
            <w:r>
              <w:rPr/>
              <w:t>que afecta a los animales</w:t>
            </w:r>
          </w:hyperlink>
          <w:r>
            <w:rPr/>
            <w:t> </w:t>
          </w:r>
          <w:hyperlink w:history="true" w:anchor="_bookmark19">
            <w:r>
              <w:rPr/>
              <w:t>terrestres y a</w:t>
            </w:r>
            <w:r>
              <w:rPr>
                <w:spacing w:val="-3"/>
              </w:rPr>
              <w:t> </w:t>
            </w:r>
            <w:r>
              <w:rPr/>
              <w:t>los</w:t>
            </w:r>
            <w:r>
              <w:rPr>
                <w:spacing w:val="-4"/>
              </w:rPr>
              <w:t> </w:t>
            </w:r>
            <w:r>
              <w:rPr/>
              <w:t>peces</w:t>
            </w:r>
            <w:r>
              <w:rPr>
                <w:rFonts w:ascii="Calibri" w:hAnsi="Calibri"/>
                <w:b w:val="0"/>
              </w:rPr>
              <w:tab/>
              <w:t>14</w:t>
            </w:r>
          </w:hyperlink>
        </w:p>
        <w:p>
          <w:pPr>
            <w:pStyle w:val="TOC4"/>
            <w:numPr>
              <w:ilvl w:val="1"/>
              <w:numId w:val="1"/>
            </w:numPr>
            <w:tabs>
              <w:tab w:pos="850" w:val="left" w:leader="none"/>
              <w:tab w:pos="8970" w:val="right" w:leader="dot"/>
            </w:tabs>
            <w:spacing w:line="240" w:lineRule="auto" w:before="86" w:after="0"/>
            <w:ind w:left="849" w:right="0" w:hanging="489"/>
            <w:jc w:val="left"/>
            <w:rPr>
              <w:rFonts w:ascii="Calibri" w:hAnsi="Calibri"/>
              <w:b w:val="0"/>
              <w:i w:val="0"/>
              <w:sz w:val="22"/>
            </w:rPr>
          </w:pPr>
          <w:hyperlink w:history="true" w:anchor="_bookmark20">
            <w:r>
              <w:rPr>
                <w:i w:val="0"/>
                <w:sz w:val="22"/>
              </w:rPr>
              <w:t>Taxonomía del</w:t>
            </w:r>
            <w:r>
              <w:rPr>
                <w:i w:val="0"/>
                <w:spacing w:val="-2"/>
                <w:sz w:val="22"/>
              </w:rPr>
              <w:t> </w:t>
            </w:r>
            <w:r>
              <w:rPr>
                <w:i w:val="0"/>
                <w:sz w:val="22"/>
              </w:rPr>
              <w:t>género</w:t>
            </w:r>
            <w:r>
              <w:rPr>
                <w:i w:val="0"/>
                <w:spacing w:val="4"/>
                <w:sz w:val="22"/>
              </w:rPr>
              <w:t> </w:t>
            </w:r>
            <w:r>
              <w:rPr>
                <w:i/>
                <w:sz w:val="22"/>
              </w:rPr>
              <w:t>Francisella</w:t>
            </w:r>
            <w:r>
              <w:rPr>
                <w:rFonts w:ascii="Calibri" w:hAnsi="Calibri"/>
                <w:b w:val="0"/>
                <w:i w:val="0"/>
                <w:sz w:val="22"/>
              </w:rPr>
              <w:tab/>
              <w:t>14</w:t>
            </w:r>
          </w:hyperlink>
        </w:p>
        <w:p>
          <w:pPr>
            <w:pStyle w:val="TOC3"/>
            <w:numPr>
              <w:ilvl w:val="1"/>
              <w:numId w:val="1"/>
            </w:numPr>
            <w:tabs>
              <w:tab w:pos="855" w:val="left" w:leader="none"/>
              <w:tab w:pos="8970" w:val="right" w:leader="dot"/>
            </w:tabs>
            <w:spacing w:line="240" w:lineRule="auto" w:before="139" w:after="0"/>
            <w:ind w:left="854" w:right="0" w:hanging="494"/>
            <w:jc w:val="left"/>
            <w:rPr>
              <w:rFonts w:ascii="Calibri"/>
              <w:b w:val="0"/>
            </w:rPr>
          </w:pPr>
          <w:hyperlink w:history="true" w:anchor="_bookmark21">
            <w:r>
              <w:rPr/>
              <w:t>Francisellosis</w:t>
            </w:r>
            <w:r>
              <w:rPr>
                <w:spacing w:val="-3"/>
              </w:rPr>
              <w:t> </w:t>
            </w:r>
            <w:r>
              <w:rPr/>
              <w:t>en</w:t>
            </w:r>
            <w:r>
              <w:rPr>
                <w:spacing w:val="-1"/>
              </w:rPr>
              <w:t> </w:t>
            </w:r>
            <w:r>
              <w:rPr/>
              <w:t>Peces</w:t>
            </w:r>
            <w:r>
              <w:rPr>
                <w:rFonts w:ascii="Calibri"/>
                <w:b w:val="0"/>
              </w:rPr>
              <w:tab/>
              <w:t>15</w:t>
            </w:r>
          </w:hyperlink>
        </w:p>
        <w:p>
          <w:pPr>
            <w:pStyle w:val="TOC3"/>
            <w:numPr>
              <w:ilvl w:val="1"/>
              <w:numId w:val="1"/>
            </w:numPr>
            <w:tabs>
              <w:tab w:pos="850" w:val="left" w:leader="none"/>
              <w:tab w:pos="8970" w:val="right" w:leader="dot"/>
            </w:tabs>
            <w:spacing w:line="240" w:lineRule="auto" w:before="144" w:after="0"/>
            <w:ind w:left="849" w:right="0" w:hanging="489"/>
            <w:jc w:val="left"/>
            <w:rPr>
              <w:rFonts w:ascii="Calibri" w:hAnsi="Calibri"/>
              <w:b w:val="0"/>
            </w:rPr>
          </w:pPr>
          <w:hyperlink w:history="true" w:anchor="_bookmark22">
            <w:r>
              <w:rPr/>
              <w:t>Signos clínicos</w:t>
            </w:r>
            <w:r>
              <w:rPr>
                <w:spacing w:val="-7"/>
              </w:rPr>
              <w:t> </w:t>
            </w:r>
            <w:r>
              <w:rPr/>
              <w:t>de</w:t>
            </w:r>
            <w:r>
              <w:rPr>
                <w:spacing w:val="1"/>
              </w:rPr>
              <w:t> </w:t>
            </w:r>
            <w:r>
              <w:rPr/>
              <w:t>francisellosis</w:t>
            </w:r>
            <w:r>
              <w:rPr>
                <w:rFonts w:ascii="Calibri" w:hAnsi="Calibri"/>
                <w:b w:val="0"/>
              </w:rPr>
              <w:tab/>
              <w:t>16</w:t>
            </w:r>
          </w:hyperlink>
        </w:p>
        <w:p>
          <w:pPr>
            <w:pStyle w:val="TOC3"/>
            <w:numPr>
              <w:ilvl w:val="1"/>
              <w:numId w:val="1"/>
            </w:numPr>
            <w:tabs>
              <w:tab w:pos="855" w:val="left" w:leader="none"/>
              <w:tab w:pos="8970" w:val="right" w:leader="dot"/>
            </w:tabs>
            <w:spacing w:line="240" w:lineRule="auto" w:before="139" w:after="0"/>
            <w:ind w:left="854" w:right="0" w:hanging="494"/>
            <w:jc w:val="left"/>
            <w:rPr>
              <w:rFonts w:ascii="Calibri" w:hAnsi="Calibri"/>
              <w:b w:val="0"/>
            </w:rPr>
          </w:pPr>
          <w:hyperlink w:history="true" w:anchor="_bookmark23">
            <w:r>
              <w:rPr/>
              <w:t>Lesiones</w:t>
            </w:r>
            <w:r>
              <w:rPr>
                <w:spacing w:val="-3"/>
              </w:rPr>
              <w:t> </w:t>
            </w:r>
            <w:r>
              <w:rPr/>
              <w:t>macroscópicas</w:t>
            </w:r>
            <w:r>
              <w:rPr>
                <w:rFonts w:ascii="Calibri" w:hAnsi="Calibri"/>
                <w:b w:val="0"/>
              </w:rPr>
              <w:tab/>
              <w:t>17</w:t>
            </w:r>
          </w:hyperlink>
        </w:p>
        <w:p>
          <w:pPr>
            <w:pStyle w:val="TOC6"/>
            <w:tabs>
              <w:tab w:pos="8970" w:val="right" w:leader="dot"/>
            </w:tabs>
            <w:spacing w:before="140"/>
            <w:rPr>
              <w:rFonts w:ascii="Calibri"/>
              <w:b w:val="0"/>
            </w:rPr>
          </w:pPr>
          <w:hyperlink w:history="true" w:anchor="_bookmark24">
            <w:r>
              <w:rPr/>
              <w:t>2.16.1</w:t>
            </w:r>
            <w:r>
              <w:rPr>
                <w:spacing w:val="1"/>
              </w:rPr>
              <w:t> </w:t>
            </w:r>
            <w:r>
              <w:rPr/>
              <w:t>Externas</w:t>
            </w:r>
            <w:r>
              <w:rPr>
                <w:rFonts w:ascii="Calibri"/>
                <w:b w:val="0"/>
              </w:rPr>
              <w:tab/>
              <w:t>17</w:t>
            </w:r>
          </w:hyperlink>
        </w:p>
        <w:p>
          <w:pPr>
            <w:pStyle w:val="TOC6"/>
            <w:tabs>
              <w:tab w:pos="8970" w:val="right" w:leader="dot"/>
            </w:tabs>
            <w:rPr>
              <w:rFonts w:ascii="Calibri"/>
              <w:b w:val="0"/>
            </w:rPr>
          </w:pPr>
          <w:hyperlink w:history="true" w:anchor="_bookmark25">
            <w:r>
              <w:rPr/>
              <w:t>2.16.</w:t>
            </w:r>
            <w:r>
              <w:rPr>
                <w:spacing w:val="-3"/>
              </w:rPr>
              <w:t> </w:t>
            </w:r>
            <w:r>
              <w:rPr/>
              <w:t>2</w:t>
            </w:r>
            <w:r>
              <w:rPr>
                <w:spacing w:val="1"/>
              </w:rPr>
              <w:t> </w:t>
            </w:r>
            <w:r>
              <w:rPr/>
              <w:t>Internas</w:t>
            </w:r>
            <w:r>
              <w:rPr>
                <w:rFonts w:ascii="Calibri"/>
                <w:b w:val="0"/>
              </w:rPr>
              <w:tab/>
              <w:t>17</w:t>
            </w:r>
          </w:hyperlink>
        </w:p>
        <w:p>
          <w:pPr>
            <w:pStyle w:val="TOC3"/>
            <w:numPr>
              <w:ilvl w:val="1"/>
              <w:numId w:val="1"/>
            </w:numPr>
            <w:tabs>
              <w:tab w:pos="855" w:val="left" w:leader="none"/>
              <w:tab w:pos="8970" w:val="right" w:leader="dot"/>
            </w:tabs>
            <w:spacing w:line="240" w:lineRule="auto" w:before="139" w:after="0"/>
            <w:ind w:left="854" w:right="0" w:hanging="494"/>
            <w:jc w:val="left"/>
            <w:rPr>
              <w:rFonts w:ascii="Calibri" w:hAnsi="Calibri"/>
              <w:b w:val="0"/>
            </w:rPr>
          </w:pPr>
          <w:hyperlink w:history="true" w:anchor="_bookmark26">
            <w:r>
              <w:rPr/>
              <w:t>Hallazgos</w:t>
            </w:r>
            <w:r>
              <w:rPr>
                <w:spacing w:val="-3"/>
              </w:rPr>
              <w:t> </w:t>
            </w:r>
            <w:r>
              <w:rPr/>
              <w:t>histopatológicos</w:t>
            </w:r>
            <w:r>
              <w:rPr>
                <w:rFonts w:ascii="Calibri" w:hAnsi="Calibri"/>
                <w:b w:val="0"/>
              </w:rPr>
              <w:tab/>
              <w:t>19</w:t>
            </w:r>
          </w:hyperlink>
        </w:p>
        <w:p>
          <w:pPr>
            <w:pStyle w:val="TOC3"/>
            <w:numPr>
              <w:ilvl w:val="1"/>
              <w:numId w:val="1"/>
            </w:numPr>
            <w:tabs>
              <w:tab w:pos="869" w:val="left" w:leader="none"/>
            </w:tabs>
            <w:spacing w:line="240" w:lineRule="auto" w:before="128" w:after="0"/>
            <w:ind w:left="868" w:right="0" w:hanging="508"/>
            <w:jc w:val="left"/>
            <w:rPr>
              <w:b w:val="0"/>
            </w:rPr>
          </w:pPr>
          <w:hyperlink w:history="true" w:anchor="_bookmark27">
            <w:r>
              <w:rPr/>
              <w:t>Morbilidad en infecciones causadas por bacterias del género </w:t>
            </w:r>
            <w:r>
              <w:rPr>
                <w:i/>
              </w:rPr>
              <w:t>Francisella </w:t>
            </w:r>
            <w:r>
              <w:rPr>
                <w:i/>
                <w:spacing w:val="54"/>
              </w:rPr>
              <w:t> </w:t>
            </w:r>
            <w:r>
              <w:rPr/>
              <w:t>sp</w:t>
            </w:r>
            <w:r>
              <w:rPr>
                <w:b w:val="0"/>
              </w:rPr>
              <w:t>.</w:t>
            </w:r>
          </w:hyperlink>
        </w:p>
        <w:p>
          <w:pPr>
            <w:pStyle w:val="TOC5"/>
          </w:pPr>
          <w:hyperlink w:history="true" w:anchor="_bookmark27">
            <w:r>
              <w:rPr/>
              <w:t>................................................................................................................................................    23</w:t>
            </w:r>
          </w:hyperlink>
        </w:p>
        <w:p>
          <w:pPr>
            <w:pStyle w:val="TOC3"/>
            <w:numPr>
              <w:ilvl w:val="1"/>
              <w:numId w:val="1"/>
            </w:numPr>
            <w:tabs>
              <w:tab w:pos="850" w:val="left" w:leader="none"/>
              <w:tab w:pos="8970" w:val="right" w:leader="dot"/>
            </w:tabs>
            <w:spacing w:line="240" w:lineRule="auto" w:before="409" w:after="0"/>
            <w:ind w:left="849" w:right="0" w:hanging="489"/>
            <w:jc w:val="left"/>
            <w:rPr>
              <w:rFonts w:ascii="Calibri"/>
              <w:b w:val="0"/>
            </w:rPr>
          </w:pPr>
          <w:hyperlink w:history="true" w:anchor="_bookmark28">
            <w:r>
              <w:rPr/>
              <w:t>Porcentaje </w:t>
            </w:r>
            <w:r>
              <w:rPr>
                <w:spacing w:val="-3"/>
              </w:rPr>
              <w:t>de </w:t>
            </w:r>
            <w:r>
              <w:rPr/>
              <w:t>mortalidad en las diferentes</w:t>
            </w:r>
            <w:r>
              <w:rPr>
                <w:spacing w:val="-1"/>
              </w:rPr>
              <w:t> </w:t>
            </w:r>
            <w:r>
              <w:rPr/>
              <w:t>especies</w:t>
            </w:r>
            <w:r>
              <w:rPr>
                <w:spacing w:val="-3"/>
              </w:rPr>
              <w:t> </w:t>
            </w:r>
            <w:r>
              <w:rPr/>
              <w:t>afectadas</w:t>
            </w:r>
            <w:r>
              <w:rPr>
                <w:rFonts w:ascii="Calibri"/>
                <w:b w:val="0"/>
              </w:rPr>
              <w:tab/>
              <w:t>23</w:t>
            </w:r>
          </w:hyperlink>
        </w:p>
        <w:p>
          <w:pPr>
            <w:pStyle w:val="TOC3"/>
            <w:tabs>
              <w:tab w:pos="8970" w:val="right" w:leader="dot"/>
            </w:tabs>
            <w:ind w:left="360" w:firstLine="0"/>
            <w:rPr>
              <w:rFonts w:ascii="Calibri" w:hAnsi="Calibri"/>
              <w:b w:val="0"/>
            </w:rPr>
          </w:pPr>
          <w:hyperlink w:history="true" w:anchor="_bookmark29">
            <w:r>
              <w:rPr/>
              <w:t>2. 20</w:t>
            </w:r>
            <w:r>
              <w:rPr>
                <w:spacing w:val="-6"/>
              </w:rPr>
              <w:t> </w:t>
            </w:r>
            <w:r>
              <w:rPr/>
              <w:t>Potencial</w:t>
            </w:r>
            <w:r>
              <w:rPr>
                <w:spacing w:val="-4"/>
              </w:rPr>
              <w:t> </w:t>
            </w:r>
            <w:r>
              <w:rPr/>
              <w:t>zoonótico</w:t>
            </w:r>
            <w:r>
              <w:rPr>
                <w:rFonts w:ascii="Calibri" w:hAnsi="Calibri"/>
                <w:b w:val="0"/>
              </w:rPr>
              <w:tab/>
              <w:t>24</w:t>
            </w:r>
          </w:hyperlink>
        </w:p>
        <w:p>
          <w:pPr>
            <w:pStyle w:val="TOC3"/>
            <w:spacing w:before="133"/>
            <w:ind w:left="360" w:right="-15" w:firstLine="0"/>
            <w:rPr>
              <w:i/>
            </w:rPr>
          </w:pPr>
          <w:hyperlink w:history="true" w:anchor="_bookmark30">
            <w:r>
              <w:rPr/>
              <w:t>2. 21 Diagnóstico de enfermedades producidas por bacterias del género </w:t>
            </w:r>
            <w:r>
              <w:rPr>
                <w:i/>
              </w:rPr>
              <w:t>Francisella</w:t>
            </w:r>
          </w:hyperlink>
        </w:p>
        <w:p>
          <w:pPr>
            <w:pStyle w:val="TOC4"/>
            <w:tabs>
              <w:tab w:pos="8970" w:val="right" w:leader="dot"/>
            </w:tabs>
            <w:spacing w:before="47"/>
            <w:ind w:left="360" w:firstLine="0"/>
            <w:rPr>
              <w:rFonts w:ascii="Calibri"/>
              <w:b w:val="0"/>
              <w:i w:val="0"/>
              <w:sz w:val="22"/>
            </w:rPr>
          </w:pPr>
          <w:hyperlink w:history="true" w:anchor="_bookmark30">
            <w:r>
              <w:rPr>
                <w:i w:val="0"/>
                <w:sz w:val="22"/>
              </w:rPr>
              <w:t>sp.</w:t>
            </w:r>
            <w:r>
              <w:rPr>
                <w:rFonts w:ascii="Calibri"/>
                <w:b w:val="0"/>
                <w:i w:val="0"/>
                <w:sz w:val="22"/>
              </w:rPr>
              <w:tab/>
              <w:t>25</w:t>
            </w:r>
          </w:hyperlink>
        </w:p>
        <w:p>
          <w:pPr>
            <w:pStyle w:val="TOC6"/>
            <w:tabs>
              <w:tab w:pos="8970" w:val="right" w:leader="dot"/>
            </w:tabs>
            <w:rPr>
              <w:rFonts w:ascii="Calibri" w:hAnsi="Calibri"/>
              <w:b w:val="0"/>
            </w:rPr>
          </w:pPr>
          <w:hyperlink w:history="true" w:anchor="_bookmark31">
            <w:r>
              <w:rPr/>
              <w:t>2.21.1 Signos clínicos de</w:t>
            </w:r>
            <w:r>
              <w:rPr>
                <w:spacing w:val="-3"/>
              </w:rPr>
              <w:t> </w:t>
            </w:r>
            <w:r>
              <w:rPr/>
              <w:t>la</w:t>
            </w:r>
            <w:r>
              <w:rPr>
                <w:spacing w:val="1"/>
              </w:rPr>
              <w:t> </w:t>
            </w:r>
            <w:r>
              <w:rPr/>
              <w:t>enfermedad</w:t>
            </w:r>
            <w:r>
              <w:rPr>
                <w:rFonts w:ascii="Calibri" w:hAnsi="Calibri"/>
                <w:b w:val="0"/>
              </w:rPr>
              <w:tab/>
              <w:t>25</w:t>
            </w:r>
          </w:hyperlink>
        </w:p>
        <w:p>
          <w:pPr>
            <w:pStyle w:val="TOC6"/>
            <w:tabs>
              <w:tab w:pos="8970" w:val="right" w:leader="dot"/>
            </w:tabs>
            <w:spacing w:before="144"/>
            <w:rPr>
              <w:rFonts w:ascii="Calibri" w:hAnsi="Calibri"/>
              <w:b w:val="0"/>
            </w:rPr>
          </w:pPr>
          <w:hyperlink w:history="true" w:anchor="_bookmark32">
            <w:r>
              <w:rPr/>
              <w:t>2. 21. 2</w:t>
            </w:r>
            <w:r>
              <w:rPr>
                <w:spacing w:val="-4"/>
              </w:rPr>
              <w:t> </w:t>
            </w:r>
            <w:r>
              <w:rPr>
                <w:spacing w:val="-3"/>
              </w:rPr>
              <w:t>Cultivo</w:t>
            </w:r>
            <w:r>
              <w:rPr/>
              <w:t> bacteriológico</w:t>
            </w:r>
            <w:r>
              <w:rPr>
                <w:rFonts w:ascii="Calibri" w:hAnsi="Calibri"/>
                <w:b w:val="0"/>
              </w:rPr>
              <w:tab/>
              <w:t>25</w:t>
            </w:r>
          </w:hyperlink>
        </w:p>
        <w:p>
          <w:pPr>
            <w:pStyle w:val="TOC7"/>
            <w:tabs>
              <w:tab w:pos="8970" w:val="right" w:leader="dot"/>
            </w:tabs>
            <w:rPr>
              <w:rFonts w:ascii="Calibri" w:hAnsi="Calibri"/>
              <w:b w:val="0"/>
              <w:i w:val="0"/>
              <w:sz w:val="22"/>
            </w:rPr>
          </w:pPr>
          <w:hyperlink w:history="true" w:anchor="_bookmark33">
            <w:r>
              <w:rPr>
                <w:i w:val="0"/>
                <w:sz w:val="22"/>
              </w:rPr>
              <w:t>2. 21. 3 Hibridación</w:t>
            </w:r>
            <w:r>
              <w:rPr>
                <w:i w:val="0"/>
                <w:spacing w:val="-2"/>
                <w:sz w:val="22"/>
              </w:rPr>
              <w:t> </w:t>
            </w:r>
            <w:r>
              <w:rPr>
                <w:i/>
                <w:sz w:val="22"/>
              </w:rPr>
              <w:t>in</w:t>
            </w:r>
            <w:r>
              <w:rPr>
                <w:i/>
                <w:spacing w:val="-1"/>
                <w:sz w:val="22"/>
              </w:rPr>
              <w:t> </w:t>
            </w:r>
            <w:r>
              <w:rPr>
                <w:i/>
                <w:sz w:val="22"/>
              </w:rPr>
              <w:t>situ</w:t>
            </w:r>
            <w:r>
              <w:rPr>
                <w:rFonts w:ascii="Calibri" w:hAnsi="Calibri"/>
                <w:b w:val="0"/>
                <w:i w:val="0"/>
                <w:sz w:val="22"/>
              </w:rPr>
              <w:tab/>
              <w:t>27</w:t>
            </w:r>
          </w:hyperlink>
        </w:p>
        <w:p>
          <w:pPr>
            <w:pStyle w:val="TOC6"/>
            <w:tabs>
              <w:tab w:pos="8970" w:val="right" w:leader="dot"/>
            </w:tabs>
            <w:spacing w:before="140"/>
            <w:rPr>
              <w:rFonts w:ascii="Calibri"/>
              <w:b w:val="0"/>
            </w:rPr>
          </w:pPr>
          <w:hyperlink w:history="true" w:anchor="_bookmark34">
            <w:r>
              <w:rPr/>
              <w:t>2. 21.</w:t>
            </w:r>
            <w:r>
              <w:rPr>
                <w:spacing w:val="-6"/>
              </w:rPr>
              <w:t> </w:t>
            </w:r>
            <w:r>
              <w:rPr/>
              <w:t>4</w:t>
            </w:r>
            <w:r>
              <w:rPr>
                <w:spacing w:val="-2"/>
              </w:rPr>
              <w:t> </w:t>
            </w:r>
            <w:r>
              <w:rPr/>
              <w:t>PCR</w:t>
            </w:r>
            <w:r>
              <w:rPr>
                <w:rFonts w:ascii="Calibri"/>
                <w:b w:val="0"/>
              </w:rPr>
              <w:tab/>
              <w:t>27</w:t>
            </w:r>
          </w:hyperlink>
        </w:p>
        <w:p>
          <w:pPr>
            <w:pStyle w:val="TOC3"/>
            <w:tabs>
              <w:tab w:pos="8970" w:val="right" w:leader="dot"/>
            </w:tabs>
            <w:ind w:left="360" w:firstLine="0"/>
            <w:rPr>
              <w:rFonts w:ascii="Calibri" w:hAnsi="Calibri"/>
              <w:b w:val="0"/>
            </w:rPr>
          </w:pPr>
          <w:hyperlink w:history="true" w:anchor="_bookmark35">
            <w:r>
              <w:rPr/>
              <w:t>2. 22</w:t>
            </w:r>
            <w:r>
              <w:rPr>
                <w:spacing w:val="-2"/>
              </w:rPr>
              <w:t> </w:t>
            </w:r>
            <w:r>
              <w:rPr/>
              <w:t>Diagnóstico</w:t>
            </w:r>
            <w:r>
              <w:rPr>
                <w:spacing w:val="-1"/>
              </w:rPr>
              <w:t> </w:t>
            </w:r>
            <w:r>
              <w:rPr/>
              <w:t>diferencial</w:t>
            </w:r>
            <w:r>
              <w:rPr>
                <w:rFonts w:ascii="Calibri" w:hAnsi="Calibri"/>
                <w:b w:val="0"/>
              </w:rPr>
              <w:tab/>
              <w:t>28</w:t>
            </w:r>
          </w:hyperlink>
        </w:p>
        <w:p>
          <w:pPr>
            <w:pStyle w:val="TOC3"/>
            <w:tabs>
              <w:tab w:pos="8970" w:val="right" w:leader="dot"/>
            </w:tabs>
            <w:ind w:left="360" w:firstLine="0"/>
            <w:rPr>
              <w:rFonts w:ascii="Calibri" w:hAnsi="Calibri"/>
              <w:b w:val="0"/>
            </w:rPr>
          </w:pPr>
          <w:hyperlink w:history="true" w:anchor="_bookmark36">
            <w:r>
              <w:rPr/>
              <w:t>2. 23 Prevención</w:t>
            </w:r>
            <w:r>
              <w:rPr>
                <w:spacing w:val="-6"/>
              </w:rPr>
              <w:t> </w:t>
            </w:r>
            <w:r>
              <w:rPr/>
              <w:t>y</w:t>
            </w:r>
            <w:r>
              <w:rPr>
                <w:spacing w:val="-3"/>
              </w:rPr>
              <w:t> </w:t>
            </w:r>
            <w:r>
              <w:rPr/>
              <w:t>Control</w:t>
            </w:r>
            <w:r>
              <w:rPr>
                <w:rFonts w:ascii="Calibri" w:hAnsi="Calibri"/>
                <w:b w:val="0"/>
              </w:rPr>
              <w:tab/>
              <w:t>29</w:t>
            </w:r>
          </w:hyperlink>
        </w:p>
        <w:p>
          <w:pPr>
            <w:pStyle w:val="TOC3"/>
            <w:numPr>
              <w:ilvl w:val="0"/>
              <w:numId w:val="2"/>
            </w:numPr>
            <w:tabs>
              <w:tab w:pos="606" w:val="left" w:leader="none"/>
              <w:tab w:pos="8970" w:val="right" w:leader="dot"/>
            </w:tabs>
            <w:spacing w:line="240" w:lineRule="auto" w:before="139" w:after="0"/>
            <w:ind w:left="605" w:right="0" w:hanging="245"/>
            <w:jc w:val="left"/>
            <w:rPr>
              <w:rFonts w:ascii="Calibri"/>
              <w:b w:val="0"/>
            </w:rPr>
          </w:pPr>
          <w:hyperlink w:history="true" w:anchor="_bookmark37">
            <w:r>
              <w:rPr/>
              <w:t>24</w:t>
            </w:r>
            <w:r>
              <w:rPr>
                <w:spacing w:val="-3"/>
              </w:rPr>
              <w:t> </w:t>
            </w:r>
            <w:r>
              <w:rPr/>
              <w:t>Tratamiento</w:t>
            </w:r>
            <w:r>
              <w:rPr>
                <w:rFonts w:ascii="Calibri"/>
                <w:b w:val="0"/>
              </w:rPr>
              <w:tab/>
              <w:t>30</w:t>
            </w:r>
          </w:hyperlink>
        </w:p>
        <w:p>
          <w:pPr>
            <w:pStyle w:val="TOC1"/>
            <w:numPr>
              <w:ilvl w:val="0"/>
              <w:numId w:val="2"/>
            </w:numPr>
            <w:tabs>
              <w:tab w:pos="385" w:val="left" w:leader="none"/>
              <w:tab w:pos="8970" w:val="right" w:leader="dot"/>
            </w:tabs>
            <w:spacing w:line="240" w:lineRule="auto" w:before="145" w:after="0"/>
            <w:ind w:left="384" w:right="0" w:hanging="245"/>
            <w:jc w:val="left"/>
            <w:rPr>
              <w:rFonts w:ascii="Calibri" w:hAnsi="Calibri"/>
              <w:b w:val="0"/>
            </w:rPr>
          </w:pPr>
          <w:hyperlink w:history="true" w:anchor="_bookmark38">
            <w:r>
              <w:rPr/>
              <w:t>JUSTIFICACIÓN</w:t>
            </w:r>
            <w:r>
              <w:rPr>
                <w:rFonts w:ascii="Calibri" w:hAnsi="Calibri"/>
                <w:b w:val="0"/>
              </w:rPr>
              <w:tab/>
              <w:t>32</w:t>
            </w:r>
          </w:hyperlink>
        </w:p>
        <w:p>
          <w:pPr>
            <w:pStyle w:val="TOC2"/>
            <w:numPr>
              <w:ilvl w:val="0"/>
              <w:numId w:val="2"/>
            </w:numPr>
            <w:tabs>
              <w:tab w:pos="389" w:val="left" w:leader="none"/>
              <w:tab w:pos="8970" w:val="right" w:leader="dot"/>
            </w:tabs>
            <w:spacing w:line="240" w:lineRule="auto" w:before="139" w:after="0"/>
            <w:ind w:left="388" w:right="0" w:hanging="249"/>
            <w:jc w:val="left"/>
            <w:rPr>
              <w:rFonts w:ascii="Calibri" w:hAnsi="Calibri"/>
              <w:b w:val="0"/>
              <w:i w:val="0"/>
              <w:sz w:val="22"/>
            </w:rPr>
          </w:pPr>
          <w:hyperlink w:history="true" w:anchor="_bookmark39">
            <w:r>
              <w:rPr>
                <w:i w:val="0"/>
                <w:sz w:val="22"/>
              </w:rPr>
              <w:t>HIPÓTESIS</w:t>
            </w:r>
            <w:r>
              <w:rPr>
                <w:rFonts w:ascii="Calibri" w:hAnsi="Calibri"/>
                <w:b w:val="0"/>
                <w:i w:val="0"/>
                <w:sz w:val="22"/>
              </w:rPr>
              <w:tab/>
              <w:t>33</w:t>
            </w:r>
          </w:hyperlink>
        </w:p>
        <w:p>
          <w:pPr>
            <w:pStyle w:val="TOC2"/>
            <w:numPr>
              <w:ilvl w:val="0"/>
              <w:numId w:val="2"/>
            </w:numPr>
            <w:tabs>
              <w:tab w:pos="389" w:val="left" w:leader="none"/>
              <w:tab w:pos="8970" w:val="right" w:leader="dot"/>
            </w:tabs>
            <w:spacing w:line="240" w:lineRule="auto" w:before="139" w:after="0"/>
            <w:ind w:left="388" w:right="0" w:hanging="249"/>
            <w:jc w:val="left"/>
            <w:rPr>
              <w:rFonts w:ascii="Calibri"/>
              <w:b w:val="0"/>
              <w:i w:val="0"/>
              <w:sz w:val="22"/>
            </w:rPr>
          </w:pPr>
          <w:hyperlink w:history="true" w:anchor="_bookmark40">
            <w:r>
              <w:rPr>
                <w:i w:val="0"/>
                <w:sz w:val="22"/>
              </w:rPr>
              <w:t>OBJETIVOS</w:t>
            </w:r>
            <w:r>
              <w:rPr>
                <w:rFonts w:ascii="Calibri"/>
                <w:b w:val="0"/>
                <w:i w:val="0"/>
                <w:sz w:val="22"/>
              </w:rPr>
              <w:tab/>
              <w:t>34</w:t>
            </w:r>
          </w:hyperlink>
        </w:p>
        <w:p>
          <w:pPr>
            <w:pStyle w:val="TOC3"/>
            <w:numPr>
              <w:ilvl w:val="1"/>
              <w:numId w:val="2"/>
            </w:numPr>
            <w:tabs>
              <w:tab w:pos="730" w:val="left" w:leader="none"/>
              <w:tab w:pos="8972" w:val="right" w:leader="dot"/>
            </w:tabs>
            <w:spacing w:line="240" w:lineRule="auto" w:before="139" w:after="0"/>
            <w:ind w:left="729" w:right="0" w:hanging="369"/>
            <w:jc w:val="left"/>
            <w:rPr>
              <w:rFonts w:ascii="Calibri"/>
              <w:b w:val="0"/>
            </w:rPr>
          </w:pPr>
          <w:hyperlink w:history="true" w:anchor="_bookmark41">
            <w:r>
              <w:rPr/>
              <w:t>Objetivo</w:t>
            </w:r>
            <w:r>
              <w:rPr>
                <w:spacing w:val="-1"/>
              </w:rPr>
              <w:t> </w:t>
            </w:r>
            <w:r>
              <w:rPr/>
              <w:t>general</w:t>
            </w:r>
            <w:r>
              <w:rPr>
                <w:rFonts w:ascii="Calibri"/>
                <w:b w:val="0"/>
              </w:rPr>
              <w:tab/>
              <w:t>34</w:t>
            </w:r>
          </w:hyperlink>
        </w:p>
        <w:p>
          <w:pPr>
            <w:pStyle w:val="TOC3"/>
            <w:numPr>
              <w:ilvl w:val="1"/>
              <w:numId w:val="2"/>
            </w:numPr>
            <w:tabs>
              <w:tab w:pos="730" w:val="left" w:leader="none"/>
              <w:tab w:pos="8970" w:val="right" w:leader="dot"/>
            </w:tabs>
            <w:spacing w:line="240" w:lineRule="auto" w:before="140" w:after="0"/>
            <w:ind w:left="729" w:right="0" w:hanging="369"/>
            <w:jc w:val="left"/>
            <w:rPr>
              <w:rFonts w:ascii="Calibri" w:hAnsi="Calibri"/>
              <w:b w:val="0"/>
            </w:rPr>
          </w:pPr>
          <w:hyperlink w:history="true" w:anchor="_bookmark42">
            <w:r>
              <w:rPr/>
              <w:t>Objetivos</w:t>
            </w:r>
            <w:r>
              <w:rPr>
                <w:spacing w:val="-4"/>
              </w:rPr>
              <w:t> </w:t>
            </w:r>
            <w:r>
              <w:rPr/>
              <w:t>específicos</w:t>
            </w:r>
            <w:r>
              <w:rPr>
                <w:rFonts w:ascii="Calibri" w:hAnsi="Calibri"/>
                <w:b w:val="0"/>
              </w:rPr>
              <w:tab/>
              <w:t>34</w:t>
            </w:r>
          </w:hyperlink>
        </w:p>
        <w:p>
          <w:pPr>
            <w:pStyle w:val="TOC1"/>
            <w:numPr>
              <w:ilvl w:val="0"/>
              <w:numId w:val="2"/>
            </w:numPr>
            <w:tabs>
              <w:tab w:pos="389" w:val="left" w:leader="none"/>
              <w:tab w:pos="8970" w:val="right" w:leader="dot"/>
            </w:tabs>
            <w:spacing w:line="240" w:lineRule="auto" w:before="139" w:after="0"/>
            <w:ind w:left="388" w:right="0" w:hanging="249"/>
            <w:jc w:val="left"/>
            <w:rPr>
              <w:rFonts w:ascii="Calibri"/>
              <w:b w:val="0"/>
            </w:rPr>
          </w:pPr>
          <w:hyperlink w:history="true" w:anchor="_bookmark43">
            <w:r>
              <w:rPr/>
              <w:t>MATERIAL</w:t>
            </w:r>
            <w:r>
              <w:rPr>
                <w:spacing w:val="-1"/>
              </w:rPr>
              <w:t> </w:t>
            </w:r>
            <w:r>
              <w:rPr/>
              <w:t>Y</w:t>
            </w:r>
            <w:r>
              <w:rPr>
                <w:spacing w:val="1"/>
              </w:rPr>
              <w:t> </w:t>
            </w:r>
            <w:r>
              <w:rPr/>
              <w:t>METODO</w:t>
            </w:r>
            <w:r>
              <w:rPr>
                <w:rFonts w:ascii="Calibri"/>
                <w:b w:val="0"/>
              </w:rPr>
              <w:tab/>
              <w:t>35</w:t>
            </w:r>
          </w:hyperlink>
        </w:p>
        <w:p>
          <w:pPr>
            <w:pStyle w:val="TOC4"/>
            <w:numPr>
              <w:ilvl w:val="1"/>
              <w:numId w:val="2"/>
            </w:numPr>
            <w:tabs>
              <w:tab w:pos="730" w:val="left" w:leader="none"/>
              <w:tab w:pos="8970" w:val="right" w:leader="dot"/>
            </w:tabs>
            <w:spacing w:line="240" w:lineRule="auto" w:before="144" w:after="0"/>
            <w:ind w:left="729" w:right="0" w:hanging="369"/>
            <w:jc w:val="left"/>
            <w:rPr>
              <w:rFonts w:ascii="Calibri"/>
              <w:b w:val="0"/>
              <w:i w:val="0"/>
              <w:sz w:val="22"/>
            </w:rPr>
          </w:pPr>
          <w:hyperlink w:history="true" w:anchor="_bookmark44">
            <w:r>
              <w:rPr>
                <w:i w:val="0"/>
                <w:sz w:val="22"/>
              </w:rPr>
              <w:t>Material</w:t>
            </w:r>
            <w:r>
              <w:rPr>
                <w:rFonts w:ascii="Calibri"/>
                <w:b w:val="0"/>
                <w:i w:val="0"/>
                <w:sz w:val="22"/>
              </w:rPr>
              <w:tab/>
              <w:t>35</w:t>
            </w:r>
          </w:hyperlink>
        </w:p>
        <w:p>
          <w:pPr>
            <w:pStyle w:val="TOC4"/>
            <w:numPr>
              <w:ilvl w:val="1"/>
              <w:numId w:val="2"/>
            </w:numPr>
            <w:tabs>
              <w:tab w:pos="730" w:val="left" w:leader="none"/>
              <w:tab w:pos="8970" w:val="right" w:leader="dot"/>
            </w:tabs>
            <w:spacing w:line="240" w:lineRule="auto" w:before="139" w:after="0"/>
            <w:ind w:left="729" w:right="0" w:hanging="369"/>
            <w:jc w:val="left"/>
            <w:rPr>
              <w:rFonts w:ascii="Calibri" w:hAnsi="Calibri"/>
              <w:b w:val="0"/>
              <w:i w:val="0"/>
              <w:sz w:val="22"/>
            </w:rPr>
          </w:pPr>
          <w:hyperlink w:history="true" w:anchor="_bookmark45">
            <w:r>
              <w:rPr>
                <w:i w:val="0"/>
                <w:sz w:val="22"/>
              </w:rPr>
              <w:t>Método</w:t>
            </w:r>
            <w:r>
              <w:rPr>
                <w:rFonts w:ascii="Calibri" w:hAnsi="Calibri"/>
                <w:b w:val="0"/>
                <w:i w:val="0"/>
                <w:sz w:val="22"/>
              </w:rPr>
              <w:tab/>
              <w:t>35</w:t>
            </w:r>
          </w:hyperlink>
        </w:p>
        <w:p>
          <w:pPr>
            <w:pStyle w:val="TOC6"/>
            <w:numPr>
              <w:ilvl w:val="2"/>
              <w:numId w:val="2"/>
            </w:numPr>
            <w:tabs>
              <w:tab w:pos="1138" w:val="left" w:leader="none"/>
              <w:tab w:pos="8970" w:val="right" w:leader="dot"/>
            </w:tabs>
            <w:spacing w:line="240" w:lineRule="auto" w:before="140" w:after="0"/>
            <w:ind w:left="1137" w:right="0" w:hanging="556"/>
            <w:jc w:val="left"/>
            <w:rPr>
              <w:rFonts w:ascii="Calibri" w:hAnsi="Calibri"/>
              <w:b w:val="0"/>
            </w:rPr>
          </w:pPr>
          <w:hyperlink w:history="true" w:anchor="_bookmark46">
            <w:r>
              <w:rPr>
                <w:spacing w:val="-3"/>
              </w:rPr>
              <w:t>Análisis</w:t>
            </w:r>
            <w:r>
              <w:rPr>
                <w:spacing w:val="-2"/>
              </w:rPr>
              <w:t> </w:t>
            </w:r>
            <w:r>
              <w:rPr/>
              <w:t>clínico macroscópico</w:t>
            </w:r>
            <w:r>
              <w:rPr>
                <w:rFonts w:ascii="Calibri" w:hAnsi="Calibri"/>
                <w:b w:val="0"/>
              </w:rPr>
              <w:tab/>
              <w:t>35</w:t>
            </w:r>
          </w:hyperlink>
        </w:p>
        <w:p>
          <w:pPr>
            <w:pStyle w:val="TOC6"/>
            <w:numPr>
              <w:ilvl w:val="2"/>
              <w:numId w:val="2"/>
            </w:numPr>
            <w:tabs>
              <w:tab w:pos="1138" w:val="left" w:leader="none"/>
              <w:tab w:pos="8970" w:val="right" w:leader="dot"/>
            </w:tabs>
            <w:spacing w:line="240" w:lineRule="auto" w:before="139" w:after="0"/>
            <w:ind w:left="1137" w:right="0" w:hanging="556"/>
            <w:jc w:val="left"/>
            <w:rPr>
              <w:rFonts w:ascii="Calibri" w:hAnsi="Calibri"/>
              <w:b w:val="0"/>
            </w:rPr>
          </w:pPr>
          <w:hyperlink w:history="true" w:anchor="_bookmark47">
            <w:r>
              <w:rPr>
                <w:spacing w:val="-3"/>
              </w:rPr>
              <w:t>Análisis</w:t>
            </w:r>
            <w:r>
              <w:rPr>
                <w:spacing w:val="2"/>
              </w:rPr>
              <w:t> </w:t>
            </w:r>
            <w:r>
              <w:rPr/>
              <w:t>Histológico</w:t>
            </w:r>
            <w:r>
              <w:rPr>
                <w:rFonts w:ascii="Calibri" w:hAnsi="Calibri"/>
                <w:b w:val="0"/>
              </w:rPr>
              <w:tab/>
              <w:t>36</w:t>
            </w:r>
          </w:hyperlink>
        </w:p>
        <w:p>
          <w:pPr>
            <w:pStyle w:val="TOC6"/>
            <w:numPr>
              <w:ilvl w:val="2"/>
              <w:numId w:val="2"/>
            </w:numPr>
            <w:tabs>
              <w:tab w:pos="1138" w:val="left" w:leader="none"/>
              <w:tab w:pos="8970" w:val="right" w:leader="dot"/>
            </w:tabs>
            <w:spacing w:line="240" w:lineRule="auto" w:before="139" w:after="0"/>
            <w:ind w:left="1137" w:right="0" w:hanging="556"/>
            <w:jc w:val="left"/>
            <w:rPr>
              <w:rFonts w:ascii="Calibri" w:hAnsi="Calibri"/>
              <w:b w:val="0"/>
            </w:rPr>
          </w:pPr>
          <w:hyperlink w:history="true" w:anchor="_bookmark48">
            <w:r>
              <w:rPr>
                <w:spacing w:val="-3"/>
              </w:rPr>
              <w:t>Análisis </w:t>
            </w:r>
            <w:r>
              <w:rPr/>
              <w:t>por la técnica de PCR Punto final y</w:t>
            </w:r>
            <w:r>
              <w:rPr>
                <w:spacing w:val="-4"/>
              </w:rPr>
              <w:t> </w:t>
            </w:r>
            <w:r>
              <w:rPr/>
              <w:t>PCR</w:t>
            </w:r>
            <w:r>
              <w:rPr>
                <w:spacing w:val="3"/>
              </w:rPr>
              <w:t> </w:t>
            </w:r>
            <w:r>
              <w:rPr/>
              <w:t>Anidada</w:t>
            </w:r>
            <w:r>
              <w:rPr>
                <w:rFonts w:ascii="Calibri" w:hAnsi="Calibri"/>
                <w:b w:val="0"/>
              </w:rPr>
              <w:tab/>
              <w:t>36</w:t>
            </w:r>
          </w:hyperlink>
        </w:p>
        <w:p>
          <w:pPr>
            <w:pStyle w:val="TOC8"/>
            <w:numPr>
              <w:ilvl w:val="3"/>
              <w:numId w:val="2"/>
            </w:numPr>
            <w:tabs>
              <w:tab w:pos="1536" w:val="left" w:leader="none"/>
              <w:tab w:pos="8970" w:val="right" w:leader="dot"/>
            </w:tabs>
            <w:spacing w:line="240" w:lineRule="auto" w:before="139" w:after="0"/>
            <w:ind w:left="1535" w:right="0" w:hanging="733"/>
            <w:jc w:val="left"/>
            <w:rPr>
              <w:rFonts w:ascii="Calibri" w:hAnsi="Calibri"/>
              <w:b w:val="0"/>
            </w:rPr>
          </w:pPr>
          <w:hyperlink w:history="true" w:anchor="_bookmark49">
            <w:r>
              <w:rPr/>
              <w:t>Extracción</w:t>
            </w:r>
            <w:r>
              <w:rPr>
                <w:spacing w:val="-1"/>
              </w:rPr>
              <w:t> </w:t>
            </w:r>
            <w:r>
              <w:rPr/>
              <w:t>de</w:t>
            </w:r>
            <w:r>
              <w:rPr>
                <w:spacing w:val="1"/>
              </w:rPr>
              <w:t> </w:t>
            </w:r>
            <w:r>
              <w:rPr>
                <w:spacing w:val="-3"/>
              </w:rPr>
              <w:t>ADN</w:t>
            </w:r>
            <w:r>
              <w:rPr>
                <w:rFonts w:ascii="Calibri" w:hAnsi="Calibri"/>
                <w:b w:val="0"/>
                <w:spacing w:val="-3"/>
              </w:rPr>
              <w:tab/>
            </w:r>
            <w:r>
              <w:rPr>
                <w:rFonts w:ascii="Calibri" w:hAnsi="Calibri"/>
                <w:b w:val="0"/>
              </w:rPr>
              <w:t>36</w:t>
            </w:r>
          </w:hyperlink>
        </w:p>
        <w:p>
          <w:pPr>
            <w:pStyle w:val="TOC8"/>
            <w:numPr>
              <w:ilvl w:val="3"/>
              <w:numId w:val="2"/>
            </w:numPr>
            <w:tabs>
              <w:tab w:pos="1536" w:val="left" w:leader="none"/>
              <w:tab w:pos="8970" w:val="right" w:leader="dot"/>
            </w:tabs>
            <w:spacing w:line="240" w:lineRule="auto" w:before="145" w:after="0"/>
            <w:ind w:left="1535" w:right="0" w:hanging="733"/>
            <w:jc w:val="left"/>
            <w:rPr>
              <w:rFonts w:ascii="Calibri"/>
              <w:b w:val="0"/>
            </w:rPr>
          </w:pPr>
          <w:hyperlink w:history="true" w:anchor="_bookmark50">
            <w:r>
              <w:rPr/>
              <w:t>PCR</w:t>
            </w:r>
            <w:r>
              <w:rPr>
                <w:spacing w:val="-1"/>
              </w:rPr>
              <w:t> </w:t>
            </w:r>
            <w:r>
              <w:rPr/>
              <w:t>Punto</w:t>
            </w:r>
            <w:r>
              <w:rPr>
                <w:spacing w:val="-1"/>
              </w:rPr>
              <w:t> </w:t>
            </w:r>
            <w:r>
              <w:rPr/>
              <w:t>final</w:t>
            </w:r>
            <w:r>
              <w:rPr>
                <w:rFonts w:ascii="Calibri"/>
                <w:b w:val="0"/>
              </w:rPr>
              <w:tab/>
              <w:t>36</w:t>
            </w:r>
          </w:hyperlink>
        </w:p>
        <w:p>
          <w:pPr>
            <w:pStyle w:val="TOC9"/>
            <w:numPr>
              <w:ilvl w:val="3"/>
              <w:numId w:val="2"/>
            </w:numPr>
            <w:tabs>
              <w:tab w:pos="1536" w:val="left" w:leader="none"/>
              <w:tab w:pos="8970" w:val="right" w:leader="dot"/>
            </w:tabs>
            <w:spacing w:line="240" w:lineRule="auto" w:before="139" w:after="0"/>
            <w:ind w:left="1535" w:right="0" w:hanging="733"/>
            <w:jc w:val="left"/>
            <w:rPr>
              <w:rFonts w:ascii="Calibri"/>
              <w:b w:val="0"/>
              <w:i w:val="0"/>
              <w:sz w:val="22"/>
            </w:rPr>
          </w:pPr>
          <w:hyperlink w:history="true" w:anchor="_bookmark51">
            <w:r>
              <w:rPr>
                <w:i w:val="0"/>
                <w:sz w:val="22"/>
              </w:rPr>
              <w:t>PCR</w:t>
            </w:r>
            <w:r>
              <w:rPr>
                <w:i w:val="0"/>
                <w:spacing w:val="-1"/>
                <w:sz w:val="22"/>
              </w:rPr>
              <w:t> </w:t>
            </w:r>
            <w:r>
              <w:rPr>
                <w:i w:val="0"/>
                <w:sz w:val="22"/>
              </w:rPr>
              <w:t>anidado</w:t>
            </w:r>
            <w:r>
              <w:rPr>
                <w:rFonts w:ascii="Calibri"/>
                <w:b w:val="0"/>
                <w:i w:val="0"/>
                <w:sz w:val="22"/>
              </w:rPr>
              <w:tab/>
              <w:t>37</w:t>
            </w:r>
          </w:hyperlink>
        </w:p>
        <w:p>
          <w:pPr>
            <w:pStyle w:val="TOC2"/>
            <w:numPr>
              <w:ilvl w:val="0"/>
              <w:numId w:val="2"/>
            </w:numPr>
            <w:tabs>
              <w:tab w:pos="389" w:val="left" w:leader="none"/>
              <w:tab w:pos="8970" w:val="right" w:leader="dot"/>
            </w:tabs>
            <w:spacing w:line="240" w:lineRule="auto" w:before="139" w:after="0"/>
            <w:ind w:left="388" w:right="0" w:hanging="249"/>
            <w:jc w:val="left"/>
            <w:rPr>
              <w:rFonts w:ascii="Calibri"/>
              <w:b w:val="0"/>
              <w:i w:val="0"/>
              <w:sz w:val="22"/>
            </w:rPr>
          </w:pPr>
          <w:hyperlink w:history="true" w:anchor="_bookmark52">
            <w:r>
              <w:rPr>
                <w:i w:val="0"/>
                <w:spacing w:val="-3"/>
                <w:sz w:val="22"/>
              </w:rPr>
              <w:t>RESULTADOS</w:t>
            </w:r>
            <w:r>
              <w:rPr>
                <w:rFonts w:ascii="Calibri"/>
                <w:b w:val="0"/>
                <w:i w:val="0"/>
                <w:spacing w:val="-3"/>
                <w:sz w:val="22"/>
              </w:rPr>
              <w:tab/>
            </w:r>
            <w:r>
              <w:rPr>
                <w:rFonts w:ascii="Calibri"/>
                <w:b w:val="0"/>
                <w:i w:val="0"/>
                <w:sz w:val="22"/>
              </w:rPr>
              <w:t>39</w:t>
            </w:r>
          </w:hyperlink>
        </w:p>
        <w:p>
          <w:pPr>
            <w:pStyle w:val="TOC3"/>
            <w:numPr>
              <w:ilvl w:val="1"/>
              <w:numId w:val="2"/>
            </w:numPr>
            <w:tabs>
              <w:tab w:pos="793" w:val="left" w:leader="none"/>
              <w:tab w:pos="8970" w:val="right" w:leader="dot"/>
            </w:tabs>
            <w:spacing w:line="240" w:lineRule="auto" w:before="139" w:after="0"/>
            <w:ind w:left="792" w:right="0" w:hanging="432"/>
            <w:jc w:val="left"/>
            <w:rPr>
              <w:rFonts w:ascii="Calibri" w:hAnsi="Calibri"/>
              <w:b w:val="0"/>
            </w:rPr>
          </w:pPr>
          <w:hyperlink w:history="true" w:anchor="_bookmark53">
            <w:r>
              <w:rPr/>
              <w:t>Articulo enviado y</w:t>
            </w:r>
            <w:r>
              <w:rPr>
                <w:spacing w:val="-3"/>
              </w:rPr>
              <w:t> </w:t>
            </w:r>
            <w:r>
              <w:rPr/>
              <w:t>en</w:t>
            </w:r>
            <w:r>
              <w:rPr>
                <w:spacing w:val="-1"/>
              </w:rPr>
              <w:t> </w:t>
            </w:r>
            <w:r>
              <w:rPr/>
              <w:t>revisión</w:t>
            </w:r>
            <w:r>
              <w:rPr>
                <w:rFonts w:ascii="Calibri" w:hAnsi="Calibri"/>
                <w:b w:val="0"/>
              </w:rPr>
              <w:tab/>
              <w:t>39</w:t>
            </w:r>
          </w:hyperlink>
        </w:p>
        <w:p>
          <w:pPr>
            <w:pStyle w:val="TOC3"/>
            <w:numPr>
              <w:ilvl w:val="1"/>
              <w:numId w:val="2"/>
            </w:numPr>
            <w:tabs>
              <w:tab w:pos="730" w:val="left" w:leader="none"/>
              <w:tab w:pos="8970" w:val="right" w:leader="dot"/>
            </w:tabs>
            <w:spacing w:line="240" w:lineRule="auto" w:before="140" w:after="0"/>
            <w:ind w:left="729" w:right="0" w:hanging="369"/>
            <w:jc w:val="left"/>
            <w:rPr>
              <w:rFonts w:ascii="Calibri" w:hAnsi="Calibri"/>
              <w:b w:val="0"/>
            </w:rPr>
          </w:pPr>
          <w:hyperlink w:history="true" w:anchor="_bookmark54">
            <w:r>
              <w:rPr/>
              <w:t>Resultados</w:t>
            </w:r>
            <w:r>
              <w:rPr>
                <w:spacing w:val="-3"/>
              </w:rPr>
              <w:t> </w:t>
            </w:r>
            <w:r>
              <w:rPr/>
              <w:t>de</w:t>
            </w:r>
            <w:r>
              <w:rPr>
                <w:spacing w:val="1"/>
              </w:rPr>
              <w:t> </w:t>
            </w:r>
            <w:r>
              <w:rPr/>
              <w:t>investigación</w:t>
            </w:r>
            <w:r>
              <w:rPr>
                <w:rFonts w:ascii="Calibri" w:hAnsi="Calibri"/>
                <w:b w:val="0"/>
              </w:rPr>
              <w:tab/>
              <w:t>61</w:t>
            </w:r>
          </w:hyperlink>
        </w:p>
        <w:p>
          <w:pPr>
            <w:pStyle w:val="TOC6"/>
            <w:numPr>
              <w:ilvl w:val="2"/>
              <w:numId w:val="2"/>
            </w:numPr>
            <w:tabs>
              <w:tab w:pos="1138" w:val="left" w:leader="none"/>
              <w:tab w:pos="8970" w:val="right" w:leader="dot"/>
            </w:tabs>
            <w:spacing w:line="240" w:lineRule="auto" w:before="144" w:after="0"/>
            <w:ind w:left="1137" w:right="0" w:hanging="556"/>
            <w:jc w:val="left"/>
            <w:rPr>
              <w:rFonts w:ascii="Calibri" w:hAnsi="Calibri"/>
              <w:b w:val="0"/>
            </w:rPr>
          </w:pPr>
          <w:hyperlink w:history="true" w:anchor="_bookmark55">
            <w:r>
              <w:rPr/>
              <w:t>Diagnóstico</w:t>
            </w:r>
            <w:r>
              <w:rPr>
                <w:spacing w:val="-1"/>
              </w:rPr>
              <w:t> </w:t>
            </w:r>
            <w:r>
              <w:rPr/>
              <w:t>clínico</w:t>
            </w:r>
            <w:r>
              <w:rPr>
                <w:spacing w:val="-1"/>
              </w:rPr>
              <w:t> </w:t>
            </w:r>
            <w:r>
              <w:rPr/>
              <w:t>macroscópico</w:t>
            </w:r>
            <w:r>
              <w:rPr>
                <w:rFonts w:ascii="Calibri" w:hAnsi="Calibri"/>
                <w:b w:val="0"/>
              </w:rPr>
              <w:tab/>
              <w:t>61</w:t>
            </w:r>
          </w:hyperlink>
        </w:p>
        <w:p>
          <w:pPr>
            <w:pStyle w:val="TOC3"/>
            <w:numPr>
              <w:ilvl w:val="2"/>
              <w:numId w:val="2"/>
            </w:numPr>
            <w:tabs>
              <w:tab w:pos="917" w:val="left" w:leader="none"/>
              <w:tab w:pos="8970" w:val="right" w:leader="dot"/>
            </w:tabs>
            <w:spacing w:line="240" w:lineRule="auto" w:before="139" w:after="0"/>
            <w:ind w:left="916" w:right="0" w:hanging="556"/>
            <w:jc w:val="left"/>
            <w:rPr>
              <w:rFonts w:ascii="Calibri" w:hAnsi="Calibri"/>
              <w:b w:val="0"/>
            </w:rPr>
          </w:pPr>
          <w:hyperlink w:history="true" w:anchor="_bookmark56">
            <w:r>
              <w:rPr/>
              <w:t>Diagnostico</w:t>
            </w:r>
            <w:r>
              <w:rPr>
                <w:spacing w:val="-1"/>
              </w:rPr>
              <w:t> </w:t>
            </w:r>
            <w:r>
              <w:rPr/>
              <w:t>histopatológico</w:t>
            </w:r>
            <w:r>
              <w:rPr>
                <w:rFonts w:ascii="Calibri" w:hAnsi="Calibri"/>
                <w:b w:val="0"/>
              </w:rPr>
              <w:tab/>
              <w:t>64</w:t>
            </w:r>
          </w:hyperlink>
        </w:p>
        <w:p>
          <w:pPr>
            <w:pStyle w:val="TOC3"/>
            <w:numPr>
              <w:ilvl w:val="2"/>
              <w:numId w:val="2"/>
            </w:numPr>
            <w:tabs>
              <w:tab w:pos="913" w:val="left" w:leader="none"/>
              <w:tab w:pos="8970" w:val="right" w:leader="dot"/>
            </w:tabs>
            <w:spacing w:line="240" w:lineRule="auto" w:before="139" w:after="0"/>
            <w:ind w:left="912" w:right="0" w:hanging="552"/>
            <w:jc w:val="left"/>
            <w:rPr>
              <w:rFonts w:ascii="Calibri"/>
              <w:b w:val="0"/>
            </w:rPr>
          </w:pPr>
          <w:hyperlink w:history="true" w:anchor="_bookmark57">
            <w:r>
              <w:rPr/>
              <w:t>PCR</w:t>
            </w:r>
            <w:r>
              <w:rPr>
                <w:spacing w:val="-1"/>
              </w:rPr>
              <w:t> </w:t>
            </w:r>
            <w:r>
              <w:rPr/>
              <w:t>Punto</w:t>
            </w:r>
            <w:r>
              <w:rPr>
                <w:spacing w:val="-1"/>
              </w:rPr>
              <w:t> </w:t>
            </w:r>
            <w:r>
              <w:rPr/>
              <w:t>final</w:t>
            </w:r>
            <w:r>
              <w:rPr>
                <w:rFonts w:ascii="Calibri"/>
                <w:b w:val="0"/>
              </w:rPr>
              <w:tab/>
              <w:t>65</w:t>
            </w:r>
          </w:hyperlink>
        </w:p>
        <w:p>
          <w:pPr>
            <w:pStyle w:val="TOC4"/>
            <w:numPr>
              <w:ilvl w:val="2"/>
              <w:numId w:val="2"/>
            </w:numPr>
            <w:tabs>
              <w:tab w:pos="913" w:val="left" w:leader="none"/>
              <w:tab w:pos="8970" w:val="right" w:leader="dot"/>
            </w:tabs>
            <w:spacing w:line="240" w:lineRule="auto" w:before="139" w:after="0"/>
            <w:ind w:left="912" w:right="0" w:hanging="552"/>
            <w:jc w:val="left"/>
            <w:rPr>
              <w:rFonts w:ascii="Calibri"/>
              <w:b w:val="0"/>
              <w:i w:val="0"/>
              <w:sz w:val="22"/>
            </w:rPr>
          </w:pPr>
          <w:hyperlink w:history="true" w:anchor="_bookmark58">
            <w:r>
              <w:rPr>
                <w:i w:val="0"/>
                <w:sz w:val="22"/>
              </w:rPr>
              <w:t>PCR</w:t>
            </w:r>
            <w:r>
              <w:rPr>
                <w:i w:val="0"/>
                <w:spacing w:val="-1"/>
                <w:sz w:val="22"/>
              </w:rPr>
              <w:t> </w:t>
            </w:r>
            <w:r>
              <w:rPr>
                <w:i w:val="0"/>
                <w:sz w:val="22"/>
              </w:rPr>
              <w:t>Anidado</w:t>
            </w:r>
            <w:r>
              <w:rPr>
                <w:rFonts w:ascii="Calibri"/>
                <w:b w:val="0"/>
                <w:i w:val="0"/>
                <w:sz w:val="22"/>
              </w:rPr>
              <w:tab/>
              <w:t>66</w:t>
            </w:r>
          </w:hyperlink>
        </w:p>
        <w:p>
          <w:pPr>
            <w:pStyle w:val="TOC1"/>
            <w:numPr>
              <w:ilvl w:val="0"/>
              <w:numId w:val="2"/>
            </w:numPr>
            <w:tabs>
              <w:tab w:pos="389" w:val="left" w:leader="none"/>
              <w:tab w:pos="8970" w:val="right" w:leader="dot"/>
            </w:tabs>
            <w:spacing w:line="240" w:lineRule="auto" w:before="409" w:after="0"/>
            <w:ind w:left="388" w:right="0" w:hanging="249"/>
            <w:jc w:val="left"/>
            <w:rPr>
              <w:rFonts w:ascii="Calibri"/>
              <w:b w:val="0"/>
            </w:rPr>
          </w:pPr>
          <w:hyperlink w:history="true" w:anchor="_bookmark59">
            <w:r>
              <w:rPr>
                <w:spacing w:val="-3"/>
              </w:rPr>
              <w:t>ANALISIS </w:t>
            </w:r>
            <w:r>
              <w:rPr/>
              <w:t>DE</w:t>
            </w:r>
            <w:r>
              <w:rPr>
                <w:spacing w:val="7"/>
              </w:rPr>
              <w:t> </w:t>
            </w:r>
            <w:r>
              <w:rPr/>
              <w:t>LOS</w:t>
            </w:r>
            <w:r>
              <w:rPr>
                <w:spacing w:val="2"/>
              </w:rPr>
              <w:t> </w:t>
            </w:r>
            <w:r>
              <w:rPr/>
              <w:t>DATOS</w:t>
            </w:r>
            <w:r>
              <w:rPr>
                <w:rFonts w:ascii="Calibri"/>
                <w:b w:val="0"/>
              </w:rPr>
              <w:tab/>
              <w:t>67</w:t>
            </w:r>
          </w:hyperlink>
        </w:p>
        <w:p>
          <w:pPr>
            <w:pStyle w:val="TOC1"/>
            <w:numPr>
              <w:ilvl w:val="0"/>
              <w:numId w:val="2"/>
            </w:numPr>
            <w:tabs>
              <w:tab w:pos="389" w:val="left" w:leader="none"/>
              <w:tab w:pos="8970" w:val="right" w:leader="dot"/>
            </w:tabs>
            <w:spacing w:line="240" w:lineRule="auto" w:before="139" w:after="0"/>
            <w:ind w:left="388" w:right="0" w:hanging="249"/>
            <w:jc w:val="left"/>
            <w:rPr>
              <w:rFonts w:ascii="Calibri" w:hAnsi="Calibri"/>
              <w:b w:val="0"/>
            </w:rPr>
          </w:pPr>
          <w:hyperlink w:history="true" w:anchor="_bookmark60">
            <w:r>
              <w:rPr/>
              <w:t>DISCUSIÓN</w:t>
            </w:r>
            <w:r>
              <w:rPr>
                <w:spacing w:val="-6"/>
              </w:rPr>
              <w:t> </w:t>
            </w:r>
            <w:r>
              <w:rPr/>
              <w:t>GENERAL</w:t>
            </w:r>
            <w:r>
              <w:rPr>
                <w:rFonts w:ascii="Calibri" w:hAnsi="Calibri"/>
                <w:b w:val="0"/>
              </w:rPr>
              <w:tab/>
              <w:t>69</w:t>
            </w:r>
          </w:hyperlink>
        </w:p>
        <w:p>
          <w:pPr>
            <w:pStyle w:val="TOC1"/>
            <w:numPr>
              <w:ilvl w:val="0"/>
              <w:numId w:val="2"/>
            </w:numPr>
            <w:tabs>
              <w:tab w:pos="509" w:val="left" w:leader="none"/>
              <w:tab w:pos="8970" w:val="right" w:leader="dot"/>
            </w:tabs>
            <w:spacing w:line="240" w:lineRule="auto" w:before="144" w:after="0"/>
            <w:ind w:left="508" w:right="0" w:hanging="369"/>
            <w:jc w:val="left"/>
            <w:rPr>
              <w:rFonts w:ascii="Calibri"/>
              <w:b w:val="0"/>
            </w:rPr>
          </w:pPr>
          <w:hyperlink w:history="true" w:anchor="_bookmark61">
            <w:r>
              <w:rPr/>
              <w:t>CONCLUSIONES</w:t>
            </w:r>
            <w:r>
              <w:rPr>
                <w:rFonts w:ascii="Calibri"/>
                <w:b w:val="0"/>
              </w:rPr>
              <w:tab/>
              <w:t>73</w:t>
            </w:r>
          </w:hyperlink>
        </w:p>
        <w:p>
          <w:pPr>
            <w:pStyle w:val="TOC2"/>
            <w:numPr>
              <w:ilvl w:val="0"/>
              <w:numId w:val="2"/>
            </w:numPr>
            <w:tabs>
              <w:tab w:pos="509" w:val="left" w:leader="none"/>
              <w:tab w:pos="8970" w:val="right" w:leader="dot"/>
            </w:tabs>
            <w:spacing w:line="240" w:lineRule="auto" w:before="140" w:after="0"/>
            <w:ind w:left="508" w:right="0" w:hanging="369"/>
            <w:jc w:val="left"/>
            <w:rPr>
              <w:rFonts w:ascii="Calibri"/>
              <w:b w:val="0"/>
              <w:i w:val="0"/>
              <w:sz w:val="22"/>
            </w:rPr>
          </w:pPr>
          <w:hyperlink w:history="true" w:anchor="_bookmark62">
            <w:r>
              <w:rPr>
                <w:i w:val="0"/>
                <w:sz w:val="22"/>
              </w:rPr>
              <w:t>REFERENCIAS</w:t>
            </w:r>
            <w:r>
              <w:rPr>
                <w:rFonts w:ascii="Calibri"/>
                <w:b w:val="0"/>
                <w:i w:val="0"/>
                <w:sz w:val="22"/>
              </w:rPr>
              <w:tab/>
              <w:t>74</w:t>
            </w:r>
          </w:hyperlink>
        </w:p>
      </w:sdtContent>
    </w:sdt>
    <w:p>
      <w:pPr>
        <w:spacing w:after="0" w:line="240" w:lineRule="auto"/>
        <w:jc w:val="left"/>
        <w:rPr>
          <w:rFonts w:ascii="Calibri"/>
          <w:sz w:val="22"/>
        </w:rPr>
        <w:sectPr>
          <w:type w:val="continuous"/>
          <w:pgSz w:w="12240" w:h="15840"/>
          <w:pgMar w:top="1009" w:bottom="1573" w:left="1560" w:right="1560"/>
        </w:sectPr>
      </w:pPr>
    </w:p>
    <w:p>
      <w:pPr>
        <w:pStyle w:val="Heading1"/>
        <w:spacing w:before="399"/>
        <w:jc w:val="left"/>
      </w:pPr>
      <w:bookmarkStart w:name="_bookmark2" w:id="3"/>
      <w:bookmarkEnd w:id="3"/>
      <w:r>
        <w:rPr>
          <w:b w:val="0"/>
        </w:rPr>
      </w:r>
      <w:r>
        <w:rPr>
          <w:color w:val="365F91"/>
        </w:rPr>
        <w:t>INDICE DE FIGURAS</w:t>
      </w:r>
    </w:p>
    <w:p>
      <w:pPr>
        <w:pStyle w:val="BodyText"/>
        <w:spacing w:before="41"/>
        <w:ind w:right="139"/>
        <w:jc w:val="right"/>
      </w:pPr>
      <w:r>
        <w:rPr/>
        <w:t>Páginas</w:t>
      </w:r>
    </w:p>
    <w:p>
      <w:pPr>
        <w:pStyle w:val="BodyText"/>
        <w:spacing w:before="1"/>
        <w:rPr>
          <w:sz w:val="21"/>
        </w:rPr>
      </w:pPr>
    </w:p>
    <w:p>
      <w:pPr>
        <w:pStyle w:val="BodyText"/>
        <w:tabs>
          <w:tab w:pos="8712" w:val="left" w:leader="dot"/>
        </w:tabs>
        <w:spacing w:line="276" w:lineRule="auto"/>
        <w:ind w:left="139" w:right="137"/>
        <w:jc w:val="both"/>
      </w:pPr>
      <w:r>
        <w:rPr>
          <w:b/>
        </w:rPr>
        <w:t>Figura 1: </w:t>
      </w:r>
      <w:r>
        <w:rPr/>
        <w:t>Imágenes de las primeras especies introducidas a México en la década de</w:t>
      </w:r>
      <w:r>
        <w:rPr>
          <w:spacing w:val="-3"/>
        </w:rPr>
        <w:t> </w:t>
      </w:r>
      <w:r>
        <w:rPr/>
        <w:t>los</w:t>
      </w:r>
      <w:r>
        <w:rPr>
          <w:spacing w:val="-4"/>
        </w:rPr>
        <w:t> </w:t>
      </w:r>
      <w:r>
        <w:rPr/>
        <w:t>70´s…</w:t>
      </w:r>
      <w:r>
        <w:rPr>
          <w:rFonts w:ascii="Times New Roman" w:hAnsi="Times New Roman"/>
        </w:rPr>
        <w:tab/>
      </w:r>
      <w:r>
        <w:rPr/>
        <w:t>10</w:t>
      </w:r>
    </w:p>
    <w:p>
      <w:pPr>
        <w:pStyle w:val="BodyText"/>
        <w:spacing w:line="280" w:lineRule="auto" w:before="202"/>
        <w:ind w:left="139" w:right="134"/>
        <w:jc w:val="both"/>
      </w:pPr>
      <w:r>
        <w:rPr>
          <w:b/>
        </w:rPr>
        <w:t>Figura 2: </w:t>
      </w:r>
      <w:r>
        <w:rPr/>
        <w:t>A y B. Francisellosis en Bacalao del Atlántico; A) nódulos blanquecinos en    bazo    (S),    B)    nódulos    blanquecinos    en    hígado    (L)    y    riñón   (K)</w:t>
      </w:r>
    </w:p>
    <w:p>
      <w:pPr>
        <w:pStyle w:val="BodyText"/>
        <w:spacing w:line="266" w:lineRule="exact"/>
        <w:ind w:left="139"/>
        <w:jc w:val="both"/>
      </w:pPr>
      <w:r>
        <w:rPr/>
        <w:t>…..…………………………………...…………………………………………………….18</w:t>
      </w:r>
    </w:p>
    <w:p>
      <w:pPr>
        <w:pStyle w:val="BodyText"/>
        <w:spacing w:before="1"/>
        <w:rPr>
          <w:sz w:val="21"/>
        </w:rPr>
      </w:pPr>
    </w:p>
    <w:p>
      <w:pPr>
        <w:pStyle w:val="BodyText"/>
        <w:tabs>
          <w:tab w:pos="8692" w:val="left" w:leader="dot"/>
        </w:tabs>
        <w:spacing w:line="276" w:lineRule="auto"/>
        <w:ind w:left="139" w:right="134"/>
        <w:jc w:val="both"/>
      </w:pPr>
      <w:r>
        <w:rPr>
          <w:b/>
        </w:rPr>
        <w:t>Figura 3: </w:t>
      </w:r>
      <w:r>
        <w:rPr/>
        <w:t>A, B Y C. A) Nódulos blanquecinos en branquias de tilapia, B) nódulos blanquecinos en bazo y branquias de tilapia, C) nódulos blanquecinos en riñón (K) y bazo (S)</w:t>
      </w:r>
      <w:r>
        <w:rPr>
          <w:spacing w:val="-5"/>
        </w:rPr>
        <w:t> </w:t>
      </w:r>
      <w:r>
        <w:rPr/>
        <w:t>ciclídos</w:t>
      </w:r>
      <w:r>
        <w:rPr>
          <w:spacing w:val="-2"/>
        </w:rPr>
        <w:t> </w:t>
      </w:r>
      <w:r>
        <w:rPr/>
        <w:t>ornamentales</w:t>
        <w:tab/>
        <w:t>19</w:t>
      </w:r>
    </w:p>
    <w:p>
      <w:pPr>
        <w:pStyle w:val="BodyText"/>
        <w:tabs>
          <w:tab w:pos="8706" w:val="left" w:leader="dot"/>
        </w:tabs>
        <w:spacing w:line="276" w:lineRule="auto" w:before="202"/>
        <w:ind w:left="139" w:right="134"/>
        <w:jc w:val="both"/>
      </w:pPr>
      <w:r>
        <w:rPr>
          <w:b/>
        </w:rPr>
        <w:t>Figura 4: </w:t>
      </w:r>
      <w:r>
        <w:rPr/>
        <w:t>A y B. A) Formación de múltiples granulomas en riñón anterior, B) típico granuloma en riñón anterior, con un núcleo necrótico rodeado por macrófagos, linfocitos y</w:t>
      </w:r>
      <w:r>
        <w:rPr>
          <w:spacing w:val="-6"/>
        </w:rPr>
        <w:t> </w:t>
      </w:r>
      <w:r>
        <w:rPr/>
        <w:t>células</w:t>
      </w:r>
      <w:r>
        <w:rPr>
          <w:spacing w:val="2"/>
        </w:rPr>
        <w:t> </w:t>
      </w:r>
      <w:r>
        <w:rPr/>
        <w:t>necróticas</w:t>
        <w:tab/>
        <w:t>20</w:t>
      </w:r>
    </w:p>
    <w:p>
      <w:pPr>
        <w:pStyle w:val="BodyText"/>
        <w:tabs>
          <w:tab w:pos="8716" w:val="left" w:leader="dot"/>
        </w:tabs>
        <w:spacing w:line="276" w:lineRule="auto" w:before="202"/>
        <w:ind w:left="139" w:right="132"/>
        <w:jc w:val="both"/>
      </w:pPr>
      <w:r>
        <w:rPr>
          <w:b/>
        </w:rPr>
        <w:t>Figura 5: </w:t>
      </w:r>
      <w:r>
        <w:rPr/>
        <w:t>A y B A) Formación de múltiples granulomas en bazo, B) Se observan múltiples microorganismos Gram negativos dentro del citoplasma de un fagocito</w:t>
      </w:r>
      <w:r>
        <w:rPr>
          <w:spacing w:val="-34"/>
        </w:rPr>
        <w:t> </w:t>
      </w:r>
      <w:r>
        <w:rPr>
          <w:spacing w:val="-4"/>
        </w:rPr>
        <w:t>en </w:t>
      </w:r>
      <w:r>
        <w:rPr/>
        <w:t>el</w:t>
      </w:r>
      <w:r>
        <w:rPr>
          <w:spacing w:val="-12"/>
        </w:rPr>
        <w:t> </w:t>
      </w:r>
      <w:r>
        <w:rPr/>
        <w:t>frotis</w:t>
      </w:r>
      <w:r>
        <w:rPr>
          <w:spacing w:val="-15"/>
        </w:rPr>
        <w:t> </w:t>
      </w:r>
      <w:r>
        <w:rPr/>
        <w:t>hecho</w:t>
      </w:r>
      <w:r>
        <w:rPr>
          <w:spacing w:val="-16"/>
        </w:rPr>
        <w:t> </w:t>
      </w:r>
      <w:r>
        <w:rPr/>
        <w:t>de</w:t>
      </w:r>
      <w:r>
        <w:rPr>
          <w:spacing w:val="-16"/>
        </w:rPr>
        <w:t> </w:t>
      </w:r>
      <w:r>
        <w:rPr/>
        <w:t>riñón</w:t>
      </w:r>
      <w:r>
        <w:rPr>
          <w:spacing w:val="-16"/>
        </w:rPr>
        <w:t> </w:t>
      </w:r>
      <w:r>
        <w:rPr/>
        <w:t>tinción</w:t>
      </w:r>
      <w:r>
        <w:rPr>
          <w:spacing w:val="-16"/>
        </w:rPr>
        <w:t> </w:t>
      </w:r>
      <w:r>
        <w:rPr/>
        <w:t>de</w:t>
      </w:r>
      <w:r>
        <w:rPr>
          <w:spacing w:val="-16"/>
        </w:rPr>
        <w:t> </w:t>
      </w:r>
      <w:r>
        <w:rPr/>
        <w:t>Gram</w:t>
        <w:tab/>
        <w:t>20</w:t>
      </w:r>
    </w:p>
    <w:p>
      <w:pPr>
        <w:pStyle w:val="BodyText"/>
        <w:tabs>
          <w:tab w:pos="8716" w:val="left" w:leader="dot"/>
        </w:tabs>
        <w:spacing w:line="276" w:lineRule="auto" w:before="202"/>
        <w:ind w:left="139" w:right="132"/>
        <w:jc w:val="both"/>
      </w:pPr>
      <w:r>
        <w:rPr>
          <w:b/>
        </w:rPr>
        <w:t>Figura</w:t>
      </w:r>
      <w:r>
        <w:rPr>
          <w:b/>
          <w:spacing w:val="-17"/>
        </w:rPr>
        <w:t> </w:t>
      </w:r>
      <w:r>
        <w:rPr>
          <w:b/>
        </w:rPr>
        <w:t>6:</w:t>
      </w:r>
      <w:r>
        <w:rPr>
          <w:b/>
          <w:spacing w:val="-15"/>
        </w:rPr>
        <w:t> </w:t>
      </w:r>
      <w:r>
        <w:rPr/>
        <w:t>Láminas</w:t>
      </w:r>
      <w:r>
        <w:rPr>
          <w:spacing w:val="-17"/>
        </w:rPr>
        <w:t> </w:t>
      </w:r>
      <w:r>
        <w:rPr/>
        <w:t>primarias</w:t>
      </w:r>
      <w:r>
        <w:rPr>
          <w:spacing w:val="-17"/>
        </w:rPr>
        <w:t> </w:t>
      </w:r>
      <w:r>
        <w:rPr/>
        <w:t>y</w:t>
      </w:r>
      <w:r>
        <w:rPr>
          <w:spacing w:val="-17"/>
        </w:rPr>
        <w:t> </w:t>
      </w:r>
      <w:r>
        <w:rPr/>
        <w:t>secundarias</w:t>
      </w:r>
      <w:r>
        <w:rPr>
          <w:spacing w:val="-17"/>
        </w:rPr>
        <w:t> </w:t>
      </w:r>
      <w:r>
        <w:rPr/>
        <w:t>de</w:t>
      </w:r>
      <w:r>
        <w:rPr>
          <w:spacing w:val="-21"/>
        </w:rPr>
        <w:t> </w:t>
      </w:r>
      <w:r>
        <w:rPr/>
        <w:t>branquia</w:t>
      </w:r>
      <w:r>
        <w:rPr>
          <w:spacing w:val="-21"/>
        </w:rPr>
        <w:t> </w:t>
      </w:r>
      <w:r>
        <w:rPr/>
        <w:t>de</w:t>
      </w:r>
      <w:r>
        <w:rPr>
          <w:spacing w:val="-17"/>
        </w:rPr>
        <w:t> </w:t>
      </w:r>
      <w:r>
        <w:rPr/>
        <w:t>tilapia</w:t>
      </w:r>
      <w:r>
        <w:rPr>
          <w:spacing w:val="-17"/>
        </w:rPr>
        <w:t> </w:t>
      </w:r>
      <w:r>
        <w:rPr/>
        <w:t>con</w:t>
      </w:r>
      <w:r>
        <w:rPr>
          <w:spacing w:val="-21"/>
        </w:rPr>
        <w:t> </w:t>
      </w:r>
      <w:r>
        <w:rPr/>
        <w:t>signos</w:t>
      </w:r>
      <w:r>
        <w:rPr>
          <w:spacing w:val="-17"/>
        </w:rPr>
        <w:t> </w:t>
      </w:r>
      <w:r>
        <w:rPr/>
        <w:t>agudos de francisellosis, se puede notar la hiperplasia y consolidación grave de las laminillas</w:t>
      </w:r>
      <w:r>
        <w:rPr>
          <w:spacing w:val="-7"/>
        </w:rPr>
        <w:t> </w:t>
      </w:r>
      <w:r>
        <w:rPr/>
        <w:t>secundarias.</w:t>
        <w:tab/>
        <w:t>21</w:t>
      </w:r>
    </w:p>
    <w:p>
      <w:pPr>
        <w:pStyle w:val="BodyText"/>
        <w:tabs>
          <w:tab w:pos="8700" w:val="left" w:leader="dot"/>
        </w:tabs>
        <w:spacing w:line="276" w:lineRule="auto" w:before="202"/>
        <w:ind w:left="139" w:right="135"/>
        <w:jc w:val="both"/>
      </w:pPr>
      <w:r>
        <w:rPr>
          <w:b/>
        </w:rPr>
        <w:t>Figura 7: </w:t>
      </w:r>
      <w:r>
        <w:rPr/>
        <w:t>a) Aislamiento de Francisella noatunensis en medio de cultivo Cysteine Heart agar + 5%</w:t>
      </w:r>
      <w:r>
        <w:rPr>
          <w:spacing w:val="-6"/>
        </w:rPr>
        <w:t> </w:t>
      </w:r>
      <w:r>
        <w:rPr/>
        <w:t>ovine</w:t>
      </w:r>
      <w:r>
        <w:rPr>
          <w:spacing w:val="-1"/>
        </w:rPr>
        <w:t> </w:t>
      </w:r>
      <w:r>
        <w:rPr/>
        <w:t>blood</w:t>
      </w:r>
      <w:r>
        <w:rPr>
          <w:rFonts w:ascii="Times New Roman"/>
        </w:rPr>
        <w:tab/>
      </w:r>
      <w:r>
        <w:rPr/>
        <w:t>26</w:t>
      </w:r>
    </w:p>
    <w:p>
      <w:pPr>
        <w:pStyle w:val="BodyText"/>
        <w:tabs>
          <w:tab w:pos="8662" w:val="left" w:leader="dot"/>
        </w:tabs>
        <w:spacing w:line="276" w:lineRule="auto" w:before="202"/>
        <w:ind w:left="139" w:right="136"/>
        <w:jc w:val="both"/>
      </w:pPr>
      <w:r>
        <w:rPr>
          <w:b/>
        </w:rPr>
        <w:t>Figura</w:t>
      </w:r>
      <w:r>
        <w:rPr>
          <w:b/>
          <w:spacing w:val="-11"/>
        </w:rPr>
        <w:t> </w:t>
      </w:r>
      <w:r>
        <w:rPr>
          <w:b/>
        </w:rPr>
        <w:t>8:</w:t>
      </w:r>
      <w:r>
        <w:rPr>
          <w:b/>
          <w:spacing w:val="-15"/>
        </w:rPr>
        <w:t> </w:t>
      </w:r>
      <w:r>
        <w:rPr/>
        <w:t>Producto</w:t>
      </w:r>
      <w:r>
        <w:rPr>
          <w:spacing w:val="-15"/>
        </w:rPr>
        <w:t> </w:t>
      </w:r>
      <w:r>
        <w:rPr/>
        <w:t>de</w:t>
      </w:r>
      <w:r>
        <w:rPr>
          <w:spacing w:val="-15"/>
        </w:rPr>
        <w:t> </w:t>
      </w:r>
      <w:r>
        <w:rPr/>
        <w:t>PCR</w:t>
      </w:r>
      <w:r>
        <w:rPr>
          <w:spacing w:val="-13"/>
        </w:rPr>
        <w:t> </w:t>
      </w:r>
      <w:r>
        <w:rPr/>
        <w:t>utilizando</w:t>
      </w:r>
      <w:r>
        <w:rPr>
          <w:spacing w:val="-19"/>
        </w:rPr>
        <w:t> </w:t>
      </w:r>
      <w:r>
        <w:rPr/>
        <w:t>los</w:t>
      </w:r>
      <w:r>
        <w:rPr>
          <w:spacing w:val="-16"/>
        </w:rPr>
        <w:t> </w:t>
      </w:r>
      <w:r>
        <w:rPr/>
        <w:t>iniciadores</w:t>
      </w:r>
      <w:r>
        <w:rPr>
          <w:spacing w:val="-11"/>
        </w:rPr>
        <w:t> </w:t>
      </w:r>
      <w:r>
        <w:rPr/>
        <w:t>F5</w:t>
      </w:r>
      <w:r>
        <w:rPr>
          <w:spacing w:val="-15"/>
        </w:rPr>
        <w:t> </w:t>
      </w:r>
      <w:r>
        <w:rPr/>
        <w:t>y</w:t>
      </w:r>
      <w:r>
        <w:rPr>
          <w:spacing w:val="-12"/>
        </w:rPr>
        <w:t> </w:t>
      </w:r>
      <w:r>
        <w:rPr/>
        <w:t>F11</w:t>
      </w:r>
      <w:r>
        <w:rPr>
          <w:spacing w:val="-10"/>
        </w:rPr>
        <w:t> </w:t>
      </w:r>
      <w:r>
        <w:rPr/>
        <w:t>para</w:t>
      </w:r>
      <w:r>
        <w:rPr>
          <w:spacing w:val="-15"/>
        </w:rPr>
        <w:t> </w:t>
      </w:r>
      <w:r>
        <w:rPr/>
        <w:t>amplificar</w:t>
      </w:r>
      <w:r>
        <w:rPr>
          <w:spacing w:val="-10"/>
        </w:rPr>
        <w:t> </w:t>
      </w:r>
      <w:r>
        <w:rPr/>
        <w:t>el</w:t>
      </w:r>
      <w:r>
        <w:rPr>
          <w:spacing w:val="-12"/>
        </w:rPr>
        <w:t> </w:t>
      </w:r>
      <w:r>
        <w:rPr/>
        <w:t>gen 16s  de  </w:t>
      </w:r>
      <w:r>
        <w:rPr>
          <w:i/>
        </w:rPr>
        <w:t>Francisella  </w:t>
      </w:r>
      <w:r>
        <w:rPr/>
        <w:t>sp.  en  gel  de  agarosa   y   teñido   con   bromuro   de   etidio</w:t>
      </w:r>
      <w:r>
        <w:rPr>
          <w:rFonts w:ascii="Times New Roman" w:hAnsi="Times New Roman"/>
        </w:rPr>
        <w:tab/>
      </w:r>
      <w:r>
        <w:rPr/>
        <w:t>28</w:t>
      </w:r>
    </w:p>
    <w:p>
      <w:pPr>
        <w:pStyle w:val="BodyText"/>
        <w:spacing w:line="276" w:lineRule="auto" w:before="203"/>
        <w:ind w:left="139" w:right="134"/>
        <w:jc w:val="both"/>
      </w:pPr>
      <w:r>
        <w:rPr>
          <w:b/>
        </w:rPr>
        <w:t>Figura 9: </w:t>
      </w:r>
      <w:r>
        <w:rPr/>
        <w:t>A, B, C y D. Formación nodular ocupando </w:t>
      </w:r>
      <w:r>
        <w:rPr>
          <w:spacing w:val="-3"/>
        </w:rPr>
        <w:t>más </w:t>
      </w:r>
      <w:r>
        <w:rPr/>
        <w:t>del 50% del bazo (b), hígado</w:t>
      </w:r>
      <w:r>
        <w:rPr>
          <w:spacing w:val="-17"/>
        </w:rPr>
        <w:t> </w:t>
      </w:r>
      <w:r>
        <w:rPr/>
        <w:t>(h)</w:t>
      </w:r>
      <w:r>
        <w:rPr>
          <w:spacing w:val="-16"/>
        </w:rPr>
        <w:t> </w:t>
      </w:r>
      <w:r>
        <w:rPr/>
        <w:t>con</w:t>
      </w:r>
      <w:r>
        <w:rPr>
          <w:spacing w:val="-21"/>
        </w:rPr>
        <w:t> </w:t>
      </w:r>
      <w:r>
        <w:rPr/>
        <w:t>diferentes</w:t>
      </w:r>
      <w:r>
        <w:rPr>
          <w:spacing w:val="-17"/>
        </w:rPr>
        <w:t> </w:t>
      </w:r>
      <w:r>
        <w:rPr/>
        <w:t>coloraciones</w:t>
      </w:r>
      <w:r>
        <w:rPr>
          <w:spacing w:val="-22"/>
        </w:rPr>
        <w:t> </w:t>
      </w:r>
      <w:r>
        <w:rPr/>
        <w:t>(moteado)</w:t>
      </w:r>
      <w:r>
        <w:rPr>
          <w:spacing w:val="-16"/>
        </w:rPr>
        <w:t> </w:t>
      </w:r>
      <w:r>
        <w:rPr/>
        <w:t>y</w:t>
      </w:r>
      <w:r>
        <w:rPr>
          <w:spacing w:val="-9"/>
        </w:rPr>
        <w:t> </w:t>
      </w:r>
      <w:r>
        <w:rPr/>
        <w:t>aumentado</w:t>
      </w:r>
      <w:r>
        <w:rPr>
          <w:spacing w:val="-17"/>
        </w:rPr>
        <w:t> </w:t>
      </w:r>
      <w:r>
        <w:rPr/>
        <w:t>de</w:t>
      </w:r>
      <w:r>
        <w:rPr>
          <w:spacing w:val="-17"/>
        </w:rPr>
        <w:t> </w:t>
      </w:r>
      <w:r>
        <w:rPr/>
        <w:t>tamaño</w:t>
      </w:r>
      <w:r>
        <w:rPr>
          <w:spacing w:val="-17"/>
        </w:rPr>
        <w:t> </w:t>
      </w:r>
      <w:r>
        <w:rPr/>
        <w:t>en</w:t>
      </w:r>
      <w:r>
        <w:rPr>
          <w:spacing w:val="-17"/>
        </w:rPr>
        <w:t> </w:t>
      </w:r>
      <w:r>
        <w:rPr/>
        <w:t>tilapia; B</w:t>
      </w:r>
      <w:r>
        <w:rPr>
          <w:spacing w:val="-13"/>
        </w:rPr>
        <w:t> </w:t>
      </w:r>
      <w:r>
        <w:rPr/>
        <w:t>y</w:t>
      </w:r>
      <w:r>
        <w:rPr>
          <w:spacing w:val="-12"/>
        </w:rPr>
        <w:t> </w:t>
      </w:r>
      <w:r>
        <w:rPr/>
        <w:t>C</w:t>
      </w:r>
      <w:r>
        <w:rPr>
          <w:spacing w:val="-7"/>
        </w:rPr>
        <w:t> </w:t>
      </w:r>
      <w:r>
        <w:rPr/>
        <w:t>Múltiples</w:t>
      </w:r>
      <w:r>
        <w:rPr>
          <w:spacing w:val="-12"/>
        </w:rPr>
        <w:t> </w:t>
      </w:r>
      <w:r>
        <w:rPr/>
        <w:t>formaciones</w:t>
      </w:r>
      <w:r>
        <w:rPr>
          <w:spacing w:val="-12"/>
        </w:rPr>
        <w:t> </w:t>
      </w:r>
      <w:r>
        <w:rPr/>
        <w:t>nodulares</w:t>
      </w:r>
      <w:r>
        <w:rPr>
          <w:spacing w:val="-12"/>
        </w:rPr>
        <w:t> </w:t>
      </w:r>
      <w:r>
        <w:rPr>
          <w:spacing w:val="3"/>
        </w:rPr>
        <w:t>de</w:t>
      </w:r>
      <w:r>
        <w:rPr>
          <w:spacing w:val="-11"/>
        </w:rPr>
        <w:t> </w:t>
      </w:r>
      <w:r>
        <w:rPr/>
        <w:t>diferente</w:t>
      </w:r>
      <w:r>
        <w:rPr>
          <w:spacing w:val="-10"/>
        </w:rPr>
        <w:t> </w:t>
      </w:r>
      <w:r>
        <w:rPr/>
        <w:t>tamaño</w:t>
      </w:r>
      <w:r>
        <w:rPr>
          <w:spacing w:val="-11"/>
        </w:rPr>
        <w:t> </w:t>
      </w:r>
      <w:r>
        <w:rPr/>
        <w:t>en</w:t>
      </w:r>
      <w:r>
        <w:rPr>
          <w:spacing w:val="-11"/>
        </w:rPr>
        <w:t> </w:t>
      </w:r>
      <w:r>
        <w:rPr/>
        <w:t>riñón</w:t>
      </w:r>
      <w:r>
        <w:rPr>
          <w:spacing w:val="-11"/>
        </w:rPr>
        <w:t> </w:t>
      </w:r>
      <w:r>
        <w:rPr/>
        <w:t>(r);</w:t>
      </w:r>
      <w:r>
        <w:rPr>
          <w:spacing w:val="-5"/>
        </w:rPr>
        <w:t> </w:t>
      </w:r>
      <w:r>
        <w:rPr/>
        <w:t>D)</w:t>
      </w:r>
      <w:r>
        <w:rPr>
          <w:spacing w:val="-11"/>
        </w:rPr>
        <w:t> </w:t>
      </w:r>
      <w:r>
        <w:rPr/>
        <w:t>Múltiples formaciones   nodulares   de   diferentes   tamaños   en   bazo   (b)   de       </w:t>
      </w:r>
      <w:r>
        <w:rPr>
          <w:spacing w:val="39"/>
        </w:rPr>
        <w:t> </w:t>
      </w:r>
      <w:r>
        <w:rPr/>
        <w:t>tilapia.</w:t>
      </w:r>
    </w:p>
    <w:p>
      <w:pPr>
        <w:pStyle w:val="BodyText"/>
        <w:ind w:left="139"/>
        <w:jc w:val="both"/>
      </w:pPr>
      <w:r>
        <w:rPr/>
        <w:t>…………………………………………………………………………………………......62</w:t>
      </w:r>
    </w:p>
    <w:p>
      <w:pPr>
        <w:pStyle w:val="BodyText"/>
        <w:spacing w:before="8"/>
        <w:rPr>
          <w:sz w:val="20"/>
        </w:rPr>
      </w:pPr>
    </w:p>
    <w:p>
      <w:pPr>
        <w:pStyle w:val="BodyText"/>
        <w:tabs>
          <w:tab w:pos="8689" w:val="left" w:leader="dot"/>
        </w:tabs>
        <w:spacing w:line="276" w:lineRule="auto"/>
        <w:ind w:left="139" w:right="140"/>
        <w:jc w:val="both"/>
      </w:pPr>
      <w:r>
        <w:rPr>
          <w:b/>
        </w:rPr>
        <w:t>Figura 10:  </w:t>
      </w:r>
      <w:r>
        <w:rPr/>
        <w:t>Muestras  con  distintos  cambios  morfológicos  en  diferentes  órganos</w:t>
      </w:r>
      <w:r>
        <w:rPr>
          <w:rFonts w:ascii="Times New Roman" w:hAnsi="Times New Roman"/>
        </w:rPr>
        <w:tab/>
      </w:r>
      <w:r>
        <w:rPr/>
        <w:t>62</w:t>
      </w:r>
    </w:p>
    <w:p>
      <w:pPr>
        <w:pStyle w:val="BodyText"/>
        <w:tabs>
          <w:tab w:pos="8716" w:val="left" w:leader="dot"/>
        </w:tabs>
        <w:spacing w:line="276" w:lineRule="auto" w:before="202"/>
        <w:ind w:left="139" w:right="132"/>
        <w:jc w:val="both"/>
      </w:pPr>
      <w:r>
        <w:rPr>
          <w:b/>
        </w:rPr>
        <w:t>Figura 11: </w:t>
      </w:r>
      <w:r>
        <w:rPr/>
        <w:t>Múltiples granulomas en bazo de tilapia (</w:t>
      </w:r>
      <w:r>
        <w:rPr>
          <w:i/>
        </w:rPr>
        <w:t>Oreochromis </w:t>
      </w:r>
      <w:r>
        <w:rPr/>
        <w:t>sp.) asociado a francisellosis tinción</w:t>
      </w:r>
      <w:r>
        <w:rPr>
          <w:spacing w:val="-16"/>
        </w:rPr>
        <w:t> </w:t>
      </w:r>
      <w:r>
        <w:rPr/>
        <w:t>Gram</w:t>
      </w:r>
      <w:r>
        <w:rPr>
          <w:spacing w:val="-16"/>
        </w:rPr>
        <w:t> </w:t>
      </w:r>
      <w:r>
        <w:rPr/>
        <w:t>100x.</w:t>
        <w:tab/>
        <w:t>64</w:t>
      </w:r>
    </w:p>
    <w:p>
      <w:pPr>
        <w:spacing w:after="0" w:line="276" w:lineRule="auto"/>
        <w:jc w:val="both"/>
        <w:sectPr>
          <w:pgSz w:w="12240" w:h="15840"/>
          <w:pgMar w:header="752" w:footer="998" w:top="1000" w:bottom="1180" w:left="1560" w:right="1560"/>
        </w:sectPr>
      </w:pPr>
    </w:p>
    <w:p>
      <w:pPr>
        <w:pStyle w:val="BodyText"/>
        <w:spacing w:before="7"/>
        <w:rPr>
          <w:sz w:val="28"/>
        </w:rPr>
      </w:pPr>
    </w:p>
    <w:p>
      <w:pPr>
        <w:pStyle w:val="BodyText"/>
        <w:tabs>
          <w:tab w:pos="8961" w:val="right" w:leader="dot"/>
        </w:tabs>
        <w:spacing w:line="276" w:lineRule="auto" w:before="70"/>
        <w:ind w:left="139" w:right="136"/>
        <w:jc w:val="both"/>
      </w:pPr>
      <w:r>
        <w:rPr>
          <w:b/>
        </w:rPr>
        <w:t>Figura 12: </w:t>
      </w:r>
      <w:r>
        <w:rPr/>
        <w:t>Figura 12 A y B: A) Formación de multiples granulomas (G) en Hígado H&amp;E 100x. B) Granuloma de gran tamaño, en su interior se puede observar la presencia    de    una    extensa    área    </w:t>
      </w:r>
      <w:r>
        <w:rPr>
          <w:spacing w:val="4"/>
        </w:rPr>
        <w:t>de    </w:t>
      </w:r>
      <w:r>
        <w:rPr/>
        <w:t>necrosis    tinción     de     H&amp;E   400x</w:t>
        <w:tab/>
        <w:t>65</w:t>
      </w:r>
    </w:p>
    <w:p>
      <w:pPr>
        <w:pStyle w:val="BodyText"/>
        <w:tabs>
          <w:tab w:pos="8946" w:val="right" w:leader="dot"/>
        </w:tabs>
        <w:spacing w:line="276" w:lineRule="auto" w:before="197"/>
        <w:ind w:left="139" w:right="135"/>
        <w:jc w:val="both"/>
      </w:pPr>
      <w:r>
        <w:rPr>
          <w:b/>
        </w:rPr>
        <w:t>Figura 13: </w:t>
      </w:r>
      <w:r>
        <w:rPr/>
        <w:t>Detección de </w:t>
      </w:r>
      <w:r>
        <w:rPr>
          <w:i/>
        </w:rPr>
        <w:t>Francisella </w:t>
      </w:r>
      <w:r>
        <w:rPr/>
        <w:t>sp. de tejidos de tilapia por PCR Punto Final, utilizando los iniciadores F5 y F11 para amplificar el gen 16s, producto final de 1131pb; M: marcador, C+: control positivo, </w:t>
      </w:r>
      <w:r>
        <w:rPr>
          <w:spacing w:val="3"/>
        </w:rPr>
        <w:t>C-: </w:t>
      </w:r>
      <w:r>
        <w:rPr/>
        <w:t>control negativo, 1-10: muestras analizadas en gel de agarosa</w:t>
      </w:r>
      <w:r>
        <w:rPr>
          <w:spacing w:val="-4"/>
        </w:rPr>
        <w:t> </w:t>
      </w:r>
      <w:r>
        <w:rPr/>
        <w:t>al</w:t>
      </w:r>
      <w:r>
        <w:rPr>
          <w:spacing w:val="3"/>
        </w:rPr>
        <w:t> </w:t>
      </w:r>
      <w:r>
        <w:rPr/>
        <w:t>1.5%.</w:t>
        <w:tab/>
        <w:t>66</w:t>
      </w:r>
    </w:p>
    <w:p>
      <w:pPr>
        <w:pStyle w:val="BodyText"/>
        <w:tabs>
          <w:tab w:pos="8932" w:val="right" w:leader="dot"/>
        </w:tabs>
        <w:spacing w:line="276" w:lineRule="auto" w:before="198"/>
        <w:ind w:left="139" w:right="133"/>
        <w:jc w:val="both"/>
      </w:pPr>
      <w:r>
        <w:rPr>
          <w:b/>
        </w:rPr>
        <w:t>Figura 14: </w:t>
      </w:r>
      <w:r>
        <w:rPr/>
        <w:t>Detección de </w:t>
      </w:r>
      <w:r>
        <w:rPr>
          <w:i/>
        </w:rPr>
        <w:t>Francisella noatunensis </w:t>
      </w:r>
      <w:r>
        <w:rPr/>
        <w:t>subsp. </w:t>
      </w:r>
      <w:r>
        <w:rPr>
          <w:i/>
        </w:rPr>
        <w:t>orientalis</w:t>
      </w:r>
      <w:r>
        <w:rPr/>
        <w:t>, utilizando los iniciadores iglCR e iglCF, para amplificar el gen iglC ((intracellular growth locus C), especifico de la subespecie que afecta a tilapia; M: marcador, C-: control negativo, C+: control positivo, 1-10: muestras analizadas en gel de agarosa</w:t>
      </w:r>
      <w:r>
        <w:rPr>
          <w:spacing w:val="-8"/>
        </w:rPr>
        <w:t> </w:t>
      </w:r>
      <w:r>
        <w:rPr/>
        <w:t>al</w:t>
      </w:r>
      <w:r>
        <w:rPr>
          <w:spacing w:val="2"/>
        </w:rPr>
        <w:t> </w:t>
      </w:r>
      <w:r>
        <w:rPr/>
        <w:t>3%</w:t>
        <w:tab/>
        <w:t>67</w:t>
      </w:r>
    </w:p>
    <w:p>
      <w:pPr>
        <w:pStyle w:val="BodyText"/>
        <w:tabs>
          <w:tab w:pos="8946" w:val="right" w:leader="dot"/>
        </w:tabs>
        <w:spacing w:line="276" w:lineRule="auto" w:before="203"/>
        <w:ind w:left="139" w:right="143"/>
        <w:jc w:val="both"/>
      </w:pPr>
      <w:r>
        <w:rPr>
          <w:b/>
        </w:rPr>
        <w:t>Figura</w:t>
      </w:r>
      <w:r>
        <w:rPr>
          <w:b/>
          <w:spacing w:val="-17"/>
        </w:rPr>
        <w:t> </w:t>
      </w:r>
      <w:r>
        <w:rPr>
          <w:b/>
        </w:rPr>
        <w:t>15:</w:t>
      </w:r>
      <w:r>
        <w:rPr>
          <w:b/>
          <w:spacing w:val="-14"/>
        </w:rPr>
        <w:t> </w:t>
      </w:r>
      <w:r>
        <w:rPr/>
        <w:t>A</w:t>
      </w:r>
      <w:r>
        <w:rPr>
          <w:spacing w:val="-19"/>
        </w:rPr>
        <w:t> </w:t>
      </w:r>
      <w:r>
        <w:rPr/>
        <w:t>)</w:t>
      </w:r>
      <w:r>
        <w:rPr>
          <w:spacing w:val="-16"/>
        </w:rPr>
        <w:t> </w:t>
      </w:r>
      <w:r>
        <w:rPr/>
        <w:t>Cuadro</w:t>
      </w:r>
      <w:r>
        <w:rPr>
          <w:spacing w:val="-17"/>
        </w:rPr>
        <w:t> </w:t>
      </w:r>
      <w:r>
        <w:rPr/>
        <w:t>de</w:t>
      </w:r>
      <w:r>
        <w:rPr>
          <w:spacing w:val="-17"/>
        </w:rPr>
        <w:t> </w:t>
      </w:r>
      <w:r>
        <w:rPr/>
        <w:t>contingencia</w:t>
      </w:r>
      <w:r>
        <w:rPr>
          <w:spacing w:val="-17"/>
        </w:rPr>
        <w:t> </w:t>
      </w:r>
      <w:r>
        <w:rPr/>
        <w:t>para</w:t>
      </w:r>
      <w:r>
        <w:rPr>
          <w:spacing w:val="-17"/>
        </w:rPr>
        <w:t> </w:t>
      </w:r>
      <w:r>
        <w:rPr/>
        <w:t>comparar</w:t>
      </w:r>
      <w:r>
        <w:rPr>
          <w:spacing w:val="-16"/>
        </w:rPr>
        <w:t> </w:t>
      </w:r>
      <w:r>
        <w:rPr/>
        <w:t>la</w:t>
      </w:r>
      <w:r>
        <w:rPr>
          <w:spacing w:val="-17"/>
        </w:rPr>
        <w:t> </w:t>
      </w:r>
      <w:r>
        <w:rPr/>
        <w:t>sensibilidad</w:t>
      </w:r>
      <w:r>
        <w:rPr>
          <w:spacing w:val="-17"/>
        </w:rPr>
        <w:t> </w:t>
      </w:r>
      <w:r>
        <w:rPr/>
        <w:t>del</w:t>
      </w:r>
      <w:r>
        <w:rPr>
          <w:spacing w:val="-13"/>
        </w:rPr>
        <w:t> </w:t>
      </w:r>
      <w:r>
        <w:rPr/>
        <w:t>diagnóstico clínico macroscópico con la técnica de PCR Anidada; B) Cuadro de contingencia para</w:t>
      </w:r>
      <w:r>
        <w:rPr>
          <w:spacing w:val="-7"/>
        </w:rPr>
        <w:t> </w:t>
      </w:r>
      <w:r>
        <w:rPr/>
        <w:t>comparar</w:t>
      </w:r>
      <w:r>
        <w:rPr>
          <w:spacing w:val="-10"/>
        </w:rPr>
        <w:t> </w:t>
      </w:r>
      <w:r>
        <w:rPr/>
        <w:t>la</w:t>
      </w:r>
      <w:r>
        <w:rPr>
          <w:spacing w:val="-7"/>
        </w:rPr>
        <w:t> </w:t>
      </w:r>
      <w:r>
        <w:rPr/>
        <w:t>sensibilidad</w:t>
      </w:r>
      <w:r>
        <w:rPr>
          <w:spacing w:val="-11"/>
        </w:rPr>
        <w:t> </w:t>
      </w:r>
      <w:r>
        <w:rPr/>
        <w:t>del</w:t>
      </w:r>
      <w:r>
        <w:rPr>
          <w:spacing w:val="-8"/>
        </w:rPr>
        <w:t> </w:t>
      </w:r>
      <w:r>
        <w:rPr/>
        <w:t>diagnóstico</w:t>
      </w:r>
      <w:r>
        <w:rPr>
          <w:spacing w:val="-11"/>
        </w:rPr>
        <w:t> </w:t>
      </w:r>
      <w:r>
        <w:rPr/>
        <w:t>histopatológico</w:t>
      </w:r>
      <w:r>
        <w:rPr>
          <w:spacing w:val="-11"/>
        </w:rPr>
        <w:t> </w:t>
      </w:r>
      <w:r>
        <w:rPr/>
        <w:t>con</w:t>
      </w:r>
      <w:r>
        <w:rPr>
          <w:spacing w:val="-15"/>
        </w:rPr>
        <w:t> </w:t>
      </w:r>
      <w:r>
        <w:rPr/>
        <w:t>la</w:t>
      </w:r>
      <w:r>
        <w:rPr>
          <w:spacing w:val="-11"/>
        </w:rPr>
        <w:t> </w:t>
      </w:r>
      <w:r>
        <w:rPr/>
        <w:t>técnica</w:t>
      </w:r>
      <w:r>
        <w:rPr>
          <w:spacing w:val="-11"/>
        </w:rPr>
        <w:t> </w:t>
      </w:r>
      <w:r>
        <w:rPr/>
        <w:t>de</w:t>
      </w:r>
      <w:r>
        <w:rPr>
          <w:spacing w:val="-11"/>
        </w:rPr>
        <w:t> </w:t>
      </w:r>
      <w:r>
        <w:rPr/>
        <w:t>PCR Anidada; C) Cuadro de contingencia para comparar la sensibilidad del diagnóstico clínico macroscópico con la técnica de PCR Anidada; los números representan las muestras positivas (+) y negativas </w:t>
      </w:r>
      <w:r>
        <w:rPr>
          <w:spacing w:val="3"/>
        </w:rPr>
        <w:t>(-) </w:t>
      </w:r>
      <w:r>
        <w:rPr/>
        <w:t>por cada una de las diferentes pruebas de diagnóstico</w:t>
        <w:tab/>
        <w:t>69</w:t>
      </w:r>
    </w:p>
    <w:p>
      <w:pPr>
        <w:spacing w:after="0" w:line="276" w:lineRule="auto"/>
        <w:jc w:val="both"/>
        <w:sectPr>
          <w:pgSz w:w="12240" w:h="15840"/>
          <w:pgMar w:header="752" w:footer="998" w:top="1000" w:bottom="1180" w:left="1560" w:right="1560"/>
        </w:sectPr>
      </w:pPr>
    </w:p>
    <w:p>
      <w:pPr>
        <w:pStyle w:val="Heading1"/>
        <w:spacing w:before="399"/>
        <w:jc w:val="left"/>
      </w:pPr>
      <w:bookmarkStart w:name="_bookmark3" w:id="4"/>
      <w:bookmarkEnd w:id="4"/>
      <w:r>
        <w:rPr>
          <w:b w:val="0"/>
        </w:rPr>
      </w:r>
      <w:r>
        <w:rPr>
          <w:color w:val="365F91"/>
        </w:rPr>
        <w:t>ÍNDICE DE TABLAS</w:t>
      </w:r>
    </w:p>
    <w:p>
      <w:pPr>
        <w:pStyle w:val="BodyText"/>
        <w:spacing w:before="41"/>
        <w:ind w:right="134"/>
        <w:jc w:val="right"/>
      </w:pPr>
      <w:r>
        <w:rPr/>
        <w:t>Páginas</w:t>
      </w:r>
    </w:p>
    <w:p>
      <w:pPr>
        <w:pStyle w:val="BodyText"/>
        <w:spacing w:before="7"/>
        <w:rPr>
          <w:sz w:val="20"/>
        </w:rPr>
      </w:pPr>
    </w:p>
    <w:p>
      <w:pPr>
        <w:tabs>
          <w:tab w:pos="8711" w:val="left" w:leader="dot"/>
        </w:tabs>
        <w:spacing w:before="0"/>
        <w:ind w:left="139" w:right="0" w:firstLine="0"/>
        <w:jc w:val="left"/>
        <w:rPr>
          <w:sz w:val="24"/>
        </w:rPr>
      </w:pPr>
      <w:r>
        <w:rPr>
          <w:b/>
          <w:sz w:val="24"/>
        </w:rPr>
        <w:t>Tabla 1: </w:t>
      </w:r>
      <w:r>
        <w:rPr>
          <w:sz w:val="24"/>
        </w:rPr>
        <w:t>Especies del género</w:t>
      </w:r>
      <w:r>
        <w:rPr>
          <w:spacing w:val="-12"/>
          <w:sz w:val="24"/>
        </w:rPr>
        <w:t> </w:t>
      </w:r>
      <w:r>
        <w:rPr>
          <w:i/>
          <w:sz w:val="24"/>
        </w:rPr>
        <w:t>Francisella </w:t>
      </w:r>
      <w:r>
        <w:rPr>
          <w:sz w:val="24"/>
        </w:rPr>
        <w:t>publicadas</w:t>
        <w:tab/>
      </w:r>
      <w:r>
        <w:rPr>
          <w:spacing w:val="-4"/>
          <w:sz w:val="24"/>
        </w:rPr>
        <w:t>15</w:t>
      </w:r>
    </w:p>
    <w:p>
      <w:pPr>
        <w:pStyle w:val="BodyText"/>
        <w:spacing w:before="1"/>
        <w:rPr>
          <w:sz w:val="21"/>
        </w:rPr>
      </w:pPr>
    </w:p>
    <w:p>
      <w:pPr>
        <w:tabs>
          <w:tab w:pos="8710" w:val="left" w:leader="dot"/>
        </w:tabs>
        <w:spacing w:before="0"/>
        <w:ind w:left="139" w:right="0" w:firstLine="0"/>
        <w:jc w:val="left"/>
        <w:rPr>
          <w:sz w:val="24"/>
        </w:rPr>
      </w:pPr>
      <w:r>
        <w:rPr>
          <w:b/>
          <w:sz w:val="24"/>
        </w:rPr>
        <w:t>Tabla 2: </w:t>
      </w:r>
      <w:r>
        <w:rPr>
          <w:sz w:val="24"/>
        </w:rPr>
        <w:t>Medios utilizados para el aislamiento de </w:t>
      </w:r>
      <w:r>
        <w:rPr>
          <w:i/>
          <w:sz w:val="24"/>
        </w:rPr>
        <w:t>Francisella </w:t>
      </w:r>
      <w:r>
        <w:rPr>
          <w:sz w:val="24"/>
        </w:rPr>
        <w:t>sp.</w:t>
      </w:r>
      <w:r>
        <w:rPr>
          <w:spacing w:val="-16"/>
          <w:sz w:val="24"/>
        </w:rPr>
        <w:t> </w:t>
      </w:r>
      <w:r>
        <w:rPr>
          <w:sz w:val="24"/>
        </w:rPr>
        <w:t>en</w:t>
      </w:r>
      <w:r>
        <w:rPr>
          <w:spacing w:val="-1"/>
          <w:sz w:val="24"/>
        </w:rPr>
        <w:t> </w:t>
      </w:r>
      <w:r>
        <w:rPr>
          <w:sz w:val="24"/>
        </w:rPr>
        <w:t>peces</w:t>
      </w:r>
      <w:r>
        <w:rPr>
          <w:rFonts w:ascii="Times New Roman"/>
          <w:sz w:val="24"/>
        </w:rPr>
        <w:tab/>
      </w:r>
      <w:r>
        <w:rPr>
          <w:sz w:val="24"/>
        </w:rPr>
        <w:t>26</w:t>
      </w:r>
    </w:p>
    <w:p>
      <w:pPr>
        <w:pStyle w:val="BodyText"/>
        <w:rPr>
          <w:sz w:val="21"/>
        </w:rPr>
      </w:pPr>
    </w:p>
    <w:p>
      <w:pPr>
        <w:pStyle w:val="BodyText"/>
        <w:tabs>
          <w:tab w:pos="8676" w:val="left" w:leader="dot"/>
        </w:tabs>
        <w:spacing w:before="1"/>
        <w:ind w:left="139"/>
      </w:pPr>
      <w:r>
        <w:rPr>
          <w:b/>
        </w:rPr>
        <w:t>Tabla 3: </w:t>
      </w:r>
      <w:r>
        <w:rPr/>
        <w:t>Resultados de análisis</w:t>
      </w:r>
      <w:r>
        <w:rPr>
          <w:spacing w:val="-9"/>
        </w:rPr>
        <w:t> </w:t>
      </w:r>
      <w:r>
        <w:rPr/>
        <w:t>clínico</w:t>
      </w:r>
      <w:r>
        <w:rPr>
          <w:spacing w:val="-6"/>
        </w:rPr>
        <w:t> </w:t>
      </w:r>
      <w:r>
        <w:rPr/>
        <w:t>macroscópico</w:t>
      </w:r>
      <w:r>
        <w:rPr>
          <w:rFonts w:ascii="Times New Roman" w:hAnsi="Times New Roman"/>
        </w:rPr>
        <w:tab/>
      </w:r>
      <w:r>
        <w:rPr/>
        <w:t>63</w:t>
      </w:r>
    </w:p>
    <w:p>
      <w:pPr>
        <w:pStyle w:val="BodyText"/>
        <w:rPr>
          <w:sz w:val="21"/>
        </w:rPr>
      </w:pPr>
    </w:p>
    <w:p>
      <w:pPr>
        <w:pStyle w:val="BodyText"/>
        <w:tabs>
          <w:tab w:pos="8662" w:val="left" w:leader="dot"/>
        </w:tabs>
        <w:spacing w:line="280" w:lineRule="auto" w:before="1"/>
        <w:ind w:left="139" w:right="141"/>
      </w:pPr>
      <w:r>
        <w:rPr>
          <w:b/>
        </w:rPr>
        <w:t>Tabla 4: </w:t>
      </w:r>
      <w:r>
        <w:rPr/>
        <w:t>Número de muestra y resultado positivo o negativo por muestra para la técnica de PCR</w:t>
      </w:r>
      <w:r>
        <w:rPr>
          <w:spacing w:val="-7"/>
        </w:rPr>
        <w:t> </w:t>
      </w:r>
      <w:r>
        <w:rPr/>
        <w:t>Punto</w:t>
      </w:r>
      <w:r>
        <w:rPr>
          <w:spacing w:val="-1"/>
        </w:rPr>
        <w:t> </w:t>
      </w:r>
      <w:r>
        <w:rPr/>
        <w:t>final</w:t>
      </w:r>
      <w:r>
        <w:rPr>
          <w:rFonts w:ascii="Times New Roman" w:hAnsi="Times New Roman"/>
        </w:rPr>
        <w:tab/>
      </w:r>
      <w:r>
        <w:rPr/>
        <w:t>65</w:t>
      </w:r>
    </w:p>
    <w:p>
      <w:pPr>
        <w:pStyle w:val="BodyText"/>
        <w:tabs>
          <w:tab w:pos="8682" w:val="left" w:leader="dot"/>
        </w:tabs>
        <w:spacing w:line="276" w:lineRule="auto" w:before="192"/>
        <w:ind w:left="139" w:right="136"/>
      </w:pPr>
      <w:r>
        <w:rPr>
          <w:b/>
        </w:rPr>
        <w:t>Tabla 5: </w:t>
      </w:r>
      <w:r>
        <w:rPr/>
        <w:t>Número de muestra y resultado positivo o negativo por muestra para la técnica de</w:t>
      </w:r>
      <w:r>
        <w:rPr>
          <w:spacing w:val="-1"/>
        </w:rPr>
        <w:t> </w:t>
      </w:r>
      <w:r>
        <w:rPr/>
        <w:t>PCR</w:t>
      </w:r>
      <w:r>
        <w:rPr>
          <w:spacing w:val="-2"/>
        </w:rPr>
        <w:t> </w:t>
      </w:r>
      <w:r>
        <w:rPr/>
        <w:t>Anidado</w:t>
      </w:r>
      <w:r>
        <w:rPr>
          <w:rFonts w:ascii="Times New Roman" w:hAnsi="Times New Roman"/>
        </w:rPr>
        <w:tab/>
      </w:r>
      <w:r>
        <w:rPr/>
        <w:t>66</w:t>
      </w:r>
    </w:p>
    <w:p>
      <w:pPr>
        <w:pStyle w:val="BodyText"/>
        <w:tabs>
          <w:tab w:pos="8682" w:val="left" w:leader="dot"/>
        </w:tabs>
        <w:spacing w:line="278" w:lineRule="auto" w:before="202"/>
        <w:ind w:left="139" w:right="141"/>
        <w:jc w:val="both"/>
      </w:pPr>
      <w:r>
        <w:rPr>
          <w:b/>
        </w:rPr>
        <w:t>Tabla 6: </w:t>
      </w:r>
      <w:r>
        <w:rPr/>
        <w:t>Número total de muestras analizadas por diferentes técnicas de diagnóstico, los números refieren las muestras positivas y negativas por cada técnica</w:t>
      </w:r>
      <w:r>
        <w:rPr>
          <w:spacing w:val="-1"/>
        </w:rPr>
        <w:t> </w:t>
      </w:r>
      <w:r>
        <w:rPr/>
        <w:t>de</w:t>
      </w:r>
      <w:r>
        <w:rPr>
          <w:spacing w:val="-1"/>
        </w:rPr>
        <w:t> </w:t>
      </w:r>
      <w:r>
        <w:rPr/>
        <w:t>diagnóstico</w:t>
        <w:tab/>
        <w:t>67</w:t>
      </w:r>
    </w:p>
    <w:p>
      <w:pPr>
        <w:spacing w:after="0" w:line="278" w:lineRule="auto"/>
        <w:jc w:val="both"/>
        <w:sectPr>
          <w:pgSz w:w="12240" w:h="15840"/>
          <w:pgMar w:header="752" w:footer="998" w:top="1000" w:bottom="1180" w:left="1560" w:right="1560"/>
        </w:sectPr>
      </w:pPr>
    </w:p>
    <w:p>
      <w:pPr>
        <w:pStyle w:val="BodyText"/>
        <w:spacing w:before="7"/>
        <w:rPr>
          <w:sz w:val="28"/>
        </w:rPr>
      </w:pPr>
    </w:p>
    <w:p>
      <w:pPr>
        <w:pStyle w:val="Heading1"/>
      </w:pPr>
      <w:bookmarkStart w:name="_bookmark4" w:id="5"/>
      <w:bookmarkEnd w:id="5"/>
      <w:r>
        <w:rPr>
          <w:b w:val="0"/>
        </w:rPr>
      </w:r>
      <w:r>
        <w:rPr>
          <w:color w:val="365F91"/>
        </w:rPr>
        <w:t>RESUMEN</w:t>
      </w:r>
    </w:p>
    <w:p>
      <w:pPr>
        <w:pStyle w:val="BodyText"/>
        <w:spacing w:line="276" w:lineRule="auto" w:before="45"/>
        <w:ind w:left="139" w:right="134"/>
        <w:jc w:val="both"/>
      </w:pPr>
      <w:r>
        <w:rPr/>
        <w:t>La francisellosis en tilapias (</w:t>
      </w:r>
      <w:r>
        <w:rPr>
          <w:i/>
        </w:rPr>
        <w:t>Oreochromis </w:t>
      </w:r>
      <w:r>
        <w:rPr/>
        <w:t>spp) es una enfermedad emergente causada por el cocobacilo, Gram negativo, intracelular facultativo </w:t>
      </w:r>
      <w:r>
        <w:rPr>
          <w:i/>
        </w:rPr>
        <w:t>Francisella </w:t>
      </w:r>
      <w:r>
        <w:rPr>
          <w:i/>
        </w:rPr>
        <w:t>noatunensis </w:t>
      </w:r>
      <w:r>
        <w:rPr/>
        <w:t>subsp. </w:t>
      </w:r>
      <w:r>
        <w:rPr>
          <w:i/>
        </w:rPr>
        <w:t>orientalis </w:t>
      </w:r>
      <w:r>
        <w:rPr/>
        <w:t>(FNO), que afecta a varios países donde el cultivo de peces de género tilapia es importante. Esta enfermedad de manifestación </w:t>
      </w:r>
      <w:r>
        <w:rPr>
          <w:spacing w:val="2"/>
        </w:rPr>
        <w:t>crónica </w:t>
      </w:r>
      <w:r>
        <w:rPr/>
        <w:t>se</w:t>
      </w:r>
      <w:r>
        <w:rPr>
          <w:spacing w:val="55"/>
        </w:rPr>
        <w:t> </w:t>
      </w:r>
      <w:r>
        <w:rPr/>
        <w:t>caracteriza</w:t>
      </w:r>
      <w:r>
        <w:rPr>
          <w:spacing w:val="-6"/>
        </w:rPr>
        <w:t> </w:t>
      </w:r>
      <w:r>
        <w:rPr/>
        <w:t>por</w:t>
      </w:r>
      <w:r>
        <w:rPr>
          <w:spacing w:val="-10"/>
        </w:rPr>
        <w:t> </w:t>
      </w:r>
      <w:r>
        <w:rPr/>
        <w:t>la</w:t>
      </w:r>
      <w:r>
        <w:rPr>
          <w:spacing w:val="-11"/>
        </w:rPr>
        <w:t> </w:t>
      </w:r>
      <w:r>
        <w:rPr/>
        <w:t>ausencia</w:t>
      </w:r>
      <w:r>
        <w:rPr>
          <w:spacing w:val="-11"/>
        </w:rPr>
        <w:t> </w:t>
      </w:r>
      <w:r>
        <w:rPr/>
        <w:t>de</w:t>
      </w:r>
      <w:r>
        <w:rPr>
          <w:spacing w:val="-11"/>
        </w:rPr>
        <w:t> </w:t>
      </w:r>
      <w:r>
        <w:rPr/>
        <w:t>signos</w:t>
      </w:r>
      <w:r>
        <w:rPr>
          <w:spacing w:val="-12"/>
        </w:rPr>
        <w:t> </w:t>
      </w:r>
      <w:r>
        <w:rPr/>
        <w:t>clínicos</w:t>
      </w:r>
      <w:r>
        <w:rPr>
          <w:spacing w:val="-7"/>
        </w:rPr>
        <w:t> </w:t>
      </w:r>
      <w:r>
        <w:rPr/>
        <w:t>y</w:t>
      </w:r>
      <w:r>
        <w:rPr>
          <w:spacing w:val="-7"/>
        </w:rPr>
        <w:t> </w:t>
      </w:r>
      <w:r>
        <w:rPr/>
        <w:t>baja</w:t>
      </w:r>
      <w:r>
        <w:rPr>
          <w:spacing w:val="-6"/>
        </w:rPr>
        <w:t> </w:t>
      </w:r>
      <w:r>
        <w:rPr/>
        <w:t>mortalidad,</w:t>
      </w:r>
      <w:r>
        <w:rPr>
          <w:spacing w:val="-11"/>
        </w:rPr>
        <w:t> </w:t>
      </w:r>
      <w:r>
        <w:rPr/>
        <w:t>lo</w:t>
      </w:r>
      <w:r>
        <w:rPr>
          <w:spacing w:val="-11"/>
        </w:rPr>
        <w:t> </w:t>
      </w:r>
      <w:r>
        <w:rPr/>
        <w:t>que</w:t>
      </w:r>
      <w:r>
        <w:rPr>
          <w:spacing w:val="-11"/>
        </w:rPr>
        <w:t> </w:t>
      </w:r>
      <w:r>
        <w:rPr/>
        <w:t>asociado al difícil aislamiento de la bacteria en medios de cultivo bacteriológicos convencionales, dificultan su diagnóstico, por lo que su detección se realiza de manera complementaria mediante análisis macroscópico, histopatología y técnicas moleculares como PCR para amplificar el </w:t>
      </w:r>
      <w:r>
        <w:rPr>
          <w:spacing w:val="-3"/>
        </w:rPr>
        <w:t>gen </w:t>
      </w:r>
      <w:r>
        <w:rPr/>
        <w:t>16s rRNA y el gen de crecimiento intracelular iglC (intracellular growth locus C). Sin embargo, no se ha determinado la sensibilidad de PCR Punto Final y PCR Anidada. En el presente trabajo se desarrolló un ensayo de PCR Anidada y se comparó la sensibilidad de esta</w:t>
      </w:r>
      <w:r>
        <w:rPr>
          <w:spacing w:val="-38"/>
        </w:rPr>
        <w:t> </w:t>
      </w:r>
      <w:r>
        <w:rPr/>
        <w:t>técnica con</w:t>
      </w:r>
      <w:r>
        <w:rPr>
          <w:spacing w:val="-6"/>
        </w:rPr>
        <w:t> </w:t>
      </w:r>
      <w:r>
        <w:rPr/>
        <w:t>PCR</w:t>
      </w:r>
      <w:r>
        <w:rPr>
          <w:spacing w:val="-8"/>
        </w:rPr>
        <w:t> </w:t>
      </w:r>
      <w:r>
        <w:rPr/>
        <w:t>Punto</w:t>
      </w:r>
      <w:r>
        <w:rPr>
          <w:spacing w:val="-6"/>
        </w:rPr>
        <w:t> </w:t>
      </w:r>
      <w:r>
        <w:rPr/>
        <w:t>Final</w:t>
      </w:r>
      <w:r>
        <w:rPr>
          <w:spacing w:val="-7"/>
        </w:rPr>
        <w:t> </w:t>
      </w:r>
      <w:r>
        <w:rPr/>
        <w:t>en</w:t>
      </w:r>
      <w:r>
        <w:rPr>
          <w:spacing w:val="-6"/>
        </w:rPr>
        <w:t> </w:t>
      </w:r>
      <w:r>
        <w:rPr/>
        <w:t>muestras</w:t>
      </w:r>
      <w:r>
        <w:rPr>
          <w:spacing w:val="-7"/>
        </w:rPr>
        <w:t> </w:t>
      </w:r>
      <w:r>
        <w:rPr/>
        <w:t>de</w:t>
      </w:r>
      <w:r>
        <w:rPr>
          <w:spacing w:val="-6"/>
        </w:rPr>
        <w:t> </w:t>
      </w:r>
      <w:r>
        <w:rPr/>
        <w:t>tilapias</w:t>
      </w:r>
      <w:r>
        <w:rPr>
          <w:spacing w:val="-6"/>
        </w:rPr>
        <w:t> </w:t>
      </w:r>
      <w:r>
        <w:rPr/>
        <w:t>vivas</w:t>
      </w:r>
      <w:r>
        <w:rPr>
          <w:spacing w:val="-7"/>
        </w:rPr>
        <w:t> </w:t>
      </w:r>
      <w:r>
        <w:rPr/>
        <w:t>de</w:t>
      </w:r>
      <w:r>
        <w:rPr>
          <w:spacing w:val="-6"/>
        </w:rPr>
        <w:t> </w:t>
      </w:r>
      <w:r>
        <w:rPr/>
        <w:t>una</w:t>
      </w:r>
      <w:r>
        <w:rPr>
          <w:spacing w:val="-6"/>
        </w:rPr>
        <w:t> </w:t>
      </w:r>
      <w:r>
        <w:rPr/>
        <w:t>granja</w:t>
      </w:r>
      <w:r>
        <w:rPr>
          <w:spacing w:val="-6"/>
        </w:rPr>
        <w:t> </w:t>
      </w:r>
      <w:r>
        <w:rPr/>
        <w:t>con</w:t>
      </w:r>
      <w:r>
        <w:rPr>
          <w:spacing w:val="-6"/>
        </w:rPr>
        <w:t> </w:t>
      </w:r>
      <w:r>
        <w:rPr/>
        <w:t>antecedentes de francisellosis. Las muestras fueron sometidas a análisis clínico macroscópico e histopatológico</w:t>
      </w:r>
      <w:r>
        <w:rPr>
          <w:spacing w:val="-11"/>
        </w:rPr>
        <w:t> </w:t>
      </w:r>
      <w:r>
        <w:rPr/>
        <w:t>y</w:t>
      </w:r>
      <w:r>
        <w:rPr>
          <w:spacing w:val="-12"/>
        </w:rPr>
        <w:t> </w:t>
      </w:r>
      <w:r>
        <w:rPr/>
        <w:t>finalmente</w:t>
      </w:r>
      <w:r>
        <w:rPr>
          <w:spacing w:val="-10"/>
        </w:rPr>
        <w:t> </w:t>
      </w:r>
      <w:r>
        <w:rPr/>
        <w:t>complementó</w:t>
      </w:r>
      <w:r>
        <w:rPr>
          <w:spacing w:val="-10"/>
        </w:rPr>
        <w:t> </w:t>
      </w:r>
      <w:r>
        <w:rPr/>
        <w:t>con</w:t>
      </w:r>
      <w:r>
        <w:rPr>
          <w:spacing w:val="-11"/>
        </w:rPr>
        <w:t> </w:t>
      </w:r>
      <w:r>
        <w:rPr/>
        <w:t>PCR</w:t>
      </w:r>
      <w:r>
        <w:rPr>
          <w:spacing w:val="-13"/>
        </w:rPr>
        <w:t> </w:t>
      </w:r>
      <w:r>
        <w:rPr/>
        <w:t>Punto</w:t>
      </w:r>
      <w:r>
        <w:rPr>
          <w:spacing w:val="-10"/>
        </w:rPr>
        <w:t> </w:t>
      </w:r>
      <w:r>
        <w:rPr/>
        <w:t>final</w:t>
      </w:r>
      <w:r>
        <w:rPr>
          <w:spacing w:val="-7"/>
        </w:rPr>
        <w:t> </w:t>
      </w:r>
      <w:r>
        <w:rPr/>
        <w:t>y</w:t>
      </w:r>
      <w:r>
        <w:rPr>
          <w:spacing w:val="-12"/>
        </w:rPr>
        <w:t> </w:t>
      </w:r>
      <w:r>
        <w:rPr/>
        <w:t>PCR</w:t>
      </w:r>
      <w:r>
        <w:rPr>
          <w:spacing w:val="-13"/>
        </w:rPr>
        <w:t> </w:t>
      </w:r>
      <w:r>
        <w:rPr/>
        <w:t>Anidada.</w:t>
      </w:r>
      <w:r>
        <w:rPr>
          <w:spacing w:val="-11"/>
        </w:rPr>
        <w:t> </w:t>
      </w:r>
      <w:r>
        <w:rPr/>
        <w:t>Los resultados</w:t>
      </w:r>
      <w:r>
        <w:rPr>
          <w:spacing w:val="-16"/>
        </w:rPr>
        <w:t> </w:t>
      </w:r>
      <w:r>
        <w:rPr/>
        <w:t>obtenidos</w:t>
      </w:r>
      <w:r>
        <w:rPr>
          <w:spacing w:val="-16"/>
        </w:rPr>
        <w:t> </w:t>
      </w:r>
      <w:r>
        <w:rPr/>
        <w:t>demuestran</w:t>
      </w:r>
      <w:r>
        <w:rPr>
          <w:spacing w:val="-16"/>
        </w:rPr>
        <w:t> </w:t>
      </w:r>
      <w:r>
        <w:rPr/>
        <w:t>que</w:t>
      </w:r>
      <w:r>
        <w:rPr>
          <w:spacing w:val="-16"/>
        </w:rPr>
        <w:t> </w:t>
      </w:r>
      <w:r>
        <w:rPr/>
        <w:t>la</w:t>
      </w:r>
      <w:r>
        <w:rPr>
          <w:spacing w:val="-16"/>
        </w:rPr>
        <w:t> </w:t>
      </w:r>
      <w:r>
        <w:rPr/>
        <w:t>técnica</w:t>
      </w:r>
      <w:r>
        <w:rPr>
          <w:spacing w:val="-16"/>
        </w:rPr>
        <w:t> </w:t>
      </w:r>
      <w:r>
        <w:rPr/>
        <w:t>de</w:t>
      </w:r>
      <w:r>
        <w:rPr>
          <w:spacing w:val="-16"/>
        </w:rPr>
        <w:t> </w:t>
      </w:r>
      <w:r>
        <w:rPr/>
        <w:t>PCR</w:t>
      </w:r>
      <w:r>
        <w:rPr>
          <w:spacing w:val="-17"/>
        </w:rPr>
        <w:t> </w:t>
      </w:r>
      <w:r>
        <w:rPr/>
        <w:t>Anidado</w:t>
      </w:r>
      <w:r>
        <w:rPr>
          <w:spacing w:val="-16"/>
        </w:rPr>
        <w:t> </w:t>
      </w:r>
      <w:r>
        <w:rPr/>
        <w:t>es</w:t>
      </w:r>
      <w:r>
        <w:rPr>
          <w:spacing w:val="-21"/>
        </w:rPr>
        <w:t> </w:t>
      </w:r>
      <w:r>
        <w:rPr/>
        <w:t>la</w:t>
      </w:r>
      <w:r>
        <w:rPr>
          <w:spacing w:val="-16"/>
        </w:rPr>
        <w:t> </w:t>
      </w:r>
      <w:r>
        <w:rPr/>
        <w:t>que</w:t>
      </w:r>
      <w:r>
        <w:rPr>
          <w:spacing w:val="-16"/>
        </w:rPr>
        <w:t> </w:t>
      </w:r>
      <w:r>
        <w:rPr/>
        <w:t>presenta la sensibilidad </w:t>
      </w:r>
      <w:r>
        <w:rPr>
          <w:spacing w:val="-3"/>
        </w:rPr>
        <w:t>más </w:t>
      </w:r>
      <w:r>
        <w:rPr/>
        <w:t>alta con un 100%, a diferencia de la PCR Punto Final con 86%. Los resultados obtenidos son importantes, ya que por ser una enfermedad emergente que se caracteriza por la ausencia de signos clínicos y la dificultad para el aislamiento del agente causal, por lo que se deben buscar diferentes metodologías para mejorar su diagnóstico y ayudar a disminuir las perdidas en la producción.</w:t>
      </w:r>
    </w:p>
    <w:p>
      <w:pPr>
        <w:pStyle w:val="BodyText"/>
      </w:pPr>
    </w:p>
    <w:p>
      <w:pPr>
        <w:pStyle w:val="BodyText"/>
      </w:pPr>
    </w:p>
    <w:p>
      <w:pPr>
        <w:pStyle w:val="BodyText"/>
        <w:spacing w:line="259" w:lineRule="auto" w:before="169"/>
        <w:ind w:left="139"/>
      </w:pPr>
      <w:r>
        <w:rPr/>
        <w:t>Palabras Clave: Francisellosis, FNO, sensibilidad, PCR Punto final, PCR Anidado, Tilapia.</w:t>
      </w:r>
    </w:p>
    <w:p>
      <w:pPr>
        <w:spacing w:after="0" w:line="259" w:lineRule="auto"/>
        <w:sectPr>
          <w:pgSz w:w="12240" w:h="15840"/>
          <w:pgMar w:header="752" w:footer="998" w:top="1000" w:bottom="1180" w:left="1560" w:right="1560"/>
        </w:sectPr>
      </w:pPr>
    </w:p>
    <w:p>
      <w:pPr>
        <w:pStyle w:val="BodyText"/>
        <w:rPr>
          <w:sz w:val="20"/>
        </w:rPr>
      </w:pPr>
    </w:p>
    <w:p>
      <w:pPr>
        <w:pStyle w:val="Heading1"/>
        <w:spacing w:before="207"/>
      </w:pPr>
      <w:bookmarkStart w:name="_bookmark5" w:id="6"/>
      <w:bookmarkEnd w:id="6"/>
      <w:r>
        <w:rPr>
          <w:b w:val="0"/>
        </w:rPr>
      </w:r>
      <w:r>
        <w:rPr>
          <w:color w:val="365F91"/>
        </w:rPr>
        <w:t>ABSTRACT</w:t>
      </w:r>
    </w:p>
    <w:p>
      <w:pPr>
        <w:pStyle w:val="BodyText"/>
        <w:spacing w:line="276" w:lineRule="auto" w:before="50"/>
        <w:ind w:left="139" w:right="134"/>
        <w:jc w:val="both"/>
      </w:pPr>
      <w:r>
        <w:rPr/>
        <w:t>The francisellosis in tilapia (</w:t>
      </w:r>
      <w:r>
        <w:rPr>
          <w:i/>
        </w:rPr>
        <w:t>Oreochromis </w:t>
      </w:r>
      <w:r>
        <w:rPr/>
        <w:t>spp.) is an emerging disease caused by cocobacilli, Gram negative, facultative intracellular </w:t>
      </w:r>
      <w:r>
        <w:rPr>
          <w:i/>
        </w:rPr>
        <w:t>Francisella noatunensis </w:t>
      </w:r>
      <w:r>
        <w:rPr/>
        <w:t>subsp. </w:t>
      </w:r>
      <w:r>
        <w:rPr>
          <w:i/>
        </w:rPr>
        <w:t>orientalis </w:t>
      </w:r>
      <w:r>
        <w:rPr/>
        <w:t>(FNO), affecting several countries where tilapia fish farming gender is important. This disease of chronic manifestation characterized by the absence of clinical signs and low mortality, which associated with the difficult isolation of the bacteria in conventional bacteriological media culture, making diagnosis difficult. Their</w:t>
      </w:r>
      <w:r>
        <w:rPr>
          <w:spacing w:val="-15"/>
        </w:rPr>
        <w:t> </w:t>
      </w:r>
      <w:r>
        <w:rPr/>
        <w:t>detection</w:t>
      </w:r>
      <w:r>
        <w:rPr>
          <w:spacing w:val="-20"/>
        </w:rPr>
        <w:t> </w:t>
      </w:r>
      <w:r>
        <w:rPr/>
        <w:t>is</w:t>
      </w:r>
      <w:r>
        <w:rPr>
          <w:spacing w:val="-16"/>
        </w:rPr>
        <w:t> </w:t>
      </w:r>
      <w:r>
        <w:rPr/>
        <w:t>performed</w:t>
      </w:r>
      <w:r>
        <w:rPr>
          <w:spacing w:val="-16"/>
        </w:rPr>
        <w:t> </w:t>
      </w:r>
      <w:r>
        <w:rPr/>
        <w:t>by</w:t>
      </w:r>
      <w:r>
        <w:rPr>
          <w:spacing w:val="-16"/>
        </w:rPr>
        <w:t> </w:t>
      </w:r>
      <w:r>
        <w:rPr/>
        <w:t>complementary</w:t>
      </w:r>
      <w:r>
        <w:rPr>
          <w:spacing w:val="-12"/>
        </w:rPr>
        <w:t> </w:t>
      </w:r>
      <w:r>
        <w:rPr/>
        <w:t>manner</w:t>
      </w:r>
      <w:r>
        <w:rPr>
          <w:spacing w:val="-15"/>
        </w:rPr>
        <w:t> </w:t>
      </w:r>
      <w:r>
        <w:rPr/>
        <w:t>using</w:t>
      </w:r>
      <w:r>
        <w:rPr>
          <w:spacing w:val="-16"/>
        </w:rPr>
        <w:t> </w:t>
      </w:r>
      <w:r>
        <w:rPr/>
        <w:t>macroscopic</w:t>
      </w:r>
      <w:r>
        <w:rPr>
          <w:spacing w:val="-16"/>
        </w:rPr>
        <w:t> </w:t>
      </w:r>
      <w:r>
        <w:rPr/>
        <w:t>analysis, histopathology and molecular techniques such as PCR to be able </w:t>
      </w:r>
      <w:r>
        <w:rPr>
          <w:spacing w:val="-3"/>
        </w:rPr>
        <w:t>to </w:t>
      </w:r>
      <w:r>
        <w:rPr/>
        <w:t>amplify the 16s rRNA gene and the IglC gene of intracellular growth (growth intracellular locus C).</w:t>
      </w:r>
      <w:r>
        <w:rPr>
          <w:spacing w:val="-15"/>
        </w:rPr>
        <w:t> </w:t>
      </w:r>
      <w:r>
        <w:rPr/>
        <w:t>However,</w:t>
      </w:r>
      <w:r>
        <w:rPr>
          <w:spacing w:val="-15"/>
        </w:rPr>
        <w:t> </w:t>
      </w:r>
      <w:r>
        <w:rPr/>
        <w:t>Nested</w:t>
      </w:r>
      <w:r>
        <w:rPr>
          <w:spacing w:val="-19"/>
        </w:rPr>
        <w:t> </w:t>
      </w:r>
      <w:r>
        <w:rPr/>
        <w:t>PCR</w:t>
      </w:r>
      <w:r>
        <w:rPr>
          <w:spacing w:val="-16"/>
        </w:rPr>
        <w:t> </w:t>
      </w:r>
      <w:r>
        <w:rPr/>
        <w:t>and</w:t>
      </w:r>
      <w:r>
        <w:rPr>
          <w:spacing w:val="-15"/>
        </w:rPr>
        <w:t> </w:t>
      </w:r>
      <w:r>
        <w:rPr/>
        <w:t>Endpoint</w:t>
      </w:r>
      <w:r>
        <w:rPr>
          <w:spacing w:val="-15"/>
        </w:rPr>
        <w:t> </w:t>
      </w:r>
      <w:r>
        <w:rPr/>
        <w:t>PCR</w:t>
      </w:r>
      <w:r>
        <w:rPr>
          <w:spacing w:val="-21"/>
        </w:rPr>
        <w:t> </w:t>
      </w:r>
      <w:r>
        <w:rPr/>
        <w:t>sensitivities</w:t>
      </w:r>
      <w:r>
        <w:rPr>
          <w:spacing w:val="-20"/>
        </w:rPr>
        <w:t> </w:t>
      </w:r>
      <w:r>
        <w:rPr/>
        <w:t>have</w:t>
      </w:r>
      <w:r>
        <w:rPr>
          <w:spacing w:val="-19"/>
        </w:rPr>
        <w:t> </w:t>
      </w:r>
      <w:r>
        <w:rPr/>
        <w:t>not</w:t>
      </w:r>
      <w:r>
        <w:rPr>
          <w:spacing w:val="-15"/>
        </w:rPr>
        <w:t> </w:t>
      </w:r>
      <w:r>
        <w:rPr/>
        <w:t>been</w:t>
      </w:r>
      <w:r>
        <w:rPr>
          <w:spacing w:val="-19"/>
        </w:rPr>
        <w:t> </w:t>
      </w:r>
      <w:r>
        <w:rPr/>
        <w:t>determined yet.</w:t>
      </w:r>
      <w:r>
        <w:rPr>
          <w:spacing w:val="-7"/>
        </w:rPr>
        <w:t> </w:t>
      </w:r>
      <w:r>
        <w:rPr/>
        <w:t>In</w:t>
      </w:r>
      <w:r>
        <w:rPr>
          <w:spacing w:val="-7"/>
        </w:rPr>
        <w:t> </w:t>
      </w:r>
      <w:r>
        <w:rPr/>
        <w:t>this</w:t>
      </w:r>
      <w:r>
        <w:rPr>
          <w:spacing w:val="-8"/>
        </w:rPr>
        <w:t> </w:t>
      </w:r>
      <w:r>
        <w:rPr/>
        <w:t>paper,</w:t>
      </w:r>
      <w:r>
        <w:rPr>
          <w:spacing w:val="-7"/>
        </w:rPr>
        <w:t> </w:t>
      </w:r>
      <w:r>
        <w:rPr/>
        <w:t>Nested</w:t>
      </w:r>
      <w:r>
        <w:rPr>
          <w:spacing w:val="-7"/>
        </w:rPr>
        <w:t> </w:t>
      </w:r>
      <w:r>
        <w:rPr/>
        <w:t>PCR</w:t>
      </w:r>
      <w:r>
        <w:rPr>
          <w:spacing w:val="-9"/>
        </w:rPr>
        <w:t> </w:t>
      </w:r>
      <w:r>
        <w:rPr/>
        <w:t>assay</w:t>
      </w:r>
      <w:r>
        <w:rPr>
          <w:spacing w:val="-8"/>
        </w:rPr>
        <w:t> </w:t>
      </w:r>
      <w:r>
        <w:rPr/>
        <w:t>was</w:t>
      </w:r>
      <w:r>
        <w:rPr>
          <w:spacing w:val="-8"/>
        </w:rPr>
        <w:t> </w:t>
      </w:r>
      <w:r>
        <w:rPr/>
        <w:t>analized</w:t>
      </w:r>
      <w:r>
        <w:rPr>
          <w:spacing w:val="-12"/>
        </w:rPr>
        <w:t> </w:t>
      </w:r>
      <w:r>
        <w:rPr/>
        <w:t>and</w:t>
      </w:r>
      <w:r>
        <w:rPr>
          <w:spacing w:val="-12"/>
        </w:rPr>
        <w:t> </w:t>
      </w:r>
      <w:r>
        <w:rPr/>
        <w:t>its</w:t>
      </w:r>
      <w:r>
        <w:rPr>
          <w:spacing w:val="-7"/>
        </w:rPr>
        <w:t> </w:t>
      </w:r>
      <w:r>
        <w:rPr/>
        <w:t>sensitivity</w:t>
      </w:r>
      <w:r>
        <w:rPr>
          <w:spacing w:val="-7"/>
        </w:rPr>
        <w:t> </w:t>
      </w:r>
      <w:r>
        <w:rPr/>
        <w:t>was</w:t>
      </w:r>
      <w:r>
        <w:rPr>
          <w:spacing w:val="-8"/>
        </w:rPr>
        <w:t> </w:t>
      </w:r>
      <w:r>
        <w:rPr/>
        <w:t>compared with Endpoint PCR in samples of live tilapia farm with a francisellosis history. Samples were subjected to clinical microscopic and histopathologic analysis and finally supplemented with Nested and Endpoint PCR. Results demonstrated that Nested PCR technique is of the highest sensitivity 100%, unlike Endpoint PCR with 86%. These results are important, since being an emerging disease which is characterized by the absence of clinical signs and the causative agent isolation difficulty, finding different methodologies </w:t>
      </w:r>
      <w:r>
        <w:rPr>
          <w:spacing w:val="-3"/>
        </w:rPr>
        <w:t>to </w:t>
      </w:r>
      <w:r>
        <w:rPr/>
        <w:t>improve diagnosis are essential, thus helping to reduce the production</w:t>
      </w:r>
      <w:r>
        <w:rPr>
          <w:spacing w:val="-15"/>
        </w:rPr>
        <w:t> </w:t>
      </w:r>
      <w:r>
        <w:rPr/>
        <w:t>lose.</w:t>
      </w:r>
    </w:p>
    <w:p>
      <w:pPr>
        <w:pStyle w:val="BodyText"/>
      </w:pPr>
    </w:p>
    <w:p>
      <w:pPr>
        <w:pStyle w:val="BodyText"/>
      </w:pPr>
    </w:p>
    <w:p>
      <w:pPr>
        <w:pStyle w:val="BodyText"/>
        <w:spacing w:before="164"/>
        <w:ind w:left="139"/>
        <w:jc w:val="both"/>
      </w:pPr>
      <w:r>
        <w:rPr/>
        <w:t>Keywords: Francisellosis, FNO, sensitivity, Endpoint PCR, Nested PCR, Tilapia.</w:t>
      </w:r>
    </w:p>
    <w:p>
      <w:pPr>
        <w:spacing w:after="0"/>
        <w:jc w:val="both"/>
        <w:sectPr>
          <w:footerReference w:type="default" r:id="rId9"/>
          <w:pgSz w:w="12240" w:h="15840"/>
          <w:pgMar w:footer="998" w:header="752" w:top="1000" w:bottom="1180" w:left="1560" w:right="1560"/>
          <w:pgNumType w:start="9"/>
        </w:sectPr>
      </w:pPr>
    </w:p>
    <w:p>
      <w:pPr>
        <w:pStyle w:val="BodyText"/>
        <w:rPr>
          <w:sz w:val="20"/>
        </w:rPr>
      </w:pPr>
    </w:p>
    <w:p>
      <w:pPr>
        <w:pStyle w:val="Heading1"/>
        <w:numPr>
          <w:ilvl w:val="0"/>
          <w:numId w:val="3"/>
        </w:numPr>
        <w:tabs>
          <w:tab w:pos="409" w:val="left" w:leader="none"/>
        </w:tabs>
        <w:spacing w:line="240" w:lineRule="auto" w:before="207" w:after="0"/>
        <w:ind w:left="408" w:right="0" w:hanging="269"/>
        <w:jc w:val="both"/>
      </w:pPr>
      <w:bookmarkStart w:name="_bookmark6" w:id="7"/>
      <w:bookmarkEnd w:id="7"/>
      <w:r>
        <w:rPr>
          <w:b w:val="0"/>
        </w:rPr>
      </w:r>
      <w:bookmarkStart w:name="_bookmark6" w:id="8"/>
      <w:bookmarkEnd w:id="8"/>
      <w:r>
        <w:rPr>
          <w:color w:val="365F91"/>
        </w:rPr>
        <w:t>I</w:t>
      </w:r>
      <w:r>
        <w:rPr>
          <w:color w:val="365F91"/>
        </w:rPr>
        <w:t>NTRODUCCIÓN</w:t>
      </w:r>
    </w:p>
    <w:p>
      <w:pPr>
        <w:pStyle w:val="BodyText"/>
        <w:spacing w:line="273" w:lineRule="auto" w:before="50"/>
        <w:ind w:left="139" w:right="135"/>
        <w:jc w:val="both"/>
      </w:pPr>
      <w:r>
        <w:rPr/>
        <w:t>En las últimas tres décadas la producción mundial de peces comestibles procedentes de la acuicultura se ha multiplicado por 12, con un índice de crecimiento promedio anual del 8.8%. Durante la última década la actividad se ha ido intensificando, en el 2004 la producción mundial fue de 45,5 millones de toneladas; el 43% de la cantidad total de pescado destinado al consumo humano procedió de este sector (Estado mundial de la pesca y acuicultura, 2012).</w:t>
      </w:r>
    </w:p>
    <w:p>
      <w:pPr>
        <w:pStyle w:val="BodyText"/>
        <w:spacing w:line="276" w:lineRule="auto" w:before="209"/>
        <w:ind w:left="139" w:right="133"/>
        <w:jc w:val="both"/>
      </w:pPr>
      <w:r>
        <w:rPr/>
        <w:t>A nivel mundial la piscicultura es el sistema de producción de alimentos que ha tenido la mayor tasa de crecimiento en las últimas décadas. En lo que se refiere a América Latina y el Caribe, este crecimiento ha sido del orden promedio anual de un 14.5%; siendo la tilapia (</w:t>
      </w:r>
      <w:r>
        <w:rPr>
          <w:i/>
        </w:rPr>
        <w:t>Oreochomis </w:t>
      </w:r>
      <w:r>
        <w:rPr/>
        <w:t>spp) una especie que ocupa uno de los lugares primordiales de cultivo, presentándose como la alternativa </w:t>
      </w:r>
      <w:r>
        <w:rPr>
          <w:spacing w:val="-3"/>
        </w:rPr>
        <w:t>más </w:t>
      </w:r>
      <w:r>
        <w:rPr/>
        <w:t>ventajosa para la producción de proteína de origen animal sana y barata, por su alto rendimiento, </w:t>
      </w:r>
      <w:r>
        <w:rPr>
          <w:spacing w:val="-3"/>
        </w:rPr>
        <w:t>su </w:t>
      </w:r>
      <w:r>
        <w:rPr/>
        <w:t>mayor crecimiento en comparación con otras especies en</w:t>
      </w:r>
      <w:r>
        <w:rPr>
          <w:spacing w:val="-40"/>
        </w:rPr>
        <w:t> </w:t>
      </w:r>
      <w:r>
        <w:rPr/>
        <w:t>sistemas de cultivo intensivo y porque su carne es de excelente calidad y tiene buena aceptación en los distintos mercados. En cuanto a producción se refiere los principales productores de esta especie en Latinoamérica son: Brasil, Honduras, Colombia, Ecuador, Costa rica, Perú y México (Toledo y García,</w:t>
      </w:r>
      <w:r>
        <w:rPr>
          <w:spacing w:val="-19"/>
        </w:rPr>
        <w:t> </w:t>
      </w:r>
      <w:r>
        <w:rPr/>
        <w:t>2000).</w:t>
      </w:r>
    </w:p>
    <w:p>
      <w:pPr>
        <w:pStyle w:val="BodyText"/>
        <w:spacing w:line="276" w:lineRule="auto" w:before="207"/>
        <w:ind w:left="139" w:right="133"/>
        <w:jc w:val="both"/>
      </w:pPr>
      <w:r>
        <w:rPr/>
        <w:t>En México la piscicultura se ha desarrollado desde hace varias décadas, debido a que el Gobierno de México promovió la acuicultura a partir de la formación de centros acuícolas en varios estados de </w:t>
      </w:r>
      <w:r>
        <w:rPr>
          <w:spacing w:val="3"/>
        </w:rPr>
        <w:t>la </w:t>
      </w:r>
      <w:r>
        <w:rPr/>
        <w:t>República con el fin de cultivar diversas especies y sembrar las crías en presas, cuerpos de agua temporales y lagos. Actualmente</w:t>
      </w:r>
      <w:r>
        <w:rPr>
          <w:spacing w:val="-8"/>
        </w:rPr>
        <w:t> </w:t>
      </w:r>
      <w:r>
        <w:rPr/>
        <w:t>en</w:t>
      </w:r>
      <w:r>
        <w:rPr>
          <w:spacing w:val="-8"/>
        </w:rPr>
        <w:t> </w:t>
      </w:r>
      <w:r>
        <w:rPr/>
        <w:t>numerosas</w:t>
      </w:r>
      <w:r>
        <w:rPr>
          <w:spacing w:val="-9"/>
        </w:rPr>
        <w:t> </w:t>
      </w:r>
      <w:r>
        <w:rPr/>
        <w:t>presas</w:t>
      </w:r>
      <w:r>
        <w:rPr>
          <w:spacing w:val="-8"/>
        </w:rPr>
        <w:t> </w:t>
      </w:r>
      <w:r>
        <w:rPr/>
        <w:t>del</w:t>
      </w:r>
      <w:r>
        <w:rPr>
          <w:spacing w:val="-5"/>
        </w:rPr>
        <w:t> </w:t>
      </w:r>
      <w:r>
        <w:rPr/>
        <w:t>país</w:t>
      </w:r>
      <w:r>
        <w:rPr>
          <w:spacing w:val="-8"/>
        </w:rPr>
        <w:t> </w:t>
      </w:r>
      <w:r>
        <w:rPr/>
        <w:t>se</w:t>
      </w:r>
      <w:r>
        <w:rPr>
          <w:spacing w:val="-13"/>
        </w:rPr>
        <w:t> </w:t>
      </w:r>
      <w:r>
        <w:rPr/>
        <w:t>desarrollan</w:t>
      </w:r>
      <w:r>
        <w:rPr>
          <w:spacing w:val="-13"/>
        </w:rPr>
        <w:t> </w:t>
      </w:r>
      <w:r>
        <w:rPr/>
        <w:t>pesquerías</w:t>
      </w:r>
      <w:r>
        <w:rPr>
          <w:spacing w:val="-14"/>
        </w:rPr>
        <w:t> </w:t>
      </w:r>
      <w:r>
        <w:rPr/>
        <w:t>de</w:t>
      </w:r>
      <w:r>
        <w:rPr>
          <w:spacing w:val="-6"/>
        </w:rPr>
        <w:t> </w:t>
      </w:r>
      <w:r>
        <w:rPr/>
        <w:t>diferentes especies tales como la tilapia, carpas (</w:t>
      </w:r>
      <w:r>
        <w:rPr>
          <w:i/>
        </w:rPr>
        <w:t>Cyprinus carpio</w:t>
      </w:r>
      <w:r>
        <w:rPr/>
        <w:t>), lobina (</w:t>
      </w:r>
      <w:r>
        <w:rPr>
          <w:i/>
        </w:rPr>
        <w:t>Dicentrarchus </w:t>
      </w:r>
      <w:r>
        <w:rPr>
          <w:i/>
        </w:rPr>
        <w:t>labrax</w:t>
      </w:r>
      <w:r>
        <w:rPr/>
        <w:t>), mojarra de agallas azules (</w:t>
      </w:r>
      <w:r>
        <w:rPr>
          <w:i/>
        </w:rPr>
        <w:t>Lepomis Machrochirus</w:t>
      </w:r>
      <w:r>
        <w:rPr/>
        <w:t>), bagre (</w:t>
      </w:r>
      <w:r>
        <w:rPr>
          <w:i/>
        </w:rPr>
        <w:t>Ictalurus </w:t>
      </w:r>
      <w:r>
        <w:rPr>
          <w:i/>
        </w:rPr>
        <w:t>punctatus</w:t>
      </w:r>
      <w:r>
        <w:rPr/>
        <w:t>) entre otras, lo que implican fuentes de trabajo y alimentación a poblaciones</w:t>
      </w:r>
      <w:r>
        <w:rPr>
          <w:spacing w:val="-21"/>
        </w:rPr>
        <w:t> </w:t>
      </w:r>
      <w:r>
        <w:rPr/>
        <w:t>que</w:t>
      </w:r>
      <w:r>
        <w:rPr>
          <w:spacing w:val="-17"/>
        </w:rPr>
        <w:t> </w:t>
      </w:r>
      <w:r>
        <w:rPr/>
        <w:t>no</w:t>
      </w:r>
      <w:r>
        <w:rPr>
          <w:spacing w:val="-17"/>
        </w:rPr>
        <w:t> </w:t>
      </w:r>
      <w:r>
        <w:rPr/>
        <w:t>tienen</w:t>
      </w:r>
      <w:r>
        <w:rPr>
          <w:spacing w:val="-17"/>
        </w:rPr>
        <w:t> </w:t>
      </w:r>
      <w:r>
        <w:rPr/>
        <w:t>acceso</w:t>
      </w:r>
      <w:r>
        <w:rPr>
          <w:spacing w:val="-17"/>
        </w:rPr>
        <w:t> </w:t>
      </w:r>
      <w:r>
        <w:rPr/>
        <w:t>a</w:t>
      </w:r>
      <w:r>
        <w:rPr>
          <w:spacing w:val="-17"/>
        </w:rPr>
        <w:t> </w:t>
      </w:r>
      <w:r>
        <w:rPr/>
        <w:t>productos</w:t>
      </w:r>
      <w:r>
        <w:rPr>
          <w:spacing w:val="-21"/>
        </w:rPr>
        <w:t> </w:t>
      </w:r>
      <w:r>
        <w:rPr/>
        <w:t>de</w:t>
      </w:r>
      <w:r>
        <w:rPr>
          <w:spacing w:val="-17"/>
        </w:rPr>
        <w:t> </w:t>
      </w:r>
      <w:r>
        <w:rPr/>
        <w:t>alto</w:t>
      </w:r>
      <w:r>
        <w:rPr>
          <w:spacing w:val="-16"/>
        </w:rPr>
        <w:t> </w:t>
      </w:r>
      <w:r>
        <w:rPr/>
        <w:t>valor</w:t>
      </w:r>
      <w:r>
        <w:rPr>
          <w:spacing w:val="-15"/>
        </w:rPr>
        <w:t> </w:t>
      </w:r>
      <w:r>
        <w:rPr/>
        <w:t>proteico</w:t>
      </w:r>
      <w:r>
        <w:rPr>
          <w:spacing w:val="-20"/>
        </w:rPr>
        <w:t> </w:t>
      </w:r>
      <w:r>
        <w:rPr/>
        <w:t>(Chávez,</w:t>
      </w:r>
      <w:r>
        <w:rPr>
          <w:spacing w:val="-17"/>
        </w:rPr>
        <w:t> </w:t>
      </w:r>
      <w:r>
        <w:rPr/>
        <w:t>1992).</w:t>
      </w:r>
    </w:p>
    <w:p>
      <w:pPr>
        <w:pStyle w:val="BodyText"/>
        <w:spacing w:line="276" w:lineRule="auto" w:before="207"/>
        <w:ind w:left="139" w:right="133"/>
        <w:jc w:val="both"/>
      </w:pPr>
      <w:r>
        <w:rPr/>
        <w:t>Tilapia es un término genérico que se usa para designar a un grupo de peces de importancia comercial pertenecientes a la familia Cichlidae. Los ciclídos son peces clasificados en el orden de los grandes perciformes; que habitan en aguas dulces  y</w:t>
      </w:r>
      <w:r>
        <w:rPr>
          <w:spacing w:val="-3"/>
        </w:rPr>
        <w:t> </w:t>
      </w:r>
      <w:r>
        <w:rPr/>
        <w:t>salobres</w:t>
      </w:r>
      <w:r>
        <w:rPr>
          <w:spacing w:val="-3"/>
        </w:rPr>
        <w:t> </w:t>
      </w:r>
      <w:r>
        <w:rPr/>
        <w:t>de</w:t>
      </w:r>
      <w:r>
        <w:rPr>
          <w:spacing w:val="-3"/>
        </w:rPr>
        <w:t> </w:t>
      </w:r>
      <w:r>
        <w:rPr/>
        <w:t>África,</w:t>
      </w:r>
      <w:r>
        <w:rPr>
          <w:spacing w:val="-3"/>
        </w:rPr>
        <w:t> </w:t>
      </w:r>
      <w:r>
        <w:rPr/>
        <w:t>Oriente</w:t>
      </w:r>
      <w:r>
        <w:rPr>
          <w:spacing w:val="-7"/>
        </w:rPr>
        <w:t> </w:t>
      </w:r>
      <w:r>
        <w:rPr/>
        <w:t>Medio,</w:t>
      </w:r>
      <w:r>
        <w:rPr>
          <w:spacing w:val="-3"/>
        </w:rPr>
        <w:t> </w:t>
      </w:r>
      <w:r>
        <w:rPr/>
        <w:t>el</w:t>
      </w:r>
      <w:r>
        <w:rPr>
          <w:spacing w:val="-8"/>
        </w:rPr>
        <w:t> </w:t>
      </w:r>
      <w:r>
        <w:rPr/>
        <w:t>litoral</w:t>
      </w:r>
      <w:r>
        <w:rPr>
          <w:spacing w:val="1"/>
        </w:rPr>
        <w:t> </w:t>
      </w:r>
      <w:r>
        <w:rPr/>
        <w:t>de</w:t>
      </w:r>
      <w:r>
        <w:rPr>
          <w:spacing w:val="-7"/>
        </w:rPr>
        <w:t> </w:t>
      </w:r>
      <w:r>
        <w:rPr/>
        <w:t>la</w:t>
      </w:r>
      <w:r>
        <w:rPr>
          <w:spacing w:val="-7"/>
        </w:rPr>
        <w:t> </w:t>
      </w:r>
      <w:r>
        <w:rPr/>
        <w:t>India,</w:t>
      </w:r>
      <w:r>
        <w:rPr>
          <w:spacing w:val="-8"/>
        </w:rPr>
        <w:t> </w:t>
      </w:r>
      <w:r>
        <w:rPr/>
        <w:t>América</w:t>
      </w:r>
      <w:r>
        <w:rPr>
          <w:spacing w:val="-3"/>
        </w:rPr>
        <w:t> </w:t>
      </w:r>
      <w:r>
        <w:rPr/>
        <w:t>Central</w:t>
      </w:r>
      <w:r>
        <w:rPr>
          <w:spacing w:val="1"/>
        </w:rPr>
        <w:t> </w:t>
      </w:r>
      <w:r>
        <w:rPr/>
        <w:t>y</w:t>
      </w:r>
      <w:r>
        <w:rPr>
          <w:spacing w:val="-8"/>
        </w:rPr>
        <w:t> </w:t>
      </w:r>
      <w:r>
        <w:rPr/>
        <w:t>América del Sur. Las especies comerciales </w:t>
      </w:r>
      <w:r>
        <w:rPr>
          <w:spacing w:val="-3"/>
        </w:rPr>
        <w:t>más </w:t>
      </w:r>
      <w:r>
        <w:rPr/>
        <w:t>importantes son: la tilapia de Mozambique o</w:t>
      </w:r>
      <w:r>
        <w:rPr>
          <w:spacing w:val="-12"/>
        </w:rPr>
        <w:t> </w:t>
      </w:r>
      <w:r>
        <w:rPr/>
        <w:t>Java</w:t>
      </w:r>
      <w:r>
        <w:rPr>
          <w:spacing w:val="-12"/>
        </w:rPr>
        <w:t> </w:t>
      </w:r>
      <w:r>
        <w:rPr/>
        <w:t>(</w:t>
      </w:r>
      <w:r>
        <w:rPr>
          <w:i/>
        </w:rPr>
        <w:t>Oreochromis</w:t>
      </w:r>
      <w:r>
        <w:rPr>
          <w:i/>
          <w:spacing w:val="-11"/>
        </w:rPr>
        <w:t> </w:t>
      </w:r>
      <w:r>
        <w:rPr>
          <w:i/>
        </w:rPr>
        <w:t>mossambicus</w:t>
      </w:r>
      <w:r>
        <w:rPr>
          <w:i/>
          <w:spacing w:val="-10"/>
        </w:rPr>
        <w:t> </w:t>
      </w:r>
      <w:r>
        <w:rPr/>
        <w:t>o</w:t>
      </w:r>
      <w:r>
        <w:rPr>
          <w:spacing w:val="-12"/>
        </w:rPr>
        <w:t> </w:t>
      </w:r>
      <w:r>
        <w:rPr/>
        <w:t>Tilapia</w:t>
      </w:r>
      <w:r>
        <w:rPr>
          <w:spacing w:val="-20"/>
        </w:rPr>
        <w:t> </w:t>
      </w:r>
      <w:r>
        <w:rPr/>
        <w:t>mossambica),</w:t>
      </w:r>
      <w:r>
        <w:rPr>
          <w:spacing w:val="-16"/>
        </w:rPr>
        <w:t> </w:t>
      </w:r>
      <w:r>
        <w:rPr>
          <w:spacing w:val="3"/>
        </w:rPr>
        <w:t>la</w:t>
      </w:r>
      <w:r>
        <w:rPr>
          <w:spacing w:val="-16"/>
        </w:rPr>
        <w:t> </w:t>
      </w:r>
      <w:r>
        <w:rPr/>
        <w:t>tilapia</w:t>
      </w:r>
      <w:r>
        <w:rPr>
          <w:spacing w:val="-12"/>
        </w:rPr>
        <w:t> </w:t>
      </w:r>
      <w:r>
        <w:rPr/>
        <w:t>azul</w:t>
      </w:r>
      <w:r>
        <w:rPr>
          <w:spacing w:val="-13"/>
        </w:rPr>
        <w:t> </w:t>
      </w:r>
      <w:r>
        <w:rPr/>
        <w:t>(</w:t>
      </w:r>
      <w:r>
        <w:rPr>
          <w:i/>
        </w:rPr>
        <w:t>O.</w:t>
      </w:r>
      <w:r>
        <w:rPr>
          <w:i/>
          <w:spacing w:val="-16"/>
        </w:rPr>
        <w:t> </w:t>
      </w:r>
      <w:r>
        <w:rPr>
          <w:i/>
        </w:rPr>
        <w:t>aureus </w:t>
      </w:r>
      <w:r>
        <w:rPr/>
        <w:t>o Tilapia aurea), la tilapia del Nilo (</w:t>
      </w:r>
      <w:r>
        <w:rPr>
          <w:i/>
        </w:rPr>
        <w:t>O. niloticus </w:t>
      </w:r>
      <w:r>
        <w:rPr/>
        <w:t>o nilotica), Zanzíbar o Wami tilapia (</w:t>
      </w:r>
      <w:r>
        <w:rPr>
          <w:i/>
        </w:rPr>
        <w:t>O</w:t>
      </w:r>
      <w:r>
        <w:rPr/>
        <w:t>. </w:t>
      </w:r>
      <w:r>
        <w:rPr>
          <w:i/>
        </w:rPr>
        <w:t>hornorum </w:t>
      </w:r>
      <w:r>
        <w:rPr/>
        <w:t>o Tilapia Urolepis) y la tilapia Redbelly (</w:t>
      </w:r>
      <w:r>
        <w:rPr>
          <w:i/>
        </w:rPr>
        <w:t>O. zilli </w:t>
      </w:r>
      <w:r>
        <w:rPr/>
        <w:t>o Tilapia zilli) (Soto </w:t>
      </w:r>
      <w:r>
        <w:rPr>
          <w:i/>
        </w:rPr>
        <w:t>et </w:t>
      </w:r>
      <w:r>
        <w:rPr>
          <w:i/>
        </w:rPr>
        <w:t>al</w:t>
      </w:r>
      <w:r>
        <w:rPr/>
        <w:t>.,</w:t>
      </w:r>
      <w:r>
        <w:rPr>
          <w:spacing w:val="-2"/>
        </w:rPr>
        <w:t> </w:t>
      </w:r>
      <w:r>
        <w:rPr/>
        <w:t>2010).</w:t>
      </w:r>
    </w:p>
    <w:p>
      <w:pPr>
        <w:pStyle w:val="BodyText"/>
        <w:spacing w:line="276" w:lineRule="auto" w:before="207"/>
        <w:ind w:left="139" w:right="134"/>
        <w:jc w:val="both"/>
      </w:pPr>
      <w:r>
        <w:rPr/>
        <w:t>Los</w:t>
      </w:r>
      <w:r>
        <w:rPr>
          <w:spacing w:val="-16"/>
        </w:rPr>
        <w:t> </w:t>
      </w:r>
      <w:r>
        <w:rPr/>
        <w:t>cultivos</w:t>
      </w:r>
      <w:r>
        <w:rPr>
          <w:spacing w:val="-16"/>
        </w:rPr>
        <w:t> </w:t>
      </w:r>
      <w:r>
        <w:rPr/>
        <w:t>de</w:t>
      </w:r>
      <w:r>
        <w:rPr>
          <w:spacing w:val="-16"/>
        </w:rPr>
        <w:t> </w:t>
      </w:r>
      <w:r>
        <w:rPr/>
        <w:t>tilapia</w:t>
      </w:r>
      <w:r>
        <w:rPr>
          <w:spacing w:val="-17"/>
        </w:rPr>
        <w:t> </w:t>
      </w:r>
      <w:r>
        <w:rPr/>
        <w:t>en</w:t>
      </w:r>
      <w:r>
        <w:rPr>
          <w:spacing w:val="-16"/>
        </w:rPr>
        <w:t> </w:t>
      </w:r>
      <w:r>
        <w:rPr/>
        <w:t>México</w:t>
      </w:r>
      <w:r>
        <w:rPr>
          <w:spacing w:val="-14"/>
        </w:rPr>
        <w:t> </w:t>
      </w:r>
      <w:r>
        <w:rPr/>
        <w:t>se</w:t>
      </w:r>
      <w:r>
        <w:rPr>
          <w:spacing w:val="-20"/>
        </w:rPr>
        <w:t> </w:t>
      </w:r>
      <w:r>
        <w:rPr/>
        <w:t>realizan</w:t>
      </w:r>
      <w:r>
        <w:rPr>
          <w:spacing w:val="-20"/>
        </w:rPr>
        <w:t> </w:t>
      </w:r>
      <w:r>
        <w:rPr/>
        <w:t>en</w:t>
      </w:r>
      <w:r>
        <w:rPr>
          <w:spacing w:val="-20"/>
        </w:rPr>
        <w:t> </w:t>
      </w:r>
      <w:r>
        <w:rPr/>
        <w:t>sistemas</w:t>
      </w:r>
      <w:r>
        <w:rPr>
          <w:spacing w:val="-16"/>
        </w:rPr>
        <w:t> </w:t>
      </w:r>
      <w:r>
        <w:rPr/>
        <w:t>extensivos,</w:t>
      </w:r>
      <w:r>
        <w:rPr>
          <w:spacing w:val="-16"/>
        </w:rPr>
        <w:t> </w:t>
      </w:r>
      <w:r>
        <w:rPr/>
        <w:t>semi-intensivos e  intensivos  presentando  grandes  expectativas  de  desarrollo.  Para  este  fin</w:t>
      </w:r>
      <w:r>
        <w:rPr>
          <w:spacing w:val="20"/>
        </w:rPr>
        <w:t> </w:t>
      </w:r>
      <w:r>
        <w:rPr/>
        <w:t>la</w:t>
      </w:r>
    </w:p>
    <w:p>
      <w:pPr>
        <w:spacing w:after="0" w:line="276" w:lineRule="auto"/>
        <w:jc w:val="both"/>
        <w:sectPr>
          <w:footerReference w:type="default" r:id="rId10"/>
          <w:pgSz w:w="12240" w:h="15840"/>
          <w:pgMar w:footer="998" w:header="752" w:top="1000" w:bottom="1180" w:left="1560" w:right="1560"/>
          <w:pgNumType w:start="1"/>
        </w:sectPr>
      </w:pPr>
    </w:p>
    <w:p>
      <w:pPr>
        <w:pStyle w:val="BodyText"/>
        <w:rPr>
          <w:sz w:val="29"/>
        </w:rPr>
      </w:pPr>
    </w:p>
    <w:p>
      <w:pPr>
        <w:pStyle w:val="BodyText"/>
        <w:spacing w:line="276" w:lineRule="auto" w:before="70"/>
        <w:ind w:left="139" w:right="132"/>
        <w:jc w:val="both"/>
      </w:pPr>
      <w:r>
        <w:rPr/>
        <w:t>infraestructura utilizada son: bordos, estanques rústicos, de concreto y jaulas. El éxito del cultivo de esta especie se debe principalmente a la gran resistencia física a condiciones adversas para otras especies y a las enfermedades, su crecimiento acelerado, elevado potencial reproductor y a su fácil adaptación al cautiverio; sin embargo, las enfermedades son el factor de riesgo más importante por el impacto directo que estas pueden ocasionar a la producción de esta especie (Toledo y García, 2000; CONAPESCA SAGARPA, 2009).</w:t>
      </w:r>
    </w:p>
    <w:p>
      <w:pPr>
        <w:pStyle w:val="BodyText"/>
        <w:spacing w:line="276" w:lineRule="auto" w:before="207"/>
        <w:ind w:left="139" w:right="133"/>
        <w:jc w:val="both"/>
      </w:pPr>
      <w:r>
        <w:rPr/>
        <w:t>La intensificación de la producción y las prácticas de producción en sistemas de reutilización </w:t>
      </w:r>
      <w:r>
        <w:rPr>
          <w:spacing w:val="-3"/>
        </w:rPr>
        <w:t>del </w:t>
      </w:r>
      <w:r>
        <w:rPr/>
        <w:t>agua son un factor de riesgo, debido a que provocan reducción en la calidad del agua, generando altos niveles de estrés en los peces, y al mismo tiempo dan lugar a un aumento en la incidencia de agentes patógenos; entre los que podemos encontrar comúnmente a bacterias de género </w:t>
      </w:r>
      <w:r>
        <w:rPr>
          <w:i/>
        </w:rPr>
        <w:t>Francisella sp</w:t>
      </w:r>
      <w:r>
        <w:rPr/>
        <w:t>. Las bacterias pertenecientes a este género afectan a tilapias tanto cultivadas como silvestres, procedentes de diversas regiones geográficas en todo el mundo (Mauel </w:t>
      </w:r>
      <w:r>
        <w:rPr>
          <w:i/>
        </w:rPr>
        <w:t>et</w:t>
      </w:r>
      <w:r>
        <w:rPr>
          <w:i/>
          <w:spacing w:val="-10"/>
        </w:rPr>
        <w:t> </w:t>
      </w:r>
      <w:r>
        <w:rPr>
          <w:i/>
        </w:rPr>
        <w:t>al</w:t>
      </w:r>
      <w:r>
        <w:rPr/>
        <w:t>.,</w:t>
      </w:r>
      <w:r>
        <w:rPr>
          <w:spacing w:val="-16"/>
        </w:rPr>
        <w:t> </w:t>
      </w:r>
      <w:r>
        <w:rPr/>
        <w:t>2007;</w:t>
      </w:r>
      <w:r>
        <w:rPr>
          <w:spacing w:val="-15"/>
        </w:rPr>
        <w:t> </w:t>
      </w:r>
      <w:r>
        <w:rPr/>
        <w:t>Chen</w:t>
      </w:r>
      <w:r>
        <w:rPr>
          <w:spacing w:val="-15"/>
        </w:rPr>
        <w:t> </w:t>
      </w:r>
      <w:r>
        <w:rPr>
          <w:i/>
        </w:rPr>
        <w:t>et</w:t>
      </w:r>
      <w:r>
        <w:rPr>
          <w:i/>
          <w:spacing w:val="-16"/>
        </w:rPr>
        <w:t> </w:t>
      </w:r>
      <w:r>
        <w:rPr>
          <w:i/>
        </w:rPr>
        <w:t>al.,</w:t>
      </w:r>
      <w:r>
        <w:rPr>
          <w:i/>
          <w:spacing w:val="-10"/>
        </w:rPr>
        <w:t> </w:t>
      </w:r>
      <w:r>
        <w:rPr/>
        <w:t>1994;</w:t>
      </w:r>
      <w:r>
        <w:rPr>
          <w:spacing w:val="-16"/>
        </w:rPr>
        <w:t> </w:t>
      </w:r>
      <w:r>
        <w:rPr/>
        <w:t>Chern</w:t>
      </w:r>
      <w:r>
        <w:rPr>
          <w:spacing w:val="-15"/>
        </w:rPr>
        <w:t> </w:t>
      </w:r>
      <w:r>
        <w:rPr/>
        <w:t>y</w:t>
      </w:r>
      <w:r>
        <w:rPr>
          <w:spacing w:val="-12"/>
        </w:rPr>
        <w:t> </w:t>
      </w:r>
      <w:r>
        <w:rPr/>
        <w:t>Chao,</w:t>
      </w:r>
      <w:r>
        <w:rPr>
          <w:spacing w:val="-15"/>
        </w:rPr>
        <w:t> </w:t>
      </w:r>
      <w:r>
        <w:rPr/>
        <w:t>1994;</w:t>
      </w:r>
      <w:r>
        <w:rPr>
          <w:spacing w:val="-11"/>
        </w:rPr>
        <w:t> </w:t>
      </w:r>
      <w:r>
        <w:rPr/>
        <w:t>Mauel</w:t>
      </w:r>
      <w:r>
        <w:rPr>
          <w:spacing w:val="-12"/>
        </w:rPr>
        <w:t> </w:t>
      </w:r>
      <w:r>
        <w:rPr/>
        <w:t>y</w:t>
      </w:r>
      <w:r>
        <w:rPr>
          <w:spacing w:val="-12"/>
        </w:rPr>
        <w:t> </w:t>
      </w:r>
      <w:r>
        <w:rPr/>
        <w:t>Miller,</w:t>
      </w:r>
      <w:r>
        <w:rPr>
          <w:spacing w:val="-11"/>
        </w:rPr>
        <w:t> </w:t>
      </w:r>
      <w:r>
        <w:rPr/>
        <w:t>2002;</w:t>
      </w:r>
      <w:r>
        <w:rPr>
          <w:spacing w:val="-16"/>
        </w:rPr>
        <w:t> </w:t>
      </w:r>
      <w:r>
        <w:rPr/>
        <w:t>Colquhoun y Duodu, 2011).</w:t>
      </w:r>
    </w:p>
    <w:p>
      <w:pPr>
        <w:pStyle w:val="BodyText"/>
        <w:spacing w:line="276" w:lineRule="auto" w:before="202"/>
        <w:ind w:left="139" w:right="133"/>
        <w:jc w:val="both"/>
      </w:pPr>
      <w:r>
        <w:rPr/>
        <w:t>Los miembros del género </w:t>
      </w:r>
      <w:r>
        <w:rPr>
          <w:i/>
        </w:rPr>
        <w:t>Francisella </w:t>
      </w:r>
      <w:r>
        <w:rPr/>
        <w:t>son bacterias Gram-negativas, pleomórficas, intracelulares facultativas, no móviles, aerobias obligadas, de difícil crecimiento en medios de cultivo tradicionales, que producen una enfermedad de curso agudo o crónico</w:t>
      </w:r>
      <w:r>
        <w:rPr>
          <w:spacing w:val="-16"/>
        </w:rPr>
        <w:t> </w:t>
      </w:r>
      <w:r>
        <w:rPr/>
        <w:t>en</w:t>
      </w:r>
      <w:r>
        <w:rPr>
          <w:spacing w:val="-18"/>
        </w:rPr>
        <w:t> </w:t>
      </w:r>
      <w:r>
        <w:rPr/>
        <w:t>una</w:t>
      </w:r>
      <w:r>
        <w:rPr>
          <w:spacing w:val="-18"/>
        </w:rPr>
        <w:t> </w:t>
      </w:r>
      <w:r>
        <w:rPr/>
        <w:t>amplia</w:t>
      </w:r>
      <w:r>
        <w:rPr>
          <w:spacing w:val="-18"/>
        </w:rPr>
        <w:t> </w:t>
      </w:r>
      <w:r>
        <w:rPr/>
        <w:t>variedad</w:t>
      </w:r>
      <w:r>
        <w:rPr>
          <w:spacing w:val="-18"/>
        </w:rPr>
        <w:t> </w:t>
      </w:r>
      <w:r>
        <w:rPr/>
        <w:t>de</w:t>
      </w:r>
      <w:r>
        <w:rPr>
          <w:spacing w:val="-21"/>
        </w:rPr>
        <w:t> </w:t>
      </w:r>
      <w:r>
        <w:rPr/>
        <w:t>especies</w:t>
      </w:r>
      <w:r>
        <w:rPr>
          <w:spacing w:val="-22"/>
        </w:rPr>
        <w:t> </w:t>
      </w:r>
      <w:r>
        <w:rPr/>
        <w:t>de</w:t>
      </w:r>
      <w:r>
        <w:rPr>
          <w:spacing w:val="-21"/>
        </w:rPr>
        <w:t> </w:t>
      </w:r>
      <w:r>
        <w:rPr/>
        <w:t>peces</w:t>
      </w:r>
      <w:r>
        <w:rPr>
          <w:spacing w:val="-18"/>
        </w:rPr>
        <w:t> </w:t>
      </w:r>
      <w:r>
        <w:rPr/>
        <w:t>cultivados</w:t>
      </w:r>
      <w:r>
        <w:rPr>
          <w:spacing w:val="-22"/>
        </w:rPr>
        <w:t> </w:t>
      </w:r>
      <w:r>
        <w:rPr/>
        <w:t>y</w:t>
      </w:r>
      <w:r>
        <w:rPr>
          <w:spacing w:val="-18"/>
        </w:rPr>
        <w:t> </w:t>
      </w:r>
      <w:r>
        <w:rPr/>
        <w:t>silvestres</w:t>
      </w:r>
      <w:r>
        <w:rPr>
          <w:spacing w:val="-18"/>
        </w:rPr>
        <w:t> </w:t>
      </w:r>
      <w:r>
        <w:rPr/>
        <w:t>de</w:t>
      </w:r>
      <w:r>
        <w:rPr>
          <w:spacing w:val="-18"/>
        </w:rPr>
        <w:t> </w:t>
      </w:r>
      <w:r>
        <w:rPr/>
        <w:t>agua dulce o salada. Los brotes de francisellosis en tilapia se han reportado en Taiwán Chern</w:t>
      </w:r>
      <w:r>
        <w:rPr>
          <w:spacing w:val="-15"/>
        </w:rPr>
        <w:t> </w:t>
      </w:r>
      <w:r>
        <w:rPr>
          <w:i/>
        </w:rPr>
        <w:t>et</w:t>
      </w:r>
      <w:r>
        <w:rPr>
          <w:i/>
          <w:spacing w:val="-17"/>
        </w:rPr>
        <w:t> </w:t>
      </w:r>
      <w:r>
        <w:rPr>
          <w:i/>
        </w:rPr>
        <w:t>al</w:t>
      </w:r>
      <w:r>
        <w:rPr/>
        <w:t>.,</w:t>
      </w:r>
      <w:r>
        <w:rPr>
          <w:spacing w:val="-20"/>
        </w:rPr>
        <w:t> </w:t>
      </w:r>
      <w:r>
        <w:rPr/>
        <w:t>(1994),</w:t>
      </w:r>
      <w:r>
        <w:rPr>
          <w:spacing w:val="-17"/>
        </w:rPr>
        <w:t> </w:t>
      </w:r>
      <w:r>
        <w:rPr/>
        <w:t>Japón</w:t>
      </w:r>
      <w:r>
        <w:rPr>
          <w:spacing w:val="-29"/>
        </w:rPr>
        <w:t> </w:t>
      </w:r>
      <w:r>
        <w:rPr/>
        <w:t>Kamaishi</w:t>
      </w:r>
      <w:r>
        <w:rPr>
          <w:spacing w:val="-12"/>
        </w:rPr>
        <w:t> </w:t>
      </w:r>
      <w:r>
        <w:rPr>
          <w:i/>
        </w:rPr>
        <w:t>et</w:t>
      </w:r>
      <w:r>
        <w:rPr>
          <w:i/>
          <w:spacing w:val="-17"/>
        </w:rPr>
        <w:t> </w:t>
      </w:r>
      <w:r>
        <w:rPr>
          <w:i/>
        </w:rPr>
        <w:t>al</w:t>
      </w:r>
      <w:r>
        <w:rPr/>
        <w:t>.,</w:t>
      </w:r>
      <w:r>
        <w:rPr>
          <w:spacing w:val="-17"/>
        </w:rPr>
        <w:t> </w:t>
      </w:r>
      <w:r>
        <w:rPr/>
        <w:t>(2005),</w:t>
      </w:r>
      <w:r>
        <w:rPr>
          <w:spacing w:val="-17"/>
        </w:rPr>
        <w:t> </w:t>
      </w:r>
      <w:r>
        <w:rPr/>
        <w:t>Reino</w:t>
      </w:r>
      <w:r>
        <w:rPr>
          <w:spacing w:val="-17"/>
        </w:rPr>
        <w:t> </w:t>
      </w:r>
      <w:r>
        <w:rPr/>
        <w:t>Unido</w:t>
      </w:r>
      <w:r>
        <w:rPr>
          <w:spacing w:val="-15"/>
        </w:rPr>
        <w:t> </w:t>
      </w:r>
      <w:r>
        <w:rPr/>
        <w:t>Jeffery</w:t>
      </w:r>
      <w:r>
        <w:rPr>
          <w:spacing w:val="-16"/>
        </w:rPr>
        <w:t> </w:t>
      </w:r>
      <w:r>
        <w:rPr>
          <w:i/>
        </w:rPr>
        <w:t>et</w:t>
      </w:r>
      <w:r>
        <w:rPr>
          <w:i/>
          <w:spacing w:val="-17"/>
        </w:rPr>
        <w:t> </w:t>
      </w:r>
      <w:r>
        <w:rPr>
          <w:i/>
        </w:rPr>
        <w:t>al.,</w:t>
      </w:r>
      <w:r>
        <w:rPr>
          <w:i/>
          <w:spacing w:val="-17"/>
        </w:rPr>
        <w:t> </w:t>
      </w:r>
      <w:r>
        <w:rPr/>
        <w:t>(2010); Hawái Mauel </w:t>
      </w:r>
      <w:r>
        <w:rPr>
          <w:i/>
        </w:rPr>
        <w:t>et al</w:t>
      </w:r>
      <w:r>
        <w:rPr/>
        <w:t>., 2003, Estados Unidos Soto </w:t>
      </w:r>
      <w:r>
        <w:rPr>
          <w:i/>
        </w:rPr>
        <w:t>et al</w:t>
      </w:r>
      <w:r>
        <w:rPr/>
        <w:t>., (2011) y América Latina Soto </w:t>
      </w:r>
      <w:r>
        <w:rPr>
          <w:i/>
        </w:rPr>
        <w:t>et</w:t>
      </w:r>
      <w:r>
        <w:rPr>
          <w:i/>
          <w:spacing w:val="-11"/>
        </w:rPr>
        <w:t> </w:t>
      </w:r>
      <w:r>
        <w:rPr>
          <w:i/>
        </w:rPr>
        <w:t>al</w:t>
      </w:r>
      <w:r>
        <w:rPr/>
        <w:t>.,</w:t>
      </w:r>
      <w:r>
        <w:rPr>
          <w:spacing w:val="-11"/>
        </w:rPr>
        <w:t> </w:t>
      </w:r>
      <w:r>
        <w:rPr/>
        <w:t>(2009).</w:t>
      </w:r>
      <w:r>
        <w:rPr>
          <w:spacing w:val="-11"/>
        </w:rPr>
        <w:t> </w:t>
      </w:r>
      <w:r>
        <w:rPr/>
        <w:t>En</w:t>
      </w:r>
      <w:r>
        <w:rPr>
          <w:spacing w:val="-11"/>
        </w:rPr>
        <w:t> </w:t>
      </w:r>
      <w:r>
        <w:rPr/>
        <w:t>la</w:t>
      </w:r>
      <w:r>
        <w:rPr>
          <w:spacing w:val="-11"/>
        </w:rPr>
        <w:t> </w:t>
      </w:r>
      <w:r>
        <w:rPr/>
        <w:t>mayoría</w:t>
      </w:r>
      <w:r>
        <w:rPr>
          <w:spacing w:val="-10"/>
        </w:rPr>
        <w:t> </w:t>
      </w:r>
      <w:r>
        <w:rPr/>
        <w:t>de</w:t>
      </w:r>
      <w:r>
        <w:rPr>
          <w:spacing w:val="-11"/>
        </w:rPr>
        <w:t> </w:t>
      </w:r>
      <w:r>
        <w:rPr/>
        <w:t>los</w:t>
      </w:r>
      <w:r>
        <w:rPr>
          <w:spacing w:val="-8"/>
        </w:rPr>
        <w:t> </w:t>
      </w:r>
      <w:r>
        <w:rPr/>
        <w:t>casos</w:t>
      </w:r>
      <w:r>
        <w:rPr>
          <w:spacing w:val="-12"/>
        </w:rPr>
        <w:t> </w:t>
      </w:r>
      <w:r>
        <w:rPr/>
        <w:t>de</w:t>
      </w:r>
      <w:r>
        <w:rPr>
          <w:spacing w:val="-11"/>
        </w:rPr>
        <w:t> </w:t>
      </w:r>
      <w:r>
        <w:rPr/>
        <w:t>tilapias</w:t>
      </w:r>
      <w:r>
        <w:rPr>
          <w:spacing w:val="-9"/>
        </w:rPr>
        <w:t> </w:t>
      </w:r>
      <w:r>
        <w:rPr/>
        <w:t>enfermas</w:t>
      </w:r>
      <w:r>
        <w:rPr>
          <w:spacing w:val="-12"/>
        </w:rPr>
        <w:t> </w:t>
      </w:r>
      <w:r>
        <w:rPr/>
        <w:t>el</w:t>
      </w:r>
      <w:r>
        <w:rPr>
          <w:spacing w:val="-7"/>
        </w:rPr>
        <w:t> </w:t>
      </w:r>
      <w:r>
        <w:rPr/>
        <w:t>diagnóstico</w:t>
      </w:r>
      <w:r>
        <w:rPr>
          <w:spacing w:val="-7"/>
        </w:rPr>
        <w:t> </w:t>
      </w:r>
      <w:r>
        <w:rPr/>
        <w:t>ha</w:t>
      </w:r>
      <w:r>
        <w:rPr>
          <w:spacing w:val="-11"/>
        </w:rPr>
        <w:t> </w:t>
      </w:r>
      <w:r>
        <w:rPr/>
        <w:t>sido confirmado mediante el análisis macroscópico e histopatológico de los tejidos afectados y la amplificación y secuenciación del gen 16S rRNA. Solo en algunos casos se ha realizado la amplificación del gen IglC (intracellular growth locus C) especifico de la subespecie que afecta a tilapia </w:t>
      </w:r>
      <w:r>
        <w:rPr>
          <w:rFonts w:ascii="Calibri" w:hAnsi="Calibri"/>
          <w:sz w:val="22"/>
        </w:rPr>
        <w:t>(</w:t>
      </w:r>
      <w:r>
        <w:rPr/>
        <w:t>Soto </w:t>
      </w:r>
      <w:r>
        <w:rPr>
          <w:i/>
        </w:rPr>
        <w:t>et al.,</w:t>
      </w:r>
      <w:r>
        <w:rPr>
          <w:i/>
          <w:spacing w:val="-31"/>
        </w:rPr>
        <w:t> </w:t>
      </w:r>
      <w:r>
        <w:rPr/>
        <w:t>2010).</w:t>
      </w:r>
    </w:p>
    <w:p>
      <w:pPr>
        <w:pStyle w:val="BodyText"/>
        <w:spacing w:line="276" w:lineRule="auto" w:before="198"/>
        <w:ind w:left="139" w:right="133"/>
        <w:jc w:val="both"/>
      </w:pPr>
      <w:r>
        <w:rPr/>
        <w:t>Hsieh </w:t>
      </w:r>
      <w:r>
        <w:rPr>
          <w:i/>
        </w:rPr>
        <w:t>et al</w:t>
      </w:r>
      <w:r>
        <w:rPr/>
        <w:t>., (2007) realizaron la comparación de diferentes técnicas para el diagnóstico de francisellosis en ciclídos ornamentales que habían cursado con enfermedad</w:t>
      </w:r>
      <w:r>
        <w:rPr>
          <w:spacing w:val="-11"/>
        </w:rPr>
        <w:t> </w:t>
      </w:r>
      <w:r>
        <w:rPr/>
        <w:t>similar</w:t>
      </w:r>
      <w:r>
        <w:rPr>
          <w:spacing w:val="-6"/>
        </w:rPr>
        <w:t> </w:t>
      </w:r>
      <w:r>
        <w:rPr/>
        <w:t>a</w:t>
      </w:r>
      <w:r>
        <w:rPr>
          <w:spacing w:val="-16"/>
        </w:rPr>
        <w:t> </w:t>
      </w:r>
      <w:r>
        <w:rPr/>
        <w:t>la</w:t>
      </w:r>
      <w:r>
        <w:rPr>
          <w:spacing w:val="-11"/>
        </w:rPr>
        <w:t> </w:t>
      </w:r>
      <w:r>
        <w:rPr/>
        <w:t>producida</w:t>
      </w:r>
      <w:r>
        <w:rPr>
          <w:spacing w:val="-11"/>
        </w:rPr>
        <w:t> </w:t>
      </w:r>
      <w:r>
        <w:rPr/>
        <w:t>por</w:t>
      </w:r>
      <w:r>
        <w:rPr>
          <w:spacing w:val="-10"/>
        </w:rPr>
        <w:t> </w:t>
      </w:r>
      <w:r>
        <w:rPr/>
        <w:t>miembros</w:t>
      </w:r>
      <w:r>
        <w:rPr>
          <w:spacing w:val="-12"/>
        </w:rPr>
        <w:t> </w:t>
      </w:r>
      <w:r>
        <w:rPr/>
        <w:t>del</w:t>
      </w:r>
      <w:r>
        <w:rPr>
          <w:spacing w:val="-7"/>
        </w:rPr>
        <w:t> </w:t>
      </w:r>
      <w:r>
        <w:rPr/>
        <w:t>género</w:t>
      </w:r>
      <w:r>
        <w:rPr>
          <w:spacing w:val="-3"/>
        </w:rPr>
        <w:t> </w:t>
      </w:r>
      <w:r>
        <w:rPr>
          <w:i/>
        </w:rPr>
        <w:t>Francisella</w:t>
      </w:r>
      <w:r>
        <w:rPr>
          <w:i/>
          <w:spacing w:val="-9"/>
        </w:rPr>
        <w:t> </w:t>
      </w:r>
      <w:r>
        <w:rPr/>
        <w:t>en</w:t>
      </w:r>
      <w:r>
        <w:rPr>
          <w:spacing w:val="-11"/>
        </w:rPr>
        <w:t> </w:t>
      </w:r>
      <w:r>
        <w:rPr/>
        <w:t>tilapia,</w:t>
      </w:r>
      <w:r>
        <w:rPr>
          <w:spacing w:val="-16"/>
        </w:rPr>
        <w:t> </w:t>
      </w:r>
      <w:r>
        <w:rPr/>
        <w:t>la cual producia lesiones macroscópicas y microscópicas con la formación de granulomas, las muestras analizadas fueron cortes histológicos de casos presentados con anterioridad, los cortes histológicos fueron analizados por Hibridación </w:t>
      </w:r>
      <w:r>
        <w:rPr>
          <w:i/>
          <w:spacing w:val="-3"/>
        </w:rPr>
        <w:t>in </w:t>
      </w:r>
      <w:r>
        <w:rPr>
          <w:i/>
        </w:rPr>
        <w:t>situ </w:t>
      </w:r>
      <w:r>
        <w:rPr/>
        <w:t>(ISH), Histopatología y PCR; obteniendo como resultado que la técnica de ISH ofrece mejores resultados para el diagnóstico de la enfermedad en muestras histológicas y teniendose mayor probabilidad de diagnosticar casos positivos de la enfermedad, en comparación con la técnica de PCR realizada a las mismas</w:t>
      </w:r>
      <w:r>
        <w:rPr>
          <w:spacing w:val="-5"/>
        </w:rPr>
        <w:t> </w:t>
      </w:r>
      <w:r>
        <w:rPr/>
        <w:t>muestras.</w:t>
      </w:r>
    </w:p>
    <w:p>
      <w:pPr>
        <w:spacing w:after="0" w:line="276" w:lineRule="auto"/>
        <w:jc w:val="both"/>
        <w:sectPr>
          <w:pgSz w:w="12240" w:h="15840"/>
          <w:pgMar w:header="752" w:footer="998" w:top="1000" w:bottom="1180" w:left="1560" w:right="1560"/>
        </w:sectPr>
      </w:pPr>
    </w:p>
    <w:p>
      <w:pPr>
        <w:pStyle w:val="BodyText"/>
        <w:rPr>
          <w:sz w:val="29"/>
        </w:rPr>
      </w:pPr>
    </w:p>
    <w:p>
      <w:pPr>
        <w:pStyle w:val="BodyText"/>
        <w:spacing w:line="276" w:lineRule="auto" w:before="70"/>
        <w:ind w:left="139" w:right="133"/>
        <w:jc w:val="both"/>
      </w:pPr>
      <w:r>
        <w:rPr/>
        <w:t>En México existen algunos antecedentes o registros de estudios sanitarios en peces del país; sin embargo no existen reportes de enfermedad asociada a miembros del género </w:t>
      </w:r>
      <w:r>
        <w:rPr>
          <w:i/>
        </w:rPr>
        <w:t>Francisella </w:t>
      </w:r>
      <w:r>
        <w:rPr/>
        <w:t>en tilapia (</w:t>
      </w:r>
      <w:r>
        <w:rPr>
          <w:i/>
        </w:rPr>
        <w:t>Oreochromis </w:t>
      </w:r>
      <w:r>
        <w:rPr/>
        <w:t>sp.). Durante el segundo semestre del año 2012 se presentarón los primeros casos de la enfermedad en muestras de tilapia de una granja de reproducción del estado de Morelos y posteriormente en otras granjas de diferentes municipios de ese estado (Mancera </w:t>
      </w:r>
      <w:r>
        <w:rPr>
          <w:i/>
        </w:rPr>
        <w:t>et al</w:t>
      </w:r>
      <w:r>
        <w:rPr/>
        <w:t>., 2013a). Aun cuando la mortalidad en granjas fue baja, la morbilidad fue alta, facilitando</w:t>
      </w:r>
      <w:r>
        <w:rPr>
          <w:spacing w:val="-19"/>
        </w:rPr>
        <w:t> </w:t>
      </w:r>
      <w:r>
        <w:rPr/>
        <w:t>la</w:t>
      </w:r>
      <w:r>
        <w:rPr>
          <w:spacing w:val="-20"/>
        </w:rPr>
        <w:t> </w:t>
      </w:r>
      <w:r>
        <w:rPr/>
        <w:t>diseminación</w:t>
      </w:r>
      <w:r>
        <w:rPr>
          <w:spacing w:val="30"/>
        </w:rPr>
        <w:t> </w:t>
      </w:r>
      <w:r>
        <w:rPr/>
        <w:t>la</w:t>
      </w:r>
      <w:r>
        <w:rPr>
          <w:spacing w:val="-17"/>
        </w:rPr>
        <w:t> </w:t>
      </w:r>
      <w:r>
        <w:rPr/>
        <w:t>infección.</w:t>
      </w:r>
      <w:r>
        <w:rPr>
          <w:spacing w:val="-21"/>
        </w:rPr>
        <w:t> </w:t>
      </w:r>
      <w:r>
        <w:rPr/>
        <w:t>Durante</w:t>
      </w:r>
      <w:r>
        <w:rPr>
          <w:spacing w:val="-16"/>
        </w:rPr>
        <w:t> </w:t>
      </w:r>
      <w:r>
        <w:rPr/>
        <w:t>el</w:t>
      </w:r>
      <w:r>
        <w:rPr>
          <w:spacing w:val="-13"/>
        </w:rPr>
        <w:t> </w:t>
      </w:r>
      <w:r>
        <w:rPr/>
        <w:t>tiempo</w:t>
      </w:r>
      <w:r>
        <w:rPr>
          <w:spacing w:val="-16"/>
        </w:rPr>
        <w:t> </w:t>
      </w:r>
      <w:r>
        <w:rPr/>
        <w:t>que</w:t>
      </w:r>
      <w:r>
        <w:rPr>
          <w:spacing w:val="-16"/>
        </w:rPr>
        <w:t> </w:t>
      </w:r>
      <w:r>
        <w:rPr/>
        <w:t>ha</w:t>
      </w:r>
      <w:r>
        <w:rPr>
          <w:spacing w:val="-20"/>
        </w:rPr>
        <w:t> </w:t>
      </w:r>
      <w:r>
        <w:rPr/>
        <w:t>transcurrido</w:t>
      </w:r>
      <w:r>
        <w:rPr>
          <w:spacing w:val="-20"/>
        </w:rPr>
        <w:t> </w:t>
      </w:r>
      <w:r>
        <w:rPr/>
        <w:t>desde los primeros casos hasta el presente año la enfermedad se ha diseminado a otros estados</w:t>
      </w:r>
      <w:r>
        <w:rPr>
          <w:spacing w:val="-16"/>
        </w:rPr>
        <w:t> </w:t>
      </w:r>
      <w:r>
        <w:rPr/>
        <w:t>del</w:t>
      </w:r>
      <w:r>
        <w:rPr>
          <w:spacing w:val="-12"/>
        </w:rPr>
        <w:t> </w:t>
      </w:r>
      <w:r>
        <w:rPr/>
        <w:t>país</w:t>
      </w:r>
      <w:r>
        <w:rPr>
          <w:spacing w:val="-13"/>
        </w:rPr>
        <w:t> </w:t>
      </w:r>
      <w:r>
        <w:rPr/>
        <w:t>(Mancera</w:t>
      </w:r>
      <w:r>
        <w:rPr>
          <w:spacing w:val="-14"/>
        </w:rPr>
        <w:t> </w:t>
      </w:r>
      <w:r>
        <w:rPr>
          <w:i/>
        </w:rPr>
        <w:t>et</w:t>
      </w:r>
      <w:r>
        <w:rPr>
          <w:i/>
          <w:spacing w:val="-16"/>
        </w:rPr>
        <w:t> </w:t>
      </w:r>
      <w:r>
        <w:rPr>
          <w:i/>
        </w:rPr>
        <w:t>al</w:t>
      </w:r>
      <w:r>
        <w:rPr/>
        <w:t>.,</w:t>
      </w:r>
      <w:r>
        <w:rPr>
          <w:spacing w:val="-16"/>
        </w:rPr>
        <w:t> </w:t>
      </w:r>
      <w:r>
        <w:rPr/>
        <w:t>2013b).</w:t>
      </w:r>
      <w:r>
        <w:rPr>
          <w:spacing w:val="-16"/>
        </w:rPr>
        <w:t> </w:t>
      </w:r>
      <w:r>
        <w:rPr/>
        <w:t>Sin</w:t>
      </w:r>
      <w:r>
        <w:rPr>
          <w:spacing w:val="-16"/>
        </w:rPr>
        <w:t> </w:t>
      </w:r>
      <w:r>
        <w:rPr/>
        <w:t>embargo,</w:t>
      </w:r>
      <w:r>
        <w:rPr>
          <w:spacing w:val="37"/>
        </w:rPr>
        <w:t> </w:t>
      </w:r>
      <w:r>
        <w:rPr/>
        <w:t>no</w:t>
      </w:r>
      <w:r>
        <w:rPr>
          <w:spacing w:val="-16"/>
        </w:rPr>
        <w:t> </w:t>
      </w:r>
      <w:r>
        <w:rPr/>
        <w:t>se</w:t>
      </w:r>
      <w:r>
        <w:rPr>
          <w:spacing w:val="-15"/>
        </w:rPr>
        <w:t> </w:t>
      </w:r>
      <w:r>
        <w:rPr/>
        <w:t>conoce</w:t>
      </w:r>
      <w:r>
        <w:rPr>
          <w:spacing w:val="-16"/>
        </w:rPr>
        <w:t> </w:t>
      </w:r>
      <w:r>
        <w:rPr/>
        <w:t>su</w:t>
      </w:r>
      <w:r>
        <w:rPr>
          <w:spacing w:val="-16"/>
        </w:rPr>
        <w:t> </w:t>
      </w:r>
      <w:r>
        <w:rPr/>
        <w:t>distribución real.</w:t>
      </w:r>
    </w:p>
    <w:p>
      <w:pPr>
        <w:pStyle w:val="BodyText"/>
        <w:spacing w:line="276" w:lineRule="auto" w:before="207"/>
        <w:ind w:left="139" w:right="135"/>
        <w:jc w:val="both"/>
      </w:pPr>
      <w:r>
        <w:rPr/>
        <w:t>El diagnóstico de francisellosis puede realizarse utilizando distintas técnicas que tienen</w:t>
      </w:r>
      <w:r>
        <w:rPr>
          <w:spacing w:val="-18"/>
        </w:rPr>
        <w:t> </w:t>
      </w:r>
      <w:r>
        <w:rPr/>
        <w:t>diferente</w:t>
      </w:r>
      <w:r>
        <w:rPr>
          <w:spacing w:val="-18"/>
        </w:rPr>
        <w:t> </w:t>
      </w:r>
      <w:r>
        <w:rPr/>
        <w:t>nivel</w:t>
      </w:r>
      <w:r>
        <w:rPr>
          <w:spacing w:val="-18"/>
        </w:rPr>
        <w:t> </w:t>
      </w:r>
      <w:r>
        <w:rPr/>
        <w:t>de</w:t>
      </w:r>
      <w:r>
        <w:rPr>
          <w:spacing w:val="-18"/>
        </w:rPr>
        <w:t> </w:t>
      </w:r>
      <w:r>
        <w:rPr/>
        <w:t>sensibilidad;</w:t>
      </w:r>
      <w:r>
        <w:rPr>
          <w:spacing w:val="-18"/>
        </w:rPr>
        <w:t> </w:t>
      </w:r>
      <w:r>
        <w:rPr/>
        <w:t>tales</w:t>
      </w:r>
      <w:r>
        <w:rPr>
          <w:spacing w:val="-18"/>
        </w:rPr>
        <w:t> </w:t>
      </w:r>
      <w:r>
        <w:rPr>
          <w:spacing w:val="-3"/>
        </w:rPr>
        <w:t>como</w:t>
      </w:r>
      <w:r>
        <w:rPr>
          <w:spacing w:val="-11"/>
        </w:rPr>
        <w:t> </w:t>
      </w:r>
      <w:r>
        <w:rPr/>
        <w:t>el</w:t>
      </w:r>
      <w:r>
        <w:rPr>
          <w:spacing w:val="-14"/>
        </w:rPr>
        <w:t> </w:t>
      </w:r>
      <w:r>
        <w:rPr/>
        <w:t>diagnóstico</w:t>
      </w:r>
      <w:r>
        <w:rPr>
          <w:spacing w:val="-21"/>
        </w:rPr>
        <w:t> </w:t>
      </w:r>
      <w:r>
        <w:rPr/>
        <w:t>clínico</w:t>
      </w:r>
      <w:r>
        <w:rPr>
          <w:spacing w:val="-18"/>
        </w:rPr>
        <w:t> </w:t>
      </w:r>
      <w:r>
        <w:rPr/>
        <w:t>macroscópico mediante observación de los signos clínicos, lesiones macroscópicas y el análisis histopatológico por la observación de lesiones microscópicas, confirmándose mediante la técnica de PCR Punto final, amplificando el gen 16s rRNA específico del género</w:t>
      </w:r>
      <w:r>
        <w:rPr>
          <w:spacing w:val="-5"/>
        </w:rPr>
        <w:t> </w:t>
      </w:r>
      <w:r>
        <w:rPr/>
        <w:t>bacteriano.</w:t>
      </w:r>
    </w:p>
    <w:p>
      <w:pPr>
        <w:pStyle w:val="BodyText"/>
        <w:spacing w:line="276" w:lineRule="auto" w:before="207"/>
        <w:ind w:left="139" w:right="135"/>
        <w:jc w:val="both"/>
      </w:pPr>
      <w:r>
        <w:rPr/>
        <w:t>En</w:t>
      </w:r>
      <w:r>
        <w:rPr>
          <w:spacing w:val="-6"/>
        </w:rPr>
        <w:t> </w:t>
      </w:r>
      <w:r>
        <w:rPr/>
        <w:t>el</w:t>
      </w:r>
      <w:r>
        <w:rPr>
          <w:spacing w:val="-7"/>
        </w:rPr>
        <w:t> </w:t>
      </w:r>
      <w:r>
        <w:rPr/>
        <w:t>presente</w:t>
      </w:r>
      <w:r>
        <w:rPr>
          <w:spacing w:val="-6"/>
        </w:rPr>
        <w:t> </w:t>
      </w:r>
      <w:r>
        <w:rPr/>
        <w:t>trabajo</w:t>
      </w:r>
      <w:r>
        <w:rPr>
          <w:spacing w:val="-6"/>
        </w:rPr>
        <w:t> </w:t>
      </w:r>
      <w:r>
        <w:rPr/>
        <w:t>se</w:t>
      </w:r>
      <w:r>
        <w:rPr>
          <w:spacing w:val="-11"/>
        </w:rPr>
        <w:t> </w:t>
      </w:r>
      <w:r>
        <w:rPr/>
        <w:t>realizó una</w:t>
      </w:r>
      <w:r>
        <w:rPr>
          <w:spacing w:val="-5"/>
        </w:rPr>
        <w:t> </w:t>
      </w:r>
      <w:r>
        <w:rPr/>
        <w:t>comparación</w:t>
      </w:r>
      <w:r>
        <w:rPr>
          <w:spacing w:val="-10"/>
        </w:rPr>
        <w:t> </w:t>
      </w:r>
      <w:r>
        <w:rPr/>
        <w:t>de</w:t>
      </w:r>
      <w:r>
        <w:rPr>
          <w:spacing w:val="-11"/>
        </w:rPr>
        <w:t> </w:t>
      </w:r>
      <w:r>
        <w:rPr/>
        <w:t>la</w:t>
      </w:r>
      <w:r>
        <w:rPr>
          <w:spacing w:val="-10"/>
        </w:rPr>
        <w:t> </w:t>
      </w:r>
      <w:r>
        <w:rPr/>
        <w:t>sensibilidad</w:t>
      </w:r>
      <w:r>
        <w:rPr>
          <w:spacing w:val="-11"/>
        </w:rPr>
        <w:t> </w:t>
      </w:r>
      <w:r>
        <w:rPr/>
        <w:t>de</w:t>
      </w:r>
      <w:r>
        <w:rPr>
          <w:spacing w:val="-11"/>
        </w:rPr>
        <w:t> </w:t>
      </w:r>
      <w:r>
        <w:rPr/>
        <w:t>las</w:t>
      </w:r>
      <w:r>
        <w:rPr>
          <w:spacing w:val="-6"/>
        </w:rPr>
        <w:t> </w:t>
      </w:r>
      <w:r>
        <w:rPr/>
        <w:t>técnicas de diagnóstico: PCR Punto final y PCR Anidada para determinar cuál de estas ofrece</w:t>
      </w:r>
      <w:r>
        <w:rPr>
          <w:spacing w:val="-18"/>
        </w:rPr>
        <w:t> </w:t>
      </w:r>
      <w:r>
        <w:rPr/>
        <w:t>mayor</w:t>
      </w:r>
      <w:r>
        <w:rPr>
          <w:spacing w:val="-17"/>
        </w:rPr>
        <w:t> </w:t>
      </w:r>
      <w:r>
        <w:rPr/>
        <w:t>sensibilidad</w:t>
      </w:r>
      <w:r>
        <w:rPr>
          <w:spacing w:val="-13"/>
        </w:rPr>
        <w:t> </w:t>
      </w:r>
      <w:r>
        <w:rPr/>
        <w:t>para</w:t>
      </w:r>
      <w:r>
        <w:rPr>
          <w:spacing w:val="-17"/>
        </w:rPr>
        <w:t> </w:t>
      </w:r>
      <w:r>
        <w:rPr/>
        <w:t>el</w:t>
      </w:r>
      <w:r>
        <w:rPr>
          <w:spacing w:val="-14"/>
        </w:rPr>
        <w:t> </w:t>
      </w:r>
      <w:r>
        <w:rPr/>
        <w:t>diagnóstico</w:t>
      </w:r>
      <w:r>
        <w:rPr>
          <w:spacing w:val="-21"/>
        </w:rPr>
        <w:t> </w:t>
      </w:r>
      <w:r>
        <w:rPr/>
        <w:t>de</w:t>
      </w:r>
      <w:r>
        <w:rPr>
          <w:spacing w:val="-18"/>
        </w:rPr>
        <w:t> </w:t>
      </w:r>
      <w:r>
        <w:rPr/>
        <w:t>francisellosis</w:t>
      </w:r>
      <w:r>
        <w:rPr>
          <w:spacing w:val="-18"/>
        </w:rPr>
        <w:t> </w:t>
      </w:r>
      <w:r>
        <w:rPr/>
        <w:t>en</w:t>
      </w:r>
      <w:r>
        <w:rPr>
          <w:spacing w:val="-18"/>
        </w:rPr>
        <w:t> </w:t>
      </w:r>
      <w:r>
        <w:rPr/>
        <w:t>muestras</w:t>
      </w:r>
      <w:r>
        <w:rPr>
          <w:spacing w:val="-18"/>
        </w:rPr>
        <w:t> </w:t>
      </w:r>
      <w:r>
        <w:rPr/>
        <w:t>de</w:t>
      </w:r>
      <w:r>
        <w:rPr>
          <w:spacing w:val="-18"/>
        </w:rPr>
        <w:t> </w:t>
      </w:r>
      <w:r>
        <w:rPr/>
        <w:t>tilapia (</w:t>
      </w:r>
      <w:r>
        <w:rPr>
          <w:i/>
        </w:rPr>
        <w:t>Oreochromis </w:t>
      </w:r>
      <w:r>
        <w:rPr/>
        <w:t>sp.), también se realizo el análisis clínico macroscópico, análisis histopatológico de las muestras obtenidas. Se observó que el PCR Anidado presenta</w:t>
      </w:r>
      <w:r>
        <w:rPr>
          <w:spacing w:val="-9"/>
        </w:rPr>
        <w:t> </w:t>
      </w:r>
      <w:r>
        <w:rPr/>
        <w:t>un</w:t>
      </w:r>
      <w:r>
        <w:rPr>
          <w:spacing w:val="-12"/>
        </w:rPr>
        <w:t> </w:t>
      </w:r>
      <w:r>
        <w:rPr/>
        <w:t>100%</w:t>
      </w:r>
      <w:r>
        <w:rPr>
          <w:spacing w:val="-8"/>
        </w:rPr>
        <w:t> </w:t>
      </w:r>
      <w:r>
        <w:rPr/>
        <w:t>de</w:t>
      </w:r>
      <w:r>
        <w:rPr>
          <w:spacing w:val="-11"/>
        </w:rPr>
        <w:t> </w:t>
      </w:r>
      <w:r>
        <w:rPr/>
        <w:t>sensibilidad</w:t>
      </w:r>
      <w:r>
        <w:rPr>
          <w:spacing w:val="-9"/>
        </w:rPr>
        <w:t> </w:t>
      </w:r>
      <w:r>
        <w:rPr/>
        <w:t>contra</w:t>
      </w:r>
      <w:r>
        <w:rPr>
          <w:spacing w:val="-7"/>
        </w:rPr>
        <w:t> </w:t>
      </w:r>
      <w:r>
        <w:rPr/>
        <w:t>el</w:t>
      </w:r>
      <w:r>
        <w:rPr>
          <w:spacing w:val="-8"/>
        </w:rPr>
        <w:t> </w:t>
      </w:r>
      <w:r>
        <w:rPr/>
        <w:t>86%</w:t>
      </w:r>
      <w:r>
        <w:rPr>
          <w:spacing w:val="-9"/>
        </w:rPr>
        <w:t> </w:t>
      </w:r>
      <w:r>
        <w:rPr/>
        <w:t>del</w:t>
      </w:r>
      <w:r>
        <w:rPr>
          <w:spacing w:val="-8"/>
        </w:rPr>
        <w:t> </w:t>
      </w:r>
      <w:r>
        <w:rPr/>
        <w:t>punto</w:t>
      </w:r>
      <w:r>
        <w:rPr>
          <w:spacing w:val="-11"/>
        </w:rPr>
        <w:t> </w:t>
      </w:r>
      <w:r>
        <w:rPr/>
        <w:t>final</w:t>
      </w:r>
      <w:r>
        <w:rPr>
          <w:spacing w:val="-1"/>
        </w:rPr>
        <w:t> </w:t>
      </w:r>
      <w:r>
        <w:rPr/>
        <w:t>al</w:t>
      </w:r>
      <w:r>
        <w:rPr>
          <w:spacing w:val="-8"/>
        </w:rPr>
        <w:t> </w:t>
      </w:r>
      <w:r>
        <w:rPr/>
        <w:t>analizar</w:t>
      </w:r>
      <w:r>
        <w:rPr>
          <w:spacing w:val="-6"/>
        </w:rPr>
        <w:t> </w:t>
      </w:r>
      <w:r>
        <w:rPr/>
        <w:t>muestras de tilapias que no presentan signos clínicos de enfermedad</w:t>
      </w:r>
      <w:r>
        <w:rPr>
          <w:spacing w:val="-21"/>
        </w:rPr>
        <w:t> </w:t>
      </w:r>
      <w:r>
        <w:rPr/>
        <w:t>aparente.</w:t>
      </w:r>
    </w:p>
    <w:p>
      <w:pPr>
        <w:pStyle w:val="BodyText"/>
        <w:spacing w:before="10"/>
        <w:rPr>
          <w:sz w:val="20"/>
        </w:rPr>
      </w:pPr>
    </w:p>
    <w:p>
      <w:pPr>
        <w:pStyle w:val="Heading1"/>
        <w:numPr>
          <w:ilvl w:val="0"/>
          <w:numId w:val="3"/>
        </w:numPr>
        <w:tabs>
          <w:tab w:pos="409" w:val="left" w:leader="none"/>
        </w:tabs>
        <w:spacing w:line="240" w:lineRule="auto" w:before="0" w:after="0"/>
        <w:ind w:left="408" w:right="0" w:hanging="269"/>
        <w:jc w:val="both"/>
      </w:pPr>
      <w:bookmarkStart w:name="_bookmark7" w:id="9"/>
      <w:bookmarkEnd w:id="9"/>
      <w:r>
        <w:rPr>
          <w:b w:val="0"/>
        </w:rPr>
      </w:r>
      <w:bookmarkStart w:name="_bookmark7" w:id="10"/>
      <w:bookmarkEnd w:id="10"/>
      <w:r>
        <w:rPr>
          <w:color w:val="365F91"/>
        </w:rPr>
        <w:t>R</w:t>
      </w:r>
      <w:r>
        <w:rPr>
          <w:color w:val="365F91"/>
        </w:rPr>
        <w:t>EVISIÓN DE</w:t>
      </w:r>
      <w:r>
        <w:rPr>
          <w:color w:val="365F91"/>
          <w:spacing w:val="-11"/>
        </w:rPr>
        <w:t> </w:t>
      </w:r>
      <w:r>
        <w:rPr>
          <w:color w:val="365F91"/>
        </w:rPr>
        <w:t>LITERATURA</w:t>
      </w:r>
    </w:p>
    <w:p>
      <w:pPr>
        <w:pStyle w:val="Heading1"/>
        <w:numPr>
          <w:ilvl w:val="1"/>
          <w:numId w:val="3"/>
        </w:numPr>
        <w:tabs>
          <w:tab w:pos="542" w:val="left" w:leader="none"/>
        </w:tabs>
        <w:spacing w:line="240" w:lineRule="auto" w:before="84" w:after="0"/>
        <w:ind w:left="139" w:right="0" w:firstLine="0"/>
        <w:jc w:val="both"/>
      </w:pPr>
      <w:bookmarkStart w:name="_bookmark8" w:id="11"/>
      <w:bookmarkEnd w:id="11"/>
      <w:r>
        <w:rPr>
          <w:b w:val="0"/>
        </w:rPr>
      </w:r>
      <w:bookmarkStart w:name="_bookmark8" w:id="12"/>
      <w:bookmarkEnd w:id="12"/>
      <w:r>
        <w:rPr>
          <w:color w:val="365F91"/>
        </w:rPr>
        <w:t>A</w:t>
      </w:r>
      <w:r>
        <w:rPr>
          <w:color w:val="365F91"/>
        </w:rPr>
        <w:t>cuicultura en el</w:t>
      </w:r>
      <w:r>
        <w:rPr>
          <w:color w:val="365F91"/>
          <w:spacing w:val="-12"/>
        </w:rPr>
        <w:t> </w:t>
      </w:r>
      <w:r>
        <w:rPr>
          <w:color w:val="365F91"/>
        </w:rPr>
        <w:t>mundo</w:t>
      </w:r>
    </w:p>
    <w:p>
      <w:pPr>
        <w:pStyle w:val="BodyText"/>
        <w:spacing w:line="276" w:lineRule="auto" w:before="45"/>
        <w:ind w:left="139" w:right="136"/>
        <w:jc w:val="both"/>
      </w:pPr>
      <w:r>
        <w:rPr/>
        <w:t>Ante el crecimiento sostenido de la producción de pescado y la </w:t>
      </w:r>
      <w:r>
        <w:rPr>
          <w:spacing w:val="-3"/>
        </w:rPr>
        <w:t>mejora </w:t>
      </w:r>
      <w:r>
        <w:rPr/>
        <w:t>de los canales de distribución, el suministro mundial de alimentos pesqueros ha aumentado considerablemente en las últimas cinco décadas, con una tasa media de</w:t>
      </w:r>
      <w:r>
        <w:rPr>
          <w:spacing w:val="-12"/>
        </w:rPr>
        <w:t> </w:t>
      </w:r>
      <w:r>
        <w:rPr/>
        <w:t>crecimiento</w:t>
      </w:r>
      <w:r>
        <w:rPr>
          <w:spacing w:val="-16"/>
        </w:rPr>
        <w:t> </w:t>
      </w:r>
      <w:r>
        <w:rPr/>
        <w:t>del</w:t>
      </w:r>
      <w:r>
        <w:rPr>
          <w:spacing w:val="-10"/>
        </w:rPr>
        <w:t> </w:t>
      </w:r>
      <w:r>
        <w:rPr/>
        <w:t>3,2%</w:t>
      </w:r>
      <w:r>
        <w:rPr>
          <w:spacing w:val="-14"/>
        </w:rPr>
        <w:t> </w:t>
      </w:r>
      <w:r>
        <w:rPr/>
        <w:t>anual</w:t>
      </w:r>
      <w:r>
        <w:rPr>
          <w:spacing w:val="-8"/>
        </w:rPr>
        <w:t> </w:t>
      </w:r>
      <w:r>
        <w:rPr/>
        <w:t>en</w:t>
      </w:r>
      <w:r>
        <w:rPr>
          <w:spacing w:val="-16"/>
        </w:rPr>
        <w:t> </w:t>
      </w:r>
      <w:r>
        <w:rPr/>
        <w:t>el</w:t>
      </w:r>
      <w:r>
        <w:rPr>
          <w:spacing w:val="-13"/>
        </w:rPr>
        <w:t> </w:t>
      </w:r>
      <w:r>
        <w:rPr/>
        <w:t>período</w:t>
      </w:r>
      <w:r>
        <w:rPr>
          <w:spacing w:val="-17"/>
        </w:rPr>
        <w:t> </w:t>
      </w:r>
      <w:r>
        <w:rPr/>
        <w:t>de</w:t>
      </w:r>
      <w:r>
        <w:rPr>
          <w:spacing w:val="-12"/>
        </w:rPr>
        <w:t> </w:t>
      </w:r>
      <w:r>
        <w:rPr/>
        <w:t>1961</w:t>
      </w:r>
      <w:r>
        <w:rPr>
          <w:spacing w:val="-16"/>
        </w:rPr>
        <w:t> </w:t>
      </w:r>
      <w:r>
        <w:rPr/>
        <w:t>a</w:t>
      </w:r>
      <w:r>
        <w:rPr>
          <w:spacing w:val="-16"/>
        </w:rPr>
        <w:t> </w:t>
      </w:r>
      <w:r>
        <w:rPr/>
        <w:t>2009.</w:t>
      </w:r>
      <w:r>
        <w:rPr>
          <w:spacing w:val="-17"/>
        </w:rPr>
        <w:t> </w:t>
      </w:r>
      <w:r>
        <w:rPr/>
        <w:t>En</w:t>
      </w:r>
      <w:r>
        <w:rPr>
          <w:spacing w:val="-12"/>
        </w:rPr>
        <w:t> </w:t>
      </w:r>
      <w:r>
        <w:rPr/>
        <w:t>2009,</w:t>
      </w:r>
      <w:r>
        <w:rPr>
          <w:spacing w:val="-10"/>
        </w:rPr>
        <w:t> </w:t>
      </w:r>
      <w:r>
        <w:rPr/>
        <w:t>los</w:t>
      </w:r>
      <w:r>
        <w:rPr>
          <w:spacing w:val="-12"/>
        </w:rPr>
        <w:t> </w:t>
      </w:r>
      <w:r>
        <w:rPr/>
        <w:t>productos de pesca representaron un 16,6 por ciento del aporte de proteínas animales a la población </w:t>
      </w:r>
      <w:r>
        <w:rPr>
          <w:spacing w:val="-2"/>
        </w:rPr>
        <w:t>humana </w:t>
      </w:r>
      <w:r>
        <w:rPr/>
        <w:t>y el 6,5 por ciento de todas las proteínas consumidas. De esta manera, los productos pesqueros representan una fuente </w:t>
      </w:r>
      <w:r>
        <w:rPr>
          <w:spacing w:val="-3"/>
        </w:rPr>
        <w:t>muy </w:t>
      </w:r>
      <w:r>
        <w:rPr/>
        <w:t>valiosa de proteínas y nutrientes esenciales para tener una nutrición equilibrada y disfrutar de buena salud </w:t>
      </w:r>
      <w:r>
        <w:rPr>
          <w:rFonts w:ascii="Calibri" w:hAnsi="Calibri"/>
          <w:spacing w:val="-3"/>
          <w:sz w:val="22"/>
        </w:rPr>
        <w:t>(</w:t>
      </w:r>
      <w:r>
        <w:rPr>
          <w:spacing w:val="-3"/>
        </w:rPr>
        <w:t>El </w:t>
      </w:r>
      <w:r>
        <w:rPr/>
        <w:t>estado mundial de la pesca y la acuicultura,</w:t>
      </w:r>
      <w:r>
        <w:rPr>
          <w:spacing w:val="-17"/>
        </w:rPr>
        <w:t> </w:t>
      </w:r>
      <w:r>
        <w:rPr/>
        <w:t>2012).</w:t>
      </w:r>
    </w:p>
    <w:p>
      <w:pPr>
        <w:pStyle w:val="BodyText"/>
        <w:spacing w:line="278" w:lineRule="auto" w:before="197"/>
        <w:ind w:left="139" w:right="135"/>
        <w:jc w:val="both"/>
      </w:pPr>
      <w:r>
        <w:rPr/>
        <w:t>En el ámbito mundial, el pescado proporciona a unos 3 000 millones de personas cerca del 20 % de su aporte de proteína de origen animal y a otras 4 300 millones les aporta el    15% de dicha proteína. Sin embargo, tanto en los países en vías de</w:t>
      </w:r>
    </w:p>
    <w:p>
      <w:pPr>
        <w:spacing w:after="0" w:line="278" w:lineRule="auto"/>
        <w:jc w:val="both"/>
        <w:sectPr>
          <w:pgSz w:w="12240" w:h="15840"/>
          <w:pgMar w:header="752" w:footer="998" w:top="1000" w:bottom="1180" w:left="1560" w:right="1560"/>
        </w:sectPr>
      </w:pPr>
    </w:p>
    <w:p>
      <w:pPr>
        <w:pStyle w:val="BodyText"/>
        <w:rPr>
          <w:sz w:val="29"/>
        </w:rPr>
      </w:pPr>
    </w:p>
    <w:p>
      <w:pPr>
        <w:pStyle w:val="BodyText"/>
        <w:spacing w:line="273" w:lineRule="auto" w:before="70"/>
        <w:ind w:left="139" w:right="137"/>
        <w:jc w:val="both"/>
      </w:pPr>
      <w:r>
        <w:rPr/>
        <w:t>desarrollo como en los desarrollados esta proporción ha disminuido ligeramente</w:t>
      </w:r>
      <w:r>
        <w:rPr>
          <w:spacing w:val="-35"/>
        </w:rPr>
        <w:t> </w:t>
      </w:r>
      <w:r>
        <w:rPr/>
        <w:t>en los últimos años al haber aumentado con mayor rapidez el consumo de otras proteínas de origen animal (El estado mundial de la pesca y la acuicultura,</w:t>
      </w:r>
      <w:r>
        <w:rPr>
          <w:spacing w:val="-38"/>
        </w:rPr>
        <w:t> </w:t>
      </w:r>
      <w:r>
        <w:rPr/>
        <w:t>2012).</w:t>
      </w:r>
    </w:p>
    <w:p>
      <w:pPr>
        <w:pStyle w:val="BodyText"/>
        <w:spacing w:line="276" w:lineRule="auto" w:before="210"/>
        <w:ind w:left="139" w:right="135"/>
        <w:jc w:val="both"/>
      </w:pPr>
      <w:r>
        <w:rPr/>
        <w:t>En el año 2010, </w:t>
      </w:r>
      <w:r>
        <w:rPr>
          <w:spacing w:val="3"/>
        </w:rPr>
        <w:t>la </w:t>
      </w:r>
      <w:r>
        <w:rPr/>
        <w:t>pesca de captura y la acuicultura aportaron al mundo unos 148 millones de toneladas de pescado, con un valor total de 217 500 millones de USD. De lo anterior, aproximadamente 128 millones de toneladas se destinaron al consumo</w:t>
      </w:r>
      <w:r>
        <w:rPr>
          <w:spacing w:val="-17"/>
        </w:rPr>
        <w:t> </w:t>
      </w:r>
      <w:r>
        <w:rPr/>
        <w:t>humano,</w:t>
      </w:r>
      <w:r>
        <w:rPr>
          <w:spacing w:val="-17"/>
        </w:rPr>
        <w:t> </w:t>
      </w:r>
      <w:r>
        <w:rPr/>
        <w:t>incrementándose</w:t>
      </w:r>
      <w:r>
        <w:rPr>
          <w:spacing w:val="-21"/>
        </w:rPr>
        <w:t> </w:t>
      </w:r>
      <w:r>
        <w:rPr/>
        <w:t>la</w:t>
      </w:r>
      <w:r>
        <w:rPr>
          <w:spacing w:val="-21"/>
        </w:rPr>
        <w:t> </w:t>
      </w:r>
      <w:r>
        <w:rPr/>
        <w:t>producción</w:t>
      </w:r>
      <w:r>
        <w:rPr>
          <w:spacing w:val="-13"/>
        </w:rPr>
        <w:t> </w:t>
      </w:r>
      <w:r>
        <w:rPr/>
        <w:t>para</w:t>
      </w:r>
      <w:r>
        <w:rPr>
          <w:spacing w:val="-17"/>
        </w:rPr>
        <w:t> </w:t>
      </w:r>
      <w:r>
        <w:rPr/>
        <w:t>2011</w:t>
      </w:r>
      <w:r>
        <w:rPr>
          <w:spacing w:val="-16"/>
        </w:rPr>
        <w:t> </w:t>
      </w:r>
      <w:r>
        <w:rPr/>
        <w:t>hasta</w:t>
      </w:r>
      <w:r>
        <w:rPr>
          <w:spacing w:val="-17"/>
        </w:rPr>
        <w:t> </w:t>
      </w:r>
      <w:r>
        <w:rPr/>
        <w:t>alcanzar</w:t>
      </w:r>
      <w:r>
        <w:rPr>
          <w:spacing w:val="-20"/>
        </w:rPr>
        <w:t> </w:t>
      </w:r>
      <w:r>
        <w:rPr/>
        <w:t>los</w:t>
      </w:r>
      <w:r>
        <w:rPr>
          <w:spacing w:val="-22"/>
        </w:rPr>
        <w:t> </w:t>
      </w:r>
      <w:r>
        <w:rPr/>
        <w:t>154 millones de toneladas, de los cuales 131 millones de toneladas se destinaron a alimentación</w:t>
      </w:r>
      <w:r>
        <w:rPr>
          <w:spacing w:val="-9"/>
        </w:rPr>
        <w:t> </w:t>
      </w:r>
      <w:r>
        <w:rPr/>
        <w:t>humana.</w:t>
      </w:r>
    </w:p>
    <w:p>
      <w:pPr>
        <w:pStyle w:val="BodyText"/>
        <w:spacing w:line="273" w:lineRule="auto" w:before="207"/>
        <w:ind w:left="139" w:right="135"/>
        <w:jc w:val="both"/>
      </w:pPr>
      <w:r>
        <w:rPr/>
        <w:t>A nivel mundial la producción acuícola se encuentra distribuida dentro de los cinco continentes. Asia representa el 88.39% de la producción mundial, tan solo China genera el 61.69% de ese total. El continente americano participa con un 4.78%, en donde América latina tiene la mayor participación; Europa produce 4.32%, África el 2.23% y en último lugar Oceanía con menos del 1% del total mundial (El estado mundial de la pesca y la acuicultura, 2012).</w:t>
      </w:r>
    </w:p>
    <w:p>
      <w:pPr>
        <w:pStyle w:val="Heading1"/>
        <w:numPr>
          <w:ilvl w:val="1"/>
          <w:numId w:val="3"/>
        </w:numPr>
        <w:tabs>
          <w:tab w:pos="542" w:val="left" w:leader="none"/>
        </w:tabs>
        <w:spacing w:line="240" w:lineRule="auto" w:before="205" w:after="0"/>
        <w:ind w:left="541" w:right="0" w:hanging="402"/>
        <w:jc w:val="both"/>
      </w:pPr>
      <w:bookmarkStart w:name="_bookmark9" w:id="13"/>
      <w:bookmarkEnd w:id="13"/>
      <w:r>
        <w:rPr>
          <w:b w:val="0"/>
        </w:rPr>
      </w:r>
      <w:bookmarkStart w:name="_bookmark9" w:id="14"/>
      <w:bookmarkEnd w:id="14"/>
      <w:r>
        <w:rPr>
          <w:color w:val="365F91"/>
        </w:rPr>
        <w:t>A</w:t>
      </w:r>
      <w:r>
        <w:rPr>
          <w:color w:val="365F91"/>
        </w:rPr>
        <w:t>cuicultura en</w:t>
      </w:r>
      <w:r>
        <w:rPr>
          <w:color w:val="365F91"/>
          <w:spacing w:val="-16"/>
        </w:rPr>
        <w:t> </w:t>
      </w:r>
      <w:r>
        <w:rPr>
          <w:color w:val="365F91"/>
        </w:rPr>
        <w:t>México</w:t>
      </w:r>
    </w:p>
    <w:p>
      <w:pPr>
        <w:pStyle w:val="BodyText"/>
        <w:spacing w:line="273" w:lineRule="auto" w:before="45"/>
        <w:ind w:left="139" w:right="136"/>
        <w:jc w:val="both"/>
      </w:pPr>
      <w:r>
        <w:rPr/>
        <w:t>La</w:t>
      </w:r>
      <w:r>
        <w:rPr>
          <w:spacing w:val="-16"/>
        </w:rPr>
        <w:t> </w:t>
      </w:r>
      <w:r>
        <w:rPr/>
        <w:t>acuicultura</w:t>
      </w:r>
      <w:r>
        <w:rPr>
          <w:spacing w:val="-13"/>
        </w:rPr>
        <w:t> </w:t>
      </w:r>
      <w:r>
        <w:rPr/>
        <w:t>en</w:t>
      </w:r>
      <w:r>
        <w:rPr>
          <w:spacing w:val="-16"/>
        </w:rPr>
        <w:t> </w:t>
      </w:r>
      <w:r>
        <w:rPr/>
        <w:t>México</w:t>
      </w:r>
      <w:r>
        <w:rPr>
          <w:spacing w:val="-16"/>
        </w:rPr>
        <w:t> </w:t>
      </w:r>
      <w:r>
        <w:rPr/>
        <w:t>constituye</w:t>
      </w:r>
      <w:r>
        <w:rPr>
          <w:spacing w:val="-16"/>
        </w:rPr>
        <w:t> </w:t>
      </w:r>
      <w:r>
        <w:rPr/>
        <w:t>una</w:t>
      </w:r>
      <w:r>
        <w:rPr>
          <w:spacing w:val="-16"/>
        </w:rPr>
        <w:t> </w:t>
      </w:r>
      <w:r>
        <w:rPr/>
        <w:t>fuente</w:t>
      </w:r>
      <w:r>
        <w:rPr>
          <w:spacing w:val="-16"/>
        </w:rPr>
        <w:t> </w:t>
      </w:r>
      <w:r>
        <w:rPr/>
        <w:t>importante</w:t>
      </w:r>
      <w:r>
        <w:rPr>
          <w:spacing w:val="-15"/>
        </w:rPr>
        <w:t> </w:t>
      </w:r>
      <w:r>
        <w:rPr/>
        <w:t>de</w:t>
      </w:r>
      <w:r>
        <w:rPr>
          <w:spacing w:val="-11"/>
        </w:rPr>
        <w:t> </w:t>
      </w:r>
      <w:r>
        <w:rPr/>
        <w:t>alimentos,</w:t>
      </w:r>
      <w:r>
        <w:rPr>
          <w:spacing w:val="-15"/>
        </w:rPr>
        <w:t> </w:t>
      </w:r>
      <w:r>
        <w:rPr/>
        <w:t>y</w:t>
      </w:r>
      <w:r>
        <w:rPr>
          <w:spacing w:val="-16"/>
        </w:rPr>
        <w:t> </w:t>
      </w:r>
      <w:r>
        <w:rPr/>
        <w:t>un</w:t>
      </w:r>
      <w:r>
        <w:rPr>
          <w:spacing w:val="36"/>
        </w:rPr>
        <w:t> </w:t>
      </w:r>
      <w:r>
        <w:rPr/>
        <w:t>apoyo en la generación de empleos, recreación, comercio y bienestar económico para el país, tomando en cuenta que ha sido una actividad </w:t>
      </w:r>
      <w:r>
        <w:rPr>
          <w:spacing w:val="-3"/>
        </w:rPr>
        <w:t>muy </w:t>
      </w:r>
      <w:r>
        <w:rPr/>
        <w:t>productiva en el pasado y con los principios de sostenibilidad para las generaciones</w:t>
      </w:r>
      <w:r>
        <w:rPr>
          <w:spacing w:val="-19"/>
        </w:rPr>
        <w:t> </w:t>
      </w:r>
      <w:r>
        <w:rPr/>
        <w:t>futuras.</w:t>
      </w:r>
    </w:p>
    <w:p>
      <w:pPr>
        <w:pStyle w:val="BodyText"/>
        <w:spacing w:line="276" w:lineRule="auto" w:before="209"/>
        <w:ind w:left="139" w:right="135"/>
        <w:jc w:val="both"/>
      </w:pPr>
      <w:r>
        <w:rPr/>
        <w:t>Durante muchos años la pesca en México se consideró una actividad casi de autoconsumo; realizándose </w:t>
      </w:r>
      <w:r>
        <w:rPr>
          <w:spacing w:val="3"/>
        </w:rPr>
        <w:t>la </w:t>
      </w:r>
      <w:r>
        <w:rPr/>
        <w:t>comercialización de productos de mejor calidad que tenían </w:t>
      </w:r>
      <w:r>
        <w:rPr>
          <w:spacing w:val="-4"/>
        </w:rPr>
        <w:t>como </w:t>
      </w:r>
      <w:r>
        <w:rPr/>
        <w:t>principal destino el mercado de Estados Unidos. Durante los últimos años</w:t>
      </w:r>
      <w:r>
        <w:rPr>
          <w:spacing w:val="-16"/>
        </w:rPr>
        <w:t> </w:t>
      </w:r>
      <w:r>
        <w:rPr/>
        <w:t>la</w:t>
      </w:r>
      <w:r>
        <w:rPr>
          <w:spacing w:val="-11"/>
        </w:rPr>
        <w:t> </w:t>
      </w:r>
      <w:r>
        <w:rPr/>
        <w:t>actividad</w:t>
      </w:r>
      <w:r>
        <w:rPr>
          <w:spacing w:val="-9"/>
        </w:rPr>
        <w:t> </w:t>
      </w:r>
      <w:r>
        <w:rPr/>
        <w:t>se</w:t>
      </w:r>
      <w:r>
        <w:rPr>
          <w:spacing w:val="-15"/>
        </w:rPr>
        <w:t> </w:t>
      </w:r>
      <w:r>
        <w:rPr/>
        <w:t>ha</w:t>
      </w:r>
      <w:r>
        <w:rPr>
          <w:spacing w:val="-16"/>
        </w:rPr>
        <w:t> </w:t>
      </w:r>
      <w:r>
        <w:rPr/>
        <w:t>diversificado</w:t>
      </w:r>
      <w:r>
        <w:rPr>
          <w:spacing w:val="-12"/>
        </w:rPr>
        <w:t> </w:t>
      </w:r>
      <w:r>
        <w:rPr/>
        <w:t>encontrando</w:t>
      </w:r>
      <w:r>
        <w:rPr>
          <w:spacing w:val="-9"/>
        </w:rPr>
        <w:t> </w:t>
      </w:r>
      <w:r>
        <w:rPr/>
        <w:t>un</w:t>
      </w:r>
      <w:r>
        <w:rPr>
          <w:spacing w:val="-15"/>
        </w:rPr>
        <w:t> </w:t>
      </w:r>
      <w:r>
        <w:rPr/>
        <w:t>mercado</w:t>
      </w:r>
      <w:r>
        <w:rPr>
          <w:spacing w:val="-11"/>
        </w:rPr>
        <w:t> </w:t>
      </w:r>
      <w:r>
        <w:rPr>
          <w:spacing w:val="-3"/>
        </w:rPr>
        <w:t>más</w:t>
      </w:r>
      <w:r>
        <w:rPr>
          <w:spacing w:val="-12"/>
        </w:rPr>
        <w:t> </w:t>
      </w:r>
      <w:r>
        <w:rPr/>
        <w:t>amplio</w:t>
      </w:r>
      <w:r>
        <w:rPr>
          <w:spacing w:val="-7"/>
        </w:rPr>
        <w:t> </w:t>
      </w:r>
      <w:r>
        <w:rPr/>
        <w:t>ofertando productos de mayor calidad (Anuario,</w:t>
      </w:r>
      <w:r>
        <w:rPr>
          <w:spacing w:val="-8"/>
        </w:rPr>
        <w:t> </w:t>
      </w:r>
      <w:r>
        <w:rPr/>
        <w:t>2011).</w:t>
      </w:r>
    </w:p>
    <w:p>
      <w:pPr>
        <w:pStyle w:val="BodyText"/>
        <w:spacing w:line="276" w:lineRule="auto" w:before="207"/>
        <w:ind w:left="139" w:right="135"/>
        <w:jc w:val="both"/>
      </w:pPr>
      <w:r>
        <w:rPr/>
        <w:t>En México, </w:t>
      </w:r>
      <w:r>
        <w:rPr>
          <w:spacing w:val="3"/>
        </w:rPr>
        <w:t>la </w:t>
      </w:r>
      <w:r>
        <w:rPr/>
        <w:t>acuicultura nació como una actividad de apoyo social a las comunidades rurales, con lo cual se pretendía incrementar el consumo de proteína animal</w:t>
      </w:r>
      <w:r>
        <w:rPr>
          <w:spacing w:val="-7"/>
        </w:rPr>
        <w:t> </w:t>
      </w:r>
      <w:r>
        <w:rPr/>
        <w:t>y</w:t>
      </w:r>
      <w:r>
        <w:rPr>
          <w:spacing w:val="-12"/>
        </w:rPr>
        <w:t> </w:t>
      </w:r>
      <w:r>
        <w:rPr/>
        <w:t>mejorar</w:t>
      </w:r>
      <w:r>
        <w:rPr>
          <w:spacing w:val="-10"/>
        </w:rPr>
        <w:t> </w:t>
      </w:r>
      <w:r>
        <w:rPr/>
        <w:t>así</w:t>
      </w:r>
      <w:r>
        <w:rPr>
          <w:spacing w:val="-11"/>
        </w:rPr>
        <w:t> </w:t>
      </w:r>
      <w:r>
        <w:rPr/>
        <w:t>los</w:t>
      </w:r>
      <w:r>
        <w:rPr>
          <w:spacing w:val="-12"/>
        </w:rPr>
        <w:t> </w:t>
      </w:r>
      <w:r>
        <w:rPr/>
        <w:t>niveles</w:t>
      </w:r>
      <w:r>
        <w:rPr>
          <w:spacing w:val="-12"/>
        </w:rPr>
        <w:t> </w:t>
      </w:r>
      <w:r>
        <w:rPr/>
        <w:t>nutricionales</w:t>
      </w:r>
      <w:r>
        <w:rPr>
          <w:spacing w:val="-11"/>
        </w:rPr>
        <w:t> </w:t>
      </w:r>
      <w:r>
        <w:rPr/>
        <w:t>de</w:t>
      </w:r>
      <w:r>
        <w:rPr>
          <w:spacing w:val="-11"/>
        </w:rPr>
        <w:t> </w:t>
      </w:r>
      <w:r>
        <w:rPr/>
        <w:t>la</w:t>
      </w:r>
      <w:r>
        <w:rPr>
          <w:spacing w:val="-11"/>
        </w:rPr>
        <w:t> </w:t>
      </w:r>
      <w:r>
        <w:rPr/>
        <w:t>población.</w:t>
      </w:r>
      <w:r>
        <w:rPr>
          <w:spacing w:val="-11"/>
        </w:rPr>
        <w:t> </w:t>
      </w:r>
      <w:r>
        <w:rPr/>
        <w:t>Aunque</w:t>
      </w:r>
      <w:r>
        <w:rPr>
          <w:spacing w:val="-11"/>
        </w:rPr>
        <w:t> </w:t>
      </w:r>
      <w:r>
        <w:rPr/>
        <w:t>esta</w:t>
      </w:r>
      <w:r>
        <w:rPr>
          <w:spacing w:val="-10"/>
        </w:rPr>
        <w:t> </w:t>
      </w:r>
      <w:r>
        <w:rPr/>
        <w:t>actividad se ha diversificado </w:t>
      </w:r>
      <w:r>
        <w:rPr>
          <w:spacing w:val="-3"/>
        </w:rPr>
        <w:t>más </w:t>
      </w:r>
      <w:r>
        <w:rPr/>
        <w:t>hacia peces de agua dulce también se lleva a cabo en especies marinas, ya que la acuicultura es una alternativa viable ante la creciente demanda de alimentos de origen proteico para el consumo humano. A partir de 1989 la piscicultura marina empezó a desarrollarse de manera experimental, iniciándose básicamente con los estudios biológico-reproductivos de especies de alto</w:t>
      </w:r>
      <w:r>
        <w:rPr>
          <w:spacing w:val="-16"/>
        </w:rPr>
        <w:t> </w:t>
      </w:r>
      <w:r>
        <w:rPr/>
        <w:t>valor</w:t>
      </w:r>
      <w:r>
        <w:rPr>
          <w:spacing w:val="-16"/>
        </w:rPr>
        <w:t> </w:t>
      </w:r>
      <w:r>
        <w:rPr/>
        <w:t>comercial</w:t>
      </w:r>
      <w:r>
        <w:rPr>
          <w:spacing w:val="-13"/>
        </w:rPr>
        <w:t> </w:t>
      </w:r>
      <w:r>
        <w:rPr/>
        <w:t>como</w:t>
      </w:r>
      <w:r>
        <w:rPr>
          <w:spacing w:val="-17"/>
        </w:rPr>
        <w:t> </w:t>
      </w:r>
      <w:r>
        <w:rPr/>
        <w:t>la</w:t>
      </w:r>
      <w:r>
        <w:rPr>
          <w:spacing w:val="-17"/>
        </w:rPr>
        <w:t> </w:t>
      </w:r>
      <w:r>
        <w:rPr/>
        <w:t>cabrilla,</w:t>
      </w:r>
      <w:r>
        <w:rPr>
          <w:spacing w:val="-17"/>
        </w:rPr>
        <w:t> </w:t>
      </w:r>
      <w:r>
        <w:rPr/>
        <w:t>pargo,</w:t>
      </w:r>
      <w:r>
        <w:rPr>
          <w:spacing w:val="-22"/>
        </w:rPr>
        <w:t> </w:t>
      </w:r>
      <w:r>
        <w:rPr/>
        <w:t>róbalo,</w:t>
      </w:r>
      <w:r>
        <w:rPr>
          <w:spacing w:val="-17"/>
        </w:rPr>
        <w:t> </w:t>
      </w:r>
      <w:r>
        <w:rPr/>
        <w:t>huachinango,</w:t>
      </w:r>
      <w:r>
        <w:rPr>
          <w:spacing w:val="-17"/>
        </w:rPr>
        <w:t> </w:t>
      </w:r>
      <w:r>
        <w:rPr/>
        <w:t>corvina,</w:t>
      </w:r>
      <w:r>
        <w:rPr>
          <w:spacing w:val="-17"/>
        </w:rPr>
        <w:t> </w:t>
      </w:r>
      <w:r>
        <w:rPr/>
        <w:t>pámpano, totoaba y lenguado (Avilés,</w:t>
      </w:r>
      <w:r>
        <w:rPr>
          <w:spacing w:val="-12"/>
        </w:rPr>
        <w:t> </w:t>
      </w:r>
      <w:r>
        <w:rPr/>
        <w:t>2000).</w:t>
      </w:r>
    </w:p>
    <w:p>
      <w:pPr>
        <w:spacing w:after="0" w:line="276" w:lineRule="auto"/>
        <w:jc w:val="both"/>
        <w:sectPr>
          <w:pgSz w:w="12240" w:h="15840"/>
          <w:pgMar w:header="752" w:footer="998" w:top="1000" w:bottom="1180" w:left="1560" w:right="1560"/>
        </w:sectPr>
      </w:pPr>
    </w:p>
    <w:p>
      <w:pPr>
        <w:pStyle w:val="BodyText"/>
        <w:rPr>
          <w:sz w:val="29"/>
        </w:rPr>
      </w:pPr>
    </w:p>
    <w:p>
      <w:pPr>
        <w:pStyle w:val="BodyText"/>
        <w:spacing w:line="276" w:lineRule="auto" w:before="70"/>
        <w:ind w:left="139" w:right="133"/>
        <w:jc w:val="both"/>
      </w:pPr>
      <w:r>
        <w:rPr/>
        <w:t>Desde sus inicios, la acuicultura ha pasado por diferentes etapas de desarrollo siguiendo tres vertientes principales: 1) la acuicultura de fomento en pequeños cuerpos</w:t>
      </w:r>
      <w:r>
        <w:rPr>
          <w:spacing w:val="-12"/>
        </w:rPr>
        <w:t> </w:t>
      </w:r>
      <w:r>
        <w:rPr/>
        <w:t>de</w:t>
      </w:r>
      <w:r>
        <w:rPr>
          <w:spacing w:val="-11"/>
        </w:rPr>
        <w:t> </w:t>
      </w:r>
      <w:r>
        <w:rPr/>
        <w:t>agua</w:t>
      </w:r>
      <w:r>
        <w:rPr>
          <w:spacing w:val="-11"/>
        </w:rPr>
        <w:t> </w:t>
      </w:r>
      <w:r>
        <w:rPr/>
        <w:t>y</w:t>
      </w:r>
      <w:r>
        <w:rPr>
          <w:spacing w:val="-16"/>
        </w:rPr>
        <w:t> </w:t>
      </w:r>
      <w:r>
        <w:rPr/>
        <w:t>unidades</w:t>
      </w:r>
      <w:r>
        <w:rPr>
          <w:spacing w:val="-12"/>
        </w:rPr>
        <w:t> </w:t>
      </w:r>
      <w:r>
        <w:rPr/>
        <w:t>de</w:t>
      </w:r>
      <w:r>
        <w:rPr>
          <w:spacing w:val="-11"/>
        </w:rPr>
        <w:t> </w:t>
      </w:r>
      <w:r>
        <w:rPr/>
        <w:t>producción</w:t>
      </w:r>
      <w:r>
        <w:rPr>
          <w:spacing w:val="-16"/>
        </w:rPr>
        <w:t> </w:t>
      </w:r>
      <w:r>
        <w:rPr/>
        <w:t>para</w:t>
      </w:r>
      <w:r>
        <w:rPr>
          <w:spacing w:val="-11"/>
        </w:rPr>
        <w:t> </w:t>
      </w:r>
      <w:r>
        <w:rPr/>
        <w:t>autoconsumo,</w:t>
      </w:r>
      <w:r>
        <w:rPr>
          <w:spacing w:val="-11"/>
        </w:rPr>
        <w:t> </w:t>
      </w:r>
      <w:r>
        <w:rPr/>
        <w:t>destinadas</w:t>
      </w:r>
      <w:r>
        <w:rPr>
          <w:spacing w:val="-12"/>
        </w:rPr>
        <w:t> </w:t>
      </w:r>
      <w:r>
        <w:rPr/>
        <w:t>al</w:t>
      </w:r>
      <w:r>
        <w:rPr>
          <w:spacing w:val="-7"/>
        </w:rPr>
        <w:t> </w:t>
      </w:r>
      <w:r>
        <w:rPr/>
        <w:t>cultivo de variedades de tilapia y carpa; 2) las que realizan siembras en embalses de medianas y grandes dimensiones principalmente de carpa, tilapia, bagre y lobina o enfocadas al </w:t>
      </w:r>
      <w:r>
        <w:rPr>
          <w:spacing w:val="-3"/>
        </w:rPr>
        <w:t>manejo </w:t>
      </w:r>
      <w:r>
        <w:rPr/>
        <w:t>de existencias silvestres de crías de peces, postlarvas de langostino, ajolotes y similares; y 3) los sistemas controlados principalmente de camarón, mojarra, trucha, atún, ostión y bagre, practicada con fines de comercialización (Ramírez y Sánchez,</w:t>
      </w:r>
      <w:r>
        <w:rPr>
          <w:spacing w:val="-17"/>
        </w:rPr>
        <w:t> </w:t>
      </w:r>
      <w:r>
        <w:rPr/>
        <w:t>1998).</w:t>
      </w:r>
    </w:p>
    <w:p>
      <w:pPr>
        <w:pStyle w:val="BodyText"/>
        <w:spacing w:line="276" w:lineRule="auto" w:before="207"/>
        <w:ind w:left="139" w:right="134"/>
        <w:jc w:val="both"/>
      </w:pPr>
      <w:r>
        <w:rPr/>
        <w:t>En el año 2011 el valor de la producción acuícola fue de 554 391 520 dólares con un volumen de 257 509 toneladas, donde las tres especies de mayor producción fueron:</w:t>
      </w:r>
      <w:r>
        <w:rPr>
          <w:spacing w:val="-11"/>
        </w:rPr>
        <w:t> </w:t>
      </w:r>
      <w:r>
        <w:rPr/>
        <w:t>camarón</w:t>
      </w:r>
      <w:r>
        <w:rPr>
          <w:spacing w:val="-11"/>
        </w:rPr>
        <w:t> </w:t>
      </w:r>
      <w:r>
        <w:rPr/>
        <w:t>con</w:t>
      </w:r>
      <w:r>
        <w:rPr>
          <w:spacing w:val="-11"/>
        </w:rPr>
        <w:t> </w:t>
      </w:r>
      <w:r>
        <w:rPr/>
        <w:t>108</w:t>
      </w:r>
      <w:r>
        <w:rPr>
          <w:spacing w:val="-11"/>
        </w:rPr>
        <w:t> </w:t>
      </w:r>
      <w:r>
        <w:rPr/>
        <w:t>971</w:t>
      </w:r>
      <w:r>
        <w:rPr>
          <w:spacing w:val="-11"/>
        </w:rPr>
        <w:t> </w:t>
      </w:r>
      <w:r>
        <w:rPr/>
        <w:t>toneladas,</w:t>
      </w:r>
      <w:r>
        <w:rPr>
          <w:spacing w:val="-16"/>
        </w:rPr>
        <w:t> </w:t>
      </w:r>
      <w:r>
        <w:rPr/>
        <w:t>la</w:t>
      </w:r>
      <w:r>
        <w:rPr>
          <w:spacing w:val="-11"/>
        </w:rPr>
        <w:t> </w:t>
      </w:r>
      <w:r>
        <w:rPr/>
        <w:t>mojarra</w:t>
      </w:r>
      <w:r>
        <w:rPr>
          <w:spacing w:val="-11"/>
        </w:rPr>
        <w:t> </w:t>
      </w:r>
      <w:r>
        <w:rPr/>
        <w:t>con</w:t>
      </w:r>
      <w:r>
        <w:rPr>
          <w:spacing w:val="-11"/>
        </w:rPr>
        <w:t> </w:t>
      </w:r>
      <w:r>
        <w:rPr/>
        <w:t>68</w:t>
      </w:r>
      <w:r>
        <w:rPr>
          <w:spacing w:val="-11"/>
        </w:rPr>
        <w:t> </w:t>
      </w:r>
      <w:r>
        <w:rPr/>
        <w:t>438</w:t>
      </w:r>
      <w:r>
        <w:rPr>
          <w:spacing w:val="-11"/>
        </w:rPr>
        <w:t> </w:t>
      </w:r>
      <w:r>
        <w:rPr/>
        <w:t>toneladas</w:t>
      </w:r>
      <w:r>
        <w:rPr>
          <w:spacing w:val="-12"/>
        </w:rPr>
        <w:t> </w:t>
      </w:r>
      <w:r>
        <w:rPr/>
        <w:t>y</w:t>
      </w:r>
      <w:r>
        <w:rPr>
          <w:spacing w:val="-12"/>
        </w:rPr>
        <w:t> </w:t>
      </w:r>
      <w:r>
        <w:rPr/>
        <w:t>el</w:t>
      </w:r>
      <w:r>
        <w:rPr>
          <w:spacing w:val="-7"/>
        </w:rPr>
        <w:t> </w:t>
      </w:r>
      <w:r>
        <w:rPr/>
        <w:t>ostión con 42 591 toneladas. La producción generada por las pesquerías derivadas de la acuicultura representaron un volumen de 129 142 toneladas de peces vivos, en donde la mojarra con 61 053 toneladas y el ostión con 41 794 toneladas fueron las especies que presentaron mayor producción. En cuanto a los sistemas controlados el volumen fue de 133 713 toneladas de peces vivos, donde la especie de mayor producción fue el camarón con 109 815 toneladas (Anuario,</w:t>
      </w:r>
      <w:r>
        <w:rPr>
          <w:spacing w:val="-20"/>
        </w:rPr>
        <w:t> </w:t>
      </w:r>
      <w:r>
        <w:rPr/>
        <w:t>2011).</w:t>
      </w:r>
    </w:p>
    <w:p>
      <w:pPr>
        <w:pStyle w:val="Heading1"/>
        <w:numPr>
          <w:ilvl w:val="1"/>
          <w:numId w:val="3"/>
        </w:numPr>
        <w:tabs>
          <w:tab w:pos="542" w:val="left" w:leader="none"/>
        </w:tabs>
        <w:spacing w:line="240" w:lineRule="auto" w:before="202" w:after="0"/>
        <w:ind w:left="541" w:right="0" w:hanging="402"/>
        <w:jc w:val="both"/>
      </w:pPr>
      <w:bookmarkStart w:name="_bookmark10" w:id="15"/>
      <w:bookmarkEnd w:id="15"/>
      <w:r>
        <w:rPr>
          <w:b w:val="0"/>
        </w:rPr>
      </w:r>
      <w:bookmarkStart w:name="_bookmark10" w:id="16"/>
      <w:bookmarkEnd w:id="16"/>
      <w:r>
        <w:rPr>
          <w:color w:val="365F91"/>
        </w:rPr>
        <w:t>P</w:t>
      </w:r>
      <w:r>
        <w:rPr>
          <w:color w:val="365F91"/>
        </w:rPr>
        <w:t>iscicultura</w:t>
      </w:r>
      <w:r>
        <w:rPr>
          <w:color w:val="365F91"/>
          <w:spacing w:val="-13"/>
        </w:rPr>
        <w:t> </w:t>
      </w:r>
      <w:r>
        <w:rPr>
          <w:color w:val="365F91"/>
        </w:rPr>
        <w:t>mundial</w:t>
      </w:r>
    </w:p>
    <w:p>
      <w:pPr>
        <w:pStyle w:val="BodyText"/>
        <w:spacing w:line="276" w:lineRule="auto" w:before="45"/>
        <w:ind w:left="139" w:right="133"/>
        <w:jc w:val="both"/>
      </w:pPr>
      <w:r>
        <w:rPr/>
        <w:t>En 2010 la piscicultura mundial aportó 59,9 millones de toneladas de peces de diferentes especies, lo que supone un incremento del 7,5 por ciento con respecto a los 55,7 millones de toneladas registrados en 2009. Entre los organismos comestibles cultivados figuran peces de escama, crustáceos, moluscos, anfibios (ranas), reptiles acuáticos (excepto cocodrilos) y otros animales acuáticos.</w:t>
      </w:r>
      <w:r>
        <w:rPr>
          <w:spacing w:val="-43"/>
        </w:rPr>
        <w:t> </w:t>
      </w:r>
      <w:r>
        <w:rPr/>
        <w:t>Algunos datos</w:t>
      </w:r>
      <w:r>
        <w:rPr>
          <w:spacing w:val="-6"/>
        </w:rPr>
        <w:t> </w:t>
      </w:r>
      <w:r>
        <w:rPr/>
        <w:t>señalan</w:t>
      </w:r>
      <w:r>
        <w:rPr>
          <w:spacing w:val="-11"/>
        </w:rPr>
        <w:t> </w:t>
      </w:r>
      <w:r>
        <w:rPr/>
        <w:t>que</w:t>
      </w:r>
      <w:r>
        <w:rPr>
          <w:spacing w:val="-9"/>
        </w:rPr>
        <w:t> </w:t>
      </w:r>
      <w:r>
        <w:rPr/>
        <w:t>la</w:t>
      </w:r>
      <w:r>
        <w:rPr>
          <w:spacing w:val="-6"/>
        </w:rPr>
        <w:t> </w:t>
      </w:r>
      <w:r>
        <w:rPr/>
        <w:t>producción</w:t>
      </w:r>
      <w:r>
        <w:rPr>
          <w:spacing w:val="-6"/>
        </w:rPr>
        <w:t> </w:t>
      </w:r>
      <w:r>
        <w:rPr/>
        <w:t>procedente</w:t>
      </w:r>
      <w:r>
        <w:rPr>
          <w:spacing w:val="-6"/>
        </w:rPr>
        <w:t> </w:t>
      </w:r>
      <w:r>
        <w:rPr/>
        <w:t>de</w:t>
      </w:r>
      <w:r>
        <w:rPr>
          <w:spacing w:val="-6"/>
        </w:rPr>
        <w:t> </w:t>
      </w:r>
      <w:r>
        <w:rPr/>
        <w:t>la</w:t>
      </w:r>
      <w:r>
        <w:rPr>
          <w:spacing w:val="-6"/>
        </w:rPr>
        <w:t> </w:t>
      </w:r>
      <w:r>
        <w:rPr/>
        <w:t>piscicultura</w:t>
      </w:r>
      <w:r>
        <w:rPr>
          <w:spacing w:val="-1"/>
        </w:rPr>
        <w:t> </w:t>
      </w:r>
      <w:r>
        <w:rPr/>
        <w:t>se</w:t>
      </w:r>
      <w:r>
        <w:rPr>
          <w:spacing w:val="-6"/>
        </w:rPr>
        <w:t> </w:t>
      </w:r>
      <w:r>
        <w:rPr/>
        <w:t>destina</w:t>
      </w:r>
      <w:r>
        <w:rPr>
          <w:spacing w:val="-6"/>
        </w:rPr>
        <w:t> </w:t>
      </w:r>
      <w:r>
        <w:rPr/>
        <w:t>casi</w:t>
      </w:r>
      <w:r>
        <w:rPr>
          <w:spacing w:val="-3"/>
        </w:rPr>
        <w:t> </w:t>
      </w:r>
      <w:r>
        <w:rPr/>
        <w:t>en</w:t>
      </w:r>
      <w:r>
        <w:rPr>
          <w:spacing w:val="-6"/>
        </w:rPr>
        <w:t> </w:t>
      </w:r>
      <w:r>
        <w:rPr/>
        <w:t>su totalidad al consumo humano, siendo las especies mayormente producidas en el mundo la carpa, seguida por la tilapia. La mayor producción se concentra en Asia, siendo China el país que </w:t>
      </w:r>
      <w:r>
        <w:rPr>
          <w:spacing w:val="-3"/>
        </w:rPr>
        <w:t>más </w:t>
      </w:r>
      <w:r>
        <w:rPr/>
        <w:t>produce, representando </w:t>
      </w:r>
      <w:r>
        <w:rPr>
          <w:spacing w:val="-3"/>
        </w:rPr>
        <w:t>más </w:t>
      </w:r>
      <w:r>
        <w:rPr/>
        <w:t>del 60% del volumen total mundial, seguida por la India con </w:t>
      </w:r>
      <w:r>
        <w:rPr>
          <w:spacing w:val="-3"/>
        </w:rPr>
        <w:t>6.3%, </w:t>
      </w:r>
      <w:r>
        <w:rPr/>
        <w:t>Vietnam e Indonesia con 4.6% y Bangladesh con 2.6%. En lo que respecta a Europa, Noruega produce el 2%, y en América,</w:t>
      </w:r>
      <w:r>
        <w:rPr>
          <w:spacing w:val="-12"/>
        </w:rPr>
        <w:t> </w:t>
      </w:r>
      <w:r>
        <w:rPr/>
        <w:t>Chile</w:t>
      </w:r>
      <w:r>
        <w:rPr>
          <w:spacing w:val="-16"/>
        </w:rPr>
        <w:t> </w:t>
      </w:r>
      <w:r>
        <w:rPr/>
        <w:t>aporta</w:t>
      </w:r>
      <w:r>
        <w:rPr>
          <w:spacing w:val="-12"/>
        </w:rPr>
        <w:t> </w:t>
      </w:r>
      <w:r>
        <w:rPr/>
        <w:t>el</w:t>
      </w:r>
      <w:r>
        <w:rPr>
          <w:spacing w:val="-12"/>
        </w:rPr>
        <w:t> </w:t>
      </w:r>
      <w:r>
        <w:rPr/>
        <w:t>1.6%</w:t>
      </w:r>
      <w:r>
        <w:rPr>
          <w:spacing w:val="-14"/>
        </w:rPr>
        <w:t> </w:t>
      </w:r>
      <w:r>
        <w:rPr/>
        <w:t>de</w:t>
      </w:r>
      <w:r>
        <w:rPr>
          <w:spacing w:val="-17"/>
        </w:rPr>
        <w:t> </w:t>
      </w:r>
      <w:r>
        <w:rPr/>
        <w:t>la</w:t>
      </w:r>
      <w:r>
        <w:rPr>
          <w:spacing w:val="-12"/>
        </w:rPr>
        <w:t> </w:t>
      </w:r>
      <w:r>
        <w:rPr/>
        <w:t>producción</w:t>
      </w:r>
      <w:r>
        <w:rPr>
          <w:spacing w:val="-12"/>
        </w:rPr>
        <w:t> </w:t>
      </w:r>
      <w:r>
        <w:rPr/>
        <w:t>piscícola</w:t>
      </w:r>
      <w:r>
        <w:rPr>
          <w:spacing w:val="-12"/>
        </w:rPr>
        <w:t> </w:t>
      </w:r>
      <w:r>
        <w:rPr/>
        <w:t>mundial</w:t>
      </w:r>
      <w:r>
        <w:rPr>
          <w:spacing w:val="-11"/>
        </w:rPr>
        <w:t> </w:t>
      </w:r>
      <w:r>
        <w:rPr/>
        <w:t>(El</w:t>
      </w:r>
      <w:r>
        <w:rPr>
          <w:spacing w:val="-13"/>
        </w:rPr>
        <w:t> </w:t>
      </w:r>
      <w:r>
        <w:rPr/>
        <w:t>estado</w:t>
      </w:r>
      <w:r>
        <w:rPr>
          <w:spacing w:val="-12"/>
        </w:rPr>
        <w:t> </w:t>
      </w:r>
      <w:r>
        <w:rPr/>
        <w:t>mundial de la pesca y la acuicultura,</w:t>
      </w:r>
      <w:r>
        <w:rPr>
          <w:spacing w:val="-3"/>
        </w:rPr>
        <w:t> </w:t>
      </w:r>
      <w:r>
        <w:rPr/>
        <w:t>2012).</w:t>
      </w:r>
    </w:p>
    <w:p>
      <w:pPr>
        <w:pStyle w:val="Heading1"/>
        <w:numPr>
          <w:ilvl w:val="1"/>
          <w:numId w:val="3"/>
        </w:numPr>
        <w:tabs>
          <w:tab w:pos="542" w:val="left" w:leader="none"/>
        </w:tabs>
        <w:spacing w:line="240" w:lineRule="auto" w:before="202" w:after="0"/>
        <w:ind w:left="541" w:right="0" w:hanging="402"/>
        <w:jc w:val="both"/>
      </w:pPr>
      <w:bookmarkStart w:name="_bookmark11" w:id="17"/>
      <w:bookmarkEnd w:id="17"/>
      <w:r>
        <w:rPr>
          <w:b w:val="0"/>
        </w:rPr>
      </w:r>
      <w:bookmarkStart w:name="_bookmark11" w:id="18"/>
      <w:bookmarkEnd w:id="18"/>
      <w:r>
        <w:rPr>
          <w:color w:val="365F91"/>
        </w:rPr>
        <w:t>P</w:t>
      </w:r>
      <w:r>
        <w:rPr>
          <w:color w:val="365F91"/>
        </w:rPr>
        <w:t>iscicultura en</w:t>
      </w:r>
      <w:r>
        <w:rPr>
          <w:color w:val="365F91"/>
          <w:spacing w:val="-9"/>
        </w:rPr>
        <w:t> </w:t>
      </w:r>
      <w:r>
        <w:rPr>
          <w:color w:val="365F91"/>
        </w:rPr>
        <w:t>México</w:t>
      </w:r>
    </w:p>
    <w:p>
      <w:pPr>
        <w:pStyle w:val="BodyText"/>
        <w:spacing w:line="276" w:lineRule="auto" w:before="46"/>
        <w:ind w:left="139" w:right="135"/>
        <w:jc w:val="both"/>
      </w:pPr>
      <w:r>
        <w:rPr/>
        <w:t>En México la piscicultura es una industria reportada en todo el país, utilizándose diferentes métodos de producción, que van de la repoblación extensiva a la producción en sistema intensivo; se cuenta con el cultivo de especies de gran importancia social como las carpas y la tilapia, y también el cultivo de especies de mayor valor comercial como el bagre, la trucha, el langostino y el camarón. Así mismo, en el país se cuenta con</w:t>
      </w:r>
      <w:r>
        <w:rPr>
          <w:spacing w:val="52"/>
        </w:rPr>
        <w:t> </w:t>
      </w:r>
      <w:r>
        <w:rPr/>
        <w:t>centros de producción de crías, postlarvas y</w:t>
      </w:r>
    </w:p>
    <w:p>
      <w:pPr>
        <w:spacing w:after="0" w:line="276" w:lineRule="auto"/>
        <w:jc w:val="both"/>
        <w:sectPr>
          <w:pgSz w:w="12240" w:h="15840"/>
          <w:pgMar w:header="752" w:footer="998" w:top="1000" w:bottom="1180" w:left="1560" w:right="1560"/>
        </w:sectPr>
      </w:pPr>
    </w:p>
    <w:p>
      <w:pPr>
        <w:pStyle w:val="BodyText"/>
        <w:rPr>
          <w:sz w:val="29"/>
        </w:rPr>
      </w:pPr>
    </w:p>
    <w:p>
      <w:pPr>
        <w:pStyle w:val="BodyText"/>
        <w:spacing w:line="271" w:lineRule="auto" w:before="70"/>
        <w:ind w:left="139"/>
      </w:pPr>
      <w:r>
        <w:rPr/>
        <w:t>semillas</w:t>
      </w:r>
      <w:r>
        <w:rPr>
          <w:spacing w:val="-16"/>
        </w:rPr>
        <w:t> </w:t>
      </w:r>
      <w:r>
        <w:rPr/>
        <w:t>con</w:t>
      </w:r>
      <w:r>
        <w:rPr>
          <w:spacing w:val="-15"/>
        </w:rPr>
        <w:t> </w:t>
      </w:r>
      <w:r>
        <w:rPr/>
        <w:t>el</w:t>
      </w:r>
      <w:r>
        <w:rPr>
          <w:spacing w:val="-8"/>
        </w:rPr>
        <w:t> </w:t>
      </w:r>
      <w:r>
        <w:rPr/>
        <w:t>fin</w:t>
      </w:r>
      <w:r>
        <w:rPr>
          <w:spacing w:val="-15"/>
        </w:rPr>
        <w:t> </w:t>
      </w:r>
      <w:r>
        <w:rPr/>
        <w:t>de</w:t>
      </w:r>
      <w:r>
        <w:rPr>
          <w:spacing w:val="-12"/>
        </w:rPr>
        <w:t> </w:t>
      </w:r>
      <w:r>
        <w:rPr/>
        <w:t>satisfacer</w:t>
      </w:r>
      <w:r>
        <w:rPr>
          <w:spacing w:val="-19"/>
        </w:rPr>
        <w:t> </w:t>
      </w:r>
      <w:r>
        <w:rPr/>
        <w:t>la</w:t>
      </w:r>
      <w:r>
        <w:rPr>
          <w:spacing w:val="-12"/>
        </w:rPr>
        <w:t> </w:t>
      </w:r>
      <w:r>
        <w:rPr/>
        <w:t>demanda</w:t>
      </w:r>
      <w:r>
        <w:rPr>
          <w:spacing w:val="-12"/>
        </w:rPr>
        <w:t> </w:t>
      </w:r>
      <w:r>
        <w:rPr/>
        <w:t>de</w:t>
      </w:r>
      <w:r>
        <w:rPr>
          <w:spacing w:val="-12"/>
        </w:rPr>
        <w:t> </w:t>
      </w:r>
      <w:r>
        <w:rPr/>
        <w:t>organismos</w:t>
      </w:r>
      <w:r>
        <w:rPr>
          <w:spacing w:val="-13"/>
        </w:rPr>
        <w:t> </w:t>
      </w:r>
      <w:r>
        <w:rPr/>
        <w:t>acuáticos</w:t>
      </w:r>
      <w:r>
        <w:rPr>
          <w:spacing w:val="-16"/>
        </w:rPr>
        <w:t> </w:t>
      </w:r>
      <w:r>
        <w:rPr/>
        <w:t>para</w:t>
      </w:r>
      <w:r>
        <w:rPr>
          <w:spacing w:val="-15"/>
        </w:rPr>
        <w:t> </w:t>
      </w:r>
      <w:r>
        <w:rPr/>
        <w:t>su</w:t>
      </w:r>
      <w:r>
        <w:rPr>
          <w:spacing w:val="-12"/>
        </w:rPr>
        <w:t> </w:t>
      </w:r>
      <w:r>
        <w:rPr/>
        <w:t>cultivo (Chávez,</w:t>
      </w:r>
      <w:r>
        <w:rPr>
          <w:spacing w:val="1"/>
        </w:rPr>
        <w:t> </w:t>
      </w:r>
      <w:r>
        <w:rPr/>
        <w:t>1992).</w:t>
      </w:r>
    </w:p>
    <w:p>
      <w:pPr>
        <w:pStyle w:val="BodyText"/>
        <w:spacing w:line="276" w:lineRule="auto" w:before="213"/>
        <w:ind w:left="139" w:right="133"/>
        <w:jc w:val="both"/>
      </w:pPr>
      <w:r>
        <w:rPr/>
        <w:t>Entre las especies mayormente producidas en el 2013 en México en primer lugar se</w:t>
      </w:r>
      <w:r>
        <w:rPr>
          <w:spacing w:val="-7"/>
        </w:rPr>
        <w:t> </w:t>
      </w:r>
      <w:r>
        <w:rPr/>
        <w:t>encuentra</w:t>
      </w:r>
      <w:r>
        <w:rPr>
          <w:spacing w:val="-7"/>
        </w:rPr>
        <w:t> </w:t>
      </w:r>
      <w:r>
        <w:rPr/>
        <w:t>el</w:t>
      </w:r>
      <w:r>
        <w:rPr>
          <w:spacing w:val="-4"/>
        </w:rPr>
        <w:t> </w:t>
      </w:r>
      <w:r>
        <w:rPr/>
        <w:t>camarón</w:t>
      </w:r>
      <w:r>
        <w:rPr>
          <w:spacing w:val="-5"/>
        </w:rPr>
        <w:t> </w:t>
      </w:r>
      <w:r>
        <w:rPr/>
        <w:t>con</w:t>
      </w:r>
      <w:r>
        <w:rPr>
          <w:spacing w:val="-7"/>
        </w:rPr>
        <w:t> </w:t>
      </w:r>
      <w:r>
        <w:rPr/>
        <w:t>un</w:t>
      </w:r>
      <w:r>
        <w:rPr>
          <w:spacing w:val="-7"/>
        </w:rPr>
        <w:t> </w:t>
      </w:r>
      <w:r>
        <w:rPr/>
        <w:t>crecimiento</w:t>
      </w:r>
      <w:r>
        <w:rPr>
          <w:spacing w:val="-7"/>
        </w:rPr>
        <w:t> </w:t>
      </w:r>
      <w:r>
        <w:rPr/>
        <w:t>anual</w:t>
      </w:r>
      <w:r>
        <w:rPr>
          <w:spacing w:val="-8"/>
        </w:rPr>
        <w:t> </w:t>
      </w:r>
      <w:r>
        <w:rPr/>
        <w:t>del</w:t>
      </w:r>
      <w:r>
        <w:rPr>
          <w:spacing w:val="-4"/>
        </w:rPr>
        <w:t> </w:t>
      </w:r>
      <w:r>
        <w:rPr/>
        <w:t>0.15%,</w:t>
      </w:r>
      <w:r>
        <w:rPr>
          <w:spacing w:val="-7"/>
        </w:rPr>
        <w:t> </w:t>
      </w:r>
      <w:r>
        <w:rPr/>
        <w:t>en</w:t>
      </w:r>
      <w:r>
        <w:rPr>
          <w:spacing w:val="-7"/>
        </w:rPr>
        <w:t> </w:t>
      </w:r>
      <w:r>
        <w:rPr/>
        <w:t>segundo</w:t>
      </w:r>
      <w:r>
        <w:rPr>
          <w:spacing w:val="-12"/>
        </w:rPr>
        <w:t> </w:t>
      </w:r>
      <w:r>
        <w:rPr/>
        <w:t>lugar</w:t>
      </w:r>
      <w:r>
        <w:rPr>
          <w:spacing w:val="-3"/>
        </w:rPr>
        <w:t> </w:t>
      </w:r>
      <w:r>
        <w:rPr/>
        <w:t>del atún con un aumento en su producción anual de 1.07% y en tercer lugar la tilapia, siendo esta última la que ha tenido un mayor incremento en la producción durante la última década del 3.28% anual. El éxito de este tipo de peces se debe a </w:t>
      </w:r>
      <w:r>
        <w:rPr>
          <w:spacing w:val="-3"/>
        </w:rPr>
        <w:t>su </w:t>
      </w:r>
      <w:r>
        <w:rPr/>
        <w:t>alta capacidad de adaptación y la posibilidad de ser criada en diferentes sistemas de cultivo, al sabor y las características nutricionales de su carne (Anuario, 2011; Chávez, 1992; Fitzsimmons,</w:t>
      </w:r>
      <w:r>
        <w:rPr>
          <w:spacing w:val="-8"/>
        </w:rPr>
        <w:t> </w:t>
      </w:r>
      <w:r>
        <w:rPr/>
        <w:t>2000).</w:t>
      </w:r>
    </w:p>
    <w:p>
      <w:pPr>
        <w:pStyle w:val="Heading1"/>
        <w:numPr>
          <w:ilvl w:val="1"/>
          <w:numId w:val="3"/>
        </w:numPr>
        <w:tabs>
          <w:tab w:pos="544" w:val="left" w:leader="none"/>
        </w:tabs>
        <w:spacing w:line="240" w:lineRule="auto" w:before="202" w:after="0"/>
        <w:ind w:left="543" w:right="0" w:hanging="404"/>
        <w:jc w:val="left"/>
      </w:pPr>
      <w:bookmarkStart w:name="_bookmark12" w:id="19"/>
      <w:bookmarkEnd w:id="19"/>
      <w:r>
        <w:rPr>
          <w:b w:val="0"/>
        </w:rPr>
      </w:r>
      <w:bookmarkStart w:name="_bookmark12" w:id="20"/>
      <w:bookmarkEnd w:id="20"/>
      <w:r>
        <w:rPr>
          <w:color w:val="365F91"/>
        </w:rPr>
        <w:t>P</w:t>
      </w:r>
      <w:r>
        <w:rPr>
          <w:color w:val="365F91"/>
        </w:rPr>
        <w:t>eces del género</w:t>
      </w:r>
      <w:r>
        <w:rPr>
          <w:color w:val="365F91"/>
          <w:spacing w:val="-11"/>
        </w:rPr>
        <w:t> </w:t>
      </w:r>
      <w:r>
        <w:rPr>
          <w:color w:val="365F91"/>
        </w:rPr>
        <w:t>tilapia</w:t>
      </w:r>
    </w:p>
    <w:p>
      <w:pPr>
        <w:pStyle w:val="BodyText"/>
        <w:spacing w:line="276" w:lineRule="auto" w:before="45"/>
        <w:ind w:left="139" w:right="133"/>
        <w:jc w:val="both"/>
      </w:pPr>
      <w:r>
        <w:rPr/>
        <w:t>Tilapia es un término genérico utilizado para designar a un grupo de especies de peces de valor comercial, pertenecientes a la familia </w:t>
      </w:r>
      <w:r>
        <w:rPr>
          <w:i/>
        </w:rPr>
        <w:t>Cichlidae</w:t>
      </w:r>
      <w:r>
        <w:rPr/>
        <w:t>; estos ciclídos se clasifican en el Orden Perciformes que habitan las aguas dulces y salobres de África, Medio Oriente, las zonas costeras de la India, América Central, del Sur y el Caribe, incluyendo a Cuba. Sin embargo, las verdaderas tilapias son sólo nativas de</w:t>
      </w:r>
      <w:r>
        <w:rPr>
          <w:spacing w:val="-15"/>
        </w:rPr>
        <w:t> </w:t>
      </w:r>
      <w:r>
        <w:rPr/>
        <w:t>África</w:t>
      </w:r>
      <w:r>
        <w:rPr>
          <w:spacing w:val="-15"/>
        </w:rPr>
        <w:t> </w:t>
      </w:r>
      <w:r>
        <w:rPr/>
        <w:t>y</w:t>
      </w:r>
      <w:r>
        <w:rPr>
          <w:spacing w:val="-16"/>
        </w:rPr>
        <w:t> </w:t>
      </w:r>
      <w:r>
        <w:rPr/>
        <w:t>el</w:t>
      </w:r>
      <w:r>
        <w:rPr>
          <w:spacing w:val="-12"/>
        </w:rPr>
        <w:t> </w:t>
      </w:r>
      <w:r>
        <w:rPr/>
        <w:t>Medio</w:t>
      </w:r>
      <w:r>
        <w:rPr>
          <w:spacing w:val="-16"/>
        </w:rPr>
        <w:t> </w:t>
      </w:r>
      <w:r>
        <w:rPr/>
        <w:t>Oriente.</w:t>
      </w:r>
      <w:r>
        <w:rPr>
          <w:spacing w:val="-18"/>
        </w:rPr>
        <w:t> </w:t>
      </w:r>
      <w:r>
        <w:rPr/>
        <w:t>En</w:t>
      </w:r>
      <w:r>
        <w:rPr>
          <w:spacing w:val="-16"/>
        </w:rPr>
        <w:t> </w:t>
      </w:r>
      <w:r>
        <w:rPr/>
        <w:t>este</w:t>
      </w:r>
      <w:r>
        <w:rPr>
          <w:spacing w:val="-15"/>
        </w:rPr>
        <w:t> </w:t>
      </w:r>
      <w:r>
        <w:rPr/>
        <w:t>grupo</w:t>
      </w:r>
      <w:r>
        <w:rPr>
          <w:spacing w:val="-20"/>
        </w:rPr>
        <w:t> </w:t>
      </w:r>
      <w:r>
        <w:rPr/>
        <w:t>se</w:t>
      </w:r>
      <w:r>
        <w:rPr>
          <w:spacing w:val="-20"/>
        </w:rPr>
        <w:t> </w:t>
      </w:r>
      <w:r>
        <w:rPr/>
        <w:t>incluye</w:t>
      </w:r>
      <w:r>
        <w:rPr>
          <w:spacing w:val="-20"/>
        </w:rPr>
        <w:t> </w:t>
      </w:r>
      <w:r>
        <w:rPr/>
        <w:t>a</w:t>
      </w:r>
      <w:r>
        <w:rPr>
          <w:spacing w:val="-20"/>
        </w:rPr>
        <w:t> </w:t>
      </w:r>
      <w:r>
        <w:rPr>
          <w:spacing w:val="2"/>
        </w:rPr>
        <w:t>los</w:t>
      </w:r>
      <w:r>
        <w:rPr>
          <w:spacing w:val="-16"/>
        </w:rPr>
        <w:t> </w:t>
      </w:r>
      <w:r>
        <w:rPr/>
        <w:t>miembros</w:t>
      </w:r>
      <w:r>
        <w:rPr>
          <w:spacing w:val="-16"/>
        </w:rPr>
        <w:t> </w:t>
      </w:r>
      <w:r>
        <w:rPr/>
        <w:t>de</w:t>
      </w:r>
      <w:r>
        <w:rPr>
          <w:spacing w:val="-16"/>
        </w:rPr>
        <w:t> </w:t>
      </w:r>
      <w:r>
        <w:rPr/>
        <w:t>3</w:t>
      </w:r>
      <w:r>
        <w:rPr>
          <w:spacing w:val="-16"/>
        </w:rPr>
        <w:t> </w:t>
      </w:r>
      <w:r>
        <w:rPr/>
        <w:t>diferentes géneros: </w:t>
      </w:r>
      <w:r>
        <w:rPr>
          <w:i/>
        </w:rPr>
        <w:t>Sarotherodon</w:t>
      </w:r>
      <w:r>
        <w:rPr/>
        <w:t>, </w:t>
      </w:r>
      <w:r>
        <w:rPr>
          <w:i/>
        </w:rPr>
        <w:t>Oreochromis </w:t>
      </w:r>
      <w:r>
        <w:rPr/>
        <w:t>y Tilapia, peces comercialmente importantes para</w:t>
      </w:r>
      <w:r>
        <w:rPr>
          <w:spacing w:val="-16"/>
        </w:rPr>
        <w:t> </w:t>
      </w:r>
      <w:r>
        <w:rPr/>
        <w:t>consumo</w:t>
      </w:r>
      <w:r>
        <w:rPr>
          <w:spacing w:val="-16"/>
        </w:rPr>
        <w:t> </w:t>
      </w:r>
      <w:r>
        <w:rPr/>
        <w:t>humano,</w:t>
      </w:r>
      <w:r>
        <w:rPr>
          <w:spacing w:val="-16"/>
        </w:rPr>
        <w:t> </w:t>
      </w:r>
      <w:r>
        <w:rPr/>
        <w:t>que</w:t>
      </w:r>
      <w:r>
        <w:rPr>
          <w:spacing w:val="-16"/>
        </w:rPr>
        <w:t> </w:t>
      </w:r>
      <w:r>
        <w:rPr/>
        <w:t>se</w:t>
      </w:r>
      <w:r>
        <w:rPr>
          <w:spacing w:val="-16"/>
        </w:rPr>
        <w:t> </w:t>
      </w:r>
      <w:r>
        <w:rPr/>
        <w:t>conocen</w:t>
      </w:r>
      <w:r>
        <w:rPr>
          <w:spacing w:val="-20"/>
        </w:rPr>
        <w:t> </w:t>
      </w:r>
      <w:r>
        <w:rPr/>
        <w:t>por</w:t>
      </w:r>
      <w:r>
        <w:rPr>
          <w:spacing w:val="-15"/>
        </w:rPr>
        <w:t> </w:t>
      </w:r>
      <w:r>
        <w:rPr>
          <w:spacing w:val="-3"/>
        </w:rPr>
        <w:t>su</w:t>
      </w:r>
      <w:r>
        <w:rPr>
          <w:spacing w:val="-16"/>
        </w:rPr>
        <w:t> </w:t>
      </w:r>
      <w:r>
        <w:rPr/>
        <w:t>gran</w:t>
      </w:r>
      <w:r>
        <w:rPr>
          <w:spacing w:val="-16"/>
        </w:rPr>
        <w:t> </w:t>
      </w:r>
      <w:r>
        <w:rPr/>
        <w:t>robustez,</w:t>
      </w:r>
      <w:r>
        <w:rPr>
          <w:spacing w:val="-16"/>
        </w:rPr>
        <w:t> </w:t>
      </w:r>
      <w:r>
        <w:rPr/>
        <w:t>fecundidad,</w:t>
      </w:r>
      <w:r>
        <w:rPr>
          <w:spacing w:val="-16"/>
        </w:rPr>
        <w:t> </w:t>
      </w:r>
      <w:r>
        <w:rPr/>
        <w:t>eficiencia alimenticia</w:t>
      </w:r>
      <w:r>
        <w:rPr>
          <w:spacing w:val="-7"/>
        </w:rPr>
        <w:t> </w:t>
      </w:r>
      <w:r>
        <w:rPr/>
        <w:t>y</w:t>
      </w:r>
      <w:r>
        <w:rPr>
          <w:spacing w:val="-13"/>
        </w:rPr>
        <w:t> </w:t>
      </w:r>
      <w:r>
        <w:rPr/>
        <w:t>rápido</w:t>
      </w:r>
      <w:r>
        <w:rPr>
          <w:spacing w:val="-7"/>
        </w:rPr>
        <w:t> </w:t>
      </w:r>
      <w:r>
        <w:rPr/>
        <w:t>crecimiento.</w:t>
      </w:r>
      <w:r>
        <w:rPr>
          <w:spacing w:val="-7"/>
        </w:rPr>
        <w:t> </w:t>
      </w:r>
      <w:r>
        <w:rPr/>
        <w:t>Debido</w:t>
      </w:r>
      <w:r>
        <w:rPr>
          <w:spacing w:val="-7"/>
        </w:rPr>
        <w:t> </w:t>
      </w:r>
      <w:r>
        <w:rPr/>
        <w:t>a</w:t>
      </w:r>
      <w:r>
        <w:rPr>
          <w:spacing w:val="-12"/>
        </w:rPr>
        <w:t> </w:t>
      </w:r>
      <w:r>
        <w:rPr/>
        <w:t>esto,</w:t>
      </w:r>
      <w:r>
        <w:rPr>
          <w:spacing w:val="-7"/>
        </w:rPr>
        <w:t> </w:t>
      </w:r>
      <w:r>
        <w:rPr/>
        <w:t>la tilapia</w:t>
      </w:r>
      <w:r>
        <w:rPr>
          <w:spacing w:val="-7"/>
        </w:rPr>
        <w:t> </w:t>
      </w:r>
      <w:r>
        <w:rPr/>
        <w:t>y</w:t>
      </w:r>
      <w:r>
        <w:rPr>
          <w:spacing w:val="-13"/>
        </w:rPr>
        <w:t> </w:t>
      </w:r>
      <w:r>
        <w:rPr/>
        <w:t>sus</w:t>
      </w:r>
      <w:r>
        <w:rPr>
          <w:spacing w:val="-8"/>
        </w:rPr>
        <w:t> </w:t>
      </w:r>
      <w:r>
        <w:rPr/>
        <w:t>híbridos</w:t>
      </w:r>
      <w:r>
        <w:rPr>
          <w:spacing w:val="-8"/>
        </w:rPr>
        <w:t> </w:t>
      </w:r>
      <w:r>
        <w:rPr/>
        <w:t>son</w:t>
      </w:r>
      <w:r>
        <w:rPr>
          <w:spacing w:val="-7"/>
        </w:rPr>
        <w:t> </w:t>
      </w:r>
      <w:r>
        <w:rPr/>
        <w:t>el</w:t>
      </w:r>
      <w:r>
        <w:rPr>
          <w:spacing w:val="-4"/>
        </w:rPr>
        <w:t> </w:t>
      </w:r>
      <w:r>
        <w:rPr/>
        <w:t>grupo </w:t>
      </w:r>
      <w:r>
        <w:rPr>
          <w:spacing w:val="-3"/>
        </w:rPr>
        <w:t>más</w:t>
      </w:r>
      <w:r>
        <w:rPr>
          <w:spacing w:val="-12"/>
        </w:rPr>
        <w:t> </w:t>
      </w:r>
      <w:r>
        <w:rPr/>
        <w:t>importante</w:t>
      </w:r>
      <w:r>
        <w:rPr>
          <w:spacing w:val="-10"/>
        </w:rPr>
        <w:t> </w:t>
      </w:r>
      <w:r>
        <w:rPr/>
        <w:t>en</w:t>
      </w:r>
      <w:r>
        <w:rPr>
          <w:spacing w:val="-15"/>
        </w:rPr>
        <w:t> </w:t>
      </w:r>
      <w:r>
        <w:rPr/>
        <w:t>diferentes</w:t>
      </w:r>
      <w:r>
        <w:rPr>
          <w:spacing w:val="-16"/>
        </w:rPr>
        <w:t> </w:t>
      </w:r>
      <w:r>
        <w:rPr/>
        <w:t>de</w:t>
      </w:r>
      <w:r>
        <w:rPr>
          <w:spacing w:val="-11"/>
        </w:rPr>
        <w:t> </w:t>
      </w:r>
      <w:r>
        <w:rPr/>
        <w:t>piscifactorías</w:t>
      </w:r>
      <w:r>
        <w:rPr>
          <w:spacing w:val="-21"/>
        </w:rPr>
        <w:t> </w:t>
      </w:r>
      <w:r>
        <w:rPr/>
        <w:t>en</w:t>
      </w:r>
      <w:r>
        <w:rPr>
          <w:spacing w:val="-11"/>
        </w:rPr>
        <w:t> </w:t>
      </w:r>
      <w:r>
        <w:rPr/>
        <w:t>el</w:t>
      </w:r>
      <w:r>
        <w:rPr>
          <w:spacing w:val="-7"/>
        </w:rPr>
        <w:t> </w:t>
      </w:r>
      <w:r>
        <w:rPr/>
        <w:t>mundo</w:t>
      </w:r>
      <w:r>
        <w:rPr>
          <w:spacing w:val="-1"/>
        </w:rPr>
        <w:t> </w:t>
      </w:r>
      <w:r>
        <w:rPr/>
        <w:t>(Toledo</w:t>
      </w:r>
      <w:r>
        <w:rPr>
          <w:spacing w:val="-11"/>
        </w:rPr>
        <w:t> </w:t>
      </w:r>
      <w:r>
        <w:rPr/>
        <w:t>y</w:t>
      </w:r>
      <w:r>
        <w:rPr>
          <w:spacing w:val="-16"/>
        </w:rPr>
        <w:t> </w:t>
      </w:r>
      <w:r>
        <w:rPr/>
        <w:t>García,</w:t>
      </w:r>
      <w:r>
        <w:rPr>
          <w:spacing w:val="-11"/>
        </w:rPr>
        <w:t> </w:t>
      </w:r>
      <w:r>
        <w:rPr/>
        <w:t>2000).</w:t>
      </w:r>
    </w:p>
    <w:p>
      <w:pPr>
        <w:pStyle w:val="BodyText"/>
        <w:spacing w:line="271" w:lineRule="auto" w:before="207"/>
        <w:ind w:left="139"/>
      </w:pPr>
      <w:r>
        <w:rPr/>
        <w:t>De acuerdo a la clasificación de Trewavas (1983), las tilapias se clasifican de la siguiente manera:</w:t>
      </w:r>
    </w:p>
    <w:p>
      <w:pPr>
        <w:pStyle w:val="BodyText"/>
        <w:spacing w:line="448" w:lineRule="auto" w:before="207"/>
        <w:ind w:left="139" w:right="5985"/>
      </w:pPr>
      <w:r>
        <w:rPr/>
        <w:t>Phyllum: Chordata Subphylum: Craneata Superclase: Gnathostomata Serie: Pisces</w:t>
      </w:r>
    </w:p>
    <w:p>
      <w:pPr>
        <w:pStyle w:val="BodyText"/>
        <w:spacing w:line="448" w:lineRule="auto" w:before="9"/>
        <w:ind w:left="139" w:right="6773"/>
      </w:pPr>
      <w:r>
        <w:rPr/>
        <w:t>Clase: Actinopterygii Orden: Perciformes Suborden: Percoidei Familia: Cichlidae</w:t>
      </w:r>
    </w:p>
    <w:p>
      <w:pPr>
        <w:spacing w:after="0" w:line="448" w:lineRule="auto"/>
        <w:sectPr>
          <w:pgSz w:w="12240" w:h="15840"/>
          <w:pgMar w:header="752" w:footer="998" w:top="1000" w:bottom="1180" w:left="1560" w:right="1560"/>
        </w:sectPr>
      </w:pPr>
    </w:p>
    <w:p>
      <w:pPr>
        <w:pStyle w:val="BodyText"/>
        <w:spacing w:before="7"/>
        <w:rPr>
          <w:sz w:val="28"/>
        </w:rPr>
      </w:pPr>
    </w:p>
    <w:p>
      <w:pPr>
        <w:pStyle w:val="BodyText"/>
        <w:spacing w:before="70"/>
        <w:ind w:left="139"/>
        <w:jc w:val="both"/>
      </w:pPr>
      <w:r>
        <w:rPr/>
        <w:t>Género</w:t>
      </w:r>
    </w:p>
    <w:p>
      <w:pPr>
        <w:pStyle w:val="BodyText"/>
        <w:rPr>
          <w:sz w:val="21"/>
        </w:rPr>
      </w:pPr>
    </w:p>
    <w:p>
      <w:pPr>
        <w:pStyle w:val="ListParagraph"/>
        <w:numPr>
          <w:ilvl w:val="0"/>
          <w:numId w:val="4"/>
        </w:numPr>
        <w:tabs>
          <w:tab w:pos="422" w:val="left" w:leader="none"/>
        </w:tabs>
        <w:spacing w:line="240" w:lineRule="auto" w:before="1" w:after="0"/>
        <w:ind w:left="421" w:right="0" w:hanging="282"/>
        <w:jc w:val="both"/>
        <w:rPr>
          <w:rFonts w:ascii="Arial"/>
          <w:i/>
          <w:sz w:val="24"/>
        </w:rPr>
      </w:pPr>
      <w:r>
        <w:rPr>
          <w:rFonts w:ascii="Arial"/>
          <w:sz w:val="24"/>
        </w:rPr>
        <w:t>Tilapia Especie a)</w:t>
      </w:r>
      <w:r>
        <w:rPr>
          <w:rFonts w:ascii="Arial"/>
          <w:spacing w:val="-11"/>
          <w:sz w:val="24"/>
        </w:rPr>
        <w:t> </w:t>
      </w:r>
      <w:r>
        <w:rPr>
          <w:rFonts w:ascii="Arial"/>
          <w:i/>
          <w:sz w:val="24"/>
        </w:rPr>
        <w:t>rendalli</w:t>
      </w:r>
    </w:p>
    <w:p>
      <w:pPr>
        <w:pStyle w:val="BodyText"/>
        <w:spacing w:before="1"/>
        <w:rPr>
          <w:i/>
          <w:sz w:val="21"/>
        </w:rPr>
      </w:pPr>
    </w:p>
    <w:p>
      <w:pPr>
        <w:spacing w:before="0"/>
        <w:ind w:left="2161" w:right="0" w:firstLine="0"/>
        <w:jc w:val="left"/>
        <w:rPr>
          <w:i/>
          <w:sz w:val="24"/>
        </w:rPr>
      </w:pPr>
      <w:r>
        <w:rPr>
          <w:sz w:val="24"/>
        </w:rPr>
        <w:t>b) </w:t>
      </w:r>
      <w:r>
        <w:rPr>
          <w:i/>
          <w:sz w:val="24"/>
        </w:rPr>
        <w:t>zillii</w:t>
      </w:r>
    </w:p>
    <w:p>
      <w:pPr>
        <w:pStyle w:val="BodyText"/>
        <w:rPr>
          <w:i/>
          <w:sz w:val="21"/>
        </w:rPr>
      </w:pPr>
    </w:p>
    <w:p>
      <w:pPr>
        <w:pStyle w:val="ListParagraph"/>
        <w:numPr>
          <w:ilvl w:val="0"/>
          <w:numId w:val="4"/>
        </w:numPr>
        <w:tabs>
          <w:tab w:pos="424" w:val="left" w:leader="none"/>
        </w:tabs>
        <w:spacing w:line="240" w:lineRule="auto" w:before="1" w:after="0"/>
        <w:ind w:left="423" w:right="0" w:hanging="284"/>
        <w:jc w:val="both"/>
        <w:rPr>
          <w:rFonts w:ascii="Arial"/>
          <w:i/>
          <w:sz w:val="24"/>
        </w:rPr>
      </w:pPr>
      <w:r>
        <w:rPr>
          <w:rFonts w:ascii="Arial"/>
          <w:i/>
          <w:sz w:val="24"/>
        </w:rPr>
        <w:t>Oreochromis </w:t>
      </w:r>
      <w:r>
        <w:rPr>
          <w:rFonts w:ascii="Arial"/>
          <w:sz w:val="24"/>
        </w:rPr>
        <w:t>Especie a)</w:t>
      </w:r>
      <w:r>
        <w:rPr>
          <w:rFonts w:ascii="Arial"/>
          <w:spacing w:val="-11"/>
          <w:sz w:val="24"/>
        </w:rPr>
        <w:t> </w:t>
      </w:r>
      <w:r>
        <w:rPr>
          <w:rFonts w:ascii="Arial"/>
          <w:i/>
          <w:sz w:val="24"/>
        </w:rPr>
        <w:t>aureus</w:t>
      </w:r>
    </w:p>
    <w:p>
      <w:pPr>
        <w:pStyle w:val="BodyText"/>
        <w:spacing w:before="7"/>
        <w:rPr>
          <w:i/>
          <w:sz w:val="20"/>
        </w:rPr>
      </w:pPr>
    </w:p>
    <w:p>
      <w:pPr>
        <w:pStyle w:val="ListParagraph"/>
        <w:numPr>
          <w:ilvl w:val="1"/>
          <w:numId w:val="4"/>
        </w:numPr>
        <w:tabs>
          <w:tab w:pos="3079" w:val="left" w:leader="none"/>
        </w:tabs>
        <w:spacing w:line="240" w:lineRule="auto" w:before="0" w:after="0"/>
        <w:ind w:left="3078" w:right="0" w:hanging="278"/>
        <w:jc w:val="left"/>
        <w:rPr>
          <w:rFonts w:ascii="Arial"/>
          <w:i/>
          <w:sz w:val="24"/>
        </w:rPr>
      </w:pPr>
      <w:r>
        <w:rPr>
          <w:rFonts w:ascii="Arial"/>
          <w:i/>
          <w:sz w:val="24"/>
        </w:rPr>
        <w:t>niloticus</w:t>
      </w:r>
    </w:p>
    <w:p>
      <w:pPr>
        <w:pStyle w:val="BodyText"/>
        <w:spacing w:before="1"/>
        <w:rPr>
          <w:i/>
          <w:sz w:val="21"/>
        </w:rPr>
      </w:pPr>
    </w:p>
    <w:p>
      <w:pPr>
        <w:pStyle w:val="ListParagraph"/>
        <w:numPr>
          <w:ilvl w:val="1"/>
          <w:numId w:val="4"/>
        </w:numPr>
        <w:tabs>
          <w:tab w:pos="3094" w:val="left" w:leader="none"/>
        </w:tabs>
        <w:spacing w:line="240" w:lineRule="auto" w:before="0" w:after="0"/>
        <w:ind w:left="3093" w:right="0" w:hanging="264"/>
        <w:jc w:val="left"/>
        <w:rPr>
          <w:rFonts w:ascii="Arial"/>
          <w:i/>
          <w:sz w:val="24"/>
        </w:rPr>
      </w:pPr>
      <w:r>
        <w:rPr>
          <w:rFonts w:ascii="Arial"/>
          <w:i/>
          <w:sz w:val="24"/>
        </w:rPr>
        <w:t>mossambicus</w:t>
      </w:r>
    </w:p>
    <w:p>
      <w:pPr>
        <w:pStyle w:val="BodyText"/>
        <w:rPr>
          <w:i/>
          <w:sz w:val="21"/>
        </w:rPr>
      </w:pPr>
    </w:p>
    <w:p>
      <w:pPr>
        <w:pStyle w:val="ListParagraph"/>
        <w:numPr>
          <w:ilvl w:val="1"/>
          <w:numId w:val="4"/>
        </w:numPr>
        <w:tabs>
          <w:tab w:pos="3132" w:val="left" w:leader="none"/>
        </w:tabs>
        <w:spacing w:line="240" w:lineRule="auto" w:before="1" w:after="0"/>
        <w:ind w:left="3131" w:right="0" w:hanging="283"/>
        <w:jc w:val="left"/>
        <w:rPr>
          <w:rFonts w:ascii="Arial"/>
          <w:i/>
          <w:sz w:val="24"/>
        </w:rPr>
      </w:pPr>
      <w:r>
        <w:rPr>
          <w:rFonts w:ascii="Arial"/>
          <w:i/>
          <w:sz w:val="24"/>
        </w:rPr>
        <w:t>urolepis</w:t>
      </w:r>
      <w:r>
        <w:rPr>
          <w:rFonts w:ascii="Arial"/>
          <w:i/>
          <w:spacing w:val="-10"/>
          <w:sz w:val="24"/>
        </w:rPr>
        <w:t> </w:t>
      </w:r>
      <w:r>
        <w:rPr>
          <w:rFonts w:ascii="Arial"/>
          <w:i/>
          <w:sz w:val="24"/>
        </w:rPr>
        <w:t>hornorum</w:t>
      </w:r>
    </w:p>
    <w:p>
      <w:pPr>
        <w:pStyle w:val="BodyText"/>
        <w:spacing w:before="5"/>
        <w:rPr>
          <w:i/>
          <w:sz w:val="21"/>
        </w:rPr>
      </w:pPr>
    </w:p>
    <w:p>
      <w:pPr>
        <w:pStyle w:val="BodyText"/>
        <w:spacing w:line="273" w:lineRule="auto"/>
        <w:ind w:left="139" w:right="135"/>
        <w:jc w:val="both"/>
      </w:pPr>
      <w:r>
        <w:rPr/>
        <w:t>Estas</w:t>
      </w:r>
      <w:r>
        <w:rPr>
          <w:spacing w:val="-17"/>
        </w:rPr>
        <w:t> </w:t>
      </w:r>
      <w:r>
        <w:rPr/>
        <w:t>especies</w:t>
      </w:r>
      <w:r>
        <w:rPr>
          <w:spacing w:val="-22"/>
        </w:rPr>
        <w:t> </w:t>
      </w:r>
      <w:r>
        <w:rPr/>
        <w:t>de</w:t>
      </w:r>
      <w:r>
        <w:rPr>
          <w:spacing w:val="-21"/>
        </w:rPr>
        <w:t> </w:t>
      </w:r>
      <w:r>
        <w:rPr/>
        <w:t>Ciclídos</w:t>
      </w:r>
      <w:r>
        <w:rPr>
          <w:spacing w:val="-17"/>
        </w:rPr>
        <w:t> </w:t>
      </w:r>
      <w:r>
        <w:rPr/>
        <w:t>son</w:t>
      </w:r>
      <w:r>
        <w:rPr>
          <w:spacing w:val="-17"/>
        </w:rPr>
        <w:t> </w:t>
      </w:r>
      <w:r>
        <w:rPr/>
        <w:t>bien</w:t>
      </w:r>
      <w:r>
        <w:rPr>
          <w:spacing w:val="-11"/>
        </w:rPr>
        <w:t> </w:t>
      </w:r>
      <w:r>
        <w:rPr/>
        <w:t>aceptadas</w:t>
      </w:r>
      <w:r>
        <w:rPr>
          <w:spacing w:val="-16"/>
        </w:rPr>
        <w:t> </w:t>
      </w:r>
      <w:r>
        <w:rPr/>
        <w:t>por</w:t>
      </w:r>
      <w:r>
        <w:rPr>
          <w:spacing w:val="-20"/>
        </w:rPr>
        <w:t> </w:t>
      </w:r>
      <w:r>
        <w:rPr/>
        <w:t>su</w:t>
      </w:r>
      <w:r>
        <w:rPr>
          <w:spacing w:val="-21"/>
        </w:rPr>
        <w:t> </w:t>
      </w:r>
      <w:r>
        <w:rPr/>
        <w:t>gran</w:t>
      </w:r>
      <w:r>
        <w:rPr>
          <w:spacing w:val="-21"/>
        </w:rPr>
        <w:t> </w:t>
      </w:r>
      <w:r>
        <w:rPr/>
        <w:t>capacidad</w:t>
      </w:r>
      <w:r>
        <w:rPr>
          <w:spacing w:val="-21"/>
        </w:rPr>
        <w:t> </w:t>
      </w:r>
      <w:r>
        <w:rPr/>
        <w:t>de</w:t>
      </w:r>
      <w:r>
        <w:rPr>
          <w:spacing w:val="-17"/>
        </w:rPr>
        <w:t> </w:t>
      </w:r>
      <w:r>
        <w:rPr/>
        <w:t>adaptación a diferentes condiciones ambientales. También muestran un comportamiento reproductivo</w:t>
      </w:r>
      <w:r>
        <w:rPr>
          <w:spacing w:val="-10"/>
        </w:rPr>
        <w:t> </w:t>
      </w:r>
      <w:r>
        <w:rPr/>
        <w:t>especializado;</w:t>
      </w:r>
      <w:r>
        <w:rPr>
          <w:spacing w:val="-10"/>
        </w:rPr>
        <w:t> </w:t>
      </w:r>
      <w:r>
        <w:rPr/>
        <w:t>una</w:t>
      </w:r>
      <w:r>
        <w:rPr>
          <w:spacing w:val="-10"/>
        </w:rPr>
        <w:t> </w:t>
      </w:r>
      <w:r>
        <w:rPr/>
        <w:t>de</w:t>
      </w:r>
      <w:r>
        <w:rPr>
          <w:spacing w:val="-15"/>
        </w:rPr>
        <w:t> </w:t>
      </w:r>
      <w:r>
        <w:rPr/>
        <w:t>las</w:t>
      </w:r>
      <w:r>
        <w:rPr>
          <w:spacing w:val="-9"/>
        </w:rPr>
        <w:t> </w:t>
      </w:r>
      <w:r>
        <w:rPr/>
        <w:t>características</w:t>
      </w:r>
      <w:r>
        <w:rPr>
          <w:spacing w:val="-11"/>
        </w:rPr>
        <w:t> </w:t>
      </w:r>
      <w:r>
        <w:rPr/>
        <w:t>distintivas</w:t>
      </w:r>
      <w:r>
        <w:rPr>
          <w:spacing w:val="-11"/>
        </w:rPr>
        <w:t> </w:t>
      </w:r>
      <w:r>
        <w:rPr/>
        <w:t>de</w:t>
      </w:r>
      <w:r>
        <w:rPr>
          <w:spacing w:val="-15"/>
        </w:rPr>
        <w:t> </w:t>
      </w:r>
      <w:r>
        <w:rPr/>
        <w:t>los</w:t>
      </w:r>
      <w:r>
        <w:rPr>
          <w:spacing w:val="-15"/>
        </w:rPr>
        <w:t> </w:t>
      </w:r>
      <w:r>
        <w:rPr/>
        <w:t>géneros</w:t>
      </w:r>
      <w:r>
        <w:rPr>
          <w:spacing w:val="-11"/>
        </w:rPr>
        <w:t> </w:t>
      </w:r>
      <w:r>
        <w:rPr/>
        <w:t>que integran el grupo de tilapias son sus hábitos reproductivos, referidos al tipo de cuidado que los progenitores brindan a sus</w:t>
      </w:r>
      <w:r>
        <w:rPr>
          <w:spacing w:val="-14"/>
        </w:rPr>
        <w:t> </w:t>
      </w:r>
      <w:r>
        <w:rPr/>
        <w:t>crías.</w:t>
      </w:r>
    </w:p>
    <w:p>
      <w:pPr>
        <w:pStyle w:val="BodyText"/>
        <w:spacing w:line="276" w:lineRule="auto" w:before="209"/>
        <w:ind w:left="139" w:right="137"/>
        <w:jc w:val="both"/>
      </w:pPr>
      <w:r>
        <w:rPr/>
        <w:t>En el Género </w:t>
      </w:r>
      <w:r>
        <w:rPr>
          <w:i/>
        </w:rPr>
        <w:t>Sarotherodon </w:t>
      </w:r>
      <w:r>
        <w:rPr/>
        <w:t>los padres (hembras y machos) incuban los huevos en la boca y una vez nacidos, cuidan a la descendencia por un tiempo adicional (incubadores bucales); en el Género </w:t>
      </w:r>
      <w:r>
        <w:rPr>
          <w:i/>
        </w:rPr>
        <w:t>Oreochromis</w:t>
      </w:r>
      <w:r>
        <w:rPr/>
        <w:t>, sólo la hembra realiza la incubación. El género tilapia realiza la incubación sobre un sustrato fijo en el fondo del medio acuático o construyendo un "nido" de vegetación sobre los huevecillos (Toledo y García, 2000).</w:t>
      </w:r>
    </w:p>
    <w:p>
      <w:pPr>
        <w:pStyle w:val="BodyText"/>
        <w:spacing w:before="197"/>
        <w:ind w:left="139"/>
        <w:jc w:val="both"/>
      </w:pPr>
      <w:r>
        <w:rPr/>
        <w:t>Hábitos alimenticios</w:t>
      </w:r>
    </w:p>
    <w:p>
      <w:pPr>
        <w:pStyle w:val="BodyText"/>
        <w:spacing w:before="6"/>
        <w:rPr>
          <w:sz w:val="21"/>
        </w:rPr>
      </w:pPr>
    </w:p>
    <w:p>
      <w:pPr>
        <w:pStyle w:val="BodyText"/>
        <w:spacing w:line="276" w:lineRule="auto"/>
        <w:ind w:left="139" w:right="135"/>
        <w:jc w:val="both"/>
      </w:pPr>
      <w:r>
        <w:rPr/>
        <w:t>Todas</w:t>
      </w:r>
      <w:r>
        <w:rPr>
          <w:spacing w:val="-21"/>
        </w:rPr>
        <w:t> </w:t>
      </w:r>
      <w:r>
        <w:rPr/>
        <w:t>las</w:t>
      </w:r>
      <w:r>
        <w:rPr>
          <w:spacing w:val="-21"/>
        </w:rPr>
        <w:t> </w:t>
      </w:r>
      <w:r>
        <w:rPr/>
        <w:t>tilapias</w:t>
      </w:r>
      <w:r>
        <w:rPr>
          <w:spacing w:val="-21"/>
        </w:rPr>
        <w:t> </w:t>
      </w:r>
      <w:r>
        <w:rPr/>
        <w:t>tienen</w:t>
      </w:r>
      <w:r>
        <w:rPr>
          <w:spacing w:val="-18"/>
        </w:rPr>
        <w:t> </w:t>
      </w:r>
      <w:r>
        <w:rPr/>
        <w:t>tendencia</w:t>
      </w:r>
      <w:r>
        <w:rPr>
          <w:spacing w:val="-16"/>
        </w:rPr>
        <w:t> </w:t>
      </w:r>
      <w:r>
        <w:rPr/>
        <w:t>hacia</w:t>
      </w:r>
      <w:r>
        <w:rPr>
          <w:spacing w:val="-14"/>
        </w:rPr>
        <w:t> </w:t>
      </w:r>
      <w:r>
        <w:rPr/>
        <w:t>hábitos</w:t>
      </w:r>
      <w:r>
        <w:rPr>
          <w:spacing w:val="-16"/>
        </w:rPr>
        <w:t> </w:t>
      </w:r>
      <w:r>
        <w:rPr/>
        <w:t>alimenticios</w:t>
      </w:r>
      <w:r>
        <w:rPr>
          <w:spacing w:val="-21"/>
        </w:rPr>
        <w:t> </w:t>
      </w:r>
      <w:r>
        <w:rPr/>
        <w:t>herbívoros</w:t>
      </w:r>
      <w:r>
        <w:rPr>
          <w:spacing w:val="-16"/>
        </w:rPr>
        <w:t> </w:t>
      </w:r>
      <w:r>
        <w:rPr/>
        <w:t>a</w:t>
      </w:r>
      <w:r>
        <w:rPr>
          <w:spacing w:val="-20"/>
        </w:rPr>
        <w:t> </w:t>
      </w:r>
      <w:r>
        <w:rPr/>
        <w:t>diferencia de otros peces que se alimentan de pequeños invertebrados o son piscívoros. A pesar de la heterogeneidad en relación a sus hábitos alimenticios y a </w:t>
      </w:r>
      <w:r>
        <w:rPr>
          <w:spacing w:val="5"/>
        </w:rPr>
        <w:t>los </w:t>
      </w:r>
      <w:r>
        <w:rPr/>
        <w:t>alimentos que consumen, las tilapias se pueden clasificar en tres grupos</w:t>
      </w:r>
      <w:r>
        <w:rPr>
          <w:spacing w:val="-30"/>
        </w:rPr>
        <w:t> </w:t>
      </w:r>
      <w:r>
        <w:rPr/>
        <w:t>principales:</w:t>
      </w:r>
    </w:p>
    <w:p>
      <w:pPr>
        <w:pStyle w:val="ListParagraph"/>
        <w:numPr>
          <w:ilvl w:val="0"/>
          <w:numId w:val="5"/>
        </w:numPr>
        <w:tabs>
          <w:tab w:pos="490" w:val="left" w:leader="none"/>
        </w:tabs>
        <w:spacing w:line="276" w:lineRule="auto" w:before="203" w:after="0"/>
        <w:ind w:left="139" w:right="135" w:firstLine="0"/>
        <w:jc w:val="both"/>
        <w:rPr>
          <w:rFonts w:ascii="Arial" w:hAnsi="Arial"/>
          <w:sz w:val="24"/>
        </w:rPr>
      </w:pPr>
      <w:r>
        <w:rPr>
          <w:rFonts w:ascii="Arial" w:hAnsi="Arial"/>
          <w:sz w:val="24"/>
        </w:rPr>
        <w:t>Especies Omnívoras: </w:t>
      </w:r>
      <w:r>
        <w:rPr>
          <w:rFonts w:ascii="Arial" w:hAnsi="Arial"/>
          <w:i/>
          <w:sz w:val="24"/>
        </w:rPr>
        <w:t>0. mossambicus </w:t>
      </w:r>
      <w:r>
        <w:rPr>
          <w:rFonts w:ascii="Arial" w:hAnsi="Arial"/>
          <w:sz w:val="24"/>
        </w:rPr>
        <w:t>es la especie que presenta mayor diversidad</w:t>
      </w:r>
      <w:r>
        <w:rPr>
          <w:rFonts w:ascii="Arial" w:hAnsi="Arial"/>
          <w:spacing w:val="-21"/>
          <w:sz w:val="24"/>
        </w:rPr>
        <w:t> </w:t>
      </w:r>
      <w:r>
        <w:rPr>
          <w:rFonts w:ascii="Arial" w:hAnsi="Arial"/>
          <w:sz w:val="24"/>
        </w:rPr>
        <w:t>en</w:t>
      </w:r>
      <w:r>
        <w:rPr>
          <w:rFonts w:ascii="Arial" w:hAnsi="Arial"/>
          <w:spacing w:val="-21"/>
          <w:sz w:val="24"/>
        </w:rPr>
        <w:t> </w:t>
      </w:r>
      <w:r>
        <w:rPr>
          <w:rFonts w:ascii="Arial" w:hAnsi="Arial"/>
          <w:sz w:val="24"/>
        </w:rPr>
        <w:t>los</w:t>
      </w:r>
      <w:r>
        <w:rPr>
          <w:rFonts w:ascii="Arial" w:hAnsi="Arial"/>
          <w:spacing w:val="-17"/>
          <w:sz w:val="24"/>
        </w:rPr>
        <w:t> </w:t>
      </w:r>
      <w:r>
        <w:rPr>
          <w:rFonts w:ascii="Arial" w:hAnsi="Arial"/>
          <w:sz w:val="24"/>
        </w:rPr>
        <w:t>alimentos</w:t>
      </w:r>
      <w:r>
        <w:rPr>
          <w:rFonts w:ascii="Arial" w:hAnsi="Arial"/>
          <w:spacing w:val="-12"/>
          <w:sz w:val="24"/>
        </w:rPr>
        <w:t> </w:t>
      </w:r>
      <w:r>
        <w:rPr>
          <w:rFonts w:ascii="Arial" w:hAnsi="Arial"/>
          <w:sz w:val="24"/>
        </w:rPr>
        <w:t>que</w:t>
      </w:r>
      <w:r>
        <w:rPr>
          <w:rFonts w:ascii="Arial" w:hAnsi="Arial"/>
          <w:spacing w:val="-21"/>
          <w:sz w:val="24"/>
        </w:rPr>
        <w:t> </w:t>
      </w:r>
      <w:r>
        <w:rPr>
          <w:rFonts w:ascii="Arial" w:hAnsi="Arial"/>
          <w:sz w:val="24"/>
        </w:rPr>
        <w:t>ingiere.</w:t>
      </w:r>
      <w:r>
        <w:rPr>
          <w:rFonts w:ascii="Arial" w:hAnsi="Arial"/>
          <w:spacing w:val="-19"/>
          <w:sz w:val="24"/>
        </w:rPr>
        <w:t> </w:t>
      </w:r>
      <w:r>
        <w:rPr>
          <w:rFonts w:ascii="Arial" w:hAnsi="Arial"/>
          <w:i/>
          <w:sz w:val="24"/>
        </w:rPr>
        <w:t>0.</w:t>
      </w:r>
      <w:r>
        <w:rPr>
          <w:rFonts w:ascii="Arial" w:hAnsi="Arial"/>
          <w:i/>
          <w:spacing w:val="-17"/>
          <w:sz w:val="24"/>
        </w:rPr>
        <w:t> </w:t>
      </w:r>
      <w:r>
        <w:rPr>
          <w:rFonts w:ascii="Arial" w:hAnsi="Arial"/>
          <w:i/>
          <w:sz w:val="24"/>
        </w:rPr>
        <w:t>niloticus,</w:t>
      </w:r>
      <w:r>
        <w:rPr>
          <w:rFonts w:ascii="Arial" w:hAnsi="Arial"/>
          <w:i/>
          <w:spacing w:val="-17"/>
          <w:sz w:val="24"/>
        </w:rPr>
        <w:t> </w:t>
      </w:r>
      <w:r>
        <w:rPr>
          <w:rFonts w:ascii="Arial" w:hAnsi="Arial"/>
          <w:i/>
          <w:sz w:val="24"/>
        </w:rPr>
        <w:t>0.</w:t>
      </w:r>
      <w:r>
        <w:rPr>
          <w:rFonts w:ascii="Arial" w:hAnsi="Arial"/>
          <w:i/>
          <w:spacing w:val="-17"/>
          <w:sz w:val="24"/>
        </w:rPr>
        <w:t> </w:t>
      </w:r>
      <w:r>
        <w:rPr>
          <w:rFonts w:ascii="Arial" w:hAnsi="Arial"/>
          <w:i/>
          <w:sz w:val="24"/>
        </w:rPr>
        <w:t>spilurus</w:t>
      </w:r>
      <w:r>
        <w:rPr>
          <w:rFonts w:ascii="Arial" w:hAnsi="Arial"/>
          <w:i/>
          <w:spacing w:val="-17"/>
          <w:sz w:val="24"/>
        </w:rPr>
        <w:t> </w:t>
      </w:r>
      <w:r>
        <w:rPr>
          <w:rFonts w:ascii="Arial" w:hAnsi="Arial"/>
          <w:i/>
          <w:sz w:val="24"/>
        </w:rPr>
        <w:t>y</w:t>
      </w:r>
      <w:r>
        <w:rPr>
          <w:rFonts w:ascii="Arial" w:hAnsi="Arial"/>
          <w:i/>
          <w:spacing w:val="-17"/>
          <w:sz w:val="24"/>
        </w:rPr>
        <w:t> </w:t>
      </w:r>
      <w:r>
        <w:rPr>
          <w:rFonts w:ascii="Arial" w:hAnsi="Arial"/>
          <w:i/>
          <w:sz w:val="24"/>
        </w:rPr>
        <w:t>0.</w:t>
      </w:r>
      <w:r>
        <w:rPr>
          <w:rFonts w:ascii="Arial" w:hAnsi="Arial"/>
          <w:i/>
          <w:spacing w:val="-17"/>
          <w:sz w:val="24"/>
        </w:rPr>
        <w:t> </w:t>
      </w:r>
      <w:r>
        <w:rPr>
          <w:rFonts w:ascii="Arial" w:hAnsi="Arial"/>
          <w:i/>
          <w:sz w:val="24"/>
        </w:rPr>
        <w:t>aureus</w:t>
      </w:r>
      <w:r>
        <w:rPr>
          <w:rFonts w:ascii="Arial" w:hAnsi="Arial"/>
          <w:i/>
          <w:spacing w:val="-13"/>
          <w:sz w:val="24"/>
        </w:rPr>
        <w:t> </w:t>
      </w:r>
      <w:r>
        <w:rPr>
          <w:rFonts w:ascii="Arial" w:hAnsi="Arial"/>
          <w:sz w:val="24"/>
        </w:rPr>
        <w:t>presentan tendencia hacia el consumo de</w:t>
      </w:r>
      <w:r>
        <w:rPr>
          <w:rFonts w:ascii="Arial" w:hAnsi="Arial"/>
          <w:spacing w:val="-14"/>
          <w:sz w:val="24"/>
        </w:rPr>
        <w:t> </w:t>
      </w:r>
      <w:r>
        <w:rPr>
          <w:rFonts w:ascii="Arial" w:hAnsi="Arial"/>
          <w:sz w:val="24"/>
        </w:rPr>
        <w:t>zooplancton.</w:t>
      </w:r>
    </w:p>
    <w:p>
      <w:pPr>
        <w:pStyle w:val="ListParagraph"/>
        <w:numPr>
          <w:ilvl w:val="0"/>
          <w:numId w:val="5"/>
        </w:numPr>
        <w:tabs>
          <w:tab w:pos="461" w:val="left" w:leader="none"/>
        </w:tabs>
        <w:spacing w:line="276" w:lineRule="auto" w:before="202" w:after="0"/>
        <w:ind w:left="139" w:right="135" w:firstLine="0"/>
        <w:jc w:val="both"/>
        <w:rPr>
          <w:rFonts w:ascii="Arial" w:hAnsi="Arial"/>
          <w:sz w:val="24"/>
        </w:rPr>
      </w:pPr>
      <w:r>
        <w:rPr>
          <w:rFonts w:ascii="Arial" w:hAnsi="Arial"/>
          <w:sz w:val="24"/>
        </w:rPr>
        <w:t>Especies Fitoplanctofagas: </w:t>
      </w:r>
      <w:r>
        <w:rPr>
          <w:rFonts w:ascii="Arial" w:hAnsi="Arial"/>
          <w:i/>
          <w:sz w:val="24"/>
        </w:rPr>
        <w:t>S. galilaeus y 0. macrochir </w:t>
      </w:r>
      <w:r>
        <w:rPr>
          <w:rFonts w:ascii="Arial" w:hAnsi="Arial"/>
          <w:sz w:val="24"/>
        </w:rPr>
        <w:t>son especies que se alimentan principalmente de fitoplancton (algas microscópicas). </w:t>
      </w:r>
      <w:r>
        <w:rPr>
          <w:rFonts w:ascii="Arial" w:hAnsi="Arial"/>
          <w:i/>
          <w:sz w:val="24"/>
        </w:rPr>
        <w:t>S. melanotheron </w:t>
      </w:r>
      <w:r>
        <w:rPr>
          <w:rFonts w:ascii="Arial" w:hAnsi="Arial"/>
          <w:sz w:val="24"/>
        </w:rPr>
        <w:t>consume células muertas de fitoplancton, </w:t>
      </w:r>
      <w:r>
        <w:rPr>
          <w:rFonts w:ascii="Arial" w:hAnsi="Arial"/>
          <w:i/>
          <w:sz w:val="24"/>
        </w:rPr>
        <w:t>0. alcalicus </w:t>
      </w:r>
      <w:r>
        <w:rPr>
          <w:rFonts w:ascii="Arial" w:hAnsi="Arial"/>
          <w:sz w:val="24"/>
        </w:rPr>
        <w:t>consume algas que crecen sobre la superficie de las piedras y</w:t>
      </w:r>
      <w:r>
        <w:rPr>
          <w:rFonts w:ascii="Arial" w:hAnsi="Arial"/>
          <w:spacing w:val="-15"/>
          <w:sz w:val="24"/>
        </w:rPr>
        <w:t> </w:t>
      </w:r>
      <w:r>
        <w:rPr>
          <w:rFonts w:ascii="Arial" w:hAnsi="Arial"/>
          <w:sz w:val="24"/>
        </w:rPr>
        <w:t>rocas.</w:t>
      </w:r>
    </w:p>
    <w:p>
      <w:pPr>
        <w:spacing w:after="0" w:line="276" w:lineRule="auto"/>
        <w:jc w:val="both"/>
        <w:rPr>
          <w:rFonts w:ascii="Arial" w:hAnsi="Arial"/>
          <w:sz w:val="24"/>
        </w:rPr>
        <w:sectPr>
          <w:pgSz w:w="12240" w:h="15840"/>
          <w:pgMar w:header="752" w:footer="998" w:top="1000" w:bottom="1180" w:left="1560" w:right="1560"/>
        </w:sectPr>
      </w:pPr>
    </w:p>
    <w:p>
      <w:pPr>
        <w:pStyle w:val="BodyText"/>
        <w:rPr>
          <w:sz w:val="29"/>
        </w:rPr>
      </w:pPr>
    </w:p>
    <w:p>
      <w:pPr>
        <w:pStyle w:val="ListParagraph"/>
        <w:numPr>
          <w:ilvl w:val="0"/>
          <w:numId w:val="5"/>
        </w:numPr>
        <w:tabs>
          <w:tab w:pos="442" w:val="left" w:leader="none"/>
        </w:tabs>
        <w:spacing w:line="273" w:lineRule="auto" w:before="70" w:after="0"/>
        <w:ind w:left="139" w:right="137" w:firstLine="0"/>
        <w:jc w:val="both"/>
        <w:rPr>
          <w:rFonts w:ascii="Arial" w:hAnsi="Arial"/>
          <w:sz w:val="24"/>
        </w:rPr>
      </w:pPr>
      <w:r>
        <w:rPr>
          <w:rFonts w:ascii="Arial" w:hAnsi="Arial"/>
          <w:sz w:val="24"/>
        </w:rPr>
        <w:t>Especies Herbívoras: </w:t>
      </w:r>
      <w:r>
        <w:rPr>
          <w:rFonts w:ascii="Arial" w:hAnsi="Arial"/>
          <w:i/>
          <w:sz w:val="24"/>
        </w:rPr>
        <w:t>T. rendalli, T. sparmanni y T. zilii </w:t>
      </w:r>
      <w:r>
        <w:rPr>
          <w:rFonts w:ascii="Arial" w:hAnsi="Arial"/>
          <w:sz w:val="24"/>
        </w:rPr>
        <w:t>consumen vegetación macroscópica. Para poder cortar y rasgar plantas y hojas fibrosas poseen dientes faríngeos especializados, así </w:t>
      </w:r>
      <w:r>
        <w:rPr>
          <w:rFonts w:ascii="Arial" w:hAnsi="Arial"/>
          <w:spacing w:val="-4"/>
          <w:sz w:val="24"/>
        </w:rPr>
        <w:t>como </w:t>
      </w:r>
      <w:r>
        <w:rPr>
          <w:rFonts w:ascii="Arial" w:hAnsi="Arial"/>
          <w:sz w:val="24"/>
        </w:rPr>
        <w:t>un estómago que secreta ácidos</w:t>
      </w:r>
      <w:r>
        <w:rPr>
          <w:rFonts w:ascii="Arial" w:hAnsi="Arial"/>
          <w:spacing w:val="-1"/>
          <w:sz w:val="24"/>
        </w:rPr>
        <w:t> </w:t>
      </w:r>
      <w:r>
        <w:rPr>
          <w:rFonts w:ascii="Arial" w:hAnsi="Arial"/>
          <w:sz w:val="24"/>
        </w:rPr>
        <w:t>gastricos.</w:t>
      </w:r>
    </w:p>
    <w:p>
      <w:pPr>
        <w:pStyle w:val="BodyText"/>
        <w:spacing w:line="276" w:lineRule="auto" w:before="210"/>
        <w:ind w:left="139" w:right="137"/>
        <w:jc w:val="both"/>
      </w:pPr>
      <w:r>
        <w:rPr/>
        <w:t>Los</w:t>
      </w:r>
      <w:r>
        <w:rPr>
          <w:spacing w:val="-17"/>
        </w:rPr>
        <w:t> </w:t>
      </w:r>
      <w:r>
        <w:rPr/>
        <w:t>requerimientos</w:t>
      </w:r>
      <w:r>
        <w:rPr>
          <w:spacing w:val="-17"/>
        </w:rPr>
        <w:t> </w:t>
      </w:r>
      <w:r>
        <w:rPr/>
        <w:t>nutricionales</w:t>
      </w:r>
      <w:r>
        <w:rPr>
          <w:spacing w:val="-17"/>
        </w:rPr>
        <w:t> </w:t>
      </w:r>
      <w:r>
        <w:rPr/>
        <w:t>al</w:t>
      </w:r>
      <w:r>
        <w:rPr>
          <w:spacing w:val="-18"/>
        </w:rPr>
        <w:t> </w:t>
      </w:r>
      <w:r>
        <w:rPr/>
        <w:t>igual</w:t>
      </w:r>
      <w:r>
        <w:rPr>
          <w:spacing w:val="-13"/>
        </w:rPr>
        <w:t> </w:t>
      </w:r>
      <w:r>
        <w:rPr/>
        <w:t>que</w:t>
      </w:r>
      <w:r>
        <w:rPr>
          <w:spacing w:val="-21"/>
        </w:rPr>
        <w:t> </w:t>
      </w:r>
      <w:r>
        <w:rPr/>
        <w:t>los</w:t>
      </w:r>
      <w:r>
        <w:rPr>
          <w:spacing w:val="-17"/>
        </w:rPr>
        <w:t> </w:t>
      </w:r>
      <w:r>
        <w:rPr/>
        <w:t>hábitos</w:t>
      </w:r>
      <w:r>
        <w:rPr>
          <w:spacing w:val="-17"/>
        </w:rPr>
        <w:t> </w:t>
      </w:r>
      <w:r>
        <w:rPr/>
        <w:t>alimenticios</w:t>
      </w:r>
      <w:r>
        <w:rPr>
          <w:spacing w:val="-17"/>
        </w:rPr>
        <w:t> </w:t>
      </w:r>
      <w:r>
        <w:rPr/>
        <w:t>de</w:t>
      </w:r>
      <w:r>
        <w:rPr>
          <w:spacing w:val="-21"/>
        </w:rPr>
        <w:t> </w:t>
      </w:r>
      <w:r>
        <w:rPr/>
        <w:t>los</w:t>
      </w:r>
      <w:r>
        <w:rPr>
          <w:spacing w:val="-17"/>
        </w:rPr>
        <w:t> </w:t>
      </w:r>
      <w:r>
        <w:rPr/>
        <w:t>juveniles difieren considerablemente de los adultos. Los juveniles </w:t>
      </w:r>
      <w:r>
        <w:rPr>
          <w:spacing w:val="-3"/>
        </w:rPr>
        <w:t>casi </w:t>
      </w:r>
      <w:r>
        <w:rPr/>
        <w:t>siempre son zooplanctófagos (mayor requerimiento de proteína) y posteriormente su alimentación </w:t>
      </w:r>
      <w:r>
        <w:rPr>
          <w:spacing w:val="-3"/>
        </w:rPr>
        <w:t>se </w:t>
      </w:r>
      <w:r>
        <w:rPr/>
        <w:t>vuelve fitoplanctófaga o detritívora (Hurtado,</w:t>
      </w:r>
      <w:r>
        <w:rPr>
          <w:spacing w:val="-7"/>
        </w:rPr>
        <w:t> </w:t>
      </w:r>
      <w:r>
        <w:rPr/>
        <w:t>2001).</w:t>
      </w:r>
    </w:p>
    <w:p>
      <w:pPr>
        <w:pStyle w:val="Heading1"/>
        <w:numPr>
          <w:ilvl w:val="1"/>
          <w:numId w:val="3"/>
        </w:numPr>
        <w:tabs>
          <w:tab w:pos="544" w:val="left" w:leader="none"/>
        </w:tabs>
        <w:spacing w:line="240" w:lineRule="auto" w:before="198" w:after="0"/>
        <w:ind w:left="543" w:right="0" w:hanging="404"/>
        <w:jc w:val="both"/>
      </w:pPr>
      <w:bookmarkStart w:name="_bookmark13" w:id="21"/>
      <w:bookmarkEnd w:id="21"/>
      <w:r>
        <w:rPr>
          <w:b w:val="0"/>
        </w:rPr>
      </w:r>
      <w:bookmarkStart w:name="_bookmark13" w:id="22"/>
      <w:bookmarkEnd w:id="22"/>
      <w:r>
        <w:rPr>
          <w:color w:val="365F91"/>
        </w:rPr>
        <w:t>E</w:t>
      </w:r>
      <w:r>
        <w:rPr>
          <w:color w:val="365F91"/>
        </w:rPr>
        <w:t>l cultivo de</w:t>
      </w:r>
      <w:r>
        <w:rPr>
          <w:color w:val="365F91"/>
          <w:spacing w:val="-11"/>
        </w:rPr>
        <w:t> </w:t>
      </w:r>
      <w:r>
        <w:rPr>
          <w:color w:val="365F91"/>
        </w:rPr>
        <w:t>tilapia</w:t>
      </w:r>
    </w:p>
    <w:p>
      <w:pPr>
        <w:pStyle w:val="BodyText"/>
        <w:spacing w:line="276" w:lineRule="auto" w:before="45"/>
        <w:ind w:left="139" w:right="135"/>
        <w:jc w:val="both"/>
      </w:pPr>
      <w:r>
        <w:rPr/>
        <w:t>La tilapia es una de las especies </w:t>
      </w:r>
      <w:r>
        <w:rPr>
          <w:spacing w:val="-3"/>
        </w:rPr>
        <w:t>más </w:t>
      </w:r>
      <w:r>
        <w:rPr/>
        <w:t>importantes en producción, siendo cultivada en</w:t>
      </w:r>
      <w:r>
        <w:rPr>
          <w:spacing w:val="-16"/>
        </w:rPr>
        <w:t> </w:t>
      </w:r>
      <w:r>
        <w:rPr/>
        <w:t>diferentes</w:t>
      </w:r>
      <w:r>
        <w:rPr>
          <w:spacing w:val="-21"/>
        </w:rPr>
        <w:t> </w:t>
      </w:r>
      <w:r>
        <w:rPr/>
        <w:t>condiciones</w:t>
      </w:r>
      <w:r>
        <w:rPr>
          <w:spacing w:val="-17"/>
        </w:rPr>
        <w:t> </w:t>
      </w:r>
      <w:r>
        <w:rPr/>
        <w:t>por</w:t>
      </w:r>
      <w:r>
        <w:rPr>
          <w:spacing w:val="-19"/>
        </w:rPr>
        <w:t> </w:t>
      </w:r>
      <w:r>
        <w:rPr/>
        <w:t>su</w:t>
      </w:r>
      <w:r>
        <w:rPr>
          <w:spacing w:val="-20"/>
        </w:rPr>
        <w:t> </w:t>
      </w:r>
      <w:r>
        <w:rPr/>
        <w:t>alta</w:t>
      </w:r>
      <w:r>
        <w:rPr>
          <w:spacing w:val="-20"/>
        </w:rPr>
        <w:t> </w:t>
      </w:r>
      <w:r>
        <w:rPr/>
        <w:t>tolerancia</w:t>
      </w:r>
      <w:r>
        <w:rPr>
          <w:spacing w:val="-16"/>
        </w:rPr>
        <w:t> </w:t>
      </w:r>
      <w:r>
        <w:rPr/>
        <w:t>a</w:t>
      </w:r>
      <w:r>
        <w:rPr>
          <w:spacing w:val="-20"/>
        </w:rPr>
        <w:t> </w:t>
      </w:r>
      <w:r>
        <w:rPr/>
        <w:t>diferentes</w:t>
      </w:r>
      <w:r>
        <w:rPr>
          <w:spacing w:val="-16"/>
        </w:rPr>
        <w:t> </w:t>
      </w:r>
      <w:r>
        <w:rPr/>
        <w:t>condiciones</w:t>
      </w:r>
      <w:r>
        <w:rPr>
          <w:spacing w:val="-21"/>
        </w:rPr>
        <w:t> </w:t>
      </w:r>
      <w:r>
        <w:rPr/>
        <w:t>de</w:t>
      </w:r>
      <w:r>
        <w:rPr>
          <w:spacing w:val="-20"/>
        </w:rPr>
        <w:t> </w:t>
      </w:r>
      <w:r>
        <w:rPr/>
        <w:t>salinidad y temperatura. Algunos autores mencionan que esta especie en particular puede ser cultivada en agua dulce, salobre o Marina, y que también toleran diferentes temperaturas en el agua que pueden variar entre los 25°C y 32 °C mismas que se prefieren en cultivo intensivo, pero puede sobrevivir en un mayor rango de temperatura que puede ir de los 17°C hasta los 35°C. Debido a esto la producción de</w:t>
      </w:r>
      <w:r>
        <w:rPr>
          <w:spacing w:val="-7"/>
        </w:rPr>
        <w:t> </w:t>
      </w:r>
      <w:r>
        <w:rPr/>
        <w:t>esta</w:t>
      </w:r>
      <w:r>
        <w:rPr>
          <w:spacing w:val="-7"/>
        </w:rPr>
        <w:t> </w:t>
      </w:r>
      <w:r>
        <w:rPr/>
        <w:t>especie</w:t>
      </w:r>
      <w:r>
        <w:rPr>
          <w:spacing w:val="-5"/>
        </w:rPr>
        <w:t> </w:t>
      </w:r>
      <w:r>
        <w:rPr/>
        <w:t>ha</w:t>
      </w:r>
      <w:r>
        <w:rPr>
          <w:spacing w:val="-12"/>
        </w:rPr>
        <w:t> </w:t>
      </w:r>
      <w:r>
        <w:rPr/>
        <w:t>aumentado</w:t>
      </w:r>
      <w:r>
        <w:rPr>
          <w:spacing w:val="-7"/>
        </w:rPr>
        <w:t> </w:t>
      </w:r>
      <w:r>
        <w:rPr/>
        <w:t>considerablemente</w:t>
      </w:r>
      <w:r>
        <w:rPr>
          <w:spacing w:val="-2"/>
        </w:rPr>
        <w:t> </w:t>
      </w:r>
      <w:r>
        <w:rPr/>
        <w:t>durante</w:t>
      </w:r>
      <w:r>
        <w:rPr>
          <w:spacing w:val="-11"/>
        </w:rPr>
        <w:t> </w:t>
      </w:r>
      <w:r>
        <w:rPr/>
        <w:t>las</w:t>
      </w:r>
      <w:r>
        <w:rPr>
          <w:spacing w:val="-13"/>
        </w:rPr>
        <w:t> </w:t>
      </w:r>
      <w:r>
        <w:rPr/>
        <w:t>últimas</w:t>
      </w:r>
      <w:r>
        <w:rPr>
          <w:spacing w:val="-8"/>
        </w:rPr>
        <w:t> </w:t>
      </w:r>
      <w:r>
        <w:rPr/>
        <w:t>dos</w:t>
      </w:r>
      <w:r>
        <w:rPr>
          <w:spacing w:val="-8"/>
        </w:rPr>
        <w:t> </w:t>
      </w:r>
      <w:r>
        <w:rPr/>
        <w:t>décadas en el mundo; desarrollándose principalmente en regiones tropicales. En el continente americano se ha dado mayor auge en regiones como el Caribe y Centroamérica, incluyendo a México (Alston, 2009; Awal </w:t>
      </w:r>
      <w:r>
        <w:rPr>
          <w:i/>
        </w:rPr>
        <w:t>et al</w:t>
      </w:r>
      <w:r>
        <w:rPr/>
        <w:t>.,</w:t>
      </w:r>
      <w:r>
        <w:rPr>
          <w:spacing w:val="-21"/>
        </w:rPr>
        <w:t> </w:t>
      </w:r>
      <w:r>
        <w:rPr/>
        <w:t>2011).</w:t>
      </w:r>
    </w:p>
    <w:p>
      <w:pPr>
        <w:pStyle w:val="BodyText"/>
        <w:spacing w:line="276" w:lineRule="auto" w:before="202"/>
        <w:ind w:left="139" w:right="135"/>
        <w:jc w:val="both"/>
      </w:pPr>
      <w:r>
        <w:rPr/>
        <w:t>Los cultivos de estos organismos pueden desarrollarse en diferentes tipos de agua con</w:t>
      </w:r>
      <w:r>
        <w:rPr>
          <w:spacing w:val="-11"/>
        </w:rPr>
        <w:t> </w:t>
      </w:r>
      <w:r>
        <w:rPr/>
        <w:t>características</w:t>
      </w:r>
      <w:r>
        <w:rPr>
          <w:spacing w:val="-12"/>
        </w:rPr>
        <w:t> </w:t>
      </w:r>
      <w:r>
        <w:rPr/>
        <w:t>de</w:t>
      </w:r>
      <w:r>
        <w:rPr>
          <w:spacing w:val="-11"/>
        </w:rPr>
        <w:t> </w:t>
      </w:r>
      <w:r>
        <w:rPr/>
        <w:t>bajo</w:t>
      </w:r>
      <w:r>
        <w:rPr>
          <w:spacing w:val="-11"/>
        </w:rPr>
        <w:t> </w:t>
      </w:r>
      <w:r>
        <w:rPr/>
        <w:t>contenido</w:t>
      </w:r>
      <w:r>
        <w:rPr>
          <w:spacing w:val="-11"/>
        </w:rPr>
        <w:t> </w:t>
      </w:r>
      <w:r>
        <w:rPr/>
        <w:t>de</w:t>
      </w:r>
      <w:r>
        <w:rPr>
          <w:spacing w:val="-11"/>
        </w:rPr>
        <w:t> </w:t>
      </w:r>
      <w:r>
        <w:rPr/>
        <w:t>oxígeno</w:t>
      </w:r>
      <w:r>
        <w:rPr>
          <w:spacing w:val="-11"/>
        </w:rPr>
        <w:t> </w:t>
      </w:r>
      <w:r>
        <w:rPr/>
        <w:t>y</w:t>
      </w:r>
      <w:r>
        <w:rPr>
          <w:spacing w:val="-12"/>
        </w:rPr>
        <w:t> </w:t>
      </w:r>
      <w:r>
        <w:rPr/>
        <w:t>además</w:t>
      </w:r>
      <w:r>
        <w:rPr>
          <w:spacing w:val="-12"/>
        </w:rPr>
        <w:t> </w:t>
      </w:r>
      <w:r>
        <w:rPr/>
        <w:t>tienen</w:t>
      </w:r>
      <w:r>
        <w:rPr>
          <w:spacing w:val="-11"/>
        </w:rPr>
        <w:t> </w:t>
      </w:r>
      <w:r>
        <w:rPr/>
        <w:t>la</w:t>
      </w:r>
      <w:r>
        <w:rPr>
          <w:spacing w:val="-11"/>
        </w:rPr>
        <w:t> </w:t>
      </w:r>
      <w:r>
        <w:rPr/>
        <w:t>ventaja</w:t>
      </w:r>
      <w:r>
        <w:rPr>
          <w:spacing w:val="-11"/>
        </w:rPr>
        <w:t> </w:t>
      </w:r>
      <w:r>
        <w:rPr/>
        <w:t>de</w:t>
      </w:r>
      <w:r>
        <w:rPr>
          <w:spacing w:val="-11"/>
        </w:rPr>
        <w:t> </w:t>
      </w:r>
      <w:r>
        <w:rPr/>
        <w:t>que su</w:t>
      </w:r>
      <w:r>
        <w:rPr>
          <w:spacing w:val="-17"/>
        </w:rPr>
        <w:t> </w:t>
      </w:r>
      <w:r>
        <w:rPr/>
        <w:t>carne</w:t>
      </w:r>
      <w:r>
        <w:rPr>
          <w:spacing w:val="-17"/>
        </w:rPr>
        <w:t> </w:t>
      </w:r>
      <w:r>
        <w:rPr/>
        <w:t>es</w:t>
      </w:r>
      <w:r>
        <w:rPr>
          <w:spacing w:val="-17"/>
        </w:rPr>
        <w:t> </w:t>
      </w:r>
      <w:r>
        <w:rPr/>
        <w:t>de</w:t>
      </w:r>
      <w:r>
        <w:rPr>
          <w:spacing w:val="-17"/>
        </w:rPr>
        <w:t> </w:t>
      </w:r>
      <w:r>
        <w:rPr/>
        <w:t>excelente</w:t>
      </w:r>
      <w:r>
        <w:rPr>
          <w:spacing w:val="-16"/>
        </w:rPr>
        <w:t> </w:t>
      </w:r>
      <w:r>
        <w:rPr/>
        <w:t>sabor</w:t>
      </w:r>
      <w:r>
        <w:rPr>
          <w:spacing w:val="-16"/>
        </w:rPr>
        <w:t> </w:t>
      </w:r>
      <w:r>
        <w:rPr/>
        <w:t>y</w:t>
      </w:r>
      <w:r>
        <w:rPr>
          <w:spacing w:val="-17"/>
        </w:rPr>
        <w:t> </w:t>
      </w:r>
      <w:r>
        <w:rPr/>
        <w:t>calidad,</w:t>
      </w:r>
      <w:r>
        <w:rPr>
          <w:spacing w:val="-17"/>
        </w:rPr>
        <w:t> </w:t>
      </w:r>
      <w:r>
        <w:rPr/>
        <w:t>mostrándose</w:t>
      </w:r>
      <w:r>
        <w:rPr>
          <w:spacing w:val="-8"/>
        </w:rPr>
        <w:t> </w:t>
      </w:r>
      <w:r>
        <w:rPr/>
        <w:t>como</w:t>
      </w:r>
      <w:r>
        <w:rPr>
          <w:spacing w:val="-16"/>
        </w:rPr>
        <w:t> </w:t>
      </w:r>
      <w:r>
        <w:rPr/>
        <w:t>una</w:t>
      </w:r>
      <w:r>
        <w:rPr>
          <w:spacing w:val="-17"/>
        </w:rPr>
        <w:t> </w:t>
      </w:r>
      <w:r>
        <w:rPr/>
        <w:t>especie</w:t>
      </w:r>
      <w:r>
        <w:rPr>
          <w:spacing w:val="-14"/>
        </w:rPr>
        <w:t> </w:t>
      </w:r>
      <w:r>
        <w:rPr/>
        <w:t>ideal</w:t>
      </w:r>
      <w:r>
        <w:rPr>
          <w:spacing w:val="-13"/>
        </w:rPr>
        <w:t> </w:t>
      </w:r>
      <w:r>
        <w:rPr/>
        <w:t>para el desarrollo de su cultivo en México (CONAPESCA SAGARPA, 2009; Chávez, 1992; Toledo y García, 2000; Alston,</w:t>
      </w:r>
      <w:r>
        <w:rPr>
          <w:spacing w:val="-14"/>
        </w:rPr>
        <w:t> </w:t>
      </w:r>
      <w:r>
        <w:rPr/>
        <w:t>2009).</w:t>
      </w:r>
    </w:p>
    <w:p>
      <w:pPr>
        <w:pStyle w:val="Heading1"/>
        <w:numPr>
          <w:ilvl w:val="1"/>
          <w:numId w:val="3"/>
        </w:numPr>
        <w:tabs>
          <w:tab w:pos="542" w:val="left" w:leader="none"/>
        </w:tabs>
        <w:spacing w:line="240" w:lineRule="auto" w:before="202" w:after="0"/>
        <w:ind w:left="541" w:right="0" w:hanging="402"/>
        <w:jc w:val="both"/>
      </w:pPr>
      <w:bookmarkStart w:name="_bookmark14" w:id="23"/>
      <w:bookmarkEnd w:id="23"/>
      <w:r>
        <w:rPr>
          <w:b w:val="0"/>
        </w:rPr>
      </w:r>
      <w:bookmarkStart w:name="_bookmark14" w:id="24"/>
      <w:bookmarkEnd w:id="24"/>
      <w:r>
        <w:rPr>
          <w:color w:val="365F91"/>
        </w:rPr>
        <w:t>E</w:t>
      </w:r>
      <w:r>
        <w:rPr>
          <w:color w:val="365F91"/>
        </w:rPr>
        <w:t>l cultivo de tilapia en</w:t>
      </w:r>
      <w:r>
        <w:rPr>
          <w:color w:val="365F91"/>
          <w:spacing w:val="-11"/>
        </w:rPr>
        <w:t> </w:t>
      </w:r>
      <w:r>
        <w:rPr>
          <w:color w:val="365F91"/>
        </w:rPr>
        <w:t>México</w:t>
      </w:r>
    </w:p>
    <w:p>
      <w:pPr>
        <w:pStyle w:val="BodyText"/>
        <w:spacing w:line="276" w:lineRule="auto" w:before="45"/>
        <w:ind w:left="139" w:right="133"/>
        <w:jc w:val="both"/>
      </w:pPr>
      <w:r>
        <w:rPr/>
        <w:t>El</w:t>
      </w:r>
      <w:r>
        <w:rPr>
          <w:spacing w:val="-12"/>
        </w:rPr>
        <w:t> </w:t>
      </w:r>
      <w:r>
        <w:rPr/>
        <w:t>cultivo</w:t>
      </w:r>
      <w:r>
        <w:rPr>
          <w:spacing w:val="-20"/>
        </w:rPr>
        <w:t> </w:t>
      </w:r>
      <w:r>
        <w:rPr/>
        <w:t>de</w:t>
      </w:r>
      <w:r>
        <w:rPr>
          <w:spacing w:val="-20"/>
        </w:rPr>
        <w:t> </w:t>
      </w:r>
      <w:r>
        <w:rPr/>
        <w:t>tilapia</w:t>
      </w:r>
      <w:r>
        <w:rPr>
          <w:spacing w:val="-14"/>
        </w:rPr>
        <w:t> </w:t>
      </w:r>
      <w:r>
        <w:rPr/>
        <w:t>en</w:t>
      </w:r>
      <w:r>
        <w:rPr>
          <w:spacing w:val="-16"/>
        </w:rPr>
        <w:t> </w:t>
      </w:r>
      <w:r>
        <w:rPr/>
        <w:t>México</w:t>
      </w:r>
      <w:r>
        <w:rPr>
          <w:spacing w:val="-16"/>
        </w:rPr>
        <w:t> </w:t>
      </w:r>
      <w:r>
        <w:rPr/>
        <w:t>se</w:t>
      </w:r>
      <w:r>
        <w:rPr>
          <w:spacing w:val="-20"/>
        </w:rPr>
        <w:t> </w:t>
      </w:r>
      <w:r>
        <w:rPr/>
        <w:t>inició</w:t>
      </w:r>
      <w:r>
        <w:rPr>
          <w:spacing w:val="-16"/>
        </w:rPr>
        <w:t> </w:t>
      </w:r>
      <w:r>
        <w:rPr/>
        <w:t>desde</w:t>
      </w:r>
      <w:r>
        <w:rPr>
          <w:spacing w:val="-16"/>
        </w:rPr>
        <w:t> </w:t>
      </w:r>
      <w:r>
        <w:rPr/>
        <w:t>1964,</w:t>
      </w:r>
      <w:r>
        <w:rPr>
          <w:spacing w:val="-16"/>
        </w:rPr>
        <w:t> </w:t>
      </w:r>
      <w:r>
        <w:rPr/>
        <w:t>con</w:t>
      </w:r>
      <w:r>
        <w:rPr>
          <w:spacing w:val="-25"/>
        </w:rPr>
        <w:t> </w:t>
      </w:r>
      <w:r>
        <w:rPr/>
        <w:t>la</w:t>
      </w:r>
      <w:r>
        <w:rPr>
          <w:spacing w:val="-20"/>
        </w:rPr>
        <w:t> </w:t>
      </w:r>
      <w:r>
        <w:rPr/>
        <w:t>importación</w:t>
      </w:r>
      <w:r>
        <w:rPr>
          <w:spacing w:val="-20"/>
        </w:rPr>
        <w:t> </w:t>
      </w:r>
      <w:r>
        <w:rPr/>
        <w:t>de</w:t>
      </w:r>
      <w:r>
        <w:rPr>
          <w:spacing w:val="-16"/>
        </w:rPr>
        <w:t> </w:t>
      </w:r>
      <w:r>
        <w:rPr/>
        <w:t>ejemplares procedentes</w:t>
      </w:r>
      <w:r>
        <w:rPr>
          <w:spacing w:val="-13"/>
        </w:rPr>
        <w:t> </w:t>
      </w:r>
      <w:r>
        <w:rPr/>
        <w:t>de</w:t>
      </w:r>
      <w:r>
        <w:rPr>
          <w:spacing w:val="-12"/>
        </w:rPr>
        <w:t> </w:t>
      </w:r>
      <w:r>
        <w:rPr/>
        <w:t>Alabama</w:t>
      </w:r>
      <w:r>
        <w:rPr>
          <w:spacing w:val="-12"/>
        </w:rPr>
        <w:t> </w:t>
      </w:r>
      <w:r>
        <w:rPr/>
        <w:t>USA,</w:t>
      </w:r>
      <w:r>
        <w:rPr>
          <w:spacing w:val="-12"/>
        </w:rPr>
        <w:t> </w:t>
      </w:r>
      <w:r>
        <w:rPr/>
        <w:t>confinándose</w:t>
      </w:r>
      <w:r>
        <w:rPr>
          <w:spacing w:val="-17"/>
        </w:rPr>
        <w:t> </w:t>
      </w:r>
      <w:r>
        <w:rPr/>
        <w:t>en</w:t>
      </w:r>
      <w:r>
        <w:rPr>
          <w:spacing w:val="-12"/>
        </w:rPr>
        <w:t> </w:t>
      </w:r>
      <w:r>
        <w:rPr/>
        <w:t>el</w:t>
      </w:r>
      <w:r>
        <w:rPr>
          <w:spacing w:val="-8"/>
        </w:rPr>
        <w:t> </w:t>
      </w:r>
      <w:r>
        <w:rPr/>
        <w:t>Centro</w:t>
      </w:r>
      <w:r>
        <w:rPr>
          <w:spacing w:val="-12"/>
        </w:rPr>
        <w:t> </w:t>
      </w:r>
      <w:r>
        <w:rPr/>
        <w:t>Acuícola</w:t>
      </w:r>
      <w:r>
        <w:rPr>
          <w:spacing w:val="-3"/>
        </w:rPr>
        <w:t> </w:t>
      </w:r>
      <w:r>
        <w:rPr/>
        <w:t>de</w:t>
      </w:r>
      <w:r>
        <w:rPr>
          <w:spacing w:val="-12"/>
        </w:rPr>
        <w:t> </w:t>
      </w:r>
      <w:r>
        <w:rPr/>
        <w:t>Temascal</w:t>
      </w:r>
      <w:r>
        <w:rPr>
          <w:spacing w:val="-8"/>
        </w:rPr>
        <w:t> </w:t>
      </w:r>
      <w:r>
        <w:rPr/>
        <w:t>en Oaxaca. Las especies introducidas fueron Tilapia </w:t>
      </w:r>
      <w:r>
        <w:rPr>
          <w:i/>
        </w:rPr>
        <w:t>rendalli</w:t>
      </w:r>
      <w:r>
        <w:rPr/>
        <w:t>, </w:t>
      </w:r>
      <w:r>
        <w:rPr>
          <w:i/>
        </w:rPr>
        <w:t>Oreochromis </w:t>
      </w:r>
      <w:r>
        <w:rPr>
          <w:i/>
        </w:rPr>
        <w:t>mossambicus </w:t>
      </w:r>
      <w:r>
        <w:rPr/>
        <w:t>y </w:t>
      </w:r>
      <w:r>
        <w:rPr>
          <w:i/>
        </w:rPr>
        <w:t>O. aureus</w:t>
      </w:r>
      <w:r>
        <w:rPr/>
        <w:t>. Posteriormente fueron distribuidas en una amplia cantidad de cuerpos de aguas naturales y artificiales en las zonas tropicales, semitropicales y templadas </w:t>
      </w:r>
      <w:r>
        <w:rPr>
          <w:spacing w:val="-3"/>
        </w:rPr>
        <w:t>del </w:t>
      </w:r>
      <w:r>
        <w:rPr/>
        <w:t>país. También en 1978, se importaron de Panamá crías</w:t>
      </w:r>
      <w:r>
        <w:rPr>
          <w:spacing w:val="-13"/>
        </w:rPr>
        <w:t> </w:t>
      </w:r>
      <w:r>
        <w:rPr/>
        <w:t>de</w:t>
      </w:r>
      <w:r>
        <w:rPr>
          <w:spacing w:val="-15"/>
        </w:rPr>
        <w:t> </w:t>
      </w:r>
      <w:r>
        <w:rPr>
          <w:i/>
        </w:rPr>
        <w:t>O.</w:t>
      </w:r>
      <w:r>
        <w:rPr>
          <w:i/>
          <w:spacing w:val="-12"/>
        </w:rPr>
        <w:t> </w:t>
      </w:r>
      <w:r>
        <w:rPr>
          <w:i/>
        </w:rPr>
        <w:t>niloticus</w:t>
      </w:r>
      <w:r>
        <w:rPr>
          <w:i/>
          <w:spacing w:val="-11"/>
        </w:rPr>
        <w:t> </w:t>
      </w:r>
      <w:r>
        <w:rPr/>
        <w:t>y</w:t>
      </w:r>
      <w:r>
        <w:rPr>
          <w:spacing w:val="-13"/>
        </w:rPr>
        <w:t> </w:t>
      </w:r>
      <w:r>
        <w:rPr/>
        <w:t>en</w:t>
      </w:r>
      <w:r>
        <w:rPr>
          <w:spacing w:val="-12"/>
        </w:rPr>
        <w:t> </w:t>
      </w:r>
      <w:r>
        <w:rPr/>
        <w:t>1981,</w:t>
      </w:r>
      <w:r>
        <w:rPr>
          <w:spacing w:val="-17"/>
        </w:rPr>
        <w:t> </w:t>
      </w:r>
      <w:r>
        <w:rPr/>
        <w:t>las</w:t>
      </w:r>
      <w:r>
        <w:rPr>
          <w:spacing w:val="-13"/>
        </w:rPr>
        <w:t> </w:t>
      </w:r>
      <w:r>
        <w:rPr/>
        <w:t>primeras</w:t>
      </w:r>
      <w:r>
        <w:rPr>
          <w:spacing w:val="-13"/>
        </w:rPr>
        <w:t> </w:t>
      </w:r>
      <w:r>
        <w:rPr/>
        <w:t>crías</w:t>
      </w:r>
      <w:r>
        <w:rPr>
          <w:spacing w:val="-13"/>
        </w:rPr>
        <w:t> </w:t>
      </w:r>
      <w:r>
        <w:rPr/>
        <w:t>de</w:t>
      </w:r>
      <w:r>
        <w:rPr>
          <w:spacing w:val="-7"/>
        </w:rPr>
        <w:t> </w:t>
      </w:r>
      <w:r>
        <w:rPr>
          <w:i/>
        </w:rPr>
        <w:t>O.</w:t>
      </w:r>
      <w:r>
        <w:rPr>
          <w:i/>
          <w:spacing w:val="-16"/>
        </w:rPr>
        <w:t> </w:t>
      </w:r>
      <w:r>
        <w:rPr>
          <w:i/>
        </w:rPr>
        <w:t>hornorum</w:t>
      </w:r>
      <w:r>
        <w:rPr>
          <w:i/>
          <w:spacing w:val="-9"/>
        </w:rPr>
        <w:t> </w:t>
      </w:r>
      <w:r>
        <w:rPr/>
        <w:t>y</w:t>
      </w:r>
      <w:r>
        <w:rPr>
          <w:spacing w:val="-13"/>
        </w:rPr>
        <w:t> </w:t>
      </w:r>
      <w:r>
        <w:rPr/>
        <w:t>al</w:t>
      </w:r>
      <w:r>
        <w:rPr>
          <w:spacing w:val="-13"/>
        </w:rPr>
        <w:t> </w:t>
      </w:r>
      <w:r>
        <w:rPr/>
        <w:t>mismo</w:t>
      </w:r>
      <w:r>
        <w:rPr>
          <w:spacing w:val="-12"/>
        </w:rPr>
        <w:t> </w:t>
      </w:r>
      <w:r>
        <w:rPr/>
        <w:t>tiempo una línea albina de </w:t>
      </w:r>
      <w:r>
        <w:rPr>
          <w:i/>
        </w:rPr>
        <w:t>O. mossambicus</w:t>
      </w:r>
      <w:r>
        <w:rPr/>
        <w:t>. La ultima introducción de organismos de esta especie fue en 1985 tras la importación de 500 ejemplares de una línea pura de </w:t>
      </w:r>
      <w:r>
        <w:rPr>
          <w:i/>
        </w:rPr>
        <w:t>O. </w:t>
      </w:r>
      <w:r>
        <w:rPr>
          <w:i/>
        </w:rPr>
        <w:t>niloticus </w:t>
      </w:r>
      <w:r>
        <w:rPr/>
        <w:t>donados por el Instituto de Acuicultura de la Universidad de Stirling en Escocia (Chávez,</w:t>
      </w:r>
      <w:r>
        <w:rPr>
          <w:spacing w:val="-3"/>
        </w:rPr>
        <w:t> </w:t>
      </w:r>
      <w:r>
        <w:rPr/>
        <w:t>1992).</w:t>
      </w:r>
    </w:p>
    <w:p>
      <w:pPr>
        <w:spacing w:after="0" w:line="276" w:lineRule="auto"/>
        <w:jc w:val="both"/>
        <w:sectPr>
          <w:pgSz w:w="12240" w:h="15840"/>
          <w:pgMar w:header="752" w:footer="998" w:top="1000" w:bottom="1180" w:left="1560" w:right="1560"/>
        </w:sectPr>
      </w:pPr>
    </w:p>
    <w:p>
      <w:pPr>
        <w:pStyle w:val="BodyText"/>
        <w:rPr>
          <w:sz w:val="29"/>
        </w:rPr>
      </w:pPr>
    </w:p>
    <w:p>
      <w:pPr>
        <w:pStyle w:val="BodyText"/>
        <w:spacing w:line="276" w:lineRule="auto" w:before="70"/>
        <w:ind w:left="139" w:right="135"/>
        <w:jc w:val="both"/>
      </w:pPr>
      <w:r>
        <w:rPr/>
        <w:t>La tilapia es una especie de gran oferta y demanda en México, su consumo es el más alto entre las especies del agua dulce. La mejor aceptación en el mercado lo tiene la tilapia </w:t>
      </w:r>
      <w:r>
        <w:rPr>
          <w:i/>
        </w:rPr>
        <w:t>O. niloticus </w:t>
      </w:r>
      <w:r>
        <w:rPr/>
        <w:t>y </w:t>
      </w:r>
      <w:r>
        <w:rPr>
          <w:i/>
        </w:rPr>
        <w:t>O. mossambicus</w:t>
      </w:r>
      <w:r>
        <w:rPr/>
        <w:t>, que son las que se comercializa en mayor volumen, sin embargo se considera que la tilapia roja será la que podrá atender el nicho más amplio de la sociedad debido a su rapidez de crecimiento (Toledo y García, 2000).</w:t>
      </w:r>
    </w:p>
    <w:p>
      <w:pPr>
        <w:pStyle w:val="BodyText"/>
        <w:spacing w:line="273" w:lineRule="auto" w:before="207"/>
        <w:ind w:left="139" w:right="135"/>
        <w:jc w:val="both"/>
      </w:pPr>
      <w:r>
        <w:rPr/>
        <w:t>El sistema de producción que actualmente se encuentra </w:t>
      </w:r>
      <w:r>
        <w:rPr>
          <w:spacing w:val="-3"/>
        </w:rPr>
        <w:t>más </w:t>
      </w:r>
      <w:r>
        <w:rPr/>
        <w:t>distribuido en México es el sistema de producción semiintesivo en estanques rústicos, de concreto o en estanques de tierra. Los estanques empleados tienen dimensiones de 90 a 1 600 </w:t>
      </w:r>
      <w:r>
        <w:rPr>
          <w:spacing w:val="-4"/>
        </w:rPr>
        <w:t>m2 </w:t>
      </w:r>
      <w:r>
        <w:rPr/>
        <w:t>o estanques rústicos de 1500 a 5000 m</w:t>
      </w:r>
      <w:r>
        <w:rPr>
          <w:position w:val="8"/>
          <w:sz w:val="16"/>
        </w:rPr>
        <w:t>2 </w:t>
      </w:r>
      <w:r>
        <w:rPr/>
        <w:t>y se manejan densidades que van de  4 a 6 individuos por m</w:t>
      </w:r>
      <w:r>
        <w:rPr>
          <w:position w:val="8"/>
          <w:sz w:val="16"/>
        </w:rPr>
        <w:t>2 </w:t>
      </w:r>
      <w:r>
        <w:rPr/>
        <w:t>obteniendo rendimientos que van de 5 a 8 ton/ha en 8 a 10 meses de cultivo, utilizando fertilización y alimentación complementaria (Toledo y García,</w:t>
      </w:r>
      <w:r>
        <w:rPr>
          <w:spacing w:val="2"/>
        </w:rPr>
        <w:t> </w:t>
      </w:r>
      <w:r>
        <w:rPr/>
        <w:t>2000).</w:t>
      </w:r>
    </w:p>
    <w:p>
      <w:pPr>
        <w:pStyle w:val="BodyText"/>
        <w:spacing w:line="273" w:lineRule="auto" w:before="210"/>
        <w:ind w:left="139" w:right="135"/>
        <w:jc w:val="both"/>
      </w:pPr>
      <w:r>
        <w:rPr/>
        <w:t>Actualmente los cuatro estados que más producen en México son: Jalisco 20.51%, Chiapas 16.12%, Veracruz 11.25% y Michoacan 9.45%, que juntos produjeron el 57.33% de la producción nacional en el 2013(Anuario, 2011; Anuario, 2013).</w:t>
      </w:r>
    </w:p>
    <w:p>
      <w:pPr>
        <w:pStyle w:val="BodyText"/>
        <w:spacing w:line="276" w:lineRule="auto" w:before="209"/>
        <w:ind w:left="139" w:right="137"/>
        <w:jc w:val="both"/>
      </w:pPr>
      <w:r>
        <w:rPr/>
        <w:t>En México el cultivo de tilapia se ha utilizado como una fuente de proteína de alta calidad y no solo para el consumo local sino para su comercialización, lo que ha llevado a este tipo de explotación pecuaria a impulsar las economías locales de donde es producida. Las 5 especies que fueron introducida a México en la década de los 70´s; se enlistan en la Figura 1 (Chávez, 1992).</w:t>
      </w:r>
    </w:p>
    <w:p>
      <w:pPr>
        <w:spacing w:after="0" w:line="276" w:lineRule="auto"/>
        <w:jc w:val="both"/>
        <w:sectPr>
          <w:pgSz w:w="12240" w:h="15840"/>
          <w:pgMar w:header="752" w:footer="998" w:top="1000" w:bottom="1180" w:left="1560" w:right="1560"/>
        </w:sectPr>
      </w:pPr>
    </w:p>
    <w:p>
      <w:pPr>
        <w:pStyle w:val="BodyText"/>
        <w:rPr>
          <w:sz w:val="20"/>
        </w:rPr>
      </w:pPr>
    </w:p>
    <w:p>
      <w:pPr>
        <w:pStyle w:val="BodyText"/>
        <w:spacing w:before="9"/>
        <w:rPr>
          <w:sz w:val="22"/>
        </w:rPr>
      </w:pPr>
    </w:p>
    <w:p>
      <w:pPr>
        <w:pStyle w:val="ListParagraph"/>
        <w:numPr>
          <w:ilvl w:val="2"/>
          <w:numId w:val="3"/>
        </w:numPr>
        <w:tabs>
          <w:tab w:pos="735" w:val="left" w:leader="none"/>
          <w:tab w:pos="4994" w:val="left" w:leader="none"/>
        </w:tabs>
        <w:spacing w:line="240" w:lineRule="auto" w:before="68" w:after="0"/>
        <w:ind w:left="734" w:right="0" w:hanging="282"/>
        <w:jc w:val="left"/>
        <w:rPr>
          <w:rFonts w:ascii="Arial"/>
          <w:i/>
          <w:sz w:val="24"/>
        </w:rPr>
      </w:pPr>
      <w:r>
        <w:rPr/>
        <w:pict>
          <v:group style="position:absolute;margin-left:84.959999pt;margin-top:-4.224133pt;width:463.7pt;height:576pt;mso-position-horizontal-relative:page;mso-position-vertical-relative:paragraph;z-index:-94696" coordorigin="1699,-84" coordsize="9274,11520">
            <v:shape style="position:absolute;left:1699;top:-84;width:9274;height:11520" type="#_x0000_t75" stroked="false">
              <v:imagedata r:id="rId12" o:title=""/>
            </v:shape>
            <v:rect style="position:absolute;left:1699;top:10744;width:9226;height:658" filled="true" fillcolor="#ffffff" stroked="false">
              <v:fill type="solid"/>
            </v:rect>
            <w10:wrap type="none"/>
          </v:group>
        </w:pict>
      </w:r>
      <w:r>
        <w:rPr>
          <w:rFonts w:ascii="Arial"/>
          <w:sz w:val="24"/>
        </w:rPr>
        <w:t>Tilapia</w:t>
      </w:r>
      <w:r>
        <w:rPr>
          <w:rFonts w:ascii="Arial"/>
          <w:spacing w:val="-3"/>
          <w:sz w:val="24"/>
        </w:rPr>
        <w:t> </w:t>
      </w:r>
      <w:r>
        <w:rPr>
          <w:rFonts w:ascii="Arial"/>
          <w:i/>
          <w:sz w:val="24"/>
        </w:rPr>
        <w:t>Rendalli</w:t>
        <w:tab/>
      </w:r>
      <w:r>
        <w:rPr>
          <w:rFonts w:ascii="Arial"/>
          <w:color w:val="FFFFFF"/>
          <w:position w:val="5"/>
          <w:sz w:val="24"/>
        </w:rPr>
        <w:t>b) </w:t>
      </w:r>
      <w:r>
        <w:rPr>
          <w:rFonts w:ascii="Arial"/>
          <w:i/>
          <w:color w:val="FFFFFF"/>
          <w:position w:val="5"/>
          <w:sz w:val="24"/>
        </w:rPr>
        <w:t>O.</w:t>
      </w:r>
      <w:r>
        <w:rPr>
          <w:rFonts w:ascii="Arial"/>
          <w:i/>
          <w:color w:val="FFFFFF"/>
          <w:spacing w:val="-4"/>
          <w:position w:val="5"/>
          <w:sz w:val="24"/>
        </w:rPr>
        <w:t> </w:t>
      </w:r>
      <w:r>
        <w:rPr>
          <w:rFonts w:ascii="Arial"/>
          <w:i/>
          <w:color w:val="FFFFFF"/>
          <w:position w:val="5"/>
          <w:sz w:val="24"/>
        </w:rPr>
        <w:t>Aureus</w:t>
      </w:r>
    </w:p>
    <w:p>
      <w:pPr>
        <w:pStyle w:val="BodyText"/>
        <w:rPr>
          <w:i/>
          <w:sz w:val="28"/>
        </w:rPr>
      </w:pPr>
    </w:p>
    <w:p>
      <w:pPr>
        <w:pStyle w:val="BodyText"/>
        <w:rPr>
          <w:i/>
          <w:sz w:val="28"/>
        </w:rPr>
      </w:pPr>
    </w:p>
    <w:p>
      <w:pPr>
        <w:pStyle w:val="BodyText"/>
        <w:rPr>
          <w:i/>
          <w:sz w:val="28"/>
        </w:rPr>
      </w:pPr>
    </w:p>
    <w:p>
      <w:pPr>
        <w:pStyle w:val="BodyText"/>
        <w:rPr>
          <w:i/>
          <w:sz w:val="28"/>
        </w:rPr>
      </w:pPr>
    </w:p>
    <w:p>
      <w:pPr>
        <w:pStyle w:val="BodyText"/>
        <w:rPr>
          <w:i/>
          <w:sz w:val="28"/>
        </w:rPr>
      </w:pPr>
    </w:p>
    <w:p>
      <w:pPr>
        <w:pStyle w:val="BodyText"/>
        <w:rPr>
          <w:i/>
          <w:sz w:val="28"/>
        </w:rPr>
      </w:pPr>
    </w:p>
    <w:p>
      <w:pPr>
        <w:pStyle w:val="BodyText"/>
        <w:rPr>
          <w:i/>
          <w:sz w:val="28"/>
        </w:rPr>
      </w:pPr>
    </w:p>
    <w:p>
      <w:pPr>
        <w:pStyle w:val="BodyText"/>
        <w:rPr>
          <w:i/>
          <w:sz w:val="28"/>
        </w:rPr>
      </w:pPr>
    </w:p>
    <w:p>
      <w:pPr>
        <w:pStyle w:val="BodyText"/>
        <w:rPr>
          <w:i/>
          <w:sz w:val="28"/>
        </w:rPr>
      </w:pPr>
    </w:p>
    <w:p>
      <w:pPr>
        <w:pStyle w:val="BodyText"/>
        <w:spacing w:before="9"/>
        <w:rPr>
          <w:i/>
          <w:sz w:val="26"/>
        </w:rPr>
      </w:pPr>
    </w:p>
    <w:p>
      <w:pPr>
        <w:tabs>
          <w:tab w:pos="5057" w:val="left" w:leader="none"/>
        </w:tabs>
        <w:spacing w:before="0"/>
        <w:ind w:left="466" w:right="0" w:firstLine="0"/>
        <w:jc w:val="left"/>
        <w:rPr>
          <w:i/>
          <w:sz w:val="24"/>
        </w:rPr>
      </w:pPr>
      <w:r>
        <w:rPr>
          <w:position w:val="10"/>
          <w:sz w:val="24"/>
        </w:rPr>
        <w:t>c)</w:t>
      </w:r>
      <w:r>
        <w:rPr>
          <w:spacing w:val="-1"/>
          <w:position w:val="10"/>
          <w:sz w:val="24"/>
        </w:rPr>
        <w:t> </w:t>
      </w:r>
      <w:r>
        <w:rPr>
          <w:i/>
          <w:position w:val="10"/>
          <w:sz w:val="24"/>
        </w:rPr>
        <w:t>O.</w:t>
      </w:r>
      <w:r>
        <w:rPr>
          <w:i/>
          <w:spacing w:val="-3"/>
          <w:position w:val="10"/>
          <w:sz w:val="24"/>
        </w:rPr>
        <w:t> </w:t>
      </w:r>
      <w:r>
        <w:rPr>
          <w:i/>
          <w:position w:val="10"/>
          <w:sz w:val="24"/>
        </w:rPr>
        <w:t>Niloticus</w:t>
        <w:tab/>
      </w:r>
      <w:r>
        <w:rPr>
          <w:color w:val="FFFFFF"/>
          <w:sz w:val="24"/>
        </w:rPr>
        <w:t>d) </w:t>
      </w:r>
      <w:r>
        <w:rPr>
          <w:i/>
          <w:color w:val="FFFFFF"/>
          <w:sz w:val="24"/>
        </w:rPr>
        <w:t>O.</w:t>
      </w:r>
      <w:r>
        <w:rPr>
          <w:i/>
          <w:color w:val="FFFFFF"/>
          <w:spacing w:val="-7"/>
          <w:sz w:val="24"/>
        </w:rPr>
        <w:t> </w:t>
      </w:r>
      <w:r>
        <w:rPr>
          <w:i/>
          <w:color w:val="FFFFFF"/>
          <w:sz w:val="24"/>
        </w:rPr>
        <w:t>mossambicus</w:t>
      </w: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6"/>
        </w:rPr>
      </w:pPr>
    </w:p>
    <w:p>
      <w:pPr>
        <w:tabs>
          <w:tab w:pos="5385" w:val="left" w:leader="none"/>
        </w:tabs>
        <w:spacing w:before="69"/>
        <w:ind w:left="2414" w:right="0" w:firstLine="0"/>
        <w:jc w:val="left"/>
        <w:rPr>
          <w:i/>
          <w:sz w:val="24"/>
        </w:rPr>
      </w:pPr>
      <w:r>
        <w:rPr>
          <w:w w:val="100"/>
          <w:sz w:val="24"/>
          <w:shd w:fill="FFFFFF" w:color="auto" w:val="clear"/>
        </w:rPr>
        <w:t> </w:t>
      </w:r>
      <w:r>
        <w:rPr>
          <w:spacing w:val="17"/>
          <w:sz w:val="24"/>
          <w:shd w:fill="FFFFFF" w:color="auto" w:val="clear"/>
        </w:rPr>
        <w:t> </w:t>
      </w:r>
      <w:r>
        <w:rPr>
          <w:sz w:val="24"/>
          <w:shd w:fill="FFFFFF" w:color="auto" w:val="clear"/>
        </w:rPr>
        <w:t>e) </w:t>
      </w:r>
      <w:r>
        <w:rPr>
          <w:i/>
          <w:sz w:val="24"/>
          <w:shd w:fill="FFFFFF" w:color="auto" w:val="clear"/>
        </w:rPr>
        <w:t>O. urolepis</w:t>
      </w:r>
      <w:r>
        <w:rPr>
          <w:i/>
          <w:spacing w:val="-8"/>
          <w:sz w:val="24"/>
          <w:shd w:fill="FFFFFF" w:color="auto" w:val="clear"/>
        </w:rPr>
        <w:t> </w:t>
      </w:r>
      <w:r>
        <w:rPr>
          <w:i/>
          <w:sz w:val="24"/>
          <w:shd w:fill="FFFFFF" w:color="auto" w:val="clear"/>
        </w:rPr>
        <w:t>hornorum</w:t>
        <w:tab/>
      </w: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8"/>
        <w:rPr>
          <w:i/>
          <w:sz w:val="28"/>
        </w:rPr>
      </w:pPr>
      <w:r>
        <w:rPr/>
        <w:pict>
          <v:shape style="position:absolute;margin-left:84.959999pt;margin-top:18.729715pt;width:461.3pt;height:32.9pt;mso-position-horizontal-relative:page;mso-position-vertical-relative:paragraph;z-index:0;mso-wrap-distance-left:0;mso-wrap-distance-right:0" type="#_x0000_t202" filled="false" stroked="true" strokeweight=".48pt" strokecolor="#000000">
            <v:textbox inset="0,0,0,0">
              <w:txbxContent>
                <w:p>
                  <w:pPr>
                    <w:spacing w:line="271" w:lineRule="auto" w:before="75"/>
                    <w:ind w:left="144" w:right="0" w:firstLine="0"/>
                    <w:jc w:val="left"/>
                    <w:rPr>
                      <w:sz w:val="20"/>
                    </w:rPr>
                  </w:pPr>
                  <w:r>
                    <w:rPr>
                      <w:sz w:val="20"/>
                    </w:rPr>
                    <w:t>Figura</w:t>
                  </w:r>
                  <w:r>
                    <w:rPr>
                      <w:spacing w:val="-9"/>
                      <w:sz w:val="20"/>
                    </w:rPr>
                    <w:t> </w:t>
                  </w:r>
                  <w:r>
                    <w:rPr>
                      <w:sz w:val="20"/>
                    </w:rPr>
                    <w:t>1:</w:t>
                  </w:r>
                  <w:r>
                    <w:rPr>
                      <w:spacing w:val="-10"/>
                      <w:sz w:val="20"/>
                    </w:rPr>
                    <w:t> </w:t>
                  </w:r>
                  <w:r>
                    <w:rPr>
                      <w:sz w:val="20"/>
                    </w:rPr>
                    <w:t>imágenes</w:t>
                  </w:r>
                  <w:r>
                    <w:rPr>
                      <w:spacing w:val="-12"/>
                      <w:sz w:val="20"/>
                    </w:rPr>
                    <w:t> </w:t>
                  </w:r>
                  <w:r>
                    <w:rPr>
                      <w:sz w:val="20"/>
                    </w:rPr>
                    <w:t>de</w:t>
                  </w:r>
                  <w:r>
                    <w:rPr>
                      <w:spacing w:val="-9"/>
                      <w:sz w:val="20"/>
                    </w:rPr>
                    <w:t> </w:t>
                  </w:r>
                  <w:r>
                    <w:rPr>
                      <w:sz w:val="20"/>
                    </w:rPr>
                    <w:t>las</w:t>
                  </w:r>
                  <w:r>
                    <w:rPr>
                      <w:spacing w:val="-12"/>
                      <w:sz w:val="20"/>
                    </w:rPr>
                    <w:t> </w:t>
                  </w:r>
                  <w:r>
                    <w:rPr>
                      <w:sz w:val="20"/>
                    </w:rPr>
                    <w:t>primeras</w:t>
                  </w:r>
                  <w:r>
                    <w:rPr>
                      <w:spacing w:val="-12"/>
                      <w:sz w:val="20"/>
                    </w:rPr>
                    <w:t> </w:t>
                  </w:r>
                  <w:r>
                    <w:rPr>
                      <w:sz w:val="20"/>
                    </w:rPr>
                    <w:t>especies</w:t>
                  </w:r>
                  <w:r>
                    <w:rPr>
                      <w:spacing w:val="-12"/>
                      <w:sz w:val="20"/>
                    </w:rPr>
                    <w:t> </w:t>
                  </w:r>
                  <w:r>
                    <w:rPr>
                      <w:sz w:val="20"/>
                    </w:rPr>
                    <w:t>de</w:t>
                  </w:r>
                  <w:r>
                    <w:rPr>
                      <w:spacing w:val="-9"/>
                      <w:sz w:val="20"/>
                    </w:rPr>
                    <w:t> </w:t>
                  </w:r>
                  <w:r>
                    <w:rPr>
                      <w:sz w:val="20"/>
                    </w:rPr>
                    <w:t>tilapia</w:t>
                  </w:r>
                  <w:r>
                    <w:rPr>
                      <w:spacing w:val="-14"/>
                      <w:sz w:val="20"/>
                    </w:rPr>
                    <w:t> </w:t>
                  </w:r>
                  <w:r>
                    <w:rPr>
                      <w:sz w:val="20"/>
                    </w:rPr>
                    <w:t>introducidas</w:t>
                  </w:r>
                  <w:r>
                    <w:rPr>
                      <w:spacing w:val="-12"/>
                      <w:sz w:val="20"/>
                    </w:rPr>
                    <w:t> </w:t>
                  </w:r>
                  <w:r>
                    <w:rPr>
                      <w:sz w:val="20"/>
                    </w:rPr>
                    <w:t>a</w:t>
                  </w:r>
                  <w:r>
                    <w:rPr>
                      <w:spacing w:val="-5"/>
                      <w:sz w:val="20"/>
                    </w:rPr>
                    <w:t> </w:t>
                  </w:r>
                  <w:r>
                    <w:rPr>
                      <w:sz w:val="20"/>
                    </w:rPr>
                    <w:t>México</w:t>
                  </w:r>
                  <w:r>
                    <w:rPr>
                      <w:spacing w:val="-9"/>
                      <w:sz w:val="20"/>
                    </w:rPr>
                    <w:t> </w:t>
                  </w:r>
                  <w:r>
                    <w:rPr>
                      <w:sz w:val="20"/>
                    </w:rPr>
                    <w:t>en</w:t>
                  </w:r>
                  <w:r>
                    <w:rPr>
                      <w:spacing w:val="-9"/>
                      <w:sz w:val="20"/>
                    </w:rPr>
                    <w:t> </w:t>
                  </w:r>
                  <w:r>
                    <w:rPr>
                      <w:sz w:val="20"/>
                    </w:rPr>
                    <w:t>la</w:t>
                  </w:r>
                  <w:r>
                    <w:rPr>
                      <w:spacing w:val="-9"/>
                      <w:sz w:val="20"/>
                    </w:rPr>
                    <w:t> </w:t>
                  </w:r>
                  <w:r>
                    <w:rPr>
                      <w:sz w:val="20"/>
                    </w:rPr>
                    <w:t>década</w:t>
                  </w:r>
                  <w:r>
                    <w:rPr>
                      <w:spacing w:val="-9"/>
                      <w:sz w:val="20"/>
                    </w:rPr>
                    <w:t> </w:t>
                  </w:r>
                  <w:r>
                    <w:rPr>
                      <w:sz w:val="20"/>
                    </w:rPr>
                    <w:t>de</w:t>
                  </w:r>
                  <w:r>
                    <w:rPr>
                      <w:spacing w:val="-9"/>
                      <w:sz w:val="20"/>
                    </w:rPr>
                    <w:t> </w:t>
                  </w:r>
                  <w:r>
                    <w:rPr>
                      <w:sz w:val="20"/>
                    </w:rPr>
                    <w:t>los</w:t>
                  </w:r>
                  <w:r>
                    <w:rPr>
                      <w:spacing w:val="-12"/>
                      <w:sz w:val="20"/>
                    </w:rPr>
                    <w:t> </w:t>
                  </w:r>
                  <w:r>
                    <w:rPr>
                      <w:sz w:val="20"/>
                    </w:rPr>
                    <w:t>70´s (Chávez,</w:t>
                  </w:r>
                  <w:r>
                    <w:rPr>
                      <w:spacing w:val="-4"/>
                      <w:sz w:val="20"/>
                    </w:rPr>
                    <w:t> </w:t>
                  </w:r>
                  <w:r>
                    <w:rPr>
                      <w:sz w:val="20"/>
                    </w:rPr>
                    <w:t>1992)</w:t>
                  </w:r>
                </w:p>
              </w:txbxContent>
            </v:textbox>
            <w10:wrap type="topAndBottom"/>
          </v:shape>
        </w:pict>
      </w:r>
    </w:p>
    <w:p>
      <w:pPr>
        <w:pStyle w:val="BodyText"/>
        <w:spacing w:before="3"/>
        <w:rPr>
          <w:i/>
          <w:sz w:val="14"/>
        </w:rPr>
      </w:pPr>
    </w:p>
    <w:p>
      <w:pPr>
        <w:pStyle w:val="BodyText"/>
        <w:spacing w:before="70"/>
        <w:ind w:left="139"/>
        <w:rPr>
          <w:i/>
        </w:rPr>
      </w:pPr>
      <w:r>
        <w:rPr/>
        <w:t>a).- Mojarra herbívora: Tilapia </w:t>
      </w:r>
      <w:r>
        <w:rPr>
          <w:i/>
        </w:rPr>
        <w:t>rendalli</w:t>
      </w:r>
    </w:p>
    <w:p>
      <w:pPr>
        <w:pStyle w:val="BodyText"/>
        <w:spacing w:before="1"/>
        <w:rPr>
          <w:i/>
          <w:sz w:val="21"/>
        </w:rPr>
      </w:pPr>
    </w:p>
    <w:p>
      <w:pPr>
        <w:spacing w:before="0"/>
        <w:ind w:left="139" w:right="0" w:firstLine="0"/>
        <w:jc w:val="left"/>
        <w:rPr>
          <w:i/>
          <w:sz w:val="24"/>
        </w:rPr>
      </w:pPr>
      <w:r>
        <w:rPr>
          <w:sz w:val="24"/>
        </w:rPr>
        <w:t>b).- Mojarra azul: </w:t>
      </w:r>
      <w:r>
        <w:rPr>
          <w:i/>
          <w:sz w:val="24"/>
        </w:rPr>
        <w:t>Oreochromis aureus</w:t>
      </w:r>
    </w:p>
    <w:p>
      <w:pPr>
        <w:spacing w:after="0"/>
        <w:jc w:val="left"/>
        <w:rPr>
          <w:sz w:val="24"/>
        </w:rPr>
        <w:sectPr>
          <w:footerReference w:type="default" r:id="rId11"/>
          <w:pgSz w:w="12240" w:h="15840"/>
          <w:pgMar w:footer="998" w:header="752" w:top="1000" w:bottom="1180" w:left="1560" w:right="1160"/>
        </w:sectPr>
      </w:pPr>
    </w:p>
    <w:p>
      <w:pPr>
        <w:pStyle w:val="BodyText"/>
        <w:spacing w:before="7"/>
        <w:rPr>
          <w:i/>
          <w:sz w:val="28"/>
        </w:rPr>
      </w:pPr>
    </w:p>
    <w:p>
      <w:pPr>
        <w:spacing w:before="70"/>
        <w:ind w:left="139" w:right="0" w:firstLine="0"/>
        <w:jc w:val="both"/>
        <w:rPr>
          <w:sz w:val="24"/>
        </w:rPr>
      </w:pPr>
      <w:r>
        <w:rPr>
          <w:sz w:val="24"/>
        </w:rPr>
        <w:t>c).- Mojarra del nilo: </w:t>
      </w:r>
      <w:r>
        <w:rPr>
          <w:i/>
          <w:sz w:val="24"/>
        </w:rPr>
        <w:t>Oreochromis niloticus</w:t>
      </w:r>
      <w:r>
        <w:rPr>
          <w:sz w:val="24"/>
        </w:rPr>
        <w:t>.</w:t>
      </w:r>
    </w:p>
    <w:p>
      <w:pPr>
        <w:pStyle w:val="BodyText"/>
        <w:rPr>
          <w:sz w:val="21"/>
        </w:rPr>
      </w:pPr>
    </w:p>
    <w:p>
      <w:pPr>
        <w:spacing w:before="1"/>
        <w:ind w:left="139" w:right="0" w:firstLine="0"/>
        <w:jc w:val="both"/>
        <w:rPr>
          <w:i/>
          <w:sz w:val="24"/>
        </w:rPr>
      </w:pPr>
      <w:r>
        <w:rPr>
          <w:sz w:val="24"/>
        </w:rPr>
        <w:t>d).- Mojarra mosambica: </w:t>
      </w:r>
      <w:r>
        <w:rPr>
          <w:i/>
          <w:sz w:val="24"/>
        </w:rPr>
        <w:t>Oreochromis mossambicus</w:t>
      </w:r>
    </w:p>
    <w:p>
      <w:pPr>
        <w:pStyle w:val="BodyText"/>
        <w:spacing w:before="1"/>
        <w:rPr>
          <w:i/>
          <w:sz w:val="21"/>
        </w:rPr>
      </w:pPr>
    </w:p>
    <w:p>
      <w:pPr>
        <w:spacing w:before="0"/>
        <w:ind w:left="139" w:right="0" w:firstLine="0"/>
        <w:jc w:val="both"/>
        <w:rPr>
          <w:sz w:val="24"/>
        </w:rPr>
      </w:pPr>
      <w:r>
        <w:rPr>
          <w:sz w:val="24"/>
        </w:rPr>
        <w:t>e).- </w:t>
      </w:r>
      <w:r>
        <w:rPr>
          <w:i/>
          <w:sz w:val="24"/>
        </w:rPr>
        <w:t>Oreochromis urolepis hornorum</w:t>
      </w:r>
      <w:r>
        <w:rPr>
          <w:sz w:val="24"/>
        </w:rPr>
        <w:t>.</w:t>
      </w:r>
    </w:p>
    <w:p>
      <w:pPr>
        <w:pStyle w:val="BodyText"/>
        <w:spacing w:before="5"/>
        <w:rPr>
          <w:sz w:val="21"/>
        </w:rPr>
      </w:pPr>
    </w:p>
    <w:p>
      <w:pPr>
        <w:pStyle w:val="BodyText"/>
        <w:spacing w:line="271" w:lineRule="auto"/>
        <w:ind w:left="139" w:right="148"/>
        <w:jc w:val="both"/>
      </w:pPr>
      <w:r>
        <w:rPr/>
        <w:t>De las primeras especies introducidas se realizaron cruzamientos dando origen a las 3 especies hibridas que se mencionan a continuación:</w:t>
      </w:r>
    </w:p>
    <w:p>
      <w:pPr>
        <w:spacing w:before="202"/>
        <w:ind w:left="139" w:right="0" w:firstLine="0"/>
        <w:jc w:val="both"/>
        <w:rPr>
          <w:sz w:val="24"/>
        </w:rPr>
      </w:pPr>
      <w:r>
        <w:rPr>
          <w:i/>
          <w:sz w:val="24"/>
        </w:rPr>
        <w:t>O. niloticus </w:t>
      </w:r>
      <w:r>
        <w:rPr>
          <w:sz w:val="24"/>
        </w:rPr>
        <w:t>x </w:t>
      </w:r>
      <w:r>
        <w:rPr>
          <w:i/>
          <w:sz w:val="24"/>
        </w:rPr>
        <w:t>O. aureus </w:t>
      </w:r>
      <w:r>
        <w:rPr>
          <w:sz w:val="24"/>
        </w:rPr>
        <w:t>= “Rocky mountain”</w:t>
      </w:r>
    </w:p>
    <w:p>
      <w:pPr>
        <w:pStyle w:val="BodyText"/>
        <w:spacing w:before="1"/>
        <w:rPr>
          <w:sz w:val="21"/>
        </w:rPr>
      </w:pPr>
    </w:p>
    <w:p>
      <w:pPr>
        <w:spacing w:before="0"/>
        <w:ind w:left="139" w:right="0" w:firstLine="0"/>
        <w:jc w:val="both"/>
        <w:rPr>
          <w:sz w:val="24"/>
        </w:rPr>
      </w:pPr>
      <w:r>
        <w:rPr>
          <w:i/>
          <w:sz w:val="24"/>
        </w:rPr>
        <w:t>O. mossambicus </w:t>
      </w:r>
      <w:r>
        <w:rPr>
          <w:sz w:val="24"/>
        </w:rPr>
        <w:t>x </w:t>
      </w:r>
      <w:r>
        <w:rPr>
          <w:i/>
          <w:sz w:val="24"/>
        </w:rPr>
        <w:t>O. uroleptis hornorum </w:t>
      </w:r>
      <w:r>
        <w:rPr>
          <w:sz w:val="24"/>
        </w:rPr>
        <w:t>= hibrido rojo</w:t>
      </w:r>
    </w:p>
    <w:p>
      <w:pPr>
        <w:pStyle w:val="BodyText"/>
        <w:rPr>
          <w:sz w:val="21"/>
        </w:rPr>
      </w:pPr>
    </w:p>
    <w:p>
      <w:pPr>
        <w:spacing w:before="1"/>
        <w:ind w:left="139" w:right="0" w:firstLine="0"/>
        <w:jc w:val="both"/>
        <w:rPr>
          <w:sz w:val="24"/>
        </w:rPr>
      </w:pPr>
      <w:r>
        <w:rPr>
          <w:i/>
          <w:sz w:val="24"/>
        </w:rPr>
        <w:t>O. niloticus </w:t>
      </w:r>
      <w:r>
        <w:rPr>
          <w:sz w:val="24"/>
        </w:rPr>
        <w:t>x </w:t>
      </w:r>
      <w:r>
        <w:rPr>
          <w:i/>
          <w:sz w:val="24"/>
        </w:rPr>
        <w:t>O. niloticus stirling </w:t>
      </w:r>
      <w:r>
        <w:rPr>
          <w:sz w:val="24"/>
        </w:rPr>
        <w:t>= chocolate</w:t>
      </w:r>
    </w:p>
    <w:p>
      <w:pPr>
        <w:pStyle w:val="BodyText"/>
        <w:rPr>
          <w:sz w:val="21"/>
        </w:rPr>
      </w:pPr>
    </w:p>
    <w:p>
      <w:pPr>
        <w:pStyle w:val="Heading1"/>
        <w:numPr>
          <w:ilvl w:val="1"/>
          <w:numId w:val="3"/>
        </w:numPr>
        <w:tabs>
          <w:tab w:pos="542" w:val="left" w:leader="none"/>
        </w:tabs>
        <w:spacing w:line="240" w:lineRule="auto" w:before="1" w:after="0"/>
        <w:ind w:left="541" w:right="0" w:hanging="402"/>
        <w:jc w:val="both"/>
      </w:pPr>
      <w:bookmarkStart w:name="_bookmark15" w:id="25"/>
      <w:bookmarkEnd w:id="25"/>
      <w:r>
        <w:rPr>
          <w:b w:val="0"/>
        </w:rPr>
      </w:r>
      <w:bookmarkStart w:name="_bookmark15" w:id="26"/>
      <w:bookmarkEnd w:id="26"/>
      <w:r>
        <w:rPr>
          <w:color w:val="365F91"/>
        </w:rPr>
        <w:t>E</w:t>
      </w:r>
      <w:r>
        <w:rPr>
          <w:color w:val="365F91"/>
        </w:rPr>
        <w:t>nfermedades que afectan a la tilapia en el</w:t>
      </w:r>
      <w:r>
        <w:rPr>
          <w:color w:val="365F91"/>
          <w:spacing w:val="-24"/>
        </w:rPr>
        <w:t> </w:t>
      </w:r>
      <w:r>
        <w:rPr>
          <w:color w:val="365F91"/>
        </w:rPr>
        <w:t>mundo</w:t>
      </w:r>
    </w:p>
    <w:p>
      <w:pPr>
        <w:pStyle w:val="BodyText"/>
        <w:spacing w:line="273" w:lineRule="auto" w:before="46"/>
        <w:ind w:left="139" w:right="134"/>
        <w:jc w:val="both"/>
      </w:pPr>
      <w:r>
        <w:rPr/>
        <w:t>Aun cuando la tilapia se considera una especie resistente a diferentes factores que se podrían considerar adversos para otras especies, la producción de esta especie en condiciones intensivas y de alta densidad puede ser la causa detonante de diferentes factores de riesgo e incluso enfermedades, debido al estrecho contacto entre individuos.</w:t>
      </w:r>
    </w:p>
    <w:p>
      <w:pPr>
        <w:pStyle w:val="BodyText"/>
        <w:spacing w:line="276" w:lineRule="auto" w:before="210"/>
        <w:ind w:left="139" w:right="133"/>
        <w:jc w:val="both"/>
      </w:pPr>
      <w:r>
        <w:rPr/>
        <w:t>Las condiciones medio ambientales como la baja cantidad de oxígeno, sólidos totales, turbidez, etc. convirtiéndose en un factor de riesgo debido a que provocan reducción en la calidad del agua, alterando el confort del pez y beneficiando el desarrollo de condiciones óptimas para el crecimiento de microorganismos infeccioso. Entre los agentes infecciosos más comunes están: </w:t>
      </w:r>
      <w:r>
        <w:rPr>
          <w:i/>
        </w:rPr>
        <w:t>Flavobacterium </w:t>
      </w:r>
      <w:r>
        <w:rPr>
          <w:i/>
        </w:rPr>
        <w:t>columnare</w:t>
      </w:r>
      <w:r>
        <w:rPr/>
        <w:t>, </w:t>
      </w:r>
      <w:r>
        <w:rPr>
          <w:i/>
        </w:rPr>
        <w:t>Edwardsiella </w:t>
      </w:r>
      <w:r>
        <w:rPr/>
        <w:t>tarda, </w:t>
      </w:r>
      <w:r>
        <w:rPr>
          <w:i/>
        </w:rPr>
        <w:t>Aeromonas </w:t>
      </w:r>
      <w:r>
        <w:rPr/>
        <w:t>sp., </w:t>
      </w:r>
      <w:r>
        <w:rPr>
          <w:i/>
        </w:rPr>
        <w:t>Vibrio </w:t>
      </w:r>
      <w:r>
        <w:rPr/>
        <w:t>sp., </w:t>
      </w:r>
      <w:r>
        <w:rPr>
          <w:i/>
        </w:rPr>
        <w:t>Francisella </w:t>
      </w:r>
      <w:r>
        <w:rPr/>
        <w:t>sp., </w:t>
      </w:r>
      <w:r>
        <w:rPr>
          <w:i/>
        </w:rPr>
        <w:t>Streptococcus iniae </w:t>
      </w:r>
      <w:r>
        <w:rPr/>
        <w:t>y </w:t>
      </w:r>
      <w:r>
        <w:rPr>
          <w:i/>
        </w:rPr>
        <w:t>Streptococcus agalactiae</w:t>
      </w:r>
      <w:r>
        <w:rPr/>
        <w:t>, causantes de enfermedades especialmente en aquellas explotaciones en las que su sistema de producción se realiza con recirculación de agua, lo que facilita la diseminación de estos agentes inficciosos (Soto </w:t>
      </w:r>
      <w:r>
        <w:rPr>
          <w:i/>
        </w:rPr>
        <w:t>et al</w:t>
      </w:r>
      <w:r>
        <w:rPr/>
        <w:t>., 2010).</w:t>
      </w:r>
    </w:p>
    <w:p>
      <w:pPr>
        <w:pStyle w:val="BodyText"/>
        <w:spacing w:line="276" w:lineRule="auto" w:before="207"/>
        <w:ind w:left="139" w:right="132"/>
        <w:jc w:val="both"/>
      </w:pPr>
      <w:r>
        <w:rPr/>
        <w:t>Entre los agentes infecciosos que afectan a la tilapia se encuentran las bacterias del género </w:t>
      </w:r>
      <w:r>
        <w:rPr>
          <w:i/>
        </w:rPr>
        <w:t>Francisella </w:t>
      </w:r>
      <w:r>
        <w:rPr/>
        <w:t>que durante las décadas pasadas se aisló y encontró como agente causal de enfermedad y que ocasiono alta mortalidad en tilapia y otras especies de peces cultivadas en aguas templadas en Estados Unidos Soto </w:t>
      </w:r>
      <w:r>
        <w:rPr>
          <w:i/>
        </w:rPr>
        <w:t>et al</w:t>
      </w:r>
      <w:r>
        <w:rPr/>
        <w:t>., (2011), Taiwán Chen </w:t>
      </w:r>
      <w:r>
        <w:rPr>
          <w:i/>
        </w:rPr>
        <w:t>et al</w:t>
      </w:r>
      <w:r>
        <w:rPr/>
        <w:t>., (2000), Reino Unido Jeffery </w:t>
      </w:r>
      <w:r>
        <w:rPr>
          <w:i/>
        </w:rPr>
        <w:t>et al</w:t>
      </w:r>
      <w:r>
        <w:rPr/>
        <w:t>., (2010), Costa Rica Soto </w:t>
      </w:r>
      <w:r>
        <w:rPr>
          <w:i/>
        </w:rPr>
        <w:t>et al</w:t>
      </w:r>
      <w:r>
        <w:rPr/>
        <w:t>., (2009a) y otras regiones de Latino América Mauel </w:t>
      </w:r>
      <w:r>
        <w:rPr>
          <w:i/>
        </w:rPr>
        <w:t>et al</w:t>
      </w:r>
      <w:r>
        <w:rPr/>
        <w:t>., (2007) durante la década pasada.</w:t>
      </w:r>
    </w:p>
    <w:p>
      <w:pPr>
        <w:spacing w:line="276" w:lineRule="auto" w:before="207"/>
        <w:ind w:left="139" w:right="132" w:firstLine="0"/>
        <w:jc w:val="both"/>
        <w:rPr>
          <w:i/>
          <w:sz w:val="24"/>
        </w:rPr>
      </w:pPr>
      <w:r>
        <w:rPr>
          <w:sz w:val="24"/>
        </w:rPr>
        <w:t>Entre las especies afectadas por la francisellosis se encuentran las tilapias (</w:t>
      </w:r>
      <w:r>
        <w:rPr>
          <w:i/>
          <w:sz w:val="24"/>
        </w:rPr>
        <w:t>Orechromis</w:t>
      </w:r>
      <w:r>
        <w:rPr>
          <w:i/>
          <w:spacing w:val="-11"/>
          <w:sz w:val="24"/>
        </w:rPr>
        <w:t> </w:t>
      </w:r>
      <w:r>
        <w:rPr>
          <w:sz w:val="24"/>
        </w:rPr>
        <w:t>sp.</w:t>
      </w:r>
      <w:r>
        <w:rPr>
          <w:spacing w:val="-12"/>
          <w:sz w:val="24"/>
        </w:rPr>
        <w:t> </w:t>
      </w:r>
      <w:r>
        <w:rPr>
          <w:sz w:val="24"/>
        </w:rPr>
        <w:t>y</w:t>
      </w:r>
      <w:r>
        <w:rPr>
          <w:spacing w:val="-13"/>
          <w:sz w:val="24"/>
        </w:rPr>
        <w:t> </w:t>
      </w:r>
      <w:r>
        <w:rPr>
          <w:sz w:val="24"/>
        </w:rPr>
        <w:t>sus</w:t>
      </w:r>
      <w:r>
        <w:rPr>
          <w:spacing w:val="-13"/>
          <w:sz w:val="24"/>
        </w:rPr>
        <w:t> </w:t>
      </w:r>
      <w:r>
        <w:rPr>
          <w:sz w:val="24"/>
        </w:rPr>
        <w:t>híbridos)</w:t>
      </w:r>
      <w:r>
        <w:rPr>
          <w:spacing w:val="-29"/>
          <w:sz w:val="24"/>
        </w:rPr>
        <w:t> </w:t>
      </w:r>
      <w:r>
        <w:rPr>
          <w:sz w:val="24"/>
        </w:rPr>
        <w:t>Soto</w:t>
      </w:r>
      <w:r>
        <w:rPr>
          <w:spacing w:val="-10"/>
          <w:sz w:val="24"/>
        </w:rPr>
        <w:t> </w:t>
      </w:r>
      <w:r>
        <w:rPr>
          <w:i/>
          <w:sz w:val="24"/>
        </w:rPr>
        <w:t>et</w:t>
      </w:r>
      <w:r>
        <w:rPr>
          <w:i/>
          <w:spacing w:val="-12"/>
          <w:sz w:val="24"/>
        </w:rPr>
        <w:t> </w:t>
      </w:r>
      <w:r>
        <w:rPr>
          <w:i/>
          <w:sz w:val="24"/>
        </w:rPr>
        <w:t>al</w:t>
      </w:r>
      <w:r>
        <w:rPr>
          <w:sz w:val="24"/>
        </w:rPr>
        <w:t>.,</w:t>
      </w:r>
      <w:r>
        <w:rPr>
          <w:spacing w:val="-17"/>
          <w:sz w:val="24"/>
        </w:rPr>
        <w:t> </w:t>
      </w:r>
      <w:r>
        <w:rPr>
          <w:sz w:val="24"/>
        </w:rPr>
        <w:t>(2009),</w:t>
      </w:r>
      <w:r>
        <w:rPr>
          <w:spacing w:val="-12"/>
          <w:sz w:val="24"/>
        </w:rPr>
        <w:t> </w:t>
      </w:r>
      <w:r>
        <w:rPr>
          <w:sz w:val="24"/>
        </w:rPr>
        <w:t>el</w:t>
      </w:r>
      <w:r>
        <w:rPr>
          <w:spacing w:val="-8"/>
          <w:sz w:val="24"/>
        </w:rPr>
        <w:t> </w:t>
      </w:r>
      <w:r>
        <w:rPr>
          <w:sz w:val="24"/>
        </w:rPr>
        <w:t>three</w:t>
      </w:r>
      <w:r>
        <w:rPr>
          <w:spacing w:val="-17"/>
          <w:sz w:val="24"/>
        </w:rPr>
        <w:t> </w:t>
      </w:r>
      <w:r>
        <w:rPr>
          <w:sz w:val="24"/>
        </w:rPr>
        <w:t>line</w:t>
      </w:r>
      <w:r>
        <w:rPr>
          <w:spacing w:val="-10"/>
          <w:sz w:val="24"/>
        </w:rPr>
        <w:t> </w:t>
      </w:r>
      <w:r>
        <w:rPr>
          <w:sz w:val="24"/>
        </w:rPr>
        <w:t>grunts</w:t>
      </w:r>
      <w:r>
        <w:rPr>
          <w:spacing w:val="-11"/>
          <w:sz w:val="24"/>
        </w:rPr>
        <w:t> </w:t>
      </w:r>
      <w:r>
        <w:rPr>
          <w:sz w:val="24"/>
        </w:rPr>
        <w:t>(</w:t>
      </w:r>
      <w:r>
        <w:rPr>
          <w:i/>
          <w:sz w:val="24"/>
        </w:rPr>
        <w:t>chicken</w:t>
      </w:r>
      <w:r>
        <w:rPr>
          <w:i/>
          <w:spacing w:val="-12"/>
          <w:sz w:val="24"/>
        </w:rPr>
        <w:t> </w:t>
      </w:r>
      <w:r>
        <w:rPr>
          <w:i/>
          <w:sz w:val="24"/>
        </w:rPr>
        <w:t>grunt </w:t>
      </w:r>
      <w:r>
        <w:rPr>
          <w:sz w:val="24"/>
        </w:rPr>
        <w:t>o</w:t>
      </w:r>
      <w:r>
        <w:rPr>
          <w:spacing w:val="-7"/>
          <w:sz w:val="24"/>
        </w:rPr>
        <w:t> </w:t>
      </w:r>
      <w:r>
        <w:rPr>
          <w:i/>
          <w:sz w:val="24"/>
        </w:rPr>
        <w:t>Parapristipoma</w:t>
      </w:r>
      <w:r>
        <w:rPr>
          <w:i/>
          <w:spacing w:val="-8"/>
          <w:sz w:val="24"/>
        </w:rPr>
        <w:t> </w:t>
      </w:r>
      <w:r>
        <w:rPr>
          <w:i/>
          <w:sz w:val="24"/>
        </w:rPr>
        <w:t>trilineatum</w:t>
      </w:r>
      <w:r>
        <w:rPr>
          <w:sz w:val="24"/>
        </w:rPr>
        <w:t>)</w:t>
      </w:r>
      <w:r>
        <w:rPr>
          <w:spacing w:val="-7"/>
          <w:sz w:val="24"/>
        </w:rPr>
        <w:t> </w:t>
      </w:r>
      <w:r>
        <w:rPr>
          <w:sz w:val="24"/>
        </w:rPr>
        <w:t>Kamaishi</w:t>
      </w:r>
      <w:r>
        <w:rPr>
          <w:spacing w:val="-4"/>
          <w:sz w:val="24"/>
        </w:rPr>
        <w:t> </w:t>
      </w:r>
      <w:r>
        <w:rPr>
          <w:i/>
          <w:sz w:val="24"/>
        </w:rPr>
        <w:t>et</w:t>
      </w:r>
      <w:r>
        <w:rPr>
          <w:i/>
          <w:spacing w:val="-13"/>
          <w:sz w:val="24"/>
        </w:rPr>
        <w:t> </w:t>
      </w:r>
      <w:r>
        <w:rPr>
          <w:i/>
          <w:sz w:val="24"/>
        </w:rPr>
        <w:t>al</w:t>
      </w:r>
      <w:r>
        <w:rPr>
          <w:sz w:val="24"/>
        </w:rPr>
        <w:t>.,</w:t>
      </w:r>
      <w:r>
        <w:rPr>
          <w:spacing w:val="-8"/>
          <w:sz w:val="24"/>
        </w:rPr>
        <w:t> </w:t>
      </w:r>
      <w:r>
        <w:rPr>
          <w:sz w:val="24"/>
        </w:rPr>
        <w:t>(2005),</w:t>
      </w:r>
      <w:r>
        <w:rPr>
          <w:spacing w:val="-13"/>
          <w:sz w:val="24"/>
        </w:rPr>
        <w:t> </w:t>
      </w:r>
      <w:r>
        <w:rPr>
          <w:sz w:val="24"/>
        </w:rPr>
        <w:t>el</w:t>
      </w:r>
      <w:r>
        <w:rPr>
          <w:spacing w:val="-4"/>
          <w:sz w:val="24"/>
        </w:rPr>
        <w:t> </w:t>
      </w:r>
      <w:r>
        <w:rPr>
          <w:sz w:val="24"/>
        </w:rPr>
        <w:t>hybrid</w:t>
      </w:r>
      <w:r>
        <w:rPr>
          <w:spacing w:val="-8"/>
          <w:sz w:val="24"/>
        </w:rPr>
        <w:t> </w:t>
      </w:r>
      <w:r>
        <w:rPr>
          <w:sz w:val="24"/>
        </w:rPr>
        <w:t>striped</w:t>
      </w:r>
      <w:r>
        <w:rPr>
          <w:spacing w:val="-8"/>
          <w:sz w:val="24"/>
        </w:rPr>
        <w:t> </w:t>
      </w:r>
      <w:r>
        <w:rPr>
          <w:sz w:val="24"/>
        </w:rPr>
        <w:t>bass</w:t>
      </w:r>
      <w:r>
        <w:rPr>
          <w:spacing w:val="-11"/>
          <w:sz w:val="24"/>
        </w:rPr>
        <w:t> </w:t>
      </w:r>
      <w:r>
        <w:rPr>
          <w:sz w:val="24"/>
        </w:rPr>
        <w:t>(</w:t>
      </w:r>
      <w:r>
        <w:rPr>
          <w:i/>
          <w:sz w:val="24"/>
        </w:rPr>
        <w:t>Morone</w:t>
      </w:r>
    </w:p>
    <w:p>
      <w:pPr>
        <w:spacing w:after="0" w:line="276" w:lineRule="auto"/>
        <w:jc w:val="both"/>
        <w:rPr>
          <w:sz w:val="24"/>
        </w:rPr>
        <w:sectPr>
          <w:footerReference w:type="default" r:id="rId13"/>
          <w:pgSz w:w="12240" w:h="15840"/>
          <w:pgMar w:footer="998" w:header="752" w:top="1000" w:bottom="1180" w:left="1560" w:right="1560"/>
          <w:pgNumType w:start="11"/>
        </w:sectPr>
      </w:pPr>
    </w:p>
    <w:p>
      <w:pPr>
        <w:pStyle w:val="BodyText"/>
        <w:rPr>
          <w:i/>
          <w:sz w:val="29"/>
        </w:rPr>
      </w:pPr>
    </w:p>
    <w:p>
      <w:pPr>
        <w:spacing w:line="276" w:lineRule="auto" w:before="70"/>
        <w:ind w:left="139" w:right="133" w:firstLine="0"/>
        <w:jc w:val="both"/>
        <w:rPr>
          <w:sz w:val="24"/>
        </w:rPr>
      </w:pPr>
      <w:r>
        <w:rPr>
          <w:i/>
          <w:sz w:val="24"/>
        </w:rPr>
        <w:t>chrysops</w:t>
      </w:r>
      <w:r>
        <w:rPr>
          <w:i/>
          <w:spacing w:val="-11"/>
          <w:sz w:val="24"/>
        </w:rPr>
        <w:t> </w:t>
      </w:r>
      <w:r>
        <w:rPr>
          <w:i/>
          <w:sz w:val="24"/>
        </w:rPr>
        <w:t>y</w:t>
      </w:r>
      <w:r>
        <w:rPr>
          <w:i/>
          <w:spacing w:val="-11"/>
          <w:sz w:val="24"/>
        </w:rPr>
        <w:t> </w:t>
      </w:r>
      <w:r>
        <w:rPr>
          <w:i/>
          <w:sz w:val="24"/>
        </w:rPr>
        <w:t>M.</w:t>
      </w:r>
      <w:r>
        <w:rPr>
          <w:i/>
          <w:spacing w:val="-10"/>
          <w:sz w:val="24"/>
        </w:rPr>
        <w:t> </w:t>
      </w:r>
      <w:r>
        <w:rPr>
          <w:i/>
          <w:sz w:val="24"/>
        </w:rPr>
        <w:t>saxatilis</w:t>
      </w:r>
      <w:r>
        <w:rPr>
          <w:sz w:val="24"/>
        </w:rPr>
        <w:t>),</w:t>
      </w:r>
      <w:r>
        <w:rPr>
          <w:spacing w:val="-10"/>
          <w:sz w:val="24"/>
        </w:rPr>
        <w:t> </w:t>
      </w:r>
      <w:r>
        <w:rPr>
          <w:sz w:val="24"/>
        </w:rPr>
        <w:t>el</w:t>
      </w:r>
      <w:r>
        <w:rPr>
          <w:spacing w:val="-6"/>
          <w:sz w:val="24"/>
        </w:rPr>
        <w:t> </w:t>
      </w:r>
      <w:r>
        <w:rPr>
          <w:sz w:val="24"/>
        </w:rPr>
        <w:t>salmón</w:t>
      </w:r>
      <w:r>
        <w:rPr>
          <w:spacing w:val="-10"/>
          <w:sz w:val="24"/>
        </w:rPr>
        <w:t> </w:t>
      </w:r>
      <w:r>
        <w:rPr>
          <w:sz w:val="24"/>
        </w:rPr>
        <w:t>del</w:t>
      </w:r>
      <w:r>
        <w:rPr>
          <w:spacing w:val="-6"/>
          <w:sz w:val="24"/>
        </w:rPr>
        <w:t> </w:t>
      </w:r>
      <w:r>
        <w:rPr>
          <w:sz w:val="24"/>
        </w:rPr>
        <w:t>atlántico</w:t>
      </w:r>
      <w:r>
        <w:rPr>
          <w:spacing w:val="-10"/>
          <w:sz w:val="24"/>
        </w:rPr>
        <w:t> </w:t>
      </w:r>
      <w:r>
        <w:rPr>
          <w:sz w:val="24"/>
        </w:rPr>
        <w:t>(</w:t>
      </w:r>
      <w:r>
        <w:rPr>
          <w:i/>
          <w:sz w:val="24"/>
        </w:rPr>
        <w:t>Atlantic</w:t>
      </w:r>
      <w:r>
        <w:rPr>
          <w:i/>
          <w:spacing w:val="-11"/>
          <w:sz w:val="24"/>
        </w:rPr>
        <w:t> </w:t>
      </w:r>
      <w:r>
        <w:rPr>
          <w:i/>
          <w:sz w:val="24"/>
        </w:rPr>
        <w:t>salmo</w:t>
      </w:r>
      <w:r>
        <w:rPr>
          <w:i/>
          <w:spacing w:val="-10"/>
          <w:sz w:val="24"/>
        </w:rPr>
        <w:t> </w:t>
      </w:r>
      <w:r>
        <w:rPr>
          <w:i/>
          <w:sz w:val="24"/>
        </w:rPr>
        <w:t>salar</w:t>
      </w:r>
      <w:r>
        <w:rPr>
          <w:sz w:val="24"/>
        </w:rPr>
        <w:t>)</w:t>
      </w:r>
      <w:r>
        <w:rPr>
          <w:spacing w:val="-9"/>
          <w:sz w:val="24"/>
        </w:rPr>
        <w:t> </w:t>
      </w:r>
      <w:r>
        <w:rPr>
          <w:sz w:val="24"/>
        </w:rPr>
        <w:t>Birkbeck</w:t>
      </w:r>
      <w:r>
        <w:rPr>
          <w:spacing w:val="-10"/>
          <w:sz w:val="24"/>
        </w:rPr>
        <w:t> </w:t>
      </w:r>
      <w:r>
        <w:rPr>
          <w:i/>
          <w:sz w:val="24"/>
        </w:rPr>
        <w:t>et</w:t>
      </w:r>
      <w:r>
        <w:rPr>
          <w:i/>
          <w:spacing w:val="-10"/>
          <w:sz w:val="24"/>
        </w:rPr>
        <w:t> </w:t>
      </w:r>
      <w:r>
        <w:rPr>
          <w:i/>
          <w:sz w:val="24"/>
        </w:rPr>
        <w:t>al</w:t>
      </w:r>
      <w:r>
        <w:rPr>
          <w:sz w:val="24"/>
        </w:rPr>
        <w:t>., (2007), el bacalao del atlántico (</w:t>
      </w:r>
      <w:r>
        <w:rPr>
          <w:i/>
          <w:sz w:val="24"/>
        </w:rPr>
        <w:t>Atlantic cod</w:t>
      </w:r>
      <w:r>
        <w:rPr>
          <w:sz w:val="24"/>
        </w:rPr>
        <w:t>) Mikalsen </w:t>
      </w:r>
      <w:r>
        <w:rPr>
          <w:i/>
          <w:sz w:val="24"/>
        </w:rPr>
        <w:t>et al</w:t>
      </w:r>
      <w:r>
        <w:rPr>
          <w:sz w:val="24"/>
        </w:rPr>
        <w:t>., 2007 y así mismo ha sido encontrado en peces silvestres y ciclídos como en el denominado jaguar (</w:t>
      </w:r>
      <w:r>
        <w:rPr>
          <w:i/>
          <w:sz w:val="24"/>
        </w:rPr>
        <w:t>Parachromis managuensis</w:t>
      </w:r>
      <w:r>
        <w:rPr>
          <w:sz w:val="24"/>
        </w:rPr>
        <w:t>). En análisis realizado al </w:t>
      </w:r>
      <w:r>
        <w:rPr>
          <w:spacing w:val="-2"/>
          <w:sz w:val="24"/>
        </w:rPr>
        <w:t>genoma </w:t>
      </w:r>
      <w:r>
        <w:rPr>
          <w:sz w:val="24"/>
        </w:rPr>
        <w:t>bacteriano se ha encontrado gran similitud filogenética entre las bacterias del género </w:t>
      </w:r>
      <w:r>
        <w:rPr>
          <w:i/>
          <w:sz w:val="24"/>
        </w:rPr>
        <w:t>Francisella </w:t>
      </w:r>
      <w:r>
        <w:rPr>
          <w:sz w:val="24"/>
        </w:rPr>
        <w:t>patógenas para el ser humano y mamíferos y las bacterias que afectan a los peces Sjödin </w:t>
      </w:r>
      <w:r>
        <w:rPr>
          <w:i/>
          <w:sz w:val="24"/>
        </w:rPr>
        <w:t>et al</w:t>
      </w:r>
      <w:r>
        <w:rPr>
          <w:sz w:val="24"/>
        </w:rPr>
        <w:t>.,</w:t>
      </w:r>
      <w:r>
        <w:rPr>
          <w:spacing w:val="-10"/>
          <w:sz w:val="24"/>
        </w:rPr>
        <w:t> </w:t>
      </w:r>
      <w:r>
        <w:rPr>
          <w:sz w:val="24"/>
        </w:rPr>
        <w:t>(2012).</w:t>
      </w:r>
    </w:p>
    <w:p>
      <w:pPr>
        <w:pStyle w:val="ListParagraph"/>
        <w:numPr>
          <w:ilvl w:val="1"/>
          <w:numId w:val="3"/>
        </w:numPr>
        <w:tabs>
          <w:tab w:pos="544" w:val="left" w:leader="none"/>
        </w:tabs>
        <w:spacing w:line="240" w:lineRule="auto" w:before="202" w:after="0"/>
        <w:ind w:left="543" w:right="0" w:hanging="404"/>
        <w:jc w:val="both"/>
        <w:rPr>
          <w:rFonts w:ascii="Arial" w:hAnsi="Arial"/>
          <w:b/>
          <w:sz w:val="24"/>
        </w:rPr>
      </w:pPr>
      <w:bookmarkStart w:name="_bookmark16" w:id="27"/>
      <w:bookmarkEnd w:id="27"/>
      <w:r>
        <w:rPr/>
      </w:r>
      <w:bookmarkStart w:name="_bookmark16" w:id="28"/>
      <w:bookmarkEnd w:id="28"/>
      <w:r>
        <w:rPr>
          <w:rFonts w:ascii="Arial" w:hAnsi="Arial"/>
          <w:b/>
          <w:color w:val="365F91"/>
          <w:sz w:val="24"/>
        </w:rPr>
        <w:t>His</w:t>
      </w:r>
      <w:r>
        <w:rPr>
          <w:rFonts w:ascii="Arial" w:hAnsi="Arial"/>
          <w:b/>
          <w:color w:val="365F91"/>
          <w:sz w:val="24"/>
        </w:rPr>
        <w:t>toria y antecedentes del género </w:t>
      </w:r>
      <w:r>
        <w:rPr>
          <w:rFonts w:ascii="Arial" w:hAnsi="Arial"/>
          <w:b/>
          <w:i/>
          <w:color w:val="365F91"/>
          <w:sz w:val="24"/>
        </w:rPr>
        <w:t>Francisella</w:t>
      </w:r>
      <w:r>
        <w:rPr>
          <w:rFonts w:ascii="Arial" w:hAnsi="Arial"/>
          <w:b/>
          <w:i/>
          <w:color w:val="365F91"/>
          <w:spacing w:val="-20"/>
          <w:sz w:val="24"/>
        </w:rPr>
        <w:t> </w:t>
      </w:r>
      <w:r>
        <w:rPr>
          <w:rFonts w:ascii="Arial" w:hAnsi="Arial"/>
          <w:b/>
          <w:color w:val="365F91"/>
          <w:sz w:val="24"/>
        </w:rPr>
        <w:t>sp.</w:t>
      </w:r>
    </w:p>
    <w:p>
      <w:pPr>
        <w:pStyle w:val="BodyText"/>
        <w:spacing w:line="276" w:lineRule="auto" w:before="46"/>
        <w:ind w:left="139" w:right="132"/>
        <w:jc w:val="both"/>
      </w:pPr>
      <w:r>
        <w:rPr/>
        <w:t>Las bacterias miembros del género </w:t>
      </w:r>
      <w:r>
        <w:rPr>
          <w:i/>
        </w:rPr>
        <w:t>Francisella </w:t>
      </w:r>
      <w:r>
        <w:rPr/>
        <w:t>sp. son pequeños cocobacilos pleomórficos, Gram negativos, intracelulares facultativos, de difícil crecimiento en medios de cultivo tradicionales, pertenecientes al grupo de las Gammaproteobacterias. Son de un tamaño de aproximadamente 0.5 – 1.7 µm, y presentan con especial dependencia al aminoácido cisteína y a la hemoglobina (hierro) para su crecimiento, son capaces de replicarse en los macrófagos y en diversos tipos de células de seres humanos, conejos, roedores, primates no humanos y peces. Se ha encontrado también que la bacteria puede existir como endosimbionte de amibas y artrópodos (Colquhoun y Duodu, 2011).</w:t>
      </w:r>
    </w:p>
    <w:p>
      <w:pPr>
        <w:pStyle w:val="BodyText"/>
        <w:spacing w:line="276" w:lineRule="auto" w:before="207"/>
        <w:ind w:left="139" w:right="133"/>
        <w:jc w:val="both"/>
      </w:pPr>
      <w:r>
        <w:rPr/>
        <w:t>Las primeras bacterias del género </w:t>
      </w:r>
      <w:r>
        <w:rPr>
          <w:i/>
        </w:rPr>
        <w:t>Francisella </w:t>
      </w:r>
      <w:r>
        <w:rPr/>
        <w:t>sp.; Que fueron descritas se aislaron en 1912 durante el estudio de una plaga en roedores en Tulare, California, del que se</w:t>
      </w:r>
      <w:r>
        <w:rPr>
          <w:spacing w:val="-13"/>
        </w:rPr>
        <w:t> </w:t>
      </w:r>
      <w:r>
        <w:rPr/>
        <w:t>deriva</w:t>
      </w:r>
      <w:r>
        <w:rPr>
          <w:spacing w:val="-13"/>
        </w:rPr>
        <w:t> </w:t>
      </w:r>
      <w:r>
        <w:rPr/>
        <w:t>el</w:t>
      </w:r>
      <w:r>
        <w:rPr>
          <w:spacing w:val="-9"/>
        </w:rPr>
        <w:t> </w:t>
      </w:r>
      <w:r>
        <w:rPr/>
        <w:t>nombre</w:t>
      </w:r>
      <w:r>
        <w:rPr>
          <w:spacing w:val="-13"/>
        </w:rPr>
        <w:t> </w:t>
      </w:r>
      <w:r>
        <w:rPr/>
        <w:t>“tularensis”.</w:t>
      </w:r>
      <w:r>
        <w:rPr>
          <w:spacing w:val="-7"/>
        </w:rPr>
        <w:t> </w:t>
      </w:r>
      <w:r>
        <w:rPr/>
        <w:t>Sin</w:t>
      </w:r>
      <w:r>
        <w:rPr>
          <w:spacing w:val="-13"/>
        </w:rPr>
        <w:t> </w:t>
      </w:r>
      <w:r>
        <w:rPr/>
        <w:t>embargo,</w:t>
      </w:r>
      <w:r>
        <w:rPr>
          <w:spacing w:val="-17"/>
        </w:rPr>
        <w:t> </w:t>
      </w:r>
      <w:r>
        <w:rPr/>
        <w:t>este</w:t>
      </w:r>
      <w:r>
        <w:rPr>
          <w:spacing w:val="-12"/>
        </w:rPr>
        <w:t> </w:t>
      </w:r>
      <w:r>
        <w:rPr/>
        <w:t>género</w:t>
      </w:r>
      <w:r>
        <w:rPr>
          <w:spacing w:val="-13"/>
        </w:rPr>
        <w:t> </w:t>
      </w:r>
      <w:r>
        <w:rPr/>
        <w:t>bacteriano</w:t>
      </w:r>
      <w:r>
        <w:rPr>
          <w:spacing w:val="-14"/>
        </w:rPr>
        <w:t> </w:t>
      </w:r>
      <w:r>
        <w:rPr/>
        <w:t>pasó</w:t>
      </w:r>
      <w:r>
        <w:rPr>
          <w:spacing w:val="-13"/>
        </w:rPr>
        <w:t> </w:t>
      </w:r>
      <w:r>
        <w:rPr/>
        <w:t>muchas décadas clasificado dentro del género </w:t>
      </w:r>
      <w:r>
        <w:rPr>
          <w:i/>
        </w:rPr>
        <w:t>Pasteurella</w:t>
      </w:r>
      <w:r>
        <w:rPr/>
        <w:t>, siendo reclasificado en 1974 en un nuevo género denominado como </w:t>
      </w:r>
      <w:r>
        <w:rPr>
          <w:i/>
        </w:rPr>
        <w:t>Francisella</w:t>
      </w:r>
      <w:r>
        <w:rPr/>
        <w:t>, llamado así por Edward Francis, médico del servicio de salud pública de Estados Unidos quien fue el primero en cultivarlo y describir </w:t>
      </w:r>
      <w:r>
        <w:rPr>
          <w:spacing w:val="-3"/>
        </w:rPr>
        <w:t>su </w:t>
      </w:r>
      <w:r>
        <w:rPr/>
        <w:t>transmisión y el </w:t>
      </w:r>
      <w:r>
        <w:rPr>
          <w:spacing w:val="-3"/>
        </w:rPr>
        <w:t>síndrome </w:t>
      </w:r>
      <w:r>
        <w:rPr/>
        <w:t>clínico resultante de la infección. Los primeros miembros de este género que fueron aislados tenían aspecto cocobacilar, pleomórfico, y con características intracelulares facultativas, aerobias obligadas, inmóviles, oxidasa negativo y débilmente catalasa positivo, características semejantes a los miembros del género </w:t>
      </w:r>
      <w:r>
        <w:rPr>
          <w:i/>
        </w:rPr>
        <w:t>Pasteurella</w:t>
      </w:r>
      <w:r>
        <w:rPr/>
        <w:t>. Así mismo, se determinó que era </w:t>
      </w:r>
      <w:r>
        <w:rPr>
          <w:spacing w:val="2"/>
        </w:rPr>
        <w:t>un </w:t>
      </w:r>
      <w:r>
        <w:rPr/>
        <w:t>microorganismo de difícil aislamiento en medios comunes y normalmente requería de Cisteína para su crecimiento (Gleen y Post, 2005; Hirsh </w:t>
      </w:r>
      <w:r>
        <w:rPr>
          <w:i/>
        </w:rPr>
        <w:t>et al</w:t>
      </w:r>
      <w:r>
        <w:rPr/>
        <w:t>., 2004; Quinn </w:t>
      </w:r>
      <w:r>
        <w:rPr>
          <w:i/>
        </w:rPr>
        <w:t>et al</w:t>
      </w:r>
      <w:r>
        <w:rPr/>
        <w:t>.,</w:t>
      </w:r>
      <w:r>
        <w:rPr>
          <w:spacing w:val="-13"/>
        </w:rPr>
        <w:t> </w:t>
      </w:r>
      <w:r>
        <w:rPr/>
        <w:t>2008).</w:t>
      </w:r>
    </w:p>
    <w:p>
      <w:pPr>
        <w:pStyle w:val="BodyText"/>
        <w:spacing w:line="273" w:lineRule="auto" w:before="207"/>
        <w:ind w:left="139" w:right="133"/>
        <w:jc w:val="both"/>
      </w:pPr>
      <w:r>
        <w:rPr/>
        <w:t>Recientemente</w:t>
      </w:r>
      <w:r>
        <w:rPr>
          <w:spacing w:val="-12"/>
        </w:rPr>
        <w:t> </w:t>
      </w:r>
      <w:r>
        <w:rPr/>
        <w:t>se</w:t>
      </w:r>
      <w:r>
        <w:rPr>
          <w:spacing w:val="-13"/>
        </w:rPr>
        <w:t> </w:t>
      </w:r>
      <w:r>
        <w:rPr/>
        <w:t>ha</w:t>
      </w:r>
      <w:r>
        <w:rPr>
          <w:spacing w:val="-13"/>
        </w:rPr>
        <w:t> </w:t>
      </w:r>
      <w:r>
        <w:rPr/>
        <w:t>descrito</w:t>
      </w:r>
      <w:r>
        <w:rPr>
          <w:spacing w:val="-12"/>
        </w:rPr>
        <w:t> </w:t>
      </w:r>
      <w:r>
        <w:rPr/>
        <w:t>a</w:t>
      </w:r>
      <w:r>
        <w:rPr>
          <w:spacing w:val="-7"/>
        </w:rPr>
        <w:t> </w:t>
      </w:r>
      <w:r>
        <w:rPr>
          <w:i/>
        </w:rPr>
        <w:t>Francisella</w:t>
      </w:r>
      <w:r>
        <w:rPr>
          <w:i/>
          <w:spacing w:val="-11"/>
        </w:rPr>
        <w:t> </w:t>
      </w:r>
      <w:r>
        <w:rPr>
          <w:i/>
        </w:rPr>
        <w:t>asiatica</w:t>
      </w:r>
      <w:r>
        <w:rPr>
          <w:i/>
          <w:spacing w:val="-11"/>
        </w:rPr>
        <w:t> </w:t>
      </w:r>
      <w:r>
        <w:rPr/>
        <w:t>y</w:t>
      </w:r>
      <w:r>
        <w:rPr>
          <w:spacing w:val="-14"/>
        </w:rPr>
        <w:t> </w:t>
      </w:r>
      <w:r>
        <w:rPr>
          <w:i/>
        </w:rPr>
        <w:t>Francisella</w:t>
      </w:r>
      <w:r>
        <w:rPr>
          <w:i/>
          <w:spacing w:val="-6"/>
        </w:rPr>
        <w:t> </w:t>
      </w:r>
      <w:r>
        <w:rPr>
          <w:i/>
        </w:rPr>
        <w:t>noatunensis</w:t>
      </w:r>
      <w:r>
        <w:rPr>
          <w:i/>
          <w:spacing w:val="-11"/>
        </w:rPr>
        <w:t> </w:t>
      </w:r>
      <w:r>
        <w:rPr/>
        <w:t>como miembros del género y como los agentes causales de la enfermedad de francisellosis en una amplia variedad de especies de peces cultivados y silvestres en distintas partes del mundo (Chen </w:t>
      </w:r>
      <w:r>
        <w:rPr>
          <w:i/>
        </w:rPr>
        <w:t>et al</w:t>
      </w:r>
      <w:r>
        <w:rPr/>
        <w:t>., 1994; Chern y Chao, 1994; Hirsh </w:t>
      </w:r>
      <w:r>
        <w:rPr>
          <w:i/>
        </w:rPr>
        <w:t>et al</w:t>
      </w:r>
      <w:r>
        <w:rPr/>
        <w:t>., 2004; Ottem </w:t>
      </w:r>
      <w:r>
        <w:rPr>
          <w:i/>
        </w:rPr>
        <w:t>et al</w:t>
      </w:r>
      <w:r>
        <w:rPr/>
        <w:t>., 2007, 2009; Mikalsen </w:t>
      </w:r>
      <w:r>
        <w:rPr>
          <w:i/>
        </w:rPr>
        <w:t>et al</w:t>
      </w:r>
      <w:r>
        <w:rPr/>
        <w:t>., 2009; Soto </w:t>
      </w:r>
      <w:r>
        <w:rPr>
          <w:i/>
        </w:rPr>
        <w:t>et al</w:t>
      </w:r>
      <w:r>
        <w:rPr/>
        <w:t>.,</w:t>
      </w:r>
      <w:r>
        <w:rPr>
          <w:spacing w:val="-28"/>
        </w:rPr>
        <w:t> </w:t>
      </w:r>
      <w:r>
        <w:rPr/>
        <w:t>2010).</w:t>
      </w:r>
    </w:p>
    <w:p>
      <w:pPr>
        <w:spacing w:after="0" w:line="273" w:lineRule="auto"/>
        <w:jc w:val="both"/>
        <w:sectPr>
          <w:pgSz w:w="12240" w:h="15840"/>
          <w:pgMar w:header="752" w:footer="998" w:top="1000" w:bottom="1180" w:left="1560" w:right="1560"/>
        </w:sectPr>
      </w:pPr>
    </w:p>
    <w:p>
      <w:pPr>
        <w:pStyle w:val="BodyText"/>
        <w:spacing w:before="7"/>
        <w:rPr>
          <w:sz w:val="28"/>
        </w:rPr>
      </w:pPr>
    </w:p>
    <w:p>
      <w:pPr>
        <w:pStyle w:val="ListParagraph"/>
        <w:numPr>
          <w:ilvl w:val="1"/>
          <w:numId w:val="3"/>
        </w:numPr>
        <w:tabs>
          <w:tab w:pos="677" w:val="left" w:leader="none"/>
        </w:tabs>
        <w:spacing w:line="276" w:lineRule="auto" w:before="70" w:after="0"/>
        <w:ind w:left="139" w:right="133" w:firstLine="0"/>
        <w:jc w:val="left"/>
        <w:rPr>
          <w:rFonts w:ascii="Arial" w:hAnsi="Arial"/>
          <w:sz w:val="24"/>
        </w:rPr>
      </w:pPr>
      <w:bookmarkStart w:name="_bookmark17" w:id="29"/>
      <w:bookmarkEnd w:id="29"/>
      <w:r>
        <w:rPr/>
      </w:r>
      <w:bookmarkStart w:name="_bookmark17" w:id="30"/>
      <w:bookmarkEnd w:id="30"/>
      <w:r>
        <w:rPr>
          <w:rFonts w:ascii="Arial" w:hAnsi="Arial"/>
          <w:b/>
          <w:color w:val="365F91"/>
          <w:sz w:val="24"/>
        </w:rPr>
        <w:t>Bac</w:t>
      </w:r>
      <w:r>
        <w:rPr>
          <w:rFonts w:ascii="Arial" w:hAnsi="Arial"/>
          <w:b/>
          <w:color w:val="365F91"/>
          <w:sz w:val="24"/>
        </w:rPr>
        <w:t>terias del género </w:t>
      </w:r>
      <w:r>
        <w:rPr>
          <w:rFonts w:ascii="Arial" w:hAnsi="Arial"/>
          <w:b/>
          <w:i/>
          <w:color w:val="365F91"/>
          <w:sz w:val="24"/>
        </w:rPr>
        <w:t>Francisella </w:t>
      </w:r>
      <w:r>
        <w:rPr>
          <w:rFonts w:ascii="Arial" w:hAnsi="Arial"/>
          <w:b/>
          <w:color w:val="365F91"/>
          <w:sz w:val="24"/>
        </w:rPr>
        <w:t>que afectan a animales terrestres </w:t>
      </w:r>
      <w:r>
        <w:rPr>
          <w:rFonts w:ascii="Arial" w:hAnsi="Arial"/>
          <w:sz w:val="24"/>
        </w:rPr>
        <w:t>Históricamente el género contenía solo dos especies reconocidas; </w:t>
      </w:r>
      <w:r>
        <w:rPr>
          <w:rFonts w:ascii="Arial" w:hAnsi="Arial"/>
          <w:i/>
          <w:sz w:val="24"/>
        </w:rPr>
        <w:t>Francisella </w:t>
      </w:r>
      <w:r>
        <w:rPr>
          <w:rFonts w:ascii="Arial" w:hAnsi="Arial"/>
          <w:i/>
          <w:sz w:val="24"/>
        </w:rPr>
        <w:t>tularensis</w:t>
      </w:r>
      <w:r>
        <w:rPr>
          <w:rFonts w:ascii="Arial" w:hAnsi="Arial"/>
          <w:i/>
          <w:spacing w:val="-13"/>
          <w:sz w:val="24"/>
        </w:rPr>
        <w:t> </w:t>
      </w:r>
      <w:r>
        <w:rPr>
          <w:rFonts w:ascii="Arial" w:hAnsi="Arial"/>
          <w:i/>
          <w:sz w:val="24"/>
        </w:rPr>
        <w:t>y</w:t>
      </w:r>
      <w:r>
        <w:rPr>
          <w:rFonts w:ascii="Arial" w:hAnsi="Arial"/>
          <w:i/>
          <w:spacing w:val="-13"/>
          <w:sz w:val="24"/>
        </w:rPr>
        <w:t> </w:t>
      </w:r>
      <w:r>
        <w:rPr>
          <w:rFonts w:ascii="Arial" w:hAnsi="Arial"/>
          <w:i/>
          <w:sz w:val="24"/>
        </w:rPr>
        <w:t>F.</w:t>
      </w:r>
      <w:r>
        <w:rPr>
          <w:rFonts w:ascii="Arial" w:hAnsi="Arial"/>
          <w:i/>
          <w:spacing w:val="-13"/>
          <w:sz w:val="24"/>
        </w:rPr>
        <w:t> </w:t>
      </w:r>
      <w:r>
        <w:rPr>
          <w:rFonts w:ascii="Arial" w:hAnsi="Arial"/>
          <w:i/>
          <w:sz w:val="24"/>
        </w:rPr>
        <w:t>philomiragia</w:t>
      </w:r>
      <w:r>
        <w:rPr>
          <w:rFonts w:ascii="Arial" w:hAnsi="Arial"/>
          <w:i/>
          <w:spacing w:val="-8"/>
          <w:sz w:val="24"/>
        </w:rPr>
        <w:t> </w:t>
      </w:r>
      <w:r>
        <w:rPr>
          <w:rFonts w:ascii="Arial" w:hAnsi="Arial"/>
          <w:sz w:val="24"/>
        </w:rPr>
        <w:t>(Tabla</w:t>
      </w:r>
      <w:r>
        <w:rPr>
          <w:rFonts w:ascii="Arial" w:hAnsi="Arial"/>
          <w:spacing w:val="-13"/>
          <w:sz w:val="24"/>
        </w:rPr>
        <w:t> </w:t>
      </w:r>
      <w:r>
        <w:rPr>
          <w:rFonts w:ascii="Arial" w:hAnsi="Arial"/>
          <w:sz w:val="24"/>
        </w:rPr>
        <w:t>1)</w:t>
      </w:r>
      <w:r>
        <w:rPr>
          <w:rFonts w:ascii="Arial" w:hAnsi="Arial"/>
          <w:i/>
          <w:sz w:val="24"/>
        </w:rPr>
        <w:t>;</w:t>
      </w:r>
      <w:r>
        <w:rPr>
          <w:rFonts w:ascii="Arial" w:hAnsi="Arial"/>
          <w:i/>
          <w:spacing w:val="-17"/>
          <w:sz w:val="24"/>
        </w:rPr>
        <w:t> </w:t>
      </w:r>
      <w:r>
        <w:rPr>
          <w:rFonts w:ascii="Arial" w:hAnsi="Arial"/>
          <w:sz w:val="24"/>
        </w:rPr>
        <w:t>además</w:t>
      </w:r>
      <w:r>
        <w:rPr>
          <w:rFonts w:ascii="Arial" w:hAnsi="Arial"/>
          <w:spacing w:val="-13"/>
          <w:sz w:val="24"/>
        </w:rPr>
        <w:t> </w:t>
      </w:r>
      <w:r>
        <w:rPr>
          <w:rFonts w:ascii="Arial" w:hAnsi="Arial"/>
          <w:sz w:val="24"/>
        </w:rPr>
        <w:t>de</w:t>
      </w:r>
      <w:r>
        <w:rPr>
          <w:rFonts w:ascii="Arial" w:hAnsi="Arial"/>
          <w:spacing w:val="-11"/>
          <w:sz w:val="24"/>
        </w:rPr>
        <w:t> </w:t>
      </w:r>
      <w:r>
        <w:rPr>
          <w:rFonts w:ascii="Arial" w:hAnsi="Arial"/>
          <w:sz w:val="24"/>
        </w:rPr>
        <w:t>varias</w:t>
      </w:r>
      <w:r>
        <w:rPr>
          <w:rFonts w:ascii="Arial" w:hAnsi="Arial"/>
          <w:spacing w:val="-13"/>
          <w:sz w:val="24"/>
        </w:rPr>
        <w:t> </w:t>
      </w:r>
      <w:r>
        <w:rPr>
          <w:rFonts w:ascii="Arial" w:hAnsi="Arial"/>
          <w:sz w:val="24"/>
        </w:rPr>
        <w:t>especies</w:t>
      </w:r>
      <w:r>
        <w:rPr>
          <w:rFonts w:ascii="Arial" w:hAnsi="Arial"/>
          <w:spacing w:val="-13"/>
          <w:sz w:val="24"/>
        </w:rPr>
        <w:t> </w:t>
      </w:r>
      <w:r>
        <w:rPr>
          <w:rFonts w:ascii="Arial" w:hAnsi="Arial"/>
          <w:sz w:val="24"/>
        </w:rPr>
        <w:t>de</w:t>
      </w:r>
      <w:r>
        <w:rPr>
          <w:rFonts w:ascii="Arial" w:hAnsi="Arial"/>
          <w:spacing w:val="-13"/>
          <w:sz w:val="24"/>
        </w:rPr>
        <w:t> </w:t>
      </w:r>
      <w:r>
        <w:rPr>
          <w:rFonts w:ascii="Arial" w:hAnsi="Arial"/>
          <w:i/>
          <w:sz w:val="24"/>
        </w:rPr>
        <w:t>Francisella</w:t>
      </w:r>
      <w:r>
        <w:rPr>
          <w:rFonts w:ascii="Arial" w:hAnsi="Arial"/>
          <w:i/>
          <w:spacing w:val="-11"/>
          <w:sz w:val="24"/>
        </w:rPr>
        <w:t> </w:t>
      </w:r>
      <w:r>
        <w:rPr>
          <w:rFonts w:ascii="Arial" w:hAnsi="Arial"/>
          <w:sz w:val="24"/>
        </w:rPr>
        <w:t>que se habían detectado en muestras ambientales, como habitantes simbióticos de diferentes</w:t>
      </w:r>
      <w:r>
        <w:rPr>
          <w:rFonts w:ascii="Arial" w:hAnsi="Arial"/>
          <w:spacing w:val="-17"/>
          <w:sz w:val="24"/>
        </w:rPr>
        <w:t> </w:t>
      </w:r>
      <w:r>
        <w:rPr>
          <w:rFonts w:ascii="Arial" w:hAnsi="Arial"/>
          <w:sz w:val="24"/>
        </w:rPr>
        <w:t>especies</w:t>
      </w:r>
      <w:r>
        <w:rPr>
          <w:rFonts w:ascii="Arial" w:hAnsi="Arial"/>
          <w:spacing w:val="-17"/>
          <w:sz w:val="24"/>
        </w:rPr>
        <w:t> </w:t>
      </w:r>
      <w:r>
        <w:rPr>
          <w:rFonts w:ascii="Arial" w:hAnsi="Arial"/>
          <w:sz w:val="24"/>
        </w:rPr>
        <w:t>de</w:t>
      </w:r>
      <w:r>
        <w:rPr>
          <w:rFonts w:ascii="Arial" w:hAnsi="Arial"/>
          <w:spacing w:val="-17"/>
          <w:sz w:val="24"/>
        </w:rPr>
        <w:t> </w:t>
      </w:r>
      <w:r>
        <w:rPr>
          <w:rFonts w:ascii="Arial" w:hAnsi="Arial"/>
          <w:sz w:val="24"/>
        </w:rPr>
        <w:t>roedores</w:t>
      </w:r>
      <w:r>
        <w:rPr>
          <w:rFonts w:ascii="Arial" w:hAnsi="Arial"/>
          <w:spacing w:val="-17"/>
          <w:sz w:val="24"/>
        </w:rPr>
        <w:t> </w:t>
      </w:r>
      <w:r>
        <w:rPr>
          <w:rFonts w:ascii="Arial" w:hAnsi="Arial"/>
          <w:sz w:val="24"/>
        </w:rPr>
        <w:t>y</w:t>
      </w:r>
      <w:r>
        <w:rPr>
          <w:rFonts w:ascii="Arial" w:hAnsi="Arial"/>
          <w:spacing w:val="-17"/>
          <w:sz w:val="24"/>
        </w:rPr>
        <w:t> </w:t>
      </w:r>
      <w:r>
        <w:rPr>
          <w:rFonts w:ascii="Arial" w:hAnsi="Arial"/>
          <w:sz w:val="24"/>
        </w:rPr>
        <w:t>otros</w:t>
      </w:r>
      <w:r>
        <w:rPr>
          <w:rFonts w:ascii="Arial" w:hAnsi="Arial"/>
          <w:spacing w:val="-17"/>
          <w:sz w:val="24"/>
        </w:rPr>
        <w:t> </w:t>
      </w:r>
      <w:r>
        <w:rPr>
          <w:rFonts w:ascii="Arial" w:hAnsi="Arial"/>
          <w:sz w:val="24"/>
        </w:rPr>
        <w:t>organismos</w:t>
      </w:r>
      <w:r>
        <w:rPr>
          <w:rFonts w:ascii="Arial" w:hAnsi="Arial"/>
          <w:spacing w:val="-9"/>
          <w:sz w:val="24"/>
        </w:rPr>
        <w:t> </w:t>
      </w:r>
      <w:r>
        <w:rPr>
          <w:rFonts w:ascii="Arial" w:hAnsi="Arial"/>
          <w:sz w:val="24"/>
        </w:rPr>
        <w:t>tales</w:t>
      </w:r>
      <w:r>
        <w:rPr>
          <w:rFonts w:ascii="Arial" w:hAnsi="Arial"/>
          <w:spacing w:val="-17"/>
          <w:sz w:val="24"/>
        </w:rPr>
        <w:t> </w:t>
      </w:r>
      <w:r>
        <w:rPr>
          <w:rFonts w:ascii="Arial" w:hAnsi="Arial"/>
          <w:sz w:val="24"/>
        </w:rPr>
        <w:t>como</w:t>
      </w:r>
      <w:r>
        <w:rPr>
          <w:rFonts w:ascii="Arial" w:hAnsi="Arial"/>
          <w:spacing w:val="-17"/>
          <w:sz w:val="24"/>
        </w:rPr>
        <w:t> </w:t>
      </w:r>
      <w:r>
        <w:rPr>
          <w:rFonts w:ascii="Arial" w:hAnsi="Arial"/>
          <w:sz w:val="24"/>
        </w:rPr>
        <w:t>garrapatas</w:t>
      </w:r>
      <w:r>
        <w:rPr>
          <w:rFonts w:ascii="Arial" w:hAnsi="Arial"/>
          <w:spacing w:val="-17"/>
          <w:sz w:val="24"/>
        </w:rPr>
        <w:t> </w:t>
      </w:r>
      <w:r>
        <w:rPr>
          <w:rFonts w:ascii="Arial" w:hAnsi="Arial"/>
          <w:sz w:val="24"/>
        </w:rPr>
        <w:t>y</w:t>
      </w:r>
      <w:r>
        <w:rPr>
          <w:rFonts w:ascii="Arial" w:hAnsi="Arial"/>
          <w:spacing w:val="-13"/>
          <w:sz w:val="24"/>
        </w:rPr>
        <w:t> </w:t>
      </w:r>
      <w:r>
        <w:rPr>
          <w:rFonts w:ascii="Arial" w:hAnsi="Arial"/>
          <w:sz w:val="24"/>
        </w:rPr>
        <w:t>amibas que se encontraban en ellos y que son el medio de transmisión de</w:t>
      </w:r>
      <w:r>
        <w:rPr>
          <w:rFonts w:ascii="Arial" w:hAnsi="Arial"/>
          <w:spacing w:val="-47"/>
          <w:sz w:val="24"/>
        </w:rPr>
        <w:t> </w:t>
      </w:r>
      <w:r>
        <w:rPr>
          <w:rFonts w:ascii="Arial" w:hAnsi="Arial"/>
          <w:sz w:val="24"/>
        </w:rPr>
        <w:t>la enfermedad a las diferentes especies afectadas por estas bacterias (Colquhoun y Duodu, 2011; Sjödin </w:t>
      </w:r>
      <w:r>
        <w:rPr>
          <w:rFonts w:ascii="Arial" w:hAnsi="Arial"/>
          <w:i/>
          <w:sz w:val="24"/>
        </w:rPr>
        <w:t>et al</w:t>
      </w:r>
      <w:r>
        <w:rPr>
          <w:rFonts w:ascii="Arial" w:hAnsi="Arial"/>
          <w:sz w:val="24"/>
        </w:rPr>
        <w:t>., 2012; Hirsh </w:t>
      </w:r>
      <w:r>
        <w:rPr>
          <w:rFonts w:ascii="Arial" w:hAnsi="Arial"/>
          <w:i/>
          <w:sz w:val="24"/>
        </w:rPr>
        <w:t>et al</w:t>
      </w:r>
      <w:r>
        <w:rPr>
          <w:rFonts w:ascii="Arial" w:hAnsi="Arial"/>
          <w:sz w:val="24"/>
        </w:rPr>
        <w:t>.,</w:t>
      </w:r>
      <w:r>
        <w:rPr>
          <w:rFonts w:ascii="Arial" w:hAnsi="Arial"/>
          <w:spacing w:val="-14"/>
          <w:sz w:val="24"/>
        </w:rPr>
        <w:t> </w:t>
      </w:r>
      <w:r>
        <w:rPr>
          <w:rFonts w:ascii="Arial" w:hAnsi="Arial"/>
          <w:sz w:val="24"/>
        </w:rPr>
        <w:t>2004).</w:t>
      </w:r>
    </w:p>
    <w:p>
      <w:pPr>
        <w:pStyle w:val="BodyText"/>
        <w:spacing w:line="276" w:lineRule="auto" w:before="207"/>
        <w:ind w:left="139" w:right="135"/>
        <w:jc w:val="both"/>
      </w:pPr>
      <w:r>
        <w:rPr/>
        <w:t>La</w:t>
      </w:r>
      <w:r>
        <w:rPr>
          <w:spacing w:val="-13"/>
        </w:rPr>
        <w:t> </w:t>
      </w:r>
      <w:r>
        <w:rPr>
          <w:i/>
        </w:rPr>
        <w:t>Francisella</w:t>
      </w:r>
      <w:r>
        <w:rPr>
          <w:i/>
          <w:spacing w:val="-12"/>
        </w:rPr>
        <w:t> </w:t>
      </w:r>
      <w:r>
        <w:rPr>
          <w:i/>
        </w:rPr>
        <w:t>tularensis</w:t>
      </w:r>
      <w:r>
        <w:rPr/>
        <w:t>,</w:t>
      </w:r>
      <w:r>
        <w:rPr>
          <w:spacing w:val="-14"/>
        </w:rPr>
        <w:t> </w:t>
      </w:r>
      <w:r>
        <w:rPr/>
        <w:t>es</w:t>
      </w:r>
      <w:r>
        <w:rPr>
          <w:spacing w:val="-15"/>
        </w:rPr>
        <w:t> </w:t>
      </w:r>
      <w:r>
        <w:rPr/>
        <w:t>el</w:t>
      </w:r>
      <w:r>
        <w:rPr>
          <w:spacing w:val="-15"/>
        </w:rPr>
        <w:t> </w:t>
      </w:r>
      <w:r>
        <w:rPr/>
        <w:t>agente</w:t>
      </w:r>
      <w:r>
        <w:rPr>
          <w:spacing w:val="-13"/>
        </w:rPr>
        <w:t> </w:t>
      </w:r>
      <w:r>
        <w:rPr/>
        <w:t>causal</w:t>
      </w:r>
      <w:r>
        <w:rPr>
          <w:spacing w:val="-15"/>
        </w:rPr>
        <w:t> </w:t>
      </w:r>
      <w:r>
        <w:rPr/>
        <w:t>de</w:t>
      </w:r>
      <w:r>
        <w:rPr>
          <w:spacing w:val="-18"/>
        </w:rPr>
        <w:t> </w:t>
      </w:r>
      <w:r>
        <w:rPr/>
        <w:t>la</w:t>
      </w:r>
      <w:r>
        <w:rPr>
          <w:spacing w:val="-14"/>
        </w:rPr>
        <w:t> </w:t>
      </w:r>
      <w:r>
        <w:rPr/>
        <w:t>tularemia,</w:t>
      </w:r>
      <w:r>
        <w:rPr>
          <w:spacing w:val="-18"/>
        </w:rPr>
        <w:t> </w:t>
      </w:r>
      <w:r>
        <w:rPr/>
        <w:t>enfermedad</w:t>
      </w:r>
      <w:r>
        <w:rPr>
          <w:spacing w:val="-14"/>
        </w:rPr>
        <w:t> </w:t>
      </w:r>
      <w:r>
        <w:rPr/>
        <w:t>altamente infecciosa</w:t>
      </w:r>
      <w:r>
        <w:rPr>
          <w:spacing w:val="-6"/>
        </w:rPr>
        <w:t> </w:t>
      </w:r>
      <w:r>
        <w:rPr/>
        <w:t>que</w:t>
      </w:r>
      <w:r>
        <w:rPr>
          <w:spacing w:val="-6"/>
        </w:rPr>
        <w:t> </w:t>
      </w:r>
      <w:r>
        <w:rPr/>
        <w:t>puede</w:t>
      </w:r>
      <w:r>
        <w:rPr>
          <w:spacing w:val="-6"/>
        </w:rPr>
        <w:t> </w:t>
      </w:r>
      <w:r>
        <w:rPr/>
        <w:t>llegar</w:t>
      </w:r>
      <w:r>
        <w:rPr>
          <w:spacing w:val="-5"/>
        </w:rPr>
        <w:t> </w:t>
      </w:r>
      <w:r>
        <w:rPr/>
        <w:t>a</w:t>
      </w:r>
      <w:r>
        <w:rPr>
          <w:spacing w:val="-6"/>
        </w:rPr>
        <w:t> </w:t>
      </w:r>
      <w:r>
        <w:rPr/>
        <w:t>afectar</w:t>
      </w:r>
      <w:r>
        <w:rPr>
          <w:spacing w:val="-5"/>
        </w:rPr>
        <w:t> </w:t>
      </w:r>
      <w:r>
        <w:rPr/>
        <w:t>a</w:t>
      </w:r>
      <w:r>
        <w:rPr>
          <w:spacing w:val="-6"/>
        </w:rPr>
        <w:t> </w:t>
      </w:r>
      <w:r>
        <w:rPr/>
        <w:t>mamíferos</w:t>
      </w:r>
      <w:r>
        <w:rPr>
          <w:spacing w:val="2"/>
        </w:rPr>
        <w:t> </w:t>
      </w:r>
      <w:r>
        <w:rPr/>
        <w:t>silvestres</w:t>
      </w:r>
      <w:r>
        <w:rPr>
          <w:spacing w:val="-7"/>
        </w:rPr>
        <w:t> </w:t>
      </w:r>
      <w:r>
        <w:rPr/>
        <w:t>y</w:t>
      </w:r>
      <w:r>
        <w:rPr>
          <w:spacing w:val="-7"/>
        </w:rPr>
        <w:t> </w:t>
      </w:r>
      <w:r>
        <w:rPr/>
        <w:t>domésticos</w:t>
      </w:r>
      <w:r>
        <w:rPr>
          <w:spacing w:val="-4"/>
        </w:rPr>
        <w:t> </w:t>
      </w:r>
      <w:r>
        <w:rPr/>
        <w:t>e</w:t>
      </w:r>
      <w:r>
        <w:rPr>
          <w:spacing w:val="-6"/>
        </w:rPr>
        <w:t> </w:t>
      </w:r>
      <w:r>
        <w:rPr/>
        <w:t>incluso al</w:t>
      </w:r>
      <w:r>
        <w:rPr>
          <w:spacing w:val="-13"/>
        </w:rPr>
        <w:t> </w:t>
      </w:r>
      <w:r>
        <w:rPr/>
        <w:t>ser</w:t>
      </w:r>
      <w:r>
        <w:rPr>
          <w:spacing w:val="-16"/>
        </w:rPr>
        <w:t> </w:t>
      </w:r>
      <w:r>
        <w:rPr/>
        <w:t>humano.</w:t>
      </w:r>
      <w:r>
        <w:rPr>
          <w:spacing w:val="-18"/>
        </w:rPr>
        <w:t> </w:t>
      </w:r>
      <w:r>
        <w:rPr/>
        <w:t>Aunque</w:t>
      </w:r>
      <w:r>
        <w:rPr>
          <w:spacing w:val="-18"/>
        </w:rPr>
        <w:t> </w:t>
      </w:r>
      <w:r>
        <w:rPr/>
        <w:t>hasta</w:t>
      </w:r>
      <w:r>
        <w:rPr>
          <w:spacing w:val="-22"/>
        </w:rPr>
        <w:t> </w:t>
      </w:r>
      <w:r>
        <w:rPr/>
        <w:t>hace</w:t>
      </w:r>
      <w:r>
        <w:rPr>
          <w:spacing w:val="-22"/>
        </w:rPr>
        <w:t> </w:t>
      </w:r>
      <w:r>
        <w:rPr/>
        <w:t>poco</w:t>
      </w:r>
      <w:r>
        <w:rPr>
          <w:spacing w:val="-16"/>
        </w:rPr>
        <w:t> </w:t>
      </w:r>
      <w:r>
        <w:rPr/>
        <w:t>tiempo</w:t>
      </w:r>
      <w:r>
        <w:rPr>
          <w:spacing w:val="-17"/>
        </w:rPr>
        <w:t> </w:t>
      </w:r>
      <w:r>
        <w:rPr/>
        <w:t>los</w:t>
      </w:r>
      <w:r>
        <w:rPr>
          <w:spacing w:val="-18"/>
        </w:rPr>
        <w:t> </w:t>
      </w:r>
      <w:r>
        <w:rPr/>
        <w:t>miembros</w:t>
      </w:r>
      <w:r>
        <w:rPr>
          <w:spacing w:val="-18"/>
        </w:rPr>
        <w:t> </w:t>
      </w:r>
      <w:r>
        <w:rPr/>
        <w:t>del</w:t>
      </w:r>
      <w:r>
        <w:rPr>
          <w:spacing w:val="-14"/>
        </w:rPr>
        <w:t> </w:t>
      </w:r>
      <w:r>
        <w:rPr/>
        <w:t>género</w:t>
      </w:r>
      <w:r>
        <w:rPr>
          <w:spacing w:val="-21"/>
        </w:rPr>
        <w:t> </w:t>
      </w:r>
      <w:r>
        <w:rPr>
          <w:i/>
        </w:rPr>
        <w:t>Francisella </w:t>
      </w:r>
      <w:r>
        <w:rPr/>
        <w:t>publicados</w:t>
      </w:r>
      <w:r>
        <w:rPr>
          <w:spacing w:val="-9"/>
        </w:rPr>
        <w:t> </w:t>
      </w:r>
      <w:r>
        <w:rPr/>
        <w:t>y</w:t>
      </w:r>
      <w:r>
        <w:rPr>
          <w:spacing w:val="-14"/>
        </w:rPr>
        <w:t> </w:t>
      </w:r>
      <w:r>
        <w:rPr/>
        <w:t>que</w:t>
      </w:r>
      <w:r>
        <w:rPr>
          <w:spacing w:val="-8"/>
        </w:rPr>
        <w:t> </w:t>
      </w:r>
      <w:r>
        <w:rPr/>
        <w:t>causaban</w:t>
      </w:r>
      <w:r>
        <w:rPr>
          <w:spacing w:val="-5"/>
        </w:rPr>
        <w:t> </w:t>
      </w:r>
      <w:r>
        <w:rPr/>
        <w:t>enfermedad</w:t>
      </w:r>
      <w:r>
        <w:rPr>
          <w:spacing w:val="-8"/>
        </w:rPr>
        <w:t> </w:t>
      </w:r>
      <w:r>
        <w:rPr/>
        <w:t>en</w:t>
      </w:r>
      <w:r>
        <w:rPr>
          <w:spacing w:val="-13"/>
        </w:rPr>
        <w:t> </w:t>
      </w:r>
      <w:r>
        <w:rPr/>
        <w:t>los</w:t>
      </w:r>
      <w:r>
        <w:rPr>
          <w:spacing w:val="-5"/>
        </w:rPr>
        <w:t> </w:t>
      </w:r>
      <w:r>
        <w:rPr/>
        <w:t>mamíferos</w:t>
      </w:r>
      <w:r>
        <w:rPr>
          <w:spacing w:val="-7"/>
        </w:rPr>
        <w:t> </w:t>
      </w:r>
      <w:r>
        <w:rPr/>
        <w:t>pertenecían</w:t>
      </w:r>
      <w:r>
        <w:rPr>
          <w:spacing w:val="-13"/>
        </w:rPr>
        <w:t> </w:t>
      </w:r>
      <w:r>
        <w:rPr/>
        <w:t>al</w:t>
      </w:r>
      <w:r>
        <w:rPr>
          <w:spacing w:val="-5"/>
        </w:rPr>
        <w:t> </w:t>
      </w:r>
      <w:r>
        <w:rPr/>
        <w:t>género</w:t>
      </w:r>
      <w:r>
        <w:rPr>
          <w:spacing w:val="-13"/>
        </w:rPr>
        <w:t> </w:t>
      </w:r>
      <w:r>
        <w:rPr/>
        <w:t>de</w:t>
      </w:r>
    </w:p>
    <w:p>
      <w:pPr>
        <w:spacing w:line="276" w:lineRule="auto" w:before="0"/>
        <w:ind w:left="139" w:right="132" w:firstLine="0"/>
        <w:jc w:val="both"/>
        <w:rPr>
          <w:sz w:val="24"/>
        </w:rPr>
      </w:pPr>
      <w:r>
        <w:rPr>
          <w:i/>
          <w:sz w:val="24"/>
        </w:rPr>
        <w:t>F. tularensis </w:t>
      </w:r>
      <w:r>
        <w:rPr>
          <w:sz w:val="24"/>
        </w:rPr>
        <w:t>y </w:t>
      </w:r>
      <w:r>
        <w:rPr>
          <w:i/>
          <w:sz w:val="24"/>
        </w:rPr>
        <w:t>F. philomiragia </w:t>
      </w:r>
      <w:r>
        <w:rPr>
          <w:sz w:val="24"/>
        </w:rPr>
        <w:t>hoy en día se ha descrito un tercer linaje que comprende a la </w:t>
      </w:r>
      <w:r>
        <w:rPr>
          <w:i/>
          <w:sz w:val="24"/>
        </w:rPr>
        <w:t>F. hispaniensis </w:t>
      </w:r>
      <w:r>
        <w:rPr>
          <w:sz w:val="24"/>
        </w:rPr>
        <w:t>(Tabla 1) (Colquhoun y Duodu, 2011; Barns </w:t>
      </w:r>
      <w:r>
        <w:rPr>
          <w:i/>
          <w:sz w:val="24"/>
        </w:rPr>
        <w:t>et al</w:t>
      </w:r>
      <w:r>
        <w:rPr>
          <w:sz w:val="24"/>
        </w:rPr>
        <w:t>., 2005).</w:t>
      </w:r>
    </w:p>
    <w:p>
      <w:pPr>
        <w:pStyle w:val="ListParagraph"/>
        <w:numPr>
          <w:ilvl w:val="1"/>
          <w:numId w:val="3"/>
        </w:numPr>
        <w:tabs>
          <w:tab w:pos="677" w:val="left" w:leader="none"/>
        </w:tabs>
        <w:spacing w:line="240" w:lineRule="auto" w:before="197" w:after="0"/>
        <w:ind w:left="676" w:right="0" w:hanging="537"/>
        <w:jc w:val="both"/>
        <w:rPr>
          <w:rFonts w:ascii="Arial" w:hAnsi="Arial"/>
          <w:b/>
          <w:sz w:val="24"/>
        </w:rPr>
      </w:pPr>
      <w:bookmarkStart w:name="_bookmark18" w:id="31"/>
      <w:bookmarkEnd w:id="31"/>
      <w:r>
        <w:rPr/>
      </w:r>
      <w:bookmarkStart w:name="_bookmark18" w:id="32"/>
      <w:bookmarkEnd w:id="32"/>
      <w:r>
        <w:rPr>
          <w:rFonts w:ascii="Arial" w:hAnsi="Arial"/>
          <w:b/>
          <w:color w:val="365F91"/>
          <w:sz w:val="24"/>
        </w:rPr>
        <w:t>Bac</w:t>
      </w:r>
      <w:r>
        <w:rPr>
          <w:rFonts w:ascii="Arial" w:hAnsi="Arial"/>
          <w:b/>
          <w:color w:val="365F91"/>
          <w:sz w:val="24"/>
        </w:rPr>
        <w:t>terias del género </w:t>
      </w:r>
      <w:r>
        <w:rPr>
          <w:rFonts w:ascii="Arial" w:hAnsi="Arial"/>
          <w:b/>
          <w:i/>
          <w:color w:val="365F91"/>
          <w:sz w:val="24"/>
        </w:rPr>
        <w:t>Francisella </w:t>
      </w:r>
      <w:r>
        <w:rPr>
          <w:rFonts w:ascii="Arial" w:hAnsi="Arial"/>
          <w:b/>
          <w:color w:val="365F91"/>
          <w:sz w:val="24"/>
        </w:rPr>
        <w:t>que afectan</w:t>
      </w:r>
      <w:r>
        <w:rPr>
          <w:rFonts w:ascii="Arial" w:hAnsi="Arial"/>
          <w:b/>
          <w:color w:val="365F91"/>
          <w:spacing w:val="-17"/>
          <w:sz w:val="24"/>
        </w:rPr>
        <w:t> </w:t>
      </w:r>
      <w:r>
        <w:rPr>
          <w:rFonts w:ascii="Arial" w:hAnsi="Arial"/>
          <w:b/>
          <w:color w:val="365F91"/>
          <w:sz w:val="24"/>
        </w:rPr>
        <w:t>peces</w:t>
      </w:r>
    </w:p>
    <w:p>
      <w:pPr>
        <w:pStyle w:val="BodyText"/>
        <w:spacing w:line="276" w:lineRule="auto" w:before="45"/>
        <w:ind w:left="139" w:right="133"/>
        <w:jc w:val="both"/>
      </w:pPr>
      <w:r>
        <w:rPr/>
        <w:t>Las</w:t>
      </w:r>
      <w:r>
        <w:rPr>
          <w:spacing w:val="-17"/>
        </w:rPr>
        <w:t> </w:t>
      </w:r>
      <w:r>
        <w:rPr/>
        <w:t>enfermedades</w:t>
      </w:r>
      <w:r>
        <w:rPr>
          <w:spacing w:val="-17"/>
        </w:rPr>
        <w:t> </w:t>
      </w:r>
      <w:r>
        <w:rPr/>
        <w:t>causadas</w:t>
      </w:r>
      <w:r>
        <w:rPr>
          <w:spacing w:val="-22"/>
        </w:rPr>
        <w:t> </w:t>
      </w:r>
      <w:r>
        <w:rPr/>
        <w:t>por</w:t>
      </w:r>
      <w:r>
        <w:rPr>
          <w:spacing w:val="-20"/>
        </w:rPr>
        <w:t> </w:t>
      </w:r>
      <w:r>
        <w:rPr/>
        <w:t>bacterias</w:t>
      </w:r>
      <w:r>
        <w:rPr>
          <w:spacing w:val="-22"/>
        </w:rPr>
        <w:t> </w:t>
      </w:r>
      <w:r>
        <w:rPr/>
        <w:t>de</w:t>
      </w:r>
      <w:r>
        <w:rPr>
          <w:spacing w:val="-21"/>
        </w:rPr>
        <w:t> </w:t>
      </w:r>
      <w:r>
        <w:rPr/>
        <w:t>difícil</w:t>
      </w:r>
      <w:r>
        <w:rPr>
          <w:spacing w:val="-18"/>
        </w:rPr>
        <w:t> </w:t>
      </w:r>
      <w:r>
        <w:rPr/>
        <w:t>aislamiento</w:t>
      </w:r>
      <w:r>
        <w:rPr>
          <w:spacing w:val="-16"/>
        </w:rPr>
        <w:t> </w:t>
      </w:r>
      <w:r>
        <w:rPr/>
        <w:t>en</w:t>
      </w:r>
      <w:r>
        <w:rPr>
          <w:spacing w:val="-17"/>
        </w:rPr>
        <w:t> </w:t>
      </w:r>
      <w:r>
        <w:rPr/>
        <w:t>medios</w:t>
      </w:r>
      <w:r>
        <w:rPr>
          <w:spacing w:val="-22"/>
        </w:rPr>
        <w:t> </w:t>
      </w:r>
      <w:r>
        <w:rPr/>
        <w:t>de</w:t>
      </w:r>
      <w:r>
        <w:rPr>
          <w:spacing w:val="-21"/>
        </w:rPr>
        <w:t> </w:t>
      </w:r>
      <w:r>
        <w:rPr/>
        <w:t>cultivo convencionales y que afectan peces han existido por muchos </w:t>
      </w:r>
      <w:r>
        <w:rPr>
          <w:spacing w:val="2"/>
        </w:rPr>
        <w:t>años. </w:t>
      </w:r>
      <w:r>
        <w:rPr/>
        <w:t>Al principio las bacterias del género </w:t>
      </w:r>
      <w:r>
        <w:rPr>
          <w:i/>
        </w:rPr>
        <w:t>Francisella </w:t>
      </w:r>
      <w:r>
        <w:rPr/>
        <w:t>fueron confundidas con bacterias pertenecientes a otros géneros bacterianos. Algunos autores mencionan enfermedades provocados por miembros del género </w:t>
      </w:r>
      <w:r>
        <w:rPr>
          <w:i/>
        </w:rPr>
        <w:t>Piscirickettsia</w:t>
      </w:r>
      <w:r>
        <w:rPr/>
        <w:t>-</w:t>
      </w:r>
      <w:r>
        <w:rPr>
          <w:i/>
        </w:rPr>
        <w:t>like organisms </w:t>
      </w:r>
      <w:r>
        <w:rPr/>
        <w:t>(PLOs) descritas en</w:t>
      </w:r>
      <w:r>
        <w:rPr>
          <w:spacing w:val="-42"/>
        </w:rPr>
        <w:t> </w:t>
      </w:r>
      <w:r>
        <w:rPr/>
        <w:t>cultivos de tilapia de Taiwán, Jamaica e Indonesia, así como </w:t>
      </w:r>
      <w:r>
        <w:rPr>
          <w:spacing w:val="2"/>
        </w:rPr>
        <w:t>varias </w:t>
      </w:r>
      <w:r>
        <w:rPr/>
        <w:t>entidades de Estados Unidos, incluyendo Hawái, Florida, Carolina del sur y el sur de California, </w:t>
      </w:r>
      <w:r>
        <w:rPr>
          <w:spacing w:val="-3"/>
        </w:rPr>
        <w:t>ya </w:t>
      </w:r>
      <w:r>
        <w:rPr/>
        <w:t>que morfológicamente son similares a la bacteria </w:t>
      </w:r>
      <w:r>
        <w:rPr>
          <w:i/>
        </w:rPr>
        <w:t>Piscirickettsia salmonis </w:t>
      </w:r>
      <w:r>
        <w:rPr/>
        <w:t>y que posteriormente se demostró que fueron producidas por miembros de género </w:t>
      </w:r>
      <w:r>
        <w:rPr>
          <w:i/>
        </w:rPr>
        <w:t>Francisella </w:t>
      </w:r>
      <w:r>
        <w:rPr/>
        <w:t>(Mauel </w:t>
      </w:r>
      <w:r>
        <w:rPr>
          <w:i/>
        </w:rPr>
        <w:t>et</w:t>
      </w:r>
      <w:r>
        <w:rPr>
          <w:i/>
          <w:spacing w:val="-13"/>
        </w:rPr>
        <w:t> </w:t>
      </w:r>
      <w:r>
        <w:rPr>
          <w:i/>
        </w:rPr>
        <w:t>al</w:t>
      </w:r>
      <w:r>
        <w:rPr/>
        <w:t>.,2005).</w:t>
      </w:r>
    </w:p>
    <w:p>
      <w:pPr>
        <w:pStyle w:val="BodyText"/>
        <w:spacing w:line="276" w:lineRule="auto" w:before="202"/>
        <w:ind w:left="139" w:right="133"/>
        <w:jc w:val="both"/>
      </w:pPr>
      <w:r>
        <w:rPr/>
        <w:t>Estudios realizados por Mauel </w:t>
      </w:r>
      <w:r>
        <w:rPr>
          <w:i/>
        </w:rPr>
        <w:t>et al., </w:t>
      </w:r>
      <w:r>
        <w:rPr/>
        <w:t>(2007) concluyeron que esta enfermedad era causada</w:t>
      </w:r>
      <w:r>
        <w:rPr>
          <w:spacing w:val="-9"/>
        </w:rPr>
        <w:t> </w:t>
      </w:r>
      <w:r>
        <w:rPr/>
        <w:t>por</w:t>
      </w:r>
      <w:r>
        <w:rPr>
          <w:spacing w:val="-8"/>
        </w:rPr>
        <w:t> </w:t>
      </w:r>
      <w:r>
        <w:rPr/>
        <w:t>miembros</w:t>
      </w:r>
      <w:r>
        <w:rPr>
          <w:spacing w:val="-10"/>
        </w:rPr>
        <w:t> </w:t>
      </w:r>
      <w:r>
        <w:rPr/>
        <w:t>PLOs</w:t>
      </w:r>
      <w:r>
        <w:rPr>
          <w:spacing w:val="-5"/>
        </w:rPr>
        <w:t> </w:t>
      </w:r>
      <w:r>
        <w:rPr/>
        <w:t>y</w:t>
      </w:r>
      <w:r>
        <w:rPr>
          <w:spacing w:val="-10"/>
        </w:rPr>
        <w:t> </w:t>
      </w:r>
      <w:r>
        <w:rPr/>
        <w:t>que</w:t>
      </w:r>
      <w:r>
        <w:rPr>
          <w:spacing w:val="-8"/>
        </w:rPr>
        <w:t> </w:t>
      </w:r>
      <w:r>
        <w:rPr/>
        <w:t>no</w:t>
      </w:r>
      <w:r>
        <w:rPr>
          <w:spacing w:val="-9"/>
        </w:rPr>
        <w:t> </w:t>
      </w:r>
      <w:r>
        <w:rPr/>
        <w:t>era</w:t>
      </w:r>
      <w:r>
        <w:rPr>
          <w:spacing w:val="-9"/>
        </w:rPr>
        <w:t> </w:t>
      </w:r>
      <w:r>
        <w:rPr/>
        <w:t>provocada</w:t>
      </w:r>
      <w:r>
        <w:rPr>
          <w:spacing w:val="-9"/>
        </w:rPr>
        <w:t> </w:t>
      </w:r>
      <w:r>
        <w:rPr/>
        <w:t>por</w:t>
      </w:r>
      <w:r>
        <w:rPr>
          <w:spacing w:val="-5"/>
        </w:rPr>
        <w:t> </w:t>
      </w:r>
      <w:r>
        <w:rPr>
          <w:i/>
        </w:rPr>
        <w:t>Piscirickettsia</w:t>
      </w:r>
      <w:r>
        <w:rPr>
          <w:i/>
          <w:spacing w:val="-7"/>
        </w:rPr>
        <w:t> </w:t>
      </w:r>
      <w:r>
        <w:rPr>
          <w:i/>
        </w:rPr>
        <w:t>salmonis</w:t>
      </w:r>
      <w:r>
        <w:rPr>
          <w:i/>
          <w:spacing w:val="-8"/>
        </w:rPr>
        <w:t> </w:t>
      </w:r>
      <w:r>
        <w:rPr/>
        <w:t>al realizar</w:t>
      </w:r>
      <w:r>
        <w:rPr>
          <w:spacing w:val="-16"/>
        </w:rPr>
        <w:t> </w:t>
      </w:r>
      <w:r>
        <w:rPr/>
        <w:t>un</w:t>
      </w:r>
      <w:r>
        <w:rPr>
          <w:spacing w:val="-16"/>
        </w:rPr>
        <w:t> </w:t>
      </w:r>
      <w:r>
        <w:rPr/>
        <w:t>ensayo</w:t>
      </w:r>
      <w:r>
        <w:rPr>
          <w:spacing w:val="-16"/>
        </w:rPr>
        <w:t> </w:t>
      </w:r>
      <w:r>
        <w:rPr/>
        <w:t>de</w:t>
      </w:r>
      <w:r>
        <w:rPr>
          <w:spacing w:val="-13"/>
        </w:rPr>
        <w:t> </w:t>
      </w:r>
      <w:r>
        <w:rPr/>
        <w:t>PCR</w:t>
      </w:r>
      <w:r>
        <w:rPr>
          <w:spacing w:val="-14"/>
        </w:rPr>
        <w:t> </w:t>
      </w:r>
      <w:r>
        <w:rPr/>
        <w:t>con</w:t>
      </w:r>
      <w:r>
        <w:rPr>
          <w:spacing w:val="-16"/>
        </w:rPr>
        <w:t> </w:t>
      </w:r>
      <w:r>
        <w:rPr/>
        <w:t>primers</w:t>
      </w:r>
      <w:r>
        <w:rPr>
          <w:spacing w:val="-13"/>
        </w:rPr>
        <w:t> </w:t>
      </w:r>
      <w:r>
        <w:rPr/>
        <w:t>específicos</w:t>
      </w:r>
      <w:r>
        <w:rPr>
          <w:spacing w:val="-17"/>
        </w:rPr>
        <w:t> </w:t>
      </w:r>
      <w:r>
        <w:rPr/>
        <w:t>para</w:t>
      </w:r>
      <w:r>
        <w:rPr>
          <w:spacing w:val="-17"/>
        </w:rPr>
        <w:t> </w:t>
      </w:r>
      <w:r>
        <w:rPr/>
        <w:t>la</w:t>
      </w:r>
      <w:r>
        <w:rPr>
          <w:spacing w:val="-16"/>
        </w:rPr>
        <w:t> </w:t>
      </w:r>
      <w:r>
        <w:rPr/>
        <w:t>detección</w:t>
      </w:r>
      <w:r>
        <w:rPr>
          <w:spacing w:val="-17"/>
        </w:rPr>
        <w:t> </w:t>
      </w:r>
      <w:r>
        <w:rPr/>
        <w:t>de</w:t>
      </w:r>
      <w:r>
        <w:rPr>
          <w:spacing w:val="-5"/>
        </w:rPr>
        <w:t> </w:t>
      </w:r>
      <w:r>
        <w:rPr>
          <w:i/>
        </w:rPr>
        <w:t>P.</w:t>
      </w:r>
      <w:r>
        <w:rPr>
          <w:i/>
          <w:spacing w:val="-17"/>
        </w:rPr>
        <w:t> </w:t>
      </w:r>
      <w:r>
        <w:rPr>
          <w:i/>
        </w:rPr>
        <w:t>salmonis </w:t>
      </w:r>
      <w:r>
        <w:rPr/>
        <w:t>y técnicas de cultivo estándar en donde no </w:t>
      </w:r>
      <w:r>
        <w:rPr>
          <w:spacing w:val="-3"/>
        </w:rPr>
        <w:t>se </w:t>
      </w:r>
      <w:r>
        <w:rPr/>
        <w:t>logró el aislamiento de este agente patógeno. Se pudo determinar también que algunas infecciones que parecen ser causadas por un PLOs en realidad eran causadas por un nuevo patógeno intracelular llegando a la conclusión que el agente causal de estas nuevas enfermedades que afectaban a los peces era una bacteria del género </w:t>
      </w:r>
      <w:r>
        <w:rPr>
          <w:i/>
        </w:rPr>
        <w:t>Francisella </w:t>
      </w:r>
      <w:r>
        <w:rPr/>
        <w:t>spp.</w:t>
      </w:r>
      <w:r>
        <w:rPr>
          <w:spacing w:val="-3"/>
        </w:rPr>
        <w:t> </w:t>
      </w:r>
      <w:r>
        <w:rPr/>
        <w:t>(Ostland</w:t>
      </w:r>
      <w:r>
        <w:rPr>
          <w:spacing w:val="-5"/>
        </w:rPr>
        <w:t> </w:t>
      </w:r>
      <w:r>
        <w:rPr>
          <w:i/>
        </w:rPr>
        <w:t>et</w:t>
      </w:r>
      <w:r>
        <w:rPr>
          <w:i/>
          <w:spacing w:val="-7"/>
        </w:rPr>
        <w:t> </w:t>
      </w:r>
      <w:r>
        <w:rPr>
          <w:i/>
        </w:rPr>
        <w:t>al</w:t>
      </w:r>
      <w:r>
        <w:rPr/>
        <w:t>.,</w:t>
      </w:r>
      <w:r>
        <w:rPr>
          <w:spacing w:val="-6"/>
        </w:rPr>
        <w:t> </w:t>
      </w:r>
      <w:r>
        <w:rPr/>
        <w:t>2006;</w:t>
      </w:r>
      <w:r>
        <w:rPr>
          <w:spacing w:val="-6"/>
        </w:rPr>
        <w:t> </w:t>
      </w:r>
      <w:r>
        <w:rPr/>
        <w:t>Mauel</w:t>
      </w:r>
      <w:r>
        <w:rPr>
          <w:spacing w:val="2"/>
        </w:rPr>
        <w:t> </w:t>
      </w:r>
      <w:r>
        <w:rPr>
          <w:i/>
        </w:rPr>
        <w:t>et</w:t>
      </w:r>
      <w:r>
        <w:rPr>
          <w:i/>
          <w:spacing w:val="-3"/>
        </w:rPr>
        <w:t> </w:t>
      </w:r>
      <w:r>
        <w:rPr>
          <w:i/>
        </w:rPr>
        <w:t>al</w:t>
      </w:r>
      <w:r>
        <w:rPr/>
        <w:t>.,</w:t>
      </w:r>
      <w:r>
        <w:rPr>
          <w:spacing w:val="-6"/>
        </w:rPr>
        <w:t> </w:t>
      </w:r>
      <w:r>
        <w:rPr/>
        <w:t>2002;</w:t>
      </w:r>
      <w:r>
        <w:rPr>
          <w:spacing w:val="-6"/>
        </w:rPr>
        <w:t> </w:t>
      </w:r>
      <w:r>
        <w:rPr/>
        <w:t>Mauel</w:t>
      </w:r>
      <w:r>
        <w:rPr>
          <w:spacing w:val="-3"/>
        </w:rPr>
        <w:t> </w:t>
      </w:r>
      <w:r>
        <w:rPr>
          <w:i/>
        </w:rPr>
        <w:t>et</w:t>
      </w:r>
      <w:r>
        <w:rPr>
          <w:i/>
          <w:spacing w:val="-3"/>
        </w:rPr>
        <w:t> </w:t>
      </w:r>
      <w:r>
        <w:rPr>
          <w:i/>
        </w:rPr>
        <w:t>al</w:t>
      </w:r>
      <w:r>
        <w:rPr/>
        <w:t>.,</w:t>
      </w:r>
      <w:r>
        <w:rPr>
          <w:spacing w:val="-2"/>
        </w:rPr>
        <w:t> </w:t>
      </w:r>
      <w:r>
        <w:rPr/>
        <w:t>2003;</w:t>
      </w:r>
      <w:r>
        <w:rPr>
          <w:spacing w:val="-6"/>
        </w:rPr>
        <w:t> </w:t>
      </w:r>
      <w:r>
        <w:rPr/>
        <w:t>Mauel</w:t>
      </w:r>
      <w:r>
        <w:rPr>
          <w:spacing w:val="-3"/>
        </w:rPr>
        <w:t> </w:t>
      </w:r>
      <w:r>
        <w:rPr>
          <w:i/>
        </w:rPr>
        <w:t>et</w:t>
      </w:r>
      <w:r>
        <w:rPr>
          <w:i/>
          <w:spacing w:val="-7"/>
        </w:rPr>
        <w:t> </w:t>
      </w:r>
      <w:r>
        <w:rPr>
          <w:i/>
        </w:rPr>
        <w:t>al</w:t>
      </w:r>
      <w:r>
        <w:rPr/>
        <w:t>.,</w:t>
      </w:r>
      <w:r>
        <w:rPr>
          <w:spacing w:val="-6"/>
        </w:rPr>
        <w:t> </w:t>
      </w:r>
      <w:r>
        <w:rPr/>
        <w:t>2005; Mauel </w:t>
      </w:r>
      <w:r>
        <w:rPr>
          <w:i/>
        </w:rPr>
        <w:t>et al</w:t>
      </w:r>
      <w:r>
        <w:rPr/>
        <w:t>.,</w:t>
      </w:r>
      <w:r>
        <w:rPr>
          <w:spacing w:val="-3"/>
        </w:rPr>
        <w:t> </w:t>
      </w:r>
      <w:r>
        <w:rPr/>
        <w:t>2007).</w:t>
      </w:r>
    </w:p>
    <w:p>
      <w:pPr>
        <w:pStyle w:val="BodyText"/>
        <w:spacing w:line="276" w:lineRule="auto" w:before="207"/>
        <w:ind w:left="139" w:right="137"/>
        <w:jc w:val="both"/>
      </w:pPr>
      <w:r>
        <w:rPr/>
        <w:t>Durante</w:t>
      </w:r>
      <w:r>
        <w:rPr>
          <w:spacing w:val="-11"/>
        </w:rPr>
        <w:t> </w:t>
      </w:r>
      <w:r>
        <w:rPr/>
        <w:t>las</w:t>
      </w:r>
      <w:r>
        <w:rPr>
          <w:spacing w:val="-7"/>
        </w:rPr>
        <w:t> </w:t>
      </w:r>
      <w:r>
        <w:rPr/>
        <w:t>últimas</w:t>
      </w:r>
      <w:r>
        <w:rPr>
          <w:spacing w:val="-8"/>
        </w:rPr>
        <w:t> </w:t>
      </w:r>
      <w:r>
        <w:rPr/>
        <w:t>décadas</w:t>
      </w:r>
      <w:r>
        <w:rPr>
          <w:spacing w:val="-8"/>
        </w:rPr>
        <w:t> </w:t>
      </w:r>
      <w:r>
        <w:rPr>
          <w:spacing w:val="-3"/>
        </w:rPr>
        <w:t>se</w:t>
      </w:r>
      <w:r>
        <w:rPr>
          <w:spacing w:val="-7"/>
        </w:rPr>
        <w:t> </w:t>
      </w:r>
      <w:r>
        <w:rPr/>
        <w:t>han</w:t>
      </w:r>
      <w:r>
        <w:rPr>
          <w:spacing w:val="-12"/>
        </w:rPr>
        <w:t> </w:t>
      </w:r>
      <w:r>
        <w:rPr/>
        <w:t>presentado</w:t>
      </w:r>
      <w:r>
        <w:rPr>
          <w:spacing w:val="-7"/>
        </w:rPr>
        <w:t> </w:t>
      </w:r>
      <w:r>
        <w:rPr/>
        <w:t>epizootias</w:t>
      </w:r>
      <w:r>
        <w:rPr>
          <w:spacing w:val="-13"/>
        </w:rPr>
        <w:t> </w:t>
      </w:r>
      <w:r>
        <w:rPr/>
        <w:t>en</w:t>
      </w:r>
      <w:r>
        <w:rPr>
          <w:spacing w:val="-12"/>
        </w:rPr>
        <w:t> </w:t>
      </w:r>
      <w:r>
        <w:rPr/>
        <w:t>tilapias</w:t>
      </w:r>
      <w:r>
        <w:rPr>
          <w:spacing w:val="-6"/>
        </w:rPr>
        <w:t> </w:t>
      </w:r>
      <w:r>
        <w:rPr/>
        <w:t>(</w:t>
      </w:r>
      <w:r>
        <w:rPr>
          <w:i/>
        </w:rPr>
        <w:t>Oreochromis </w:t>
      </w:r>
      <w:r>
        <w:rPr/>
        <w:t>sp.)</w:t>
      </w:r>
      <w:r>
        <w:rPr>
          <w:spacing w:val="-4"/>
        </w:rPr>
        <w:t> </w:t>
      </w:r>
      <w:r>
        <w:rPr/>
        <w:t>causada</w:t>
      </w:r>
      <w:r>
        <w:rPr>
          <w:spacing w:val="-3"/>
        </w:rPr>
        <w:t> </w:t>
      </w:r>
      <w:r>
        <w:rPr/>
        <w:t>por</w:t>
      </w:r>
      <w:r>
        <w:rPr>
          <w:spacing w:val="-4"/>
        </w:rPr>
        <w:t> </w:t>
      </w:r>
      <w:r>
        <w:rPr/>
        <w:t>FNO</w:t>
      </w:r>
      <w:r>
        <w:rPr>
          <w:spacing w:val="-5"/>
        </w:rPr>
        <w:t> </w:t>
      </w:r>
      <w:r>
        <w:rPr/>
        <w:t>que</w:t>
      </w:r>
      <w:r>
        <w:rPr>
          <w:spacing w:val="-5"/>
        </w:rPr>
        <w:t> </w:t>
      </w:r>
      <w:r>
        <w:rPr/>
        <w:t>distintos</w:t>
      </w:r>
      <w:r>
        <w:rPr>
          <w:spacing w:val="-6"/>
        </w:rPr>
        <w:t> </w:t>
      </w:r>
      <w:r>
        <w:rPr/>
        <w:t>autores</w:t>
      </w:r>
      <w:r>
        <w:rPr>
          <w:spacing w:val="-6"/>
        </w:rPr>
        <w:t> </w:t>
      </w:r>
      <w:r>
        <w:rPr/>
        <w:t>han</w:t>
      </w:r>
      <w:r>
        <w:rPr>
          <w:spacing w:val="-5"/>
        </w:rPr>
        <w:t> </w:t>
      </w:r>
      <w:r>
        <w:rPr/>
        <w:t>divulgado con</w:t>
      </w:r>
      <w:r>
        <w:rPr>
          <w:spacing w:val="-9"/>
        </w:rPr>
        <w:t> </w:t>
      </w:r>
      <w:r>
        <w:rPr/>
        <w:t>la</w:t>
      </w:r>
      <w:r>
        <w:rPr>
          <w:spacing w:val="-5"/>
        </w:rPr>
        <w:t> </w:t>
      </w:r>
      <w:r>
        <w:rPr/>
        <w:t>presencia</w:t>
      </w:r>
      <w:r>
        <w:rPr>
          <w:spacing w:val="-5"/>
        </w:rPr>
        <w:t> </w:t>
      </w:r>
      <w:r>
        <w:rPr/>
        <w:t>de</w:t>
      </w:r>
      <w:r>
        <w:rPr>
          <w:spacing w:val="-5"/>
        </w:rPr>
        <w:t> </w:t>
      </w:r>
      <w:r>
        <w:rPr/>
        <w:t>esta</w:t>
      </w:r>
    </w:p>
    <w:p>
      <w:pPr>
        <w:spacing w:after="0" w:line="276" w:lineRule="auto"/>
        <w:jc w:val="both"/>
        <w:sectPr>
          <w:pgSz w:w="12240" w:h="15840"/>
          <w:pgMar w:header="752" w:footer="998" w:top="1000" w:bottom="1180" w:left="1560" w:right="1560"/>
        </w:sectPr>
      </w:pPr>
    </w:p>
    <w:p>
      <w:pPr>
        <w:pStyle w:val="BodyText"/>
        <w:rPr>
          <w:sz w:val="29"/>
        </w:rPr>
      </w:pPr>
    </w:p>
    <w:p>
      <w:pPr>
        <w:spacing w:line="276" w:lineRule="auto" w:before="70"/>
        <w:ind w:left="139" w:right="134" w:firstLine="0"/>
        <w:jc w:val="both"/>
        <w:rPr>
          <w:sz w:val="24"/>
        </w:rPr>
      </w:pPr>
      <w:r>
        <w:rPr>
          <w:sz w:val="24"/>
        </w:rPr>
        <w:t>bacteria</w:t>
      </w:r>
      <w:r>
        <w:rPr>
          <w:spacing w:val="-15"/>
          <w:sz w:val="24"/>
        </w:rPr>
        <w:t> </w:t>
      </w:r>
      <w:r>
        <w:rPr>
          <w:sz w:val="24"/>
        </w:rPr>
        <w:t>como</w:t>
      </w:r>
      <w:r>
        <w:rPr>
          <w:spacing w:val="-17"/>
          <w:sz w:val="24"/>
        </w:rPr>
        <w:t> </w:t>
      </w:r>
      <w:r>
        <w:rPr>
          <w:sz w:val="24"/>
        </w:rPr>
        <w:t>agente</w:t>
      </w:r>
      <w:r>
        <w:rPr>
          <w:spacing w:val="-16"/>
          <w:sz w:val="24"/>
        </w:rPr>
        <w:t> </w:t>
      </w:r>
      <w:r>
        <w:rPr>
          <w:sz w:val="24"/>
        </w:rPr>
        <w:t>causal</w:t>
      </w:r>
      <w:r>
        <w:rPr>
          <w:spacing w:val="-10"/>
          <w:sz w:val="24"/>
        </w:rPr>
        <w:t> </w:t>
      </w:r>
      <w:r>
        <w:rPr>
          <w:sz w:val="24"/>
        </w:rPr>
        <w:t>en</w:t>
      </w:r>
      <w:r>
        <w:rPr>
          <w:spacing w:val="-16"/>
          <w:sz w:val="24"/>
        </w:rPr>
        <w:t> </w:t>
      </w:r>
      <w:r>
        <w:rPr>
          <w:sz w:val="24"/>
        </w:rPr>
        <w:t>distintos</w:t>
      </w:r>
      <w:r>
        <w:rPr>
          <w:spacing w:val="-20"/>
          <w:sz w:val="24"/>
        </w:rPr>
        <w:t> </w:t>
      </w:r>
      <w:r>
        <w:rPr>
          <w:sz w:val="24"/>
        </w:rPr>
        <w:t>lugares</w:t>
      </w:r>
      <w:r>
        <w:rPr>
          <w:spacing w:val="-17"/>
          <w:sz w:val="24"/>
        </w:rPr>
        <w:t> </w:t>
      </w:r>
      <w:r>
        <w:rPr>
          <w:sz w:val="24"/>
        </w:rPr>
        <w:t>como</w:t>
      </w:r>
      <w:r>
        <w:rPr>
          <w:spacing w:val="-10"/>
          <w:sz w:val="24"/>
        </w:rPr>
        <w:t> </w:t>
      </w:r>
      <w:r>
        <w:rPr>
          <w:sz w:val="24"/>
        </w:rPr>
        <w:t>Taiwán,</w:t>
      </w:r>
      <w:r>
        <w:rPr>
          <w:spacing w:val="-17"/>
          <w:sz w:val="24"/>
        </w:rPr>
        <w:t> </w:t>
      </w:r>
      <w:r>
        <w:rPr>
          <w:sz w:val="24"/>
        </w:rPr>
        <w:t>Hawai</w:t>
      </w:r>
      <w:r>
        <w:rPr>
          <w:spacing w:val="-13"/>
          <w:sz w:val="24"/>
        </w:rPr>
        <w:t> </w:t>
      </w:r>
      <w:r>
        <w:rPr>
          <w:sz w:val="24"/>
        </w:rPr>
        <w:t>y</w:t>
      </w:r>
      <w:r>
        <w:rPr>
          <w:spacing w:val="-17"/>
          <w:sz w:val="24"/>
        </w:rPr>
        <w:t> </w:t>
      </w:r>
      <w:r>
        <w:rPr>
          <w:sz w:val="24"/>
        </w:rPr>
        <w:t>los</w:t>
      </w:r>
      <w:r>
        <w:rPr>
          <w:spacing w:val="-17"/>
          <w:sz w:val="24"/>
        </w:rPr>
        <w:t> </w:t>
      </w:r>
      <w:r>
        <w:rPr>
          <w:sz w:val="24"/>
        </w:rPr>
        <w:t>Estados Unidos, así mismo se ha publicado sobre la presencia de bacterias similares en cultivos europeos de lubina </w:t>
      </w:r>
      <w:r>
        <w:rPr>
          <w:i/>
          <w:sz w:val="24"/>
        </w:rPr>
        <w:t>Dicentrarchus labrax </w:t>
      </w:r>
      <w:r>
        <w:rPr>
          <w:sz w:val="24"/>
        </w:rPr>
        <w:t>(robalo) y lubina </w:t>
      </w:r>
      <w:r>
        <w:rPr>
          <w:i/>
          <w:sz w:val="24"/>
        </w:rPr>
        <w:t>Atractoscion </w:t>
      </w:r>
      <w:r>
        <w:rPr>
          <w:i/>
          <w:sz w:val="24"/>
        </w:rPr>
        <w:t>nobilis, </w:t>
      </w:r>
      <w:r>
        <w:rPr>
          <w:sz w:val="24"/>
        </w:rPr>
        <w:t>three-line grunts </w:t>
      </w:r>
      <w:r>
        <w:rPr>
          <w:i/>
          <w:sz w:val="24"/>
        </w:rPr>
        <w:t>Parapristipoma trilineatum</w:t>
      </w:r>
      <w:r>
        <w:rPr>
          <w:sz w:val="24"/>
        </w:rPr>
        <w:t>, Bacalao del Atlántico Atlantic cod </w:t>
      </w:r>
      <w:r>
        <w:rPr>
          <w:i/>
          <w:sz w:val="24"/>
        </w:rPr>
        <w:t>Gadus morhua</w:t>
      </w:r>
      <w:r>
        <w:rPr>
          <w:sz w:val="24"/>
        </w:rPr>
        <w:t>, salmón del atlántico </w:t>
      </w:r>
      <w:r>
        <w:rPr>
          <w:i/>
          <w:sz w:val="24"/>
        </w:rPr>
        <w:t>salmo salar </w:t>
      </w:r>
      <w:r>
        <w:rPr>
          <w:sz w:val="24"/>
        </w:rPr>
        <w:t>y otras especies de peces (Kamaishi </w:t>
      </w:r>
      <w:r>
        <w:rPr>
          <w:i/>
          <w:sz w:val="24"/>
        </w:rPr>
        <w:t>et al</w:t>
      </w:r>
      <w:r>
        <w:rPr>
          <w:sz w:val="24"/>
        </w:rPr>
        <w:t>., 2005; Kamaishi </w:t>
      </w:r>
      <w:r>
        <w:rPr>
          <w:i/>
          <w:sz w:val="24"/>
        </w:rPr>
        <w:t>et al</w:t>
      </w:r>
      <w:r>
        <w:rPr>
          <w:sz w:val="24"/>
        </w:rPr>
        <w:t>., 2010; Chen </w:t>
      </w:r>
      <w:r>
        <w:rPr>
          <w:i/>
          <w:sz w:val="24"/>
        </w:rPr>
        <w:t>et al</w:t>
      </w:r>
      <w:r>
        <w:rPr>
          <w:sz w:val="24"/>
        </w:rPr>
        <w:t>.,</w:t>
      </w:r>
      <w:r>
        <w:rPr>
          <w:spacing w:val="-46"/>
          <w:sz w:val="24"/>
        </w:rPr>
        <w:t> </w:t>
      </w:r>
      <w:r>
        <w:rPr>
          <w:sz w:val="24"/>
        </w:rPr>
        <w:t>2001).</w:t>
      </w:r>
    </w:p>
    <w:p>
      <w:pPr>
        <w:pStyle w:val="BodyText"/>
        <w:spacing w:line="273" w:lineRule="auto" w:before="207"/>
        <w:ind w:left="139" w:right="133"/>
        <w:jc w:val="both"/>
      </w:pPr>
      <w:r>
        <w:rPr/>
        <w:t>En las epizootias de la enfermedad en tilapia la mortalidad ha oscilado entre el 1% y más del 90% del total de los peces en las granjas afectadas (Mauel </w:t>
      </w:r>
      <w:r>
        <w:rPr>
          <w:i/>
        </w:rPr>
        <w:t>et al</w:t>
      </w:r>
      <w:r>
        <w:rPr/>
        <w:t>., 2005; Mauel </w:t>
      </w:r>
      <w:r>
        <w:rPr>
          <w:i/>
        </w:rPr>
        <w:t>et al</w:t>
      </w:r>
      <w:r>
        <w:rPr/>
        <w:t>.,  2007; Hsieh </w:t>
      </w:r>
      <w:r>
        <w:rPr>
          <w:i/>
        </w:rPr>
        <w:t>et al</w:t>
      </w:r>
      <w:r>
        <w:rPr/>
        <w:t>., 2006; Chen </w:t>
      </w:r>
      <w:r>
        <w:rPr>
          <w:i/>
        </w:rPr>
        <w:t>et al</w:t>
      </w:r>
      <w:r>
        <w:rPr/>
        <w:t>., 1994, Chern y Chao, 1994).</w:t>
      </w:r>
    </w:p>
    <w:p>
      <w:pPr>
        <w:pStyle w:val="Heading1"/>
        <w:numPr>
          <w:ilvl w:val="1"/>
          <w:numId w:val="3"/>
        </w:numPr>
        <w:tabs>
          <w:tab w:pos="678" w:val="left" w:leader="none"/>
        </w:tabs>
        <w:spacing w:line="276" w:lineRule="auto" w:before="205" w:after="0"/>
        <w:ind w:left="139" w:right="861" w:firstLine="0"/>
        <w:jc w:val="left"/>
      </w:pPr>
      <w:bookmarkStart w:name="_bookmark19" w:id="33"/>
      <w:bookmarkEnd w:id="33"/>
      <w:r>
        <w:rPr>
          <w:b w:val="0"/>
        </w:rPr>
      </w:r>
      <w:bookmarkStart w:name="_bookmark19" w:id="34"/>
      <w:bookmarkEnd w:id="34"/>
      <w:r>
        <w:rPr>
          <w:color w:val="365F91"/>
        </w:rPr>
        <w:t>Rela</w:t>
      </w:r>
      <w:r>
        <w:rPr>
          <w:color w:val="365F91"/>
        </w:rPr>
        <w:t>ción entre las bacterias de género </w:t>
      </w:r>
      <w:r>
        <w:rPr>
          <w:i/>
          <w:color w:val="365F91"/>
        </w:rPr>
        <w:t>Francisella </w:t>
      </w:r>
      <w:r>
        <w:rPr>
          <w:color w:val="365F91"/>
        </w:rPr>
        <w:t>que afecta a los animales terrestres y a los</w:t>
      </w:r>
      <w:r>
        <w:rPr>
          <w:color w:val="365F91"/>
          <w:spacing w:val="-10"/>
        </w:rPr>
        <w:t> </w:t>
      </w:r>
      <w:r>
        <w:rPr>
          <w:color w:val="365F91"/>
        </w:rPr>
        <w:t>peces</w:t>
      </w:r>
    </w:p>
    <w:p>
      <w:pPr>
        <w:pStyle w:val="BodyText"/>
        <w:spacing w:line="276" w:lineRule="auto" w:before="5"/>
        <w:ind w:left="139" w:right="138"/>
        <w:jc w:val="both"/>
      </w:pPr>
      <w:r>
        <w:rPr/>
        <w:t>Se</w:t>
      </w:r>
      <w:r>
        <w:rPr>
          <w:spacing w:val="-7"/>
        </w:rPr>
        <w:t> </w:t>
      </w:r>
      <w:r>
        <w:rPr/>
        <w:t>ha</w:t>
      </w:r>
      <w:r>
        <w:rPr>
          <w:spacing w:val="-7"/>
        </w:rPr>
        <w:t> </w:t>
      </w:r>
      <w:r>
        <w:rPr/>
        <w:t>demostrado</w:t>
      </w:r>
      <w:r>
        <w:rPr>
          <w:spacing w:val="-12"/>
        </w:rPr>
        <w:t> </w:t>
      </w:r>
      <w:r>
        <w:rPr/>
        <w:t>la</w:t>
      </w:r>
      <w:r>
        <w:rPr>
          <w:spacing w:val="-7"/>
        </w:rPr>
        <w:t> </w:t>
      </w:r>
      <w:r>
        <w:rPr/>
        <w:t>existencia</w:t>
      </w:r>
      <w:r>
        <w:rPr>
          <w:spacing w:val="-7"/>
        </w:rPr>
        <w:t> </w:t>
      </w:r>
      <w:r>
        <w:rPr/>
        <w:t>de</w:t>
      </w:r>
      <w:r>
        <w:rPr>
          <w:spacing w:val="-7"/>
        </w:rPr>
        <w:t> </w:t>
      </w:r>
      <w:r>
        <w:rPr/>
        <w:t>una</w:t>
      </w:r>
      <w:r>
        <w:rPr>
          <w:spacing w:val="-12"/>
        </w:rPr>
        <w:t> </w:t>
      </w:r>
      <w:r>
        <w:rPr/>
        <w:t>similitud</w:t>
      </w:r>
      <w:r>
        <w:rPr>
          <w:spacing w:val="1"/>
        </w:rPr>
        <w:t> </w:t>
      </w:r>
      <w:r>
        <w:rPr/>
        <w:t>genética</w:t>
      </w:r>
      <w:r>
        <w:rPr>
          <w:spacing w:val="-12"/>
        </w:rPr>
        <w:t> </w:t>
      </w:r>
      <w:r>
        <w:rPr/>
        <w:t>de</w:t>
      </w:r>
      <w:r>
        <w:rPr>
          <w:spacing w:val="-7"/>
        </w:rPr>
        <w:t> </w:t>
      </w:r>
      <w:r>
        <w:rPr/>
        <w:t>hasta</w:t>
      </w:r>
      <w:r>
        <w:rPr>
          <w:spacing w:val="-7"/>
        </w:rPr>
        <w:t> </w:t>
      </w:r>
      <w:r>
        <w:rPr/>
        <w:t>un</w:t>
      </w:r>
      <w:r>
        <w:rPr>
          <w:spacing w:val="-7"/>
        </w:rPr>
        <w:t> </w:t>
      </w:r>
      <w:r>
        <w:rPr/>
        <w:t>99%</w:t>
      </w:r>
      <w:r>
        <w:rPr>
          <w:spacing w:val="-10"/>
        </w:rPr>
        <w:t> </w:t>
      </w:r>
      <w:r>
        <w:rPr/>
        <w:t>entre</w:t>
      </w:r>
      <w:r>
        <w:rPr>
          <w:spacing w:val="-12"/>
        </w:rPr>
        <w:t> </w:t>
      </w:r>
      <w:r>
        <w:rPr/>
        <w:t>los aislados de </w:t>
      </w:r>
      <w:r>
        <w:rPr>
          <w:i/>
        </w:rPr>
        <w:t>Francisella </w:t>
      </w:r>
      <w:r>
        <w:rPr/>
        <w:t>patógena para los peces con el genotipo oportunista en los humanos denominado </w:t>
      </w:r>
      <w:r>
        <w:rPr>
          <w:i/>
        </w:rPr>
        <w:t>F. philomiragia</w:t>
      </w:r>
      <w:r>
        <w:rPr/>
        <w:t>. De las bacterias patógenas de los peces se proponen</w:t>
      </w:r>
      <w:r>
        <w:rPr>
          <w:spacing w:val="-7"/>
        </w:rPr>
        <w:t> </w:t>
      </w:r>
      <w:r>
        <w:rPr/>
        <w:t>los</w:t>
      </w:r>
      <w:r>
        <w:rPr>
          <w:spacing w:val="-8"/>
        </w:rPr>
        <w:t> </w:t>
      </w:r>
      <w:r>
        <w:rPr/>
        <w:t>aislamientos</w:t>
      </w:r>
      <w:r>
        <w:rPr>
          <w:spacing w:val="-8"/>
        </w:rPr>
        <w:t> </w:t>
      </w:r>
      <w:r>
        <w:rPr/>
        <w:t>obtenidos</w:t>
      </w:r>
      <w:r>
        <w:rPr>
          <w:spacing w:val="-8"/>
        </w:rPr>
        <w:t> </w:t>
      </w:r>
      <w:r>
        <w:rPr/>
        <w:t>de</w:t>
      </w:r>
      <w:r>
        <w:rPr>
          <w:spacing w:val="-7"/>
        </w:rPr>
        <w:t> </w:t>
      </w:r>
      <w:r>
        <w:rPr/>
        <w:t>bacalao</w:t>
      </w:r>
      <w:r>
        <w:rPr>
          <w:spacing w:val="-2"/>
        </w:rPr>
        <w:t> </w:t>
      </w:r>
      <w:r>
        <w:rPr/>
        <w:t>de</w:t>
      </w:r>
      <w:r>
        <w:rPr>
          <w:spacing w:val="-7"/>
        </w:rPr>
        <w:t> </w:t>
      </w:r>
      <w:r>
        <w:rPr/>
        <w:t>Noruega</w:t>
      </w:r>
      <w:r>
        <w:rPr>
          <w:spacing w:val="-7"/>
        </w:rPr>
        <w:t> </w:t>
      </w:r>
      <w:r>
        <w:rPr/>
        <w:t>como</w:t>
      </w:r>
      <w:r>
        <w:rPr>
          <w:spacing w:val="-3"/>
        </w:rPr>
        <w:t> </w:t>
      </w:r>
      <w:r>
        <w:rPr/>
        <w:t>una</w:t>
      </w:r>
      <w:r>
        <w:rPr>
          <w:spacing w:val="-3"/>
        </w:rPr>
        <w:t> </w:t>
      </w:r>
      <w:r>
        <w:rPr/>
        <w:t>subespecie de </w:t>
      </w:r>
      <w:r>
        <w:rPr>
          <w:i/>
        </w:rPr>
        <w:t>F. philomiragia </w:t>
      </w:r>
      <w:r>
        <w:rPr/>
        <w:t>es decir </w:t>
      </w:r>
      <w:r>
        <w:rPr>
          <w:i/>
        </w:rPr>
        <w:t>F. philomiragia </w:t>
      </w:r>
      <w:r>
        <w:rPr/>
        <w:t>subsp</w:t>
      </w:r>
      <w:r>
        <w:rPr>
          <w:i/>
        </w:rPr>
        <w:t>. noatunensis</w:t>
      </w:r>
      <w:r>
        <w:rPr/>
        <w:t>, posteriormente se estableció una nueva especie denominada </w:t>
      </w:r>
      <w:r>
        <w:rPr>
          <w:i/>
        </w:rPr>
        <w:t>F. piscicida </w:t>
      </w:r>
      <w:r>
        <w:rPr/>
        <w:t>aislada de bacalao del Atlántico</w:t>
      </w:r>
      <w:r>
        <w:rPr>
          <w:spacing w:val="-6"/>
        </w:rPr>
        <w:t> </w:t>
      </w:r>
      <w:r>
        <w:rPr/>
        <w:t>y</w:t>
      </w:r>
      <w:r>
        <w:rPr>
          <w:spacing w:val="-7"/>
        </w:rPr>
        <w:t> </w:t>
      </w:r>
      <w:r>
        <w:rPr/>
        <w:t>después</w:t>
      </w:r>
      <w:r>
        <w:rPr>
          <w:spacing w:val="-7"/>
        </w:rPr>
        <w:t> </w:t>
      </w:r>
      <w:r>
        <w:rPr/>
        <w:t>de</w:t>
      </w:r>
      <w:r>
        <w:rPr>
          <w:spacing w:val="-7"/>
        </w:rPr>
        <w:t> </w:t>
      </w:r>
      <w:r>
        <w:rPr/>
        <w:t>realizar</w:t>
      </w:r>
      <w:r>
        <w:rPr>
          <w:spacing w:val="-10"/>
        </w:rPr>
        <w:t> </w:t>
      </w:r>
      <w:r>
        <w:rPr/>
        <w:t>la</w:t>
      </w:r>
      <w:r>
        <w:rPr>
          <w:spacing w:val="-6"/>
        </w:rPr>
        <w:t> </w:t>
      </w:r>
      <w:r>
        <w:rPr/>
        <w:t>secuenciación</w:t>
      </w:r>
      <w:r>
        <w:rPr>
          <w:spacing w:val="-6"/>
        </w:rPr>
        <w:t> </w:t>
      </w:r>
      <w:r>
        <w:rPr/>
        <w:t>de</w:t>
      </w:r>
      <w:r>
        <w:rPr>
          <w:spacing w:val="-6"/>
        </w:rPr>
        <w:t> </w:t>
      </w:r>
      <w:r>
        <w:rPr/>
        <w:t>esté</w:t>
      </w:r>
      <w:r>
        <w:rPr>
          <w:spacing w:val="-6"/>
        </w:rPr>
        <w:t> </w:t>
      </w:r>
      <w:r>
        <w:rPr/>
        <w:t>nuevo</w:t>
      </w:r>
      <w:r>
        <w:rPr>
          <w:spacing w:val="-6"/>
        </w:rPr>
        <w:t> </w:t>
      </w:r>
      <w:r>
        <w:rPr/>
        <w:t>aislamiento</w:t>
      </w:r>
      <w:r>
        <w:rPr>
          <w:spacing w:val="-6"/>
        </w:rPr>
        <w:t> </w:t>
      </w:r>
      <w:r>
        <w:rPr/>
        <w:t>se</w:t>
      </w:r>
      <w:r>
        <w:rPr>
          <w:spacing w:val="-6"/>
        </w:rPr>
        <w:t> </w:t>
      </w:r>
      <w:r>
        <w:rPr/>
        <w:t>pudo determinar que era 100% semejante </w:t>
      </w:r>
      <w:r>
        <w:rPr>
          <w:i/>
        </w:rPr>
        <w:t>F. philomiragia </w:t>
      </w:r>
      <w:r>
        <w:rPr/>
        <w:t>subsp</w:t>
      </w:r>
      <w:r>
        <w:rPr>
          <w:i/>
        </w:rPr>
        <w:t>. noatunensis </w:t>
      </w:r>
      <w:r>
        <w:rPr/>
        <w:t>considerándose como sinónimos heterotípicos (Ottem </w:t>
      </w:r>
      <w:r>
        <w:rPr>
          <w:i/>
        </w:rPr>
        <w:t>et al</w:t>
      </w:r>
      <w:r>
        <w:rPr/>
        <w:t>.,</w:t>
      </w:r>
      <w:r>
        <w:rPr>
          <w:spacing w:val="-21"/>
        </w:rPr>
        <w:t> </w:t>
      </w:r>
      <w:r>
        <w:rPr/>
        <w:t>2007).</w:t>
      </w:r>
    </w:p>
    <w:p>
      <w:pPr>
        <w:spacing w:line="276" w:lineRule="auto" w:before="207"/>
        <w:ind w:left="139" w:right="133" w:firstLine="0"/>
        <w:jc w:val="both"/>
        <w:rPr>
          <w:sz w:val="24"/>
        </w:rPr>
      </w:pPr>
      <w:r>
        <w:rPr>
          <w:sz w:val="24"/>
        </w:rPr>
        <w:t>En estudios posteriores se propuso la elevación de </w:t>
      </w:r>
      <w:r>
        <w:rPr>
          <w:i/>
          <w:sz w:val="24"/>
        </w:rPr>
        <w:t>F. philomiragia </w:t>
      </w:r>
      <w:r>
        <w:rPr>
          <w:sz w:val="24"/>
        </w:rPr>
        <w:t>subsp</w:t>
      </w:r>
      <w:r>
        <w:rPr>
          <w:i/>
          <w:sz w:val="24"/>
        </w:rPr>
        <w:t>. </w:t>
      </w:r>
      <w:r>
        <w:rPr>
          <w:i/>
          <w:sz w:val="24"/>
        </w:rPr>
        <w:t>noatunensis </w:t>
      </w:r>
      <w:r>
        <w:rPr>
          <w:sz w:val="24"/>
        </w:rPr>
        <w:t>como </w:t>
      </w:r>
      <w:r>
        <w:rPr>
          <w:i/>
          <w:sz w:val="24"/>
        </w:rPr>
        <w:t>F. noatunensis</w:t>
      </w:r>
      <w:r>
        <w:rPr>
          <w:sz w:val="24"/>
        </w:rPr>
        <w:t>. En estudios realizados a cepas de </w:t>
      </w:r>
      <w:r>
        <w:rPr>
          <w:i/>
          <w:sz w:val="24"/>
        </w:rPr>
        <w:t>Francisella </w:t>
      </w:r>
      <w:r>
        <w:rPr>
          <w:sz w:val="24"/>
        </w:rPr>
        <w:t>aisladas de tilapia y trhee lined grunt (</w:t>
      </w:r>
      <w:r>
        <w:rPr>
          <w:i/>
          <w:sz w:val="24"/>
        </w:rPr>
        <w:t>Parapristipoma trilineatum</w:t>
      </w:r>
      <w:r>
        <w:rPr>
          <w:sz w:val="24"/>
        </w:rPr>
        <w:t>) se propusieron para representar a una subespecie de FNO. Con el aislamiento de una bacteria del género </w:t>
      </w:r>
      <w:r>
        <w:rPr>
          <w:i/>
          <w:sz w:val="24"/>
        </w:rPr>
        <w:t>Francisella </w:t>
      </w:r>
      <w:r>
        <w:rPr>
          <w:sz w:val="24"/>
        </w:rPr>
        <w:t>de salmón, se estableció que esté nuevo aislado pertenecía a una especie independiente llamada </w:t>
      </w:r>
      <w:r>
        <w:rPr>
          <w:i/>
          <w:sz w:val="24"/>
        </w:rPr>
        <w:t>Francisella asiática </w:t>
      </w:r>
      <w:r>
        <w:rPr>
          <w:sz w:val="24"/>
        </w:rPr>
        <w:t>siendo publicado solo un aislamiento por Mickalsen </w:t>
      </w:r>
      <w:r>
        <w:rPr>
          <w:i/>
          <w:sz w:val="24"/>
        </w:rPr>
        <w:t>et al</w:t>
      </w:r>
      <w:r>
        <w:rPr>
          <w:sz w:val="24"/>
        </w:rPr>
        <w:t>., (2007) de salmones de agua dulce cultivados en chile</w:t>
      </w:r>
      <w:r>
        <w:rPr>
          <w:spacing w:val="-10"/>
          <w:sz w:val="24"/>
        </w:rPr>
        <w:t> </w:t>
      </w:r>
      <w:r>
        <w:rPr>
          <w:sz w:val="24"/>
        </w:rPr>
        <w:t>determinándose</w:t>
      </w:r>
      <w:r>
        <w:rPr>
          <w:spacing w:val="-11"/>
          <w:sz w:val="24"/>
        </w:rPr>
        <w:t> </w:t>
      </w:r>
      <w:r>
        <w:rPr>
          <w:sz w:val="24"/>
        </w:rPr>
        <w:t>que</w:t>
      </w:r>
      <w:r>
        <w:rPr>
          <w:spacing w:val="-9"/>
          <w:sz w:val="24"/>
        </w:rPr>
        <w:t> </w:t>
      </w:r>
      <w:r>
        <w:rPr>
          <w:sz w:val="24"/>
        </w:rPr>
        <w:t>se</w:t>
      </w:r>
      <w:r>
        <w:rPr>
          <w:spacing w:val="-11"/>
          <w:sz w:val="24"/>
        </w:rPr>
        <w:t> </w:t>
      </w:r>
      <w:r>
        <w:rPr>
          <w:sz w:val="24"/>
        </w:rPr>
        <w:t>trata</w:t>
      </w:r>
      <w:r>
        <w:rPr>
          <w:spacing w:val="-10"/>
          <w:sz w:val="24"/>
        </w:rPr>
        <w:t> </w:t>
      </w:r>
      <w:r>
        <w:rPr>
          <w:sz w:val="24"/>
        </w:rPr>
        <w:t>de</w:t>
      </w:r>
      <w:r>
        <w:rPr>
          <w:spacing w:val="-11"/>
          <w:sz w:val="24"/>
        </w:rPr>
        <w:t> </w:t>
      </w:r>
      <w:r>
        <w:rPr>
          <w:sz w:val="24"/>
        </w:rPr>
        <w:t>una</w:t>
      </w:r>
      <w:r>
        <w:rPr>
          <w:spacing w:val="-11"/>
          <w:sz w:val="24"/>
        </w:rPr>
        <w:t> </w:t>
      </w:r>
      <w:r>
        <w:rPr>
          <w:sz w:val="24"/>
        </w:rPr>
        <w:t>bacteria</w:t>
      </w:r>
      <w:r>
        <w:rPr>
          <w:spacing w:val="-11"/>
          <w:sz w:val="24"/>
        </w:rPr>
        <w:t> </w:t>
      </w:r>
      <w:r>
        <w:rPr>
          <w:sz w:val="24"/>
        </w:rPr>
        <w:t>idéntica</w:t>
      </w:r>
      <w:r>
        <w:rPr>
          <w:spacing w:val="-11"/>
          <w:sz w:val="24"/>
        </w:rPr>
        <w:t> </w:t>
      </w:r>
      <w:r>
        <w:rPr>
          <w:sz w:val="24"/>
        </w:rPr>
        <w:t>a</w:t>
      </w:r>
      <w:r>
        <w:rPr>
          <w:spacing w:val="-16"/>
          <w:sz w:val="24"/>
        </w:rPr>
        <w:t> </w:t>
      </w:r>
      <w:r>
        <w:rPr>
          <w:sz w:val="24"/>
        </w:rPr>
        <w:t>las</w:t>
      </w:r>
      <w:r>
        <w:rPr>
          <w:spacing w:val="-16"/>
          <w:sz w:val="24"/>
        </w:rPr>
        <w:t> </w:t>
      </w:r>
      <w:r>
        <w:rPr>
          <w:sz w:val="24"/>
        </w:rPr>
        <w:t>anteriores</w:t>
      </w:r>
      <w:r>
        <w:rPr>
          <w:spacing w:val="-12"/>
          <w:sz w:val="24"/>
        </w:rPr>
        <w:t> </w:t>
      </w:r>
      <w:r>
        <w:rPr>
          <w:sz w:val="24"/>
        </w:rPr>
        <w:t>e</w:t>
      </w:r>
      <w:r>
        <w:rPr>
          <w:spacing w:val="-16"/>
          <w:sz w:val="24"/>
        </w:rPr>
        <w:t> </w:t>
      </w:r>
      <w:r>
        <w:rPr>
          <w:sz w:val="24"/>
        </w:rPr>
        <w:t>incluso que se puede tratar de </w:t>
      </w:r>
      <w:r>
        <w:rPr>
          <w:i/>
          <w:sz w:val="24"/>
        </w:rPr>
        <w:t>Francisella noatunensis </w:t>
      </w:r>
      <w:r>
        <w:rPr>
          <w:sz w:val="24"/>
        </w:rPr>
        <w:t>subsp</w:t>
      </w:r>
      <w:r>
        <w:rPr>
          <w:i/>
          <w:sz w:val="24"/>
        </w:rPr>
        <w:t>. noatunensis </w:t>
      </w:r>
      <w:r>
        <w:rPr>
          <w:sz w:val="24"/>
        </w:rPr>
        <w:t>(Tabla 1) (Colquhoun</w:t>
      </w:r>
      <w:r>
        <w:rPr>
          <w:spacing w:val="-8"/>
          <w:sz w:val="24"/>
        </w:rPr>
        <w:t> </w:t>
      </w:r>
      <w:r>
        <w:rPr>
          <w:sz w:val="24"/>
        </w:rPr>
        <w:t>y</w:t>
      </w:r>
      <w:r>
        <w:rPr>
          <w:spacing w:val="-12"/>
          <w:sz w:val="24"/>
        </w:rPr>
        <w:t> </w:t>
      </w:r>
      <w:r>
        <w:rPr>
          <w:sz w:val="24"/>
        </w:rPr>
        <w:t>Duodu,</w:t>
      </w:r>
      <w:r>
        <w:rPr>
          <w:spacing w:val="-11"/>
          <w:sz w:val="24"/>
        </w:rPr>
        <w:t> </w:t>
      </w:r>
      <w:r>
        <w:rPr>
          <w:sz w:val="24"/>
        </w:rPr>
        <w:t>2011;</w:t>
      </w:r>
      <w:r>
        <w:rPr>
          <w:spacing w:val="-11"/>
          <w:sz w:val="24"/>
        </w:rPr>
        <w:t> </w:t>
      </w:r>
      <w:r>
        <w:rPr>
          <w:sz w:val="24"/>
        </w:rPr>
        <w:t>Berrada</w:t>
      </w:r>
      <w:r>
        <w:rPr>
          <w:spacing w:val="-9"/>
          <w:sz w:val="24"/>
        </w:rPr>
        <w:t> </w:t>
      </w:r>
      <w:r>
        <w:rPr>
          <w:sz w:val="24"/>
        </w:rPr>
        <w:t>y</w:t>
      </w:r>
      <w:r>
        <w:rPr>
          <w:spacing w:val="-12"/>
          <w:sz w:val="24"/>
        </w:rPr>
        <w:t> </w:t>
      </w:r>
      <w:r>
        <w:rPr>
          <w:sz w:val="24"/>
        </w:rPr>
        <w:t>Telford,</w:t>
      </w:r>
      <w:r>
        <w:rPr>
          <w:spacing w:val="-16"/>
          <w:sz w:val="24"/>
        </w:rPr>
        <w:t> </w:t>
      </w:r>
      <w:r>
        <w:rPr>
          <w:sz w:val="24"/>
        </w:rPr>
        <w:t>2010;</w:t>
      </w:r>
      <w:r>
        <w:rPr>
          <w:spacing w:val="-11"/>
          <w:sz w:val="24"/>
        </w:rPr>
        <w:t> </w:t>
      </w:r>
      <w:r>
        <w:rPr>
          <w:sz w:val="24"/>
        </w:rPr>
        <w:t>Mikalsen</w:t>
      </w:r>
      <w:r>
        <w:rPr>
          <w:spacing w:val="-9"/>
          <w:sz w:val="24"/>
        </w:rPr>
        <w:t> </w:t>
      </w:r>
      <w:r>
        <w:rPr>
          <w:i/>
          <w:sz w:val="24"/>
        </w:rPr>
        <w:t>et</w:t>
      </w:r>
      <w:r>
        <w:rPr>
          <w:i/>
          <w:spacing w:val="-11"/>
          <w:sz w:val="24"/>
        </w:rPr>
        <w:t> </w:t>
      </w:r>
      <w:r>
        <w:rPr>
          <w:i/>
          <w:sz w:val="24"/>
        </w:rPr>
        <w:t>al</w:t>
      </w:r>
      <w:r>
        <w:rPr>
          <w:sz w:val="24"/>
        </w:rPr>
        <w:t>.,</w:t>
      </w:r>
      <w:r>
        <w:rPr>
          <w:spacing w:val="-11"/>
          <w:sz w:val="24"/>
        </w:rPr>
        <w:t> </w:t>
      </w:r>
      <w:r>
        <w:rPr>
          <w:sz w:val="24"/>
        </w:rPr>
        <w:t>2007;</w:t>
      </w:r>
      <w:r>
        <w:rPr>
          <w:spacing w:val="-11"/>
          <w:sz w:val="24"/>
        </w:rPr>
        <w:t> </w:t>
      </w:r>
      <w:r>
        <w:rPr>
          <w:sz w:val="24"/>
        </w:rPr>
        <w:t>Mikalsen </w:t>
      </w:r>
      <w:r>
        <w:rPr>
          <w:i/>
          <w:sz w:val="24"/>
        </w:rPr>
        <w:t>et al</w:t>
      </w:r>
      <w:r>
        <w:rPr>
          <w:sz w:val="24"/>
        </w:rPr>
        <w:t>., 2009; Hsieh </w:t>
      </w:r>
      <w:r>
        <w:rPr>
          <w:i/>
          <w:sz w:val="24"/>
        </w:rPr>
        <w:t>et al</w:t>
      </w:r>
      <w:r>
        <w:rPr>
          <w:sz w:val="24"/>
        </w:rPr>
        <w:t>., 2006; Ottem </w:t>
      </w:r>
      <w:r>
        <w:rPr>
          <w:i/>
          <w:sz w:val="24"/>
        </w:rPr>
        <w:t>et al</w:t>
      </w:r>
      <w:r>
        <w:rPr>
          <w:sz w:val="24"/>
        </w:rPr>
        <w:t>., 2007; Ottem </w:t>
      </w:r>
      <w:r>
        <w:rPr>
          <w:i/>
          <w:sz w:val="24"/>
        </w:rPr>
        <w:t>et al</w:t>
      </w:r>
      <w:r>
        <w:rPr>
          <w:sz w:val="24"/>
        </w:rPr>
        <w:t>.,</w:t>
      </w:r>
      <w:r>
        <w:rPr>
          <w:spacing w:val="-25"/>
          <w:sz w:val="24"/>
        </w:rPr>
        <w:t> </w:t>
      </w:r>
      <w:r>
        <w:rPr>
          <w:sz w:val="24"/>
        </w:rPr>
        <w:t>2009).</w:t>
      </w:r>
    </w:p>
    <w:p>
      <w:pPr>
        <w:pStyle w:val="ListParagraph"/>
        <w:numPr>
          <w:ilvl w:val="1"/>
          <w:numId w:val="3"/>
        </w:numPr>
        <w:tabs>
          <w:tab w:pos="673" w:val="left" w:leader="none"/>
        </w:tabs>
        <w:spacing w:line="240" w:lineRule="auto" w:before="202" w:after="0"/>
        <w:ind w:left="673" w:right="0" w:hanging="534"/>
        <w:jc w:val="both"/>
        <w:rPr>
          <w:rFonts w:ascii="Arial" w:hAnsi="Arial"/>
          <w:b/>
          <w:i/>
          <w:sz w:val="24"/>
        </w:rPr>
      </w:pPr>
      <w:bookmarkStart w:name="_bookmark20" w:id="35"/>
      <w:bookmarkEnd w:id="35"/>
      <w:r>
        <w:rPr/>
      </w:r>
      <w:bookmarkStart w:name="_bookmark20" w:id="36"/>
      <w:bookmarkEnd w:id="36"/>
      <w:r>
        <w:rPr>
          <w:rFonts w:ascii="Arial" w:hAnsi="Arial"/>
          <w:b/>
          <w:color w:val="365F91"/>
          <w:sz w:val="24"/>
        </w:rPr>
        <w:t>T</w:t>
      </w:r>
      <w:r>
        <w:rPr>
          <w:rFonts w:ascii="Arial" w:hAnsi="Arial"/>
          <w:b/>
          <w:color w:val="365F91"/>
          <w:sz w:val="24"/>
        </w:rPr>
        <w:t>axonomía del género</w:t>
      </w:r>
      <w:r>
        <w:rPr>
          <w:rFonts w:ascii="Arial" w:hAnsi="Arial"/>
          <w:b/>
          <w:color w:val="365F91"/>
          <w:spacing w:val="-15"/>
          <w:sz w:val="24"/>
        </w:rPr>
        <w:t> </w:t>
      </w:r>
      <w:r>
        <w:rPr>
          <w:rFonts w:ascii="Arial" w:hAnsi="Arial"/>
          <w:b/>
          <w:i/>
          <w:color w:val="365F91"/>
          <w:sz w:val="24"/>
        </w:rPr>
        <w:t>Francisella</w:t>
      </w:r>
    </w:p>
    <w:p>
      <w:pPr>
        <w:pStyle w:val="BodyText"/>
        <w:spacing w:line="276" w:lineRule="auto" w:before="46"/>
        <w:ind w:left="139" w:right="132"/>
        <w:jc w:val="both"/>
      </w:pPr>
      <w:r>
        <w:rPr/>
        <w:t>La situación taxonómica dentro del género </w:t>
      </w:r>
      <w:r>
        <w:rPr>
          <w:i/>
        </w:rPr>
        <w:t>Francisella </w:t>
      </w:r>
      <w:r>
        <w:rPr/>
        <w:t>es muy compleja y en la actualidad ha sido relativamente dinámica. Mientras </w:t>
      </w:r>
      <w:r>
        <w:rPr>
          <w:i/>
        </w:rPr>
        <w:t>F. novicida </w:t>
      </w:r>
      <w:r>
        <w:rPr/>
        <w:t>ha sido recientemente reclasificada como subespecie de </w:t>
      </w:r>
      <w:r>
        <w:rPr>
          <w:i/>
        </w:rPr>
        <w:t>F. tularensis </w:t>
      </w:r>
      <w:r>
        <w:rPr/>
        <w:t>como </w:t>
      </w:r>
      <w:r>
        <w:rPr>
          <w:i/>
        </w:rPr>
        <w:t>F. tularensis </w:t>
      </w:r>
      <w:r>
        <w:rPr/>
        <w:t>subsp. </w:t>
      </w:r>
      <w:r>
        <w:rPr>
          <w:i/>
        </w:rPr>
        <w:t>novicida</w:t>
      </w:r>
      <w:r>
        <w:rPr/>
        <w:t>, antes de la descripción de las primeras especies patógenas de peces, el género contenía dos especies, </w:t>
      </w:r>
      <w:r>
        <w:rPr>
          <w:i/>
        </w:rPr>
        <w:t>F. tularensis y F. philomiragia</w:t>
      </w:r>
      <w:r>
        <w:rPr/>
        <w:t>, hasta que comenzó   la descripción del  aislamiento  de nuevos  miembros  de  este género y</w:t>
      </w:r>
    </w:p>
    <w:p>
      <w:pPr>
        <w:spacing w:after="0" w:line="276" w:lineRule="auto"/>
        <w:jc w:val="both"/>
        <w:sectPr>
          <w:pgSz w:w="12240" w:h="15840"/>
          <w:pgMar w:header="752" w:footer="998" w:top="1000" w:bottom="1180" w:left="1560" w:right="1560"/>
        </w:sectPr>
      </w:pPr>
    </w:p>
    <w:p>
      <w:pPr>
        <w:pStyle w:val="BodyText"/>
        <w:rPr>
          <w:sz w:val="29"/>
        </w:rPr>
      </w:pPr>
    </w:p>
    <w:p>
      <w:pPr>
        <w:pStyle w:val="BodyText"/>
        <w:spacing w:line="276" w:lineRule="auto" w:before="70"/>
        <w:ind w:left="139" w:right="175"/>
        <w:jc w:val="both"/>
      </w:pPr>
      <w:r>
        <w:rPr/>
        <w:t>patógenos para diferentes especies de peces, proponiéndose una nueva nomenclatura para la clasificación de las diferentes especies y subespecies del género</w:t>
      </w:r>
      <w:r>
        <w:rPr>
          <w:spacing w:val="-18"/>
        </w:rPr>
        <w:t> </w:t>
      </w:r>
      <w:r>
        <w:rPr>
          <w:i/>
        </w:rPr>
        <w:t>Francisella</w:t>
      </w:r>
      <w:r>
        <w:rPr>
          <w:i/>
          <w:spacing w:val="-14"/>
        </w:rPr>
        <w:t> </w:t>
      </w:r>
      <w:r>
        <w:rPr/>
        <w:t>(Tabla</w:t>
      </w:r>
      <w:r>
        <w:rPr>
          <w:spacing w:val="-20"/>
        </w:rPr>
        <w:t> </w:t>
      </w:r>
      <w:r>
        <w:rPr/>
        <w:t>1).</w:t>
      </w:r>
      <w:r>
        <w:rPr>
          <w:spacing w:val="-21"/>
        </w:rPr>
        <w:t> </w:t>
      </w:r>
      <w:r>
        <w:rPr/>
        <w:t>(Colquhoun</w:t>
      </w:r>
      <w:r>
        <w:rPr>
          <w:spacing w:val="-14"/>
        </w:rPr>
        <w:t> </w:t>
      </w:r>
      <w:r>
        <w:rPr/>
        <w:t>y</w:t>
      </w:r>
      <w:r>
        <w:rPr>
          <w:spacing w:val="-21"/>
        </w:rPr>
        <w:t> </w:t>
      </w:r>
      <w:r>
        <w:rPr/>
        <w:t>Duodu,</w:t>
      </w:r>
      <w:r>
        <w:rPr>
          <w:spacing w:val="-16"/>
        </w:rPr>
        <w:t> </w:t>
      </w:r>
      <w:r>
        <w:rPr/>
        <w:t>2011;</w:t>
      </w:r>
      <w:r>
        <w:rPr>
          <w:spacing w:val="-20"/>
        </w:rPr>
        <w:t> </w:t>
      </w:r>
      <w:r>
        <w:rPr/>
        <w:t>Huber</w:t>
      </w:r>
      <w:r>
        <w:rPr>
          <w:spacing w:val="-19"/>
        </w:rPr>
        <w:t> </w:t>
      </w:r>
      <w:r>
        <w:rPr>
          <w:i/>
        </w:rPr>
        <w:t>et</w:t>
      </w:r>
      <w:r>
        <w:rPr>
          <w:i/>
          <w:spacing w:val="-21"/>
        </w:rPr>
        <w:t> </w:t>
      </w:r>
      <w:r>
        <w:rPr>
          <w:i/>
        </w:rPr>
        <w:t>al</w:t>
      </w:r>
      <w:r>
        <w:rPr/>
        <w:t>.,</w:t>
      </w:r>
      <w:r>
        <w:rPr>
          <w:spacing w:val="-21"/>
        </w:rPr>
        <w:t> </w:t>
      </w:r>
      <w:r>
        <w:rPr/>
        <w:t>2010;</w:t>
      </w:r>
      <w:r>
        <w:rPr>
          <w:spacing w:val="-21"/>
        </w:rPr>
        <w:t> </w:t>
      </w:r>
      <w:r>
        <w:rPr/>
        <w:t>Berrada y Telford, 2010; Gleen y Post, 2005; Hirsh </w:t>
      </w:r>
      <w:r>
        <w:rPr>
          <w:i/>
        </w:rPr>
        <w:t>et al</w:t>
      </w:r>
      <w:r>
        <w:rPr/>
        <w:t>., 2004, Quinn </w:t>
      </w:r>
      <w:r>
        <w:rPr>
          <w:i/>
        </w:rPr>
        <w:t>et al</w:t>
      </w:r>
      <w:r>
        <w:rPr/>
        <w:t>.,</w:t>
      </w:r>
      <w:r>
        <w:rPr>
          <w:spacing w:val="-22"/>
        </w:rPr>
        <w:t> </w:t>
      </w:r>
      <w:r>
        <w:rPr/>
        <w:t>2008).</w:t>
      </w:r>
    </w:p>
    <w:p>
      <w:pPr>
        <w:pStyle w:val="BodyText"/>
        <w:spacing w:line="271" w:lineRule="auto" w:before="202"/>
        <w:ind w:left="139" w:right="173"/>
        <w:jc w:val="both"/>
      </w:pPr>
      <w:r>
        <w:rPr/>
        <w:t>Tabla 1. Especies del género </w:t>
      </w:r>
      <w:r>
        <w:rPr>
          <w:i/>
        </w:rPr>
        <w:t>Francisella </w:t>
      </w:r>
      <w:r>
        <w:rPr/>
        <w:t>publicadas (Colquhoun y Duodu, 2011; Gleen y Post, 2005; Hirsh </w:t>
      </w:r>
      <w:r>
        <w:rPr>
          <w:i/>
        </w:rPr>
        <w:t>et al</w:t>
      </w:r>
      <w:r>
        <w:rPr/>
        <w:t>., 2004; Quinn </w:t>
      </w:r>
      <w:r>
        <w:rPr>
          <w:i/>
        </w:rPr>
        <w:t>et al</w:t>
      </w:r>
      <w:r>
        <w:rPr/>
        <w:t>., 2008; Huber </w:t>
      </w:r>
      <w:r>
        <w:rPr>
          <w:i/>
        </w:rPr>
        <w:t>et al</w:t>
      </w:r>
      <w:r>
        <w:rPr/>
        <w:t>., 2010)</w:t>
      </w:r>
    </w:p>
    <w:p>
      <w:pPr>
        <w:pStyle w:val="BodyText"/>
        <w:spacing w:before="9"/>
        <w:rPr>
          <w:sz w:val="18"/>
        </w:rPr>
      </w:pPr>
    </w:p>
    <w:tbl>
      <w:tblPr>
        <w:tblW w:w="0" w:type="auto"/>
        <w:jc w:val="left"/>
        <w:tblInd w:w="1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44"/>
        <w:gridCol w:w="2977"/>
        <w:gridCol w:w="2982"/>
      </w:tblGrid>
      <w:tr>
        <w:trPr>
          <w:trHeight w:val="471" w:hRule="exact"/>
        </w:trPr>
        <w:tc>
          <w:tcPr>
            <w:tcW w:w="2944" w:type="dxa"/>
          </w:tcPr>
          <w:p>
            <w:pPr>
              <w:pStyle w:val="TableParagraph"/>
              <w:spacing w:line="220" w:lineRule="exact"/>
              <w:ind w:left="106"/>
              <w:rPr>
                <w:i/>
                <w:sz w:val="20"/>
              </w:rPr>
            </w:pPr>
            <w:r>
              <w:rPr>
                <w:sz w:val="20"/>
              </w:rPr>
              <w:t>Linaje   </w:t>
            </w:r>
            <w:r>
              <w:rPr>
                <w:i/>
                <w:sz w:val="20"/>
              </w:rPr>
              <w:t>Francisella   tularensis</w:t>
            </w:r>
          </w:p>
          <w:p>
            <w:pPr>
              <w:pStyle w:val="TableParagraph"/>
              <w:spacing w:line="240" w:lineRule="auto" w:before="5"/>
              <w:ind w:left="106"/>
              <w:rPr>
                <w:sz w:val="20"/>
              </w:rPr>
            </w:pPr>
            <w:r>
              <w:rPr>
                <w:sz w:val="20"/>
              </w:rPr>
              <w:t>(afecta a mamíferos)</w:t>
            </w:r>
          </w:p>
        </w:tc>
        <w:tc>
          <w:tcPr>
            <w:tcW w:w="2977" w:type="dxa"/>
          </w:tcPr>
          <w:p>
            <w:pPr>
              <w:pStyle w:val="TableParagraph"/>
              <w:spacing w:line="220" w:lineRule="exact"/>
              <w:rPr>
                <w:i/>
                <w:sz w:val="20"/>
              </w:rPr>
            </w:pPr>
            <w:r>
              <w:rPr>
                <w:sz w:val="20"/>
              </w:rPr>
              <w:t>Linaje  </w:t>
            </w:r>
            <w:r>
              <w:rPr>
                <w:i/>
                <w:sz w:val="20"/>
              </w:rPr>
              <w:t>Francisella philomiragia</w:t>
            </w:r>
          </w:p>
          <w:p>
            <w:pPr>
              <w:pStyle w:val="TableParagraph"/>
              <w:spacing w:line="240" w:lineRule="auto" w:before="5"/>
              <w:rPr>
                <w:sz w:val="20"/>
              </w:rPr>
            </w:pPr>
            <w:r>
              <w:rPr>
                <w:sz w:val="20"/>
              </w:rPr>
              <w:t>(afecta a mamíferos y peces)</w:t>
            </w:r>
          </w:p>
        </w:tc>
        <w:tc>
          <w:tcPr>
            <w:tcW w:w="2982" w:type="dxa"/>
          </w:tcPr>
          <w:p>
            <w:pPr>
              <w:pStyle w:val="TableParagraph"/>
              <w:spacing w:line="220" w:lineRule="exact"/>
              <w:ind w:left="106"/>
              <w:rPr>
                <w:i/>
                <w:sz w:val="20"/>
              </w:rPr>
            </w:pPr>
            <w:r>
              <w:rPr>
                <w:sz w:val="20"/>
              </w:rPr>
              <w:t>Linaje </w:t>
            </w:r>
            <w:r>
              <w:rPr>
                <w:i/>
                <w:sz w:val="20"/>
              </w:rPr>
              <w:t>Francisella hispaniensis</w:t>
            </w:r>
          </w:p>
        </w:tc>
      </w:tr>
      <w:tr>
        <w:trPr>
          <w:trHeight w:val="1162" w:hRule="exact"/>
        </w:trPr>
        <w:tc>
          <w:tcPr>
            <w:tcW w:w="2944" w:type="dxa"/>
          </w:tcPr>
          <w:p>
            <w:pPr>
              <w:pStyle w:val="TableParagraph"/>
              <w:spacing w:line="242" w:lineRule="auto"/>
              <w:ind w:left="106" w:right="93"/>
              <w:jc w:val="both"/>
              <w:rPr>
                <w:sz w:val="20"/>
              </w:rPr>
            </w:pPr>
            <w:r>
              <w:rPr>
                <w:i/>
                <w:sz w:val="20"/>
              </w:rPr>
              <w:t>Francisella tularensis </w:t>
            </w:r>
            <w:r>
              <w:rPr>
                <w:sz w:val="20"/>
              </w:rPr>
              <w:t>subsp</w:t>
            </w:r>
            <w:r>
              <w:rPr>
                <w:i/>
                <w:sz w:val="20"/>
              </w:rPr>
              <w:t>. </w:t>
            </w:r>
            <w:r>
              <w:rPr>
                <w:i/>
                <w:sz w:val="20"/>
              </w:rPr>
              <w:t>tularensis </w:t>
            </w:r>
            <w:r>
              <w:rPr>
                <w:sz w:val="20"/>
              </w:rPr>
              <w:t>tipo A altamente patógena, afecta a animales domésticos y roedores silvestres, en Norteamérica</w:t>
            </w:r>
          </w:p>
        </w:tc>
        <w:tc>
          <w:tcPr>
            <w:tcW w:w="2977" w:type="dxa"/>
          </w:tcPr>
          <w:p>
            <w:pPr>
              <w:pStyle w:val="TableParagraph"/>
              <w:tabs>
                <w:tab w:pos="2011" w:val="left" w:leader="none"/>
              </w:tabs>
              <w:spacing w:line="242" w:lineRule="auto"/>
              <w:ind w:right="92"/>
              <w:jc w:val="both"/>
              <w:rPr>
                <w:sz w:val="20"/>
              </w:rPr>
            </w:pPr>
            <w:r>
              <w:rPr>
                <w:i/>
                <w:sz w:val="20"/>
              </w:rPr>
              <w:t>Francisella philomiragia, </w:t>
            </w:r>
            <w:r>
              <w:rPr>
                <w:sz w:val="20"/>
              </w:rPr>
              <w:t>a menudo </w:t>
            </w:r>
            <w:r>
              <w:rPr>
                <w:spacing w:val="-3"/>
                <w:sz w:val="20"/>
              </w:rPr>
              <w:t>se </w:t>
            </w:r>
            <w:r>
              <w:rPr>
                <w:sz w:val="20"/>
              </w:rPr>
              <w:t>encuentran en  agua y causa enfermedad sólo en</w:t>
              <w:tab/>
            </w:r>
            <w:r>
              <w:rPr>
                <w:spacing w:val="-1"/>
                <w:sz w:val="20"/>
              </w:rPr>
              <w:t>pacientes</w:t>
            </w:r>
          </w:p>
          <w:p>
            <w:pPr>
              <w:pStyle w:val="TableParagraph"/>
              <w:spacing w:line="228" w:lineRule="exact"/>
              <w:jc w:val="both"/>
              <w:rPr>
                <w:sz w:val="20"/>
              </w:rPr>
            </w:pPr>
            <w:r>
              <w:rPr>
                <w:sz w:val="20"/>
              </w:rPr>
              <w:t>inmunosuprimidos</w:t>
            </w:r>
          </w:p>
        </w:tc>
        <w:tc>
          <w:tcPr>
            <w:tcW w:w="2982" w:type="dxa"/>
          </w:tcPr>
          <w:p>
            <w:pPr>
              <w:pStyle w:val="TableParagraph"/>
              <w:tabs>
                <w:tab w:pos="1709" w:val="left" w:leader="none"/>
              </w:tabs>
              <w:spacing w:line="220" w:lineRule="exact"/>
              <w:ind w:left="106"/>
              <w:rPr>
                <w:i/>
                <w:sz w:val="20"/>
              </w:rPr>
            </w:pPr>
            <w:r>
              <w:rPr>
                <w:i/>
                <w:sz w:val="20"/>
              </w:rPr>
              <w:t>Francisella</w:t>
              <w:tab/>
              <w:t>hispaniensis,</w:t>
            </w:r>
          </w:p>
          <w:p>
            <w:pPr>
              <w:pStyle w:val="TableParagraph"/>
              <w:spacing w:line="240" w:lineRule="auto" w:before="5"/>
              <w:ind w:left="106"/>
              <w:rPr>
                <w:sz w:val="20"/>
              </w:rPr>
            </w:pPr>
            <w:r>
              <w:rPr>
                <w:sz w:val="20"/>
              </w:rPr>
              <w:t>aislada de sangre humana.</w:t>
            </w:r>
          </w:p>
        </w:tc>
      </w:tr>
      <w:tr>
        <w:trPr>
          <w:trHeight w:val="1618" w:hRule="exact"/>
        </w:trPr>
        <w:tc>
          <w:tcPr>
            <w:tcW w:w="2944" w:type="dxa"/>
          </w:tcPr>
          <w:p>
            <w:pPr>
              <w:pStyle w:val="TableParagraph"/>
              <w:spacing w:line="240" w:lineRule="auto"/>
              <w:ind w:left="106" w:right="94"/>
              <w:jc w:val="both"/>
              <w:rPr>
                <w:sz w:val="20"/>
              </w:rPr>
            </w:pPr>
            <w:r>
              <w:rPr>
                <w:i/>
                <w:sz w:val="20"/>
              </w:rPr>
              <w:t>Francisella tularensis </w:t>
            </w:r>
            <w:r>
              <w:rPr>
                <w:sz w:val="20"/>
              </w:rPr>
              <w:t>subsp</w:t>
            </w:r>
            <w:r>
              <w:rPr>
                <w:i/>
                <w:sz w:val="20"/>
              </w:rPr>
              <w:t>. </w:t>
            </w:r>
            <w:r>
              <w:rPr>
                <w:i/>
                <w:sz w:val="20"/>
              </w:rPr>
              <w:t>Holartica </w:t>
            </w:r>
            <w:r>
              <w:rPr>
                <w:sz w:val="20"/>
              </w:rPr>
              <w:t>tipo B altamente patógena, afecta a animales domésticos y roedores silvestres, en Europa, Asia y Norteamérica</w:t>
            </w:r>
          </w:p>
        </w:tc>
        <w:tc>
          <w:tcPr>
            <w:tcW w:w="2977" w:type="dxa"/>
          </w:tcPr>
          <w:p>
            <w:pPr>
              <w:pStyle w:val="TableParagraph"/>
              <w:spacing w:line="240" w:lineRule="auto"/>
              <w:ind w:right="92"/>
              <w:jc w:val="both"/>
              <w:rPr>
                <w:i/>
                <w:sz w:val="20"/>
              </w:rPr>
            </w:pPr>
            <w:r>
              <w:rPr>
                <w:i/>
                <w:sz w:val="20"/>
              </w:rPr>
              <w:t>Francisella noatunensis </w:t>
            </w:r>
            <w:r>
              <w:rPr>
                <w:sz w:val="20"/>
              </w:rPr>
              <w:t>subsp. </w:t>
            </w:r>
            <w:r>
              <w:rPr>
                <w:i/>
                <w:sz w:val="20"/>
              </w:rPr>
              <w:t>noatunensis, </w:t>
            </w:r>
            <w:r>
              <w:rPr>
                <w:sz w:val="20"/>
              </w:rPr>
              <w:t>afecta a especies de peces como son: </w:t>
            </w:r>
            <w:r>
              <w:rPr>
                <w:i/>
                <w:sz w:val="20"/>
              </w:rPr>
              <w:t>Parapristipoma trilineatum</w:t>
            </w:r>
            <w:r>
              <w:rPr>
                <w:sz w:val="20"/>
              </w:rPr>
              <w:t>, (Bacalao del Atlántico) Atlantic cod </w:t>
            </w:r>
            <w:r>
              <w:rPr>
                <w:i/>
                <w:sz w:val="20"/>
              </w:rPr>
              <w:t>Gadus morhua</w:t>
            </w:r>
            <w:r>
              <w:rPr>
                <w:sz w:val="20"/>
              </w:rPr>
              <w:t>, (salmón del atlántico) </w:t>
            </w:r>
            <w:r>
              <w:rPr>
                <w:i/>
                <w:sz w:val="20"/>
              </w:rPr>
              <w:t>salmo salar</w:t>
            </w:r>
          </w:p>
        </w:tc>
        <w:tc>
          <w:tcPr>
            <w:tcW w:w="2982" w:type="dxa"/>
          </w:tcPr>
          <w:p>
            <w:pPr/>
          </w:p>
        </w:tc>
      </w:tr>
      <w:tr>
        <w:trPr>
          <w:trHeight w:val="1623" w:hRule="exact"/>
        </w:trPr>
        <w:tc>
          <w:tcPr>
            <w:tcW w:w="2944" w:type="dxa"/>
          </w:tcPr>
          <w:p>
            <w:pPr>
              <w:pStyle w:val="TableParagraph"/>
              <w:spacing w:line="242" w:lineRule="auto"/>
              <w:ind w:left="106" w:right="93"/>
              <w:jc w:val="both"/>
              <w:rPr>
                <w:sz w:val="20"/>
              </w:rPr>
            </w:pPr>
            <w:r>
              <w:rPr>
                <w:i/>
                <w:sz w:val="20"/>
              </w:rPr>
              <w:t>Francisella tularensis </w:t>
            </w:r>
            <w:r>
              <w:rPr>
                <w:sz w:val="20"/>
              </w:rPr>
              <w:t>subsp</w:t>
            </w:r>
            <w:r>
              <w:rPr>
                <w:i/>
                <w:sz w:val="20"/>
              </w:rPr>
              <w:t>. </w:t>
            </w:r>
            <w:r>
              <w:rPr>
                <w:i/>
                <w:sz w:val="20"/>
              </w:rPr>
              <w:t>mediasiatica, </w:t>
            </w:r>
            <w:r>
              <w:rPr>
                <w:sz w:val="20"/>
              </w:rPr>
              <w:t>afecta a animales silvestres, no ha sido aislada de personas</w:t>
            </w:r>
            <w:r>
              <w:rPr>
                <w:spacing w:val="-19"/>
                <w:sz w:val="20"/>
              </w:rPr>
              <w:t> </w:t>
            </w:r>
            <w:r>
              <w:rPr>
                <w:sz w:val="20"/>
              </w:rPr>
              <w:t>enfermas, distribuida en Asia</w:t>
            </w:r>
            <w:r>
              <w:rPr>
                <w:spacing w:val="-6"/>
                <w:sz w:val="20"/>
              </w:rPr>
              <w:t> </w:t>
            </w:r>
            <w:r>
              <w:rPr>
                <w:sz w:val="20"/>
              </w:rPr>
              <w:t>central</w:t>
            </w:r>
          </w:p>
        </w:tc>
        <w:tc>
          <w:tcPr>
            <w:tcW w:w="2977" w:type="dxa"/>
          </w:tcPr>
          <w:p>
            <w:pPr>
              <w:pStyle w:val="TableParagraph"/>
              <w:spacing w:line="242" w:lineRule="auto"/>
              <w:ind w:right="94"/>
              <w:jc w:val="both"/>
              <w:rPr>
                <w:sz w:val="20"/>
              </w:rPr>
            </w:pPr>
            <w:r>
              <w:rPr>
                <w:i/>
                <w:sz w:val="20"/>
              </w:rPr>
              <w:t>Francisella noatunensis </w:t>
            </w:r>
            <w:r>
              <w:rPr>
                <w:sz w:val="20"/>
              </w:rPr>
              <w:t>subsp</w:t>
            </w:r>
            <w:r>
              <w:rPr>
                <w:i/>
                <w:sz w:val="20"/>
              </w:rPr>
              <w:t>. </w:t>
            </w:r>
            <w:r>
              <w:rPr>
                <w:i/>
                <w:sz w:val="20"/>
              </w:rPr>
              <w:t>orientalis, </w:t>
            </w:r>
            <w:r>
              <w:rPr>
                <w:sz w:val="20"/>
              </w:rPr>
              <w:t>afecta a diferentes especies de peces como son: Dicentrarchus labrax (robalo) y lubina Atractoscion nobilis, three-line grunts y diferentes especies de ciclídos.</w:t>
            </w:r>
          </w:p>
        </w:tc>
        <w:tc>
          <w:tcPr>
            <w:tcW w:w="2982" w:type="dxa"/>
          </w:tcPr>
          <w:p>
            <w:pPr/>
          </w:p>
        </w:tc>
      </w:tr>
      <w:tr>
        <w:trPr>
          <w:trHeight w:val="1157" w:hRule="exact"/>
        </w:trPr>
        <w:tc>
          <w:tcPr>
            <w:tcW w:w="2944" w:type="dxa"/>
          </w:tcPr>
          <w:p>
            <w:pPr>
              <w:pStyle w:val="TableParagraph"/>
              <w:tabs>
                <w:tab w:pos="1786" w:val="left" w:leader="none"/>
              </w:tabs>
              <w:spacing w:line="240" w:lineRule="auto"/>
              <w:ind w:left="106" w:right="96"/>
              <w:jc w:val="both"/>
              <w:rPr>
                <w:sz w:val="20"/>
              </w:rPr>
            </w:pPr>
            <w:r>
              <w:rPr>
                <w:i/>
                <w:sz w:val="20"/>
              </w:rPr>
              <w:t>Francisella tularensis </w:t>
            </w:r>
            <w:r>
              <w:rPr>
                <w:sz w:val="20"/>
              </w:rPr>
              <w:t>subsp</w:t>
            </w:r>
            <w:r>
              <w:rPr>
                <w:i/>
                <w:sz w:val="20"/>
              </w:rPr>
              <w:t>. </w:t>
            </w:r>
            <w:r>
              <w:rPr>
                <w:i/>
                <w:sz w:val="20"/>
              </w:rPr>
              <w:t>novicida,</w:t>
              <w:tab/>
            </w:r>
            <w:r>
              <w:rPr>
                <w:sz w:val="20"/>
              </w:rPr>
              <w:t>de       </w:t>
            </w:r>
            <w:r>
              <w:rPr>
                <w:spacing w:val="1"/>
                <w:sz w:val="20"/>
              </w:rPr>
              <w:t> </w:t>
            </w:r>
            <w:r>
              <w:rPr>
                <w:sz w:val="20"/>
              </w:rPr>
              <w:t>baja</w:t>
            </w:r>
            <w:r>
              <w:rPr>
                <w:w w:val="100"/>
                <w:sz w:val="20"/>
              </w:rPr>
              <w:t> </w:t>
            </w:r>
            <w:r>
              <w:rPr>
                <w:sz w:val="20"/>
              </w:rPr>
              <w:t>patogenicidad en el hombre, reportado</w:t>
            </w:r>
            <w:r>
              <w:rPr>
                <w:spacing w:val="-12"/>
                <w:sz w:val="20"/>
              </w:rPr>
              <w:t> </w:t>
            </w:r>
            <w:r>
              <w:rPr>
                <w:sz w:val="20"/>
              </w:rPr>
              <w:t>en</w:t>
            </w:r>
            <w:r>
              <w:rPr>
                <w:spacing w:val="-12"/>
                <w:sz w:val="20"/>
              </w:rPr>
              <w:t> </w:t>
            </w:r>
            <w:r>
              <w:rPr>
                <w:sz w:val="20"/>
              </w:rPr>
              <w:t>casos</w:t>
            </w:r>
            <w:r>
              <w:rPr>
                <w:spacing w:val="-15"/>
                <w:sz w:val="20"/>
              </w:rPr>
              <w:t> </w:t>
            </w:r>
            <w:r>
              <w:rPr>
                <w:sz w:val="20"/>
              </w:rPr>
              <w:t>de</w:t>
            </w:r>
            <w:r>
              <w:rPr>
                <w:spacing w:val="-12"/>
                <w:sz w:val="20"/>
              </w:rPr>
              <w:t> </w:t>
            </w:r>
            <w:r>
              <w:rPr>
                <w:sz w:val="20"/>
              </w:rPr>
              <w:t>Estados Unidos y</w:t>
            </w:r>
            <w:r>
              <w:rPr>
                <w:spacing w:val="-6"/>
                <w:sz w:val="20"/>
              </w:rPr>
              <w:t> </w:t>
            </w:r>
            <w:r>
              <w:rPr>
                <w:sz w:val="20"/>
              </w:rPr>
              <w:t>Canadá</w:t>
            </w:r>
          </w:p>
        </w:tc>
        <w:tc>
          <w:tcPr>
            <w:tcW w:w="2977" w:type="dxa"/>
          </w:tcPr>
          <w:p>
            <w:pPr/>
          </w:p>
        </w:tc>
        <w:tc>
          <w:tcPr>
            <w:tcW w:w="2982" w:type="dxa"/>
          </w:tcPr>
          <w:p>
            <w:pPr/>
          </w:p>
        </w:tc>
      </w:tr>
    </w:tbl>
    <w:p>
      <w:pPr>
        <w:pStyle w:val="BodyText"/>
        <w:rPr>
          <w:sz w:val="20"/>
        </w:rPr>
      </w:pPr>
    </w:p>
    <w:p>
      <w:pPr>
        <w:pStyle w:val="BodyText"/>
        <w:spacing w:before="2"/>
        <w:rPr>
          <w:sz w:val="18"/>
        </w:rPr>
      </w:pPr>
    </w:p>
    <w:p>
      <w:pPr>
        <w:pStyle w:val="Heading1"/>
        <w:numPr>
          <w:ilvl w:val="1"/>
          <w:numId w:val="3"/>
        </w:numPr>
        <w:tabs>
          <w:tab w:pos="677" w:val="left" w:leader="none"/>
        </w:tabs>
        <w:spacing w:line="240" w:lineRule="auto" w:before="70" w:after="0"/>
        <w:ind w:left="676" w:right="0" w:hanging="537"/>
        <w:jc w:val="both"/>
      </w:pPr>
      <w:bookmarkStart w:name="_bookmark21" w:id="37"/>
      <w:bookmarkEnd w:id="37"/>
      <w:r>
        <w:rPr>
          <w:b w:val="0"/>
        </w:rPr>
      </w:r>
      <w:bookmarkStart w:name="_bookmark21" w:id="38"/>
      <w:bookmarkEnd w:id="38"/>
      <w:r>
        <w:rPr>
          <w:color w:val="365F91"/>
        </w:rPr>
        <w:t>F</w:t>
      </w:r>
      <w:r>
        <w:rPr>
          <w:color w:val="365F91"/>
        </w:rPr>
        <w:t>rancisellosis en</w:t>
      </w:r>
      <w:r>
        <w:rPr>
          <w:color w:val="365F91"/>
          <w:spacing w:val="-16"/>
        </w:rPr>
        <w:t> </w:t>
      </w:r>
      <w:r>
        <w:rPr>
          <w:color w:val="365F91"/>
        </w:rPr>
        <w:t>Peces.</w:t>
      </w:r>
    </w:p>
    <w:p>
      <w:pPr>
        <w:pStyle w:val="BodyText"/>
        <w:spacing w:line="276" w:lineRule="auto" w:before="45"/>
        <w:ind w:left="139" w:right="175"/>
        <w:jc w:val="both"/>
      </w:pPr>
      <w:r>
        <w:rPr/>
        <w:t>La francisellosis es una enfermedad granulomatosa cuyos agentes causales son bacterias del género </w:t>
      </w:r>
      <w:r>
        <w:rPr>
          <w:i/>
        </w:rPr>
        <w:t>Francisella </w:t>
      </w:r>
      <w:r>
        <w:rPr/>
        <w:t>que afectan a diferentes especies animales tanto terrestres como acuáticos. Entre las especies de peces afectadas por esta enfermedad se encuentra la tilapia (</w:t>
      </w:r>
      <w:r>
        <w:rPr>
          <w:i/>
        </w:rPr>
        <w:t>Oreochromis </w:t>
      </w:r>
      <w:r>
        <w:rPr/>
        <w:t>sp. y sus híbridos). Los primeros casos de la enfermedad en esta especie se presentaron en el año de 1994 en tilapias de cultivo y silvestre de Taiwán (Chen </w:t>
      </w:r>
      <w:r>
        <w:rPr>
          <w:i/>
        </w:rPr>
        <w:t>et al</w:t>
      </w:r>
      <w:r>
        <w:rPr/>
        <w:t>., 1994; Chern </w:t>
      </w:r>
      <w:r>
        <w:rPr>
          <w:i/>
        </w:rPr>
        <w:t>et al</w:t>
      </w:r>
      <w:r>
        <w:rPr/>
        <w:t>., 1994).</w:t>
      </w:r>
    </w:p>
    <w:p>
      <w:pPr>
        <w:pStyle w:val="BodyText"/>
        <w:spacing w:line="276" w:lineRule="auto" w:before="207"/>
        <w:ind w:left="139" w:right="175"/>
        <w:jc w:val="both"/>
      </w:pPr>
      <w:r>
        <w:rPr/>
        <w:t>Otros casos semejantes que se presentaron en 1994 ocurrieron en tilapias de género </w:t>
      </w:r>
      <w:r>
        <w:rPr>
          <w:i/>
        </w:rPr>
        <w:t>Oreochromis mossambicus </w:t>
      </w:r>
      <w:r>
        <w:rPr/>
        <w:t>y </w:t>
      </w:r>
      <w:r>
        <w:rPr>
          <w:i/>
        </w:rPr>
        <w:t>Sarotherodon melanotheron </w:t>
      </w:r>
      <w:r>
        <w:rPr/>
        <w:t>silvestres y en poblaciones cultivadas en Oahu, Hawaii donde los animales comenzaron a morir de una enfermedad desconocida que era similar pero no idéntica a la piscirickettsiosis de  los salmónidos. Los ejemplares que enfermaron  presentaban</w:t>
      </w:r>
    </w:p>
    <w:p>
      <w:pPr>
        <w:spacing w:after="0" w:line="276" w:lineRule="auto"/>
        <w:jc w:val="both"/>
        <w:sectPr>
          <w:pgSz w:w="12240" w:h="15840"/>
          <w:pgMar w:header="752" w:footer="998" w:top="1000" w:bottom="1180" w:left="1560" w:right="1520"/>
        </w:sectPr>
      </w:pPr>
    </w:p>
    <w:p>
      <w:pPr>
        <w:pStyle w:val="BodyText"/>
        <w:rPr>
          <w:sz w:val="29"/>
        </w:rPr>
      </w:pPr>
    </w:p>
    <w:p>
      <w:pPr>
        <w:pStyle w:val="BodyText"/>
        <w:spacing w:line="276" w:lineRule="auto" w:before="70"/>
        <w:ind w:left="139" w:right="133"/>
        <w:jc w:val="both"/>
      </w:pPr>
      <w:r>
        <w:rPr/>
        <w:t>nadó errático y aparecían muertos en la superficie. En la mayoría de los casos los peces fueron encontrados muertos y sin signos clínicos de enfermedad. A la necropsia se observaba la formación de múltiples nódulos en las muestras analizadas, estas lesiones al microscopio fueron identificadas como formación de múltiples granulomas presentes en branquias, bazo, riñón, glándulas coroides y testículos, excepto en el hígado. Las mortalidades se presentaron sólo durante los meses más fríos (octubre a abril) del año con temperaturas de 20 a 25°C (Mauel </w:t>
      </w:r>
      <w:r>
        <w:rPr>
          <w:i/>
        </w:rPr>
        <w:t>et </w:t>
      </w:r>
      <w:r>
        <w:rPr>
          <w:i/>
        </w:rPr>
        <w:t>al</w:t>
      </w:r>
      <w:r>
        <w:rPr/>
        <w:t>., 2003).</w:t>
      </w:r>
    </w:p>
    <w:p>
      <w:pPr>
        <w:pStyle w:val="BodyText"/>
        <w:spacing w:line="273" w:lineRule="auto" w:before="207"/>
        <w:ind w:left="139" w:right="133"/>
        <w:jc w:val="both"/>
      </w:pPr>
      <w:r>
        <w:rPr/>
        <w:t>Durante la última década se han presentado brotes de la enfermedad de francisellosis en las tilapias de Estados Unidos Soto </w:t>
      </w:r>
      <w:r>
        <w:rPr>
          <w:i/>
        </w:rPr>
        <w:t>et al</w:t>
      </w:r>
      <w:r>
        <w:rPr/>
        <w:t>., (2011); Costa rica Soto </w:t>
      </w:r>
      <w:r>
        <w:rPr>
          <w:i/>
        </w:rPr>
        <w:t>et al</w:t>
      </w:r>
      <w:r>
        <w:rPr/>
        <w:t>., (2009); Reino Unido Jeffery </w:t>
      </w:r>
      <w:r>
        <w:rPr>
          <w:i/>
        </w:rPr>
        <w:t>et al</w:t>
      </w:r>
      <w:r>
        <w:rPr/>
        <w:t>., (2010); Brasil Leal </w:t>
      </w:r>
      <w:r>
        <w:rPr>
          <w:i/>
        </w:rPr>
        <w:t>et al</w:t>
      </w:r>
      <w:r>
        <w:rPr/>
        <w:t>., (2014) y más recientemente en México aunque no se ha dado el reporte oficial (Mancera </w:t>
      </w:r>
      <w:r>
        <w:rPr>
          <w:i/>
        </w:rPr>
        <w:t>et al</w:t>
      </w:r>
      <w:r>
        <w:rPr/>
        <w:t>., 2013a).</w:t>
      </w:r>
    </w:p>
    <w:p>
      <w:pPr>
        <w:pStyle w:val="BodyText"/>
        <w:spacing w:line="276" w:lineRule="auto" w:before="210"/>
        <w:ind w:left="139" w:right="133"/>
        <w:jc w:val="both"/>
      </w:pPr>
      <w:r>
        <w:rPr/>
        <w:t>En México el primer caso de la francisellosis de presentó a finales de diciembre  del</w:t>
      </w:r>
      <w:r>
        <w:rPr>
          <w:spacing w:val="-7"/>
        </w:rPr>
        <w:t> </w:t>
      </w:r>
      <w:r>
        <w:rPr/>
        <w:t>2012</w:t>
      </w:r>
      <w:r>
        <w:rPr>
          <w:spacing w:val="-11"/>
        </w:rPr>
        <w:t> </w:t>
      </w:r>
      <w:r>
        <w:rPr/>
        <w:t>en</w:t>
      </w:r>
      <w:r>
        <w:rPr>
          <w:spacing w:val="-11"/>
        </w:rPr>
        <w:t> </w:t>
      </w:r>
      <w:r>
        <w:rPr/>
        <w:t>una</w:t>
      </w:r>
      <w:r>
        <w:rPr>
          <w:spacing w:val="-6"/>
        </w:rPr>
        <w:t> </w:t>
      </w:r>
      <w:r>
        <w:rPr/>
        <w:t>granja</w:t>
      </w:r>
      <w:r>
        <w:rPr>
          <w:spacing w:val="-6"/>
        </w:rPr>
        <w:t> </w:t>
      </w:r>
      <w:r>
        <w:rPr/>
        <w:t>de</w:t>
      </w:r>
      <w:r>
        <w:rPr>
          <w:spacing w:val="-11"/>
        </w:rPr>
        <w:t> </w:t>
      </w:r>
      <w:r>
        <w:rPr/>
        <w:t>reproducción</w:t>
      </w:r>
      <w:r>
        <w:rPr>
          <w:spacing w:val="-11"/>
        </w:rPr>
        <w:t> </w:t>
      </w:r>
      <w:r>
        <w:rPr/>
        <w:t>del</w:t>
      </w:r>
      <w:r>
        <w:rPr>
          <w:spacing w:val="-4"/>
        </w:rPr>
        <w:t> </w:t>
      </w:r>
      <w:r>
        <w:rPr/>
        <w:t>estado</w:t>
      </w:r>
      <w:r>
        <w:rPr>
          <w:spacing w:val="-6"/>
        </w:rPr>
        <w:t> </w:t>
      </w:r>
      <w:r>
        <w:rPr/>
        <w:t>de</w:t>
      </w:r>
      <w:r>
        <w:rPr>
          <w:spacing w:val="-11"/>
        </w:rPr>
        <w:t> </w:t>
      </w:r>
      <w:r>
        <w:rPr/>
        <w:t>Morelos,</w:t>
      </w:r>
      <w:r>
        <w:rPr>
          <w:spacing w:val="-6"/>
        </w:rPr>
        <w:t> </w:t>
      </w:r>
      <w:r>
        <w:rPr/>
        <w:t>y</w:t>
      </w:r>
      <w:r>
        <w:rPr>
          <w:spacing w:val="-12"/>
        </w:rPr>
        <w:t> </w:t>
      </w:r>
      <w:r>
        <w:rPr/>
        <w:t>posteriormente</w:t>
      </w:r>
      <w:r>
        <w:rPr>
          <w:spacing w:val="-6"/>
        </w:rPr>
        <w:t> </w:t>
      </w:r>
      <w:r>
        <w:rPr/>
        <w:t>se observó en otras granjas del mismo estado durante los primeros meses de </w:t>
      </w:r>
      <w:r>
        <w:rPr>
          <w:spacing w:val="2"/>
        </w:rPr>
        <w:t>2013. </w:t>
      </w:r>
      <w:r>
        <w:rPr/>
        <w:t>Estos casos se caracterizaron por la presencia de nódulos blancos en bazo y riñón principalmente, aumento de tamaño de diferentes órganos y por la presencia de adherencias y ascitis en cavidad abdominal; histológicamente se observaba inflamación granulomatosa con formación de granulomas en bazo y riñón, la mortalidad que se presentó en granjas afectadas fue de hasta un 40%, los peces </w:t>
      </w:r>
      <w:r>
        <w:rPr>
          <w:spacing w:val="-3"/>
        </w:rPr>
        <w:t>más </w:t>
      </w:r>
      <w:r>
        <w:rPr/>
        <w:t>afectados era los que tenían un peso de entre 200 y 350 grs. (Mancera </w:t>
      </w:r>
      <w:r>
        <w:rPr>
          <w:i/>
        </w:rPr>
        <w:t>et al</w:t>
      </w:r>
      <w:r>
        <w:rPr/>
        <w:t>., 2013a y</w:t>
      </w:r>
      <w:r>
        <w:rPr>
          <w:spacing w:val="-8"/>
        </w:rPr>
        <w:t> </w:t>
      </w:r>
      <w:r>
        <w:rPr/>
        <w:t>2013b).</w:t>
      </w:r>
    </w:p>
    <w:p>
      <w:pPr>
        <w:pStyle w:val="Heading1"/>
        <w:numPr>
          <w:ilvl w:val="1"/>
          <w:numId w:val="3"/>
        </w:numPr>
        <w:tabs>
          <w:tab w:pos="678" w:val="left" w:leader="none"/>
        </w:tabs>
        <w:spacing w:line="240" w:lineRule="auto" w:before="202" w:after="0"/>
        <w:ind w:left="677" w:right="0" w:hanging="538"/>
        <w:jc w:val="both"/>
      </w:pPr>
      <w:bookmarkStart w:name="_bookmark22" w:id="39"/>
      <w:bookmarkEnd w:id="39"/>
      <w:r>
        <w:rPr>
          <w:b w:val="0"/>
        </w:rPr>
      </w:r>
      <w:bookmarkStart w:name="_bookmark22" w:id="40"/>
      <w:bookmarkEnd w:id="40"/>
      <w:r>
        <w:rPr>
          <w:color w:val="365F91"/>
        </w:rPr>
        <w:t>S</w:t>
      </w:r>
      <w:r>
        <w:rPr>
          <w:color w:val="365F91"/>
        </w:rPr>
        <w:t>ignos clínicos de</w:t>
      </w:r>
      <w:r>
        <w:rPr>
          <w:color w:val="365F91"/>
          <w:spacing w:val="-14"/>
        </w:rPr>
        <w:t> </w:t>
      </w:r>
      <w:r>
        <w:rPr>
          <w:color w:val="365F91"/>
        </w:rPr>
        <w:t>francisellosis</w:t>
      </w:r>
    </w:p>
    <w:p>
      <w:pPr>
        <w:pStyle w:val="BodyText"/>
        <w:spacing w:line="276" w:lineRule="auto" w:before="45"/>
        <w:ind w:left="139" w:right="133"/>
        <w:jc w:val="both"/>
      </w:pPr>
      <w:r>
        <w:rPr/>
        <w:t>Los signos clínicos producidos por la enfermedad de francisellosis en las distintas especies de peces se pueden resumir </w:t>
      </w:r>
      <w:r>
        <w:rPr>
          <w:spacing w:val="-3"/>
        </w:rPr>
        <w:t>como </w:t>
      </w:r>
      <w:r>
        <w:rPr/>
        <w:t>infecciones sistémicas agudas o crónicas, con presencia de granulomas que producen grados variables de mortalidad que van desde el 1% al 90% dependiendo de la especie y etapa productiva afectada. Las manifestaciones clínicas </w:t>
      </w:r>
      <w:r>
        <w:rPr>
          <w:spacing w:val="-3"/>
        </w:rPr>
        <w:t>más </w:t>
      </w:r>
      <w:r>
        <w:rPr/>
        <w:t>evidentes son: peces letárgicos,</w:t>
      </w:r>
      <w:r>
        <w:rPr>
          <w:spacing w:val="-10"/>
        </w:rPr>
        <w:t> </w:t>
      </w:r>
      <w:r>
        <w:rPr/>
        <w:t>flotando,</w:t>
      </w:r>
      <w:r>
        <w:rPr>
          <w:spacing w:val="-17"/>
        </w:rPr>
        <w:t> </w:t>
      </w:r>
      <w:r>
        <w:rPr/>
        <w:t>incoordinación</w:t>
      </w:r>
      <w:r>
        <w:rPr>
          <w:spacing w:val="-7"/>
        </w:rPr>
        <w:t> </w:t>
      </w:r>
      <w:r>
        <w:rPr/>
        <w:t>natatoria,</w:t>
      </w:r>
      <w:r>
        <w:rPr>
          <w:spacing w:val="-12"/>
        </w:rPr>
        <w:t> </w:t>
      </w:r>
      <w:r>
        <w:rPr/>
        <w:t>exoftalmia,</w:t>
      </w:r>
      <w:r>
        <w:rPr>
          <w:spacing w:val="-12"/>
        </w:rPr>
        <w:t> </w:t>
      </w:r>
      <w:r>
        <w:rPr/>
        <w:t>anorexia</w:t>
      </w:r>
      <w:r>
        <w:rPr>
          <w:spacing w:val="-12"/>
        </w:rPr>
        <w:t> </w:t>
      </w:r>
      <w:r>
        <w:rPr/>
        <w:t>o</w:t>
      </w:r>
      <w:r>
        <w:rPr>
          <w:spacing w:val="-12"/>
        </w:rPr>
        <w:t> </w:t>
      </w:r>
      <w:r>
        <w:rPr/>
        <w:t>disminución</w:t>
      </w:r>
      <w:r>
        <w:rPr>
          <w:spacing w:val="-11"/>
        </w:rPr>
        <w:t> </w:t>
      </w:r>
      <w:r>
        <w:rPr/>
        <w:t>del consumo de alimento, abdomen abultado. Es importante comentar que estas observaciones</w:t>
      </w:r>
      <w:r>
        <w:rPr>
          <w:spacing w:val="-14"/>
        </w:rPr>
        <w:t> </w:t>
      </w:r>
      <w:r>
        <w:rPr/>
        <w:t>se</w:t>
      </w:r>
      <w:r>
        <w:rPr>
          <w:spacing w:val="-17"/>
        </w:rPr>
        <w:t> </w:t>
      </w:r>
      <w:r>
        <w:rPr/>
        <w:t>han</w:t>
      </w:r>
      <w:r>
        <w:rPr>
          <w:spacing w:val="-17"/>
        </w:rPr>
        <w:t> </w:t>
      </w:r>
      <w:r>
        <w:rPr/>
        <w:t>encontrado</w:t>
      </w:r>
      <w:r>
        <w:rPr>
          <w:spacing w:val="-14"/>
        </w:rPr>
        <w:t> </w:t>
      </w:r>
      <w:r>
        <w:rPr/>
        <w:t>comúnmente</w:t>
      </w:r>
      <w:r>
        <w:rPr>
          <w:spacing w:val="-13"/>
        </w:rPr>
        <w:t> </w:t>
      </w:r>
      <w:r>
        <w:rPr/>
        <w:t>en</w:t>
      </w:r>
      <w:r>
        <w:rPr>
          <w:spacing w:val="-18"/>
        </w:rPr>
        <w:t> </w:t>
      </w:r>
      <w:r>
        <w:rPr/>
        <w:t>bacalao</w:t>
      </w:r>
      <w:r>
        <w:rPr>
          <w:spacing w:val="-17"/>
        </w:rPr>
        <w:t> </w:t>
      </w:r>
      <w:r>
        <w:rPr/>
        <w:t>del</w:t>
      </w:r>
      <w:r>
        <w:rPr>
          <w:spacing w:val="-14"/>
        </w:rPr>
        <w:t> </w:t>
      </w:r>
      <w:r>
        <w:rPr/>
        <w:t>Atlántico,</w:t>
      </w:r>
      <w:r>
        <w:rPr>
          <w:spacing w:val="-3"/>
        </w:rPr>
        <w:t> </w:t>
      </w:r>
      <w:r>
        <w:rPr/>
        <w:t>three-lined grunt</w:t>
      </w:r>
      <w:r>
        <w:rPr>
          <w:i/>
        </w:rPr>
        <w:t>, </w:t>
      </w:r>
      <w:r>
        <w:rPr/>
        <w:t>hybrid striped bass y en ciclídos ornamentales (Nylund </w:t>
      </w:r>
      <w:r>
        <w:rPr>
          <w:i/>
        </w:rPr>
        <w:t>et al</w:t>
      </w:r>
      <w:r>
        <w:rPr/>
        <w:t>., 2006; Zerihun </w:t>
      </w:r>
      <w:r>
        <w:rPr>
          <w:i/>
        </w:rPr>
        <w:t>et al</w:t>
      </w:r>
      <w:r>
        <w:rPr/>
        <w:t>., 2011; Kamaishi </w:t>
      </w:r>
      <w:r>
        <w:rPr>
          <w:i/>
        </w:rPr>
        <w:t>et al</w:t>
      </w:r>
      <w:r>
        <w:rPr/>
        <w:t>.,</w:t>
      </w:r>
      <w:r>
        <w:rPr>
          <w:spacing w:val="-7"/>
        </w:rPr>
        <w:t> </w:t>
      </w:r>
      <w:r>
        <w:rPr/>
        <w:t>2005).</w:t>
      </w:r>
    </w:p>
    <w:p>
      <w:pPr>
        <w:pStyle w:val="BodyText"/>
        <w:spacing w:line="276" w:lineRule="auto" w:before="207"/>
        <w:ind w:left="139" w:right="135"/>
        <w:jc w:val="both"/>
      </w:pPr>
      <w:r>
        <w:rPr/>
        <w:t>En</w:t>
      </w:r>
      <w:r>
        <w:rPr>
          <w:spacing w:val="-7"/>
        </w:rPr>
        <w:t> </w:t>
      </w:r>
      <w:r>
        <w:rPr/>
        <w:t>la</w:t>
      </w:r>
      <w:r>
        <w:rPr>
          <w:spacing w:val="-7"/>
        </w:rPr>
        <w:t> </w:t>
      </w:r>
      <w:r>
        <w:rPr/>
        <w:t>tilapia</w:t>
      </w:r>
      <w:r>
        <w:rPr>
          <w:spacing w:val="-12"/>
        </w:rPr>
        <w:t> </w:t>
      </w:r>
      <w:r>
        <w:rPr/>
        <w:t>(</w:t>
      </w:r>
      <w:r>
        <w:rPr>
          <w:i/>
        </w:rPr>
        <w:t>Oreochromis</w:t>
      </w:r>
      <w:r>
        <w:rPr>
          <w:i/>
          <w:spacing w:val="-6"/>
        </w:rPr>
        <w:t> </w:t>
      </w:r>
      <w:r>
        <w:rPr/>
        <w:t>sp)</w:t>
      </w:r>
      <w:r>
        <w:rPr>
          <w:spacing w:val="-6"/>
        </w:rPr>
        <w:t> </w:t>
      </w:r>
      <w:r>
        <w:rPr/>
        <w:t>la</w:t>
      </w:r>
      <w:r>
        <w:rPr>
          <w:spacing w:val="-7"/>
        </w:rPr>
        <w:t> </w:t>
      </w:r>
      <w:r>
        <w:rPr/>
        <w:t>enfermedad</w:t>
      </w:r>
      <w:r>
        <w:rPr>
          <w:spacing w:val="-7"/>
        </w:rPr>
        <w:t> </w:t>
      </w:r>
      <w:r>
        <w:rPr/>
        <w:t>puede</w:t>
      </w:r>
      <w:r>
        <w:rPr>
          <w:spacing w:val="-7"/>
        </w:rPr>
        <w:t> </w:t>
      </w:r>
      <w:r>
        <w:rPr/>
        <w:t>presentarse</w:t>
      </w:r>
      <w:r>
        <w:rPr>
          <w:spacing w:val="-7"/>
        </w:rPr>
        <w:t> </w:t>
      </w:r>
      <w:r>
        <w:rPr/>
        <w:t>como</w:t>
      </w:r>
      <w:r>
        <w:rPr>
          <w:spacing w:val="-7"/>
        </w:rPr>
        <w:t> </w:t>
      </w:r>
      <w:r>
        <w:rPr/>
        <w:t>un</w:t>
      </w:r>
      <w:r>
        <w:rPr>
          <w:spacing w:val="-7"/>
        </w:rPr>
        <w:t> </w:t>
      </w:r>
      <w:r>
        <w:rPr/>
        <w:t>síndrome agudo con pocos signos clínicos no específicos y </w:t>
      </w:r>
      <w:r>
        <w:rPr>
          <w:spacing w:val="2"/>
        </w:rPr>
        <w:t>altas </w:t>
      </w:r>
      <w:r>
        <w:rPr/>
        <w:t>tasas de mortalidad o también como un síndrome subagudo o crónico con signos clínicos inespecíficos como    pueden   ser    anorexia,   exoftalmia,   anemia,   abdomen   distendido   </w:t>
      </w:r>
      <w:r>
        <w:rPr>
          <w:spacing w:val="61"/>
        </w:rPr>
        <w:t> </w:t>
      </w:r>
      <w:r>
        <w:rPr/>
        <w:t>e</w:t>
      </w:r>
    </w:p>
    <w:p>
      <w:pPr>
        <w:spacing w:after="0" w:line="276" w:lineRule="auto"/>
        <w:jc w:val="both"/>
        <w:sectPr>
          <w:pgSz w:w="12240" w:h="15840"/>
          <w:pgMar w:header="752" w:footer="998" w:top="1000" w:bottom="1180" w:left="1560" w:right="1560"/>
        </w:sectPr>
      </w:pPr>
    </w:p>
    <w:p>
      <w:pPr>
        <w:pStyle w:val="BodyText"/>
        <w:rPr>
          <w:sz w:val="29"/>
        </w:rPr>
      </w:pPr>
    </w:p>
    <w:p>
      <w:pPr>
        <w:spacing w:line="271" w:lineRule="auto" w:before="70"/>
        <w:ind w:left="139" w:right="135" w:firstLine="0"/>
        <w:jc w:val="both"/>
        <w:rPr>
          <w:sz w:val="24"/>
        </w:rPr>
      </w:pPr>
      <w:r>
        <w:rPr>
          <w:sz w:val="24"/>
        </w:rPr>
        <w:t>incoordinación (Kamaishi </w:t>
      </w:r>
      <w:r>
        <w:rPr>
          <w:i/>
          <w:sz w:val="24"/>
        </w:rPr>
        <w:t>et al</w:t>
      </w:r>
      <w:r>
        <w:rPr>
          <w:sz w:val="24"/>
        </w:rPr>
        <w:t>., 2005; Mikalsen </w:t>
      </w:r>
      <w:r>
        <w:rPr>
          <w:i/>
          <w:sz w:val="24"/>
        </w:rPr>
        <w:t>et al</w:t>
      </w:r>
      <w:r>
        <w:rPr>
          <w:sz w:val="24"/>
        </w:rPr>
        <w:t>., 2007; Fukuda </w:t>
      </w:r>
      <w:r>
        <w:rPr>
          <w:i/>
          <w:sz w:val="24"/>
        </w:rPr>
        <w:t>et al</w:t>
      </w:r>
      <w:r>
        <w:rPr>
          <w:sz w:val="24"/>
        </w:rPr>
        <w:t>., 2002; Chen </w:t>
      </w:r>
      <w:r>
        <w:rPr>
          <w:i/>
          <w:sz w:val="24"/>
        </w:rPr>
        <w:t>et al</w:t>
      </w:r>
      <w:r>
        <w:rPr>
          <w:sz w:val="24"/>
        </w:rPr>
        <w:t>., 2000; Soto </w:t>
      </w:r>
      <w:r>
        <w:rPr>
          <w:i/>
          <w:sz w:val="24"/>
        </w:rPr>
        <w:t>et al</w:t>
      </w:r>
      <w:r>
        <w:rPr>
          <w:sz w:val="24"/>
        </w:rPr>
        <w:t>., 2009).</w:t>
      </w:r>
    </w:p>
    <w:p>
      <w:pPr>
        <w:pStyle w:val="BodyText"/>
        <w:spacing w:line="276" w:lineRule="auto" w:before="213"/>
        <w:ind w:left="139" w:right="136"/>
        <w:jc w:val="both"/>
      </w:pPr>
      <w:r>
        <w:rPr/>
        <w:t>La bacteria tiene una tasa alta de infectividad en alevines de tilapia ya que 1 a 10 UFC inyectadas por vía intraperitoneal pueden causar colonización como lo describen</w:t>
      </w:r>
      <w:r>
        <w:rPr>
          <w:spacing w:val="-15"/>
        </w:rPr>
        <w:t> </w:t>
      </w:r>
      <w:r>
        <w:rPr/>
        <w:t>Soto</w:t>
      </w:r>
      <w:r>
        <w:rPr>
          <w:spacing w:val="-15"/>
        </w:rPr>
        <w:t> </w:t>
      </w:r>
      <w:r>
        <w:rPr>
          <w:i/>
        </w:rPr>
        <w:t>et</w:t>
      </w:r>
      <w:r>
        <w:rPr>
          <w:i/>
          <w:spacing w:val="-21"/>
        </w:rPr>
        <w:t> </w:t>
      </w:r>
      <w:r>
        <w:rPr>
          <w:i/>
        </w:rPr>
        <w:t>al</w:t>
      </w:r>
      <w:r>
        <w:rPr/>
        <w:t>.,</w:t>
      </w:r>
      <w:r>
        <w:rPr>
          <w:spacing w:val="-16"/>
        </w:rPr>
        <w:t> </w:t>
      </w:r>
      <w:r>
        <w:rPr/>
        <w:t>(2010),</w:t>
      </w:r>
      <w:r>
        <w:rPr>
          <w:spacing w:val="-21"/>
        </w:rPr>
        <w:t> </w:t>
      </w:r>
      <w:r>
        <w:rPr/>
        <w:t>y</w:t>
      </w:r>
      <w:r>
        <w:rPr>
          <w:spacing w:val="-16"/>
        </w:rPr>
        <w:t> </w:t>
      </w:r>
      <w:r>
        <w:rPr/>
        <w:t>puede</w:t>
      </w:r>
      <w:r>
        <w:rPr>
          <w:spacing w:val="-16"/>
        </w:rPr>
        <w:t> </w:t>
      </w:r>
      <w:r>
        <w:rPr/>
        <w:t>producir</w:t>
      </w:r>
      <w:r>
        <w:rPr>
          <w:spacing w:val="-17"/>
        </w:rPr>
        <w:t> </w:t>
      </w:r>
      <w:r>
        <w:rPr/>
        <w:t>daños</w:t>
      </w:r>
      <w:r>
        <w:rPr>
          <w:spacing w:val="-16"/>
        </w:rPr>
        <w:t> </w:t>
      </w:r>
      <w:r>
        <w:rPr/>
        <w:t>significativos</w:t>
      </w:r>
      <w:r>
        <w:rPr>
          <w:spacing w:val="-16"/>
        </w:rPr>
        <w:t> </w:t>
      </w:r>
      <w:r>
        <w:rPr/>
        <w:t>a</w:t>
      </w:r>
      <w:r>
        <w:rPr>
          <w:spacing w:val="-20"/>
        </w:rPr>
        <w:t> </w:t>
      </w:r>
      <w:r>
        <w:rPr/>
        <w:t>la</w:t>
      </w:r>
      <w:r>
        <w:rPr>
          <w:spacing w:val="-20"/>
        </w:rPr>
        <w:t> </w:t>
      </w:r>
      <w:r>
        <w:rPr/>
        <w:t>parte</w:t>
      </w:r>
      <w:r>
        <w:rPr>
          <w:spacing w:val="-16"/>
        </w:rPr>
        <w:t> </w:t>
      </w:r>
      <w:r>
        <w:rPr/>
        <w:t>anterior del riñón y el bazo, también se ha publicado que con una dosis tan baja como 23 bacterias puede llegar a producir altas mortalidades (Soto </w:t>
      </w:r>
      <w:r>
        <w:rPr>
          <w:i/>
        </w:rPr>
        <w:t>et al</w:t>
      </w:r>
      <w:r>
        <w:rPr/>
        <w:t>.,</w:t>
      </w:r>
      <w:r>
        <w:rPr>
          <w:spacing w:val="-28"/>
        </w:rPr>
        <w:t> </w:t>
      </w:r>
      <w:r>
        <w:rPr/>
        <w:t>2009)</w:t>
      </w:r>
    </w:p>
    <w:p>
      <w:pPr>
        <w:pStyle w:val="Heading1"/>
        <w:numPr>
          <w:ilvl w:val="1"/>
          <w:numId w:val="3"/>
        </w:numPr>
        <w:tabs>
          <w:tab w:pos="678" w:val="left" w:leader="none"/>
        </w:tabs>
        <w:spacing w:line="240" w:lineRule="auto" w:before="198" w:after="0"/>
        <w:ind w:left="677" w:right="0" w:hanging="538"/>
        <w:jc w:val="both"/>
      </w:pPr>
      <w:bookmarkStart w:name="_bookmark23" w:id="41"/>
      <w:bookmarkEnd w:id="41"/>
      <w:r>
        <w:rPr>
          <w:b w:val="0"/>
        </w:rPr>
      </w:r>
      <w:bookmarkStart w:name="_bookmark23" w:id="42"/>
      <w:bookmarkEnd w:id="42"/>
      <w:r>
        <w:rPr>
          <w:color w:val="365F91"/>
        </w:rPr>
        <w:t>L</w:t>
      </w:r>
      <w:r>
        <w:rPr>
          <w:color w:val="365F91"/>
        </w:rPr>
        <w:t>esiones</w:t>
      </w:r>
      <w:r>
        <w:rPr>
          <w:color w:val="365F91"/>
          <w:spacing w:val="-14"/>
        </w:rPr>
        <w:t> </w:t>
      </w:r>
      <w:r>
        <w:rPr>
          <w:color w:val="365F91"/>
        </w:rPr>
        <w:t>macroscópicas</w:t>
      </w:r>
    </w:p>
    <w:p>
      <w:pPr>
        <w:pStyle w:val="Heading1"/>
        <w:spacing w:before="79"/>
      </w:pPr>
      <w:bookmarkStart w:name="_bookmark24" w:id="43"/>
      <w:bookmarkEnd w:id="43"/>
      <w:r>
        <w:rPr>
          <w:b w:val="0"/>
        </w:rPr>
      </w:r>
      <w:r>
        <w:rPr>
          <w:color w:val="233E5F"/>
        </w:rPr>
        <w:t>2.16.1 Externas</w:t>
      </w:r>
    </w:p>
    <w:p>
      <w:pPr>
        <w:pStyle w:val="BodyText"/>
        <w:spacing w:line="273" w:lineRule="auto" w:before="50"/>
        <w:ind w:left="139" w:right="135"/>
        <w:jc w:val="both"/>
      </w:pPr>
      <w:r>
        <w:rPr/>
        <w:t>Las</w:t>
      </w:r>
      <w:r>
        <w:rPr>
          <w:spacing w:val="-13"/>
        </w:rPr>
        <w:t> </w:t>
      </w:r>
      <w:r>
        <w:rPr/>
        <w:t>principales</w:t>
      </w:r>
      <w:r>
        <w:rPr>
          <w:spacing w:val="-17"/>
        </w:rPr>
        <w:t> </w:t>
      </w:r>
      <w:r>
        <w:rPr/>
        <w:t>lesiones</w:t>
      </w:r>
      <w:r>
        <w:rPr>
          <w:spacing w:val="-17"/>
        </w:rPr>
        <w:t> </w:t>
      </w:r>
      <w:r>
        <w:rPr/>
        <w:t>externas</w:t>
      </w:r>
      <w:r>
        <w:rPr>
          <w:spacing w:val="-13"/>
        </w:rPr>
        <w:t> </w:t>
      </w:r>
      <w:r>
        <w:rPr/>
        <w:t>que</w:t>
      </w:r>
      <w:r>
        <w:rPr>
          <w:spacing w:val="-12"/>
        </w:rPr>
        <w:t> </w:t>
      </w:r>
      <w:r>
        <w:rPr/>
        <w:t>se</w:t>
      </w:r>
      <w:r>
        <w:rPr>
          <w:spacing w:val="-17"/>
        </w:rPr>
        <w:t> </w:t>
      </w:r>
      <w:r>
        <w:rPr/>
        <w:t>presentan</w:t>
      </w:r>
      <w:r>
        <w:rPr>
          <w:spacing w:val="-12"/>
        </w:rPr>
        <w:t> </w:t>
      </w:r>
      <w:r>
        <w:rPr/>
        <w:t>son</w:t>
      </w:r>
      <w:r>
        <w:rPr>
          <w:spacing w:val="-3"/>
        </w:rPr>
        <w:t> </w:t>
      </w:r>
      <w:r>
        <w:rPr/>
        <w:t>hemorragias</w:t>
      </w:r>
      <w:r>
        <w:rPr>
          <w:spacing w:val="-13"/>
        </w:rPr>
        <w:t> </w:t>
      </w:r>
      <w:r>
        <w:rPr/>
        <w:t>petequiales</w:t>
      </w:r>
      <w:r>
        <w:rPr>
          <w:spacing w:val="-12"/>
        </w:rPr>
        <w:t> </w:t>
      </w:r>
      <w:r>
        <w:rPr/>
        <w:t>en la</w:t>
      </w:r>
      <w:r>
        <w:rPr>
          <w:spacing w:val="-10"/>
        </w:rPr>
        <w:t> </w:t>
      </w:r>
      <w:r>
        <w:rPr/>
        <w:t>superficie</w:t>
      </w:r>
      <w:r>
        <w:rPr>
          <w:spacing w:val="-6"/>
        </w:rPr>
        <w:t> </w:t>
      </w:r>
      <w:r>
        <w:rPr/>
        <w:t>de</w:t>
      </w:r>
      <w:r>
        <w:rPr>
          <w:spacing w:val="-9"/>
        </w:rPr>
        <w:t> </w:t>
      </w:r>
      <w:r>
        <w:rPr/>
        <w:t>las</w:t>
      </w:r>
      <w:r>
        <w:rPr>
          <w:spacing w:val="-12"/>
        </w:rPr>
        <w:t> </w:t>
      </w:r>
      <w:r>
        <w:rPr/>
        <w:t>aletas,</w:t>
      </w:r>
      <w:r>
        <w:rPr>
          <w:spacing w:val="-11"/>
        </w:rPr>
        <w:t> </w:t>
      </w:r>
      <w:r>
        <w:rPr/>
        <w:t>aletas</w:t>
      </w:r>
      <w:r>
        <w:rPr>
          <w:spacing w:val="-12"/>
        </w:rPr>
        <w:t> </w:t>
      </w:r>
      <w:r>
        <w:rPr/>
        <w:t>deshilachadas,</w:t>
      </w:r>
      <w:r>
        <w:rPr>
          <w:spacing w:val="-3"/>
        </w:rPr>
        <w:t> </w:t>
      </w:r>
      <w:r>
        <w:rPr/>
        <w:t>úlceras</w:t>
      </w:r>
      <w:r>
        <w:rPr>
          <w:spacing w:val="-10"/>
        </w:rPr>
        <w:t> </w:t>
      </w:r>
      <w:r>
        <w:rPr/>
        <w:t>y</w:t>
      </w:r>
      <w:r>
        <w:rPr>
          <w:spacing w:val="-12"/>
        </w:rPr>
        <w:t> </w:t>
      </w:r>
      <w:r>
        <w:rPr/>
        <w:t>hemorragias</w:t>
      </w:r>
      <w:r>
        <w:rPr>
          <w:spacing w:val="-6"/>
        </w:rPr>
        <w:t> </w:t>
      </w:r>
      <w:r>
        <w:rPr/>
        <w:t>en</w:t>
      </w:r>
      <w:r>
        <w:rPr>
          <w:spacing w:val="-11"/>
        </w:rPr>
        <w:t> </w:t>
      </w:r>
      <w:r>
        <w:rPr/>
        <w:t>la</w:t>
      </w:r>
      <w:r>
        <w:rPr>
          <w:spacing w:val="-11"/>
        </w:rPr>
        <w:t> </w:t>
      </w:r>
      <w:r>
        <w:rPr/>
        <w:t>piel</w:t>
      </w:r>
      <w:r>
        <w:rPr>
          <w:spacing w:val="-7"/>
        </w:rPr>
        <w:t> </w:t>
      </w:r>
      <w:r>
        <w:rPr/>
        <w:t>de los</w:t>
      </w:r>
      <w:r>
        <w:rPr>
          <w:spacing w:val="-8"/>
        </w:rPr>
        <w:t> </w:t>
      </w:r>
      <w:r>
        <w:rPr/>
        <w:t>peces</w:t>
      </w:r>
      <w:r>
        <w:rPr>
          <w:spacing w:val="-8"/>
        </w:rPr>
        <w:t> </w:t>
      </w:r>
      <w:r>
        <w:rPr/>
        <w:t>afectados</w:t>
      </w:r>
      <w:r>
        <w:rPr>
          <w:spacing w:val="-9"/>
        </w:rPr>
        <w:t> </w:t>
      </w:r>
      <w:r>
        <w:rPr/>
        <w:t>(Mauel</w:t>
      </w:r>
      <w:r>
        <w:rPr>
          <w:spacing w:val="-3"/>
        </w:rPr>
        <w:t> </w:t>
      </w:r>
      <w:r>
        <w:rPr>
          <w:i/>
        </w:rPr>
        <w:t>et</w:t>
      </w:r>
      <w:r>
        <w:rPr>
          <w:i/>
          <w:spacing w:val="-7"/>
        </w:rPr>
        <w:t> </w:t>
      </w:r>
      <w:r>
        <w:rPr>
          <w:i/>
        </w:rPr>
        <w:t>al</w:t>
      </w:r>
      <w:r>
        <w:rPr/>
        <w:t>.,</w:t>
      </w:r>
      <w:r>
        <w:rPr>
          <w:spacing w:val="-11"/>
        </w:rPr>
        <w:t> </w:t>
      </w:r>
      <w:r>
        <w:rPr/>
        <w:t>2005;</w:t>
      </w:r>
      <w:r>
        <w:rPr>
          <w:spacing w:val="-11"/>
        </w:rPr>
        <w:t> </w:t>
      </w:r>
      <w:r>
        <w:rPr/>
        <w:t>Mauel</w:t>
      </w:r>
      <w:r>
        <w:rPr>
          <w:spacing w:val="-3"/>
        </w:rPr>
        <w:t> </w:t>
      </w:r>
      <w:r>
        <w:rPr>
          <w:i/>
        </w:rPr>
        <w:t>et</w:t>
      </w:r>
      <w:r>
        <w:rPr>
          <w:i/>
          <w:spacing w:val="-11"/>
        </w:rPr>
        <w:t> </w:t>
      </w:r>
      <w:r>
        <w:rPr>
          <w:i/>
        </w:rPr>
        <w:t>al</w:t>
      </w:r>
      <w:r>
        <w:rPr/>
        <w:t>.,</w:t>
      </w:r>
      <w:r>
        <w:rPr>
          <w:spacing w:val="-7"/>
        </w:rPr>
        <w:t> </w:t>
      </w:r>
      <w:r>
        <w:rPr/>
        <w:t>2007;</w:t>
      </w:r>
      <w:r>
        <w:rPr>
          <w:spacing w:val="-7"/>
        </w:rPr>
        <w:t> </w:t>
      </w:r>
      <w:r>
        <w:rPr/>
        <w:t>Jeffery</w:t>
      </w:r>
      <w:r>
        <w:rPr>
          <w:spacing w:val="-7"/>
        </w:rPr>
        <w:t> </w:t>
      </w:r>
      <w:r>
        <w:rPr>
          <w:i/>
        </w:rPr>
        <w:t>et</w:t>
      </w:r>
      <w:r>
        <w:rPr>
          <w:i/>
          <w:spacing w:val="-11"/>
        </w:rPr>
        <w:t> </w:t>
      </w:r>
      <w:r>
        <w:rPr>
          <w:i/>
        </w:rPr>
        <w:t>al</w:t>
      </w:r>
      <w:r>
        <w:rPr/>
        <w:t>.,</w:t>
      </w:r>
      <w:r>
        <w:rPr>
          <w:spacing w:val="-7"/>
        </w:rPr>
        <w:t> </w:t>
      </w:r>
      <w:r>
        <w:rPr/>
        <w:t>2010;</w:t>
      </w:r>
      <w:r>
        <w:rPr>
          <w:spacing w:val="-7"/>
        </w:rPr>
        <w:t> </w:t>
      </w:r>
      <w:r>
        <w:rPr/>
        <w:t>Leal </w:t>
      </w:r>
      <w:r>
        <w:rPr>
          <w:i/>
        </w:rPr>
        <w:t>et al</w:t>
      </w:r>
      <w:r>
        <w:rPr/>
        <w:t>.,</w:t>
      </w:r>
      <w:r>
        <w:rPr>
          <w:spacing w:val="-3"/>
        </w:rPr>
        <w:t> </w:t>
      </w:r>
      <w:r>
        <w:rPr/>
        <w:t>2014).</w:t>
      </w:r>
    </w:p>
    <w:p>
      <w:pPr>
        <w:pStyle w:val="Heading1"/>
        <w:spacing w:before="205"/>
      </w:pPr>
      <w:bookmarkStart w:name="_bookmark25" w:id="44"/>
      <w:bookmarkEnd w:id="44"/>
      <w:r>
        <w:rPr>
          <w:b w:val="0"/>
        </w:rPr>
      </w:r>
      <w:r>
        <w:rPr>
          <w:color w:val="233E5F"/>
        </w:rPr>
        <w:t>2.16. 2 Internas</w:t>
      </w:r>
    </w:p>
    <w:p>
      <w:pPr>
        <w:pStyle w:val="BodyText"/>
        <w:spacing w:line="276" w:lineRule="auto" w:before="45"/>
        <w:ind w:left="139" w:right="133"/>
        <w:jc w:val="both"/>
      </w:pPr>
      <w:r>
        <w:rPr/>
        <w:t>Las lesiones internas </w:t>
      </w:r>
      <w:r>
        <w:rPr>
          <w:spacing w:val="-3"/>
        </w:rPr>
        <w:t>más </w:t>
      </w:r>
      <w:r>
        <w:rPr/>
        <w:t>sobresalientes en peces enfermos son: la presencia de varios nódulos (granulomas) de diferentes tamaños en el bazo, riñón e hígado (Figura</w:t>
      </w:r>
      <w:r>
        <w:rPr>
          <w:spacing w:val="-7"/>
        </w:rPr>
        <w:t> </w:t>
      </w:r>
      <w:r>
        <w:rPr/>
        <w:t>2</w:t>
      </w:r>
      <w:r>
        <w:rPr>
          <w:spacing w:val="-6"/>
        </w:rPr>
        <w:t> </w:t>
      </w:r>
      <w:r>
        <w:rPr/>
        <w:t>A</w:t>
      </w:r>
      <w:r>
        <w:rPr>
          <w:spacing w:val="-9"/>
        </w:rPr>
        <w:t> </w:t>
      </w:r>
      <w:r>
        <w:rPr/>
        <w:t>y</w:t>
      </w:r>
      <w:r>
        <w:rPr>
          <w:spacing w:val="-8"/>
        </w:rPr>
        <w:t> </w:t>
      </w:r>
      <w:r>
        <w:rPr/>
        <w:t>B),</w:t>
      </w:r>
      <w:r>
        <w:rPr>
          <w:spacing w:val="-7"/>
        </w:rPr>
        <w:t> </w:t>
      </w:r>
      <w:r>
        <w:rPr/>
        <w:t>también</w:t>
      </w:r>
      <w:r>
        <w:rPr>
          <w:spacing w:val="-7"/>
        </w:rPr>
        <w:t> </w:t>
      </w:r>
      <w:r>
        <w:rPr/>
        <w:t>como</w:t>
      </w:r>
      <w:r>
        <w:rPr>
          <w:spacing w:val="-5"/>
        </w:rPr>
        <w:t> </w:t>
      </w:r>
      <w:r>
        <w:rPr/>
        <w:t>cambios</w:t>
      </w:r>
      <w:r>
        <w:rPr>
          <w:spacing w:val="-6"/>
        </w:rPr>
        <w:t> </w:t>
      </w:r>
      <w:r>
        <w:rPr/>
        <w:t>macroscópicos</w:t>
      </w:r>
      <w:r>
        <w:rPr>
          <w:spacing w:val="-5"/>
        </w:rPr>
        <w:t> </w:t>
      </w:r>
      <w:r>
        <w:rPr/>
        <w:t>asociados</w:t>
      </w:r>
      <w:r>
        <w:rPr>
          <w:spacing w:val="-7"/>
        </w:rPr>
        <w:t> </w:t>
      </w:r>
      <w:r>
        <w:rPr/>
        <w:t>a</w:t>
      </w:r>
      <w:r>
        <w:rPr>
          <w:spacing w:val="-12"/>
        </w:rPr>
        <w:t> </w:t>
      </w:r>
      <w:r>
        <w:rPr/>
        <w:t>la</w:t>
      </w:r>
      <w:r>
        <w:rPr>
          <w:spacing w:val="-12"/>
        </w:rPr>
        <w:t> </w:t>
      </w:r>
      <w:r>
        <w:rPr/>
        <w:t>enfermedad se describe la presencia de nódulos en el corazón, branquias, testículos, musculatura,</w:t>
      </w:r>
      <w:r>
        <w:rPr>
          <w:spacing w:val="-7"/>
        </w:rPr>
        <w:t> </w:t>
      </w:r>
      <w:r>
        <w:rPr/>
        <w:t>cerebro</w:t>
      </w:r>
      <w:r>
        <w:rPr>
          <w:spacing w:val="-7"/>
        </w:rPr>
        <w:t> </w:t>
      </w:r>
      <w:r>
        <w:rPr/>
        <w:t>y</w:t>
      </w:r>
      <w:r>
        <w:rPr>
          <w:spacing w:val="-8"/>
        </w:rPr>
        <w:t> </w:t>
      </w:r>
      <w:r>
        <w:rPr/>
        <w:t>ojo</w:t>
      </w:r>
      <w:r>
        <w:rPr>
          <w:spacing w:val="-16"/>
        </w:rPr>
        <w:t> </w:t>
      </w:r>
      <w:r>
        <w:rPr/>
        <w:t>siendo</w:t>
      </w:r>
      <w:r>
        <w:rPr>
          <w:spacing w:val="-5"/>
        </w:rPr>
        <w:t> </w:t>
      </w:r>
      <w:r>
        <w:rPr/>
        <w:t>afectado</w:t>
      </w:r>
      <w:r>
        <w:rPr>
          <w:spacing w:val="-7"/>
        </w:rPr>
        <w:t> </w:t>
      </w:r>
      <w:r>
        <w:rPr/>
        <w:t>cualquier</w:t>
      </w:r>
      <w:r>
        <w:rPr>
          <w:spacing w:val="-6"/>
        </w:rPr>
        <w:t> </w:t>
      </w:r>
      <w:r>
        <w:rPr/>
        <w:t>órgano.</w:t>
      </w:r>
      <w:r>
        <w:rPr>
          <w:spacing w:val="-7"/>
        </w:rPr>
        <w:t> </w:t>
      </w:r>
      <w:r>
        <w:rPr/>
        <w:t>Así</w:t>
      </w:r>
      <w:r>
        <w:rPr>
          <w:spacing w:val="-7"/>
        </w:rPr>
        <w:t> </w:t>
      </w:r>
      <w:r>
        <w:rPr/>
        <w:t>mismo</w:t>
      </w:r>
      <w:r>
        <w:rPr>
          <w:spacing w:val="-7"/>
        </w:rPr>
        <w:t> </w:t>
      </w:r>
      <w:r>
        <w:rPr/>
        <w:t>se</w:t>
      </w:r>
      <w:r>
        <w:rPr>
          <w:spacing w:val="-7"/>
        </w:rPr>
        <w:t> </w:t>
      </w:r>
      <w:r>
        <w:rPr/>
        <w:t>pueden encontrar cambios morfológicos como son: aumento de tamaño de bazo, hígado y riñón; presencia ascitis sero-hemorrágica, engrosamiento de las hazas</w:t>
      </w:r>
      <w:r>
        <w:rPr>
          <w:spacing w:val="-45"/>
        </w:rPr>
        <w:t> </w:t>
      </w:r>
      <w:r>
        <w:rPr/>
        <w:t>intestinales, adherencias</w:t>
      </w:r>
      <w:r>
        <w:rPr>
          <w:spacing w:val="-8"/>
        </w:rPr>
        <w:t> </w:t>
      </w:r>
      <w:r>
        <w:rPr/>
        <w:t>con</w:t>
      </w:r>
      <w:r>
        <w:rPr>
          <w:spacing w:val="-13"/>
        </w:rPr>
        <w:t> </w:t>
      </w:r>
      <w:r>
        <w:rPr/>
        <w:t>presencia</w:t>
      </w:r>
      <w:r>
        <w:rPr>
          <w:spacing w:val="-8"/>
        </w:rPr>
        <w:t> </w:t>
      </w:r>
      <w:r>
        <w:rPr/>
        <w:t>de</w:t>
      </w:r>
      <w:r>
        <w:rPr>
          <w:spacing w:val="-13"/>
        </w:rPr>
        <w:t> </w:t>
      </w:r>
      <w:r>
        <w:rPr/>
        <w:t>fibrina</w:t>
      </w:r>
      <w:r>
        <w:rPr>
          <w:spacing w:val="-8"/>
        </w:rPr>
        <w:t> </w:t>
      </w:r>
      <w:r>
        <w:rPr/>
        <w:t>en</w:t>
      </w:r>
      <w:r>
        <w:rPr>
          <w:spacing w:val="-13"/>
        </w:rPr>
        <w:t> </w:t>
      </w:r>
      <w:r>
        <w:rPr/>
        <w:t>cavidad</w:t>
      </w:r>
      <w:r>
        <w:rPr>
          <w:spacing w:val="-8"/>
        </w:rPr>
        <w:t> </w:t>
      </w:r>
      <w:r>
        <w:rPr/>
        <w:t>abdominal</w:t>
      </w:r>
      <w:r>
        <w:rPr>
          <w:spacing w:val="-5"/>
        </w:rPr>
        <w:t> </w:t>
      </w:r>
      <w:r>
        <w:rPr/>
        <w:t>y</w:t>
      </w:r>
      <w:r>
        <w:rPr>
          <w:spacing w:val="-14"/>
        </w:rPr>
        <w:t> </w:t>
      </w:r>
      <w:r>
        <w:rPr/>
        <w:t>en</w:t>
      </w:r>
      <w:r>
        <w:rPr>
          <w:spacing w:val="-8"/>
        </w:rPr>
        <w:t> </w:t>
      </w:r>
      <w:r>
        <w:rPr/>
        <w:t>diferentes</w:t>
      </w:r>
      <w:r>
        <w:rPr>
          <w:spacing w:val="-9"/>
        </w:rPr>
        <w:t> </w:t>
      </w:r>
      <w:r>
        <w:rPr/>
        <w:t>órganos (Mauel </w:t>
      </w:r>
      <w:r>
        <w:rPr>
          <w:i/>
        </w:rPr>
        <w:t>et al</w:t>
      </w:r>
      <w:r>
        <w:rPr/>
        <w:t>., 2003; Mauel </w:t>
      </w:r>
      <w:r>
        <w:rPr>
          <w:i/>
        </w:rPr>
        <w:t>et al</w:t>
      </w:r>
      <w:r>
        <w:rPr/>
        <w:t>., 2007; Olsen </w:t>
      </w:r>
      <w:r>
        <w:rPr>
          <w:i/>
        </w:rPr>
        <w:t>et al</w:t>
      </w:r>
      <w:r>
        <w:rPr/>
        <w:t>., 2006; Nylund </w:t>
      </w:r>
      <w:r>
        <w:rPr>
          <w:i/>
        </w:rPr>
        <w:t>et al.,</w:t>
      </w:r>
      <w:r>
        <w:rPr>
          <w:i/>
          <w:spacing w:val="-21"/>
        </w:rPr>
        <w:t> </w:t>
      </w:r>
      <w:r>
        <w:rPr/>
        <w:t>2006).</w:t>
      </w:r>
    </w:p>
    <w:p>
      <w:pPr>
        <w:pStyle w:val="BodyText"/>
        <w:spacing w:before="8"/>
        <w:rPr>
          <w:sz w:val="14"/>
        </w:rPr>
      </w:pPr>
      <w:r>
        <w:rPr/>
        <w:pict>
          <v:group style="position:absolute;margin-left:84.959991pt;margin-top:10.426108pt;width:435.85pt;height:176.9pt;mso-position-horizontal-relative:page;mso-position-vertical-relative:paragraph;z-index:1096;mso-wrap-distance-left:0;mso-wrap-distance-right:0" coordorigin="1699,209" coordsize="8717,3538">
            <v:shape style="position:absolute;left:1699;top:209;width:8717;height:3538" type="#_x0000_t75" stroked="false">
              <v:imagedata r:id="rId14" o:title=""/>
            </v:shape>
            <v:shape style="position:absolute;left:6696;top:1771;width:867;height:574" coordorigin="6696,1771" coordsize="867,574" path="m7442,1823l6696,2308,6720,2344,7466,1860,7442,1823xm7539,1812l7461,1812,7484,1848,7466,1860,7490,1896,7539,1812xm7461,1812l7442,1823,7466,1860,7484,1848,7461,1812xm7563,1771l7419,1787,7442,1823,7461,1812,7539,1812,7563,1771xe" filled="true" fillcolor="#000000" stroked="false">
              <v:path arrowok="t"/>
              <v:fill type="solid"/>
            </v:shape>
            <v:shape style="position:absolute;left:6521;top:2318;width:215;height:322" type="#_x0000_t202" filled="false" stroked="false">
              <v:textbox inset="0,0,0,0">
                <w:txbxContent>
                  <w:p>
                    <w:pPr>
                      <w:spacing w:line="322" w:lineRule="exact" w:before="0"/>
                      <w:ind w:left="0" w:right="0" w:firstLine="0"/>
                      <w:jc w:val="left"/>
                      <w:rPr>
                        <w:b/>
                        <w:sz w:val="32"/>
                      </w:rPr>
                    </w:pPr>
                    <w:r>
                      <w:rPr>
                        <w:b/>
                        <w:w w:val="100"/>
                        <w:sz w:val="32"/>
                      </w:rPr>
                      <w:t>S</w:t>
                    </w:r>
                  </w:p>
                </w:txbxContent>
              </v:textbox>
              <w10:wrap type="none"/>
            </v:shape>
            <w10:wrap type="topAndBottom"/>
          </v:group>
        </w:pict>
      </w:r>
    </w:p>
    <w:p>
      <w:pPr>
        <w:spacing w:after="0"/>
        <w:rPr>
          <w:sz w:val="14"/>
        </w:rPr>
        <w:sectPr>
          <w:pgSz w:w="12240" w:h="15840"/>
          <w:pgMar w:header="752" w:footer="998" w:top="1000" w:bottom="1180" w:left="1560" w:right="1560"/>
        </w:sectPr>
      </w:pPr>
    </w:p>
    <w:p>
      <w:pPr>
        <w:pStyle w:val="BodyText"/>
        <w:rPr>
          <w:sz w:val="20"/>
        </w:rPr>
      </w:pPr>
    </w:p>
    <w:p>
      <w:pPr>
        <w:pStyle w:val="BodyText"/>
        <w:spacing w:before="5"/>
        <w:rPr>
          <w:sz w:val="15"/>
        </w:rPr>
      </w:pPr>
    </w:p>
    <w:p>
      <w:pPr>
        <w:pStyle w:val="BodyText"/>
        <w:ind w:left="139"/>
        <w:rPr>
          <w:sz w:val="20"/>
        </w:rPr>
      </w:pPr>
      <w:r>
        <w:rPr>
          <w:sz w:val="20"/>
        </w:rPr>
        <w:pict>
          <v:group style="width:436.1pt;height:174pt;mso-position-horizontal-relative:char;mso-position-vertical-relative:line" coordorigin="0,0" coordsize="8722,3480">
            <v:shape style="position:absolute;left:0;top:0;width:8721;height:3480" type="#_x0000_t75" stroked="false">
              <v:imagedata r:id="rId15" o:title=""/>
            </v:shape>
            <v:shape style="position:absolute;left:3403;top:2770;width:1112;height:144" coordorigin="3403,2770" coordsize="1112,144" path="m3524,2811l3522,2849,4512,2914,4514,2875,3524,2811xm3527,2770l3403,2822,3519,2890,3522,2849,3502,2848,3504,2810,3524,2810,3527,2770xm3504,2810l3502,2848,3522,2849,3524,2811,3504,2810xm3524,2810l3504,2810,3524,2811,3524,2810xe" filled="true" fillcolor="#000000" stroked="false">
              <v:path arrowok="t"/>
              <v:fill type="solid"/>
            </v:shape>
            <v:shape style="position:absolute;left:2394;top:874;width:706;height:942" coordorigin="2394,874" coordsize="706,942" path="m3013,959l2394,1792,2425,1815,3043,981,3013,959xm3087,942l3025,942,3055,965,3043,981,3076,1006,3087,942xm3025,942l3013,959,3043,981,3055,965,3025,942xm3100,874l2980,934,3013,959,3025,942,3087,942,3100,874xe" filled="true" fillcolor="#000000" stroked="false">
              <v:path arrowok="t"/>
              <v:fill type="solid"/>
            </v:shape>
            <v:shape style="position:absolute;left:2157;top:1776;width:233;height:322" type="#_x0000_t202" filled="false" stroked="false">
              <v:textbox inset="0,0,0,0">
                <w:txbxContent>
                  <w:p>
                    <w:pPr>
                      <w:spacing w:line="322" w:lineRule="exact" w:before="0"/>
                      <w:ind w:left="0" w:right="0" w:firstLine="0"/>
                      <w:jc w:val="left"/>
                      <w:rPr>
                        <w:b/>
                        <w:sz w:val="32"/>
                      </w:rPr>
                    </w:pPr>
                    <w:r>
                      <w:rPr>
                        <w:b/>
                        <w:w w:val="100"/>
                        <w:sz w:val="32"/>
                      </w:rPr>
                      <w:t>K</w:t>
                    </w:r>
                  </w:p>
                </w:txbxContent>
              </v:textbox>
              <w10:wrap type="none"/>
            </v:shape>
            <v:shape style="position:absolute;left:4735;top:2688;width:197;height:322" type="#_x0000_t202" filled="false" stroked="false">
              <v:textbox inset="0,0,0,0">
                <w:txbxContent>
                  <w:p>
                    <w:pPr>
                      <w:spacing w:line="322" w:lineRule="exact" w:before="0"/>
                      <w:ind w:left="0" w:right="0" w:firstLine="0"/>
                      <w:jc w:val="left"/>
                      <w:rPr>
                        <w:b/>
                        <w:sz w:val="32"/>
                      </w:rPr>
                    </w:pPr>
                    <w:r>
                      <w:rPr>
                        <w:b/>
                        <w:w w:val="100"/>
                        <w:sz w:val="32"/>
                      </w:rPr>
                      <w:t>L</w:t>
                    </w:r>
                  </w:p>
                </w:txbxContent>
              </v:textbox>
              <w10:wrap type="none"/>
            </v:shape>
          </v:group>
        </w:pict>
      </w:r>
      <w:r>
        <w:rPr>
          <w:sz w:val="20"/>
        </w:rPr>
      </w:r>
    </w:p>
    <w:p>
      <w:pPr>
        <w:pStyle w:val="BodyText"/>
        <w:spacing w:before="4"/>
        <w:rPr>
          <w:sz w:val="12"/>
        </w:rPr>
      </w:pPr>
    </w:p>
    <w:p>
      <w:pPr>
        <w:pStyle w:val="BodyText"/>
        <w:spacing w:line="276" w:lineRule="auto" w:before="70"/>
        <w:ind w:left="139" w:right="134"/>
        <w:jc w:val="both"/>
      </w:pPr>
      <w:r>
        <w:rPr/>
        <w:t>Figura 2 A y B. Francisellosis en Bacalao del Atlántico; A) nódulos blanquecinos en bazo (S), B) nódulos blanquecinos en hígado (L) y riñón (K) (tomado de Francisella sp. (Family </w:t>
      </w:r>
      <w:r>
        <w:rPr>
          <w:i/>
        </w:rPr>
        <w:t>Francisellaceae</w:t>
      </w:r>
      <w:r>
        <w:rPr/>
        <w:t>) causing mortality in Norwegian cod (</w:t>
      </w:r>
      <w:r>
        <w:rPr>
          <w:i/>
        </w:rPr>
        <w:t>Gadus morhua</w:t>
      </w:r>
      <w:r>
        <w:rPr/>
        <w:t>) farming, Nylund </w:t>
      </w:r>
      <w:r>
        <w:rPr>
          <w:i/>
        </w:rPr>
        <w:t>et al</w:t>
      </w:r>
      <w:r>
        <w:rPr/>
        <w:t>., 2006).</w:t>
      </w:r>
    </w:p>
    <w:p>
      <w:pPr>
        <w:pStyle w:val="BodyText"/>
        <w:spacing w:before="9"/>
        <w:rPr>
          <w:sz w:val="14"/>
        </w:rPr>
      </w:pPr>
      <w:r>
        <w:rPr/>
        <w:drawing>
          <wp:anchor distT="0" distB="0" distL="0" distR="0" allowOverlap="1" layoutInCell="1" locked="0" behindDoc="0" simplePos="0" relativeHeight="1192">
            <wp:simplePos x="0" y="0"/>
            <wp:positionH relativeFrom="page">
              <wp:posOffset>1078991</wp:posOffset>
            </wp:positionH>
            <wp:positionV relativeFrom="paragraph">
              <wp:posOffset>132919</wp:posOffset>
            </wp:positionV>
            <wp:extent cx="5530996" cy="2100262"/>
            <wp:effectExtent l="0" t="0" r="0" b="0"/>
            <wp:wrapTopAndBottom/>
            <wp:docPr id="3" name="image5.jpeg" descr=""/>
            <wp:cNvGraphicFramePr>
              <a:graphicFrameLocks noChangeAspect="1"/>
            </wp:cNvGraphicFramePr>
            <a:graphic>
              <a:graphicData uri="http://schemas.openxmlformats.org/drawingml/2006/picture">
                <pic:pic>
                  <pic:nvPicPr>
                    <pic:cNvPr id="4" name="image5.jpeg"/>
                    <pic:cNvPicPr/>
                  </pic:nvPicPr>
                  <pic:blipFill>
                    <a:blip r:embed="rId16" cstate="print"/>
                    <a:stretch>
                      <a:fillRect/>
                    </a:stretch>
                  </pic:blipFill>
                  <pic:spPr>
                    <a:xfrm>
                      <a:off x="0" y="0"/>
                      <a:ext cx="5530996" cy="2100262"/>
                    </a:xfrm>
                    <a:prstGeom prst="rect">
                      <a:avLst/>
                    </a:prstGeom>
                  </pic:spPr>
                </pic:pic>
              </a:graphicData>
            </a:graphic>
          </wp:anchor>
        </w:drawing>
      </w:r>
      <w:r>
        <w:rPr/>
        <w:pict>
          <v:group style="position:absolute;margin-left:84.959991pt;margin-top:187.3461pt;width:440.45pt;height:197.3pt;mso-position-horizontal-relative:page;mso-position-vertical-relative:paragraph;z-index:1240;mso-wrap-distance-left:0;mso-wrap-distance-right:0" coordorigin="1699,3747" coordsize="8809,3946">
            <v:shape style="position:absolute;left:1699;top:3747;width:8808;height:3946" type="#_x0000_t75" stroked="false">
              <v:imagedata r:id="rId17" o:title=""/>
            </v:shape>
            <v:shape style="position:absolute;left:9695;top:6247;width:295;height:442" type="#_x0000_t202" filled="false" stroked="false">
              <v:textbox inset="0,0,0,0">
                <w:txbxContent>
                  <w:p>
                    <w:pPr>
                      <w:spacing w:line="442" w:lineRule="exact" w:before="0"/>
                      <w:ind w:left="0" w:right="0" w:firstLine="0"/>
                      <w:jc w:val="left"/>
                      <w:rPr>
                        <w:rFonts w:ascii="Times New Roman"/>
                        <w:b/>
                        <w:sz w:val="44"/>
                      </w:rPr>
                    </w:pPr>
                    <w:r>
                      <w:rPr>
                        <w:rFonts w:ascii="Times New Roman"/>
                        <w:b/>
                        <w:color w:val="FFFFFF"/>
                        <w:w w:val="100"/>
                        <w:sz w:val="44"/>
                      </w:rPr>
                      <w:t>B</w:t>
                    </w:r>
                  </w:p>
                </w:txbxContent>
              </v:textbox>
              <w10:wrap type="none"/>
            </v:shape>
            <w10:wrap type="topAndBottom"/>
          </v:group>
        </w:pict>
      </w:r>
    </w:p>
    <w:p>
      <w:pPr>
        <w:pStyle w:val="BodyText"/>
        <w:spacing w:before="1"/>
        <w:rPr>
          <w:sz w:val="14"/>
        </w:rPr>
      </w:pPr>
    </w:p>
    <w:p>
      <w:pPr>
        <w:spacing w:after="0"/>
        <w:rPr>
          <w:sz w:val="14"/>
        </w:rPr>
        <w:sectPr>
          <w:pgSz w:w="12240" w:h="15840"/>
          <w:pgMar w:header="752" w:footer="998" w:top="1000" w:bottom="1180" w:left="1560" w:right="1560"/>
        </w:sectPr>
      </w:pPr>
    </w:p>
    <w:p>
      <w:pPr>
        <w:pStyle w:val="BodyText"/>
        <w:rPr>
          <w:sz w:val="20"/>
        </w:rPr>
      </w:pPr>
    </w:p>
    <w:p>
      <w:pPr>
        <w:pStyle w:val="BodyText"/>
        <w:spacing w:before="5"/>
        <w:rPr>
          <w:sz w:val="15"/>
        </w:rPr>
      </w:pPr>
    </w:p>
    <w:p>
      <w:pPr>
        <w:pStyle w:val="BodyText"/>
        <w:ind w:left="139"/>
        <w:rPr>
          <w:sz w:val="20"/>
        </w:rPr>
      </w:pPr>
      <w:r>
        <w:rPr>
          <w:sz w:val="20"/>
        </w:rPr>
        <w:pict>
          <v:group style="width:441.85pt;height:186.75pt;mso-position-horizontal-relative:char;mso-position-vertical-relative:line" coordorigin="0,0" coordsize="8837,3735">
            <v:shape style="position:absolute;left:0;top:0;width:8837;height:3734" type="#_x0000_t75" stroked="false">
              <v:imagedata r:id="rId18" o:title=""/>
            </v:shape>
            <v:shape style="position:absolute;left:611;top:2314;width:319;height:442" type="#_x0000_t202" filled="false" stroked="false">
              <v:textbox inset="0,0,0,0">
                <w:txbxContent>
                  <w:p>
                    <w:pPr>
                      <w:spacing w:line="442" w:lineRule="exact" w:before="0"/>
                      <w:ind w:left="0" w:right="0" w:firstLine="0"/>
                      <w:jc w:val="left"/>
                      <w:rPr>
                        <w:rFonts w:ascii="Times New Roman"/>
                        <w:b/>
                        <w:sz w:val="44"/>
                      </w:rPr>
                    </w:pPr>
                    <w:r>
                      <w:rPr>
                        <w:rFonts w:ascii="Times New Roman"/>
                        <w:b/>
                        <w:color w:val="FFFFFF"/>
                        <w:w w:val="100"/>
                        <w:sz w:val="44"/>
                      </w:rPr>
                      <w:t>C</w:t>
                    </w:r>
                  </w:p>
                </w:txbxContent>
              </v:textbox>
              <w10:wrap type="none"/>
            </v:shape>
          </v:group>
        </w:pict>
      </w:r>
      <w:r>
        <w:rPr>
          <w:sz w:val="20"/>
        </w:rPr>
      </w:r>
    </w:p>
    <w:p>
      <w:pPr>
        <w:pStyle w:val="BodyText"/>
        <w:spacing w:before="3"/>
        <w:rPr>
          <w:sz w:val="15"/>
        </w:rPr>
      </w:pPr>
    </w:p>
    <w:p>
      <w:pPr>
        <w:pStyle w:val="BodyText"/>
        <w:spacing w:line="276" w:lineRule="auto" w:before="70"/>
        <w:ind w:left="139" w:right="134"/>
        <w:jc w:val="both"/>
      </w:pPr>
      <w:r>
        <w:rPr/>
        <w:t>Figura 3 A, B Y C. A) Nódulos blanquecinos en branquias de tilapia (tomado de A </w:t>
      </w:r>
      <w:r>
        <w:rPr>
          <w:i/>
        </w:rPr>
        <w:t>piscirickettsiosis-like </w:t>
      </w:r>
      <w:r>
        <w:rPr/>
        <w:t>syndrome in cultured Nile tilapia in Latin America with </w:t>
      </w:r>
      <w:r>
        <w:rPr>
          <w:i/>
        </w:rPr>
        <w:t>Francisella </w:t>
      </w:r>
      <w:r>
        <w:rPr/>
        <w:t>spp. as the pathogenic agent, Mauel </w:t>
      </w:r>
      <w:r>
        <w:rPr>
          <w:i/>
        </w:rPr>
        <w:t>et a</w:t>
      </w:r>
      <w:r>
        <w:rPr/>
        <w:t>l., 2007), B) Nódulos blanquecinos en bazo y branquias de tilapia (tomado de Characterization of a piscirickettsiosis-like disease in Hawaiian tilapia, Mauel </w:t>
      </w:r>
      <w:r>
        <w:rPr>
          <w:i/>
        </w:rPr>
        <w:t>et al., </w:t>
      </w:r>
      <w:r>
        <w:rPr/>
        <w:t>2003), C) Nódulos blanquecinos en riñón (K) y bazo (S) ciclídos ornamentales (tomado de PCR and</w:t>
      </w:r>
      <w:r>
        <w:rPr>
          <w:spacing w:val="-44"/>
        </w:rPr>
        <w:t> </w:t>
      </w:r>
      <w:r>
        <w:rPr/>
        <w:t>in situ hybridization for the detection and localization of a new pathogen </w:t>
      </w:r>
      <w:r>
        <w:rPr>
          <w:i/>
        </w:rPr>
        <w:t>Francisella- </w:t>
      </w:r>
      <w:r>
        <w:rPr>
          <w:i/>
        </w:rPr>
        <w:t>like </w:t>
      </w:r>
      <w:r>
        <w:rPr/>
        <w:t>bacterium (FLB) in ornamental cichlids, Hsieh </w:t>
      </w:r>
      <w:r>
        <w:rPr>
          <w:i/>
        </w:rPr>
        <w:t>et al.,</w:t>
      </w:r>
      <w:r>
        <w:rPr>
          <w:i/>
          <w:spacing w:val="-15"/>
        </w:rPr>
        <w:t> </w:t>
      </w:r>
      <w:r>
        <w:rPr/>
        <w:t>2007).</w:t>
      </w:r>
    </w:p>
    <w:p>
      <w:pPr>
        <w:pStyle w:val="Heading1"/>
        <w:numPr>
          <w:ilvl w:val="1"/>
          <w:numId w:val="6"/>
        </w:numPr>
        <w:tabs>
          <w:tab w:pos="678" w:val="left" w:leader="none"/>
        </w:tabs>
        <w:spacing w:line="240" w:lineRule="auto" w:before="197" w:after="0"/>
        <w:ind w:left="677" w:right="0" w:hanging="538"/>
        <w:jc w:val="both"/>
      </w:pPr>
      <w:bookmarkStart w:name="_bookmark26" w:id="45"/>
      <w:bookmarkEnd w:id="45"/>
      <w:r>
        <w:rPr>
          <w:b w:val="0"/>
        </w:rPr>
      </w:r>
      <w:bookmarkStart w:name="_bookmark26" w:id="46"/>
      <w:bookmarkEnd w:id="46"/>
      <w:r>
        <w:rPr>
          <w:color w:val="365F91"/>
        </w:rPr>
        <w:t>Hall</w:t>
      </w:r>
      <w:r>
        <w:rPr>
          <w:color w:val="365F91"/>
        </w:rPr>
        <w:t>azgos</w:t>
      </w:r>
      <w:r>
        <w:rPr>
          <w:color w:val="365F91"/>
          <w:spacing w:val="-17"/>
        </w:rPr>
        <w:t> </w:t>
      </w:r>
      <w:r>
        <w:rPr>
          <w:color w:val="365F91"/>
        </w:rPr>
        <w:t>histopatológicos</w:t>
      </w:r>
    </w:p>
    <w:p>
      <w:pPr>
        <w:pStyle w:val="BodyText"/>
        <w:spacing w:line="276" w:lineRule="auto" w:before="45"/>
        <w:ind w:left="139" w:right="133"/>
        <w:jc w:val="both"/>
      </w:pPr>
      <w:r>
        <w:rPr/>
        <w:t>El</w:t>
      </w:r>
      <w:r>
        <w:rPr>
          <w:spacing w:val="-9"/>
        </w:rPr>
        <w:t> </w:t>
      </w:r>
      <w:r>
        <w:rPr/>
        <w:t>examen</w:t>
      </w:r>
      <w:r>
        <w:rPr>
          <w:spacing w:val="-8"/>
        </w:rPr>
        <w:t> </w:t>
      </w:r>
      <w:r>
        <w:rPr/>
        <w:t>microscópico</w:t>
      </w:r>
      <w:r>
        <w:rPr>
          <w:spacing w:val="-13"/>
        </w:rPr>
        <w:t> </w:t>
      </w:r>
      <w:r>
        <w:rPr/>
        <w:t>de</w:t>
      </w:r>
      <w:r>
        <w:rPr>
          <w:spacing w:val="-17"/>
        </w:rPr>
        <w:t> </w:t>
      </w:r>
      <w:r>
        <w:rPr/>
        <w:t>los</w:t>
      </w:r>
      <w:r>
        <w:rPr>
          <w:spacing w:val="-13"/>
        </w:rPr>
        <w:t> </w:t>
      </w:r>
      <w:r>
        <w:rPr/>
        <w:t>tejidos</w:t>
      </w:r>
      <w:r>
        <w:rPr>
          <w:spacing w:val="-14"/>
        </w:rPr>
        <w:t> </w:t>
      </w:r>
      <w:r>
        <w:rPr/>
        <w:t>afectados</w:t>
      </w:r>
      <w:r>
        <w:rPr>
          <w:spacing w:val="-14"/>
        </w:rPr>
        <w:t> </w:t>
      </w:r>
      <w:r>
        <w:rPr/>
        <w:t>es</w:t>
      </w:r>
      <w:r>
        <w:rPr>
          <w:spacing w:val="-14"/>
        </w:rPr>
        <w:t> </w:t>
      </w:r>
      <w:r>
        <w:rPr/>
        <w:t>el</w:t>
      </w:r>
      <w:r>
        <w:rPr>
          <w:spacing w:val="-9"/>
        </w:rPr>
        <w:t> </w:t>
      </w:r>
      <w:r>
        <w:rPr/>
        <w:t>procedimiento</w:t>
      </w:r>
      <w:r>
        <w:rPr>
          <w:spacing w:val="-12"/>
        </w:rPr>
        <w:t> </w:t>
      </w:r>
      <w:r>
        <w:rPr/>
        <w:t>de</w:t>
      </w:r>
      <w:r>
        <w:rPr>
          <w:spacing w:val="-13"/>
        </w:rPr>
        <w:t> </w:t>
      </w:r>
      <w:r>
        <w:rPr/>
        <w:t>diagnóstico </w:t>
      </w:r>
      <w:r>
        <w:rPr>
          <w:spacing w:val="-3"/>
        </w:rPr>
        <w:t>más </w:t>
      </w:r>
      <w:r>
        <w:rPr/>
        <w:t>utilizado en la investigación de las enfermedades de los peces (Mauel </w:t>
      </w:r>
      <w:r>
        <w:rPr>
          <w:i/>
        </w:rPr>
        <w:t>et al</w:t>
      </w:r>
      <w:r>
        <w:rPr/>
        <w:t>., 2007).</w:t>
      </w:r>
    </w:p>
    <w:p>
      <w:pPr>
        <w:pStyle w:val="BodyText"/>
        <w:spacing w:line="276" w:lineRule="auto" w:before="207"/>
        <w:ind w:left="139" w:right="135"/>
        <w:jc w:val="both"/>
      </w:pPr>
      <w:r>
        <w:rPr/>
        <w:t>El</w:t>
      </w:r>
      <w:r>
        <w:rPr>
          <w:spacing w:val="-3"/>
        </w:rPr>
        <w:t> </w:t>
      </w:r>
      <w:r>
        <w:rPr/>
        <w:t>principal</w:t>
      </w:r>
      <w:r>
        <w:rPr>
          <w:spacing w:val="-4"/>
        </w:rPr>
        <w:t> </w:t>
      </w:r>
      <w:r>
        <w:rPr/>
        <w:t>hallazgo</w:t>
      </w:r>
      <w:r>
        <w:rPr>
          <w:spacing w:val="-6"/>
        </w:rPr>
        <w:t> </w:t>
      </w:r>
      <w:r>
        <w:rPr/>
        <w:t>histopatológico</w:t>
      </w:r>
      <w:r>
        <w:rPr>
          <w:spacing w:val="-1"/>
        </w:rPr>
        <w:t> </w:t>
      </w:r>
      <w:r>
        <w:rPr/>
        <w:t>que</w:t>
      </w:r>
      <w:r>
        <w:rPr>
          <w:spacing w:val="-6"/>
        </w:rPr>
        <w:t> </w:t>
      </w:r>
      <w:r>
        <w:rPr/>
        <w:t>se</w:t>
      </w:r>
      <w:r>
        <w:rPr>
          <w:spacing w:val="-6"/>
        </w:rPr>
        <w:t> </w:t>
      </w:r>
      <w:r>
        <w:rPr/>
        <w:t>describe</w:t>
      </w:r>
      <w:r>
        <w:rPr>
          <w:spacing w:val="-4"/>
        </w:rPr>
        <w:t> </w:t>
      </w:r>
      <w:r>
        <w:rPr/>
        <w:t>en</w:t>
      </w:r>
      <w:r>
        <w:rPr>
          <w:spacing w:val="-6"/>
        </w:rPr>
        <w:t> </w:t>
      </w:r>
      <w:r>
        <w:rPr/>
        <w:t>los</w:t>
      </w:r>
      <w:r>
        <w:rPr>
          <w:spacing w:val="-6"/>
        </w:rPr>
        <w:t> </w:t>
      </w:r>
      <w:r>
        <w:rPr/>
        <w:t>peces</w:t>
      </w:r>
      <w:r>
        <w:rPr>
          <w:spacing w:val="-7"/>
        </w:rPr>
        <w:t> </w:t>
      </w:r>
      <w:r>
        <w:rPr/>
        <w:t>afectados</w:t>
      </w:r>
      <w:r>
        <w:rPr>
          <w:spacing w:val="-4"/>
        </w:rPr>
        <w:t> </w:t>
      </w:r>
      <w:r>
        <w:rPr/>
        <w:t>es</w:t>
      </w:r>
      <w:r>
        <w:rPr>
          <w:spacing w:val="-6"/>
        </w:rPr>
        <w:t> </w:t>
      </w:r>
      <w:r>
        <w:rPr/>
        <w:t>una extensa</w:t>
      </w:r>
      <w:r>
        <w:rPr>
          <w:spacing w:val="-8"/>
        </w:rPr>
        <w:t> </w:t>
      </w:r>
      <w:r>
        <w:rPr/>
        <w:t>inflamación</w:t>
      </w:r>
      <w:r>
        <w:rPr>
          <w:spacing w:val="-4"/>
        </w:rPr>
        <w:t> </w:t>
      </w:r>
      <w:r>
        <w:rPr/>
        <w:t>granulomatosa</w:t>
      </w:r>
      <w:r>
        <w:rPr>
          <w:spacing w:val="-8"/>
        </w:rPr>
        <w:t> </w:t>
      </w:r>
      <w:r>
        <w:rPr/>
        <w:t>crónica</w:t>
      </w:r>
      <w:r>
        <w:rPr>
          <w:spacing w:val="-8"/>
        </w:rPr>
        <w:t> </w:t>
      </w:r>
      <w:r>
        <w:rPr/>
        <w:t>con</w:t>
      </w:r>
      <w:r>
        <w:rPr>
          <w:spacing w:val="-3"/>
        </w:rPr>
        <w:t> </w:t>
      </w:r>
      <w:r>
        <w:rPr/>
        <w:t>formación</w:t>
      </w:r>
      <w:r>
        <w:rPr>
          <w:spacing w:val="-8"/>
        </w:rPr>
        <w:t> </w:t>
      </w:r>
      <w:r>
        <w:rPr/>
        <w:t>de</w:t>
      </w:r>
      <w:r>
        <w:rPr>
          <w:spacing w:val="-6"/>
        </w:rPr>
        <w:t> </w:t>
      </w:r>
      <w:r>
        <w:rPr/>
        <w:t>múltiples</w:t>
      </w:r>
      <w:r>
        <w:rPr>
          <w:spacing w:val="-9"/>
        </w:rPr>
        <w:t> </w:t>
      </w:r>
      <w:r>
        <w:rPr/>
        <w:t>granulomas en</w:t>
      </w:r>
      <w:r>
        <w:rPr>
          <w:spacing w:val="-11"/>
        </w:rPr>
        <w:t> </w:t>
      </w:r>
      <w:r>
        <w:rPr/>
        <w:t>distintos</w:t>
      </w:r>
      <w:r>
        <w:rPr>
          <w:spacing w:val="-12"/>
        </w:rPr>
        <w:t> </w:t>
      </w:r>
      <w:r>
        <w:rPr/>
        <w:t>órganos,</w:t>
      </w:r>
      <w:r>
        <w:rPr>
          <w:spacing w:val="-11"/>
        </w:rPr>
        <w:t> </w:t>
      </w:r>
      <w:r>
        <w:rPr/>
        <w:t>con</w:t>
      </w:r>
      <w:r>
        <w:rPr>
          <w:spacing w:val="-11"/>
        </w:rPr>
        <w:t> </w:t>
      </w:r>
      <w:r>
        <w:rPr/>
        <w:t>presencia</w:t>
      </w:r>
      <w:r>
        <w:rPr>
          <w:spacing w:val="-11"/>
        </w:rPr>
        <w:t> </w:t>
      </w:r>
      <w:r>
        <w:rPr/>
        <w:t>de</w:t>
      </w:r>
      <w:r>
        <w:rPr>
          <w:spacing w:val="-11"/>
        </w:rPr>
        <w:t> </w:t>
      </w:r>
      <w:r>
        <w:rPr/>
        <w:t>pocas</w:t>
      </w:r>
      <w:r>
        <w:rPr>
          <w:spacing w:val="-16"/>
        </w:rPr>
        <w:t> </w:t>
      </w:r>
      <w:r>
        <w:rPr/>
        <w:t>o</w:t>
      </w:r>
      <w:r>
        <w:rPr>
          <w:spacing w:val="-11"/>
        </w:rPr>
        <w:t> </w:t>
      </w:r>
      <w:r>
        <w:rPr/>
        <w:t>numerosas</w:t>
      </w:r>
      <w:r>
        <w:rPr>
          <w:spacing w:val="-12"/>
        </w:rPr>
        <w:t> </w:t>
      </w:r>
      <w:r>
        <w:rPr/>
        <w:t>bacterias</w:t>
      </w:r>
      <w:r>
        <w:rPr>
          <w:spacing w:val="-12"/>
        </w:rPr>
        <w:t> </w:t>
      </w:r>
      <w:r>
        <w:rPr/>
        <w:t>cocobacilares, </w:t>
      </w:r>
      <w:r>
        <w:rPr>
          <w:spacing w:val="-3"/>
        </w:rPr>
        <w:t>muy </w:t>
      </w:r>
      <w:r>
        <w:rPr/>
        <w:t>pequeñas y Gram negativas al realizarles la tinción de </w:t>
      </w:r>
      <w:r>
        <w:rPr>
          <w:spacing w:val="-3"/>
        </w:rPr>
        <w:t>Gram. </w:t>
      </w:r>
      <w:r>
        <w:rPr/>
        <w:t>En el interior de los granulomas se pueden observar infiltrados inflamatorios mixtos de células mononucleares y neutrófilos, los granulomas pueden contener macrófagos vacuolados, con presencia de líquido o con aspecto espumoso, las capsulas que envuelves a los granulomas son fibrosas, delgadas y con pequeñas cantidades de linfocitos y neutrófilos. Los centros de los granulomas están completamente necróticos o con pequeñas áreas de necrosis (Figuras 4 A y B, 5 A y</w:t>
      </w:r>
      <w:r>
        <w:rPr>
          <w:spacing w:val="-18"/>
        </w:rPr>
        <w:t> </w:t>
      </w:r>
      <w:r>
        <w:rPr/>
        <w:t>B).</w:t>
      </w:r>
    </w:p>
    <w:p>
      <w:pPr>
        <w:spacing w:after="0" w:line="276" w:lineRule="auto"/>
        <w:jc w:val="both"/>
        <w:sectPr>
          <w:pgSz w:w="12240" w:h="15840"/>
          <w:pgMar w:header="752" w:footer="998" w:top="1000" w:bottom="1180" w:left="1560" w:right="1560"/>
        </w:sectPr>
      </w:pPr>
    </w:p>
    <w:p>
      <w:pPr>
        <w:pStyle w:val="BodyText"/>
        <w:rPr>
          <w:sz w:val="20"/>
        </w:rPr>
      </w:pPr>
    </w:p>
    <w:p>
      <w:pPr>
        <w:pStyle w:val="BodyText"/>
        <w:spacing w:before="5"/>
        <w:rPr>
          <w:sz w:val="15"/>
        </w:rPr>
      </w:pPr>
    </w:p>
    <w:p>
      <w:pPr>
        <w:pStyle w:val="BodyText"/>
        <w:ind w:left="139"/>
        <w:rPr>
          <w:sz w:val="20"/>
        </w:rPr>
      </w:pPr>
      <w:r>
        <w:rPr>
          <w:sz w:val="20"/>
        </w:rPr>
        <w:drawing>
          <wp:inline distT="0" distB="0" distL="0" distR="0">
            <wp:extent cx="5568435" cy="2618613"/>
            <wp:effectExtent l="0" t="0" r="0" b="0"/>
            <wp:docPr id="5" name="image8.jpeg" descr=""/>
            <wp:cNvGraphicFramePr>
              <a:graphicFrameLocks noChangeAspect="1"/>
            </wp:cNvGraphicFramePr>
            <a:graphic>
              <a:graphicData uri="http://schemas.openxmlformats.org/drawingml/2006/picture">
                <pic:pic>
                  <pic:nvPicPr>
                    <pic:cNvPr id="6" name="image8.jpeg"/>
                    <pic:cNvPicPr/>
                  </pic:nvPicPr>
                  <pic:blipFill>
                    <a:blip r:embed="rId20" cstate="print"/>
                    <a:stretch>
                      <a:fillRect/>
                    </a:stretch>
                  </pic:blipFill>
                  <pic:spPr>
                    <a:xfrm>
                      <a:off x="0" y="0"/>
                      <a:ext cx="5568435" cy="2618613"/>
                    </a:xfrm>
                    <a:prstGeom prst="rect">
                      <a:avLst/>
                    </a:prstGeom>
                  </pic:spPr>
                </pic:pic>
              </a:graphicData>
            </a:graphic>
          </wp:inline>
        </w:drawing>
      </w:r>
      <w:r>
        <w:rPr>
          <w:sz w:val="20"/>
        </w:rPr>
      </w:r>
    </w:p>
    <w:p>
      <w:pPr>
        <w:pStyle w:val="BodyText"/>
        <w:spacing w:before="2"/>
        <w:rPr>
          <w:sz w:val="16"/>
        </w:rPr>
      </w:pPr>
    </w:p>
    <w:p>
      <w:pPr>
        <w:pStyle w:val="BodyText"/>
        <w:spacing w:line="276" w:lineRule="auto" w:before="70"/>
        <w:ind w:left="139" w:right="132"/>
        <w:jc w:val="both"/>
      </w:pPr>
      <w:r>
        <w:rPr/>
        <w:t>Figura 4 A y B. A) Corte histológico de riñón anterior de tilapia mostrando la formación de múltiples granulomas, B) Formación del típico granuloma en riñón anterior, con un núcleo necrótico rodeado por macrófagos, linfocitos y células necróticas (tomado de </w:t>
      </w:r>
      <w:r>
        <w:rPr>
          <w:i/>
        </w:rPr>
        <w:t>Francisella asiatica </w:t>
      </w:r>
      <w:r>
        <w:rPr/>
        <w:t>as the causative agent of piscine francisellosis in cultured tilapia (</w:t>
      </w:r>
      <w:r>
        <w:rPr>
          <w:i/>
        </w:rPr>
        <w:t>Oreochromis </w:t>
      </w:r>
      <w:r>
        <w:rPr/>
        <w:t>sp.) in the United States Soto </w:t>
      </w:r>
      <w:r>
        <w:rPr>
          <w:i/>
        </w:rPr>
        <w:t>et al</w:t>
      </w:r>
      <w:r>
        <w:rPr/>
        <w:t>., 2011).</w:t>
      </w:r>
    </w:p>
    <w:p>
      <w:pPr>
        <w:pStyle w:val="BodyText"/>
        <w:spacing w:before="4"/>
        <w:rPr>
          <w:sz w:val="14"/>
        </w:rPr>
      </w:pPr>
      <w:r>
        <w:rPr/>
        <w:drawing>
          <wp:anchor distT="0" distB="0" distL="0" distR="0" allowOverlap="1" layoutInCell="1" locked="0" behindDoc="0" simplePos="0" relativeHeight="1312">
            <wp:simplePos x="0" y="0"/>
            <wp:positionH relativeFrom="page">
              <wp:posOffset>1078991</wp:posOffset>
            </wp:positionH>
            <wp:positionV relativeFrom="paragraph">
              <wp:posOffset>129617</wp:posOffset>
            </wp:positionV>
            <wp:extent cx="5492083" cy="3043713"/>
            <wp:effectExtent l="0" t="0" r="0" b="0"/>
            <wp:wrapTopAndBottom/>
            <wp:docPr id="7" name="image9.png" descr=""/>
            <wp:cNvGraphicFramePr>
              <a:graphicFrameLocks noChangeAspect="1"/>
            </wp:cNvGraphicFramePr>
            <a:graphic>
              <a:graphicData uri="http://schemas.openxmlformats.org/drawingml/2006/picture">
                <pic:pic>
                  <pic:nvPicPr>
                    <pic:cNvPr id="8" name="image9.png"/>
                    <pic:cNvPicPr/>
                  </pic:nvPicPr>
                  <pic:blipFill>
                    <a:blip r:embed="rId21" cstate="print"/>
                    <a:stretch>
                      <a:fillRect/>
                    </a:stretch>
                  </pic:blipFill>
                  <pic:spPr>
                    <a:xfrm>
                      <a:off x="0" y="0"/>
                      <a:ext cx="5492083" cy="3043713"/>
                    </a:xfrm>
                    <a:prstGeom prst="rect">
                      <a:avLst/>
                    </a:prstGeom>
                  </pic:spPr>
                </pic:pic>
              </a:graphicData>
            </a:graphic>
          </wp:anchor>
        </w:drawing>
      </w:r>
    </w:p>
    <w:p>
      <w:pPr>
        <w:pStyle w:val="BodyText"/>
        <w:spacing w:before="9"/>
        <w:rPr>
          <w:sz w:val="21"/>
        </w:rPr>
      </w:pPr>
    </w:p>
    <w:p>
      <w:pPr>
        <w:pStyle w:val="BodyText"/>
        <w:spacing w:line="276" w:lineRule="auto"/>
        <w:ind w:left="139" w:right="136"/>
        <w:jc w:val="both"/>
      </w:pPr>
      <w:r>
        <w:rPr/>
        <w:t>Figura 5 A y B. A) Corte histológico de bazo mostrando la formación de múltiples granulomas (tomado de Characterization of a </w:t>
      </w:r>
      <w:r>
        <w:rPr>
          <w:i/>
        </w:rPr>
        <w:t>piscirickettsiosis-like </w:t>
      </w:r>
      <w:r>
        <w:rPr/>
        <w:t>disease in Hawaiian tilapia, Mauel </w:t>
      </w:r>
      <w:r>
        <w:rPr>
          <w:i/>
        </w:rPr>
        <w:t>et al</w:t>
      </w:r>
      <w:r>
        <w:rPr/>
        <w:t>., 2003), B) Frotis de riñón con tinción de Gram donde se observan múltiples microorganismos Gram negativos dentro del citoplasma   de</w:t>
      </w:r>
    </w:p>
    <w:p>
      <w:pPr>
        <w:spacing w:after="0" w:line="276" w:lineRule="auto"/>
        <w:jc w:val="both"/>
        <w:sectPr>
          <w:footerReference w:type="default" r:id="rId19"/>
          <w:pgSz w:w="12240" w:h="15840"/>
          <w:pgMar w:footer="998" w:header="752" w:top="1000" w:bottom="1180" w:left="1560" w:right="1560"/>
        </w:sectPr>
      </w:pPr>
    </w:p>
    <w:p>
      <w:pPr>
        <w:pStyle w:val="BodyText"/>
        <w:rPr>
          <w:sz w:val="29"/>
        </w:rPr>
      </w:pPr>
    </w:p>
    <w:p>
      <w:pPr>
        <w:pStyle w:val="BodyText"/>
        <w:spacing w:before="70"/>
        <w:ind w:left="139"/>
        <w:jc w:val="both"/>
      </w:pPr>
      <w:r>
        <w:rPr/>
        <w:t>un   fagocito   (tomado   de   Enzootics   of   visceral   granulomas   associated with</w:t>
      </w:r>
    </w:p>
    <w:p>
      <w:pPr>
        <w:spacing w:before="36"/>
        <w:ind w:left="139" w:right="0" w:firstLine="0"/>
        <w:jc w:val="both"/>
        <w:rPr>
          <w:sz w:val="24"/>
        </w:rPr>
      </w:pPr>
      <w:r>
        <w:rPr>
          <w:i/>
          <w:sz w:val="24"/>
        </w:rPr>
        <w:t>Francisella-like organism </w:t>
      </w:r>
      <w:r>
        <w:rPr>
          <w:sz w:val="24"/>
        </w:rPr>
        <w:t>infection in tilapia (</w:t>
      </w:r>
      <w:r>
        <w:rPr>
          <w:i/>
          <w:sz w:val="24"/>
        </w:rPr>
        <w:t>Oreochromis </w:t>
      </w:r>
      <w:r>
        <w:rPr>
          <w:sz w:val="24"/>
        </w:rPr>
        <w:t>spp.), Hsieh </w:t>
      </w:r>
      <w:r>
        <w:rPr>
          <w:i/>
          <w:sz w:val="24"/>
        </w:rPr>
        <w:t>et al</w:t>
      </w:r>
      <w:r>
        <w:rPr>
          <w:sz w:val="24"/>
        </w:rPr>
        <w:t>., 2006).</w:t>
      </w:r>
    </w:p>
    <w:p>
      <w:pPr>
        <w:pStyle w:val="BodyText"/>
        <w:spacing w:before="6"/>
        <w:rPr>
          <w:sz w:val="21"/>
        </w:rPr>
      </w:pPr>
    </w:p>
    <w:p>
      <w:pPr>
        <w:pStyle w:val="BodyText"/>
        <w:spacing w:line="276" w:lineRule="auto"/>
        <w:ind w:left="139" w:right="135"/>
        <w:jc w:val="both"/>
      </w:pPr>
      <w:r>
        <w:rPr/>
        <w:t>En las branquias a menudo se puede observar una respuesta proliferativa granulomatosa tanto en la base como en el arco branquial, estas a su vez pueden presentar un gran número de células inflamatorias mixtas o predominar las mononucleares que a menudo contienen numerosos cuerpos intracitoplásmicos basófilos Figura 6 (Mauel </w:t>
      </w:r>
      <w:r>
        <w:rPr>
          <w:i/>
        </w:rPr>
        <w:t>et al</w:t>
      </w:r>
      <w:r>
        <w:rPr/>
        <w:t>., 2003; Mauel </w:t>
      </w:r>
      <w:r>
        <w:rPr>
          <w:i/>
        </w:rPr>
        <w:t>et al</w:t>
      </w:r>
      <w:r>
        <w:rPr/>
        <w:t>., 2007).</w:t>
      </w:r>
    </w:p>
    <w:p>
      <w:pPr>
        <w:pStyle w:val="BodyText"/>
        <w:spacing w:before="5"/>
        <w:rPr>
          <w:sz w:val="14"/>
        </w:rPr>
      </w:pPr>
      <w:r>
        <w:rPr/>
        <w:drawing>
          <wp:anchor distT="0" distB="0" distL="0" distR="0" allowOverlap="1" layoutInCell="1" locked="0" behindDoc="0" simplePos="0" relativeHeight="1336">
            <wp:simplePos x="0" y="0"/>
            <wp:positionH relativeFrom="page">
              <wp:posOffset>1078991</wp:posOffset>
            </wp:positionH>
            <wp:positionV relativeFrom="paragraph">
              <wp:posOffset>130506</wp:posOffset>
            </wp:positionV>
            <wp:extent cx="5616838" cy="2618898"/>
            <wp:effectExtent l="0" t="0" r="0" b="0"/>
            <wp:wrapTopAndBottom/>
            <wp:docPr id="9" name="image10.jpeg" descr=""/>
            <wp:cNvGraphicFramePr>
              <a:graphicFrameLocks noChangeAspect="1"/>
            </wp:cNvGraphicFramePr>
            <a:graphic>
              <a:graphicData uri="http://schemas.openxmlformats.org/drawingml/2006/picture">
                <pic:pic>
                  <pic:nvPicPr>
                    <pic:cNvPr id="10" name="image10.jpeg"/>
                    <pic:cNvPicPr/>
                  </pic:nvPicPr>
                  <pic:blipFill>
                    <a:blip r:embed="rId23" cstate="print"/>
                    <a:stretch>
                      <a:fillRect/>
                    </a:stretch>
                  </pic:blipFill>
                  <pic:spPr>
                    <a:xfrm>
                      <a:off x="0" y="0"/>
                      <a:ext cx="5616838" cy="2618898"/>
                    </a:xfrm>
                    <a:prstGeom prst="rect">
                      <a:avLst/>
                    </a:prstGeom>
                  </pic:spPr>
                </pic:pic>
              </a:graphicData>
            </a:graphic>
          </wp:anchor>
        </w:drawing>
      </w:r>
    </w:p>
    <w:p>
      <w:pPr>
        <w:pStyle w:val="BodyText"/>
        <w:spacing w:line="273" w:lineRule="auto" w:before="198"/>
        <w:ind w:left="139" w:right="133"/>
        <w:jc w:val="both"/>
      </w:pPr>
      <w:r>
        <w:rPr/>
        <w:t>Figura 6: Corte Histológico de branquias donde se observan las láminas primarias y secundarias de branquia de tilapia con signos agudos de francisellosis, también se</w:t>
      </w:r>
      <w:r>
        <w:rPr>
          <w:spacing w:val="-11"/>
        </w:rPr>
        <w:t> </w:t>
      </w:r>
      <w:r>
        <w:rPr/>
        <w:t>puede</w:t>
      </w:r>
      <w:r>
        <w:rPr>
          <w:spacing w:val="-11"/>
        </w:rPr>
        <w:t> </w:t>
      </w:r>
      <w:r>
        <w:rPr/>
        <w:t>observar</w:t>
      </w:r>
      <w:r>
        <w:rPr>
          <w:spacing w:val="-12"/>
        </w:rPr>
        <w:t> </w:t>
      </w:r>
      <w:r>
        <w:rPr/>
        <w:t>la</w:t>
      </w:r>
      <w:r>
        <w:rPr>
          <w:spacing w:val="-15"/>
        </w:rPr>
        <w:t> </w:t>
      </w:r>
      <w:r>
        <w:rPr/>
        <w:t>hiperplasia</w:t>
      </w:r>
      <w:r>
        <w:rPr>
          <w:spacing w:val="-15"/>
        </w:rPr>
        <w:t> </w:t>
      </w:r>
      <w:r>
        <w:rPr/>
        <w:t>y</w:t>
      </w:r>
      <w:r>
        <w:rPr>
          <w:spacing w:val="-12"/>
        </w:rPr>
        <w:t> </w:t>
      </w:r>
      <w:r>
        <w:rPr/>
        <w:t>consolidación</w:t>
      </w:r>
      <w:r>
        <w:rPr>
          <w:spacing w:val="-10"/>
        </w:rPr>
        <w:t> </w:t>
      </w:r>
      <w:r>
        <w:rPr/>
        <w:t>grave</w:t>
      </w:r>
      <w:r>
        <w:rPr>
          <w:spacing w:val="-16"/>
        </w:rPr>
        <w:t> </w:t>
      </w:r>
      <w:r>
        <w:rPr/>
        <w:t>de</w:t>
      </w:r>
      <w:r>
        <w:rPr>
          <w:spacing w:val="-11"/>
        </w:rPr>
        <w:t> </w:t>
      </w:r>
      <w:r>
        <w:rPr/>
        <w:t>las</w:t>
      </w:r>
      <w:r>
        <w:rPr>
          <w:spacing w:val="-21"/>
        </w:rPr>
        <w:t> </w:t>
      </w:r>
      <w:r>
        <w:rPr/>
        <w:t>laminillas</w:t>
      </w:r>
      <w:r>
        <w:rPr>
          <w:spacing w:val="-16"/>
        </w:rPr>
        <w:t> </w:t>
      </w:r>
      <w:r>
        <w:rPr/>
        <w:t>secundarias (tomado de Characterization of a piscirickettsiosis-like disease in Hawaiian tilapia, Mauel </w:t>
      </w:r>
      <w:r>
        <w:rPr>
          <w:i/>
        </w:rPr>
        <w:t>et al</w:t>
      </w:r>
      <w:r>
        <w:rPr/>
        <w:t>.,</w:t>
      </w:r>
      <w:r>
        <w:rPr>
          <w:spacing w:val="-5"/>
        </w:rPr>
        <w:t> </w:t>
      </w:r>
      <w:r>
        <w:rPr/>
        <w:t>2003).</w:t>
      </w:r>
    </w:p>
    <w:p>
      <w:pPr>
        <w:pStyle w:val="BodyText"/>
        <w:spacing w:line="273" w:lineRule="auto" w:before="209"/>
        <w:ind w:left="139" w:right="132"/>
        <w:jc w:val="both"/>
      </w:pPr>
      <w:r>
        <w:rPr/>
        <w:t>En sangre al examen citológico se puede evidenciar la presencia de bacterias pleomórficas en macrófagos y libres en el plasma </w:t>
      </w:r>
      <w:r>
        <w:rPr>
          <w:rFonts w:ascii="Calibri" w:hAnsi="Calibri"/>
          <w:sz w:val="22"/>
        </w:rPr>
        <w:t>(</w:t>
      </w:r>
      <w:r>
        <w:rPr/>
        <w:t>Mauel </w:t>
      </w:r>
      <w:r>
        <w:rPr>
          <w:i/>
        </w:rPr>
        <w:t>et al</w:t>
      </w:r>
      <w:r>
        <w:rPr/>
        <w:t>., 2007; Soto </w:t>
      </w:r>
      <w:r>
        <w:rPr>
          <w:i/>
        </w:rPr>
        <w:t>et al</w:t>
      </w:r>
      <w:r>
        <w:rPr/>
        <w:t>., 2011).</w:t>
      </w:r>
    </w:p>
    <w:p>
      <w:pPr>
        <w:pStyle w:val="BodyText"/>
        <w:spacing w:line="273" w:lineRule="auto" w:before="209"/>
        <w:ind w:left="139" w:right="136"/>
        <w:jc w:val="both"/>
      </w:pPr>
      <w:r>
        <w:rPr/>
        <w:t>Otros hallazgos que se presentan en los órganos afectados son necrosis focal y difusa con presencia de vasculitis necrotizante y coagulación intravascular especialmente en riñón y bazo. La lesión se ve acompañada por un infiltrado inflamatorio crónico de células mononucleares y la formación de granulomas de distribución diseminada (Mauel </w:t>
      </w:r>
      <w:r>
        <w:rPr>
          <w:i/>
        </w:rPr>
        <w:t>et al</w:t>
      </w:r>
      <w:r>
        <w:rPr/>
        <w:t>., 2007; Soto </w:t>
      </w:r>
      <w:r>
        <w:rPr>
          <w:i/>
        </w:rPr>
        <w:t>et al</w:t>
      </w:r>
      <w:r>
        <w:rPr/>
        <w:t>., 2011).</w:t>
      </w:r>
    </w:p>
    <w:p>
      <w:pPr>
        <w:pStyle w:val="BodyText"/>
        <w:spacing w:line="273" w:lineRule="auto" w:before="209"/>
        <w:ind w:left="139" w:right="142"/>
        <w:jc w:val="both"/>
      </w:pPr>
      <w:r>
        <w:rPr/>
        <w:t>La infiltración granulomatosa se ha observado también en otros órganos como testículos, tejido ovárico, hígado, corazón y cerebro (Mauel </w:t>
      </w:r>
      <w:r>
        <w:rPr>
          <w:i/>
        </w:rPr>
        <w:t>et al</w:t>
      </w:r>
      <w:r>
        <w:rPr/>
        <w:t>., 2007; Soto </w:t>
      </w:r>
      <w:r>
        <w:rPr>
          <w:i/>
        </w:rPr>
        <w:t>et al</w:t>
      </w:r>
      <w:r>
        <w:rPr/>
        <w:t>., 2011).</w:t>
      </w:r>
    </w:p>
    <w:p>
      <w:pPr>
        <w:spacing w:after="0" w:line="273" w:lineRule="auto"/>
        <w:jc w:val="both"/>
        <w:sectPr>
          <w:footerReference w:type="default" r:id="rId22"/>
          <w:pgSz w:w="12240" w:h="15840"/>
          <w:pgMar w:footer="998" w:header="752" w:top="1000" w:bottom="1180" w:left="1560" w:right="1560"/>
          <w:pgNumType w:start="21"/>
        </w:sectPr>
      </w:pPr>
    </w:p>
    <w:p>
      <w:pPr>
        <w:pStyle w:val="BodyText"/>
        <w:rPr>
          <w:sz w:val="29"/>
        </w:rPr>
      </w:pPr>
    </w:p>
    <w:p>
      <w:pPr>
        <w:pStyle w:val="BodyText"/>
        <w:spacing w:line="276" w:lineRule="auto" w:before="70"/>
        <w:ind w:left="139" w:right="135"/>
        <w:jc w:val="both"/>
      </w:pPr>
      <w:r>
        <w:rPr/>
        <w:t>Formación de granulomas en el parénquima del hígado. La fase aguda de la infección se caracteriza por la acumulación de macrófagos y focos de necrosis. Durante las etapas crónicas, se observan la formación de granulomas rodeados de tejido conectivo fibroso con presencia de lipidosis hepática (Mauel </w:t>
      </w:r>
      <w:r>
        <w:rPr>
          <w:i/>
        </w:rPr>
        <w:t>et al</w:t>
      </w:r>
      <w:r>
        <w:rPr/>
        <w:t>., 2007).</w:t>
      </w:r>
    </w:p>
    <w:p>
      <w:pPr>
        <w:pStyle w:val="BodyText"/>
        <w:spacing w:line="276" w:lineRule="auto" w:before="202"/>
        <w:ind w:left="139" w:right="133"/>
        <w:jc w:val="both"/>
      </w:pPr>
      <w:r>
        <w:rPr/>
        <w:t>En el corazón las lesiones se caracterizan por una grave infiltración de células mononucleares principalmente macrófagos, formación de granulomas en el pericardio y miocardio. Otros hallazgos histopatológicos presente son epicarditis y endocarditis con un infiltrado inflamatorio y la fragmentación de algunas fibras del miocardio (Mauel </w:t>
      </w:r>
      <w:r>
        <w:rPr>
          <w:i/>
        </w:rPr>
        <w:t>et al., </w:t>
      </w:r>
      <w:r>
        <w:rPr/>
        <w:t>2007, Soto </w:t>
      </w:r>
      <w:r>
        <w:rPr>
          <w:i/>
        </w:rPr>
        <w:t>et al</w:t>
      </w:r>
      <w:r>
        <w:rPr/>
        <w:t>., 2011).</w:t>
      </w:r>
    </w:p>
    <w:p>
      <w:pPr>
        <w:pStyle w:val="BodyText"/>
        <w:spacing w:line="273" w:lineRule="auto" w:before="207"/>
        <w:ind w:left="139" w:right="135"/>
        <w:jc w:val="both"/>
      </w:pPr>
      <w:r>
        <w:rPr/>
        <w:t>En cerebro se puede observar Infiltración severa de macrófagos en las meninges con la formación de granulomas y en algunos casos se observa la formación de granulomas en el tejido neural (Mauel </w:t>
      </w:r>
      <w:r>
        <w:rPr>
          <w:i/>
        </w:rPr>
        <w:t>et al</w:t>
      </w:r>
      <w:r>
        <w:rPr/>
        <w:t>., 2007).</w:t>
      </w:r>
    </w:p>
    <w:p>
      <w:pPr>
        <w:pStyle w:val="BodyText"/>
        <w:spacing w:line="271" w:lineRule="auto" w:before="210"/>
        <w:ind w:left="139" w:right="139"/>
        <w:jc w:val="both"/>
      </w:pPr>
      <w:r>
        <w:rPr/>
        <w:t>En ojo las lesiones se encuentran principalmente en la glándula coroides con una alta infiltración de macrófagos y formación de  múltiples granulomas.</w:t>
      </w:r>
    </w:p>
    <w:p>
      <w:pPr>
        <w:pStyle w:val="BodyText"/>
        <w:spacing w:line="273" w:lineRule="auto" w:before="212"/>
        <w:ind w:left="139" w:right="133"/>
        <w:jc w:val="both"/>
      </w:pPr>
      <w:r>
        <w:rPr/>
        <w:t>En el aparato digestivo </w:t>
      </w:r>
      <w:r>
        <w:rPr>
          <w:spacing w:val="-3"/>
        </w:rPr>
        <w:t>se </w:t>
      </w:r>
      <w:r>
        <w:rPr/>
        <w:t>puede encuentrar linfocitos y macrófagos en la lámina propia</w:t>
      </w:r>
      <w:r>
        <w:rPr>
          <w:spacing w:val="-15"/>
        </w:rPr>
        <w:t> </w:t>
      </w:r>
      <w:r>
        <w:rPr/>
        <w:t>y</w:t>
      </w:r>
      <w:r>
        <w:rPr>
          <w:spacing w:val="-16"/>
        </w:rPr>
        <w:t> </w:t>
      </w:r>
      <w:r>
        <w:rPr/>
        <w:t>la</w:t>
      </w:r>
      <w:r>
        <w:rPr>
          <w:spacing w:val="-15"/>
        </w:rPr>
        <w:t> </w:t>
      </w:r>
      <w:r>
        <w:rPr/>
        <w:t>submucosa</w:t>
      </w:r>
      <w:r>
        <w:rPr>
          <w:spacing w:val="-11"/>
        </w:rPr>
        <w:t> </w:t>
      </w:r>
      <w:r>
        <w:rPr/>
        <w:t>del</w:t>
      </w:r>
      <w:r>
        <w:rPr>
          <w:spacing w:val="-12"/>
        </w:rPr>
        <w:t> </w:t>
      </w:r>
      <w:r>
        <w:rPr/>
        <w:t>estómago</w:t>
      </w:r>
      <w:r>
        <w:rPr>
          <w:spacing w:val="-11"/>
        </w:rPr>
        <w:t> </w:t>
      </w:r>
      <w:r>
        <w:rPr/>
        <w:t>e</w:t>
      </w:r>
      <w:r>
        <w:rPr>
          <w:spacing w:val="-16"/>
        </w:rPr>
        <w:t> </w:t>
      </w:r>
      <w:r>
        <w:rPr/>
        <w:t>intestino.</w:t>
      </w:r>
      <w:r>
        <w:rPr>
          <w:spacing w:val="-11"/>
        </w:rPr>
        <w:t> </w:t>
      </w:r>
      <w:r>
        <w:rPr/>
        <w:t>Sólo</w:t>
      </w:r>
      <w:r>
        <w:rPr>
          <w:spacing w:val="-16"/>
        </w:rPr>
        <w:t> </w:t>
      </w:r>
      <w:r>
        <w:rPr/>
        <w:t>en</w:t>
      </w:r>
      <w:r>
        <w:rPr>
          <w:spacing w:val="-16"/>
        </w:rPr>
        <w:t> </w:t>
      </w:r>
      <w:r>
        <w:rPr/>
        <w:t>algunos</w:t>
      </w:r>
      <w:r>
        <w:rPr>
          <w:spacing w:val="-11"/>
        </w:rPr>
        <w:t> </w:t>
      </w:r>
      <w:r>
        <w:rPr/>
        <w:t>casos</w:t>
      </w:r>
      <w:r>
        <w:rPr>
          <w:spacing w:val="-16"/>
        </w:rPr>
        <w:t> </w:t>
      </w:r>
      <w:r>
        <w:rPr/>
        <w:t>se</w:t>
      </w:r>
      <w:r>
        <w:rPr>
          <w:spacing w:val="-15"/>
        </w:rPr>
        <w:t> </w:t>
      </w:r>
      <w:r>
        <w:rPr/>
        <w:t>observan granulomas en la serosa del estómago y los intestinos (Soto </w:t>
      </w:r>
      <w:r>
        <w:rPr>
          <w:i/>
        </w:rPr>
        <w:t>et al</w:t>
      </w:r>
      <w:r>
        <w:rPr/>
        <w:t>.,</w:t>
      </w:r>
      <w:r>
        <w:rPr>
          <w:spacing w:val="-25"/>
        </w:rPr>
        <w:t> </w:t>
      </w:r>
      <w:r>
        <w:rPr/>
        <w:t>2011).</w:t>
      </w:r>
    </w:p>
    <w:p>
      <w:pPr>
        <w:pStyle w:val="BodyText"/>
        <w:spacing w:line="273" w:lineRule="auto" w:before="209"/>
        <w:ind w:left="139" w:right="132"/>
        <w:jc w:val="both"/>
      </w:pPr>
      <w:r>
        <w:rPr/>
        <w:t>Se pueden ver granulomas e infiltrados inflamatorios en músculo, las fibras musculares pueden presentar necrosis con una infiltración severa por macrófagos y linfocitos, neutrófilos y células gigantes (Mauel </w:t>
      </w:r>
      <w:r>
        <w:rPr>
          <w:i/>
        </w:rPr>
        <w:t>et al.,</w:t>
      </w:r>
      <w:r>
        <w:rPr>
          <w:i/>
          <w:spacing w:val="-16"/>
        </w:rPr>
        <w:t> </w:t>
      </w:r>
      <w:r>
        <w:rPr/>
        <w:t>2007).</w:t>
      </w:r>
    </w:p>
    <w:p>
      <w:pPr>
        <w:pStyle w:val="BodyText"/>
        <w:spacing w:line="273" w:lineRule="auto" w:before="210"/>
        <w:ind w:left="139" w:right="135"/>
        <w:jc w:val="both"/>
      </w:pPr>
      <w:r>
        <w:rPr/>
        <w:t>En piel hay pérdida de la epidermis, necrosis e infiltración inflamatoria mixta constituida por neutrófilos y células mononucleares; formación de granulomas, caracterizado</w:t>
      </w:r>
      <w:r>
        <w:rPr>
          <w:spacing w:val="-7"/>
        </w:rPr>
        <w:t> </w:t>
      </w:r>
      <w:r>
        <w:rPr/>
        <w:t>por</w:t>
      </w:r>
      <w:r>
        <w:rPr>
          <w:spacing w:val="-6"/>
        </w:rPr>
        <w:t> </w:t>
      </w:r>
      <w:r>
        <w:rPr/>
        <w:t>un</w:t>
      </w:r>
      <w:r>
        <w:rPr>
          <w:spacing w:val="-12"/>
        </w:rPr>
        <w:t> </w:t>
      </w:r>
      <w:r>
        <w:rPr/>
        <w:t>área</w:t>
      </w:r>
      <w:r>
        <w:rPr>
          <w:spacing w:val="-12"/>
        </w:rPr>
        <w:t> </w:t>
      </w:r>
      <w:r>
        <w:rPr/>
        <w:t>de</w:t>
      </w:r>
      <w:r>
        <w:rPr>
          <w:spacing w:val="-7"/>
        </w:rPr>
        <w:t> </w:t>
      </w:r>
      <w:r>
        <w:rPr/>
        <w:t>necrosis</w:t>
      </w:r>
      <w:r>
        <w:rPr>
          <w:spacing w:val="-8"/>
        </w:rPr>
        <w:t> </w:t>
      </w:r>
      <w:r>
        <w:rPr/>
        <w:t>central</w:t>
      </w:r>
      <w:r>
        <w:rPr>
          <w:spacing w:val="-8"/>
        </w:rPr>
        <w:t> </w:t>
      </w:r>
      <w:r>
        <w:rPr/>
        <w:t>con</w:t>
      </w:r>
      <w:r>
        <w:rPr>
          <w:spacing w:val="2"/>
        </w:rPr>
        <w:t> </w:t>
      </w:r>
      <w:r>
        <w:rPr/>
        <w:t>infiltración</w:t>
      </w:r>
      <w:r>
        <w:rPr>
          <w:spacing w:val="-12"/>
        </w:rPr>
        <w:t> </w:t>
      </w:r>
      <w:r>
        <w:rPr/>
        <w:t>de</w:t>
      </w:r>
      <w:r>
        <w:rPr>
          <w:spacing w:val="-7"/>
        </w:rPr>
        <w:t> </w:t>
      </w:r>
      <w:r>
        <w:rPr/>
        <w:t>macrófagos</w:t>
      </w:r>
      <w:r>
        <w:rPr>
          <w:spacing w:val="-8"/>
        </w:rPr>
        <w:t> </w:t>
      </w:r>
      <w:r>
        <w:rPr/>
        <w:t>y</w:t>
      </w:r>
      <w:r>
        <w:rPr>
          <w:spacing w:val="-4"/>
        </w:rPr>
        <w:t> </w:t>
      </w:r>
      <w:r>
        <w:rPr/>
        <w:t>tejido conectivo alrededor de la lesión (Mauel </w:t>
      </w:r>
      <w:r>
        <w:rPr>
          <w:i/>
        </w:rPr>
        <w:t>et al</w:t>
      </w:r>
      <w:r>
        <w:rPr/>
        <w:t>.,</w:t>
      </w:r>
      <w:r>
        <w:rPr>
          <w:spacing w:val="-14"/>
        </w:rPr>
        <w:t> </w:t>
      </w:r>
      <w:r>
        <w:rPr/>
        <w:t>2007).</w:t>
      </w:r>
    </w:p>
    <w:p>
      <w:pPr>
        <w:pStyle w:val="BodyText"/>
        <w:spacing w:line="276" w:lineRule="auto" w:before="209"/>
        <w:ind w:left="139" w:right="133"/>
        <w:jc w:val="both"/>
      </w:pPr>
      <w:r>
        <w:rPr/>
        <w:t>Estos hallazgos se han encontrado en casos de francisellosis en tilapia de distintas edades,</w:t>
      </w:r>
      <w:r>
        <w:rPr>
          <w:spacing w:val="-6"/>
        </w:rPr>
        <w:t> </w:t>
      </w:r>
      <w:r>
        <w:rPr/>
        <w:t>progresando</w:t>
      </w:r>
      <w:r>
        <w:rPr>
          <w:spacing w:val="-6"/>
        </w:rPr>
        <w:t> </w:t>
      </w:r>
      <w:r>
        <w:rPr/>
        <w:t>hacia</w:t>
      </w:r>
      <w:r>
        <w:rPr>
          <w:spacing w:val="-11"/>
        </w:rPr>
        <w:t> </w:t>
      </w:r>
      <w:r>
        <w:rPr/>
        <w:t>la</w:t>
      </w:r>
      <w:r>
        <w:rPr>
          <w:spacing w:val="-11"/>
        </w:rPr>
        <w:t> </w:t>
      </w:r>
      <w:r>
        <w:rPr/>
        <w:t>formación</w:t>
      </w:r>
      <w:r>
        <w:rPr>
          <w:spacing w:val="-11"/>
        </w:rPr>
        <w:t> </w:t>
      </w:r>
      <w:r>
        <w:rPr/>
        <w:t>de granulomas</w:t>
      </w:r>
      <w:r>
        <w:rPr>
          <w:spacing w:val="-7"/>
        </w:rPr>
        <w:t> </w:t>
      </w:r>
      <w:r>
        <w:rPr/>
        <w:t>de</w:t>
      </w:r>
      <w:r>
        <w:rPr>
          <w:spacing w:val="-6"/>
        </w:rPr>
        <w:t> </w:t>
      </w:r>
      <w:r>
        <w:rPr/>
        <w:t>acuerdo</w:t>
      </w:r>
      <w:r>
        <w:rPr>
          <w:spacing w:val="-6"/>
        </w:rPr>
        <w:t> </w:t>
      </w:r>
      <w:r>
        <w:rPr/>
        <w:t>con</w:t>
      </w:r>
      <w:r>
        <w:rPr>
          <w:spacing w:val="-11"/>
        </w:rPr>
        <w:t> </w:t>
      </w:r>
      <w:r>
        <w:rPr/>
        <w:t>la</w:t>
      </w:r>
      <w:r>
        <w:rPr>
          <w:spacing w:val="-5"/>
        </w:rPr>
        <w:t> </w:t>
      </w:r>
      <w:r>
        <w:rPr/>
        <w:t>edad</w:t>
      </w:r>
      <w:r>
        <w:rPr>
          <w:spacing w:val="-6"/>
        </w:rPr>
        <w:t> </w:t>
      </w:r>
      <w:r>
        <w:rPr>
          <w:spacing w:val="-3"/>
        </w:rPr>
        <w:t>del </w:t>
      </w:r>
      <w:r>
        <w:rPr/>
        <w:t>pez. En algunos trabajos se determinó la presencia de granulomas en un 15% en alevines,</w:t>
      </w:r>
      <w:r>
        <w:rPr>
          <w:spacing w:val="-6"/>
        </w:rPr>
        <w:t> </w:t>
      </w:r>
      <w:r>
        <w:rPr/>
        <w:t>75%</w:t>
      </w:r>
      <w:r>
        <w:rPr>
          <w:spacing w:val="-9"/>
        </w:rPr>
        <w:t> </w:t>
      </w:r>
      <w:r>
        <w:rPr/>
        <w:t>en</w:t>
      </w:r>
      <w:r>
        <w:rPr>
          <w:spacing w:val="-6"/>
        </w:rPr>
        <w:t> </w:t>
      </w:r>
      <w:r>
        <w:rPr/>
        <w:t>peces</w:t>
      </w:r>
      <w:r>
        <w:rPr>
          <w:spacing w:val="-7"/>
        </w:rPr>
        <w:t> </w:t>
      </w:r>
      <w:r>
        <w:rPr/>
        <w:t>de</w:t>
      </w:r>
      <w:r>
        <w:rPr>
          <w:spacing w:val="-6"/>
        </w:rPr>
        <w:t> </w:t>
      </w:r>
      <w:r>
        <w:rPr>
          <w:spacing w:val="-3"/>
        </w:rPr>
        <w:t>tamaño</w:t>
      </w:r>
      <w:r>
        <w:rPr>
          <w:spacing w:val="-6"/>
        </w:rPr>
        <w:t> </w:t>
      </w:r>
      <w:r>
        <w:rPr/>
        <w:t>de</w:t>
      </w:r>
      <w:r>
        <w:rPr>
          <w:spacing w:val="-2"/>
        </w:rPr>
        <w:t> </w:t>
      </w:r>
      <w:r>
        <w:rPr/>
        <w:t>mercado</w:t>
      </w:r>
      <w:r>
        <w:rPr>
          <w:spacing w:val="-6"/>
        </w:rPr>
        <w:t> </w:t>
      </w:r>
      <w:r>
        <w:rPr/>
        <w:t>y</w:t>
      </w:r>
      <w:r>
        <w:rPr>
          <w:spacing w:val="-7"/>
        </w:rPr>
        <w:t> </w:t>
      </w:r>
      <w:r>
        <w:rPr>
          <w:spacing w:val="2"/>
        </w:rPr>
        <w:t>100%</w:t>
      </w:r>
      <w:r>
        <w:rPr>
          <w:spacing w:val="-9"/>
        </w:rPr>
        <w:t> </w:t>
      </w:r>
      <w:r>
        <w:rPr/>
        <w:t>en</w:t>
      </w:r>
      <w:r>
        <w:rPr>
          <w:spacing w:val="-6"/>
        </w:rPr>
        <w:t> </w:t>
      </w:r>
      <w:r>
        <w:rPr/>
        <w:t>reproductores</w:t>
      </w:r>
      <w:r>
        <w:rPr>
          <w:spacing w:val="-4"/>
        </w:rPr>
        <w:t> </w:t>
      </w:r>
      <w:r>
        <w:rPr/>
        <w:t>(Mauel</w:t>
      </w:r>
      <w:r>
        <w:rPr>
          <w:spacing w:val="-1"/>
        </w:rPr>
        <w:t> </w:t>
      </w:r>
      <w:r>
        <w:rPr>
          <w:i/>
        </w:rPr>
        <w:t>et </w:t>
      </w:r>
      <w:r>
        <w:rPr>
          <w:i/>
        </w:rPr>
        <w:t>al</w:t>
      </w:r>
      <w:r>
        <w:rPr/>
        <w:t>., 2007). También se puede observar la presencia de bacterias Gram negativas pleomórficas en el interior de las lesiones, en casos de enfermedad crónica y en caso</w:t>
      </w:r>
      <w:r>
        <w:rPr>
          <w:spacing w:val="-12"/>
        </w:rPr>
        <w:t> </w:t>
      </w:r>
      <w:r>
        <w:rPr/>
        <w:t>de</w:t>
      </w:r>
      <w:r>
        <w:rPr>
          <w:spacing w:val="-10"/>
        </w:rPr>
        <w:t> </w:t>
      </w:r>
      <w:r>
        <w:rPr/>
        <w:t>granulomas</w:t>
      </w:r>
      <w:r>
        <w:rPr>
          <w:spacing w:val="-13"/>
        </w:rPr>
        <w:t> </w:t>
      </w:r>
      <w:r>
        <w:rPr/>
        <w:t>maduros</w:t>
      </w:r>
      <w:r>
        <w:rPr>
          <w:spacing w:val="-13"/>
        </w:rPr>
        <w:t> </w:t>
      </w:r>
      <w:r>
        <w:rPr/>
        <w:t>o</w:t>
      </w:r>
      <w:r>
        <w:rPr>
          <w:spacing w:val="-12"/>
        </w:rPr>
        <w:t> </w:t>
      </w:r>
      <w:r>
        <w:rPr/>
        <w:t>calcificados.</w:t>
      </w:r>
      <w:r>
        <w:rPr>
          <w:spacing w:val="-12"/>
        </w:rPr>
        <w:t> </w:t>
      </w:r>
      <w:r>
        <w:rPr/>
        <w:t>Estos</w:t>
      </w:r>
      <w:r>
        <w:rPr>
          <w:spacing w:val="-12"/>
        </w:rPr>
        <w:t> </w:t>
      </w:r>
      <w:r>
        <w:rPr/>
        <w:t>hallazgos</w:t>
      </w:r>
      <w:r>
        <w:rPr>
          <w:spacing w:val="-17"/>
        </w:rPr>
        <w:t> </w:t>
      </w:r>
      <w:r>
        <w:rPr/>
        <w:t>pueden</w:t>
      </w:r>
      <w:r>
        <w:rPr>
          <w:spacing w:val="-12"/>
        </w:rPr>
        <w:t> </w:t>
      </w:r>
      <w:r>
        <w:rPr/>
        <w:t>observarse</w:t>
      </w:r>
      <w:r>
        <w:rPr>
          <w:spacing w:val="-12"/>
        </w:rPr>
        <w:t> </w:t>
      </w:r>
      <w:r>
        <w:rPr/>
        <w:t>en cualquier órgano o tejido, incluyendo las meninges en infecciones severas (Mauel </w:t>
      </w:r>
      <w:r>
        <w:rPr>
          <w:i/>
        </w:rPr>
        <w:t>et al</w:t>
      </w:r>
      <w:r>
        <w:rPr/>
        <w:t>., 2007; Mikalsen </w:t>
      </w:r>
      <w:r>
        <w:rPr>
          <w:i/>
        </w:rPr>
        <w:t>et al</w:t>
      </w:r>
      <w:r>
        <w:rPr/>
        <w:t>., 2007; Ostland </w:t>
      </w:r>
      <w:r>
        <w:rPr>
          <w:i/>
        </w:rPr>
        <w:t>et al</w:t>
      </w:r>
      <w:r>
        <w:rPr/>
        <w:t>., 2006; Chern y Chao</w:t>
      </w:r>
      <w:r>
        <w:rPr>
          <w:spacing w:val="-45"/>
        </w:rPr>
        <w:t> </w:t>
      </w:r>
      <w:r>
        <w:rPr/>
        <w:t>1994).</w:t>
      </w:r>
    </w:p>
    <w:p>
      <w:pPr>
        <w:pStyle w:val="BodyText"/>
        <w:spacing w:line="278" w:lineRule="auto" w:before="202"/>
        <w:ind w:left="139" w:right="139"/>
        <w:jc w:val="both"/>
      </w:pPr>
      <w:r>
        <w:rPr/>
        <w:t>Algunos autores han observado un cuadro de francisellosis que no produce granulomas; asociado con el </w:t>
      </w:r>
      <w:r>
        <w:rPr>
          <w:spacing w:val="-2"/>
        </w:rPr>
        <w:t>primer </w:t>
      </w:r>
      <w:r>
        <w:rPr/>
        <w:t>reporte de la enfermedad en abulón (</w:t>
      </w:r>
      <w:r>
        <w:rPr>
          <w:i/>
        </w:rPr>
        <w:t>Haliotis </w:t>
      </w:r>
      <w:r>
        <w:rPr>
          <w:i/>
        </w:rPr>
        <w:t>gigantea</w:t>
      </w:r>
      <w:r>
        <w:rPr/>
        <w:t>)</w:t>
      </w:r>
      <w:r>
        <w:rPr>
          <w:spacing w:val="-11"/>
        </w:rPr>
        <w:t> </w:t>
      </w:r>
      <w:r>
        <w:rPr/>
        <w:t>en</w:t>
      </w:r>
      <w:r>
        <w:rPr>
          <w:spacing w:val="-16"/>
        </w:rPr>
        <w:t> </w:t>
      </w:r>
      <w:r>
        <w:rPr/>
        <w:t>febrero</w:t>
      </w:r>
      <w:r>
        <w:rPr>
          <w:spacing w:val="-16"/>
        </w:rPr>
        <w:t> </w:t>
      </w:r>
      <w:r>
        <w:rPr/>
        <w:t>del</w:t>
      </w:r>
      <w:r>
        <w:rPr>
          <w:spacing w:val="-13"/>
        </w:rPr>
        <w:t> </w:t>
      </w:r>
      <w:r>
        <w:rPr/>
        <w:t>2005</w:t>
      </w:r>
      <w:r>
        <w:rPr>
          <w:spacing w:val="-16"/>
        </w:rPr>
        <w:t> </w:t>
      </w:r>
      <w:r>
        <w:rPr/>
        <w:t>en</w:t>
      </w:r>
      <w:r>
        <w:rPr>
          <w:spacing w:val="-17"/>
        </w:rPr>
        <w:t> </w:t>
      </w:r>
      <w:r>
        <w:rPr/>
        <w:t>una</w:t>
      </w:r>
      <w:r>
        <w:rPr>
          <w:spacing w:val="-12"/>
        </w:rPr>
        <w:t> </w:t>
      </w:r>
      <w:r>
        <w:rPr/>
        <w:t>granja</w:t>
      </w:r>
      <w:r>
        <w:rPr>
          <w:spacing w:val="-12"/>
        </w:rPr>
        <w:t> </w:t>
      </w:r>
      <w:r>
        <w:rPr/>
        <w:t>de</w:t>
      </w:r>
      <w:r>
        <w:rPr>
          <w:spacing w:val="-5"/>
        </w:rPr>
        <w:t> </w:t>
      </w:r>
      <w:r>
        <w:rPr/>
        <w:t>Japón,</w:t>
      </w:r>
      <w:r>
        <w:rPr>
          <w:spacing w:val="-17"/>
        </w:rPr>
        <w:t> </w:t>
      </w:r>
      <w:r>
        <w:rPr/>
        <w:t>donde</w:t>
      </w:r>
      <w:r>
        <w:rPr>
          <w:spacing w:val="-17"/>
        </w:rPr>
        <w:t> </w:t>
      </w:r>
      <w:r>
        <w:rPr/>
        <w:t>la</w:t>
      </w:r>
      <w:r>
        <w:rPr>
          <w:spacing w:val="-16"/>
        </w:rPr>
        <w:t> </w:t>
      </w:r>
      <w:r>
        <w:rPr/>
        <w:t>mortalidad</w:t>
      </w:r>
      <w:r>
        <w:rPr>
          <w:spacing w:val="-16"/>
        </w:rPr>
        <w:t> </w:t>
      </w:r>
      <w:r>
        <w:rPr/>
        <w:t>aumento</w:t>
      </w:r>
    </w:p>
    <w:p>
      <w:pPr>
        <w:spacing w:after="0" w:line="278" w:lineRule="auto"/>
        <w:jc w:val="both"/>
        <w:sectPr>
          <w:pgSz w:w="12240" w:h="15840"/>
          <w:pgMar w:header="752" w:footer="998" w:top="1000" w:bottom="1180" w:left="1560" w:right="1560"/>
        </w:sectPr>
      </w:pPr>
    </w:p>
    <w:p>
      <w:pPr>
        <w:pStyle w:val="BodyText"/>
        <w:rPr>
          <w:sz w:val="29"/>
        </w:rPr>
      </w:pPr>
    </w:p>
    <w:p>
      <w:pPr>
        <w:pStyle w:val="BodyText"/>
        <w:spacing w:line="276" w:lineRule="auto" w:before="70"/>
        <w:ind w:left="139" w:right="135"/>
        <w:jc w:val="both"/>
      </w:pPr>
      <w:r>
        <w:rPr/>
        <w:t>hasta un 84%. Al realizar el analisis del gen 16s se determino que la cepa de la bacteria involucrada en este brote era filogenéticamente idéntico a la bacteria causante de la enfermedad en los peces. También se ha documentado que la falta de formación de granuloma en abulón se debe al sistema inmunológico innato de los moluscos que les confiere protección y no a la diferencias filogenéticas en la bacteria infectante (Colquhoun y Duodu, 2011; Kamaishi </w:t>
      </w:r>
      <w:r>
        <w:rPr>
          <w:i/>
        </w:rPr>
        <w:t>et al</w:t>
      </w:r>
      <w:r>
        <w:rPr/>
        <w:t>., 2010).</w:t>
      </w:r>
    </w:p>
    <w:p>
      <w:pPr>
        <w:pStyle w:val="Heading1"/>
        <w:numPr>
          <w:ilvl w:val="1"/>
          <w:numId w:val="6"/>
        </w:numPr>
        <w:tabs>
          <w:tab w:pos="678" w:val="left" w:leader="none"/>
        </w:tabs>
        <w:spacing w:line="240" w:lineRule="auto" w:before="202" w:after="0"/>
        <w:ind w:left="677" w:right="0" w:hanging="538"/>
        <w:jc w:val="both"/>
        <w:rPr>
          <w:i/>
        </w:rPr>
      </w:pPr>
      <w:bookmarkStart w:name="_bookmark27" w:id="47"/>
      <w:bookmarkEnd w:id="47"/>
      <w:r>
        <w:rPr>
          <w:b w:val="0"/>
        </w:rPr>
      </w:r>
      <w:bookmarkStart w:name="_bookmark27" w:id="48"/>
      <w:bookmarkEnd w:id="48"/>
      <w:r>
        <w:rPr>
          <w:color w:val="365F91"/>
        </w:rPr>
        <w:t>M</w:t>
      </w:r>
      <w:r>
        <w:rPr>
          <w:color w:val="365F91"/>
        </w:rPr>
        <w:t>orbilidad en infecciones causadas por bacterias del género</w:t>
      </w:r>
      <w:r>
        <w:rPr>
          <w:color w:val="365F91"/>
          <w:spacing w:val="-38"/>
        </w:rPr>
        <w:t> </w:t>
      </w:r>
      <w:r>
        <w:rPr>
          <w:i/>
          <w:color w:val="365F91"/>
        </w:rPr>
        <w:t>Francisella</w:t>
      </w:r>
    </w:p>
    <w:p>
      <w:pPr>
        <w:spacing w:before="41"/>
        <w:ind w:left="139" w:right="0" w:firstLine="0"/>
        <w:jc w:val="both"/>
        <w:rPr>
          <w:sz w:val="24"/>
        </w:rPr>
      </w:pPr>
      <w:r>
        <w:rPr>
          <w:b/>
          <w:color w:val="365F91"/>
          <w:sz w:val="24"/>
        </w:rPr>
        <w:t>sp</w:t>
      </w:r>
      <w:r>
        <w:rPr>
          <w:color w:val="365F91"/>
          <w:sz w:val="24"/>
        </w:rPr>
        <w:t>.</w:t>
      </w:r>
    </w:p>
    <w:p>
      <w:pPr>
        <w:pStyle w:val="BodyText"/>
        <w:spacing w:line="276" w:lineRule="auto" w:before="46"/>
        <w:ind w:left="139" w:right="133"/>
        <w:jc w:val="both"/>
      </w:pPr>
      <w:r>
        <w:rPr/>
        <w:t>Estudios han determinado que la morbilidad de francisellosis está influenciada por distintos factores predisponentes, entre los que se destaca la alta densidad y el contacto directo entre peces, y se relaciona directamente con el tipo de unidad productiva; por lo que un sistema de explotación intensiva generalmente presenta un mayor grado de infección, y mientras menor sea el grado de intensidad </w:t>
      </w:r>
      <w:r>
        <w:rPr>
          <w:spacing w:val="-3"/>
        </w:rPr>
        <w:t>del </w:t>
      </w:r>
      <w:r>
        <w:rPr/>
        <w:t>cultivo menor será el porcentaje de morbilidad; entre </w:t>
      </w:r>
      <w:r>
        <w:rPr>
          <w:spacing w:val="-3"/>
        </w:rPr>
        <w:t>más </w:t>
      </w:r>
      <w:r>
        <w:rPr/>
        <w:t>estrecho sea el contacto entre peces infectados y sanos, mayor será la transmisión de la bacteria (Jeffery </w:t>
      </w:r>
      <w:r>
        <w:rPr>
          <w:i/>
        </w:rPr>
        <w:t>et </w:t>
      </w:r>
      <w:r>
        <w:rPr>
          <w:i/>
        </w:rPr>
        <w:t>al</w:t>
      </w:r>
      <w:r>
        <w:rPr/>
        <w:t>., 2010; Little </w:t>
      </w:r>
      <w:r>
        <w:rPr>
          <w:i/>
        </w:rPr>
        <w:t>et al</w:t>
      </w:r>
      <w:r>
        <w:rPr/>
        <w:t>.,</w:t>
      </w:r>
      <w:r>
        <w:rPr>
          <w:spacing w:val="59"/>
        </w:rPr>
        <w:t> </w:t>
      </w:r>
      <w:r>
        <w:rPr/>
        <w:t>2008).</w:t>
      </w:r>
    </w:p>
    <w:p>
      <w:pPr>
        <w:pStyle w:val="BodyText"/>
        <w:spacing w:line="276" w:lineRule="auto" w:before="202"/>
        <w:ind w:left="139" w:right="135"/>
        <w:jc w:val="both"/>
      </w:pPr>
      <w:r>
        <w:rPr/>
        <w:t>Jeffery </w:t>
      </w:r>
      <w:r>
        <w:rPr>
          <w:i/>
        </w:rPr>
        <w:t>et al</w:t>
      </w:r>
      <w:r>
        <w:rPr/>
        <w:t>., (2010) reporto mayor porcentaje de morbilidad de la enfermedad en granjas cerradas donde se utiliza recirculación de agua, encontrándo peces infectados en las diferentes etapas de producción; pero, siendo mayormente en alevines y peces en etapa de engorda en los que su vez también se han reportado el mayor porcentaje de mortalidad.</w:t>
      </w:r>
    </w:p>
    <w:p>
      <w:pPr>
        <w:pStyle w:val="Heading1"/>
        <w:numPr>
          <w:ilvl w:val="1"/>
          <w:numId w:val="6"/>
        </w:numPr>
        <w:tabs>
          <w:tab w:pos="678" w:val="left" w:leader="none"/>
        </w:tabs>
        <w:spacing w:line="240" w:lineRule="auto" w:before="202" w:after="0"/>
        <w:ind w:left="677" w:right="0" w:hanging="538"/>
        <w:jc w:val="both"/>
      </w:pPr>
      <w:bookmarkStart w:name="_bookmark28" w:id="49"/>
      <w:bookmarkEnd w:id="49"/>
      <w:r>
        <w:rPr>
          <w:b w:val="0"/>
        </w:rPr>
      </w:r>
      <w:bookmarkStart w:name="_bookmark28" w:id="50"/>
      <w:bookmarkEnd w:id="50"/>
      <w:r>
        <w:rPr>
          <w:color w:val="365F91"/>
        </w:rPr>
        <w:t>P</w:t>
      </w:r>
      <w:r>
        <w:rPr>
          <w:color w:val="365F91"/>
        </w:rPr>
        <w:t>orcentaje de mortalidad en las diferentes especies</w:t>
      </w:r>
      <w:r>
        <w:rPr>
          <w:color w:val="365F91"/>
          <w:spacing w:val="-42"/>
        </w:rPr>
        <w:t> </w:t>
      </w:r>
      <w:r>
        <w:rPr>
          <w:color w:val="365F91"/>
        </w:rPr>
        <w:t>afectadas</w:t>
      </w:r>
    </w:p>
    <w:p>
      <w:pPr>
        <w:pStyle w:val="BodyText"/>
        <w:spacing w:line="273" w:lineRule="auto" w:before="46"/>
        <w:ind w:left="139" w:right="135"/>
        <w:jc w:val="both"/>
      </w:pPr>
      <w:r>
        <w:rPr/>
        <w:t>Se han reportado mortalidades asociadas con las infecciones en forma natural de bajo nivel en Robalo y de 5-20% en salmón del Atlántico </w:t>
      </w:r>
      <w:r>
        <w:rPr>
          <w:rFonts w:ascii="Calibri" w:hAnsi="Calibri"/>
          <w:sz w:val="22"/>
        </w:rPr>
        <w:t>(</w:t>
      </w:r>
      <w:r>
        <w:rPr/>
        <w:t>Bohle </w:t>
      </w:r>
      <w:r>
        <w:rPr>
          <w:i/>
        </w:rPr>
        <w:t>et al</w:t>
      </w:r>
      <w:r>
        <w:rPr/>
        <w:t>., 2009). La francisellosis en bacalao se ha asociado con diferentes niveles de mortalidad. Se han descrito mortalidades de 40% que raramente se presentan en enfermedad aguda</w:t>
      </w:r>
      <w:r>
        <w:rPr>
          <w:spacing w:val="-18"/>
        </w:rPr>
        <w:t> </w:t>
      </w:r>
      <w:r>
        <w:rPr/>
        <w:t>en</w:t>
      </w:r>
      <w:r>
        <w:rPr>
          <w:spacing w:val="-17"/>
        </w:rPr>
        <w:t> </w:t>
      </w:r>
      <w:r>
        <w:rPr/>
        <w:t>el</w:t>
      </w:r>
      <w:r>
        <w:rPr>
          <w:spacing w:val="-14"/>
        </w:rPr>
        <w:t> </w:t>
      </w:r>
      <w:r>
        <w:rPr/>
        <w:t>campo</w:t>
      </w:r>
      <w:r>
        <w:rPr>
          <w:spacing w:val="-16"/>
        </w:rPr>
        <w:t> </w:t>
      </w:r>
      <w:r>
        <w:rPr/>
        <w:t>y</w:t>
      </w:r>
      <w:r>
        <w:rPr>
          <w:spacing w:val="-18"/>
        </w:rPr>
        <w:t> </w:t>
      </w:r>
      <w:r>
        <w:rPr/>
        <w:t>a</w:t>
      </w:r>
      <w:r>
        <w:rPr>
          <w:spacing w:val="-18"/>
        </w:rPr>
        <w:t> </w:t>
      </w:r>
      <w:r>
        <w:rPr/>
        <w:t>nivel</w:t>
      </w:r>
      <w:r>
        <w:rPr>
          <w:spacing w:val="-18"/>
        </w:rPr>
        <w:t> </w:t>
      </w:r>
      <w:r>
        <w:rPr/>
        <w:t>experimental</w:t>
      </w:r>
      <w:r>
        <w:rPr>
          <w:spacing w:val="-12"/>
        </w:rPr>
        <w:t> </w:t>
      </w:r>
      <w:r>
        <w:rPr>
          <w:spacing w:val="-3"/>
        </w:rPr>
        <w:t>se</w:t>
      </w:r>
      <w:r>
        <w:rPr>
          <w:spacing w:val="-18"/>
        </w:rPr>
        <w:t> </w:t>
      </w:r>
      <w:r>
        <w:rPr/>
        <w:t>han</w:t>
      </w:r>
      <w:r>
        <w:rPr>
          <w:spacing w:val="-18"/>
        </w:rPr>
        <w:t> </w:t>
      </w:r>
      <w:r>
        <w:rPr/>
        <w:t>obtenido</w:t>
      </w:r>
      <w:r>
        <w:rPr>
          <w:spacing w:val="-17"/>
        </w:rPr>
        <w:t> </w:t>
      </w:r>
      <w:r>
        <w:rPr/>
        <w:t>porcentajes</w:t>
      </w:r>
      <w:r>
        <w:rPr>
          <w:spacing w:val="-18"/>
        </w:rPr>
        <w:t> </w:t>
      </w:r>
      <w:r>
        <w:rPr/>
        <w:t>de</w:t>
      </w:r>
      <w:r>
        <w:rPr>
          <w:spacing w:val="-18"/>
        </w:rPr>
        <w:t> </w:t>
      </w:r>
      <w:r>
        <w:rPr/>
        <w:t>mortalidad de hasta de un</w:t>
      </w:r>
      <w:r>
        <w:rPr>
          <w:spacing w:val="-6"/>
        </w:rPr>
        <w:t> </w:t>
      </w:r>
      <w:r>
        <w:rPr/>
        <w:t>100%.</w:t>
      </w:r>
    </w:p>
    <w:p>
      <w:pPr>
        <w:pStyle w:val="BodyText"/>
        <w:spacing w:line="273" w:lineRule="auto" w:before="210"/>
        <w:ind w:left="139" w:right="133"/>
        <w:jc w:val="both"/>
      </w:pPr>
      <w:r>
        <w:rPr/>
        <w:t>En el caso de tilapia se han observado mortalidades de hasta un 95%, aunque existen muchas condiciones medio ambientales que pueden influir en el porcentaje de mortalidad, una de ellas es la temperatura, la cual parece desempeñar un papel significativo en la tasa de mortalidad según Muel </w:t>
      </w:r>
      <w:r>
        <w:rPr>
          <w:i/>
        </w:rPr>
        <w:t>et al</w:t>
      </w:r>
      <w:r>
        <w:rPr/>
        <w:t>., 2007 (Colquhoun y Duodu, 2011).</w:t>
      </w:r>
    </w:p>
    <w:p>
      <w:pPr>
        <w:pStyle w:val="BodyText"/>
        <w:spacing w:line="276" w:lineRule="auto" w:before="209"/>
        <w:ind w:left="139" w:right="134"/>
        <w:jc w:val="both"/>
      </w:pPr>
      <w:r>
        <w:rPr/>
        <w:t>Colquhoun</w:t>
      </w:r>
      <w:r>
        <w:rPr>
          <w:spacing w:val="-9"/>
        </w:rPr>
        <w:t> </w:t>
      </w:r>
      <w:r>
        <w:rPr/>
        <w:t>y</w:t>
      </w:r>
      <w:r>
        <w:rPr>
          <w:spacing w:val="-13"/>
        </w:rPr>
        <w:t> </w:t>
      </w:r>
      <w:r>
        <w:rPr/>
        <w:t>Duodu,</w:t>
      </w:r>
      <w:r>
        <w:rPr>
          <w:spacing w:val="-17"/>
        </w:rPr>
        <w:t> </w:t>
      </w:r>
      <w:r>
        <w:rPr/>
        <w:t>(2011)</w:t>
      </w:r>
      <w:r>
        <w:rPr>
          <w:spacing w:val="-11"/>
        </w:rPr>
        <w:t> </w:t>
      </w:r>
      <w:r>
        <w:rPr/>
        <w:t>mencionan</w:t>
      </w:r>
      <w:r>
        <w:rPr>
          <w:spacing w:val="-16"/>
        </w:rPr>
        <w:t> </w:t>
      </w:r>
      <w:r>
        <w:rPr/>
        <w:t>que</w:t>
      </w:r>
      <w:r>
        <w:rPr>
          <w:spacing w:val="-12"/>
        </w:rPr>
        <w:t> </w:t>
      </w:r>
      <w:r>
        <w:rPr/>
        <w:t>en</w:t>
      </w:r>
      <w:r>
        <w:rPr>
          <w:spacing w:val="-12"/>
        </w:rPr>
        <w:t> </w:t>
      </w:r>
      <w:r>
        <w:rPr/>
        <w:t>cultivos</w:t>
      </w:r>
      <w:r>
        <w:rPr>
          <w:spacing w:val="-10"/>
        </w:rPr>
        <w:t> </w:t>
      </w:r>
      <w:r>
        <w:rPr/>
        <w:t>de</w:t>
      </w:r>
      <w:r>
        <w:rPr>
          <w:spacing w:val="-12"/>
        </w:rPr>
        <w:t> </w:t>
      </w:r>
      <w:r>
        <w:rPr/>
        <w:t>peces,</w:t>
      </w:r>
      <w:r>
        <w:rPr>
          <w:spacing w:val="-11"/>
        </w:rPr>
        <w:t> </w:t>
      </w:r>
      <w:r>
        <w:rPr/>
        <w:t>en</w:t>
      </w:r>
      <w:r>
        <w:rPr>
          <w:spacing w:val="-16"/>
        </w:rPr>
        <w:t> </w:t>
      </w:r>
      <w:r>
        <w:rPr/>
        <w:t>general</w:t>
      </w:r>
      <w:r>
        <w:rPr>
          <w:spacing w:val="-7"/>
        </w:rPr>
        <w:t> </w:t>
      </w:r>
      <w:r>
        <w:rPr/>
        <w:t>cuanto mayor sea la temperatura, la enfermedad se presentará en </w:t>
      </w:r>
      <w:r>
        <w:rPr>
          <w:spacing w:val="-3"/>
        </w:rPr>
        <w:t>forma más </w:t>
      </w:r>
      <w:r>
        <w:rPr/>
        <w:t>aguda; por ello es probable que los niveles de mortalidad aumenten conforme la </w:t>
      </w:r>
      <w:r>
        <w:rPr>
          <w:spacing w:val="47"/>
        </w:rPr>
        <w:t> </w:t>
      </w:r>
      <w:r>
        <w:rPr/>
        <w:t>temperatura</w:t>
      </w:r>
    </w:p>
    <w:p>
      <w:pPr>
        <w:spacing w:after="0" w:line="276" w:lineRule="auto"/>
        <w:jc w:val="both"/>
        <w:sectPr>
          <w:pgSz w:w="12240" w:h="15840"/>
          <w:pgMar w:header="752" w:footer="998" w:top="1000" w:bottom="1180" w:left="1560" w:right="1560"/>
        </w:sectPr>
      </w:pPr>
    </w:p>
    <w:p>
      <w:pPr>
        <w:pStyle w:val="BodyText"/>
        <w:rPr>
          <w:sz w:val="29"/>
        </w:rPr>
      </w:pPr>
    </w:p>
    <w:p>
      <w:pPr>
        <w:pStyle w:val="BodyText"/>
        <w:spacing w:line="271" w:lineRule="auto" w:before="70"/>
        <w:ind w:left="139" w:right="136"/>
        <w:jc w:val="both"/>
      </w:pPr>
      <w:r>
        <w:rPr/>
        <w:t>también aumenta. Se ha establecido, que cuando se alcanza una temperatura de 26°C,  la bacteria  alcanza su máxima patogenicidad.</w:t>
      </w:r>
    </w:p>
    <w:p>
      <w:pPr>
        <w:pStyle w:val="BodyText"/>
        <w:spacing w:line="273" w:lineRule="auto" w:before="213"/>
        <w:ind w:left="139" w:right="132"/>
        <w:jc w:val="both"/>
      </w:pPr>
      <w:r>
        <w:rPr/>
        <w:t>Otro</w:t>
      </w:r>
      <w:r>
        <w:rPr>
          <w:spacing w:val="-5"/>
        </w:rPr>
        <w:t> </w:t>
      </w:r>
      <w:r>
        <w:rPr/>
        <w:t>factor</w:t>
      </w:r>
      <w:r>
        <w:rPr>
          <w:spacing w:val="-4"/>
        </w:rPr>
        <w:t> </w:t>
      </w:r>
      <w:r>
        <w:rPr/>
        <w:t>que</w:t>
      </w:r>
      <w:r>
        <w:rPr>
          <w:spacing w:val="-5"/>
        </w:rPr>
        <w:t> </w:t>
      </w:r>
      <w:r>
        <w:rPr/>
        <w:t>influye</w:t>
      </w:r>
      <w:r>
        <w:rPr>
          <w:spacing w:val="-5"/>
        </w:rPr>
        <w:t> </w:t>
      </w:r>
      <w:r>
        <w:rPr/>
        <w:t>directamente</w:t>
      </w:r>
      <w:r>
        <w:rPr>
          <w:spacing w:val="-5"/>
        </w:rPr>
        <w:t> </w:t>
      </w:r>
      <w:r>
        <w:rPr/>
        <w:t>en</w:t>
      </w:r>
      <w:r>
        <w:rPr>
          <w:spacing w:val="1"/>
        </w:rPr>
        <w:t> </w:t>
      </w:r>
      <w:r>
        <w:rPr/>
        <w:t>la</w:t>
      </w:r>
      <w:r>
        <w:rPr>
          <w:spacing w:val="-5"/>
        </w:rPr>
        <w:t> </w:t>
      </w:r>
      <w:r>
        <w:rPr/>
        <w:t>mortalidad</w:t>
      </w:r>
      <w:r>
        <w:rPr>
          <w:spacing w:val="-5"/>
        </w:rPr>
        <w:t> </w:t>
      </w:r>
      <w:r>
        <w:rPr/>
        <w:t>es</w:t>
      </w:r>
      <w:r>
        <w:rPr>
          <w:spacing w:val="-3"/>
        </w:rPr>
        <w:t> </w:t>
      </w:r>
      <w:r>
        <w:rPr/>
        <w:t>la</w:t>
      </w:r>
      <w:r>
        <w:rPr>
          <w:spacing w:val="-5"/>
        </w:rPr>
        <w:t> </w:t>
      </w:r>
      <w:r>
        <w:rPr/>
        <w:t>presencia</w:t>
      </w:r>
      <w:r>
        <w:rPr>
          <w:spacing w:val="-5"/>
        </w:rPr>
        <w:t> </w:t>
      </w:r>
      <w:r>
        <w:rPr/>
        <w:t>de</w:t>
      </w:r>
      <w:r>
        <w:rPr>
          <w:spacing w:val="-10"/>
        </w:rPr>
        <w:t> </w:t>
      </w:r>
      <w:r>
        <w:rPr/>
        <w:t>infecciones mixtas o en simbiosis con otras bacterias patógenas de peces. (Birkbeck </w:t>
      </w:r>
      <w:r>
        <w:rPr>
          <w:i/>
        </w:rPr>
        <w:t>et al</w:t>
      </w:r>
      <w:r>
        <w:rPr/>
        <w:t>., 2007, Jeffery </w:t>
      </w:r>
      <w:r>
        <w:rPr>
          <w:i/>
        </w:rPr>
        <w:t>et al</w:t>
      </w:r>
      <w:r>
        <w:rPr/>
        <w:t>., 2010, Hsieh </w:t>
      </w:r>
      <w:r>
        <w:rPr>
          <w:i/>
        </w:rPr>
        <w:t>et al</w:t>
      </w:r>
      <w:r>
        <w:rPr/>
        <w:t>.,</w:t>
      </w:r>
      <w:r>
        <w:rPr>
          <w:spacing w:val="-12"/>
        </w:rPr>
        <w:t> </w:t>
      </w:r>
      <w:r>
        <w:rPr/>
        <w:t>2007).</w:t>
      </w:r>
    </w:p>
    <w:p>
      <w:pPr>
        <w:pStyle w:val="Heading1"/>
        <w:spacing w:before="205"/>
      </w:pPr>
      <w:bookmarkStart w:name="_bookmark29" w:id="51"/>
      <w:bookmarkEnd w:id="51"/>
      <w:r>
        <w:rPr>
          <w:b w:val="0"/>
        </w:rPr>
      </w:r>
      <w:r>
        <w:rPr>
          <w:color w:val="365F91"/>
        </w:rPr>
        <w:t>2. 20 Potencial zoonótico</w:t>
      </w:r>
    </w:p>
    <w:p>
      <w:pPr>
        <w:pStyle w:val="BodyText"/>
        <w:spacing w:line="276" w:lineRule="auto" w:before="45"/>
        <w:ind w:left="139" w:right="147"/>
        <w:jc w:val="both"/>
      </w:pPr>
      <w:r>
        <w:rPr/>
        <w:t>Algunas pruebas de laboratorio sugieren que es poco probable que los miembros de este generó patógenos para los peces representen un riesgo de infección zoonótica debido a que las temperaturas de crecimiento de estas bacterias es menor que la temperatura normal del cuerpo humano lo que les impide su crecimiento y replicación (Colquhoun y Duodu, 2011).</w:t>
      </w:r>
    </w:p>
    <w:p>
      <w:pPr>
        <w:pStyle w:val="BodyText"/>
        <w:spacing w:line="273" w:lineRule="auto" w:before="207"/>
        <w:ind w:left="139" w:right="136"/>
        <w:jc w:val="both"/>
      </w:pPr>
      <w:r>
        <w:rPr/>
        <w:t>Si bien se han encontrado algunas variaciones genéticas dependientes de la cepa que</w:t>
      </w:r>
      <w:r>
        <w:rPr>
          <w:spacing w:val="-18"/>
        </w:rPr>
        <w:t> </w:t>
      </w:r>
      <w:r>
        <w:rPr/>
        <w:t>afecta</w:t>
      </w:r>
      <w:r>
        <w:rPr>
          <w:spacing w:val="-22"/>
        </w:rPr>
        <w:t> </w:t>
      </w:r>
      <w:r>
        <w:rPr/>
        <w:t>a</w:t>
      </w:r>
      <w:r>
        <w:rPr>
          <w:spacing w:val="-22"/>
        </w:rPr>
        <w:t> </w:t>
      </w:r>
      <w:r>
        <w:rPr/>
        <w:t>las</w:t>
      </w:r>
      <w:r>
        <w:rPr>
          <w:spacing w:val="-23"/>
        </w:rPr>
        <w:t> </w:t>
      </w:r>
      <w:r>
        <w:rPr/>
        <w:t>diferentes</w:t>
      </w:r>
      <w:r>
        <w:rPr>
          <w:spacing w:val="-19"/>
        </w:rPr>
        <w:t> </w:t>
      </w:r>
      <w:r>
        <w:rPr/>
        <w:t>especies</w:t>
      </w:r>
      <w:r>
        <w:rPr>
          <w:spacing w:val="-22"/>
        </w:rPr>
        <w:t> </w:t>
      </w:r>
      <w:r>
        <w:rPr/>
        <w:t>animales;</w:t>
      </w:r>
      <w:r>
        <w:rPr>
          <w:spacing w:val="-22"/>
        </w:rPr>
        <w:t> </w:t>
      </w:r>
      <w:r>
        <w:rPr>
          <w:i/>
        </w:rPr>
        <w:t>Francisella</w:t>
      </w:r>
      <w:r>
        <w:rPr>
          <w:i/>
          <w:spacing w:val="-16"/>
        </w:rPr>
        <w:t> </w:t>
      </w:r>
      <w:r>
        <w:rPr>
          <w:i/>
        </w:rPr>
        <w:t>tularensis</w:t>
      </w:r>
      <w:r>
        <w:rPr>
          <w:i/>
          <w:spacing w:val="-17"/>
        </w:rPr>
        <w:t> </w:t>
      </w:r>
      <w:r>
        <w:rPr/>
        <w:t>es</w:t>
      </w:r>
      <w:r>
        <w:rPr>
          <w:spacing w:val="-18"/>
        </w:rPr>
        <w:t> </w:t>
      </w:r>
      <w:r>
        <w:rPr/>
        <w:t>ampliamente reconocida </w:t>
      </w:r>
      <w:r>
        <w:rPr>
          <w:spacing w:val="-4"/>
        </w:rPr>
        <w:t>como </w:t>
      </w:r>
      <w:r>
        <w:rPr/>
        <w:t>un agente zoonótico altamente virulento y </w:t>
      </w:r>
      <w:r>
        <w:rPr>
          <w:i/>
        </w:rPr>
        <w:t>Francisella </w:t>
      </w:r>
      <w:r>
        <w:rPr>
          <w:i/>
        </w:rPr>
        <w:t>philomiragia</w:t>
      </w:r>
      <w:r>
        <w:rPr/>
        <w:t>,</w:t>
      </w:r>
      <w:r>
        <w:rPr>
          <w:spacing w:val="-9"/>
        </w:rPr>
        <w:t> </w:t>
      </w:r>
      <w:r>
        <w:rPr/>
        <w:t>con</w:t>
      </w:r>
      <w:r>
        <w:rPr>
          <w:spacing w:val="-9"/>
        </w:rPr>
        <w:t> </w:t>
      </w:r>
      <w:r>
        <w:rPr/>
        <w:t>la</w:t>
      </w:r>
      <w:r>
        <w:rPr>
          <w:spacing w:val="-12"/>
        </w:rPr>
        <w:t> </w:t>
      </w:r>
      <w:r>
        <w:rPr/>
        <w:t>cual</w:t>
      </w:r>
      <w:r>
        <w:rPr>
          <w:spacing w:val="-5"/>
        </w:rPr>
        <w:t> </w:t>
      </w:r>
      <w:r>
        <w:rPr/>
        <w:t>están</w:t>
      </w:r>
      <w:r>
        <w:rPr>
          <w:spacing w:val="-9"/>
        </w:rPr>
        <w:t> </w:t>
      </w:r>
      <w:r>
        <w:rPr/>
        <w:t>estrechamente</w:t>
      </w:r>
      <w:r>
        <w:rPr>
          <w:spacing w:val="-9"/>
        </w:rPr>
        <w:t> </w:t>
      </w:r>
      <w:r>
        <w:rPr/>
        <w:t>relacionadas</w:t>
      </w:r>
      <w:r>
        <w:rPr>
          <w:spacing w:val="-9"/>
        </w:rPr>
        <w:t> </w:t>
      </w:r>
      <w:r>
        <w:rPr/>
        <w:t>las</w:t>
      </w:r>
      <w:r>
        <w:rPr>
          <w:spacing w:val="-10"/>
        </w:rPr>
        <w:t> </w:t>
      </w:r>
      <w:r>
        <w:rPr/>
        <w:t>especies</w:t>
      </w:r>
      <w:r>
        <w:rPr>
          <w:spacing w:val="-10"/>
        </w:rPr>
        <w:t> </w:t>
      </w:r>
      <w:r>
        <w:rPr/>
        <w:t>patógenas de los peces, puede también presentar un ligero potencial zoonótico especial y particularmente en personas con inmunodepresión (Quinn </w:t>
      </w:r>
      <w:r>
        <w:rPr>
          <w:i/>
        </w:rPr>
        <w:t>et al</w:t>
      </w:r>
      <w:r>
        <w:rPr/>
        <w:t>.,</w:t>
      </w:r>
      <w:r>
        <w:rPr>
          <w:spacing w:val="-22"/>
        </w:rPr>
        <w:t> </w:t>
      </w:r>
      <w:r>
        <w:rPr/>
        <w:t>2008).</w:t>
      </w:r>
    </w:p>
    <w:p>
      <w:pPr>
        <w:pStyle w:val="BodyText"/>
        <w:spacing w:line="273" w:lineRule="auto" w:before="210"/>
        <w:ind w:left="139" w:right="133"/>
        <w:jc w:val="both"/>
      </w:pPr>
      <w:r>
        <w:rPr/>
        <w:t>A diferencia de especies patógenas para los peces, las bacterias </w:t>
      </w:r>
      <w:r>
        <w:rPr>
          <w:i/>
        </w:rPr>
        <w:t>Francisella </w:t>
      </w:r>
      <w:r>
        <w:rPr>
          <w:i/>
        </w:rPr>
        <w:t>tularensis </w:t>
      </w:r>
      <w:r>
        <w:rPr/>
        <w:t>y </w:t>
      </w:r>
      <w:r>
        <w:rPr>
          <w:i/>
        </w:rPr>
        <w:t>Francisella philomiragia </w:t>
      </w:r>
      <w:r>
        <w:rPr/>
        <w:t>son capaces de crecer en medios de cultivo a una</w:t>
      </w:r>
      <w:r>
        <w:rPr>
          <w:spacing w:val="-10"/>
        </w:rPr>
        <w:t> </w:t>
      </w:r>
      <w:r>
        <w:rPr/>
        <w:t>temperatura</w:t>
      </w:r>
      <w:r>
        <w:rPr>
          <w:spacing w:val="-10"/>
        </w:rPr>
        <w:t> </w:t>
      </w:r>
      <w:r>
        <w:rPr/>
        <w:t>de</w:t>
      </w:r>
      <w:r>
        <w:rPr>
          <w:spacing w:val="-7"/>
        </w:rPr>
        <w:t> </w:t>
      </w:r>
      <w:r>
        <w:rPr/>
        <w:t>37°</w:t>
      </w:r>
      <w:r>
        <w:rPr>
          <w:spacing w:val="-11"/>
        </w:rPr>
        <w:t> </w:t>
      </w:r>
      <w:r>
        <w:rPr/>
        <w:t>C,</w:t>
      </w:r>
      <w:r>
        <w:rPr>
          <w:spacing w:val="-10"/>
        </w:rPr>
        <w:t> </w:t>
      </w:r>
      <w:r>
        <w:rPr/>
        <w:t>temperatura</w:t>
      </w:r>
      <w:r>
        <w:rPr>
          <w:spacing w:val="-10"/>
        </w:rPr>
        <w:t> </w:t>
      </w:r>
      <w:r>
        <w:rPr/>
        <w:t>a</w:t>
      </w:r>
      <w:r>
        <w:rPr>
          <w:spacing w:val="-15"/>
        </w:rPr>
        <w:t> </w:t>
      </w:r>
      <w:r>
        <w:rPr/>
        <w:t>la</w:t>
      </w:r>
      <w:r>
        <w:rPr>
          <w:spacing w:val="-10"/>
        </w:rPr>
        <w:t> </w:t>
      </w:r>
      <w:r>
        <w:rPr/>
        <w:t>que</w:t>
      </w:r>
      <w:r>
        <w:rPr>
          <w:spacing w:val="-7"/>
        </w:rPr>
        <w:t> </w:t>
      </w:r>
      <w:r>
        <w:rPr/>
        <w:t>ninguna</w:t>
      </w:r>
      <w:r>
        <w:rPr>
          <w:spacing w:val="-10"/>
        </w:rPr>
        <w:t> </w:t>
      </w:r>
      <w:r>
        <w:rPr/>
        <w:t>de</w:t>
      </w:r>
      <w:r>
        <w:rPr>
          <w:spacing w:val="-15"/>
        </w:rPr>
        <w:t> </w:t>
      </w:r>
      <w:r>
        <w:rPr/>
        <w:t>las</w:t>
      </w:r>
      <w:r>
        <w:rPr>
          <w:spacing w:val="-11"/>
        </w:rPr>
        <w:t> </w:t>
      </w:r>
      <w:r>
        <w:rPr/>
        <w:t>especies</w:t>
      </w:r>
      <w:r>
        <w:rPr>
          <w:spacing w:val="-11"/>
        </w:rPr>
        <w:t> </w:t>
      </w:r>
      <w:r>
        <w:rPr/>
        <w:t>patógenas para  peces puede crecer (Colquhoun y Duodu,</w:t>
      </w:r>
      <w:r>
        <w:rPr>
          <w:spacing w:val="-15"/>
        </w:rPr>
        <w:t> </w:t>
      </w:r>
      <w:r>
        <w:rPr/>
        <w:t>2011).</w:t>
      </w:r>
    </w:p>
    <w:p>
      <w:pPr>
        <w:pStyle w:val="BodyText"/>
        <w:spacing w:line="273" w:lineRule="auto" w:before="210"/>
        <w:ind w:left="139" w:right="135"/>
        <w:jc w:val="both"/>
      </w:pPr>
      <w:r>
        <w:rPr>
          <w:i/>
        </w:rPr>
        <w:t>Francisella noatunensis </w:t>
      </w:r>
      <w:r>
        <w:rPr/>
        <w:t>subsp. </w:t>
      </w:r>
      <w:r>
        <w:rPr>
          <w:i/>
        </w:rPr>
        <w:t>orientalis </w:t>
      </w:r>
      <w:r>
        <w:rPr/>
        <w:t>tiene una temperatura optima de crecimiento</w:t>
      </w:r>
      <w:r>
        <w:rPr>
          <w:spacing w:val="-8"/>
        </w:rPr>
        <w:t> </w:t>
      </w:r>
      <w:r>
        <w:rPr/>
        <w:t>de</w:t>
      </w:r>
      <w:r>
        <w:rPr>
          <w:spacing w:val="-6"/>
        </w:rPr>
        <w:t> </w:t>
      </w:r>
      <w:r>
        <w:rPr/>
        <w:t>hasta</w:t>
      </w:r>
      <w:r>
        <w:rPr>
          <w:spacing w:val="-6"/>
        </w:rPr>
        <w:t> </w:t>
      </w:r>
      <w:r>
        <w:rPr/>
        <w:t>28°C,</w:t>
      </w:r>
      <w:r>
        <w:rPr>
          <w:spacing w:val="-6"/>
        </w:rPr>
        <w:t> </w:t>
      </w:r>
      <w:r>
        <w:rPr/>
        <w:t>siendo</w:t>
      </w:r>
      <w:r>
        <w:rPr>
          <w:spacing w:val="-15"/>
        </w:rPr>
        <w:t> </w:t>
      </w:r>
      <w:r>
        <w:rPr/>
        <w:t>la</w:t>
      </w:r>
      <w:r>
        <w:rPr>
          <w:spacing w:val="-4"/>
        </w:rPr>
        <w:t> </w:t>
      </w:r>
      <w:r>
        <w:rPr/>
        <w:t>especie</w:t>
      </w:r>
      <w:r>
        <w:rPr>
          <w:spacing w:val="-10"/>
        </w:rPr>
        <w:t> </w:t>
      </w:r>
      <w:r>
        <w:rPr/>
        <w:t>que</w:t>
      </w:r>
      <w:r>
        <w:rPr>
          <w:spacing w:val="-6"/>
        </w:rPr>
        <w:t> </w:t>
      </w:r>
      <w:r>
        <w:rPr/>
        <w:t>se</w:t>
      </w:r>
      <w:r>
        <w:rPr>
          <w:spacing w:val="-6"/>
        </w:rPr>
        <w:t> </w:t>
      </w:r>
      <w:r>
        <w:rPr/>
        <w:t>ha</w:t>
      </w:r>
      <w:r>
        <w:rPr>
          <w:spacing w:val="-11"/>
        </w:rPr>
        <w:t> </w:t>
      </w:r>
      <w:r>
        <w:rPr/>
        <w:t>identificado</w:t>
      </w:r>
      <w:r>
        <w:rPr>
          <w:spacing w:val="-6"/>
        </w:rPr>
        <w:t> </w:t>
      </w:r>
      <w:r>
        <w:rPr/>
        <w:t>como</w:t>
      </w:r>
      <w:r>
        <w:rPr>
          <w:spacing w:val="-3"/>
        </w:rPr>
        <w:t> </w:t>
      </w:r>
      <w:r>
        <w:rPr/>
        <w:t>causante de enfermedad en tilapias en el mundo (Colquhoun y Duodu,</w:t>
      </w:r>
      <w:r>
        <w:rPr>
          <w:spacing w:val="-16"/>
        </w:rPr>
        <w:t> </w:t>
      </w:r>
      <w:r>
        <w:rPr/>
        <w:t>2011).</w:t>
      </w:r>
    </w:p>
    <w:p>
      <w:pPr>
        <w:pStyle w:val="BodyText"/>
        <w:spacing w:line="276" w:lineRule="auto" w:before="209"/>
        <w:ind w:left="139" w:right="132"/>
        <w:jc w:val="both"/>
      </w:pPr>
      <w:r>
        <w:rPr/>
        <w:t>De los peces del género tilapia poseen puntas </w:t>
      </w:r>
      <w:r>
        <w:rPr>
          <w:spacing w:val="-3"/>
        </w:rPr>
        <w:t>muy </w:t>
      </w:r>
      <w:r>
        <w:rPr/>
        <w:t>agudas en las aletas que a menudo causan lesiones en la piel de los productores durante la manipulación o la preparación, pudiendo ser el medio de entrada y transmisión de infecciones zoonóticas como las producidas por </w:t>
      </w:r>
      <w:r>
        <w:rPr>
          <w:i/>
        </w:rPr>
        <w:t>Streptococcus </w:t>
      </w:r>
      <w:r>
        <w:rPr>
          <w:i/>
          <w:spacing w:val="-3"/>
        </w:rPr>
        <w:t>iniae </w:t>
      </w:r>
      <w:r>
        <w:rPr/>
        <w:t>bacteria que ha sido identificada</w:t>
      </w:r>
      <w:r>
        <w:rPr>
          <w:spacing w:val="-6"/>
        </w:rPr>
        <w:t> </w:t>
      </w:r>
      <w:r>
        <w:rPr/>
        <w:t>en</w:t>
      </w:r>
      <w:r>
        <w:rPr>
          <w:spacing w:val="-11"/>
        </w:rPr>
        <w:t> </w:t>
      </w:r>
      <w:r>
        <w:rPr/>
        <w:t>las</w:t>
      </w:r>
      <w:r>
        <w:rPr>
          <w:spacing w:val="-12"/>
        </w:rPr>
        <w:t> </w:t>
      </w:r>
      <w:r>
        <w:rPr/>
        <w:t>lesiones</w:t>
      </w:r>
      <w:r>
        <w:rPr>
          <w:spacing w:val="-7"/>
        </w:rPr>
        <w:t> </w:t>
      </w:r>
      <w:r>
        <w:rPr/>
        <w:t>producidas</w:t>
      </w:r>
      <w:r>
        <w:rPr>
          <w:spacing w:val="-1"/>
        </w:rPr>
        <w:t> </w:t>
      </w:r>
      <w:r>
        <w:rPr/>
        <w:t>por</w:t>
      </w:r>
      <w:r>
        <w:rPr>
          <w:spacing w:val="-5"/>
        </w:rPr>
        <w:t> </w:t>
      </w:r>
      <w:r>
        <w:rPr/>
        <w:t>estas</w:t>
      </w:r>
      <w:r>
        <w:rPr>
          <w:spacing w:val="-5"/>
        </w:rPr>
        <w:t> </w:t>
      </w:r>
      <w:r>
        <w:rPr/>
        <w:t>puntas.</w:t>
      </w:r>
      <w:r>
        <w:rPr>
          <w:spacing w:val="-6"/>
        </w:rPr>
        <w:t> </w:t>
      </w:r>
      <w:r>
        <w:rPr/>
        <w:t>Considerando</w:t>
      </w:r>
      <w:r>
        <w:rPr>
          <w:spacing w:val="-6"/>
        </w:rPr>
        <w:t> </w:t>
      </w:r>
      <w:r>
        <w:rPr/>
        <w:t>estos</w:t>
      </w:r>
      <w:r>
        <w:rPr>
          <w:spacing w:val="-7"/>
        </w:rPr>
        <w:t> </w:t>
      </w:r>
      <w:r>
        <w:rPr/>
        <w:t>datos puede deducirse que la bacteria </w:t>
      </w:r>
      <w:r>
        <w:rPr>
          <w:spacing w:val="-3"/>
        </w:rPr>
        <w:t>del </w:t>
      </w:r>
      <w:r>
        <w:rPr/>
        <w:t>género </w:t>
      </w:r>
      <w:r>
        <w:rPr>
          <w:i/>
        </w:rPr>
        <w:t>Francisella </w:t>
      </w:r>
      <w:r>
        <w:rPr/>
        <w:t>sp. que afecta a tilapia es incapaz de producir zoonosis, de lo contrario serian cientos de miles los infectados por este agente, durante su manipulación, preparación o incluso la ingestión de alimentos preparados con peces infectados. (Olsen </w:t>
      </w:r>
      <w:r>
        <w:rPr>
          <w:i/>
        </w:rPr>
        <w:t>et al</w:t>
      </w:r>
      <w:r>
        <w:rPr/>
        <w:t>., 2006; Friis-Moller </w:t>
      </w:r>
      <w:r>
        <w:rPr>
          <w:i/>
        </w:rPr>
        <w:t>et al</w:t>
      </w:r>
      <w:r>
        <w:rPr/>
        <w:t>., 2004; Mikalsen </w:t>
      </w:r>
      <w:r>
        <w:rPr>
          <w:i/>
        </w:rPr>
        <w:t>et al</w:t>
      </w:r>
      <w:r>
        <w:rPr/>
        <w:t>., 2009; Weinstein </w:t>
      </w:r>
      <w:r>
        <w:rPr>
          <w:i/>
        </w:rPr>
        <w:t>et al</w:t>
      </w:r>
      <w:r>
        <w:rPr/>
        <w:t>.,</w:t>
      </w:r>
      <w:r>
        <w:rPr>
          <w:spacing w:val="-13"/>
        </w:rPr>
        <w:t> </w:t>
      </w:r>
      <w:r>
        <w:rPr/>
        <w:t>1997).</w:t>
      </w:r>
    </w:p>
    <w:p>
      <w:pPr>
        <w:spacing w:after="0" w:line="276" w:lineRule="auto"/>
        <w:jc w:val="both"/>
        <w:sectPr>
          <w:pgSz w:w="12240" w:h="15840"/>
          <w:pgMar w:header="752" w:footer="998" w:top="1000" w:bottom="1180" w:left="1560" w:right="1560"/>
        </w:sectPr>
      </w:pPr>
    </w:p>
    <w:p>
      <w:pPr>
        <w:pStyle w:val="BodyText"/>
        <w:spacing w:before="7"/>
        <w:rPr>
          <w:sz w:val="28"/>
        </w:rPr>
      </w:pPr>
    </w:p>
    <w:p>
      <w:pPr>
        <w:pStyle w:val="Heading1"/>
      </w:pPr>
      <w:bookmarkStart w:name="_bookmark30" w:id="52"/>
      <w:bookmarkEnd w:id="52"/>
      <w:r>
        <w:rPr>
          <w:b w:val="0"/>
        </w:rPr>
      </w:r>
      <w:r>
        <w:rPr>
          <w:color w:val="365F91"/>
        </w:rPr>
        <w:t>2. 21 Diagnóstico de enfermedades producidas por bacterias del género</w:t>
      </w:r>
    </w:p>
    <w:p>
      <w:pPr>
        <w:spacing w:before="41"/>
        <w:ind w:left="139" w:right="0" w:firstLine="0"/>
        <w:jc w:val="both"/>
        <w:rPr>
          <w:b/>
          <w:sz w:val="24"/>
        </w:rPr>
      </w:pPr>
      <w:r>
        <w:rPr>
          <w:b/>
          <w:i/>
          <w:color w:val="365F91"/>
          <w:sz w:val="24"/>
        </w:rPr>
        <w:t>Francisella </w:t>
      </w:r>
      <w:r>
        <w:rPr>
          <w:b/>
          <w:color w:val="365F91"/>
          <w:sz w:val="24"/>
        </w:rPr>
        <w:t>sp.</w:t>
      </w:r>
    </w:p>
    <w:p>
      <w:pPr>
        <w:pStyle w:val="BodyText"/>
        <w:spacing w:line="276" w:lineRule="auto" w:before="45"/>
        <w:ind w:left="139" w:right="132"/>
        <w:jc w:val="both"/>
      </w:pPr>
      <w:r>
        <w:rPr/>
        <w:t>El diagnóstico de francisellosis se puede realizar de diferentes formas; aunque hoy en día se ha optado por técnicas moleculares que han hecho </w:t>
      </w:r>
      <w:r>
        <w:rPr>
          <w:spacing w:val="-3"/>
        </w:rPr>
        <w:t>más </w:t>
      </w:r>
      <w:r>
        <w:rPr/>
        <w:t>eficiente el diagnóstico de enfermedades producidas por microorganismos de difícil aislamiento.</w:t>
      </w:r>
      <w:r>
        <w:rPr>
          <w:spacing w:val="-8"/>
        </w:rPr>
        <w:t> </w:t>
      </w:r>
      <w:r>
        <w:rPr/>
        <w:t>Sin</w:t>
      </w:r>
      <w:r>
        <w:rPr>
          <w:spacing w:val="-7"/>
        </w:rPr>
        <w:t> </w:t>
      </w:r>
      <w:r>
        <w:rPr/>
        <w:t>embargo,</w:t>
      </w:r>
      <w:r>
        <w:rPr>
          <w:spacing w:val="-2"/>
        </w:rPr>
        <w:t> </w:t>
      </w:r>
      <w:r>
        <w:rPr/>
        <w:t>no</w:t>
      </w:r>
      <w:r>
        <w:rPr>
          <w:spacing w:val="-3"/>
        </w:rPr>
        <w:t> </w:t>
      </w:r>
      <w:r>
        <w:rPr/>
        <w:t>deben</w:t>
      </w:r>
      <w:r>
        <w:rPr>
          <w:spacing w:val="-7"/>
        </w:rPr>
        <w:t> </w:t>
      </w:r>
      <w:r>
        <w:rPr/>
        <w:t>quedar</w:t>
      </w:r>
      <w:r>
        <w:rPr>
          <w:spacing w:val="-6"/>
        </w:rPr>
        <w:t> </w:t>
      </w:r>
      <w:r>
        <w:rPr/>
        <w:t>en</w:t>
      </w:r>
      <w:r>
        <w:rPr>
          <w:spacing w:val="-3"/>
        </w:rPr>
        <w:t> </w:t>
      </w:r>
      <w:r>
        <w:rPr/>
        <w:t>el</w:t>
      </w:r>
      <w:r>
        <w:rPr>
          <w:spacing w:val="1"/>
        </w:rPr>
        <w:t> </w:t>
      </w:r>
      <w:r>
        <w:rPr/>
        <w:t>olvido</w:t>
      </w:r>
      <w:r>
        <w:rPr>
          <w:spacing w:val="-7"/>
        </w:rPr>
        <w:t> </w:t>
      </w:r>
      <w:r>
        <w:rPr/>
        <w:t>las</w:t>
      </w:r>
      <w:r>
        <w:rPr>
          <w:spacing w:val="-8"/>
        </w:rPr>
        <w:t> </w:t>
      </w:r>
      <w:r>
        <w:rPr/>
        <w:t>formas</w:t>
      </w:r>
      <w:r>
        <w:rPr>
          <w:spacing w:val="-3"/>
        </w:rPr>
        <w:t> </w:t>
      </w:r>
      <w:r>
        <w:rPr/>
        <w:t>tradicionales</w:t>
      </w:r>
      <w:r>
        <w:rPr>
          <w:spacing w:val="-3"/>
        </w:rPr>
        <w:t> </w:t>
      </w:r>
      <w:r>
        <w:rPr/>
        <w:t>de diagnóstico</w:t>
      </w:r>
      <w:r>
        <w:rPr>
          <w:spacing w:val="-11"/>
        </w:rPr>
        <w:t> </w:t>
      </w:r>
      <w:r>
        <w:rPr/>
        <w:t>que</w:t>
      </w:r>
      <w:r>
        <w:rPr>
          <w:spacing w:val="-6"/>
        </w:rPr>
        <w:t> </w:t>
      </w:r>
      <w:r>
        <w:rPr/>
        <w:t>se</w:t>
      </w:r>
      <w:r>
        <w:rPr>
          <w:spacing w:val="-11"/>
        </w:rPr>
        <w:t> </w:t>
      </w:r>
      <w:r>
        <w:rPr/>
        <w:t>ha</w:t>
      </w:r>
      <w:r>
        <w:rPr>
          <w:spacing w:val="-11"/>
        </w:rPr>
        <w:t> </w:t>
      </w:r>
      <w:r>
        <w:rPr/>
        <w:t>realizado</w:t>
      </w:r>
      <w:r>
        <w:rPr>
          <w:spacing w:val="-6"/>
        </w:rPr>
        <w:t> </w:t>
      </w:r>
      <w:r>
        <w:rPr/>
        <w:t>por</w:t>
      </w:r>
      <w:r>
        <w:rPr>
          <w:spacing w:val="-5"/>
        </w:rPr>
        <w:t> </w:t>
      </w:r>
      <w:r>
        <w:rPr/>
        <w:t>años,</w:t>
      </w:r>
      <w:r>
        <w:rPr>
          <w:spacing w:val="-6"/>
        </w:rPr>
        <w:t> </w:t>
      </w:r>
      <w:r>
        <w:rPr/>
        <w:t>empezando</w:t>
      </w:r>
      <w:r>
        <w:rPr>
          <w:spacing w:val="-11"/>
        </w:rPr>
        <w:t> </w:t>
      </w:r>
      <w:r>
        <w:rPr/>
        <w:t>desde</w:t>
      </w:r>
      <w:r>
        <w:rPr>
          <w:spacing w:val="-11"/>
        </w:rPr>
        <w:t> </w:t>
      </w:r>
      <w:r>
        <w:rPr/>
        <w:t>la</w:t>
      </w:r>
      <w:r>
        <w:rPr>
          <w:spacing w:val="-6"/>
        </w:rPr>
        <w:t> </w:t>
      </w:r>
      <w:r>
        <w:rPr/>
        <w:t>historia</w:t>
      </w:r>
      <w:r>
        <w:rPr>
          <w:spacing w:val="-6"/>
        </w:rPr>
        <w:t> </w:t>
      </w:r>
      <w:r>
        <w:rPr/>
        <w:t>clínica</w:t>
      </w:r>
      <w:r>
        <w:rPr>
          <w:spacing w:val="-11"/>
        </w:rPr>
        <w:t> </w:t>
      </w:r>
      <w:r>
        <w:rPr/>
        <w:t>en</w:t>
      </w:r>
      <w:r>
        <w:rPr>
          <w:spacing w:val="-11"/>
        </w:rPr>
        <w:t> </w:t>
      </w:r>
      <w:r>
        <w:rPr/>
        <w:t>la que se pueden encontrar datos importantes que puede llevar al diagnóstico oportuno de la enfermedad, así como también debemos tomar en cuenta la forma en</w:t>
      </w:r>
      <w:r>
        <w:rPr>
          <w:spacing w:val="-5"/>
        </w:rPr>
        <w:t> </w:t>
      </w:r>
      <w:r>
        <w:rPr/>
        <w:t>cómo</w:t>
      </w:r>
      <w:r>
        <w:rPr>
          <w:spacing w:val="-5"/>
        </w:rPr>
        <w:t> </w:t>
      </w:r>
      <w:r>
        <w:rPr/>
        <w:t>se</w:t>
      </w:r>
      <w:r>
        <w:rPr>
          <w:spacing w:val="-5"/>
        </w:rPr>
        <w:t> </w:t>
      </w:r>
      <w:r>
        <w:rPr/>
        <w:t>realiza</w:t>
      </w:r>
      <w:r>
        <w:rPr>
          <w:spacing w:val="-14"/>
        </w:rPr>
        <w:t> </w:t>
      </w:r>
      <w:r>
        <w:rPr/>
        <w:t>la</w:t>
      </w:r>
      <w:r>
        <w:rPr>
          <w:spacing w:val="-10"/>
        </w:rPr>
        <w:t> </w:t>
      </w:r>
      <w:r>
        <w:rPr/>
        <w:t>recolección</w:t>
      </w:r>
      <w:r>
        <w:rPr>
          <w:spacing w:val="-10"/>
        </w:rPr>
        <w:t> </w:t>
      </w:r>
      <w:r>
        <w:rPr/>
        <w:t>y</w:t>
      </w:r>
      <w:r>
        <w:rPr>
          <w:spacing w:val="-6"/>
        </w:rPr>
        <w:t> </w:t>
      </w:r>
      <w:r>
        <w:rPr/>
        <w:t>envió</w:t>
      </w:r>
      <w:r>
        <w:rPr>
          <w:spacing w:val="-5"/>
        </w:rPr>
        <w:t> </w:t>
      </w:r>
      <w:r>
        <w:rPr/>
        <w:t>de</w:t>
      </w:r>
      <w:r>
        <w:rPr>
          <w:spacing w:val="-14"/>
        </w:rPr>
        <w:t> </w:t>
      </w:r>
      <w:r>
        <w:rPr/>
        <w:t>muestras</w:t>
      </w:r>
      <w:r>
        <w:rPr>
          <w:spacing w:val="-6"/>
        </w:rPr>
        <w:t> </w:t>
      </w:r>
      <w:r>
        <w:rPr/>
        <w:t>al</w:t>
      </w:r>
      <w:r>
        <w:rPr>
          <w:spacing w:val="-6"/>
        </w:rPr>
        <w:t> </w:t>
      </w:r>
      <w:r>
        <w:rPr/>
        <w:t>laboratorio</w:t>
      </w:r>
      <w:r>
        <w:rPr>
          <w:spacing w:val="-10"/>
        </w:rPr>
        <w:t> </w:t>
      </w:r>
      <w:r>
        <w:rPr/>
        <w:t>para</w:t>
      </w:r>
      <w:r>
        <w:rPr>
          <w:spacing w:val="-10"/>
        </w:rPr>
        <w:t> </w:t>
      </w:r>
      <w:r>
        <w:rPr/>
        <w:t>su</w:t>
      </w:r>
      <w:r>
        <w:rPr>
          <w:spacing w:val="-10"/>
        </w:rPr>
        <w:t> </w:t>
      </w:r>
      <w:r>
        <w:rPr/>
        <w:t>estudio lo que puede facilitar o dificultar el diagnóstico de la enfermedad de origen bacteriano u otro agente de difícil diagnóstico en el laboratorio (Vásquez </w:t>
      </w:r>
      <w:r>
        <w:rPr>
          <w:i/>
        </w:rPr>
        <w:t>et al</w:t>
      </w:r>
      <w:r>
        <w:rPr/>
        <w:t>., 2011).</w:t>
      </w:r>
    </w:p>
    <w:p>
      <w:pPr>
        <w:pStyle w:val="Heading1"/>
        <w:spacing w:before="198"/>
      </w:pPr>
      <w:bookmarkStart w:name="_bookmark31" w:id="53"/>
      <w:bookmarkEnd w:id="53"/>
      <w:r>
        <w:rPr>
          <w:b w:val="0"/>
        </w:rPr>
      </w:r>
      <w:r>
        <w:rPr>
          <w:color w:val="233E5F"/>
        </w:rPr>
        <w:t>2.21.1 Signos clínicos de la enfermedad</w:t>
      </w:r>
    </w:p>
    <w:p>
      <w:pPr>
        <w:pStyle w:val="BodyText"/>
        <w:spacing w:line="276" w:lineRule="auto" w:before="50"/>
        <w:ind w:left="139" w:right="133"/>
        <w:jc w:val="both"/>
      </w:pPr>
      <w:r>
        <w:rPr/>
        <w:t>El diagnóstico de las distintas enfermedades comienza con la observación de los signos clínicos que presentan los peces enfermos, que orientan a identificar la enfermedad</w:t>
      </w:r>
      <w:r>
        <w:rPr>
          <w:spacing w:val="1"/>
        </w:rPr>
        <w:t> </w:t>
      </w:r>
      <w:r>
        <w:rPr/>
        <w:t>mediante</w:t>
      </w:r>
      <w:r>
        <w:rPr>
          <w:spacing w:val="-11"/>
        </w:rPr>
        <w:t> </w:t>
      </w:r>
      <w:r>
        <w:rPr/>
        <w:t>la</w:t>
      </w:r>
      <w:r>
        <w:rPr>
          <w:spacing w:val="-12"/>
        </w:rPr>
        <w:t> </w:t>
      </w:r>
      <w:r>
        <w:rPr/>
        <w:t>búsqueda</w:t>
      </w:r>
      <w:r>
        <w:rPr>
          <w:spacing w:val="-7"/>
        </w:rPr>
        <w:t> </w:t>
      </w:r>
      <w:r>
        <w:rPr/>
        <w:t>de</w:t>
      </w:r>
      <w:r>
        <w:rPr>
          <w:spacing w:val="-2"/>
        </w:rPr>
        <w:t> </w:t>
      </w:r>
      <w:r>
        <w:rPr/>
        <w:t>signos</w:t>
      </w:r>
      <w:r>
        <w:rPr>
          <w:spacing w:val="-11"/>
        </w:rPr>
        <w:t> </w:t>
      </w:r>
      <w:r>
        <w:rPr/>
        <w:t>característicos</w:t>
      </w:r>
      <w:r>
        <w:rPr>
          <w:spacing w:val="-8"/>
        </w:rPr>
        <w:t> </w:t>
      </w:r>
      <w:r>
        <w:rPr/>
        <w:t>o</w:t>
      </w:r>
      <w:r>
        <w:rPr>
          <w:spacing w:val="-5"/>
        </w:rPr>
        <w:t> </w:t>
      </w:r>
      <w:r>
        <w:rPr/>
        <w:t>patognomónicos.</w:t>
      </w:r>
      <w:r>
        <w:rPr>
          <w:spacing w:val="-7"/>
        </w:rPr>
        <w:t> </w:t>
      </w:r>
      <w:r>
        <w:rPr/>
        <w:t>En el</w:t>
      </w:r>
      <w:r>
        <w:rPr>
          <w:spacing w:val="-4"/>
        </w:rPr>
        <w:t> </w:t>
      </w:r>
      <w:r>
        <w:rPr/>
        <w:t>caso</w:t>
      </w:r>
      <w:r>
        <w:rPr>
          <w:spacing w:val="-12"/>
        </w:rPr>
        <w:t> </w:t>
      </w:r>
      <w:r>
        <w:rPr/>
        <w:t>de</w:t>
      </w:r>
      <w:r>
        <w:rPr>
          <w:spacing w:val="-12"/>
        </w:rPr>
        <w:t> </w:t>
      </w:r>
      <w:r>
        <w:rPr/>
        <w:t>las</w:t>
      </w:r>
      <w:r>
        <w:rPr>
          <w:spacing w:val="-8"/>
        </w:rPr>
        <w:t> </w:t>
      </w:r>
      <w:r>
        <w:rPr/>
        <w:t>enfermedades</w:t>
      </w:r>
      <w:r>
        <w:rPr>
          <w:spacing w:val="-8"/>
        </w:rPr>
        <w:t> </w:t>
      </w:r>
      <w:r>
        <w:rPr/>
        <w:t>causadas</w:t>
      </w:r>
      <w:r>
        <w:rPr>
          <w:spacing w:val="-8"/>
        </w:rPr>
        <w:t> </w:t>
      </w:r>
      <w:r>
        <w:rPr/>
        <w:t>por</w:t>
      </w:r>
      <w:r>
        <w:rPr>
          <w:spacing w:val="-6"/>
        </w:rPr>
        <w:t> </w:t>
      </w:r>
      <w:r>
        <w:rPr/>
        <w:t>los</w:t>
      </w:r>
      <w:r>
        <w:rPr>
          <w:spacing w:val="-3"/>
        </w:rPr>
        <w:t> </w:t>
      </w:r>
      <w:r>
        <w:rPr/>
        <w:t>miembros</w:t>
      </w:r>
      <w:r>
        <w:rPr>
          <w:spacing w:val="-8"/>
        </w:rPr>
        <w:t> </w:t>
      </w:r>
      <w:r>
        <w:rPr/>
        <w:t>del</w:t>
      </w:r>
      <w:r>
        <w:rPr>
          <w:spacing w:val="-4"/>
        </w:rPr>
        <w:t> </w:t>
      </w:r>
      <w:r>
        <w:rPr/>
        <w:t>genero</w:t>
      </w:r>
      <w:r>
        <w:rPr>
          <w:spacing w:val="-1"/>
        </w:rPr>
        <w:t> </w:t>
      </w:r>
      <w:r>
        <w:rPr>
          <w:i/>
        </w:rPr>
        <w:t>Francisella</w:t>
      </w:r>
      <w:r>
        <w:rPr>
          <w:i/>
          <w:spacing w:val="-5"/>
        </w:rPr>
        <w:t> </w:t>
      </w:r>
      <w:r>
        <w:rPr/>
        <w:t>sp. que afectan a peces se han identificado signos específicos presuntivos en todas  las especies que afectan. Los signos iniciales incluyen adelgazamiento progresivo, anemia, coloración pálida y con nódulos hemorrágicos o ulceraciones visibles en la piel, abultamiento del abdomen, exoftalmía, incoordinación natatoria y branquias pálidas</w:t>
      </w:r>
      <w:r>
        <w:rPr>
          <w:spacing w:val="-7"/>
        </w:rPr>
        <w:t> </w:t>
      </w:r>
      <w:r>
        <w:rPr/>
        <w:t>y</w:t>
      </w:r>
      <w:r>
        <w:rPr>
          <w:spacing w:val="-7"/>
        </w:rPr>
        <w:t> </w:t>
      </w:r>
      <w:r>
        <w:rPr/>
        <w:t>de</w:t>
      </w:r>
      <w:r>
        <w:rPr>
          <w:spacing w:val="-6"/>
        </w:rPr>
        <w:t> </w:t>
      </w:r>
      <w:r>
        <w:rPr/>
        <w:t>aspecto</w:t>
      </w:r>
      <w:r>
        <w:rPr>
          <w:spacing w:val="-6"/>
        </w:rPr>
        <w:t> </w:t>
      </w:r>
      <w:r>
        <w:rPr/>
        <w:t>desigual.</w:t>
      </w:r>
      <w:r>
        <w:rPr>
          <w:spacing w:val="-6"/>
        </w:rPr>
        <w:t> </w:t>
      </w:r>
      <w:r>
        <w:rPr/>
        <w:t>Así</w:t>
      </w:r>
      <w:r>
        <w:rPr>
          <w:spacing w:val="-6"/>
        </w:rPr>
        <w:t> </w:t>
      </w:r>
      <w:r>
        <w:rPr/>
        <w:t>mismo,</w:t>
      </w:r>
      <w:r>
        <w:rPr>
          <w:spacing w:val="-6"/>
        </w:rPr>
        <w:t> </w:t>
      </w:r>
      <w:r>
        <w:rPr/>
        <w:t>los</w:t>
      </w:r>
      <w:r>
        <w:rPr>
          <w:spacing w:val="-7"/>
        </w:rPr>
        <w:t> </w:t>
      </w:r>
      <w:r>
        <w:rPr/>
        <w:t>cambios</w:t>
      </w:r>
      <w:r>
        <w:rPr>
          <w:spacing w:val="-7"/>
        </w:rPr>
        <w:t> </w:t>
      </w:r>
      <w:r>
        <w:rPr/>
        <w:t>visibles</w:t>
      </w:r>
      <w:r>
        <w:rPr>
          <w:spacing w:val="-7"/>
        </w:rPr>
        <w:t> </w:t>
      </w:r>
      <w:r>
        <w:rPr/>
        <w:t>macroscópicamente como la presentación de ascitis, adherencias en órganos internos y cambios que están dominados por el desarrollo de formaciones nodulares multiorgánicas. En todos los estudios publicados, los peces muestran lesiones y signos clínicos similares (Mauel </w:t>
      </w:r>
      <w:r>
        <w:rPr>
          <w:i/>
        </w:rPr>
        <w:t>et al</w:t>
      </w:r>
      <w:r>
        <w:rPr/>
        <w:t>., 2007; Mikalsen </w:t>
      </w:r>
      <w:r>
        <w:rPr>
          <w:i/>
        </w:rPr>
        <w:t>et al</w:t>
      </w:r>
      <w:r>
        <w:rPr/>
        <w:t>., 2009; Bohle </w:t>
      </w:r>
      <w:r>
        <w:rPr>
          <w:i/>
        </w:rPr>
        <w:t>et al</w:t>
      </w:r>
      <w:r>
        <w:rPr/>
        <w:t>.,</w:t>
      </w:r>
      <w:r>
        <w:rPr>
          <w:spacing w:val="-22"/>
        </w:rPr>
        <w:t> </w:t>
      </w:r>
      <w:r>
        <w:rPr/>
        <w:t>2009).</w:t>
      </w:r>
    </w:p>
    <w:p>
      <w:pPr>
        <w:pStyle w:val="Heading1"/>
        <w:spacing w:before="202"/>
      </w:pPr>
      <w:bookmarkStart w:name="_bookmark32" w:id="54"/>
      <w:bookmarkEnd w:id="54"/>
      <w:r>
        <w:rPr>
          <w:b w:val="0"/>
        </w:rPr>
      </w:r>
      <w:r>
        <w:rPr>
          <w:color w:val="233E5F"/>
        </w:rPr>
        <w:t>2. 21. 2 Cultivo bacteriológico</w:t>
      </w:r>
    </w:p>
    <w:p>
      <w:pPr>
        <w:pStyle w:val="BodyText"/>
        <w:spacing w:line="271" w:lineRule="auto" w:before="46"/>
        <w:ind w:left="139" w:right="150"/>
        <w:jc w:val="both"/>
      </w:pPr>
      <w:r>
        <w:rPr/>
        <w:t>La prueba de oro para el diagnóstico de Francisellosis, al igual que cualquier otra enfermedad bacteriana sistémica en los peces, es el aislamiento de la bacteria.</w:t>
      </w:r>
    </w:p>
    <w:p>
      <w:pPr>
        <w:pStyle w:val="BodyText"/>
        <w:spacing w:line="273" w:lineRule="auto" w:before="212"/>
        <w:ind w:left="139" w:right="135"/>
        <w:jc w:val="both"/>
      </w:pPr>
      <w:r>
        <w:rPr/>
        <w:t>Los miembros del género </w:t>
      </w:r>
      <w:r>
        <w:rPr>
          <w:i/>
        </w:rPr>
        <w:t>Francisella </w:t>
      </w:r>
      <w:r>
        <w:rPr/>
        <w:t>generalmente son de difícil aislamiento (fastidiosos), por los requerimientos para crecer en medios de cultivo comunes, ya que todas las bacterias del genero tienen como requerimiento común para su crecimiento el aminoácido cisteína y hemoglobina (ion Fe), siendo el medio de cultivo más utilizado el medio Cysteine Heart agar con inclusión de 5% de sangre ovina  Figura 7.</w:t>
      </w:r>
    </w:p>
    <w:p>
      <w:pPr>
        <w:spacing w:after="0" w:line="273" w:lineRule="auto"/>
        <w:jc w:val="both"/>
        <w:sectPr>
          <w:pgSz w:w="12240" w:h="15840"/>
          <w:pgMar w:header="752" w:footer="998" w:top="1000" w:bottom="1180" w:left="1560" w:right="1560"/>
        </w:sectPr>
      </w:pPr>
    </w:p>
    <w:p>
      <w:pPr>
        <w:pStyle w:val="BodyText"/>
        <w:rPr>
          <w:sz w:val="20"/>
        </w:rPr>
      </w:pPr>
    </w:p>
    <w:p>
      <w:pPr>
        <w:pStyle w:val="BodyText"/>
        <w:spacing w:before="5"/>
        <w:rPr>
          <w:sz w:val="15"/>
        </w:rPr>
      </w:pPr>
    </w:p>
    <w:p>
      <w:pPr>
        <w:pStyle w:val="BodyText"/>
        <w:ind w:left="139"/>
        <w:rPr>
          <w:sz w:val="20"/>
        </w:rPr>
      </w:pPr>
      <w:r>
        <w:rPr>
          <w:sz w:val="20"/>
        </w:rPr>
        <w:drawing>
          <wp:inline distT="0" distB="0" distL="0" distR="0">
            <wp:extent cx="5559441" cy="2520505"/>
            <wp:effectExtent l="0" t="0" r="0" b="0"/>
            <wp:docPr id="11" name="image11.jpeg" descr=""/>
            <wp:cNvGraphicFramePr>
              <a:graphicFrameLocks noChangeAspect="1"/>
            </wp:cNvGraphicFramePr>
            <a:graphic>
              <a:graphicData uri="http://schemas.openxmlformats.org/drawingml/2006/picture">
                <pic:pic>
                  <pic:nvPicPr>
                    <pic:cNvPr id="12" name="image11.jpeg"/>
                    <pic:cNvPicPr/>
                  </pic:nvPicPr>
                  <pic:blipFill>
                    <a:blip r:embed="rId24" cstate="print"/>
                    <a:stretch>
                      <a:fillRect/>
                    </a:stretch>
                  </pic:blipFill>
                  <pic:spPr>
                    <a:xfrm>
                      <a:off x="0" y="0"/>
                      <a:ext cx="5559441" cy="2520505"/>
                    </a:xfrm>
                    <a:prstGeom prst="rect">
                      <a:avLst/>
                    </a:prstGeom>
                  </pic:spPr>
                </pic:pic>
              </a:graphicData>
            </a:graphic>
          </wp:inline>
        </w:drawing>
      </w:r>
      <w:r>
        <w:rPr>
          <w:sz w:val="20"/>
        </w:rPr>
      </w:r>
    </w:p>
    <w:p>
      <w:pPr>
        <w:pStyle w:val="BodyText"/>
        <w:spacing w:before="8"/>
        <w:rPr>
          <w:sz w:val="13"/>
        </w:rPr>
      </w:pPr>
    </w:p>
    <w:p>
      <w:pPr>
        <w:pStyle w:val="BodyText"/>
        <w:spacing w:line="276" w:lineRule="auto" w:before="70"/>
        <w:ind w:left="139" w:right="154"/>
        <w:jc w:val="both"/>
      </w:pPr>
      <w:r>
        <w:rPr/>
        <w:t>Figura 7: a) Aislamiento de </w:t>
      </w:r>
      <w:r>
        <w:rPr>
          <w:i/>
        </w:rPr>
        <w:t>Francisella noatunensis </w:t>
      </w:r>
      <w:r>
        <w:rPr/>
        <w:t>en medio de cultivo Cysteine Heart agar + 5% ovine blood (tomado de </w:t>
      </w:r>
      <w:r>
        <w:rPr>
          <w:i/>
        </w:rPr>
        <w:t>Francisella </w:t>
      </w:r>
      <w:r>
        <w:rPr/>
        <w:t>infections in farmed and wild aquatic organisms, Colquhoun y Duodu, 2011)</w:t>
      </w:r>
    </w:p>
    <w:p>
      <w:pPr>
        <w:pStyle w:val="BodyText"/>
        <w:spacing w:line="273" w:lineRule="auto" w:before="207"/>
        <w:ind w:left="139" w:right="159"/>
        <w:jc w:val="both"/>
      </w:pPr>
      <w:r>
        <w:rPr/>
        <w:t>Se han utilizado varios tipos de medios de cultivo para el aislamiento primario de </w:t>
      </w:r>
      <w:r>
        <w:rPr>
          <w:i/>
        </w:rPr>
        <w:t>Francisella</w:t>
      </w:r>
      <w:r>
        <w:rPr>
          <w:i/>
          <w:spacing w:val="1"/>
        </w:rPr>
        <w:t> </w:t>
      </w:r>
      <w:r>
        <w:rPr/>
        <w:t>sp.</w:t>
      </w:r>
      <w:r>
        <w:rPr>
          <w:spacing w:val="-6"/>
        </w:rPr>
        <w:t> </w:t>
      </w:r>
      <w:r>
        <w:rPr/>
        <w:t>de</w:t>
      </w:r>
      <w:r>
        <w:rPr>
          <w:spacing w:val="-6"/>
        </w:rPr>
        <w:t> </w:t>
      </w:r>
      <w:r>
        <w:rPr/>
        <w:t>peces</w:t>
      </w:r>
      <w:r>
        <w:rPr>
          <w:spacing w:val="-5"/>
        </w:rPr>
        <w:t> </w:t>
      </w:r>
      <w:r>
        <w:rPr/>
        <w:t>(La</w:t>
      </w:r>
      <w:r>
        <w:rPr>
          <w:spacing w:val="-6"/>
        </w:rPr>
        <w:t> </w:t>
      </w:r>
      <w:r>
        <w:rPr/>
        <w:t>Tabla</w:t>
      </w:r>
      <w:r>
        <w:rPr>
          <w:spacing w:val="-6"/>
        </w:rPr>
        <w:t> </w:t>
      </w:r>
      <w:r>
        <w:rPr/>
        <w:t>2).</w:t>
      </w:r>
      <w:r>
        <w:rPr>
          <w:spacing w:val="-2"/>
        </w:rPr>
        <w:t> </w:t>
      </w:r>
      <w:r>
        <w:rPr/>
        <w:t>Cabe</w:t>
      </w:r>
      <w:r>
        <w:rPr>
          <w:spacing w:val="-2"/>
        </w:rPr>
        <w:t> </w:t>
      </w:r>
      <w:r>
        <w:rPr/>
        <w:t>señalar</w:t>
      </w:r>
      <w:r>
        <w:rPr>
          <w:spacing w:val="-5"/>
        </w:rPr>
        <w:t> </w:t>
      </w:r>
      <w:r>
        <w:rPr/>
        <w:t>que</w:t>
      </w:r>
      <w:r>
        <w:rPr>
          <w:spacing w:val="-6"/>
        </w:rPr>
        <w:t> </w:t>
      </w:r>
      <w:r>
        <w:rPr/>
        <w:t>estas</w:t>
      </w:r>
      <w:r>
        <w:rPr>
          <w:spacing w:val="-7"/>
        </w:rPr>
        <w:t> </w:t>
      </w:r>
      <w:r>
        <w:rPr/>
        <w:t>bacterias</w:t>
      </w:r>
      <w:r>
        <w:rPr>
          <w:spacing w:val="-2"/>
        </w:rPr>
        <w:t> </w:t>
      </w:r>
      <w:r>
        <w:rPr/>
        <w:t>no</w:t>
      </w:r>
      <w:r>
        <w:rPr>
          <w:spacing w:val="-6"/>
        </w:rPr>
        <w:t> </w:t>
      </w:r>
      <w:r>
        <w:rPr/>
        <w:t>pueden ser cultivadas en forma rutinaria en medios de cultivo que normalmente utilizan en el diagnóstico bacteriológico para enfermedades de los peces (Soto </w:t>
      </w:r>
      <w:r>
        <w:rPr>
          <w:i/>
        </w:rPr>
        <w:t>et al.,</w:t>
      </w:r>
      <w:r>
        <w:rPr>
          <w:i/>
          <w:spacing w:val="-17"/>
        </w:rPr>
        <w:t> </w:t>
      </w:r>
      <w:r>
        <w:rPr/>
        <w:t>2011).</w:t>
      </w:r>
    </w:p>
    <w:p>
      <w:pPr>
        <w:pStyle w:val="BodyText"/>
        <w:spacing w:line="276" w:lineRule="auto" w:before="209"/>
        <w:ind w:left="139" w:right="152"/>
        <w:jc w:val="both"/>
      </w:pPr>
      <w:r>
        <w:rPr/>
        <w:t>Así mismo, se han descrito diferentes temperaturas para el crecimiento </w:t>
      </w:r>
      <w:r>
        <w:rPr>
          <w:spacing w:val="-3"/>
        </w:rPr>
        <w:t>óptimo </w:t>
      </w:r>
      <w:r>
        <w:rPr/>
        <w:t>de </w:t>
      </w:r>
      <w:r>
        <w:rPr>
          <w:i/>
        </w:rPr>
        <w:t>Francisella</w:t>
      </w:r>
      <w:r>
        <w:rPr>
          <w:i/>
          <w:spacing w:val="-13"/>
        </w:rPr>
        <w:t> </w:t>
      </w:r>
      <w:r>
        <w:rPr/>
        <w:t>aisladas</w:t>
      </w:r>
      <w:r>
        <w:rPr>
          <w:spacing w:val="-15"/>
        </w:rPr>
        <w:t> </w:t>
      </w:r>
      <w:r>
        <w:rPr/>
        <w:t>de</w:t>
      </w:r>
      <w:r>
        <w:rPr>
          <w:spacing w:val="-14"/>
        </w:rPr>
        <w:t> </w:t>
      </w:r>
      <w:r>
        <w:rPr/>
        <w:t>diferentes</w:t>
      </w:r>
      <w:r>
        <w:rPr>
          <w:spacing w:val="-15"/>
        </w:rPr>
        <w:t> </w:t>
      </w:r>
      <w:r>
        <w:rPr/>
        <w:t>especies</w:t>
      </w:r>
      <w:r>
        <w:rPr>
          <w:spacing w:val="-15"/>
        </w:rPr>
        <w:t> </w:t>
      </w:r>
      <w:r>
        <w:rPr/>
        <w:t>de</w:t>
      </w:r>
      <w:r>
        <w:rPr>
          <w:spacing w:val="-19"/>
        </w:rPr>
        <w:t> </w:t>
      </w:r>
      <w:r>
        <w:rPr/>
        <w:t>peces.</w:t>
      </w:r>
      <w:r>
        <w:rPr>
          <w:spacing w:val="-15"/>
        </w:rPr>
        <w:t> </w:t>
      </w:r>
      <w:r>
        <w:rPr/>
        <w:t>La</w:t>
      </w:r>
      <w:r>
        <w:rPr>
          <w:spacing w:val="-15"/>
        </w:rPr>
        <w:t> </w:t>
      </w:r>
      <w:r>
        <w:rPr/>
        <w:t>FNO</w:t>
      </w:r>
      <w:r>
        <w:rPr>
          <w:i/>
        </w:rPr>
        <w:t>,</w:t>
      </w:r>
      <w:r>
        <w:rPr>
          <w:i/>
          <w:spacing w:val="-15"/>
        </w:rPr>
        <w:t> </w:t>
      </w:r>
      <w:r>
        <w:rPr/>
        <w:t>puede</w:t>
      </w:r>
      <w:r>
        <w:rPr>
          <w:spacing w:val="-15"/>
        </w:rPr>
        <w:t> </w:t>
      </w:r>
      <w:r>
        <w:rPr/>
        <w:t>crecer</w:t>
      </w:r>
      <w:r>
        <w:rPr>
          <w:spacing w:val="-14"/>
        </w:rPr>
        <w:t> </w:t>
      </w:r>
      <w:r>
        <w:rPr/>
        <w:t>a</w:t>
      </w:r>
      <w:r>
        <w:rPr>
          <w:spacing w:val="-15"/>
        </w:rPr>
        <w:t> </w:t>
      </w:r>
      <w:r>
        <w:rPr/>
        <w:t>28°C, también se describe una temperatura </w:t>
      </w:r>
      <w:r>
        <w:rPr>
          <w:spacing w:val="-3"/>
        </w:rPr>
        <w:t>óptima </w:t>
      </w:r>
      <w:r>
        <w:rPr/>
        <w:t>de crecimiento de 22°C. También se ha reportado su aislamiento a una temperatura de 15-19°C, pero no crece a temperaturas cercanas a los 30° C, lo que sugiere que la composición del agar puede</w:t>
      </w:r>
      <w:r>
        <w:rPr>
          <w:spacing w:val="-13"/>
        </w:rPr>
        <w:t> </w:t>
      </w:r>
      <w:r>
        <w:rPr/>
        <w:t>ser</w:t>
      </w:r>
      <w:r>
        <w:rPr>
          <w:spacing w:val="-17"/>
        </w:rPr>
        <w:t> </w:t>
      </w:r>
      <w:r>
        <w:rPr/>
        <w:t>importante</w:t>
      </w:r>
      <w:r>
        <w:rPr>
          <w:spacing w:val="-12"/>
        </w:rPr>
        <w:t> </w:t>
      </w:r>
      <w:r>
        <w:rPr/>
        <w:t>en</w:t>
      </w:r>
      <w:r>
        <w:rPr>
          <w:spacing w:val="-13"/>
        </w:rPr>
        <w:t> </w:t>
      </w:r>
      <w:r>
        <w:rPr/>
        <w:t>relación</w:t>
      </w:r>
      <w:r>
        <w:rPr>
          <w:spacing w:val="-12"/>
        </w:rPr>
        <w:t> </w:t>
      </w:r>
      <w:r>
        <w:rPr/>
        <w:t>con</w:t>
      </w:r>
      <w:r>
        <w:rPr>
          <w:spacing w:val="-17"/>
        </w:rPr>
        <w:t> </w:t>
      </w:r>
      <w:r>
        <w:rPr/>
        <w:t>el</w:t>
      </w:r>
      <w:r>
        <w:rPr>
          <w:spacing w:val="-9"/>
        </w:rPr>
        <w:t> </w:t>
      </w:r>
      <w:r>
        <w:rPr/>
        <w:t>crecimiento</w:t>
      </w:r>
      <w:r>
        <w:rPr>
          <w:spacing w:val="-12"/>
        </w:rPr>
        <w:t> </w:t>
      </w:r>
      <w:r>
        <w:rPr/>
        <w:t>a</w:t>
      </w:r>
      <w:r>
        <w:rPr>
          <w:spacing w:val="-13"/>
        </w:rPr>
        <w:t> </w:t>
      </w:r>
      <w:r>
        <w:rPr/>
        <w:t>diferentes</w:t>
      </w:r>
      <w:r>
        <w:rPr>
          <w:spacing w:val="-14"/>
        </w:rPr>
        <w:t> </w:t>
      </w:r>
      <w:r>
        <w:rPr/>
        <w:t>temperaturas</w:t>
      </w:r>
      <w:r>
        <w:rPr>
          <w:spacing w:val="-8"/>
        </w:rPr>
        <w:t> </w:t>
      </w:r>
      <w:r>
        <w:rPr/>
        <w:t>(Soto </w:t>
      </w:r>
      <w:r>
        <w:rPr>
          <w:i/>
        </w:rPr>
        <w:t>et</w:t>
      </w:r>
      <w:r>
        <w:rPr>
          <w:i/>
          <w:spacing w:val="-2"/>
        </w:rPr>
        <w:t> </w:t>
      </w:r>
      <w:r>
        <w:rPr>
          <w:i/>
        </w:rPr>
        <w:t>al</w:t>
      </w:r>
      <w:r>
        <w:rPr/>
        <w:t>.,</w:t>
      </w:r>
      <w:r>
        <w:rPr>
          <w:spacing w:val="-6"/>
        </w:rPr>
        <w:t> </w:t>
      </w:r>
      <w:r>
        <w:rPr/>
        <w:t>2011;</w:t>
      </w:r>
      <w:r>
        <w:rPr>
          <w:spacing w:val="-1"/>
        </w:rPr>
        <w:t> </w:t>
      </w:r>
      <w:r>
        <w:rPr/>
        <w:t>Birkbeck</w:t>
      </w:r>
      <w:r>
        <w:rPr>
          <w:spacing w:val="-6"/>
        </w:rPr>
        <w:t> </w:t>
      </w:r>
      <w:r>
        <w:rPr>
          <w:i/>
        </w:rPr>
        <w:t>et</w:t>
      </w:r>
      <w:r>
        <w:rPr>
          <w:i/>
          <w:spacing w:val="-7"/>
        </w:rPr>
        <w:t> </w:t>
      </w:r>
      <w:r>
        <w:rPr>
          <w:i/>
        </w:rPr>
        <w:t>al</w:t>
      </w:r>
      <w:r>
        <w:rPr/>
        <w:t>.,</w:t>
      </w:r>
      <w:r>
        <w:rPr>
          <w:spacing w:val="-6"/>
        </w:rPr>
        <w:t> </w:t>
      </w:r>
      <w:r>
        <w:rPr/>
        <w:t>2007;</w:t>
      </w:r>
      <w:r>
        <w:rPr>
          <w:spacing w:val="-19"/>
        </w:rPr>
        <w:t> </w:t>
      </w:r>
      <w:r>
        <w:rPr/>
        <w:t>Mauel</w:t>
      </w:r>
      <w:r>
        <w:rPr>
          <w:spacing w:val="-2"/>
        </w:rPr>
        <w:t> </w:t>
      </w:r>
      <w:r>
        <w:rPr>
          <w:i/>
        </w:rPr>
        <w:t>et</w:t>
      </w:r>
      <w:r>
        <w:rPr>
          <w:i/>
          <w:spacing w:val="-7"/>
        </w:rPr>
        <w:t> </w:t>
      </w:r>
      <w:r>
        <w:rPr>
          <w:i/>
        </w:rPr>
        <w:t>al</w:t>
      </w:r>
      <w:r>
        <w:rPr/>
        <w:t>.,</w:t>
      </w:r>
      <w:r>
        <w:rPr>
          <w:spacing w:val="-6"/>
        </w:rPr>
        <w:t> </w:t>
      </w:r>
      <w:r>
        <w:rPr/>
        <w:t>2007;</w:t>
      </w:r>
      <w:r>
        <w:rPr>
          <w:spacing w:val="-6"/>
        </w:rPr>
        <w:t> </w:t>
      </w:r>
      <w:r>
        <w:rPr/>
        <w:t>Mikalsen </w:t>
      </w:r>
      <w:r>
        <w:rPr>
          <w:i/>
        </w:rPr>
        <w:t>et</w:t>
      </w:r>
      <w:r>
        <w:rPr>
          <w:i/>
          <w:spacing w:val="-7"/>
        </w:rPr>
        <w:t> </w:t>
      </w:r>
      <w:r>
        <w:rPr>
          <w:i/>
        </w:rPr>
        <w:t>al</w:t>
      </w:r>
      <w:r>
        <w:rPr/>
        <w:t>.,</w:t>
      </w:r>
      <w:r>
        <w:rPr>
          <w:spacing w:val="-6"/>
        </w:rPr>
        <w:t> </w:t>
      </w:r>
      <w:r>
        <w:rPr/>
        <w:t>2007;</w:t>
      </w:r>
      <w:r>
        <w:rPr>
          <w:spacing w:val="-1"/>
        </w:rPr>
        <w:t> </w:t>
      </w:r>
      <w:r>
        <w:rPr/>
        <w:t>Hsieh</w:t>
      </w:r>
      <w:r>
        <w:rPr>
          <w:spacing w:val="-5"/>
        </w:rPr>
        <w:t> </w:t>
      </w:r>
      <w:r>
        <w:rPr>
          <w:i/>
        </w:rPr>
        <w:t>et </w:t>
      </w:r>
      <w:r>
        <w:rPr>
          <w:i/>
        </w:rPr>
        <w:t>al</w:t>
      </w:r>
      <w:r>
        <w:rPr/>
        <w:t>., 2006; Nylund </w:t>
      </w:r>
      <w:r>
        <w:rPr>
          <w:i/>
        </w:rPr>
        <w:t>et al</w:t>
      </w:r>
      <w:r>
        <w:rPr/>
        <w:t>., 2006; Bohle </w:t>
      </w:r>
      <w:r>
        <w:rPr>
          <w:i/>
        </w:rPr>
        <w:t>et</w:t>
      </w:r>
      <w:r>
        <w:rPr>
          <w:i/>
          <w:spacing w:val="-14"/>
        </w:rPr>
        <w:t> </w:t>
      </w:r>
      <w:r>
        <w:rPr>
          <w:i/>
        </w:rPr>
        <w:t>al</w:t>
      </w:r>
      <w:r>
        <w:rPr/>
        <w:t>.,2009).</w:t>
      </w:r>
    </w:p>
    <w:p>
      <w:pPr>
        <w:pStyle w:val="BodyText"/>
        <w:spacing w:line="276" w:lineRule="auto" w:before="203"/>
        <w:ind w:left="139" w:right="152"/>
        <w:jc w:val="both"/>
      </w:pPr>
      <w:r>
        <w:rPr/>
        <w:t>Tabla 2: Medios utilizados para el aislamiento de </w:t>
      </w:r>
      <w:r>
        <w:rPr>
          <w:i/>
        </w:rPr>
        <w:t>Francisella </w:t>
      </w:r>
      <w:r>
        <w:rPr/>
        <w:t>sp. en peces (Colquhoun y Duodu, 2011; Soto </w:t>
      </w:r>
      <w:r>
        <w:rPr>
          <w:i/>
        </w:rPr>
        <w:t>et al</w:t>
      </w:r>
      <w:r>
        <w:rPr/>
        <w:t>., 2011; Birkbeck </w:t>
      </w:r>
      <w:r>
        <w:rPr>
          <w:i/>
        </w:rPr>
        <w:t>et al</w:t>
      </w:r>
      <w:r>
        <w:rPr/>
        <w:t>., 2007; Hsieh </w:t>
      </w:r>
      <w:r>
        <w:rPr>
          <w:i/>
        </w:rPr>
        <w:t>et al</w:t>
      </w:r>
      <w:r>
        <w:rPr/>
        <w:t>., 2006).</w:t>
      </w:r>
    </w:p>
    <w:p>
      <w:pPr>
        <w:pStyle w:val="BodyText"/>
        <w:spacing w:before="11"/>
        <w:rPr>
          <w:sz w:val="17"/>
        </w:rPr>
      </w:pPr>
    </w:p>
    <w:tbl>
      <w:tblPr>
        <w:tblW w:w="0" w:type="auto"/>
        <w:jc w:val="left"/>
        <w:tblInd w:w="1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19"/>
        <w:gridCol w:w="2228"/>
        <w:gridCol w:w="3088"/>
        <w:gridCol w:w="1349"/>
      </w:tblGrid>
      <w:tr>
        <w:trPr>
          <w:trHeight w:val="235" w:hRule="exact"/>
        </w:trPr>
        <w:tc>
          <w:tcPr>
            <w:tcW w:w="2219" w:type="dxa"/>
          </w:tcPr>
          <w:p>
            <w:pPr>
              <w:pStyle w:val="TableParagraph"/>
              <w:spacing w:line="183" w:lineRule="exact"/>
              <w:ind w:left="106"/>
              <w:rPr>
                <w:sz w:val="16"/>
              </w:rPr>
            </w:pPr>
            <w:r>
              <w:rPr>
                <w:sz w:val="16"/>
              </w:rPr>
              <w:t>Bacteria</w:t>
            </w:r>
          </w:p>
        </w:tc>
        <w:tc>
          <w:tcPr>
            <w:tcW w:w="2228" w:type="dxa"/>
          </w:tcPr>
          <w:p>
            <w:pPr>
              <w:pStyle w:val="TableParagraph"/>
              <w:spacing w:line="183" w:lineRule="exact"/>
              <w:rPr>
                <w:sz w:val="16"/>
              </w:rPr>
            </w:pPr>
            <w:r>
              <w:rPr>
                <w:sz w:val="16"/>
              </w:rPr>
              <w:t>Especie de pez</w:t>
            </w:r>
          </w:p>
        </w:tc>
        <w:tc>
          <w:tcPr>
            <w:tcW w:w="3088" w:type="dxa"/>
          </w:tcPr>
          <w:p>
            <w:pPr>
              <w:pStyle w:val="TableParagraph"/>
              <w:spacing w:line="183" w:lineRule="exact"/>
              <w:rPr>
                <w:sz w:val="16"/>
              </w:rPr>
            </w:pPr>
            <w:r>
              <w:rPr>
                <w:sz w:val="16"/>
              </w:rPr>
              <w:t>Medio</w:t>
            </w:r>
          </w:p>
        </w:tc>
        <w:tc>
          <w:tcPr>
            <w:tcW w:w="1349" w:type="dxa"/>
          </w:tcPr>
          <w:p>
            <w:pPr>
              <w:pStyle w:val="TableParagraph"/>
              <w:spacing w:line="183" w:lineRule="exact"/>
              <w:rPr>
                <w:sz w:val="16"/>
              </w:rPr>
            </w:pPr>
            <w:r>
              <w:rPr>
                <w:sz w:val="16"/>
              </w:rPr>
              <w:t>Referencia</w:t>
            </w:r>
          </w:p>
        </w:tc>
      </w:tr>
      <w:tr>
        <w:trPr>
          <w:trHeight w:val="456" w:hRule="exact"/>
        </w:trPr>
        <w:tc>
          <w:tcPr>
            <w:tcW w:w="2219" w:type="dxa"/>
          </w:tcPr>
          <w:p>
            <w:pPr>
              <w:pStyle w:val="TableParagraph"/>
              <w:tabs>
                <w:tab w:pos="1242" w:val="left" w:leader="none"/>
              </w:tabs>
              <w:spacing w:line="177" w:lineRule="exact"/>
              <w:ind w:left="106"/>
              <w:rPr>
                <w:i/>
                <w:sz w:val="16"/>
              </w:rPr>
            </w:pPr>
            <w:r>
              <w:rPr>
                <w:i/>
                <w:sz w:val="16"/>
              </w:rPr>
              <w:t>Francisella</w:t>
              <w:tab/>
              <w:t>noatunensis</w:t>
            </w:r>
          </w:p>
          <w:p>
            <w:pPr>
              <w:pStyle w:val="TableParagraph"/>
              <w:spacing w:line="183" w:lineRule="exact"/>
              <w:ind w:left="106"/>
              <w:rPr>
                <w:i/>
                <w:sz w:val="16"/>
              </w:rPr>
            </w:pPr>
            <w:r>
              <w:rPr>
                <w:sz w:val="16"/>
              </w:rPr>
              <w:t>subsp. </w:t>
            </w:r>
            <w:r>
              <w:rPr>
                <w:i/>
                <w:sz w:val="16"/>
              </w:rPr>
              <w:t>noatunensis</w:t>
            </w:r>
          </w:p>
        </w:tc>
        <w:tc>
          <w:tcPr>
            <w:tcW w:w="2228" w:type="dxa"/>
          </w:tcPr>
          <w:p>
            <w:pPr>
              <w:pStyle w:val="TableParagraph"/>
              <w:spacing w:line="183" w:lineRule="exact"/>
              <w:rPr>
                <w:sz w:val="16"/>
              </w:rPr>
            </w:pPr>
            <w:r>
              <w:rPr>
                <w:sz w:val="16"/>
              </w:rPr>
              <w:t>Atlantic cod, Salmo salar</w:t>
            </w:r>
          </w:p>
        </w:tc>
        <w:tc>
          <w:tcPr>
            <w:tcW w:w="3088" w:type="dxa"/>
          </w:tcPr>
          <w:p>
            <w:pPr>
              <w:pStyle w:val="TableParagraph"/>
              <w:spacing w:line="183" w:lineRule="exact"/>
              <w:rPr>
                <w:sz w:val="16"/>
              </w:rPr>
            </w:pPr>
            <w:r>
              <w:rPr>
                <w:sz w:val="16"/>
              </w:rPr>
              <w:t>cysteine heart agar + 5% ovine blood</w:t>
            </w:r>
          </w:p>
        </w:tc>
        <w:tc>
          <w:tcPr>
            <w:tcW w:w="1349" w:type="dxa"/>
          </w:tcPr>
          <w:p>
            <w:pPr>
              <w:pStyle w:val="TableParagraph"/>
              <w:spacing w:line="183" w:lineRule="exact"/>
              <w:rPr>
                <w:sz w:val="16"/>
              </w:rPr>
            </w:pPr>
            <w:r>
              <w:rPr>
                <w:sz w:val="16"/>
              </w:rPr>
              <w:t>Olsen et al.</w:t>
            </w:r>
          </w:p>
        </w:tc>
      </w:tr>
      <w:tr>
        <w:trPr>
          <w:trHeight w:val="926" w:hRule="exact"/>
        </w:trPr>
        <w:tc>
          <w:tcPr>
            <w:tcW w:w="2219" w:type="dxa"/>
          </w:tcPr>
          <w:p>
            <w:pPr>
              <w:pStyle w:val="TableParagraph"/>
              <w:tabs>
                <w:tab w:pos="1242" w:val="left" w:leader="none"/>
              </w:tabs>
              <w:spacing w:line="177" w:lineRule="exact"/>
              <w:ind w:left="106"/>
              <w:rPr>
                <w:i/>
                <w:sz w:val="16"/>
              </w:rPr>
            </w:pPr>
            <w:r>
              <w:rPr>
                <w:i/>
                <w:sz w:val="16"/>
              </w:rPr>
              <w:t>Francisella</w:t>
              <w:tab/>
              <w:t>noatunensis</w:t>
            </w:r>
          </w:p>
          <w:p>
            <w:pPr>
              <w:pStyle w:val="TableParagraph"/>
              <w:spacing w:line="183" w:lineRule="exact"/>
              <w:ind w:left="106"/>
              <w:rPr>
                <w:i/>
                <w:sz w:val="16"/>
              </w:rPr>
            </w:pPr>
            <w:r>
              <w:rPr>
                <w:sz w:val="16"/>
              </w:rPr>
              <w:t>subsp. </w:t>
            </w:r>
            <w:r>
              <w:rPr>
                <w:i/>
                <w:sz w:val="16"/>
              </w:rPr>
              <w:t>noatunensis</w:t>
            </w:r>
          </w:p>
        </w:tc>
        <w:tc>
          <w:tcPr>
            <w:tcW w:w="2228" w:type="dxa"/>
          </w:tcPr>
          <w:p>
            <w:pPr>
              <w:pStyle w:val="TableParagraph"/>
              <w:spacing w:line="183" w:lineRule="exact"/>
              <w:rPr>
                <w:sz w:val="16"/>
              </w:rPr>
            </w:pPr>
            <w:r>
              <w:rPr>
                <w:sz w:val="16"/>
              </w:rPr>
              <w:t>Atlantic salmon Salmo salar</w:t>
            </w:r>
          </w:p>
        </w:tc>
        <w:tc>
          <w:tcPr>
            <w:tcW w:w="3088" w:type="dxa"/>
          </w:tcPr>
          <w:p>
            <w:pPr>
              <w:pStyle w:val="TableParagraph"/>
              <w:spacing w:line="183" w:lineRule="exact"/>
              <w:rPr>
                <w:sz w:val="16"/>
              </w:rPr>
            </w:pPr>
            <w:r>
              <w:rPr>
                <w:sz w:val="16"/>
              </w:rPr>
              <w:t>cysteine heart agar + 5% ovine blood</w:t>
            </w:r>
          </w:p>
        </w:tc>
        <w:tc>
          <w:tcPr>
            <w:tcW w:w="1349" w:type="dxa"/>
          </w:tcPr>
          <w:p>
            <w:pPr>
              <w:pStyle w:val="TableParagraph"/>
              <w:spacing w:line="183" w:lineRule="exact"/>
              <w:rPr>
                <w:sz w:val="16"/>
              </w:rPr>
            </w:pPr>
            <w:r>
              <w:rPr>
                <w:sz w:val="16"/>
              </w:rPr>
              <w:t>Birkbeck et al.</w:t>
            </w:r>
          </w:p>
        </w:tc>
      </w:tr>
    </w:tbl>
    <w:p>
      <w:pPr>
        <w:spacing w:after="0" w:line="183" w:lineRule="exact"/>
        <w:rPr>
          <w:sz w:val="16"/>
        </w:rPr>
        <w:sectPr>
          <w:pgSz w:w="12240" w:h="15840"/>
          <w:pgMar w:header="752" w:footer="998" w:top="1000" w:bottom="1180" w:left="1560" w:right="1540"/>
        </w:sectPr>
      </w:pPr>
    </w:p>
    <w:p>
      <w:pPr>
        <w:pStyle w:val="BodyText"/>
        <w:rPr>
          <w:sz w:val="20"/>
        </w:rPr>
      </w:pPr>
    </w:p>
    <w:p>
      <w:pPr>
        <w:pStyle w:val="BodyText"/>
        <w:spacing w:before="5"/>
        <w:rPr>
          <w:sz w:val="15"/>
        </w:rPr>
      </w:pPr>
    </w:p>
    <w:tbl>
      <w:tblPr>
        <w:tblW w:w="0" w:type="auto"/>
        <w:jc w:val="left"/>
        <w:tblInd w:w="1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19"/>
        <w:gridCol w:w="2228"/>
        <w:gridCol w:w="3088"/>
        <w:gridCol w:w="1349"/>
      </w:tblGrid>
      <w:tr>
        <w:trPr>
          <w:trHeight w:val="926" w:hRule="exact"/>
        </w:trPr>
        <w:tc>
          <w:tcPr>
            <w:tcW w:w="2219" w:type="dxa"/>
          </w:tcPr>
          <w:p>
            <w:pPr>
              <w:pStyle w:val="TableParagraph"/>
              <w:tabs>
                <w:tab w:pos="1244" w:val="left" w:leader="none"/>
              </w:tabs>
              <w:spacing w:line="178" w:lineRule="exact"/>
              <w:ind w:left="106"/>
              <w:rPr>
                <w:i/>
                <w:sz w:val="16"/>
              </w:rPr>
            </w:pPr>
            <w:r>
              <w:rPr>
                <w:i/>
                <w:sz w:val="16"/>
              </w:rPr>
              <w:t>Francisella</w:t>
              <w:tab/>
              <w:t>noatunensis</w:t>
            </w:r>
          </w:p>
          <w:p>
            <w:pPr>
              <w:pStyle w:val="TableParagraph"/>
              <w:spacing w:line="240" w:lineRule="auto" w:before="3"/>
              <w:ind w:left="106"/>
              <w:rPr>
                <w:i/>
                <w:sz w:val="16"/>
              </w:rPr>
            </w:pPr>
            <w:r>
              <w:rPr>
                <w:sz w:val="16"/>
              </w:rPr>
              <w:t>subsp. </w:t>
            </w:r>
            <w:r>
              <w:rPr>
                <w:i/>
                <w:sz w:val="16"/>
              </w:rPr>
              <w:t>orientalis</w:t>
            </w:r>
          </w:p>
        </w:tc>
        <w:tc>
          <w:tcPr>
            <w:tcW w:w="2228" w:type="dxa"/>
          </w:tcPr>
          <w:p>
            <w:pPr>
              <w:pStyle w:val="TableParagraph"/>
              <w:spacing w:line="178" w:lineRule="exact"/>
              <w:rPr>
                <w:sz w:val="16"/>
              </w:rPr>
            </w:pPr>
            <w:r>
              <w:rPr>
                <w:sz w:val="16"/>
              </w:rPr>
              <w:t>Tilapia </w:t>
            </w:r>
            <w:r>
              <w:rPr>
                <w:i/>
                <w:sz w:val="16"/>
              </w:rPr>
              <w:t>Oreochromis </w:t>
            </w:r>
            <w:r>
              <w:rPr>
                <w:sz w:val="16"/>
              </w:rPr>
              <w:t>sp.</w:t>
            </w:r>
          </w:p>
        </w:tc>
        <w:tc>
          <w:tcPr>
            <w:tcW w:w="3088" w:type="dxa"/>
          </w:tcPr>
          <w:p>
            <w:pPr>
              <w:pStyle w:val="TableParagraph"/>
              <w:spacing w:line="183" w:lineRule="exact"/>
              <w:rPr>
                <w:sz w:val="16"/>
              </w:rPr>
            </w:pPr>
            <w:r>
              <w:rPr>
                <w:sz w:val="16"/>
              </w:rPr>
              <w:t>cysteine heart agar + 5% ovine blood</w:t>
            </w:r>
          </w:p>
        </w:tc>
        <w:tc>
          <w:tcPr>
            <w:tcW w:w="1349" w:type="dxa"/>
          </w:tcPr>
          <w:p>
            <w:pPr>
              <w:pStyle w:val="TableParagraph"/>
              <w:spacing w:line="183" w:lineRule="exact"/>
              <w:rPr>
                <w:sz w:val="16"/>
              </w:rPr>
            </w:pPr>
            <w:r>
              <w:rPr>
                <w:sz w:val="16"/>
              </w:rPr>
              <w:t>Mikalsen et al.</w:t>
            </w:r>
          </w:p>
        </w:tc>
      </w:tr>
      <w:tr>
        <w:trPr>
          <w:trHeight w:val="908" w:hRule="exact"/>
        </w:trPr>
        <w:tc>
          <w:tcPr>
            <w:tcW w:w="2219" w:type="dxa"/>
          </w:tcPr>
          <w:p>
            <w:pPr>
              <w:pStyle w:val="TableParagraph"/>
              <w:tabs>
                <w:tab w:pos="1242" w:val="left" w:leader="none"/>
              </w:tabs>
              <w:spacing w:line="179" w:lineRule="exact"/>
              <w:ind w:left="106"/>
              <w:rPr>
                <w:i/>
                <w:sz w:val="16"/>
              </w:rPr>
            </w:pPr>
            <w:r>
              <w:rPr>
                <w:i/>
                <w:sz w:val="16"/>
              </w:rPr>
              <w:t>Francisella</w:t>
              <w:tab/>
              <w:t>noatunensis</w:t>
            </w:r>
          </w:p>
          <w:p>
            <w:pPr>
              <w:pStyle w:val="TableParagraph"/>
              <w:spacing w:line="240" w:lineRule="auto" w:before="3"/>
              <w:ind w:left="106"/>
              <w:rPr>
                <w:i/>
                <w:sz w:val="16"/>
              </w:rPr>
            </w:pPr>
            <w:r>
              <w:rPr>
                <w:sz w:val="16"/>
              </w:rPr>
              <w:t>subsp. </w:t>
            </w:r>
            <w:r>
              <w:rPr>
                <w:i/>
                <w:sz w:val="16"/>
              </w:rPr>
              <w:t>orientalis</w:t>
            </w:r>
          </w:p>
        </w:tc>
        <w:tc>
          <w:tcPr>
            <w:tcW w:w="2228" w:type="dxa"/>
          </w:tcPr>
          <w:p>
            <w:pPr>
              <w:pStyle w:val="TableParagraph"/>
              <w:tabs>
                <w:tab w:pos="1747" w:val="left" w:leader="none"/>
              </w:tabs>
              <w:spacing w:line="183" w:lineRule="exact"/>
              <w:rPr>
                <w:sz w:val="16"/>
              </w:rPr>
            </w:pPr>
            <w:r>
              <w:rPr>
                <w:sz w:val="16"/>
              </w:rPr>
              <w:t>Three-lined</w:t>
              <w:tab/>
              <w:t>grunt</w:t>
            </w:r>
          </w:p>
          <w:p>
            <w:pPr>
              <w:pStyle w:val="TableParagraph"/>
              <w:spacing w:line="183" w:lineRule="exact"/>
              <w:rPr>
                <w:i/>
                <w:sz w:val="16"/>
              </w:rPr>
            </w:pPr>
            <w:r>
              <w:rPr>
                <w:i/>
                <w:sz w:val="16"/>
              </w:rPr>
              <w:t>Parapristipoma trilinineatum</w:t>
            </w:r>
          </w:p>
        </w:tc>
        <w:tc>
          <w:tcPr>
            <w:tcW w:w="3088" w:type="dxa"/>
          </w:tcPr>
          <w:p>
            <w:pPr>
              <w:pStyle w:val="TableParagraph"/>
              <w:spacing w:line="183" w:lineRule="exact"/>
              <w:rPr>
                <w:sz w:val="16"/>
              </w:rPr>
            </w:pPr>
            <w:r>
              <w:rPr>
                <w:sz w:val="16"/>
              </w:rPr>
              <w:t>cysteine heart agar + 1% haemoglobin</w:t>
            </w:r>
          </w:p>
        </w:tc>
        <w:tc>
          <w:tcPr>
            <w:tcW w:w="1349" w:type="dxa"/>
          </w:tcPr>
          <w:p>
            <w:pPr>
              <w:pStyle w:val="TableParagraph"/>
              <w:spacing w:line="183" w:lineRule="exact"/>
              <w:rPr>
                <w:sz w:val="16"/>
              </w:rPr>
            </w:pPr>
            <w:r>
              <w:rPr>
                <w:sz w:val="16"/>
              </w:rPr>
              <w:t>Kamaishi et al.</w:t>
            </w:r>
          </w:p>
        </w:tc>
      </w:tr>
      <w:tr>
        <w:trPr>
          <w:trHeight w:val="1397" w:hRule="exact"/>
        </w:trPr>
        <w:tc>
          <w:tcPr>
            <w:tcW w:w="2219" w:type="dxa"/>
          </w:tcPr>
          <w:p>
            <w:pPr>
              <w:pStyle w:val="TableParagraph"/>
              <w:spacing w:line="178" w:lineRule="exact"/>
              <w:ind w:left="106"/>
              <w:rPr>
                <w:sz w:val="16"/>
              </w:rPr>
            </w:pPr>
            <w:r>
              <w:rPr>
                <w:i/>
                <w:sz w:val="16"/>
              </w:rPr>
              <w:t>Francisella </w:t>
            </w:r>
            <w:r>
              <w:rPr>
                <w:sz w:val="16"/>
              </w:rPr>
              <w:t>sp.</w:t>
            </w:r>
          </w:p>
        </w:tc>
        <w:tc>
          <w:tcPr>
            <w:tcW w:w="2228" w:type="dxa"/>
          </w:tcPr>
          <w:p>
            <w:pPr>
              <w:pStyle w:val="TableParagraph"/>
              <w:spacing w:line="178" w:lineRule="exact"/>
              <w:rPr>
                <w:sz w:val="16"/>
              </w:rPr>
            </w:pPr>
            <w:r>
              <w:rPr>
                <w:sz w:val="16"/>
              </w:rPr>
              <w:t>Tilapia </w:t>
            </w:r>
            <w:r>
              <w:rPr>
                <w:i/>
                <w:sz w:val="16"/>
              </w:rPr>
              <w:t>Oreochromis </w:t>
            </w:r>
            <w:r>
              <w:rPr>
                <w:sz w:val="16"/>
              </w:rPr>
              <w:t>sp.</w:t>
            </w:r>
          </w:p>
        </w:tc>
        <w:tc>
          <w:tcPr>
            <w:tcW w:w="3088" w:type="dxa"/>
          </w:tcPr>
          <w:p>
            <w:pPr>
              <w:pStyle w:val="TableParagraph"/>
              <w:spacing w:line="240" w:lineRule="auto"/>
              <w:ind w:right="101"/>
              <w:jc w:val="both"/>
              <w:rPr>
                <w:sz w:val="16"/>
              </w:rPr>
            </w:pPr>
            <w:r>
              <w:rPr>
                <w:sz w:val="16"/>
              </w:rPr>
              <w:t>Thayer-Martin agar Blood agar, brain– heart</w:t>
            </w:r>
            <w:r>
              <w:rPr>
                <w:spacing w:val="-10"/>
                <w:sz w:val="16"/>
              </w:rPr>
              <w:t> </w:t>
            </w:r>
            <w:r>
              <w:rPr>
                <w:sz w:val="16"/>
              </w:rPr>
              <w:t>infusion</w:t>
            </w:r>
            <w:r>
              <w:rPr>
                <w:spacing w:val="-11"/>
                <w:sz w:val="16"/>
              </w:rPr>
              <w:t> </w:t>
            </w:r>
            <w:r>
              <w:rPr>
                <w:sz w:val="16"/>
              </w:rPr>
              <w:t>agar</w:t>
            </w:r>
            <w:r>
              <w:rPr>
                <w:spacing w:val="-10"/>
                <w:sz w:val="16"/>
              </w:rPr>
              <w:t> </w:t>
            </w:r>
            <w:r>
              <w:rPr>
                <w:sz w:val="16"/>
              </w:rPr>
              <w:t>(containing</w:t>
            </w:r>
            <w:r>
              <w:rPr>
                <w:spacing w:val="-11"/>
                <w:sz w:val="16"/>
              </w:rPr>
              <w:t> </w:t>
            </w:r>
            <w:r>
              <w:rPr>
                <w:sz w:val="16"/>
              </w:rPr>
              <w:t>5%</w:t>
            </w:r>
            <w:r>
              <w:rPr>
                <w:spacing w:val="-15"/>
                <w:sz w:val="16"/>
              </w:rPr>
              <w:t> </w:t>
            </w:r>
            <w:r>
              <w:rPr>
                <w:sz w:val="16"/>
              </w:rPr>
              <w:t>sheep red blood cells) and blood–cysteine– glucose</w:t>
            </w:r>
            <w:r>
              <w:rPr>
                <w:spacing w:val="-10"/>
                <w:sz w:val="16"/>
              </w:rPr>
              <w:t> </w:t>
            </w:r>
            <w:r>
              <w:rPr>
                <w:sz w:val="16"/>
              </w:rPr>
              <w:t>agar</w:t>
            </w:r>
          </w:p>
        </w:tc>
        <w:tc>
          <w:tcPr>
            <w:tcW w:w="1349" w:type="dxa"/>
          </w:tcPr>
          <w:p>
            <w:pPr>
              <w:pStyle w:val="TableParagraph"/>
              <w:spacing w:line="183" w:lineRule="exact"/>
              <w:rPr>
                <w:sz w:val="16"/>
              </w:rPr>
            </w:pPr>
            <w:r>
              <w:rPr>
                <w:sz w:val="16"/>
              </w:rPr>
              <w:t>Hsieh et al.</w:t>
            </w:r>
          </w:p>
        </w:tc>
      </w:tr>
      <w:tr>
        <w:trPr>
          <w:trHeight w:val="682" w:hRule="exact"/>
        </w:trPr>
        <w:tc>
          <w:tcPr>
            <w:tcW w:w="2219" w:type="dxa"/>
          </w:tcPr>
          <w:p>
            <w:pPr>
              <w:pStyle w:val="TableParagraph"/>
              <w:spacing w:line="178" w:lineRule="exact"/>
              <w:ind w:left="106"/>
              <w:rPr>
                <w:sz w:val="16"/>
              </w:rPr>
            </w:pPr>
            <w:r>
              <w:rPr>
                <w:i/>
                <w:sz w:val="16"/>
              </w:rPr>
              <w:t>Francisella </w:t>
            </w:r>
            <w:r>
              <w:rPr>
                <w:sz w:val="16"/>
              </w:rPr>
              <w:t>sp.</w:t>
            </w:r>
          </w:p>
        </w:tc>
        <w:tc>
          <w:tcPr>
            <w:tcW w:w="2228" w:type="dxa"/>
          </w:tcPr>
          <w:p>
            <w:pPr>
              <w:pStyle w:val="TableParagraph"/>
              <w:spacing w:line="178" w:lineRule="exact"/>
              <w:rPr>
                <w:sz w:val="16"/>
              </w:rPr>
            </w:pPr>
            <w:r>
              <w:rPr>
                <w:sz w:val="16"/>
              </w:rPr>
              <w:t>Tilapia </w:t>
            </w:r>
            <w:r>
              <w:rPr>
                <w:i/>
                <w:sz w:val="16"/>
              </w:rPr>
              <w:t>Oreochromis </w:t>
            </w:r>
            <w:r>
              <w:rPr>
                <w:sz w:val="16"/>
              </w:rPr>
              <w:t>sp.</w:t>
            </w:r>
          </w:p>
        </w:tc>
        <w:tc>
          <w:tcPr>
            <w:tcW w:w="3088" w:type="dxa"/>
          </w:tcPr>
          <w:p>
            <w:pPr>
              <w:pStyle w:val="TableParagraph"/>
              <w:spacing w:line="240" w:lineRule="auto"/>
              <w:ind w:right="98"/>
              <w:jc w:val="both"/>
              <w:rPr>
                <w:sz w:val="16"/>
              </w:rPr>
            </w:pPr>
            <w:r>
              <w:rPr>
                <w:sz w:val="16"/>
              </w:rPr>
              <w:t>Modified Mueller–Hinton II cation adjusted broth supplemented with 2% IsoVitaleX and 0.1% glucose (MMH)</w:t>
            </w:r>
          </w:p>
        </w:tc>
        <w:tc>
          <w:tcPr>
            <w:tcW w:w="1349" w:type="dxa"/>
          </w:tcPr>
          <w:p>
            <w:pPr>
              <w:pStyle w:val="TableParagraph"/>
              <w:spacing w:line="183" w:lineRule="exact"/>
              <w:rPr>
                <w:sz w:val="16"/>
              </w:rPr>
            </w:pPr>
            <w:r>
              <w:rPr>
                <w:sz w:val="16"/>
              </w:rPr>
              <w:t>Soto et al.</w:t>
            </w:r>
          </w:p>
        </w:tc>
      </w:tr>
    </w:tbl>
    <w:p>
      <w:pPr>
        <w:spacing w:before="29"/>
        <w:ind w:left="139" w:right="0" w:firstLine="0"/>
        <w:jc w:val="both"/>
        <w:rPr>
          <w:b/>
          <w:i/>
          <w:sz w:val="24"/>
        </w:rPr>
      </w:pPr>
      <w:bookmarkStart w:name="_bookmark33" w:id="55"/>
      <w:bookmarkEnd w:id="55"/>
      <w:r>
        <w:rPr/>
      </w:r>
      <w:r>
        <w:rPr>
          <w:b/>
          <w:color w:val="233E5F"/>
          <w:sz w:val="24"/>
        </w:rPr>
        <w:t>2. 21. 3 Hibridación </w:t>
      </w:r>
      <w:r>
        <w:rPr>
          <w:b/>
          <w:i/>
          <w:color w:val="233E5F"/>
          <w:sz w:val="24"/>
        </w:rPr>
        <w:t>in situ</w:t>
      </w:r>
    </w:p>
    <w:p>
      <w:pPr>
        <w:pStyle w:val="BodyText"/>
        <w:spacing w:line="276" w:lineRule="auto" w:before="46"/>
        <w:ind w:left="139" w:right="153"/>
        <w:jc w:val="both"/>
      </w:pPr>
      <w:r>
        <w:rPr/>
        <w:t>La hibridación </w:t>
      </w:r>
      <w:r>
        <w:rPr>
          <w:i/>
          <w:spacing w:val="-3"/>
        </w:rPr>
        <w:t>in </w:t>
      </w:r>
      <w:r>
        <w:rPr>
          <w:i/>
        </w:rPr>
        <w:t>situ </w:t>
      </w:r>
      <w:r>
        <w:rPr/>
        <w:t>(ISH) utiliza sondas marcadas con digoxigenina (DIG) como marcador</w:t>
      </w:r>
      <w:r>
        <w:rPr>
          <w:spacing w:val="-10"/>
        </w:rPr>
        <w:t> </w:t>
      </w:r>
      <w:r>
        <w:rPr/>
        <w:t>de</w:t>
      </w:r>
      <w:r>
        <w:rPr>
          <w:spacing w:val="-16"/>
        </w:rPr>
        <w:t> </w:t>
      </w:r>
      <w:r>
        <w:rPr/>
        <w:t>los</w:t>
      </w:r>
      <w:r>
        <w:rPr>
          <w:spacing w:val="-16"/>
        </w:rPr>
        <w:t> </w:t>
      </w:r>
      <w:r>
        <w:rPr/>
        <w:t>oligonucleótidos</w:t>
      </w:r>
      <w:r>
        <w:rPr>
          <w:spacing w:val="-16"/>
        </w:rPr>
        <w:t> </w:t>
      </w:r>
      <w:r>
        <w:rPr/>
        <w:t>complementarios</w:t>
      </w:r>
      <w:r>
        <w:rPr>
          <w:spacing w:val="-11"/>
        </w:rPr>
        <w:t> </w:t>
      </w:r>
      <w:r>
        <w:rPr/>
        <w:t>a</w:t>
      </w:r>
      <w:r>
        <w:rPr>
          <w:spacing w:val="-15"/>
        </w:rPr>
        <w:t> </w:t>
      </w:r>
      <w:r>
        <w:rPr/>
        <w:t>sitios</w:t>
      </w:r>
      <w:r>
        <w:rPr>
          <w:spacing w:val="-16"/>
        </w:rPr>
        <w:t> </w:t>
      </w:r>
      <w:r>
        <w:rPr/>
        <w:t>destino</w:t>
      </w:r>
      <w:r>
        <w:rPr>
          <w:spacing w:val="-15"/>
        </w:rPr>
        <w:t> </w:t>
      </w:r>
      <w:r>
        <w:rPr/>
        <w:t>únicos</w:t>
      </w:r>
      <w:r>
        <w:rPr>
          <w:spacing w:val="-16"/>
        </w:rPr>
        <w:t> </w:t>
      </w:r>
      <w:r>
        <w:rPr/>
        <w:t>dentro</w:t>
      </w:r>
      <w:r>
        <w:rPr>
          <w:spacing w:val="-16"/>
        </w:rPr>
        <w:t> </w:t>
      </w:r>
      <w:r>
        <w:rPr/>
        <w:t>del 16s</w:t>
      </w:r>
      <w:r>
        <w:rPr>
          <w:spacing w:val="-11"/>
        </w:rPr>
        <w:t> </w:t>
      </w:r>
      <w:r>
        <w:rPr/>
        <w:t>rRNA</w:t>
      </w:r>
      <w:r>
        <w:rPr>
          <w:spacing w:val="-16"/>
        </w:rPr>
        <w:t> </w:t>
      </w:r>
      <w:r>
        <w:rPr/>
        <w:t>(DNAr).</w:t>
      </w:r>
      <w:r>
        <w:rPr>
          <w:spacing w:val="-15"/>
        </w:rPr>
        <w:t> </w:t>
      </w:r>
      <w:r>
        <w:rPr/>
        <w:t>Es</w:t>
      </w:r>
      <w:r>
        <w:rPr>
          <w:spacing w:val="42"/>
        </w:rPr>
        <w:t> </w:t>
      </w:r>
      <w:r>
        <w:rPr/>
        <w:t>una</w:t>
      </w:r>
      <w:r>
        <w:rPr>
          <w:spacing w:val="-14"/>
        </w:rPr>
        <w:t> </w:t>
      </w:r>
      <w:r>
        <w:rPr/>
        <w:t>técnica</w:t>
      </w:r>
      <w:r>
        <w:rPr>
          <w:spacing w:val="-14"/>
        </w:rPr>
        <w:t> </w:t>
      </w:r>
      <w:r>
        <w:rPr/>
        <w:t>útil</w:t>
      </w:r>
      <w:r>
        <w:rPr>
          <w:spacing w:val="-10"/>
        </w:rPr>
        <w:t> </w:t>
      </w:r>
      <w:r>
        <w:rPr/>
        <w:t>para</w:t>
      </w:r>
      <w:r>
        <w:rPr>
          <w:spacing w:val="-19"/>
        </w:rPr>
        <w:t> </w:t>
      </w:r>
      <w:r>
        <w:rPr/>
        <w:t>la</w:t>
      </w:r>
      <w:r>
        <w:rPr>
          <w:spacing w:val="-14"/>
        </w:rPr>
        <w:t> </w:t>
      </w:r>
      <w:r>
        <w:rPr/>
        <w:t>detección</w:t>
      </w:r>
      <w:r>
        <w:rPr>
          <w:spacing w:val="-14"/>
        </w:rPr>
        <w:t> </w:t>
      </w:r>
      <w:r>
        <w:rPr/>
        <w:t>e</w:t>
      </w:r>
      <w:r>
        <w:rPr>
          <w:spacing w:val="-15"/>
        </w:rPr>
        <w:t> </w:t>
      </w:r>
      <w:r>
        <w:rPr/>
        <w:t>identificación</w:t>
      </w:r>
      <w:r>
        <w:rPr>
          <w:spacing w:val="-14"/>
        </w:rPr>
        <w:t> </w:t>
      </w:r>
      <w:r>
        <w:rPr/>
        <w:t>de</w:t>
      </w:r>
      <w:r>
        <w:rPr>
          <w:spacing w:val="-14"/>
        </w:rPr>
        <w:t> </w:t>
      </w:r>
      <w:r>
        <w:rPr/>
        <w:t>diferentes microorganismos. Estas sondas específicas pueden ser diseñadas para localizar microorganismos que no pueden ser cultivados o visualizados por métodos convencionales, tales como virus, clamidias y </w:t>
      </w:r>
      <w:r>
        <w:rPr>
          <w:i/>
        </w:rPr>
        <w:t>Mycobacterium paratuberculosis</w:t>
      </w:r>
      <w:r>
        <w:rPr/>
        <w:t>. La ISH además de identificar el tipo de agente patógeno, se ha convertido en una herramienta cada vez </w:t>
      </w:r>
      <w:r>
        <w:rPr>
          <w:spacing w:val="-3"/>
        </w:rPr>
        <w:t>más </w:t>
      </w:r>
      <w:r>
        <w:rPr/>
        <w:t>popular para localizar microorganismos patógenos en los tejidos blanco. </w:t>
      </w:r>
      <w:r>
        <w:rPr>
          <w:spacing w:val="-4"/>
        </w:rPr>
        <w:t>El </w:t>
      </w:r>
      <w:r>
        <w:rPr/>
        <w:t>método detecta el sitio de unión de los oligonucleótidos </w:t>
      </w:r>
      <w:r>
        <w:rPr>
          <w:spacing w:val="-4"/>
        </w:rPr>
        <w:t>al </w:t>
      </w:r>
      <w:r>
        <w:rPr/>
        <w:t>tejido,</w:t>
      </w:r>
      <w:r>
        <w:rPr>
          <w:spacing w:val="-16"/>
        </w:rPr>
        <w:t> </w:t>
      </w:r>
      <w:r>
        <w:rPr/>
        <w:t>y</w:t>
      </w:r>
      <w:r>
        <w:rPr>
          <w:spacing w:val="-16"/>
        </w:rPr>
        <w:t> </w:t>
      </w:r>
      <w:r>
        <w:rPr/>
        <w:t>que</w:t>
      </w:r>
      <w:r>
        <w:rPr>
          <w:spacing w:val="-16"/>
        </w:rPr>
        <w:t> </w:t>
      </w:r>
      <w:r>
        <w:rPr/>
        <w:t>posteriormente</w:t>
      </w:r>
      <w:r>
        <w:rPr>
          <w:spacing w:val="-15"/>
        </w:rPr>
        <w:t> </w:t>
      </w:r>
      <w:r>
        <w:rPr/>
        <w:t>se</w:t>
      </w:r>
      <w:r>
        <w:rPr>
          <w:spacing w:val="-16"/>
        </w:rPr>
        <w:t> </w:t>
      </w:r>
      <w:r>
        <w:rPr/>
        <w:t>analizan</w:t>
      </w:r>
      <w:r>
        <w:rPr>
          <w:spacing w:val="-10"/>
        </w:rPr>
        <w:t> </w:t>
      </w:r>
      <w:r>
        <w:rPr/>
        <w:t>utilizando</w:t>
      </w:r>
      <w:r>
        <w:rPr>
          <w:spacing w:val="-16"/>
        </w:rPr>
        <w:t> </w:t>
      </w:r>
      <w:r>
        <w:rPr/>
        <w:t>un</w:t>
      </w:r>
      <w:r>
        <w:rPr>
          <w:spacing w:val="-14"/>
        </w:rPr>
        <w:t> </w:t>
      </w:r>
      <w:r>
        <w:rPr/>
        <w:t>microscopio</w:t>
      </w:r>
      <w:r>
        <w:rPr>
          <w:spacing w:val="-14"/>
        </w:rPr>
        <w:t> </w:t>
      </w:r>
      <w:r>
        <w:rPr/>
        <w:t>con</w:t>
      </w:r>
      <w:r>
        <w:rPr>
          <w:spacing w:val="-20"/>
        </w:rPr>
        <w:t> </w:t>
      </w:r>
      <w:r>
        <w:rPr/>
        <w:t>luminiscencia y no necesariamente se tiene que marcar las sondas radiactivamente (Hsieh </w:t>
      </w:r>
      <w:r>
        <w:rPr>
          <w:i/>
        </w:rPr>
        <w:t>et al</w:t>
      </w:r>
      <w:r>
        <w:rPr/>
        <w:t>., 2007).</w:t>
      </w:r>
    </w:p>
    <w:p>
      <w:pPr>
        <w:pStyle w:val="BodyText"/>
        <w:spacing w:line="276" w:lineRule="auto" w:before="207"/>
        <w:ind w:left="139" w:right="154"/>
        <w:jc w:val="both"/>
      </w:pPr>
      <w:r>
        <w:rPr/>
        <w:t>Este método ha sido realizado en muestras de tejido previamente analizadas por metodos</w:t>
      </w:r>
      <w:r>
        <w:rPr>
          <w:spacing w:val="-15"/>
        </w:rPr>
        <w:t> </w:t>
      </w:r>
      <w:r>
        <w:rPr/>
        <w:t>histológicos,</w:t>
      </w:r>
      <w:r>
        <w:rPr>
          <w:spacing w:val="-16"/>
        </w:rPr>
        <w:t> </w:t>
      </w:r>
      <w:r>
        <w:rPr/>
        <w:t>presentando</w:t>
      </w:r>
      <w:r>
        <w:rPr>
          <w:spacing w:val="-16"/>
        </w:rPr>
        <w:t> </w:t>
      </w:r>
      <w:r>
        <w:rPr/>
        <w:t>grandes</w:t>
      </w:r>
      <w:r>
        <w:rPr>
          <w:spacing w:val="-16"/>
        </w:rPr>
        <w:t> </w:t>
      </w:r>
      <w:r>
        <w:rPr/>
        <w:t>ventajas;</w:t>
      </w:r>
      <w:r>
        <w:rPr>
          <w:spacing w:val="-16"/>
        </w:rPr>
        <w:t> </w:t>
      </w:r>
      <w:r>
        <w:rPr/>
        <w:t>así</w:t>
      </w:r>
      <w:r>
        <w:rPr>
          <w:spacing w:val="-16"/>
        </w:rPr>
        <w:t> </w:t>
      </w:r>
      <w:r>
        <w:rPr/>
        <w:t>como</w:t>
      </w:r>
      <w:r>
        <w:rPr>
          <w:spacing w:val="-16"/>
        </w:rPr>
        <w:t> </w:t>
      </w:r>
      <w:r>
        <w:rPr/>
        <w:t>una</w:t>
      </w:r>
      <w:r>
        <w:rPr>
          <w:spacing w:val="-16"/>
        </w:rPr>
        <w:t> </w:t>
      </w:r>
      <w:r>
        <w:rPr/>
        <w:t>alta</w:t>
      </w:r>
      <w:r>
        <w:rPr>
          <w:spacing w:val="-15"/>
        </w:rPr>
        <w:t> </w:t>
      </w:r>
      <w:r>
        <w:rPr/>
        <w:t>sensibilidad y</w:t>
      </w:r>
      <w:r>
        <w:rPr>
          <w:spacing w:val="-13"/>
        </w:rPr>
        <w:t> </w:t>
      </w:r>
      <w:r>
        <w:rPr/>
        <w:t>puede</w:t>
      </w:r>
      <w:r>
        <w:rPr>
          <w:spacing w:val="-12"/>
        </w:rPr>
        <w:t> </w:t>
      </w:r>
      <w:r>
        <w:rPr/>
        <w:t>ser</w:t>
      </w:r>
      <w:r>
        <w:rPr>
          <w:spacing w:val="-11"/>
        </w:rPr>
        <w:t> </w:t>
      </w:r>
      <w:r>
        <w:rPr/>
        <w:t>una</w:t>
      </w:r>
      <w:r>
        <w:rPr>
          <w:spacing w:val="-12"/>
        </w:rPr>
        <w:t> </w:t>
      </w:r>
      <w:r>
        <w:rPr/>
        <w:t>buena</w:t>
      </w:r>
      <w:r>
        <w:rPr>
          <w:spacing w:val="-12"/>
        </w:rPr>
        <w:t> </w:t>
      </w:r>
      <w:r>
        <w:rPr/>
        <w:t>opción</w:t>
      </w:r>
      <w:r>
        <w:rPr>
          <w:spacing w:val="-12"/>
        </w:rPr>
        <w:t> </w:t>
      </w:r>
      <w:r>
        <w:rPr/>
        <w:t>para</w:t>
      </w:r>
      <w:r>
        <w:rPr>
          <w:spacing w:val="-12"/>
        </w:rPr>
        <w:t> </w:t>
      </w:r>
      <w:r>
        <w:rPr/>
        <w:t>el</w:t>
      </w:r>
      <w:r>
        <w:rPr>
          <w:spacing w:val="-8"/>
        </w:rPr>
        <w:t> </w:t>
      </w:r>
      <w:r>
        <w:rPr/>
        <w:t>diagnóstico</w:t>
      </w:r>
      <w:r>
        <w:rPr>
          <w:spacing w:val="-12"/>
        </w:rPr>
        <w:t> </w:t>
      </w:r>
      <w:r>
        <w:rPr/>
        <w:t>de</w:t>
      </w:r>
      <w:r>
        <w:rPr>
          <w:spacing w:val="-7"/>
        </w:rPr>
        <w:t> </w:t>
      </w:r>
      <w:r>
        <w:rPr>
          <w:i/>
        </w:rPr>
        <w:t>Francisella</w:t>
      </w:r>
      <w:r>
        <w:rPr>
          <w:i/>
          <w:spacing w:val="-10"/>
        </w:rPr>
        <w:t> </w:t>
      </w:r>
      <w:r>
        <w:rPr/>
        <w:t>sp.</w:t>
      </w:r>
      <w:r>
        <w:rPr>
          <w:spacing w:val="-11"/>
        </w:rPr>
        <w:t> </w:t>
      </w:r>
      <w:r>
        <w:rPr/>
        <w:t>si</w:t>
      </w:r>
      <w:r>
        <w:rPr>
          <w:spacing w:val="-8"/>
        </w:rPr>
        <w:t> </w:t>
      </w:r>
      <w:r>
        <w:rPr/>
        <w:t>se</w:t>
      </w:r>
      <w:r>
        <w:rPr>
          <w:spacing w:val="-12"/>
        </w:rPr>
        <w:t> </w:t>
      </w:r>
      <w:r>
        <w:rPr/>
        <w:t>utiliza</w:t>
      </w:r>
      <w:r>
        <w:rPr>
          <w:spacing w:val="-12"/>
        </w:rPr>
        <w:t> </w:t>
      </w:r>
      <w:r>
        <w:rPr/>
        <w:t>una sonda que se una a la secuencia especifica del gen 16S rRNA, así como a la secuencia del ADN genómico de la bacteria (Hsieh </w:t>
      </w:r>
      <w:r>
        <w:rPr>
          <w:i/>
        </w:rPr>
        <w:t>et al</w:t>
      </w:r>
      <w:r>
        <w:rPr/>
        <w:t>.,</w:t>
      </w:r>
      <w:r>
        <w:rPr>
          <w:spacing w:val="-15"/>
        </w:rPr>
        <w:t> </w:t>
      </w:r>
      <w:r>
        <w:rPr/>
        <w:t>2007).</w:t>
      </w:r>
    </w:p>
    <w:p>
      <w:pPr>
        <w:pStyle w:val="Heading1"/>
        <w:spacing w:before="197"/>
      </w:pPr>
      <w:bookmarkStart w:name="_bookmark34" w:id="56"/>
      <w:bookmarkEnd w:id="56"/>
      <w:r>
        <w:rPr>
          <w:b w:val="0"/>
        </w:rPr>
      </w:r>
      <w:r>
        <w:rPr>
          <w:color w:val="233E5F"/>
        </w:rPr>
        <w:t>2. 21. 4 PCR</w:t>
      </w:r>
    </w:p>
    <w:p>
      <w:pPr>
        <w:pStyle w:val="BodyText"/>
        <w:spacing w:line="276" w:lineRule="auto" w:before="50"/>
        <w:ind w:left="139" w:right="154"/>
        <w:jc w:val="both"/>
      </w:pPr>
      <w:r>
        <w:rPr/>
        <w:t>La estrecha relación que existe entre los miembros del género </w:t>
      </w:r>
      <w:r>
        <w:rPr>
          <w:i/>
        </w:rPr>
        <w:t>Francisella </w:t>
      </w:r>
      <w:r>
        <w:rPr/>
        <w:t>sp. patógenos para los peces y la gran similitud con </w:t>
      </w:r>
      <w:r>
        <w:rPr>
          <w:i/>
        </w:rPr>
        <w:t>F. philomiragia </w:t>
      </w:r>
      <w:r>
        <w:rPr/>
        <w:t>ha ocasionado el desarrollo de pruebas de PCR específicas para determinar las subespecies involucradas. En los últimos años se han desarrollado varias pruebas de PCR </w:t>
      </w:r>
      <w:r>
        <w:rPr>
          <w:spacing w:val="-3"/>
        </w:rPr>
        <w:t>más </w:t>
      </w:r>
      <w:r>
        <w:rPr/>
        <w:t>específicos</w:t>
      </w:r>
      <w:r>
        <w:rPr>
          <w:spacing w:val="-7"/>
        </w:rPr>
        <w:t> </w:t>
      </w:r>
      <w:r>
        <w:rPr/>
        <w:t>para</w:t>
      </w:r>
      <w:r>
        <w:rPr>
          <w:spacing w:val="-11"/>
        </w:rPr>
        <w:t> </w:t>
      </w:r>
      <w:r>
        <w:rPr/>
        <w:t>la</w:t>
      </w:r>
      <w:r>
        <w:rPr>
          <w:spacing w:val="-6"/>
        </w:rPr>
        <w:t> </w:t>
      </w:r>
      <w:r>
        <w:rPr/>
        <w:t>detección</w:t>
      </w:r>
      <w:r>
        <w:rPr>
          <w:spacing w:val="-6"/>
        </w:rPr>
        <w:t> </w:t>
      </w:r>
      <w:r>
        <w:rPr/>
        <w:t>de</w:t>
      </w:r>
      <w:r>
        <w:rPr>
          <w:spacing w:val="-6"/>
        </w:rPr>
        <w:t> </w:t>
      </w:r>
      <w:r>
        <w:rPr/>
        <w:t>miembros</w:t>
      </w:r>
      <w:r>
        <w:rPr>
          <w:spacing w:val="-7"/>
        </w:rPr>
        <w:t> </w:t>
      </w:r>
      <w:r>
        <w:rPr/>
        <w:t>del</w:t>
      </w:r>
      <w:r>
        <w:rPr>
          <w:spacing w:val="-7"/>
        </w:rPr>
        <w:t> </w:t>
      </w:r>
      <w:r>
        <w:rPr/>
        <w:t>género</w:t>
      </w:r>
      <w:r>
        <w:rPr>
          <w:spacing w:val="-2"/>
        </w:rPr>
        <w:t> </w:t>
      </w:r>
      <w:r>
        <w:rPr>
          <w:i/>
        </w:rPr>
        <w:t>Francisella</w:t>
      </w:r>
      <w:r>
        <w:rPr>
          <w:i/>
          <w:spacing w:val="-4"/>
        </w:rPr>
        <w:t> </w:t>
      </w:r>
      <w:r>
        <w:rPr/>
        <w:t>sp.</w:t>
      </w:r>
      <w:r>
        <w:rPr>
          <w:spacing w:val="-6"/>
        </w:rPr>
        <w:t> </w:t>
      </w:r>
      <w:r>
        <w:rPr/>
        <w:t>que</w:t>
      </w:r>
      <w:r>
        <w:rPr>
          <w:spacing w:val="-6"/>
        </w:rPr>
        <w:t> </w:t>
      </w:r>
      <w:r>
        <w:rPr/>
        <w:t>afectan</w:t>
      </w:r>
      <w:r>
        <w:rPr>
          <w:spacing w:val="-6"/>
        </w:rPr>
        <w:t> </w:t>
      </w:r>
      <w:r>
        <w:rPr/>
        <w:t>a peces. Las investigaciones realizadas durante las décadas pasadas describen ensayos de PCR convencional y en </w:t>
      </w:r>
      <w:r>
        <w:rPr>
          <w:spacing w:val="-3"/>
        </w:rPr>
        <w:t>su </w:t>
      </w:r>
      <w:r>
        <w:rPr/>
        <w:t>mayoría PCR en tiempo real (qPCR) en los que</w:t>
      </w:r>
      <w:r>
        <w:rPr>
          <w:spacing w:val="-11"/>
        </w:rPr>
        <w:t> </w:t>
      </w:r>
      <w:r>
        <w:rPr/>
        <w:t>se</w:t>
      </w:r>
      <w:r>
        <w:rPr>
          <w:spacing w:val="-11"/>
        </w:rPr>
        <w:t> </w:t>
      </w:r>
      <w:r>
        <w:rPr/>
        <w:t>ha</w:t>
      </w:r>
      <w:r>
        <w:rPr>
          <w:spacing w:val="-11"/>
        </w:rPr>
        <w:t> </w:t>
      </w:r>
      <w:r>
        <w:rPr/>
        <w:t>amplificado</w:t>
      </w:r>
      <w:r>
        <w:rPr>
          <w:spacing w:val="-8"/>
        </w:rPr>
        <w:t> </w:t>
      </w:r>
      <w:r>
        <w:rPr/>
        <w:t>el</w:t>
      </w:r>
      <w:r>
        <w:rPr>
          <w:spacing w:val="-12"/>
        </w:rPr>
        <w:t> </w:t>
      </w:r>
      <w:r>
        <w:rPr/>
        <w:t>gene</w:t>
      </w:r>
      <w:r>
        <w:rPr>
          <w:spacing w:val="-16"/>
        </w:rPr>
        <w:t> </w:t>
      </w:r>
      <w:r>
        <w:rPr/>
        <w:t>16S</w:t>
      </w:r>
      <w:r>
        <w:rPr>
          <w:spacing w:val="-13"/>
        </w:rPr>
        <w:t> </w:t>
      </w:r>
      <w:r>
        <w:rPr/>
        <w:t>rRNA</w:t>
      </w:r>
      <w:r>
        <w:rPr>
          <w:spacing w:val="-11"/>
        </w:rPr>
        <w:t> </w:t>
      </w:r>
      <w:r>
        <w:rPr/>
        <w:t>para</w:t>
      </w:r>
      <w:r>
        <w:rPr>
          <w:spacing w:val="-16"/>
        </w:rPr>
        <w:t> </w:t>
      </w:r>
      <w:r>
        <w:rPr/>
        <w:t>la</w:t>
      </w:r>
      <w:r>
        <w:rPr>
          <w:spacing w:val="-11"/>
        </w:rPr>
        <w:t> </w:t>
      </w:r>
      <w:r>
        <w:rPr/>
        <w:t>detección</w:t>
      </w:r>
      <w:r>
        <w:rPr>
          <w:spacing w:val="-14"/>
        </w:rPr>
        <w:t> </w:t>
      </w:r>
      <w:r>
        <w:rPr/>
        <w:t>de</w:t>
      </w:r>
      <w:r>
        <w:rPr>
          <w:spacing w:val="-15"/>
        </w:rPr>
        <w:t> </w:t>
      </w:r>
      <w:r>
        <w:rPr>
          <w:i/>
        </w:rPr>
        <w:t>F.</w:t>
      </w:r>
      <w:r>
        <w:rPr>
          <w:i/>
          <w:spacing w:val="-11"/>
        </w:rPr>
        <w:t> </w:t>
      </w:r>
      <w:r>
        <w:rPr>
          <w:i/>
        </w:rPr>
        <w:t>noatunensis</w:t>
      </w:r>
      <w:r>
        <w:rPr>
          <w:i/>
          <w:spacing w:val="-10"/>
        </w:rPr>
        <w:t> </w:t>
      </w:r>
      <w:r>
        <w:rPr/>
        <w:t>subsp.</w:t>
      </w:r>
    </w:p>
    <w:p>
      <w:pPr>
        <w:spacing w:after="0" w:line="276" w:lineRule="auto"/>
        <w:jc w:val="both"/>
        <w:sectPr>
          <w:pgSz w:w="12240" w:h="15840"/>
          <w:pgMar w:header="752" w:footer="998" w:top="1000" w:bottom="1180" w:left="1560" w:right="1540"/>
        </w:sectPr>
      </w:pPr>
    </w:p>
    <w:p>
      <w:pPr>
        <w:pStyle w:val="BodyText"/>
        <w:rPr>
          <w:sz w:val="29"/>
        </w:rPr>
      </w:pPr>
    </w:p>
    <w:p>
      <w:pPr>
        <w:pStyle w:val="BodyText"/>
        <w:spacing w:line="276" w:lineRule="auto" w:before="70"/>
        <w:ind w:left="139" w:right="133"/>
        <w:jc w:val="both"/>
      </w:pPr>
      <w:r>
        <w:rPr>
          <w:i/>
        </w:rPr>
        <w:t>noatunensis </w:t>
      </w:r>
      <w:r>
        <w:rPr/>
        <w:t>y FNO (Figura 8) y proteínas de la membrana externa que pueden llegar</w:t>
      </w:r>
      <w:r>
        <w:rPr>
          <w:spacing w:val="-6"/>
        </w:rPr>
        <w:t> </w:t>
      </w:r>
      <w:r>
        <w:rPr/>
        <w:t>a</w:t>
      </w:r>
      <w:r>
        <w:rPr>
          <w:spacing w:val="-7"/>
        </w:rPr>
        <w:t> </w:t>
      </w:r>
      <w:r>
        <w:rPr/>
        <w:t>ser</w:t>
      </w:r>
      <w:r>
        <w:rPr>
          <w:spacing w:val="-6"/>
        </w:rPr>
        <w:t> </w:t>
      </w:r>
      <w:r>
        <w:rPr/>
        <w:t>antigénicas</w:t>
      </w:r>
      <w:r>
        <w:rPr>
          <w:spacing w:val="-8"/>
        </w:rPr>
        <w:t> </w:t>
      </w:r>
      <w:r>
        <w:rPr/>
        <w:t>como</w:t>
      </w:r>
      <w:r>
        <w:rPr>
          <w:spacing w:val="-2"/>
        </w:rPr>
        <w:t> </w:t>
      </w:r>
      <w:r>
        <w:rPr/>
        <w:t>la</w:t>
      </w:r>
      <w:r>
        <w:rPr>
          <w:spacing w:val="-7"/>
        </w:rPr>
        <w:t> </w:t>
      </w:r>
      <w:r>
        <w:rPr/>
        <w:t>proteína</w:t>
      </w:r>
      <w:r>
        <w:rPr>
          <w:spacing w:val="-5"/>
        </w:rPr>
        <w:t> </w:t>
      </w:r>
      <w:r>
        <w:rPr/>
        <w:t>FopA</w:t>
      </w:r>
      <w:r>
        <w:rPr>
          <w:spacing w:val="-9"/>
        </w:rPr>
        <w:t> </w:t>
      </w:r>
      <w:r>
        <w:rPr/>
        <w:t>(detección</w:t>
      </w:r>
      <w:r>
        <w:rPr>
          <w:spacing w:val="-7"/>
        </w:rPr>
        <w:t> </w:t>
      </w:r>
      <w:r>
        <w:rPr/>
        <w:t>de</w:t>
      </w:r>
      <w:r>
        <w:rPr>
          <w:spacing w:val="-8"/>
        </w:rPr>
        <w:t> </w:t>
      </w:r>
      <w:r>
        <w:rPr>
          <w:i/>
        </w:rPr>
        <w:t>F.</w:t>
      </w:r>
      <w:r>
        <w:rPr>
          <w:i/>
          <w:spacing w:val="-7"/>
        </w:rPr>
        <w:t> </w:t>
      </w:r>
      <w:r>
        <w:rPr>
          <w:i/>
        </w:rPr>
        <w:t>noatunensis</w:t>
      </w:r>
      <w:r>
        <w:rPr>
          <w:i/>
          <w:spacing w:val="-5"/>
        </w:rPr>
        <w:t> </w:t>
      </w:r>
      <w:r>
        <w:rPr/>
        <w:t>subsp. </w:t>
      </w:r>
      <w:r>
        <w:rPr>
          <w:i/>
        </w:rPr>
        <w:t>noatunensis y F. philomiragia</w:t>
      </w:r>
      <w:r>
        <w:rPr/>
        <w:t>) mismas que se han utilizado para la detección específica de cualquier patógeno de peces aumentando la especificidad cuando estos ensayos son utilizados conjuntamente (Berrada y Telford, 2010; Forsman </w:t>
      </w:r>
      <w:r>
        <w:rPr>
          <w:i/>
        </w:rPr>
        <w:t>et </w:t>
      </w:r>
      <w:r>
        <w:rPr>
          <w:i/>
        </w:rPr>
        <w:t>al</w:t>
      </w:r>
      <w:r>
        <w:rPr/>
        <w:t>.,</w:t>
      </w:r>
      <w:r>
        <w:rPr>
          <w:spacing w:val="-3"/>
        </w:rPr>
        <w:t> </w:t>
      </w:r>
      <w:r>
        <w:rPr/>
        <w:t>1994).</w:t>
      </w:r>
    </w:p>
    <w:p>
      <w:pPr>
        <w:pStyle w:val="BodyText"/>
        <w:spacing w:before="10"/>
        <w:rPr>
          <w:sz w:val="14"/>
        </w:rPr>
      </w:pPr>
      <w:r>
        <w:rPr/>
        <w:drawing>
          <wp:anchor distT="0" distB="0" distL="0" distR="0" allowOverlap="1" layoutInCell="1" locked="0" behindDoc="0" simplePos="0" relativeHeight="1360">
            <wp:simplePos x="0" y="0"/>
            <wp:positionH relativeFrom="page">
              <wp:posOffset>1078991</wp:posOffset>
            </wp:positionH>
            <wp:positionV relativeFrom="paragraph">
              <wp:posOffset>133567</wp:posOffset>
            </wp:positionV>
            <wp:extent cx="5212805" cy="2100072"/>
            <wp:effectExtent l="0" t="0" r="0" b="0"/>
            <wp:wrapTopAndBottom/>
            <wp:docPr id="13" name="image12.jpeg" descr=""/>
            <wp:cNvGraphicFramePr>
              <a:graphicFrameLocks noChangeAspect="1"/>
            </wp:cNvGraphicFramePr>
            <a:graphic>
              <a:graphicData uri="http://schemas.openxmlformats.org/drawingml/2006/picture">
                <pic:pic>
                  <pic:nvPicPr>
                    <pic:cNvPr id="14" name="image12.jpeg"/>
                    <pic:cNvPicPr/>
                  </pic:nvPicPr>
                  <pic:blipFill>
                    <a:blip r:embed="rId25" cstate="print"/>
                    <a:stretch>
                      <a:fillRect/>
                    </a:stretch>
                  </pic:blipFill>
                  <pic:spPr>
                    <a:xfrm>
                      <a:off x="0" y="0"/>
                      <a:ext cx="5212805" cy="2100072"/>
                    </a:xfrm>
                    <a:prstGeom prst="rect">
                      <a:avLst/>
                    </a:prstGeom>
                  </pic:spPr>
                </pic:pic>
              </a:graphicData>
            </a:graphic>
          </wp:anchor>
        </w:drawing>
      </w:r>
    </w:p>
    <w:p>
      <w:pPr>
        <w:pStyle w:val="BodyText"/>
        <w:spacing w:before="2"/>
        <w:rPr>
          <w:sz w:val="20"/>
        </w:rPr>
      </w:pPr>
    </w:p>
    <w:p>
      <w:pPr>
        <w:pStyle w:val="BodyText"/>
        <w:spacing w:line="273" w:lineRule="auto"/>
        <w:ind w:left="139" w:right="137"/>
        <w:jc w:val="both"/>
      </w:pPr>
      <w:r>
        <w:rPr/>
        <w:t>Figura</w:t>
      </w:r>
      <w:r>
        <w:rPr>
          <w:spacing w:val="-11"/>
        </w:rPr>
        <w:t> </w:t>
      </w:r>
      <w:r>
        <w:rPr/>
        <w:t>8:</w:t>
      </w:r>
      <w:r>
        <w:rPr>
          <w:spacing w:val="-5"/>
        </w:rPr>
        <w:t> </w:t>
      </w:r>
      <w:r>
        <w:rPr/>
        <w:t>Producto</w:t>
      </w:r>
      <w:r>
        <w:rPr>
          <w:spacing w:val="-10"/>
        </w:rPr>
        <w:t> </w:t>
      </w:r>
      <w:r>
        <w:rPr/>
        <w:t>de</w:t>
      </w:r>
      <w:r>
        <w:rPr>
          <w:spacing w:val="-4"/>
        </w:rPr>
        <w:t> </w:t>
      </w:r>
      <w:r>
        <w:rPr/>
        <w:t>PCR</w:t>
      </w:r>
      <w:r>
        <w:rPr>
          <w:spacing w:val="-13"/>
        </w:rPr>
        <w:t> </w:t>
      </w:r>
      <w:r>
        <w:rPr/>
        <w:t>utilizando</w:t>
      </w:r>
      <w:r>
        <w:rPr>
          <w:spacing w:val="-11"/>
        </w:rPr>
        <w:t> </w:t>
      </w:r>
      <w:r>
        <w:rPr/>
        <w:t>los</w:t>
      </w:r>
      <w:r>
        <w:rPr>
          <w:spacing w:val="-11"/>
        </w:rPr>
        <w:t> </w:t>
      </w:r>
      <w:r>
        <w:rPr/>
        <w:t>iniciadores</w:t>
      </w:r>
      <w:r>
        <w:rPr>
          <w:spacing w:val="-7"/>
        </w:rPr>
        <w:t> </w:t>
      </w:r>
      <w:r>
        <w:rPr/>
        <w:t>F5</w:t>
      </w:r>
      <w:r>
        <w:rPr>
          <w:spacing w:val="-6"/>
        </w:rPr>
        <w:t> </w:t>
      </w:r>
      <w:r>
        <w:rPr/>
        <w:t>y</w:t>
      </w:r>
      <w:r>
        <w:rPr>
          <w:spacing w:val="-12"/>
        </w:rPr>
        <w:t> </w:t>
      </w:r>
      <w:r>
        <w:rPr/>
        <w:t>F11</w:t>
      </w:r>
      <w:r>
        <w:rPr>
          <w:spacing w:val="-6"/>
        </w:rPr>
        <w:t> </w:t>
      </w:r>
      <w:r>
        <w:rPr/>
        <w:t>para</w:t>
      </w:r>
      <w:r>
        <w:rPr>
          <w:spacing w:val="-11"/>
        </w:rPr>
        <w:t> </w:t>
      </w:r>
      <w:r>
        <w:rPr/>
        <w:t>amplificar</w:t>
      </w:r>
      <w:r>
        <w:rPr>
          <w:spacing w:val="-10"/>
        </w:rPr>
        <w:t> </w:t>
      </w:r>
      <w:r>
        <w:rPr/>
        <w:t>el</w:t>
      </w:r>
      <w:r>
        <w:rPr>
          <w:spacing w:val="-7"/>
        </w:rPr>
        <w:t> </w:t>
      </w:r>
      <w:r>
        <w:rPr/>
        <w:t>gen 16s</w:t>
      </w:r>
      <w:r>
        <w:rPr>
          <w:spacing w:val="-7"/>
        </w:rPr>
        <w:t> </w:t>
      </w:r>
      <w:r>
        <w:rPr/>
        <w:t>de</w:t>
      </w:r>
      <w:r>
        <w:rPr>
          <w:spacing w:val="-5"/>
        </w:rPr>
        <w:t> </w:t>
      </w:r>
      <w:r>
        <w:rPr>
          <w:i/>
        </w:rPr>
        <w:t>Francisella</w:t>
      </w:r>
      <w:r>
        <w:rPr>
          <w:i/>
          <w:spacing w:val="-4"/>
        </w:rPr>
        <w:t> </w:t>
      </w:r>
      <w:r>
        <w:rPr/>
        <w:t>sp.</w:t>
      </w:r>
      <w:r>
        <w:rPr>
          <w:spacing w:val="-6"/>
        </w:rPr>
        <w:t> </w:t>
      </w:r>
      <w:r>
        <w:rPr/>
        <w:t>en</w:t>
      </w:r>
      <w:r>
        <w:rPr>
          <w:spacing w:val="-6"/>
        </w:rPr>
        <w:t> </w:t>
      </w:r>
      <w:r>
        <w:rPr/>
        <w:t>gel</w:t>
      </w:r>
      <w:r>
        <w:rPr>
          <w:spacing w:val="-3"/>
        </w:rPr>
        <w:t> </w:t>
      </w:r>
      <w:r>
        <w:rPr/>
        <w:t>de</w:t>
      </w:r>
      <w:r>
        <w:rPr>
          <w:spacing w:val="-6"/>
        </w:rPr>
        <w:t> </w:t>
      </w:r>
      <w:r>
        <w:rPr/>
        <w:t>agarosa</w:t>
      </w:r>
      <w:r>
        <w:rPr>
          <w:spacing w:val="-6"/>
        </w:rPr>
        <w:t> </w:t>
      </w:r>
      <w:r>
        <w:rPr/>
        <w:t>y</w:t>
      </w:r>
      <w:r>
        <w:rPr>
          <w:spacing w:val="-12"/>
        </w:rPr>
        <w:t> </w:t>
      </w:r>
      <w:r>
        <w:rPr/>
        <w:t>teñido</w:t>
      </w:r>
      <w:r>
        <w:rPr>
          <w:spacing w:val="-6"/>
        </w:rPr>
        <w:t> </w:t>
      </w:r>
      <w:r>
        <w:rPr/>
        <w:t>con</w:t>
      </w:r>
      <w:r>
        <w:rPr>
          <w:spacing w:val="-6"/>
        </w:rPr>
        <w:t> </w:t>
      </w:r>
      <w:r>
        <w:rPr/>
        <w:t>bromuro</w:t>
      </w:r>
      <w:r>
        <w:rPr>
          <w:spacing w:val="-6"/>
        </w:rPr>
        <w:t> </w:t>
      </w:r>
      <w:r>
        <w:rPr/>
        <w:t>de</w:t>
      </w:r>
      <w:r>
        <w:rPr>
          <w:spacing w:val="-6"/>
        </w:rPr>
        <w:t> </w:t>
      </w:r>
      <w:r>
        <w:rPr/>
        <w:t>etidio</w:t>
      </w:r>
      <w:r>
        <w:rPr>
          <w:spacing w:val="-10"/>
        </w:rPr>
        <w:t> </w:t>
      </w:r>
      <w:r>
        <w:rPr/>
        <w:t>(tomado</w:t>
      </w:r>
      <w:r>
        <w:rPr>
          <w:spacing w:val="-6"/>
        </w:rPr>
        <w:t> </w:t>
      </w:r>
      <w:r>
        <w:rPr/>
        <w:t>de Analysis</w:t>
      </w:r>
      <w:r>
        <w:rPr>
          <w:spacing w:val="-8"/>
        </w:rPr>
        <w:t> </w:t>
      </w:r>
      <w:r>
        <w:rPr/>
        <w:t>of</w:t>
      </w:r>
      <w:r>
        <w:rPr>
          <w:spacing w:val="-7"/>
        </w:rPr>
        <w:t> </w:t>
      </w:r>
      <w:r>
        <w:rPr/>
        <w:t>16s</w:t>
      </w:r>
      <w:r>
        <w:rPr>
          <w:spacing w:val="-8"/>
        </w:rPr>
        <w:t> </w:t>
      </w:r>
      <w:r>
        <w:rPr/>
        <w:t>Ribosomal</w:t>
      </w:r>
      <w:r>
        <w:rPr>
          <w:spacing w:val="-4"/>
        </w:rPr>
        <w:t> </w:t>
      </w:r>
      <w:r>
        <w:rPr/>
        <w:t>DNA</w:t>
      </w:r>
      <w:r>
        <w:rPr>
          <w:spacing w:val="-9"/>
        </w:rPr>
        <w:t> </w:t>
      </w:r>
      <w:r>
        <w:rPr/>
        <w:t>Sequences</w:t>
      </w:r>
      <w:r>
        <w:rPr>
          <w:spacing w:val="-8"/>
        </w:rPr>
        <w:t> </w:t>
      </w:r>
      <w:r>
        <w:rPr/>
        <w:t>of</w:t>
      </w:r>
      <w:r>
        <w:rPr>
          <w:spacing w:val="-10"/>
        </w:rPr>
        <w:t> </w:t>
      </w:r>
      <w:r>
        <w:rPr>
          <w:i/>
        </w:rPr>
        <w:t>Francisella</w:t>
      </w:r>
      <w:r>
        <w:rPr>
          <w:i/>
          <w:spacing w:val="-5"/>
        </w:rPr>
        <w:t> </w:t>
      </w:r>
      <w:r>
        <w:rPr/>
        <w:t>Strains</w:t>
      </w:r>
      <w:r>
        <w:rPr>
          <w:spacing w:val="-7"/>
        </w:rPr>
        <w:t> </w:t>
      </w:r>
      <w:r>
        <w:rPr/>
        <w:t>and</w:t>
      </w:r>
      <w:r>
        <w:rPr>
          <w:spacing w:val="-7"/>
        </w:rPr>
        <w:t> </w:t>
      </w:r>
      <w:r>
        <w:rPr/>
        <w:t>Utilization</w:t>
      </w:r>
      <w:r>
        <w:rPr>
          <w:spacing w:val="-7"/>
        </w:rPr>
        <w:t> </w:t>
      </w:r>
      <w:r>
        <w:rPr/>
        <w:t>for Determination of the Phylogeny of the Genus and for Identification of Strains by PCR, Forsman </w:t>
      </w:r>
      <w:r>
        <w:rPr>
          <w:i/>
        </w:rPr>
        <w:t>et al</w:t>
      </w:r>
      <w:r>
        <w:rPr/>
        <w:t>.,</w:t>
      </w:r>
      <w:r>
        <w:rPr>
          <w:spacing w:val="-9"/>
        </w:rPr>
        <w:t> </w:t>
      </w:r>
      <w:r>
        <w:rPr/>
        <w:t>1994).</w:t>
      </w:r>
    </w:p>
    <w:p>
      <w:pPr>
        <w:pStyle w:val="BodyText"/>
        <w:spacing w:line="276" w:lineRule="auto" w:before="209"/>
        <w:ind w:left="139" w:right="133"/>
        <w:jc w:val="both"/>
      </w:pPr>
      <w:r>
        <w:rPr/>
        <w:t>Se han desarrollado ensayos de PCR </w:t>
      </w:r>
      <w:r>
        <w:rPr>
          <w:spacing w:val="-3"/>
        </w:rPr>
        <w:t>tiempo </w:t>
      </w:r>
      <w:r>
        <w:rPr/>
        <w:t>real para amplificar genes de supervivencia intracelular, de sitios dentro del gen que contienen mutaciones específicas para cada una de las diferentes subespecies de </w:t>
      </w:r>
      <w:r>
        <w:rPr>
          <w:i/>
        </w:rPr>
        <w:t>Francisella </w:t>
      </w:r>
      <w:r>
        <w:rPr/>
        <w:t>patógenos de los peces, al respecto se puede mencionar la detección específica de </w:t>
      </w:r>
      <w:r>
        <w:rPr>
          <w:i/>
        </w:rPr>
        <w:t>F. </w:t>
      </w:r>
      <w:r>
        <w:rPr>
          <w:i/>
        </w:rPr>
        <w:t>noatunensis subsp. noatunensis </w:t>
      </w:r>
      <w:r>
        <w:rPr/>
        <w:t>por medio de amplificación del gen groEL descrito por Caipang </w:t>
      </w:r>
      <w:r>
        <w:rPr>
          <w:i/>
        </w:rPr>
        <w:t>et al</w:t>
      </w:r>
      <w:r>
        <w:rPr/>
        <w:t>., (2010) y también los ensayos para la amplificación del gen de crecimiento</w:t>
      </w:r>
      <w:r>
        <w:rPr>
          <w:spacing w:val="-15"/>
        </w:rPr>
        <w:t> </w:t>
      </w:r>
      <w:r>
        <w:rPr/>
        <w:t>intracelular</w:t>
      </w:r>
      <w:r>
        <w:rPr>
          <w:spacing w:val="-5"/>
        </w:rPr>
        <w:t> </w:t>
      </w:r>
      <w:r>
        <w:rPr/>
        <w:t>el</w:t>
      </w:r>
      <w:r>
        <w:rPr>
          <w:spacing w:val="-7"/>
        </w:rPr>
        <w:t> </w:t>
      </w:r>
      <w:r>
        <w:rPr/>
        <w:t>iglC</w:t>
      </w:r>
      <w:r>
        <w:rPr>
          <w:spacing w:val="-12"/>
        </w:rPr>
        <w:t> </w:t>
      </w:r>
      <w:r>
        <w:rPr/>
        <w:t>Soto</w:t>
      </w:r>
      <w:r>
        <w:rPr>
          <w:spacing w:val="-9"/>
        </w:rPr>
        <w:t> </w:t>
      </w:r>
      <w:r>
        <w:rPr>
          <w:i/>
        </w:rPr>
        <w:t>et</w:t>
      </w:r>
      <w:r>
        <w:rPr>
          <w:i/>
          <w:spacing w:val="-11"/>
        </w:rPr>
        <w:t> </w:t>
      </w:r>
      <w:r>
        <w:rPr>
          <w:i/>
        </w:rPr>
        <w:t>al</w:t>
      </w:r>
      <w:r>
        <w:rPr/>
        <w:t>.,</w:t>
      </w:r>
      <w:r>
        <w:rPr>
          <w:spacing w:val="-11"/>
        </w:rPr>
        <w:t> </w:t>
      </w:r>
      <w:r>
        <w:rPr/>
        <w:t>(2009a),</w:t>
      </w:r>
      <w:r>
        <w:rPr>
          <w:spacing w:val="-11"/>
        </w:rPr>
        <w:t> </w:t>
      </w:r>
      <w:r>
        <w:rPr/>
        <w:t>específico</w:t>
      </w:r>
      <w:r>
        <w:rPr>
          <w:spacing w:val="-11"/>
        </w:rPr>
        <w:t> </w:t>
      </w:r>
      <w:r>
        <w:rPr/>
        <w:t>para</w:t>
      </w:r>
      <w:r>
        <w:rPr>
          <w:spacing w:val="-16"/>
        </w:rPr>
        <w:t> </w:t>
      </w:r>
      <w:r>
        <w:rPr/>
        <w:t>FNO</w:t>
      </w:r>
      <w:r>
        <w:rPr>
          <w:i/>
        </w:rPr>
        <w:t>.</w:t>
      </w:r>
      <w:r>
        <w:rPr>
          <w:i/>
          <w:spacing w:val="-11"/>
        </w:rPr>
        <w:t> </w:t>
      </w:r>
      <w:r>
        <w:rPr/>
        <w:t>Aún</w:t>
      </w:r>
      <w:r>
        <w:rPr>
          <w:spacing w:val="-11"/>
        </w:rPr>
        <w:t> </w:t>
      </w:r>
      <w:r>
        <w:rPr/>
        <w:t>queda mucho por investigar debido a que esta subespecie del género </w:t>
      </w:r>
      <w:r>
        <w:rPr>
          <w:i/>
        </w:rPr>
        <w:t>Francisella </w:t>
      </w:r>
      <w:r>
        <w:rPr/>
        <w:t>puede infectar y producir enfermedad tipos de ciclidos como los reportados por Hsieh </w:t>
      </w:r>
      <w:r>
        <w:rPr>
          <w:i/>
        </w:rPr>
        <w:t>et </w:t>
      </w:r>
      <w:r>
        <w:rPr>
          <w:i/>
        </w:rPr>
        <w:t>al</w:t>
      </w:r>
      <w:r>
        <w:rPr/>
        <w:t>., (2007), que podrían estar estrechamente relacionadas con las especies patógenas, y también debe tenerse especial atención a la identificación de nuevas subespecies que puedan causar la infección en peces tanto de cultivo como silvestres.</w:t>
      </w:r>
    </w:p>
    <w:p>
      <w:pPr>
        <w:pStyle w:val="Heading1"/>
        <w:spacing w:before="202"/>
      </w:pPr>
      <w:bookmarkStart w:name="_bookmark35" w:id="57"/>
      <w:bookmarkEnd w:id="57"/>
      <w:r>
        <w:rPr>
          <w:b w:val="0"/>
        </w:rPr>
      </w:r>
      <w:r>
        <w:rPr>
          <w:color w:val="365F91"/>
        </w:rPr>
        <w:t>2. 22 Diagnóstico diferencial</w:t>
      </w:r>
    </w:p>
    <w:p>
      <w:pPr>
        <w:pStyle w:val="BodyText"/>
        <w:spacing w:line="276" w:lineRule="auto" w:before="45"/>
        <w:ind w:left="139" w:right="140"/>
        <w:jc w:val="both"/>
      </w:pPr>
      <w:r>
        <w:rPr/>
        <w:t>Existen diferentes enfermedades bacterianas que pueden presentarse de manera similar  a  la  francisellosis.  Las  enfermedades  mayormente  caracterizadas  </w:t>
      </w:r>
      <w:r>
        <w:rPr>
          <w:spacing w:val="61"/>
        </w:rPr>
        <w:t> </w:t>
      </w:r>
      <w:r>
        <w:rPr/>
        <w:t>por</w:t>
      </w:r>
    </w:p>
    <w:p>
      <w:pPr>
        <w:spacing w:after="0" w:line="276" w:lineRule="auto"/>
        <w:jc w:val="both"/>
        <w:sectPr>
          <w:pgSz w:w="12240" w:h="15840"/>
          <w:pgMar w:header="752" w:footer="998" w:top="1000" w:bottom="1180" w:left="1560" w:right="1560"/>
        </w:sectPr>
      </w:pPr>
    </w:p>
    <w:p>
      <w:pPr>
        <w:pStyle w:val="BodyText"/>
        <w:rPr>
          <w:sz w:val="29"/>
        </w:rPr>
      </w:pPr>
    </w:p>
    <w:p>
      <w:pPr>
        <w:pStyle w:val="BodyText"/>
        <w:spacing w:line="276" w:lineRule="auto" w:before="70"/>
        <w:ind w:left="139" w:right="133"/>
        <w:jc w:val="both"/>
      </w:pPr>
      <w:r>
        <w:rPr/>
        <w:t>provocar lesiones granulomatosas son las producidas por bacterias del genero </w:t>
      </w:r>
      <w:r>
        <w:rPr>
          <w:i/>
        </w:rPr>
        <w:t>Mycobacterium</w:t>
      </w:r>
      <w:r>
        <w:rPr/>
        <w:t>,</w:t>
      </w:r>
      <w:r>
        <w:rPr>
          <w:spacing w:val="-18"/>
        </w:rPr>
        <w:t> </w:t>
      </w:r>
      <w:r>
        <w:rPr/>
        <w:t>que</w:t>
      </w:r>
      <w:r>
        <w:rPr>
          <w:spacing w:val="-22"/>
        </w:rPr>
        <w:t> </w:t>
      </w:r>
      <w:r>
        <w:rPr/>
        <w:t>provocan</w:t>
      </w:r>
      <w:r>
        <w:rPr>
          <w:spacing w:val="-20"/>
        </w:rPr>
        <w:t> </w:t>
      </w:r>
      <w:r>
        <w:rPr/>
        <w:t>lesiones</w:t>
      </w:r>
      <w:r>
        <w:rPr>
          <w:spacing w:val="-22"/>
        </w:rPr>
        <w:t> </w:t>
      </w:r>
      <w:r>
        <w:rPr/>
        <w:t>que</w:t>
      </w:r>
      <w:r>
        <w:rPr>
          <w:spacing w:val="-22"/>
        </w:rPr>
        <w:t> </w:t>
      </w:r>
      <w:r>
        <w:rPr/>
        <w:t>pueden</w:t>
      </w:r>
      <w:r>
        <w:rPr>
          <w:spacing w:val="-18"/>
        </w:rPr>
        <w:t> </w:t>
      </w:r>
      <w:r>
        <w:rPr/>
        <w:t>ser</w:t>
      </w:r>
      <w:r>
        <w:rPr>
          <w:spacing w:val="-15"/>
        </w:rPr>
        <w:t> </w:t>
      </w:r>
      <w:r>
        <w:rPr/>
        <w:t>visibles</w:t>
      </w:r>
      <w:r>
        <w:rPr>
          <w:spacing w:val="-23"/>
        </w:rPr>
        <w:t> </w:t>
      </w:r>
      <w:r>
        <w:rPr/>
        <w:t>macroscópicamente y han sido identificadas en varias especies de peces cultivados y silvestres. </w:t>
      </w:r>
      <w:r>
        <w:rPr>
          <w:i/>
        </w:rPr>
        <w:t>Mycobacterium </w:t>
      </w:r>
      <w:r>
        <w:rPr/>
        <w:t>puede ser de difícil aislamiento y no siempre son fácilmente observables en las preparaciones histológicas incluso cuando se realiza la tinción de Ziehl-Neelsen. Otra de las bacterias que pueden llegar a producir lesiones semejantes</w:t>
      </w:r>
      <w:r>
        <w:rPr>
          <w:spacing w:val="-16"/>
        </w:rPr>
        <w:t> </w:t>
      </w:r>
      <w:r>
        <w:rPr/>
        <w:t>a</w:t>
      </w:r>
      <w:r>
        <w:rPr>
          <w:spacing w:val="35"/>
        </w:rPr>
        <w:t> </w:t>
      </w:r>
      <w:r>
        <w:rPr/>
        <w:t>Francisellosis</w:t>
      </w:r>
      <w:r>
        <w:rPr>
          <w:spacing w:val="-16"/>
        </w:rPr>
        <w:t> </w:t>
      </w:r>
      <w:r>
        <w:rPr/>
        <w:t>son</w:t>
      </w:r>
      <w:r>
        <w:rPr>
          <w:spacing w:val="-20"/>
        </w:rPr>
        <w:t> </w:t>
      </w:r>
      <w:r>
        <w:rPr/>
        <w:t>las</w:t>
      </w:r>
      <w:r>
        <w:rPr>
          <w:spacing w:val="-16"/>
        </w:rPr>
        <w:t> </w:t>
      </w:r>
      <w:r>
        <w:rPr/>
        <w:t>enfermedades</w:t>
      </w:r>
      <w:r>
        <w:rPr>
          <w:spacing w:val="-16"/>
        </w:rPr>
        <w:t> </w:t>
      </w:r>
      <w:r>
        <w:rPr/>
        <w:t>producidas</w:t>
      </w:r>
      <w:r>
        <w:rPr>
          <w:spacing w:val="-16"/>
        </w:rPr>
        <w:t> </w:t>
      </w:r>
      <w:r>
        <w:rPr/>
        <w:t>por</w:t>
      </w:r>
      <w:r>
        <w:rPr>
          <w:spacing w:val="-9"/>
        </w:rPr>
        <w:t> </w:t>
      </w:r>
      <w:r>
        <w:rPr>
          <w:i/>
        </w:rPr>
        <w:t>Nocardia</w:t>
      </w:r>
      <w:r>
        <w:rPr>
          <w:i/>
          <w:spacing w:val="-15"/>
        </w:rPr>
        <w:t> </w:t>
      </w:r>
      <w:r>
        <w:rPr/>
        <w:t>sp.</w:t>
      </w:r>
      <w:r>
        <w:rPr>
          <w:spacing w:val="-15"/>
        </w:rPr>
        <w:t> </w:t>
      </w:r>
      <w:r>
        <w:rPr/>
        <w:t>que también se pueden presentar en una forma granulomatosa, encontrándose </w:t>
      </w:r>
      <w:r>
        <w:rPr>
          <w:spacing w:val="-4"/>
        </w:rPr>
        <w:t>como </w:t>
      </w:r>
      <w:r>
        <w:rPr/>
        <w:t>elementos saprófitos en agua dulce y salada por lo que los peces pueden estar en contacto</w:t>
      </w:r>
      <w:r>
        <w:rPr>
          <w:spacing w:val="-15"/>
        </w:rPr>
        <w:t> </w:t>
      </w:r>
      <w:r>
        <w:rPr/>
        <w:t>directo</w:t>
      </w:r>
      <w:r>
        <w:rPr>
          <w:spacing w:val="-15"/>
        </w:rPr>
        <w:t> </w:t>
      </w:r>
      <w:r>
        <w:rPr/>
        <w:t>con</w:t>
      </w:r>
      <w:r>
        <w:rPr>
          <w:spacing w:val="-16"/>
        </w:rPr>
        <w:t> </w:t>
      </w:r>
      <w:r>
        <w:rPr/>
        <w:t>este</w:t>
      </w:r>
      <w:r>
        <w:rPr>
          <w:spacing w:val="-11"/>
        </w:rPr>
        <w:t> </w:t>
      </w:r>
      <w:r>
        <w:rPr/>
        <w:t>género</w:t>
      </w:r>
      <w:r>
        <w:rPr>
          <w:spacing w:val="-12"/>
        </w:rPr>
        <w:t> </w:t>
      </w:r>
      <w:r>
        <w:rPr/>
        <w:t>bacteriano</w:t>
      </w:r>
      <w:r>
        <w:rPr>
          <w:spacing w:val="-10"/>
        </w:rPr>
        <w:t> </w:t>
      </w:r>
      <w:r>
        <w:rPr/>
        <w:t>(Colquhoun</w:t>
      </w:r>
      <w:r>
        <w:rPr>
          <w:spacing w:val="-14"/>
        </w:rPr>
        <w:t> </w:t>
      </w:r>
      <w:r>
        <w:rPr/>
        <w:t>y</w:t>
      </w:r>
      <w:r>
        <w:rPr>
          <w:spacing w:val="-13"/>
        </w:rPr>
        <w:t> </w:t>
      </w:r>
      <w:r>
        <w:rPr/>
        <w:t>Duodu,</w:t>
      </w:r>
      <w:r>
        <w:rPr>
          <w:spacing w:val="-12"/>
        </w:rPr>
        <w:t> </w:t>
      </w:r>
      <w:r>
        <w:rPr/>
        <w:t>2011;</w:t>
      </w:r>
      <w:r>
        <w:rPr>
          <w:spacing w:val="-12"/>
        </w:rPr>
        <w:t> </w:t>
      </w:r>
      <w:r>
        <w:rPr/>
        <w:t>Chen</w:t>
      </w:r>
      <w:r>
        <w:rPr>
          <w:spacing w:val="-12"/>
        </w:rPr>
        <w:t> </w:t>
      </w:r>
      <w:r>
        <w:rPr>
          <w:i/>
        </w:rPr>
        <w:t>et</w:t>
      </w:r>
      <w:r>
        <w:rPr>
          <w:i/>
          <w:spacing w:val="-15"/>
        </w:rPr>
        <w:t> </w:t>
      </w:r>
      <w:r>
        <w:rPr>
          <w:i/>
        </w:rPr>
        <w:t>al., </w:t>
      </w:r>
      <w:r>
        <w:rPr/>
        <w:t>2001).</w:t>
      </w:r>
    </w:p>
    <w:p>
      <w:pPr>
        <w:pStyle w:val="BodyText"/>
        <w:spacing w:line="276" w:lineRule="auto" w:before="207"/>
        <w:ind w:left="139" w:right="133"/>
        <w:jc w:val="both"/>
      </w:pPr>
      <w:r>
        <w:rPr/>
        <w:t>La enfermedad producida por </w:t>
      </w:r>
      <w:r>
        <w:rPr>
          <w:i/>
        </w:rPr>
        <w:t>Piscirickettsia salmonis </w:t>
      </w:r>
      <w:r>
        <w:rPr/>
        <w:t>también puede presentarse de una forma similar a francisellosis pero está más comúnmente asociada con peces salmónidos, sin embargo, se ha identificado en una gama cada vez más amplia de especies de peces que pueden ser afectados, como por ejemplo en la lubina </w:t>
      </w:r>
      <w:r>
        <w:rPr>
          <w:i/>
        </w:rPr>
        <w:t>Dicentrachus labrax </w:t>
      </w:r>
      <w:r>
        <w:rPr/>
        <w:t>(Colquhoun y Duodu, 2011; McCarthy </w:t>
      </w:r>
      <w:r>
        <w:rPr>
          <w:i/>
        </w:rPr>
        <w:t>et al</w:t>
      </w:r>
      <w:r>
        <w:rPr/>
        <w:t>., 2005; Arkush </w:t>
      </w:r>
      <w:r>
        <w:rPr>
          <w:i/>
        </w:rPr>
        <w:t>et al</w:t>
      </w:r>
      <w:r>
        <w:rPr/>
        <w:t>., 2005).</w:t>
      </w:r>
    </w:p>
    <w:p>
      <w:pPr>
        <w:pStyle w:val="BodyText"/>
        <w:spacing w:line="276" w:lineRule="auto" w:before="207"/>
        <w:ind w:left="139" w:right="136"/>
        <w:jc w:val="both"/>
      </w:pPr>
      <w:r>
        <w:rPr/>
        <w:t>Una de las infecciones bacterianas sistémicas </w:t>
      </w:r>
      <w:r>
        <w:rPr>
          <w:spacing w:val="-3"/>
        </w:rPr>
        <w:t>más </w:t>
      </w:r>
      <w:r>
        <w:rPr/>
        <w:t>comunes que afectan a las poblaciones o cultivos de bacalao en Noruega es la Furunculosis atípica, causada por</w:t>
      </w:r>
      <w:r>
        <w:rPr>
          <w:spacing w:val="-7"/>
        </w:rPr>
        <w:t> </w:t>
      </w:r>
      <w:r>
        <w:rPr/>
        <w:t>cepas</w:t>
      </w:r>
      <w:r>
        <w:rPr>
          <w:spacing w:val="-9"/>
        </w:rPr>
        <w:t> </w:t>
      </w:r>
      <w:r>
        <w:rPr/>
        <w:t>atípicas</w:t>
      </w:r>
      <w:r>
        <w:rPr>
          <w:spacing w:val="-9"/>
        </w:rPr>
        <w:t> </w:t>
      </w:r>
      <w:r>
        <w:rPr/>
        <w:t>de</w:t>
      </w:r>
      <w:r>
        <w:rPr>
          <w:spacing w:val="-4"/>
        </w:rPr>
        <w:t> </w:t>
      </w:r>
      <w:r>
        <w:rPr>
          <w:i/>
        </w:rPr>
        <w:t>Aeromonas</w:t>
      </w:r>
      <w:r>
        <w:rPr>
          <w:i/>
          <w:spacing w:val="-9"/>
        </w:rPr>
        <w:t> </w:t>
      </w:r>
      <w:r>
        <w:rPr>
          <w:i/>
        </w:rPr>
        <w:t>salmonicida</w:t>
      </w:r>
      <w:r>
        <w:rPr/>
        <w:t>,</w:t>
      </w:r>
      <w:r>
        <w:rPr>
          <w:spacing w:val="-8"/>
        </w:rPr>
        <w:t> </w:t>
      </w:r>
      <w:r>
        <w:rPr/>
        <w:t>este</w:t>
      </w:r>
      <w:r>
        <w:rPr>
          <w:spacing w:val="-8"/>
        </w:rPr>
        <w:t> </w:t>
      </w:r>
      <w:r>
        <w:rPr/>
        <w:t>tipo</w:t>
      </w:r>
      <w:r>
        <w:rPr>
          <w:spacing w:val="-8"/>
        </w:rPr>
        <w:t> </w:t>
      </w:r>
      <w:r>
        <w:rPr/>
        <w:t>de</w:t>
      </w:r>
      <w:r>
        <w:rPr>
          <w:spacing w:val="-12"/>
        </w:rPr>
        <w:t> </w:t>
      </w:r>
      <w:r>
        <w:rPr/>
        <w:t>infección</w:t>
      </w:r>
      <w:r>
        <w:rPr>
          <w:spacing w:val="-12"/>
        </w:rPr>
        <w:t> </w:t>
      </w:r>
      <w:r>
        <w:rPr/>
        <w:t>puede</w:t>
      </w:r>
      <w:r>
        <w:rPr>
          <w:spacing w:val="-12"/>
        </w:rPr>
        <w:t> </w:t>
      </w:r>
      <w:r>
        <w:rPr/>
        <w:t>resultar en una enfermedad que macroscópicamente se presenta en forma </w:t>
      </w:r>
      <w:r>
        <w:rPr>
          <w:spacing w:val="-3"/>
        </w:rPr>
        <w:t>muy </w:t>
      </w:r>
      <w:r>
        <w:rPr/>
        <w:t>similar a Francisellosis.</w:t>
      </w:r>
      <w:r>
        <w:rPr>
          <w:spacing w:val="-14"/>
        </w:rPr>
        <w:t> </w:t>
      </w:r>
      <w:r>
        <w:rPr/>
        <w:t>Aunque</w:t>
      </w:r>
      <w:r>
        <w:rPr>
          <w:spacing w:val="-14"/>
        </w:rPr>
        <w:t> </w:t>
      </w:r>
      <w:r>
        <w:rPr/>
        <w:t>ambas</w:t>
      </w:r>
      <w:r>
        <w:rPr>
          <w:spacing w:val="-10"/>
        </w:rPr>
        <w:t> </w:t>
      </w:r>
      <w:r>
        <w:rPr/>
        <w:t>enfermedades</w:t>
      </w:r>
      <w:r>
        <w:rPr>
          <w:spacing w:val="-14"/>
        </w:rPr>
        <w:t> </w:t>
      </w:r>
      <w:r>
        <w:rPr/>
        <w:t>dan</w:t>
      </w:r>
      <w:r>
        <w:rPr>
          <w:spacing w:val="-14"/>
        </w:rPr>
        <w:t> </w:t>
      </w:r>
      <w:r>
        <w:rPr/>
        <w:t>lugar</w:t>
      </w:r>
      <w:r>
        <w:rPr>
          <w:spacing w:val="-13"/>
        </w:rPr>
        <w:t> </w:t>
      </w:r>
      <w:r>
        <w:rPr/>
        <w:t>al</w:t>
      </w:r>
      <w:r>
        <w:rPr>
          <w:spacing w:val="-6"/>
        </w:rPr>
        <w:t> </w:t>
      </w:r>
      <w:r>
        <w:rPr/>
        <w:t>desarrollo</w:t>
      </w:r>
      <w:r>
        <w:rPr>
          <w:spacing w:val="-9"/>
        </w:rPr>
        <w:t> </w:t>
      </w:r>
      <w:r>
        <w:rPr/>
        <w:t>de</w:t>
      </w:r>
      <w:r>
        <w:rPr>
          <w:spacing w:val="-14"/>
        </w:rPr>
        <w:t> </w:t>
      </w:r>
      <w:r>
        <w:rPr/>
        <w:t>granulomas difundidos extensamente, pueden diferenciarse fácilmente por examinación histológica a la tinción de Gram (Colquhoun y Duodu, 2011; Holm,</w:t>
      </w:r>
      <w:r>
        <w:rPr>
          <w:spacing w:val="-14"/>
        </w:rPr>
        <w:t> </w:t>
      </w:r>
      <w:r>
        <w:rPr/>
        <w:t>2009).</w:t>
      </w:r>
    </w:p>
    <w:p>
      <w:pPr>
        <w:pStyle w:val="BodyText"/>
        <w:spacing w:line="276" w:lineRule="auto" w:before="207"/>
        <w:ind w:left="139" w:right="135"/>
        <w:jc w:val="both"/>
      </w:pPr>
      <w:r>
        <w:rPr/>
        <w:t>Algo importante de resaltar es que entre las enfermedades que afectan a los</w:t>
      </w:r>
      <w:r>
        <w:rPr>
          <w:spacing w:val="-44"/>
        </w:rPr>
        <w:t> </w:t>
      </w:r>
      <w:r>
        <w:rPr/>
        <w:t>peces se pueden encontrar infecciones mixtas o concomitantes, en las cuales los agente comúnmente</w:t>
      </w:r>
      <w:r>
        <w:rPr>
          <w:spacing w:val="-18"/>
        </w:rPr>
        <w:t> </w:t>
      </w:r>
      <w:r>
        <w:rPr/>
        <w:t>involucrados</w:t>
      </w:r>
      <w:r>
        <w:rPr>
          <w:spacing w:val="-18"/>
        </w:rPr>
        <w:t> </w:t>
      </w:r>
      <w:r>
        <w:rPr/>
        <w:t>pueden</w:t>
      </w:r>
      <w:r>
        <w:rPr>
          <w:spacing w:val="-22"/>
        </w:rPr>
        <w:t> </w:t>
      </w:r>
      <w:r>
        <w:rPr/>
        <w:t>ser</w:t>
      </w:r>
      <w:r>
        <w:rPr>
          <w:spacing w:val="-16"/>
        </w:rPr>
        <w:t> </w:t>
      </w:r>
      <w:r>
        <w:rPr>
          <w:i/>
        </w:rPr>
        <w:t>F.</w:t>
      </w:r>
      <w:r>
        <w:rPr>
          <w:i/>
          <w:spacing w:val="-23"/>
        </w:rPr>
        <w:t> </w:t>
      </w:r>
      <w:r>
        <w:rPr>
          <w:i/>
        </w:rPr>
        <w:t>noatunensis</w:t>
      </w:r>
      <w:r>
        <w:rPr/>
        <w:t>,</w:t>
      </w:r>
      <w:r>
        <w:rPr>
          <w:spacing w:val="30"/>
        </w:rPr>
        <w:t> </w:t>
      </w:r>
      <w:r>
        <w:rPr>
          <w:i/>
        </w:rPr>
        <w:t>A.</w:t>
      </w:r>
      <w:r>
        <w:rPr>
          <w:i/>
          <w:spacing w:val="-18"/>
        </w:rPr>
        <w:t> </w:t>
      </w:r>
      <w:r>
        <w:rPr>
          <w:i/>
        </w:rPr>
        <w:t>salmonicida</w:t>
      </w:r>
      <w:r>
        <w:rPr>
          <w:i/>
          <w:spacing w:val="-18"/>
        </w:rPr>
        <w:t> </w:t>
      </w:r>
      <w:r>
        <w:rPr/>
        <w:t>(Furunculosis atípica) y </w:t>
      </w:r>
      <w:r>
        <w:rPr>
          <w:i/>
        </w:rPr>
        <w:t>Vibrio anguillarum </w:t>
      </w:r>
      <w:r>
        <w:rPr/>
        <w:t>sin que se pueda determinar cuál es el agente desencadenante de las mismas y cuya presentación es cada vez </w:t>
      </w:r>
      <w:r>
        <w:rPr>
          <w:spacing w:val="-3"/>
        </w:rPr>
        <w:t>más </w:t>
      </w:r>
      <w:r>
        <w:rPr/>
        <w:t>frecuente (Colquhoun y Duodu,  2011; Kamaishi </w:t>
      </w:r>
      <w:r>
        <w:rPr>
          <w:i/>
        </w:rPr>
        <w:t>et al</w:t>
      </w:r>
      <w:r>
        <w:rPr/>
        <w:t>., 2010; Holm,</w:t>
      </w:r>
      <w:r>
        <w:rPr>
          <w:spacing w:val="-17"/>
        </w:rPr>
        <w:t> </w:t>
      </w:r>
      <w:r>
        <w:rPr/>
        <w:t>2009).</w:t>
      </w:r>
    </w:p>
    <w:p>
      <w:pPr>
        <w:pStyle w:val="Heading1"/>
        <w:numPr>
          <w:ilvl w:val="0"/>
          <w:numId w:val="7"/>
        </w:numPr>
        <w:tabs>
          <w:tab w:pos="409" w:val="left" w:leader="none"/>
        </w:tabs>
        <w:spacing w:line="240" w:lineRule="auto" w:before="197" w:after="0"/>
        <w:ind w:left="408" w:right="0" w:hanging="269"/>
        <w:jc w:val="both"/>
      </w:pPr>
      <w:bookmarkStart w:name="_bookmark36" w:id="58"/>
      <w:bookmarkEnd w:id="58"/>
      <w:r>
        <w:rPr>
          <w:b w:val="0"/>
        </w:rPr>
      </w:r>
      <w:bookmarkStart w:name="_bookmark36" w:id="59"/>
      <w:bookmarkEnd w:id="59"/>
      <w:r>
        <w:rPr>
          <w:color w:val="365F91"/>
        </w:rPr>
        <w:t>23</w:t>
      </w:r>
      <w:r>
        <w:rPr>
          <w:color w:val="365F91"/>
        </w:rPr>
        <w:t> Prevención y</w:t>
      </w:r>
      <w:r>
        <w:rPr>
          <w:color w:val="365F91"/>
          <w:spacing w:val="-17"/>
        </w:rPr>
        <w:t> </w:t>
      </w:r>
      <w:r>
        <w:rPr>
          <w:color w:val="365F91"/>
        </w:rPr>
        <w:t>Control</w:t>
      </w:r>
    </w:p>
    <w:p>
      <w:pPr>
        <w:pStyle w:val="BodyText"/>
        <w:spacing w:line="276" w:lineRule="auto" w:before="50"/>
        <w:ind w:left="139" w:right="134"/>
        <w:jc w:val="both"/>
      </w:pPr>
      <w:r>
        <w:rPr/>
        <w:t>El cultivo de cualquier especie acuícola se debe realizar con responsabilidad para alcanzar a cumplir con el código de Buenas Prácticas de la actividad. Los cultivos de organismos acuáticos deben ser operados con una buena asistencia en cuanto a sanidad, acompañados de un adecuado manejo de la producción. Las larvas y juveniles deben estar libres de enfermedades y se deberá cumplir obligatoriamente con  las  indicaciones  de  la  Organización  Internacional  de  Epizootias  (OIE).  El</w:t>
      </w:r>
    </w:p>
    <w:p>
      <w:pPr>
        <w:spacing w:after="0" w:line="276" w:lineRule="auto"/>
        <w:jc w:val="both"/>
        <w:sectPr>
          <w:pgSz w:w="12240" w:h="15840"/>
          <w:pgMar w:header="752" w:footer="998" w:top="1000" w:bottom="1180" w:left="1560" w:right="1560"/>
        </w:sectPr>
      </w:pPr>
    </w:p>
    <w:p>
      <w:pPr>
        <w:pStyle w:val="BodyText"/>
        <w:rPr>
          <w:sz w:val="29"/>
        </w:rPr>
      </w:pPr>
    </w:p>
    <w:p>
      <w:pPr>
        <w:pStyle w:val="BodyText"/>
        <w:spacing w:line="271" w:lineRule="auto" w:before="70"/>
        <w:ind w:left="139" w:right="143"/>
        <w:jc w:val="both"/>
      </w:pPr>
      <w:r>
        <w:rPr/>
        <w:t>crecimiento de los organismos debe monitorearse para evitar y combatir la diseminación de las enfermedades. (Ortega y Martínez, 2007).</w:t>
      </w:r>
    </w:p>
    <w:p>
      <w:pPr>
        <w:pStyle w:val="BodyText"/>
        <w:spacing w:line="271" w:lineRule="auto" w:before="213"/>
        <w:ind w:left="139" w:right="144"/>
        <w:jc w:val="both"/>
      </w:pPr>
      <w:r>
        <w:rPr/>
        <w:t>En</w:t>
      </w:r>
      <w:r>
        <w:rPr>
          <w:spacing w:val="-7"/>
        </w:rPr>
        <w:t> </w:t>
      </w:r>
      <w:r>
        <w:rPr/>
        <w:t>general</w:t>
      </w:r>
      <w:r>
        <w:rPr>
          <w:spacing w:val="-11"/>
        </w:rPr>
        <w:t> </w:t>
      </w:r>
      <w:r>
        <w:rPr/>
        <w:t>la</w:t>
      </w:r>
      <w:r>
        <w:rPr>
          <w:spacing w:val="-7"/>
        </w:rPr>
        <w:t> </w:t>
      </w:r>
      <w:r>
        <w:rPr/>
        <w:t>OIE</w:t>
      </w:r>
      <w:r>
        <w:rPr>
          <w:spacing w:val="-8"/>
        </w:rPr>
        <w:t> </w:t>
      </w:r>
      <w:r>
        <w:rPr/>
        <w:t>establece</w:t>
      </w:r>
      <w:r>
        <w:rPr>
          <w:spacing w:val="-7"/>
        </w:rPr>
        <w:t> </w:t>
      </w:r>
      <w:r>
        <w:rPr/>
        <w:t>medidas</w:t>
      </w:r>
      <w:r>
        <w:rPr>
          <w:spacing w:val="-12"/>
        </w:rPr>
        <w:t> </w:t>
      </w:r>
      <w:r>
        <w:rPr/>
        <w:t>para</w:t>
      </w:r>
      <w:r>
        <w:rPr>
          <w:spacing w:val="-15"/>
        </w:rPr>
        <w:t> </w:t>
      </w:r>
      <w:r>
        <w:rPr/>
        <w:t>la</w:t>
      </w:r>
      <w:r>
        <w:rPr>
          <w:spacing w:val="-11"/>
        </w:rPr>
        <w:t> </w:t>
      </w:r>
      <w:r>
        <w:rPr/>
        <w:t>prevención</w:t>
      </w:r>
      <w:r>
        <w:rPr>
          <w:spacing w:val="-11"/>
        </w:rPr>
        <w:t> </w:t>
      </w:r>
      <w:r>
        <w:rPr/>
        <w:t>y</w:t>
      </w:r>
      <w:r>
        <w:rPr>
          <w:spacing w:val="-8"/>
        </w:rPr>
        <w:t> </w:t>
      </w:r>
      <w:r>
        <w:rPr/>
        <w:t>control</w:t>
      </w:r>
      <w:r>
        <w:rPr>
          <w:spacing w:val="-8"/>
        </w:rPr>
        <w:t> </w:t>
      </w:r>
      <w:r>
        <w:rPr/>
        <w:t>de</w:t>
      </w:r>
      <w:r>
        <w:rPr>
          <w:spacing w:val="-11"/>
        </w:rPr>
        <w:t> </w:t>
      </w:r>
      <w:r>
        <w:rPr/>
        <w:t>enfermedades como</w:t>
      </w:r>
      <w:r>
        <w:rPr>
          <w:spacing w:val="-8"/>
        </w:rPr>
        <w:t> </w:t>
      </w:r>
      <w:r>
        <w:rPr/>
        <w:t>son:</w:t>
      </w:r>
    </w:p>
    <w:p>
      <w:pPr>
        <w:pStyle w:val="ListParagraph"/>
        <w:numPr>
          <w:ilvl w:val="1"/>
          <w:numId w:val="7"/>
        </w:numPr>
        <w:tabs>
          <w:tab w:pos="861" w:val="left" w:leader="none"/>
        </w:tabs>
        <w:spacing w:line="276" w:lineRule="auto" w:before="212" w:after="0"/>
        <w:ind w:left="860" w:right="136" w:hanging="360"/>
        <w:jc w:val="both"/>
        <w:rPr>
          <w:rFonts w:ascii="Arial" w:hAnsi="Arial"/>
          <w:sz w:val="24"/>
        </w:rPr>
      </w:pPr>
      <w:r>
        <w:rPr>
          <w:rFonts w:ascii="Arial" w:hAnsi="Arial"/>
          <w:sz w:val="24"/>
        </w:rPr>
        <w:t>El sitio, diseño y construcción deberán ser acordes a la especie que se produce, el cultivo deberá realizarse en lugares donde los riesgos de contaminación química, física y microbiológica sean mínimos, los estanques deberán tener entrada y salida de agua por separado y que el cultivo no impacte en la salud</w:t>
      </w:r>
      <w:r>
        <w:rPr>
          <w:rFonts w:ascii="Arial" w:hAnsi="Arial"/>
          <w:spacing w:val="-10"/>
          <w:sz w:val="24"/>
        </w:rPr>
        <w:t> </w:t>
      </w:r>
      <w:r>
        <w:rPr>
          <w:rFonts w:ascii="Arial" w:hAnsi="Arial"/>
          <w:sz w:val="24"/>
        </w:rPr>
        <w:t>humana.</w:t>
      </w:r>
    </w:p>
    <w:p>
      <w:pPr>
        <w:pStyle w:val="ListParagraph"/>
        <w:numPr>
          <w:ilvl w:val="1"/>
          <w:numId w:val="7"/>
        </w:numPr>
        <w:tabs>
          <w:tab w:pos="861" w:val="left" w:leader="none"/>
        </w:tabs>
        <w:spacing w:line="276" w:lineRule="auto" w:before="5" w:after="0"/>
        <w:ind w:left="860" w:right="137" w:hanging="360"/>
        <w:jc w:val="both"/>
        <w:rPr>
          <w:rFonts w:ascii="Arial" w:hAnsi="Arial"/>
          <w:sz w:val="24"/>
        </w:rPr>
      </w:pPr>
      <w:r>
        <w:rPr>
          <w:rFonts w:ascii="Arial" w:hAnsi="Arial"/>
          <w:sz w:val="24"/>
        </w:rPr>
        <w:t>Las condiciones de agua deben ser óptimos para que los productos finales sean sanos para el consumo humano, los estanques deberán estar instalados en donde el riesgo de contaminación del agua sea</w:t>
      </w:r>
      <w:r>
        <w:rPr>
          <w:rFonts w:ascii="Arial" w:hAnsi="Arial"/>
          <w:spacing w:val="-28"/>
          <w:sz w:val="24"/>
        </w:rPr>
        <w:t> </w:t>
      </w:r>
      <w:r>
        <w:rPr>
          <w:rFonts w:ascii="Arial" w:hAnsi="Arial"/>
          <w:sz w:val="24"/>
        </w:rPr>
        <w:t>mínimo.</w:t>
      </w:r>
    </w:p>
    <w:p>
      <w:pPr>
        <w:pStyle w:val="ListParagraph"/>
        <w:numPr>
          <w:ilvl w:val="1"/>
          <w:numId w:val="7"/>
        </w:numPr>
        <w:tabs>
          <w:tab w:pos="861" w:val="left" w:leader="none"/>
        </w:tabs>
        <w:spacing w:line="276" w:lineRule="auto" w:before="1" w:after="0"/>
        <w:ind w:left="860" w:right="134" w:hanging="360"/>
        <w:jc w:val="both"/>
        <w:rPr>
          <w:rFonts w:ascii="Arial" w:hAnsi="Arial"/>
          <w:sz w:val="24"/>
        </w:rPr>
      </w:pPr>
      <w:r>
        <w:rPr>
          <w:rFonts w:ascii="Arial" w:hAnsi="Arial"/>
          <w:sz w:val="24"/>
        </w:rPr>
        <w:t>El abastecimiento de “semilla” (post-larvas, larvas, alevines y juveniles) deberá realizarse de </w:t>
      </w:r>
      <w:r>
        <w:rPr>
          <w:rFonts w:ascii="Arial" w:hAnsi="Arial"/>
          <w:spacing w:val="-3"/>
          <w:sz w:val="24"/>
        </w:rPr>
        <w:t>forma </w:t>
      </w:r>
      <w:r>
        <w:rPr>
          <w:rFonts w:ascii="Arial" w:hAnsi="Arial"/>
          <w:sz w:val="24"/>
        </w:rPr>
        <w:t>que se evite el traslado de potenciales agentes peligrosos,</w:t>
      </w:r>
      <w:r>
        <w:rPr>
          <w:rFonts w:ascii="Arial" w:hAnsi="Arial"/>
          <w:spacing w:val="-13"/>
          <w:sz w:val="24"/>
        </w:rPr>
        <w:t> </w:t>
      </w:r>
      <w:r>
        <w:rPr>
          <w:rFonts w:ascii="Arial" w:hAnsi="Arial"/>
          <w:sz w:val="24"/>
        </w:rPr>
        <w:t>productores</w:t>
      </w:r>
      <w:r>
        <w:rPr>
          <w:rFonts w:ascii="Arial" w:hAnsi="Arial"/>
          <w:spacing w:val="-9"/>
          <w:sz w:val="24"/>
        </w:rPr>
        <w:t> </w:t>
      </w:r>
      <w:r>
        <w:rPr>
          <w:rFonts w:ascii="Arial" w:hAnsi="Arial"/>
          <w:sz w:val="24"/>
        </w:rPr>
        <w:t>de</w:t>
      </w:r>
      <w:r>
        <w:rPr>
          <w:rFonts w:ascii="Arial" w:hAnsi="Arial"/>
          <w:spacing w:val="-13"/>
          <w:sz w:val="24"/>
        </w:rPr>
        <w:t> </w:t>
      </w:r>
      <w:r>
        <w:rPr>
          <w:rFonts w:ascii="Arial" w:hAnsi="Arial"/>
          <w:sz w:val="24"/>
        </w:rPr>
        <w:t>enfermedades</w:t>
      </w:r>
      <w:r>
        <w:rPr>
          <w:rFonts w:ascii="Arial" w:hAnsi="Arial"/>
          <w:spacing w:val="-9"/>
          <w:sz w:val="24"/>
        </w:rPr>
        <w:t> </w:t>
      </w:r>
      <w:r>
        <w:rPr>
          <w:rFonts w:ascii="Arial" w:hAnsi="Arial"/>
          <w:sz w:val="24"/>
        </w:rPr>
        <w:t>o</w:t>
      </w:r>
      <w:r>
        <w:rPr>
          <w:rFonts w:ascii="Arial" w:hAnsi="Arial"/>
          <w:spacing w:val="-8"/>
          <w:sz w:val="24"/>
        </w:rPr>
        <w:t> </w:t>
      </w:r>
      <w:r>
        <w:rPr>
          <w:rFonts w:ascii="Arial" w:hAnsi="Arial"/>
          <w:sz w:val="24"/>
        </w:rPr>
        <w:t>parasitismos,</w:t>
      </w:r>
      <w:r>
        <w:rPr>
          <w:rFonts w:ascii="Arial" w:hAnsi="Arial"/>
          <w:spacing w:val="-8"/>
          <w:sz w:val="24"/>
        </w:rPr>
        <w:t> </w:t>
      </w:r>
      <w:r>
        <w:rPr>
          <w:rFonts w:ascii="Arial" w:hAnsi="Arial"/>
          <w:sz w:val="24"/>
        </w:rPr>
        <w:t>en</w:t>
      </w:r>
      <w:r>
        <w:rPr>
          <w:rFonts w:ascii="Arial" w:hAnsi="Arial"/>
          <w:spacing w:val="-8"/>
          <w:sz w:val="24"/>
        </w:rPr>
        <w:t> </w:t>
      </w:r>
      <w:r>
        <w:rPr>
          <w:rFonts w:ascii="Arial" w:hAnsi="Arial"/>
          <w:sz w:val="24"/>
        </w:rPr>
        <w:t>las</w:t>
      </w:r>
      <w:r>
        <w:rPr>
          <w:rFonts w:ascii="Arial" w:hAnsi="Arial"/>
          <w:spacing w:val="-4"/>
          <w:sz w:val="24"/>
        </w:rPr>
        <w:t> </w:t>
      </w:r>
      <w:r>
        <w:rPr>
          <w:rFonts w:ascii="Arial" w:hAnsi="Arial"/>
          <w:sz w:val="24"/>
        </w:rPr>
        <w:t>poblaciones destinadas al</w:t>
      </w:r>
      <w:r>
        <w:rPr>
          <w:rFonts w:ascii="Arial" w:hAnsi="Arial"/>
          <w:spacing w:val="-6"/>
          <w:sz w:val="24"/>
        </w:rPr>
        <w:t> </w:t>
      </w:r>
      <w:r>
        <w:rPr>
          <w:rFonts w:ascii="Arial" w:hAnsi="Arial"/>
          <w:sz w:val="24"/>
        </w:rPr>
        <w:t>cultivo.</w:t>
      </w:r>
    </w:p>
    <w:p>
      <w:pPr>
        <w:pStyle w:val="ListParagraph"/>
        <w:numPr>
          <w:ilvl w:val="1"/>
          <w:numId w:val="7"/>
        </w:numPr>
        <w:tabs>
          <w:tab w:pos="861" w:val="left" w:leader="none"/>
        </w:tabs>
        <w:spacing w:line="280" w:lineRule="auto" w:before="0" w:after="0"/>
        <w:ind w:left="860" w:right="135" w:hanging="360"/>
        <w:jc w:val="both"/>
        <w:rPr>
          <w:rFonts w:ascii="Arial" w:hAnsi="Arial"/>
          <w:sz w:val="24"/>
        </w:rPr>
      </w:pPr>
      <w:r>
        <w:rPr>
          <w:rFonts w:ascii="Arial" w:hAnsi="Arial"/>
          <w:sz w:val="24"/>
        </w:rPr>
        <w:t>Los alimentos utilizados en producción acuícola deben cumplir con los lineamientos del Codex de Prácticas de Buena</w:t>
      </w:r>
      <w:r>
        <w:rPr>
          <w:rFonts w:ascii="Arial" w:hAnsi="Arial"/>
          <w:spacing w:val="-14"/>
          <w:sz w:val="24"/>
        </w:rPr>
        <w:t> </w:t>
      </w:r>
      <w:r>
        <w:rPr>
          <w:rFonts w:ascii="Arial" w:hAnsi="Arial"/>
          <w:sz w:val="24"/>
        </w:rPr>
        <w:t>Alimentación.</w:t>
      </w:r>
    </w:p>
    <w:p>
      <w:pPr>
        <w:pStyle w:val="ListParagraph"/>
        <w:numPr>
          <w:ilvl w:val="1"/>
          <w:numId w:val="7"/>
        </w:numPr>
        <w:tabs>
          <w:tab w:pos="861" w:val="left" w:leader="none"/>
        </w:tabs>
        <w:spacing w:line="276" w:lineRule="auto" w:before="0" w:after="0"/>
        <w:ind w:left="860" w:right="148" w:hanging="360"/>
        <w:jc w:val="both"/>
        <w:rPr>
          <w:rFonts w:ascii="Arial" w:hAnsi="Arial"/>
          <w:sz w:val="24"/>
        </w:rPr>
      </w:pPr>
      <w:r>
        <w:rPr>
          <w:rFonts w:ascii="Arial" w:hAnsi="Arial"/>
          <w:sz w:val="24"/>
        </w:rPr>
        <w:t>Limpieza y desinfección de los estanques cuando haya terminado un ciclo productivo y se vayan a repoblar las</w:t>
      </w:r>
      <w:r>
        <w:rPr>
          <w:rFonts w:ascii="Arial" w:hAnsi="Arial"/>
          <w:spacing w:val="-20"/>
          <w:sz w:val="24"/>
        </w:rPr>
        <w:t> </w:t>
      </w:r>
      <w:r>
        <w:rPr>
          <w:rFonts w:ascii="Arial" w:hAnsi="Arial"/>
          <w:sz w:val="24"/>
        </w:rPr>
        <w:t>instalaciones.</w:t>
      </w:r>
    </w:p>
    <w:p>
      <w:pPr>
        <w:pStyle w:val="ListParagraph"/>
        <w:numPr>
          <w:ilvl w:val="1"/>
          <w:numId w:val="7"/>
        </w:numPr>
        <w:tabs>
          <w:tab w:pos="861" w:val="left" w:leader="none"/>
        </w:tabs>
        <w:spacing w:line="271" w:lineRule="auto" w:before="0" w:after="0"/>
        <w:ind w:left="860" w:right="134" w:hanging="360"/>
        <w:jc w:val="both"/>
        <w:rPr>
          <w:rFonts w:ascii="Arial" w:hAnsi="Arial"/>
          <w:sz w:val="24"/>
        </w:rPr>
      </w:pPr>
      <w:r>
        <w:rPr>
          <w:rFonts w:ascii="Arial" w:hAnsi="Arial"/>
          <w:sz w:val="24"/>
        </w:rPr>
        <w:t>Los desechos generados por la producción acuícola deberán </w:t>
      </w:r>
      <w:r>
        <w:rPr>
          <w:rFonts w:ascii="Arial" w:hAnsi="Arial"/>
          <w:spacing w:val="3"/>
          <w:sz w:val="24"/>
        </w:rPr>
        <w:t>ser </w:t>
      </w:r>
      <w:r>
        <w:rPr>
          <w:rFonts w:ascii="Arial" w:hAnsi="Arial"/>
          <w:sz w:val="24"/>
        </w:rPr>
        <w:t>eliminados bajo los lineamientos</w:t>
      </w:r>
      <w:r>
        <w:rPr>
          <w:rFonts w:ascii="Arial" w:hAnsi="Arial"/>
          <w:spacing w:val="-18"/>
          <w:sz w:val="24"/>
        </w:rPr>
        <w:t> </w:t>
      </w:r>
      <w:r>
        <w:rPr>
          <w:rFonts w:ascii="Arial" w:hAnsi="Arial"/>
          <w:sz w:val="24"/>
        </w:rPr>
        <w:t>internacionales.</w:t>
      </w:r>
    </w:p>
    <w:p>
      <w:pPr>
        <w:pStyle w:val="BodyText"/>
        <w:spacing w:line="273" w:lineRule="auto" w:before="212"/>
        <w:ind w:left="139" w:right="135"/>
        <w:jc w:val="both"/>
      </w:pPr>
      <w:r>
        <w:rPr/>
        <w:t>El</w:t>
      </w:r>
      <w:r>
        <w:rPr>
          <w:spacing w:val="-4"/>
        </w:rPr>
        <w:t> </w:t>
      </w:r>
      <w:r>
        <w:rPr/>
        <w:t>cumplir</w:t>
      </w:r>
      <w:r>
        <w:rPr>
          <w:spacing w:val="-7"/>
        </w:rPr>
        <w:t> </w:t>
      </w:r>
      <w:r>
        <w:rPr/>
        <w:t>con</w:t>
      </w:r>
      <w:r>
        <w:rPr>
          <w:spacing w:val="-7"/>
        </w:rPr>
        <w:t> </w:t>
      </w:r>
      <w:r>
        <w:rPr/>
        <w:t>estos</w:t>
      </w:r>
      <w:r>
        <w:rPr>
          <w:spacing w:val="-13"/>
        </w:rPr>
        <w:t> </w:t>
      </w:r>
      <w:r>
        <w:rPr/>
        <w:t>lineamientos</w:t>
      </w:r>
      <w:r>
        <w:rPr>
          <w:spacing w:val="-13"/>
        </w:rPr>
        <w:t> </w:t>
      </w:r>
      <w:r>
        <w:rPr/>
        <w:t>establecidos</w:t>
      </w:r>
      <w:r>
        <w:rPr>
          <w:spacing w:val="-8"/>
        </w:rPr>
        <w:t> </w:t>
      </w:r>
      <w:r>
        <w:rPr/>
        <w:t>en</w:t>
      </w:r>
      <w:r>
        <w:rPr>
          <w:spacing w:val="-7"/>
        </w:rPr>
        <w:t> </w:t>
      </w:r>
      <w:r>
        <w:rPr/>
        <w:t>el</w:t>
      </w:r>
      <w:r>
        <w:rPr>
          <w:spacing w:val="-4"/>
        </w:rPr>
        <w:t> </w:t>
      </w:r>
      <w:r>
        <w:rPr/>
        <w:t>Código</w:t>
      </w:r>
      <w:r>
        <w:rPr>
          <w:spacing w:val="2"/>
        </w:rPr>
        <w:t> </w:t>
      </w:r>
      <w:r>
        <w:rPr/>
        <w:t>Buenas</w:t>
      </w:r>
      <w:r>
        <w:rPr>
          <w:spacing w:val="-8"/>
        </w:rPr>
        <w:t> </w:t>
      </w:r>
      <w:r>
        <w:rPr/>
        <w:t>Prácticas</w:t>
      </w:r>
      <w:r>
        <w:rPr>
          <w:spacing w:val="-8"/>
        </w:rPr>
        <w:t> </w:t>
      </w:r>
      <w:r>
        <w:rPr/>
        <w:t>de</w:t>
      </w:r>
      <w:r>
        <w:rPr>
          <w:spacing w:val="-12"/>
        </w:rPr>
        <w:t> </w:t>
      </w:r>
      <w:r>
        <w:rPr/>
        <w:t>la actividad acuícola ayudara a minimizar el impacto que las enfermedades pueden traer a la explotación o</w:t>
      </w:r>
      <w:r>
        <w:rPr>
          <w:spacing w:val="-11"/>
        </w:rPr>
        <w:t> </w:t>
      </w:r>
      <w:r>
        <w:rPr/>
        <w:t>granja.</w:t>
      </w:r>
    </w:p>
    <w:p>
      <w:pPr>
        <w:pStyle w:val="Heading1"/>
        <w:numPr>
          <w:ilvl w:val="0"/>
          <w:numId w:val="8"/>
        </w:numPr>
        <w:tabs>
          <w:tab w:pos="408" w:val="left" w:leader="none"/>
        </w:tabs>
        <w:spacing w:line="240" w:lineRule="auto" w:before="205" w:after="0"/>
        <w:ind w:left="408" w:right="0" w:hanging="269"/>
        <w:jc w:val="both"/>
      </w:pPr>
      <w:bookmarkStart w:name="_bookmark37" w:id="60"/>
      <w:bookmarkEnd w:id="60"/>
      <w:r>
        <w:rPr>
          <w:b w:val="0"/>
        </w:rPr>
      </w:r>
      <w:bookmarkStart w:name="_bookmark37" w:id="61"/>
      <w:bookmarkEnd w:id="61"/>
      <w:r>
        <w:rPr>
          <w:color w:val="365F91"/>
        </w:rPr>
        <w:t>24</w:t>
      </w:r>
      <w:r>
        <w:rPr>
          <w:color w:val="365F91"/>
          <w:spacing w:val="-8"/>
        </w:rPr>
        <w:t> </w:t>
      </w:r>
      <w:r>
        <w:rPr>
          <w:color w:val="365F91"/>
        </w:rPr>
        <w:t>Tratamiento</w:t>
      </w:r>
    </w:p>
    <w:p>
      <w:pPr>
        <w:pStyle w:val="BodyText"/>
        <w:spacing w:line="276" w:lineRule="auto" w:before="45"/>
        <w:ind w:left="139" w:right="134"/>
        <w:jc w:val="both"/>
      </w:pPr>
      <w:r>
        <w:rPr/>
        <w:t>Debido a las características propias de la bacteria como son; la capacidad de crecimiento intracelular, alta prevalencia de peces infectados, alta morbilidad, </w:t>
      </w:r>
      <w:r>
        <w:rPr>
          <w:spacing w:val="-3"/>
        </w:rPr>
        <w:t>baja </w:t>
      </w:r>
      <w:r>
        <w:rPr/>
        <w:t>dosis</w:t>
      </w:r>
      <w:r>
        <w:rPr>
          <w:spacing w:val="-16"/>
        </w:rPr>
        <w:t> </w:t>
      </w:r>
      <w:r>
        <w:rPr/>
        <w:t>infectiva</w:t>
      </w:r>
      <w:r>
        <w:rPr>
          <w:spacing w:val="-11"/>
        </w:rPr>
        <w:t> </w:t>
      </w:r>
      <w:r>
        <w:rPr/>
        <w:t>y</w:t>
      </w:r>
      <w:r>
        <w:rPr>
          <w:spacing w:val="-12"/>
        </w:rPr>
        <w:t> </w:t>
      </w:r>
      <w:r>
        <w:rPr/>
        <w:t>anorexia</w:t>
      </w:r>
      <w:r>
        <w:rPr>
          <w:spacing w:val="-11"/>
        </w:rPr>
        <w:t> </w:t>
      </w:r>
      <w:r>
        <w:rPr/>
        <w:t>en</w:t>
      </w:r>
      <w:r>
        <w:rPr>
          <w:spacing w:val="-11"/>
        </w:rPr>
        <w:t> </w:t>
      </w:r>
      <w:r>
        <w:rPr/>
        <w:t>peces</w:t>
      </w:r>
      <w:r>
        <w:rPr>
          <w:spacing w:val="-12"/>
        </w:rPr>
        <w:t> </w:t>
      </w:r>
      <w:r>
        <w:rPr/>
        <w:t>severamente</w:t>
      </w:r>
      <w:r>
        <w:rPr>
          <w:spacing w:val="-10"/>
        </w:rPr>
        <w:t> </w:t>
      </w:r>
      <w:r>
        <w:rPr/>
        <w:t>afectados,</w:t>
      </w:r>
      <w:r>
        <w:rPr>
          <w:spacing w:val="-11"/>
        </w:rPr>
        <w:t> </w:t>
      </w:r>
      <w:r>
        <w:rPr/>
        <w:t>resulta</w:t>
      </w:r>
      <w:r>
        <w:rPr>
          <w:spacing w:val="-11"/>
        </w:rPr>
        <w:t> </w:t>
      </w:r>
      <w:r>
        <w:rPr/>
        <w:t>difícil</w:t>
      </w:r>
      <w:r>
        <w:rPr>
          <w:spacing w:val="-8"/>
        </w:rPr>
        <w:t> </w:t>
      </w:r>
      <w:r>
        <w:rPr/>
        <w:t>establecer un programa adecuado para el tratamiento de peces enfermos. Sin embargo algunos autores mencionan que tratamientos por un periodo de </w:t>
      </w:r>
      <w:r>
        <w:rPr>
          <w:spacing w:val="2"/>
        </w:rPr>
        <w:t>10-14 </w:t>
      </w:r>
      <w:r>
        <w:rPr/>
        <w:t>días con oxitetraciclina en dosis de 30-50 mg/kg puede ser un probable tratamiento efectivo para</w:t>
      </w:r>
      <w:r>
        <w:rPr>
          <w:spacing w:val="-11"/>
        </w:rPr>
        <w:t> </w:t>
      </w:r>
      <w:r>
        <w:rPr/>
        <w:t>francisellosis.</w:t>
      </w:r>
      <w:r>
        <w:rPr>
          <w:spacing w:val="-11"/>
        </w:rPr>
        <w:t> </w:t>
      </w:r>
      <w:r>
        <w:rPr/>
        <w:t>Soto</w:t>
      </w:r>
      <w:r>
        <w:rPr>
          <w:spacing w:val="-9"/>
        </w:rPr>
        <w:t> </w:t>
      </w:r>
      <w:r>
        <w:rPr>
          <w:i/>
        </w:rPr>
        <w:t>et</w:t>
      </w:r>
      <w:r>
        <w:rPr>
          <w:i/>
          <w:spacing w:val="-11"/>
        </w:rPr>
        <w:t> </w:t>
      </w:r>
      <w:r>
        <w:rPr>
          <w:i/>
        </w:rPr>
        <w:t>al</w:t>
      </w:r>
      <w:r>
        <w:rPr/>
        <w:t>.,</w:t>
      </w:r>
      <w:r>
        <w:rPr>
          <w:spacing w:val="-11"/>
        </w:rPr>
        <w:t> </w:t>
      </w:r>
      <w:r>
        <w:rPr/>
        <w:t>(2010)</w:t>
      </w:r>
      <w:r>
        <w:rPr>
          <w:spacing w:val="-15"/>
        </w:rPr>
        <w:t> </w:t>
      </w:r>
      <w:r>
        <w:rPr/>
        <w:t>reporta</w:t>
      </w:r>
      <w:r>
        <w:rPr>
          <w:spacing w:val="-14"/>
        </w:rPr>
        <w:t> </w:t>
      </w:r>
      <w:r>
        <w:rPr/>
        <w:t>que</w:t>
      </w:r>
      <w:r>
        <w:rPr>
          <w:spacing w:val="-11"/>
        </w:rPr>
        <w:t> </w:t>
      </w:r>
      <w:r>
        <w:rPr/>
        <w:t>otra</w:t>
      </w:r>
      <w:r>
        <w:rPr>
          <w:spacing w:val="-11"/>
        </w:rPr>
        <w:t> </w:t>
      </w:r>
      <w:r>
        <w:rPr/>
        <w:t>opción</w:t>
      </w:r>
      <w:r>
        <w:rPr>
          <w:spacing w:val="-10"/>
        </w:rPr>
        <w:t> </w:t>
      </w:r>
      <w:r>
        <w:rPr/>
        <w:t>efectiva</w:t>
      </w:r>
      <w:r>
        <w:rPr>
          <w:spacing w:val="-11"/>
        </w:rPr>
        <w:t> </w:t>
      </w:r>
      <w:r>
        <w:rPr/>
        <w:t>para</w:t>
      </w:r>
      <w:r>
        <w:rPr>
          <w:spacing w:val="-11"/>
        </w:rPr>
        <w:t> </w:t>
      </w:r>
      <w:r>
        <w:rPr/>
        <w:t>combatir la enfermedad y disminuir el porcentaje de mortalidad ocasionada es el tratamiento con florfenicol a dosis de 15mg/ kg peso por un periodo de hasta 10 días, aunque será</w:t>
      </w:r>
      <w:r>
        <w:rPr>
          <w:spacing w:val="-6"/>
        </w:rPr>
        <w:t> </w:t>
      </w:r>
      <w:r>
        <w:rPr/>
        <w:t>necesario</w:t>
      </w:r>
      <w:r>
        <w:rPr>
          <w:spacing w:val="-6"/>
        </w:rPr>
        <w:t> </w:t>
      </w:r>
      <w:r>
        <w:rPr/>
        <w:t>realizar</w:t>
      </w:r>
      <w:r>
        <w:rPr>
          <w:spacing w:val="-5"/>
        </w:rPr>
        <w:t> </w:t>
      </w:r>
      <w:r>
        <w:rPr/>
        <w:t>un</w:t>
      </w:r>
      <w:r>
        <w:rPr>
          <w:spacing w:val="-6"/>
        </w:rPr>
        <w:t> </w:t>
      </w:r>
      <w:r>
        <w:rPr/>
        <w:t>estudio</w:t>
      </w:r>
      <w:r>
        <w:rPr>
          <w:spacing w:val="-10"/>
        </w:rPr>
        <w:t> </w:t>
      </w:r>
      <w:r>
        <w:rPr/>
        <w:t>de</w:t>
      </w:r>
      <w:r>
        <w:rPr>
          <w:spacing w:val="-10"/>
        </w:rPr>
        <w:t> </w:t>
      </w:r>
      <w:r>
        <w:rPr/>
        <w:t>los</w:t>
      </w:r>
      <w:r>
        <w:rPr>
          <w:spacing w:val="-7"/>
        </w:rPr>
        <w:t> </w:t>
      </w:r>
      <w:r>
        <w:rPr/>
        <w:t>efectos</w:t>
      </w:r>
      <w:r>
        <w:rPr>
          <w:spacing w:val="-7"/>
        </w:rPr>
        <w:t> </w:t>
      </w:r>
      <w:r>
        <w:rPr/>
        <w:t>que</w:t>
      </w:r>
      <w:r>
        <w:rPr>
          <w:spacing w:val="-6"/>
        </w:rPr>
        <w:t> </w:t>
      </w:r>
      <w:r>
        <w:rPr/>
        <w:t>este</w:t>
      </w:r>
      <w:r>
        <w:rPr>
          <w:spacing w:val="-9"/>
        </w:rPr>
        <w:t> </w:t>
      </w:r>
      <w:r>
        <w:rPr/>
        <w:t>pueda</w:t>
      </w:r>
      <w:r>
        <w:rPr>
          <w:spacing w:val="-6"/>
        </w:rPr>
        <w:t> </w:t>
      </w:r>
      <w:r>
        <w:rPr/>
        <w:t>tener</w:t>
      </w:r>
      <w:r>
        <w:rPr>
          <w:spacing w:val="-9"/>
        </w:rPr>
        <w:t> </w:t>
      </w:r>
      <w:r>
        <w:rPr/>
        <w:t>en</w:t>
      </w:r>
      <w:r>
        <w:rPr>
          <w:spacing w:val="-10"/>
        </w:rPr>
        <w:t> </w:t>
      </w:r>
      <w:r>
        <w:rPr/>
        <w:t>los</w:t>
      </w:r>
      <w:r>
        <w:rPr>
          <w:spacing w:val="2"/>
        </w:rPr>
        <w:t> </w:t>
      </w:r>
      <w:r>
        <w:rPr/>
        <w:t>peces ya</w:t>
      </w:r>
      <w:r>
        <w:rPr>
          <w:spacing w:val="-11"/>
        </w:rPr>
        <w:t> </w:t>
      </w:r>
      <w:r>
        <w:rPr/>
        <w:t>que</w:t>
      </w:r>
      <w:r>
        <w:rPr>
          <w:spacing w:val="-15"/>
        </w:rPr>
        <w:t> </w:t>
      </w:r>
      <w:r>
        <w:rPr/>
        <w:t>se</w:t>
      </w:r>
      <w:r>
        <w:rPr>
          <w:spacing w:val="-15"/>
        </w:rPr>
        <w:t> </w:t>
      </w:r>
      <w:r>
        <w:rPr/>
        <w:t>puede</w:t>
      </w:r>
      <w:r>
        <w:rPr>
          <w:spacing w:val="-16"/>
        </w:rPr>
        <w:t> </w:t>
      </w:r>
      <w:r>
        <w:rPr/>
        <w:t>llegar</w:t>
      </w:r>
      <w:r>
        <w:rPr>
          <w:spacing w:val="-15"/>
        </w:rPr>
        <w:t> </w:t>
      </w:r>
      <w:r>
        <w:rPr/>
        <w:t>a</w:t>
      </w:r>
      <w:r>
        <w:rPr>
          <w:spacing w:val="-16"/>
        </w:rPr>
        <w:t> </w:t>
      </w:r>
      <w:r>
        <w:rPr/>
        <w:t>presentar</w:t>
      </w:r>
      <w:r>
        <w:rPr>
          <w:spacing w:val="-9"/>
        </w:rPr>
        <w:t> </w:t>
      </w:r>
      <w:r>
        <w:rPr/>
        <w:t>efectos</w:t>
      </w:r>
      <w:r>
        <w:rPr>
          <w:spacing w:val="-16"/>
        </w:rPr>
        <w:t> </w:t>
      </w:r>
      <w:r>
        <w:rPr/>
        <w:t>indeseables</w:t>
      </w:r>
      <w:r>
        <w:rPr>
          <w:spacing w:val="-16"/>
        </w:rPr>
        <w:t> </w:t>
      </w:r>
      <w:r>
        <w:rPr/>
        <w:t>debido</w:t>
      </w:r>
      <w:r>
        <w:rPr>
          <w:spacing w:val="-15"/>
        </w:rPr>
        <w:t> </w:t>
      </w:r>
      <w:r>
        <w:rPr/>
        <w:t>a</w:t>
      </w:r>
      <w:r>
        <w:rPr>
          <w:spacing w:val="-20"/>
        </w:rPr>
        <w:t> </w:t>
      </w:r>
      <w:r>
        <w:rPr/>
        <w:t>la</w:t>
      </w:r>
      <w:r>
        <w:rPr>
          <w:spacing w:val="-11"/>
        </w:rPr>
        <w:t> </w:t>
      </w:r>
      <w:r>
        <w:rPr/>
        <w:t>citotoxicidad</w:t>
      </w:r>
      <w:r>
        <w:rPr>
          <w:spacing w:val="-15"/>
        </w:rPr>
        <w:t> </w:t>
      </w:r>
      <w:r>
        <w:rPr/>
        <w:t>que</w:t>
      </w:r>
    </w:p>
    <w:p>
      <w:pPr>
        <w:spacing w:after="0" w:line="276" w:lineRule="auto"/>
        <w:jc w:val="both"/>
        <w:sectPr>
          <w:footerReference w:type="default" r:id="rId26"/>
          <w:pgSz w:w="12240" w:h="15840"/>
          <w:pgMar w:footer="998" w:header="752" w:top="1000" w:bottom="1180" w:left="1560" w:right="1560"/>
        </w:sectPr>
      </w:pPr>
    </w:p>
    <w:p>
      <w:pPr>
        <w:pStyle w:val="BodyText"/>
        <w:rPr>
          <w:sz w:val="29"/>
        </w:rPr>
      </w:pPr>
    </w:p>
    <w:p>
      <w:pPr>
        <w:pStyle w:val="BodyText"/>
        <w:spacing w:line="271" w:lineRule="auto" w:before="70"/>
        <w:ind w:left="139" w:right="148"/>
        <w:jc w:val="both"/>
      </w:pPr>
      <w:r>
        <w:rPr/>
        <w:t>el</w:t>
      </w:r>
      <w:r>
        <w:rPr>
          <w:spacing w:val="-14"/>
        </w:rPr>
        <w:t> </w:t>
      </w:r>
      <w:r>
        <w:rPr/>
        <w:t>medicamento</w:t>
      </w:r>
      <w:r>
        <w:rPr>
          <w:spacing w:val="-17"/>
        </w:rPr>
        <w:t> </w:t>
      </w:r>
      <w:r>
        <w:rPr/>
        <w:t>puede</w:t>
      </w:r>
      <w:r>
        <w:rPr>
          <w:spacing w:val="-13"/>
        </w:rPr>
        <w:t> </w:t>
      </w:r>
      <w:r>
        <w:rPr/>
        <w:t>ocasionar</w:t>
      </w:r>
      <w:r>
        <w:rPr>
          <w:spacing w:val="-21"/>
        </w:rPr>
        <w:t> </w:t>
      </w:r>
      <w:r>
        <w:rPr/>
        <w:t>durante</w:t>
      </w:r>
      <w:r>
        <w:rPr>
          <w:spacing w:val="-14"/>
        </w:rPr>
        <w:t> </w:t>
      </w:r>
      <w:r>
        <w:rPr/>
        <w:t>tratamientos</w:t>
      </w:r>
      <w:r>
        <w:rPr>
          <w:spacing w:val="-18"/>
        </w:rPr>
        <w:t> </w:t>
      </w:r>
      <w:r>
        <w:rPr/>
        <w:t>prolongados</w:t>
      </w:r>
      <w:r>
        <w:rPr>
          <w:spacing w:val="-18"/>
        </w:rPr>
        <w:t> </w:t>
      </w:r>
      <w:r>
        <w:rPr/>
        <w:t>y</w:t>
      </w:r>
      <w:r>
        <w:rPr>
          <w:spacing w:val="-18"/>
        </w:rPr>
        <w:t> </w:t>
      </w:r>
      <w:r>
        <w:rPr/>
        <w:t>con</w:t>
      </w:r>
      <w:r>
        <w:rPr>
          <w:spacing w:val="-21"/>
        </w:rPr>
        <w:t> </w:t>
      </w:r>
      <w:r>
        <w:rPr/>
        <w:t>dosis</w:t>
      </w:r>
      <w:r>
        <w:rPr>
          <w:spacing w:val="-18"/>
        </w:rPr>
        <w:t> </w:t>
      </w:r>
      <w:r>
        <w:rPr>
          <w:spacing w:val="-3"/>
        </w:rPr>
        <w:t>más </w:t>
      </w:r>
      <w:r>
        <w:rPr/>
        <w:t>altas.</w:t>
      </w:r>
    </w:p>
    <w:p>
      <w:pPr>
        <w:pStyle w:val="BodyText"/>
        <w:spacing w:line="276" w:lineRule="auto" w:before="213"/>
        <w:ind w:left="139" w:right="133"/>
        <w:jc w:val="both"/>
      </w:pPr>
      <w:r>
        <w:rPr/>
        <w:t>El control de la enfermedad mediante vacunación ha sido difícil ya que aún no se ha desarrollado una vacuna efectiva. Soto </w:t>
      </w:r>
      <w:r>
        <w:rPr>
          <w:i/>
        </w:rPr>
        <w:t>et al</w:t>
      </w:r>
      <w:r>
        <w:rPr/>
        <w:t>., (2011) elaboraron una vacuna por inmersión utilizando el gen IglC de FNO obteniendo resultados favorables; en los peces en los cuales se realizó </w:t>
      </w:r>
      <w:r>
        <w:rPr>
          <w:spacing w:val="5"/>
        </w:rPr>
        <w:t>la </w:t>
      </w:r>
      <w:r>
        <w:rPr/>
        <w:t>vacunación presentaron hasta un 90% de supervivencia</w:t>
      </w:r>
      <w:r>
        <w:rPr>
          <w:spacing w:val="-8"/>
        </w:rPr>
        <w:t> </w:t>
      </w:r>
      <w:r>
        <w:rPr/>
        <w:t>al</w:t>
      </w:r>
      <w:r>
        <w:rPr>
          <w:spacing w:val="-3"/>
        </w:rPr>
        <w:t> </w:t>
      </w:r>
      <w:r>
        <w:rPr/>
        <w:t>ser</w:t>
      </w:r>
      <w:r>
        <w:rPr>
          <w:spacing w:val="-10"/>
        </w:rPr>
        <w:t> </w:t>
      </w:r>
      <w:r>
        <w:rPr/>
        <w:t>desafiados,</w:t>
      </w:r>
      <w:r>
        <w:rPr>
          <w:spacing w:val="-4"/>
        </w:rPr>
        <w:t> </w:t>
      </w:r>
      <w:r>
        <w:rPr/>
        <w:t>en</w:t>
      </w:r>
      <w:r>
        <w:rPr>
          <w:spacing w:val="-6"/>
        </w:rPr>
        <w:t> </w:t>
      </w:r>
      <w:r>
        <w:rPr/>
        <w:t>comparación</w:t>
      </w:r>
      <w:r>
        <w:rPr>
          <w:spacing w:val="-6"/>
        </w:rPr>
        <w:t> </w:t>
      </w:r>
      <w:r>
        <w:rPr/>
        <w:t>con</w:t>
      </w:r>
      <w:r>
        <w:rPr>
          <w:spacing w:val="-11"/>
        </w:rPr>
        <w:t> </w:t>
      </w:r>
      <w:r>
        <w:rPr/>
        <w:t>los</w:t>
      </w:r>
      <w:r>
        <w:rPr>
          <w:spacing w:val="-12"/>
        </w:rPr>
        <w:t> </w:t>
      </w:r>
      <w:r>
        <w:rPr/>
        <w:t>peces</w:t>
      </w:r>
      <w:r>
        <w:rPr>
          <w:spacing w:val="-7"/>
        </w:rPr>
        <w:t> </w:t>
      </w:r>
      <w:r>
        <w:rPr/>
        <w:t>que</w:t>
      </w:r>
      <w:r>
        <w:rPr>
          <w:spacing w:val="-6"/>
        </w:rPr>
        <w:t> </w:t>
      </w:r>
      <w:r>
        <w:rPr/>
        <w:t>no</w:t>
      </w:r>
      <w:r>
        <w:rPr>
          <w:spacing w:val="-11"/>
        </w:rPr>
        <w:t> </w:t>
      </w:r>
      <w:r>
        <w:rPr/>
        <w:t>recibieron</w:t>
      </w:r>
      <w:r>
        <w:rPr>
          <w:spacing w:val="-2"/>
        </w:rPr>
        <w:t> </w:t>
      </w:r>
      <w:r>
        <w:rPr/>
        <w:t>la vacunación mismos que presentaron alta mortalidad apartir del día 7 despues del desafio, estos resultados dependían </w:t>
      </w:r>
      <w:r>
        <w:rPr>
          <w:spacing w:val="-3"/>
        </w:rPr>
        <w:t>del </w:t>
      </w:r>
      <w:r>
        <w:rPr/>
        <w:t>tratamiento aplicado, y se relacionaban directamentes con la cantidad de UFC aplicadas y el tiempo de inmersión en la solución vacunal utilizada (Colquhoun y Duodu, 2011; Soto </w:t>
      </w:r>
      <w:r>
        <w:rPr>
          <w:i/>
        </w:rPr>
        <w:t>et al</w:t>
      </w:r>
      <w:r>
        <w:rPr/>
        <w:t>., 2009; Soto </w:t>
      </w:r>
      <w:r>
        <w:rPr>
          <w:i/>
        </w:rPr>
        <w:t>et al</w:t>
      </w:r>
      <w:r>
        <w:rPr/>
        <w:t>., 2010).</w:t>
      </w:r>
    </w:p>
    <w:p>
      <w:pPr>
        <w:spacing w:after="0" w:line="276" w:lineRule="auto"/>
        <w:jc w:val="both"/>
        <w:sectPr>
          <w:footerReference w:type="default" r:id="rId27"/>
          <w:pgSz w:w="12240" w:h="15840"/>
          <w:pgMar w:footer="998" w:header="752" w:top="1000" w:bottom="1180" w:left="1560" w:right="1560"/>
          <w:pgNumType w:start="31"/>
        </w:sectPr>
      </w:pPr>
    </w:p>
    <w:p>
      <w:pPr>
        <w:pStyle w:val="BodyText"/>
        <w:spacing w:before="7"/>
        <w:rPr>
          <w:sz w:val="28"/>
        </w:rPr>
      </w:pPr>
    </w:p>
    <w:p>
      <w:pPr>
        <w:pStyle w:val="Heading1"/>
        <w:numPr>
          <w:ilvl w:val="0"/>
          <w:numId w:val="8"/>
        </w:numPr>
        <w:tabs>
          <w:tab w:pos="409" w:val="left" w:leader="none"/>
        </w:tabs>
        <w:spacing w:line="240" w:lineRule="auto" w:before="70" w:after="0"/>
        <w:ind w:left="408" w:right="0" w:hanging="269"/>
        <w:jc w:val="both"/>
      </w:pPr>
      <w:bookmarkStart w:name="_bookmark38" w:id="62"/>
      <w:bookmarkEnd w:id="62"/>
      <w:r>
        <w:rPr>
          <w:b w:val="0"/>
        </w:rPr>
      </w:r>
      <w:bookmarkStart w:name="_bookmark38" w:id="63"/>
      <w:bookmarkEnd w:id="63"/>
      <w:r>
        <w:rPr>
          <w:color w:val="365F91"/>
        </w:rPr>
        <w:t>J</w:t>
      </w:r>
      <w:r>
        <w:rPr>
          <w:color w:val="365F91"/>
        </w:rPr>
        <w:t>USTIFICACIÓN</w:t>
      </w:r>
    </w:p>
    <w:p>
      <w:pPr>
        <w:pStyle w:val="BodyText"/>
        <w:spacing w:line="276" w:lineRule="auto" w:before="45"/>
        <w:ind w:left="139" w:right="133"/>
        <w:jc w:val="both"/>
      </w:pPr>
      <w:r>
        <w:rPr/>
        <w:t>Durante las últimas décadas, se han reportado epizootias de una enfermedad causada por bacterias intracelulares facultativas pertenecientes al género </w:t>
      </w:r>
      <w:r>
        <w:rPr>
          <w:i/>
        </w:rPr>
        <w:t>Francisella </w:t>
      </w:r>
      <w:r>
        <w:rPr/>
        <w:t>en tilapia (</w:t>
      </w:r>
      <w:r>
        <w:rPr>
          <w:i/>
        </w:rPr>
        <w:t>Oreochromis </w:t>
      </w:r>
      <w:r>
        <w:rPr/>
        <w:t>sp) en Hawái, Taiwán, Costa rica, Inglaterra y Estados Unidos, provocando grandes estragos a la producción en estos países.</w:t>
      </w:r>
      <w:r>
        <w:rPr>
          <w:spacing w:val="-39"/>
        </w:rPr>
        <w:t> </w:t>
      </w:r>
      <w:r>
        <w:rPr/>
        <w:t>En México la enfermedad producida por miembros de este género se diagnosticó por primera vez a finales del año 2012 en una granja de reproducción del estado de Morelos; en los meses posteriores la enfermedad se presentó en granjas de diferentes municipios del estado provocando mortalidades que llegaban al 40%. Desde la presentación de los primeros casos hasta ahora la enfermedad se ha presentado en diferentes estados del país. Además, pueden existir infecciones subclínicas crónicas; que llegan a afectar a los peces hasta la etapa adulta y que constituyen una fuente de trasmisión a etapas </w:t>
      </w:r>
      <w:r>
        <w:rPr>
          <w:spacing w:val="-3"/>
        </w:rPr>
        <w:t>más </w:t>
      </w:r>
      <w:r>
        <w:rPr/>
        <w:t>tempranas en las que causa mayores afecciones, sobre todo en granjas en las que se utilizan sistemas de recirculación de agua. En vista de que la enfermedad se está propagando rápidamente en el territorio Mexicano, es necesario identificar peces que están infectados y no presentan signos clínicos de enfermedad (portadores asintomáticos), mediante técnicas de laboratorio </w:t>
      </w:r>
      <w:r>
        <w:rPr>
          <w:spacing w:val="-3"/>
        </w:rPr>
        <w:t>más </w:t>
      </w:r>
      <w:r>
        <w:rPr/>
        <w:t>rápidas, </w:t>
      </w:r>
      <w:r>
        <w:rPr>
          <w:spacing w:val="-3"/>
        </w:rPr>
        <w:t>más </w:t>
      </w:r>
      <w:r>
        <w:rPr/>
        <w:t>sensibles, específicas y rápidas para el diagnóstico oportuno de esta enfermedad. Para responder a esta necesidad; en el presente </w:t>
      </w:r>
      <w:r>
        <w:rPr>
          <w:spacing w:val="-3"/>
        </w:rPr>
        <w:t>trabajo </w:t>
      </w:r>
      <w:r>
        <w:rPr/>
        <w:t>se realizó la comparación de la sensibilidad que ofrecen las técnicas de diagnóstico PCR Punto Final y PCR Anidado, realizándose complementariamente el análisis clínico macroscópico e histopatológico para determinar la técnica con la cual </w:t>
      </w:r>
      <w:r>
        <w:rPr>
          <w:spacing w:val="-3"/>
        </w:rPr>
        <w:t>se </w:t>
      </w:r>
      <w:r>
        <w:rPr/>
        <w:t>obtiene mayor posibilidad de diagnosticar peces infectados que no presentan signos clínicos de</w:t>
      </w:r>
      <w:r>
        <w:rPr>
          <w:spacing w:val="-30"/>
        </w:rPr>
        <w:t> </w:t>
      </w:r>
      <w:r>
        <w:rPr/>
        <w:t>enfermedad.</w:t>
      </w:r>
    </w:p>
    <w:p>
      <w:pPr>
        <w:spacing w:after="0" w:line="276" w:lineRule="auto"/>
        <w:jc w:val="both"/>
        <w:sectPr>
          <w:pgSz w:w="12240" w:h="15840"/>
          <w:pgMar w:header="752" w:footer="998" w:top="1000" w:bottom="1180" w:left="1560" w:right="1560"/>
        </w:sectPr>
      </w:pPr>
    </w:p>
    <w:p>
      <w:pPr>
        <w:pStyle w:val="BodyText"/>
        <w:spacing w:before="7"/>
        <w:rPr>
          <w:sz w:val="28"/>
        </w:rPr>
      </w:pPr>
    </w:p>
    <w:p>
      <w:pPr>
        <w:pStyle w:val="Heading1"/>
        <w:numPr>
          <w:ilvl w:val="0"/>
          <w:numId w:val="8"/>
        </w:numPr>
        <w:tabs>
          <w:tab w:pos="409" w:val="left" w:leader="none"/>
        </w:tabs>
        <w:spacing w:line="240" w:lineRule="auto" w:before="70" w:after="0"/>
        <w:ind w:left="408" w:right="0" w:hanging="269"/>
        <w:jc w:val="both"/>
      </w:pPr>
      <w:bookmarkStart w:name="_bookmark39" w:id="64"/>
      <w:bookmarkEnd w:id="64"/>
      <w:r>
        <w:rPr>
          <w:b w:val="0"/>
        </w:rPr>
      </w:r>
      <w:bookmarkStart w:name="_bookmark39" w:id="65"/>
      <w:bookmarkEnd w:id="65"/>
      <w:r>
        <w:rPr>
          <w:color w:val="365F91"/>
        </w:rPr>
        <w:t>H</w:t>
      </w:r>
      <w:r>
        <w:rPr>
          <w:color w:val="365F91"/>
        </w:rPr>
        <w:t>IPÓTESIS</w:t>
      </w:r>
    </w:p>
    <w:p>
      <w:pPr>
        <w:pStyle w:val="BodyText"/>
        <w:spacing w:line="276" w:lineRule="auto" w:before="45"/>
        <w:ind w:left="139" w:right="133"/>
        <w:jc w:val="both"/>
      </w:pPr>
      <w:r>
        <w:rPr/>
        <w:t>La</w:t>
      </w:r>
      <w:r>
        <w:rPr>
          <w:spacing w:val="-5"/>
        </w:rPr>
        <w:t> </w:t>
      </w:r>
      <w:r>
        <w:rPr/>
        <w:t>técnica</w:t>
      </w:r>
      <w:r>
        <w:rPr>
          <w:spacing w:val="-5"/>
        </w:rPr>
        <w:t> </w:t>
      </w:r>
      <w:r>
        <w:rPr/>
        <w:t>de</w:t>
      </w:r>
      <w:r>
        <w:rPr>
          <w:spacing w:val="-5"/>
        </w:rPr>
        <w:t> </w:t>
      </w:r>
      <w:r>
        <w:rPr/>
        <w:t>PCR</w:t>
      </w:r>
      <w:r>
        <w:rPr>
          <w:spacing w:val="-5"/>
        </w:rPr>
        <w:t> </w:t>
      </w:r>
      <w:r>
        <w:rPr/>
        <w:t>anidada</w:t>
      </w:r>
      <w:r>
        <w:rPr>
          <w:spacing w:val="-3"/>
        </w:rPr>
        <w:t> </w:t>
      </w:r>
      <w:r>
        <w:rPr/>
        <w:t>ofrece</w:t>
      </w:r>
      <w:r>
        <w:rPr>
          <w:spacing w:val="-5"/>
        </w:rPr>
        <w:t> </w:t>
      </w:r>
      <w:r>
        <w:rPr/>
        <w:t>mayor</w:t>
      </w:r>
      <w:r>
        <w:rPr>
          <w:spacing w:val="-4"/>
        </w:rPr>
        <w:t> </w:t>
      </w:r>
      <w:r>
        <w:rPr/>
        <w:t>sensibilidad</w:t>
      </w:r>
      <w:r>
        <w:rPr>
          <w:spacing w:val="-1"/>
        </w:rPr>
        <w:t> </w:t>
      </w:r>
      <w:r>
        <w:rPr/>
        <w:t>para</w:t>
      </w:r>
      <w:r>
        <w:rPr>
          <w:spacing w:val="-9"/>
        </w:rPr>
        <w:t> </w:t>
      </w:r>
      <w:r>
        <w:rPr/>
        <w:t>la</w:t>
      </w:r>
      <w:r>
        <w:rPr>
          <w:spacing w:val="-5"/>
        </w:rPr>
        <w:t> </w:t>
      </w:r>
      <w:r>
        <w:rPr/>
        <w:t>identificación</w:t>
      </w:r>
      <w:r>
        <w:rPr>
          <w:spacing w:val="-2"/>
        </w:rPr>
        <w:t> </w:t>
      </w:r>
      <w:r>
        <w:rPr/>
        <w:t>de</w:t>
      </w:r>
      <w:r>
        <w:rPr>
          <w:spacing w:val="-4"/>
        </w:rPr>
        <w:t> </w:t>
      </w:r>
      <w:r>
        <w:rPr/>
        <w:t>FNO en tilapias con o sin signos clínicos de enfermedad en comparación con la técnica de PCR Punto</w:t>
      </w:r>
      <w:r>
        <w:rPr>
          <w:spacing w:val="-3"/>
        </w:rPr>
        <w:t> </w:t>
      </w:r>
      <w:r>
        <w:rPr/>
        <w:t>final.</w:t>
      </w:r>
    </w:p>
    <w:p>
      <w:pPr>
        <w:spacing w:after="0" w:line="276" w:lineRule="auto"/>
        <w:jc w:val="both"/>
        <w:sectPr>
          <w:pgSz w:w="12240" w:h="15840"/>
          <w:pgMar w:header="752" w:footer="998" w:top="1000" w:bottom="1180" w:left="1560" w:right="1560"/>
        </w:sectPr>
      </w:pPr>
    </w:p>
    <w:p>
      <w:pPr>
        <w:pStyle w:val="BodyText"/>
        <w:spacing w:before="7"/>
        <w:rPr>
          <w:sz w:val="28"/>
        </w:rPr>
      </w:pPr>
    </w:p>
    <w:p>
      <w:pPr>
        <w:pStyle w:val="Heading1"/>
        <w:numPr>
          <w:ilvl w:val="0"/>
          <w:numId w:val="8"/>
        </w:numPr>
        <w:tabs>
          <w:tab w:pos="409" w:val="left" w:leader="none"/>
        </w:tabs>
        <w:spacing w:line="240" w:lineRule="auto" w:before="70" w:after="0"/>
        <w:ind w:left="408" w:right="0" w:hanging="269"/>
        <w:jc w:val="both"/>
      </w:pPr>
      <w:bookmarkStart w:name="_bookmark40" w:id="66"/>
      <w:bookmarkEnd w:id="66"/>
      <w:r>
        <w:rPr>
          <w:b w:val="0"/>
        </w:rPr>
      </w:r>
      <w:bookmarkStart w:name="_bookmark40" w:id="67"/>
      <w:bookmarkEnd w:id="67"/>
      <w:r>
        <w:rPr>
          <w:color w:val="365F91"/>
        </w:rPr>
        <w:t>OBJ</w:t>
      </w:r>
      <w:r>
        <w:rPr>
          <w:color w:val="365F91"/>
        </w:rPr>
        <w:t>ETIVOS</w:t>
      </w:r>
    </w:p>
    <w:p>
      <w:pPr>
        <w:pStyle w:val="BodyText"/>
        <w:rPr>
          <w:b/>
        </w:rPr>
      </w:pPr>
    </w:p>
    <w:p>
      <w:pPr>
        <w:pStyle w:val="BodyText"/>
        <w:spacing w:before="7"/>
        <w:rPr>
          <w:b/>
        </w:rPr>
      </w:pPr>
    </w:p>
    <w:p>
      <w:pPr>
        <w:pStyle w:val="Heading1"/>
        <w:numPr>
          <w:ilvl w:val="1"/>
          <w:numId w:val="8"/>
        </w:numPr>
        <w:tabs>
          <w:tab w:pos="1264" w:val="left" w:leader="none"/>
        </w:tabs>
        <w:spacing w:line="240" w:lineRule="auto" w:before="1" w:after="0"/>
        <w:ind w:left="1263" w:right="0" w:hanging="403"/>
        <w:jc w:val="left"/>
      </w:pPr>
      <w:bookmarkStart w:name="_bookmark41" w:id="68"/>
      <w:bookmarkEnd w:id="68"/>
      <w:r>
        <w:rPr>
          <w:b w:val="0"/>
        </w:rPr>
      </w:r>
      <w:bookmarkStart w:name="_bookmark41" w:id="69"/>
      <w:bookmarkEnd w:id="69"/>
      <w:r>
        <w:rPr>
          <w:color w:val="365F91"/>
        </w:rPr>
        <w:t>O</w:t>
      </w:r>
      <w:r>
        <w:rPr>
          <w:color w:val="365F91"/>
        </w:rPr>
        <w:t>bjetivo</w:t>
      </w:r>
      <w:r>
        <w:rPr>
          <w:color w:val="365F91"/>
          <w:spacing w:val="-8"/>
        </w:rPr>
        <w:t> </w:t>
      </w:r>
      <w:r>
        <w:rPr>
          <w:color w:val="365F91"/>
        </w:rPr>
        <w:t>general</w:t>
      </w:r>
    </w:p>
    <w:p>
      <w:pPr>
        <w:pStyle w:val="BodyText"/>
        <w:rPr>
          <w:b/>
        </w:rPr>
      </w:pPr>
    </w:p>
    <w:p>
      <w:pPr>
        <w:pStyle w:val="BodyText"/>
        <w:rPr>
          <w:b/>
          <w:sz w:val="25"/>
        </w:rPr>
      </w:pPr>
    </w:p>
    <w:p>
      <w:pPr>
        <w:pStyle w:val="BodyText"/>
        <w:spacing w:line="273" w:lineRule="auto"/>
        <w:ind w:left="139" w:right="132"/>
        <w:jc w:val="both"/>
      </w:pPr>
      <w:r>
        <w:rPr/>
        <w:t>Determinar la presencia de FNO en muestras de tilapia (</w:t>
      </w:r>
      <w:r>
        <w:rPr>
          <w:i/>
        </w:rPr>
        <w:t>Oreochromis </w:t>
      </w:r>
      <w:r>
        <w:rPr/>
        <w:t>sp.) y comparar la sensibilidad y especificidad de la técnica de PCR Anidado con PCR Punto final, complementándolas con análisis clínico macroscópico y análisis histopatológico para el diagnóstico de francisellosis en tilapias con y sin signos clínicos de enfermedad.</w:t>
      </w:r>
    </w:p>
    <w:p>
      <w:pPr>
        <w:pStyle w:val="BodyText"/>
      </w:pPr>
    </w:p>
    <w:p>
      <w:pPr>
        <w:pStyle w:val="BodyText"/>
      </w:pPr>
    </w:p>
    <w:p>
      <w:pPr>
        <w:pStyle w:val="Heading1"/>
        <w:numPr>
          <w:ilvl w:val="1"/>
          <w:numId w:val="8"/>
        </w:numPr>
        <w:tabs>
          <w:tab w:pos="544" w:val="left" w:leader="none"/>
        </w:tabs>
        <w:spacing w:line="240" w:lineRule="auto" w:before="171" w:after="0"/>
        <w:ind w:left="543" w:right="0" w:hanging="404"/>
        <w:jc w:val="both"/>
      </w:pPr>
      <w:bookmarkStart w:name="_bookmark42" w:id="70"/>
      <w:bookmarkEnd w:id="70"/>
      <w:r>
        <w:rPr>
          <w:b w:val="0"/>
        </w:rPr>
      </w:r>
      <w:bookmarkStart w:name="_bookmark42" w:id="71"/>
      <w:bookmarkEnd w:id="71"/>
      <w:r>
        <w:rPr>
          <w:color w:val="365F91"/>
        </w:rPr>
        <w:t>O</w:t>
      </w:r>
      <w:r>
        <w:rPr>
          <w:color w:val="365F91"/>
        </w:rPr>
        <w:t>bjetivos</w:t>
      </w:r>
      <w:r>
        <w:rPr>
          <w:color w:val="365F91"/>
          <w:spacing w:val="-13"/>
        </w:rPr>
        <w:t> </w:t>
      </w:r>
      <w:r>
        <w:rPr>
          <w:color w:val="365F91"/>
        </w:rPr>
        <w:t>específicos</w:t>
      </w:r>
    </w:p>
    <w:p>
      <w:pPr>
        <w:pStyle w:val="BodyText"/>
        <w:spacing w:before="4"/>
        <w:rPr>
          <w:b/>
          <w:sz w:val="31"/>
        </w:rPr>
      </w:pPr>
    </w:p>
    <w:p>
      <w:pPr>
        <w:pStyle w:val="ListParagraph"/>
        <w:numPr>
          <w:ilvl w:val="0"/>
          <w:numId w:val="9"/>
        </w:numPr>
        <w:tabs>
          <w:tab w:pos="860" w:val="left" w:leader="none"/>
          <w:tab w:pos="861" w:val="left" w:leader="none"/>
        </w:tabs>
        <w:spacing w:line="240" w:lineRule="auto" w:before="0" w:after="0"/>
        <w:ind w:left="860" w:right="0" w:hanging="360"/>
        <w:jc w:val="left"/>
        <w:rPr>
          <w:rFonts w:ascii="Arial"/>
          <w:sz w:val="24"/>
        </w:rPr>
      </w:pPr>
      <w:r>
        <w:rPr>
          <w:rFonts w:ascii="Arial"/>
          <w:sz w:val="24"/>
        </w:rPr>
        <w:t>Determinar la presencia de FNO en muestras de tilapia (</w:t>
      </w:r>
      <w:r>
        <w:rPr>
          <w:rFonts w:ascii="Arial"/>
          <w:i/>
          <w:sz w:val="24"/>
        </w:rPr>
        <w:t>Oreochromis</w:t>
      </w:r>
      <w:r>
        <w:rPr>
          <w:rFonts w:ascii="Arial"/>
          <w:i/>
          <w:spacing w:val="-24"/>
          <w:sz w:val="24"/>
        </w:rPr>
        <w:t> </w:t>
      </w:r>
      <w:r>
        <w:rPr>
          <w:rFonts w:ascii="Arial"/>
          <w:sz w:val="24"/>
        </w:rPr>
        <w:t>sp.).</w:t>
      </w:r>
    </w:p>
    <w:p>
      <w:pPr>
        <w:pStyle w:val="BodyText"/>
        <w:spacing w:before="2"/>
        <w:rPr>
          <w:sz w:val="31"/>
        </w:rPr>
      </w:pPr>
    </w:p>
    <w:p>
      <w:pPr>
        <w:pStyle w:val="ListParagraph"/>
        <w:numPr>
          <w:ilvl w:val="0"/>
          <w:numId w:val="9"/>
        </w:numPr>
        <w:tabs>
          <w:tab w:pos="860" w:val="left" w:leader="none"/>
          <w:tab w:pos="861" w:val="left" w:leader="none"/>
        </w:tabs>
        <w:spacing w:line="271" w:lineRule="auto" w:before="0" w:after="0"/>
        <w:ind w:left="860" w:right="136" w:hanging="360"/>
        <w:jc w:val="left"/>
        <w:rPr>
          <w:rFonts w:ascii="Arial" w:hAnsi="Arial"/>
          <w:sz w:val="24"/>
        </w:rPr>
      </w:pPr>
      <w:r>
        <w:rPr>
          <w:rFonts w:ascii="Arial" w:hAnsi="Arial"/>
          <w:sz w:val="24"/>
        </w:rPr>
        <w:t>Estandarizar</w:t>
      </w:r>
      <w:r>
        <w:rPr>
          <w:rFonts w:ascii="Arial" w:hAnsi="Arial"/>
          <w:spacing w:val="-14"/>
          <w:sz w:val="24"/>
        </w:rPr>
        <w:t> </w:t>
      </w:r>
      <w:r>
        <w:rPr>
          <w:rFonts w:ascii="Arial" w:hAnsi="Arial"/>
          <w:sz w:val="24"/>
        </w:rPr>
        <w:t>las</w:t>
      </w:r>
      <w:r>
        <w:rPr>
          <w:rFonts w:ascii="Arial" w:hAnsi="Arial"/>
          <w:spacing w:val="-11"/>
          <w:sz w:val="24"/>
        </w:rPr>
        <w:t> </w:t>
      </w:r>
      <w:r>
        <w:rPr>
          <w:rFonts w:ascii="Arial" w:hAnsi="Arial"/>
          <w:sz w:val="24"/>
        </w:rPr>
        <w:t>técnicas</w:t>
      </w:r>
      <w:r>
        <w:rPr>
          <w:rFonts w:ascii="Arial" w:hAnsi="Arial"/>
          <w:spacing w:val="-7"/>
          <w:sz w:val="24"/>
        </w:rPr>
        <w:t> </w:t>
      </w:r>
      <w:r>
        <w:rPr>
          <w:rFonts w:ascii="Arial" w:hAnsi="Arial"/>
          <w:sz w:val="24"/>
        </w:rPr>
        <w:t>PCR</w:t>
      </w:r>
      <w:r>
        <w:rPr>
          <w:rFonts w:ascii="Arial" w:hAnsi="Arial"/>
          <w:spacing w:val="-12"/>
          <w:sz w:val="24"/>
        </w:rPr>
        <w:t> </w:t>
      </w:r>
      <w:r>
        <w:rPr>
          <w:rFonts w:ascii="Arial" w:hAnsi="Arial"/>
          <w:sz w:val="24"/>
        </w:rPr>
        <w:t>punto</w:t>
      </w:r>
      <w:r>
        <w:rPr>
          <w:rFonts w:ascii="Arial" w:hAnsi="Arial"/>
          <w:spacing w:val="-9"/>
          <w:sz w:val="24"/>
        </w:rPr>
        <w:t> </w:t>
      </w:r>
      <w:r>
        <w:rPr>
          <w:rFonts w:ascii="Arial" w:hAnsi="Arial"/>
          <w:sz w:val="24"/>
        </w:rPr>
        <w:t>final</w:t>
      </w:r>
      <w:r>
        <w:rPr>
          <w:rFonts w:ascii="Arial" w:hAnsi="Arial"/>
          <w:spacing w:val="-6"/>
          <w:sz w:val="24"/>
        </w:rPr>
        <w:t> </w:t>
      </w:r>
      <w:r>
        <w:rPr>
          <w:rFonts w:ascii="Arial" w:hAnsi="Arial"/>
          <w:sz w:val="24"/>
        </w:rPr>
        <w:t>y</w:t>
      </w:r>
      <w:r>
        <w:rPr>
          <w:rFonts w:ascii="Arial" w:hAnsi="Arial"/>
          <w:spacing w:val="-11"/>
          <w:sz w:val="24"/>
        </w:rPr>
        <w:t> </w:t>
      </w:r>
      <w:r>
        <w:rPr>
          <w:rFonts w:ascii="Arial" w:hAnsi="Arial"/>
          <w:spacing w:val="-3"/>
          <w:sz w:val="24"/>
        </w:rPr>
        <w:t>PCR</w:t>
      </w:r>
      <w:r>
        <w:rPr>
          <w:rFonts w:ascii="Arial" w:hAnsi="Arial"/>
          <w:spacing w:val="-12"/>
          <w:sz w:val="24"/>
        </w:rPr>
        <w:t> </w:t>
      </w:r>
      <w:r>
        <w:rPr>
          <w:rFonts w:ascii="Arial" w:hAnsi="Arial"/>
          <w:sz w:val="24"/>
        </w:rPr>
        <w:t>Anidada</w:t>
      </w:r>
      <w:r>
        <w:rPr>
          <w:rFonts w:ascii="Arial" w:hAnsi="Arial"/>
          <w:spacing w:val="-5"/>
          <w:sz w:val="24"/>
        </w:rPr>
        <w:t> </w:t>
      </w:r>
      <w:r>
        <w:rPr>
          <w:rFonts w:ascii="Arial" w:hAnsi="Arial"/>
          <w:sz w:val="24"/>
        </w:rPr>
        <w:t>para</w:t>
      </w:r>
      <w:r>
        <w:rPr>
          <w:rFonts w:ascii="Arial" w:hAnsi="Arial"/>
          <w:spacing w:val="-10"/>
          <w:sz w:val="24"/>
        </w:rPr>
        <w:t> </w:t>
      </w:r>
      <w:r>
        <w:rPr>
          <w:rFonts w:ascii="Arial" w:hAnsi="Arial"/>
          <w:sz w:val="24"/>
        </w:rPr>
        <w:t>el</w:t>
      </w:r>
      <w:r>
        <w:rPr>
          <w:rFonts w:ascii="Arial" w:hAnsi="Arial"/>
          <w:spacing w:val="-6"/>
          <w:sz w:val="24"/>
        </w:rPr>
        <w:t> </w:t>
      </w:r>
      <w:r>
        <w:rPr>
          <w:rFonts w:ascii="Arial" w:hAnsi="Arial"/>
          <w:sz w:val="24"/>
        </w:rPr>
        <w:t>diagnóstico de FNO en</w:t>
      </w:r>
      <w:r>
        <w:rPr>
          <w:rFonts w:ascii="Arial" w:hAnsi="Arial"/>
          <w:spacing w:val="-7"/>
          <w:sz w:val="24"/>
        </w:rPr>
        <w:t> </w:t>
      </w:r>
      <w:r>
        <w:rPr>
          <w:rFonts w:ascii="Arial" w:hAnsi="Arial"/>
          <w:sz w:val="24"/>
        </w:rPr>
        <w:t>México.</w:t>
      </w:r>
    </w:p>
    <w:p>
      <w:pPr>
        <w:pStyle w:val="BodyText"/>
        <w:spacing w:before="4"/>
        <w:rPr>
          <w:sz w:val="28"/>
        </w:rPr>
      </w:pPr>
    </w:p>
    <w:p>
      <w:pPr>
        <w:pStyle w:val="ListParagraph"/>
        <w:numPr>
          <w:ilvl w:val="0"/>
          <w:numId w:val="9"/>
        </w:numPr>
        <w:tabs>
          <w:tab w:pos="860" w:val="left" w:leader="none"/>
          <w:tab w:pos="861" w:val="left" w:leader="none"/>
        </w:tabs>
        <w:spacing w:line="268" w:lineRule="auto" w:before="0" w:after="0"/>
        <w:ind w:left="860" w:right="136" w:hanging="360"/>
        <w:jc w:val="left"/>
        <w:rPr>
          <w:rFonts w:ascii="Arial" w:hAnsi="Arial"/>
          <w:sz w:val="24"/>
        </w:rPr>
      </w:pPr>
      <w:r>
        <w:rPr>
          <w:rFonts w:ascii="Arial" w:hAnsi="Arial"/>
          <w:sz w:val="24"/>
        </w:rPr>
        <w:t>Determinar la sensibilidad y especificidad de la técnica de PCR punto final y compararla con la técnica de PCR</w:t>
      </w:r>
      <w:r>
        <w:rPr>
          <w:rFonts w:ascii="Arial" w:hAnsi="Arial"/>
          <w:spacing w:val="-8"/>
          <w:sz w:val="24"/>
        </w:rPr>
        <w:t> </w:t>
      </w:r>
      <w:r>
        <w:rPr>
          <w:rFonts w:ascii="Arial" w:hAnsi="Arial"/>
          <w:sz w:val="24"/>
        </w:rPr>
        <w:t>Anidada.</w:t>
      </w:r>
    </w:p>
    <w:p>
      <w:pPr>
        <w:spacing w:after="0" w:line="268" w:lineRule="auto"/>
        <w:jc w:val="left"/>
        <w:rPr>
          <w:rFonts w:ascii="Arial" w:hAnsi="Arial"/>
          <w:sz w:val="24"/>
        </w:rPr>
        <w:sectPr>
          <w:pgSz w:w="12240" w:h="15840"/>
          <w:pgMar w:header="752" w:footer="998" w:top="1000" w:bottom="1180" w:left="1560" w:right="1560"/>
        </w:sectPr>
      </w:pPr>
    </w:p>
    <w:p>
      <w:pPr>
        <w:pStyle w:val="BodyText"/>
        <w:spacing w:before="7"/>
        <w:rPr>
          <w:sz w:val="28"/>
        </w:rPr>
      </w:pPr>
    </w:p>
    <w:p>
      <w:pPr>
        <w:pStyle w:val="Heading1"/>
        <w:numPr>
          <w:ilvl w:val="0"/>
          <w:numId w:val="8"/>
        </w:numPr>
        <w:tabs>
          <w:tab w:pos="409" w:val="left" w:leader="none"/>
        </w:tabs>
        <w:spacing w:line="240" w:lineRule="auto" w:before="70" w:after="0"/>
        <w:ind w:left="408" w:right="0" w:hanging="269"/>
        <w:jc w:val="left"/>
      </w:pPr>
      <w:bookmarkStart w:name="_bookmark43" w:id="72"/>
      <w:bookmarkEnd w:id="72"/>
      <w:r>
        <w:rPr>
          <w:b w:val="0"/>
        </w:rPr>
      </w:r>
      <w:bookmarkStart w:name="_bookmark43" w:id="73"/>
      <w:bookmarkEnd w:id="73"/>
      <w:r>
        <w:rPr>
          <w:color w:val="365F91"/>
        </w:rPr>
        <w:t>M</w:t>
      </w:r>
      <w:r>
        <w:rPr>
          <w:color w:val="365F91"/>
        </w:rPr>
        <w:t>ATERIAL Y</w:t>
      </w:r>
      <w:r>
        <w:rPr>
          <w:color w:val="365F91"/>
          <w:spacing w:val="-6"/>
        </w:rPr>
        <w:t> </w:t>
      </w:r>
      <w:r>
        <w:rPr>
          <w:color w:val="365F91"/>
        </w:rPr>
        <w:t>MÉTODO</w:t>
      </w:r>
    </w:p>
    <w:p>
      <w:pPr>
        <w:pStyle w:val="Heading1"/>
        <w:numPr>
          <w:ilvl w:val="1"/>
          <w:numId w:val="8"/>
        </w:numPr>
        <w:tabs>
          <w:tab w:pos="542" w:val="left" w:leader="none"/>
        </w:tabs>
        <w:spacing w:line="240" w:lineRule="auto" w:before="79" w:after="0"/>
        <w:ind w:left="541" w:right="0" w:hanging="402"/>
        <w:jc w:val="left"/>
      </w:pPr>
      <w:bookmarkStart w:name="_bookmark44" w:id="74"/>
      <w:bookmarkEnd w:id="74"/>
      <w:r>
        <w:rPr>
          <w:b w:val="0"/>
        </w:rPr>
      </w:r>
      <w:bookmarkStart w:name="_bookmark44" w:id="75"/>
      <w:bookmarkEnd w:id="75"/>
      <w:r>
        <w:rPr>
          <w:color w:val="365F91"/>
        </w:rPr>
        <w:t>M</w:t>
      </w:r>
      <w:r>
        <w:rPr>
          <w:color w:val="365F91"/>
        </w:rPr>
        <w:t>aterial</w:t>
      </w:r>
    </w:p>
    <w:p>
      <w:pPr>
        <w:pStyle w:val="BodyText"/>
        <w:spacing w:line="448" w:lineRule="auto" w:before="45"/>
        <w:ind w:left="139" w:right="1130"/>
      </w:pPr>
      <w:r>
        <w:rPr/>
        <w:t>Tilapias de una granja diagnosticada como positiva a francisellosis. Termocicladores: Multigene Mini Labnet y Techne Genius Transluminador: DNr Bio Imaging System Mini Pro</w:t>
      </w:r>
    </w:p>
    <w:p>
      <w:pPr>
        <w:pStyle w:val="BodyText"/>
        <w:spacing w:before="9"/>
        <w:ind w:left="139"/>
      </w:pPr>
      <w:r>
        <w:rPr/>
        <w:t>Centrifuga: Hermle Z 233 mk-2</w:t>
      </w:r>
    </w:p>
    <w:p>
      <w:pPr>
        <w:pStyle w:val="BodyText"/>
        <w:spacing w:before="1"/>
        <w:rPr>
          <w:sz w:val="21"/>
        </w:rPr>
      </w:pPr>
    </w:p>
    <w:p>
      <w:pPr>
        <w:pStyle w:val="BodyText"/>
        <w:spacing w:line="448" w:lineRule="auto"/>
        <w:ind w:left="139" w:right="2222"/>
        <w:jc w:val="both"/>
      </w:pPr>
      <w:r>
        <w:rPr/>
        <w:t>Camara de electrophoresis: Mupid-Exu Electrophoresis System Kit de Extraction de DNA: Winzar Genomic DNA Purification Kit Pipetas: RAININ 100-1000 µl</w:t>
      </w:r>
    </w:p>
    <w:p>
      <w:pPr>
        <w:pStyle w:val="BodyText"/>
        <w:spacing w:before="14"/>
        <w:ind w:left="1061"/>
      </w:pPr>
      <w:r>
        <w:rPr/>
        <w:t>RAININ 20-200 µl</w:t>
      </w:r>
    </w:p>
    <w:p>
      <w:pPr>
        <w:pStyle w:val="BodyText"/>
        <w:spacing w:before="5"/>
        <w:rPr>
          <w:sz w:val="31"/>
        </w:rPr>
      </w:pPr>
    </w:p>
    <w:p>
      <w:pPr>
        <w:pStyle w:val="BodyText"/>
        <w:spacing w:before="1"/>
        <w:ind w:left="1061"/>
      </w:pPr>
      <w:r>
        <w:rPr/>
        <w:t>RAININ 10-100 µl</w:t>
      </w:r>
    </w:p>
    <w:p>
      <w:pPr>
        <w:pStyle w:val="BodyText"/>
        <w:spacing w:before="7"/>
        <w:rPr>
          <w:sz w:val="30"/>
        </w:rPr>
      </w:pPr>
    </w:p>
    <w:p>
      <w:pPr>
        <w:pStyle w:val="BodyText"/>
        <w:spacing w:before="1"/>
        <w:ind w:left="1061"/>
      </w:pPr>
      <w:r>
        <w:rPr/>
        <w:t>RAININ 0.5-10 µ</w:t>
      </w:r>
    </w:p>
    <w:p>
      <w:pPr>
        <w:pStyle w:val="BodyText"/>
        <w:spacing w:before="1"/>
        <w:rPr>
          <w:sz w:val="21"/>
        </w:rPr>
      </w:pPr>
    </w:p>
    <w:p>
      <w:pPr>
        <w:pStyle w:val="BodyText"/>
        <w:ind w:left="139"/>
      </w:pPr>
      <w:r>
        <w:rPr/>
        <w:t>Puntas: Corning 10 µl</w:t>
      </w:r>
    </w:p>
    <w:p>
      <w:pPr>
        <w:pStyle w:val="BodyText"/>
        <w:rPr>
          <w:sz w:val="21"/>
        </w:rPr>
      </w:pPr>
    </w:p>
    <w:p>
      <w:pPr>
        <w:pStyle w:val="BodyText"/>
        <w:spacing w:before="1"/>
        <w:ind w:left="994"/>
      </w:pPr>
      <w:r>
        <w:rPr/>
        <w:t>Corning 100 µl</w:t>
      </w:r>
    </w:p>
    <w:p>
      <w:pPr>
        <w:pStyle w:val="BodyText"/>
        <w:spacing w:before="5"/>
        <w:rPr>
          <w:sz w:val="31"/>
        </w:rPr>
      </w:pPr>
    </w:p>
    <w:p>
      <w:pPr>
        <w:pStyle w:val="BodyText"/>
        <w:spacing w:before="1"/>
        <w:ind w:left="994"/>
      </w:pPr>
      <w:r>
        <w:rPr/>
        <w:t>Corning 200 µl</w:t>
      </w:r>
    </w:p>
    <w:p>
      <w:pPr>
        <w:pStyle w:val="BodyText"/>
        <w:spacing w:before="8"/>
        <w:rPr>
          <w:sz w:val="30"/>
        </w:rPr>
      </w:pPr>
    </w:p>
    <w:p>
      <w:pPr>
        <w:pStyle w:val="BodyText"/>
        <w:spacing w:line="448" w:lineRule="auto"/>
        <w:ind w:left="139" w:right="5519" w:firstLine="854"/>
      </w:pPr>
      <w:r>
        <w:rPr/>
        <w:t>Corning 1000 µl Guantes: Ambioderm Nitrilo Soft TAE 10X y 1X</w:t>
      </w:r>
    </w:p>
    <w:p>
      <w:pPr>
        <w:pStyle w:val="BodyText"/>
        <w:spacing w:line="451" w:lineRule="auto" w:before="9"/>
        <w:ind w:left="139" w:right="5487"/>
      </w:pPr>
      <w:r>
        <w:rPr/>
        <w:t>Agarosa: LE Analytical Grade Viales para PCR: Corning 200 µl Viales de 1.5 ml</w:t>
      </w:r>
    </w:p>
    <w:p>
      <w:pPr>
        <w:pStyle w:val="Heading1"/>
        <w:numPr>
          <w:ilvl w:val="1"/>
          <w:numId w:val="8"/>
        </w:numPr>
        <w:tabs>
          <w:tab w:pos="544" w:val="left" w:leader="none"/>
        </w:tabs>
        <w:spacing w:line="240" w:lineRule="auto" w:before="7" w:after="0"/>
        <w:ind w:left="543" w:right="0" w:hanging="404"/>
        <w:jc w:val="left"/>
      </w:pPr>
      <w:bookmarkStart w:name="_bookmark45" w:id="76"/>
      <w:bookmarkEnd w:id="76"/>
      <w:r>
        <w:rPr>
          <w:b w:val="0"/>
        </w:rPr>
      </w:r>
      <w:bookmarkStart w:name="_bookmark45" w:id="77"/>
      <w:bookmarkEnd w:id="77"/>
      <w:r>
        <w:rPr>
          <w:color w:val="365F91"/>
        </w:rPr>
        <w:t>M</w:t>
      </w:r>
      <w:r>
        <w:rPr>
          <w:color w:val="365F91"/>
        </w:rPr>
        <w:t>étodo</w:t>
      </w:r>
    </w:p>
    <w:p>
      <w:pPr>
        <w:pStyle w:val="Heading1"/>
        <w:numPr>
          <w:ilvl w:val="2"/>
          <w:numId w:val="8"/>
        </w:numPr>
        <w:tabs>
          <w:tab w:pos="745" w:val="left" w:leader="none"/>
        </w:tabs>
        <w:spacing w:line="240" w:lineRule="auto" w:before="79" w:after="0"/>
        <w:ind w:left="745" w:right="0" w:hanging="606"/>
        <w:jc w:val="left"/>
        <w:rPr>
          <w:color w:val="233E5F"/>
        </w:rPr>
      </w:pPr>
      <w:bookmarkStart w:name="_bookmark46" w:id="78"/>
      <w:bookmarkEnd w:id="78"/>
      <w:r>
        <w:rPr>
          <w:b w:val="0"/>
        </w:rPr>
      </w:r>
      <w:bookmarkStart w:name="_bookmark46" w:id="79"/>
      <w:bookmarkEnd w:id="79"/>
      <w:r>
        <w:rPr>
          <w:color w:val="233E5F"/>
        </w:rPr>
        <w:t>A</w:t>
      </w:r>
      <w:r>
        <w:rPr>
          <w:color w:val="233E5F"/>
        </w:rPr>
        <w:t>nálisis clínico</w:t>
      </w:r>
      <w:r>
        <w:rPr>
          <w:color w:val="233E5F"/>
          <w:spacing w:val="-18"/>
        </w:rPr>
        <w:t> </w:t>
      </w:r>
      <w:r>
        <w:rPr>
          <w:color w:val="233E5F"/>
        </w:rPr>
        <w:t>macroscópico</w:t>
      </w:r>
    </w:p>
    <w:p>
      <w:pPr>
        <w:pStyle w:val="BodyText"/>
        <w:spacing w:line="276" w:lineRule="auto" w:before="45"/>
        <w:ind w:left="139" w:right="133"/>
        <w:jc w:val="both"/>
      </w:pPr>
      <w:r>
        <w:rPr/>
        <w:t>El análisis clínico macroscópico se inició con la inspección externa de los peces, buscando signos clínicos aparentes de enfermedad; posteriormente, se realizó el sacrificio</w:t>
      </w:r>
      <w:r>
        <w:rPr>
          <w:spacing w:val="-11"/>
        </w:rPr>
        <w:t> </w:t>
      </w:r>
      <w:r>
        <w:rPr/>
        <w:t>y</w:t>
      </w:r>
      <w:r>
        <w:rPr>
          <w:spacing w:val="-13"/>
        </w:rPr>
        <w:t> </w:t>
      </w:r>
      <w:r>
        <w:rPr/>
        <w:t>necropsia</w:t>
      </w:r>
      <w:r>
        <w:rPr>
          <w:spacing w:val="-11"/>
        </w:rPr>
        <w:t> </w:t>
      </w:r>
      <w:r>
        <w:rPr/>
        <w:t>de</w:t>
      </w:r>
      <w:r>
        <w:rPr>
          <w:spacing w:val="-21"/>
        </w:rPr>
        <w:t> </w:t>
      </w:r>
      <w:r>
        <w:rPr/>
        <w:t>los</w:t>
      </w:r>
      <w:r>
        <w:rPr>
          <w:spacing w:val="-11"/>
        </w:rPr>
        <w:t> </w:t>
      </w:r>
      <w:r>
        <w:rPr/>
        <w:t>animales,</w:t>
      </w:r>
      <w:r>
        <w:rPr>
          <w:spacing w:val="-12"/>
        </w:rPr>
        <w:t> </w:t>
      </w:r>
      <w:r>
        <w:rPr/>
        <w:t>comenzando</w:t>
      </w:r>
      <w:r>
        <w:rPr>
          <w:spacing w:val="-12"/>
        </w:rPr>
        <w:t> </w:t>
      </w:r>
      <w:r>
        <w:rPr/>
        <w:t>con</w:t>
      </w:r>
      <w:r>
        <w:rPr>
          <w:spacing w:val="-12"/>
        </w:rPr>
        <w:t> </w:t>
      </w:r>
      <w:r>
        <w:rPr/>
        <w:t>un</w:t>
      </w:r>
      <w:r>
        <w:rPr>
          <w:spacing w:val="-16"/>
        </w:rPr>
        <w:t> </w:t>
      </w:r>
      <w:r>
        <w:rPr/>
        <w:t>corte</w:t>
      </w:r>
      <w:r>
        <w:rPr>
          <w:spacing w:val="-8"/>
        </w:rPr>
        <w:t> </w:t>
      </w:r>
      <w:r>
        <w:rPr/>
        <w:t>en</w:t>
      </w:r>
      <w:r>
        <w:rPr>
          <w:spacing w:val="-16"/>
        </w:rPr>
        <w:t> </w:t>
      </w:r>
      <w:r>
        <w:rPr/>
        <w:t>el</w:t>
      </w:r>
      <w:r>
        <w:rPr>
          <w:spacing w:val="-8"/>
        </w:rPr>
        <w:t> </w:t>
      </w:r>
      <w:r>
        <w:rPr/>
        <w:t>opérculo</w:t>
      </w:r>
      <w:r>
        <w:rPr>
          <w:spacing w:val="-16"/>
        </w:rPr>
        <w:t> </w:t>
      </w:r>
      <w:r>
        <w:rPr/>
        <w:t>para dejar</w:t>
      </w:r>
      <w:r>
        <w:rPr>
          <w:spacing w:val="-5"/>
        </w:rPr>
        <w:t> </w:t>
      </w:r>
      <w:r>
        <w:rPr/>
        <w:t>al</w:t>
      </w:r>
      <w:r>
        <w:rPr>
          <w:spacing w:val="-3"/>
        </w:rPr>
        <w:t> </w:t>
      </w:r>
      <w:r>
        <w:rPr/>
        <w:t>descubierto</w:t>
      </w:r>
      <w:r>
        <w:rPr>
          <w:spacing w:val="-10"/>
        </w:rPr>
        <w:t> </w:t>
      </w:r>
      <w:r>
        <w:rPr/>
        <w:t>las</w:t>
      </w:r>
      <w:r>
        <w:rPr>
          <w:spacing w:val="-7"/>
        </w:rPr>
        <w:t> </w:t>
      </w:r>
      <w:r>
        <w:rPr/>
        <w:t>branquias;</w:t>
      </w:r>
      <w:r>
        <w:rPr>
          <w:spacing w:val="-6"/>
        </w:rPr>
        <w:t> </w:t>
      </w:r>
      <w:r>
        <w:rPr/>
        <w:t>seguido</w:t>
      </w:r>
      <w:r>
        <w:rPr>
          <w:spacing w:val="-6"/>
        </w:rPr>
        <w:t> </w:t>
      </w:r>
      <w:r>
        <w:rPr/>
        <w:t>de</w:t>
      </w:r>
      <w:r>
        <w:rPr>
          <w:spacing w:val="-9"/>
        </w:rPr>
        <w:t> </w:t>
      </w:r>
      <w:r>
        <w:rPr/>
        <w:t>una</w:t>
      </w:r>
      <w:r>
        <w:rPr>
          <w:spacing w:val="-6"/>
        </w:rPr>
        <w:t> </w:t>
      </w:r>
      <w:r>
        <w:rPr/>
        <w:t>incisión</w:t>
      </w:r>
      <w:r>
        <w:rPr>
          <w:spacing w:val="-6"/>
        </w:rPr>
        <w:t> </w:t>
      </w:r>
      <w:r>
        <w:rPr/>
        <w:t>inicial</w:t>
      </w:r>
      <w:r>
        <w:rPr>
          <w:spacing w:val="-4"/>
        </w:rPr>
        <w:t> </w:t>
      </w:r>
      <w:r>
        <w:rPr/>
        <w:t>en</w:t>
      </w:r>
      <w:r>
        <w:rPr>
          <w:spacing w:val="-6"/>
        </w:rPr>
        <w:t> </w:t>
      </w:r>
      <w:r>
        <w:rPr/>
        <w:t>la</w:t>
      </w:r>
      <w:r>
        <w:rPr>
          <w:spacing w:val="-6"/>
        </w:rPr>
        <w:t> </w:t>
      </w:r>
      <w:r>
        <w:rPr/>
        <w:t>parte</w:t>
      </w:r>
      <w:r>
        <w:rPr>
          <w:spacing w:val="-6"/>
        </w:rPr>
        <w:t> </w:t>
      </w:r>
      <w:r>
        <w:rPr/>
        <w:t>ventral</w:t>
      </w:r>
    </w:p>
    <w:p>
      <w:pPr>
        <w:spacing w:after="0" w:line="276" w:lineRule="auto"/>
        <w:jc w:val="both"/>
        <w:sectPr>
          <w:pgSz w:w="12240" w:h="15840"/>
          <w:pgMar w:header="752" w:footer="998" w:top="1000" w:bottom="1180" w:left="1560" w:right="1560"/>
        </w:sectPr>
      </w:pPr>
    </w:p>
    <w:p>
      <w:pPr>
        <w:pStyle w:val="BodyText"/>
        <w:rPr>
          <w:sz w:val="29"/>
        </w:rPr>
      </w:pPr>
    </w:p>
    <w:p>
      <w:pPr>
        <w:pStyle w:val="BodyText"/>
        <w:spacing w:line="276" w:lineRule="auto" w:before="70"/>
        <w:ind w:left="139" w:right="132"/>
        <w:jc w:val="both"/>
      </w:pPr>
      <w:r>
        <w:rPr/>
        <w:t>partiendo en posición anterior al orificio anal y dirigido cranealmente hacia la base del</w:t>
      </w:r>
      <w:r>
        <w:rPr>
          <w:spacing w:val="-12"/>
        </w:rPr>
        <w:t> </w:t>
      </w:r>
      <w:r>
        <w:rPr/>
        <w:t>opérculo;</w:t>
      </w:r>
      <w:r>
        <w:rPr>
          <w:spacing w:val="-9"/>
        </w:rPr>
        <w:t> </w:t>
      </w:r>
      <w:r>
        <w:rPr/>
        <w:t>se</w:t>
      </w:r>
      <w:r>
        <w:rPr>
          <w:spacing w:val="-11"/>
        </w:rPr>
        <w:t> </w:t>
      </w:r>
      <w:r>
        <w:rPr/>
        <w:t>continuo</w:t>
      </w:r>
      <w:r>
        <w:rPr>
          <w:spacing w:val="-11"/>
        </w:rPr>
        <w:t> </w:t>
      </w:r>
      <w:r>
        <w:rPr/>
        <w:t>con</w:t>
      </w:r>
      <w:r>
        <w:rPr>
          <w:spacing w:val="-11"/>
        </w:rPr>
        <w:t> </w:t>
      </w:r>
      <w:r>
        <w:rPr/>
        <w:t>una</w:t>
      </w:r>
      <w:r>
        <w:rPr>
          <w:spacing w:val="-11"/>
        </w:rPr>
        <w:t> </w:t>
      </w:r>
      <w:r>
        <w:rPr/>
        <w:t>segunda</w:t>
      </w:r>
      <w:r>
        <w:rPr>
          <w:spacing w:val="-13"/>
        </w:rPr>
        <w:t> </w:t>
      </w:r>
      <w:r>
        <w:rPr/>
        <w:t>incisión</w:t>
      </w:r>
      <w:r>
        <w:rPr>
          <w:spacing w:val="-16"/>
        </w:rPr>
        <w:t> </w:t>
      </w:r>
      <w:r>
        <w:rPr/>
        <w:t>longitudinal</w:t>
      </w:r>
      <w:r>
        <w:rPr>
          <w:spacing w:val="-8"/>
        </w:rPr>
        <w:t> </w:t>
      </w:r>
      <w:r>
        <w:rPr/>
        <w:t>sobre</w:t>
      </w:r>
      <w:r>
        <w:rPr>
          <w:spacing w:val="-15"/>
        </w:rPr>
        <w:t> </w:t>
      </w:r>
      <w:r>
        <w:rPr/>
        <w:t>la</w:t>
      </w:r>
      <w:r>
        <w:rPr>
          <w:spacing w:val="-16"/>
        </w:rPr>
        <w:t> </w:t>
      </w:r>
      <w:r>
        <w:rPr/>
        <w:t>línea</w:t>
      </w:r>
      <w:r>
        <w:rPr>
          <w:spacing w:val="-16"/>
        </w:rPr>
        <w:t> </w:t>
      </w:r>
      <w:r>
        <w:rPr/>
        <w:t>lateral para dejar al descubierto los órganos internos y así poder realizar su inspección y comprobar la presencia de lesiones nodulares u otras lesiones sugestivas de enfermedad.</w:t>
      </w:r>
    </w:p>
    <w:p>
      <w:pPr>
        <w:pStyle w:val="Heading1"/>
        <w:numPr>
          <w:ilvl w:val="2"/>
          <w:numId w:val="8"/>
        </w:numPr>
        <w:tabs>
          <w:tab w:pos="745" w:val="left" w:leader="none"/>
        </w:tabs>
        <w:spacing w:line="240" w:lineRule="auto" w:before="197" w:after="0"/>
        <w:ind w:left="745" w:right="0" w:hanging="606"/>
        <w:jc w:val="both"/>
        <w:rPr>
          <w:color w:val="233E5F"/>
        </w:rPr>
      </w:pPr>
      <w:bookmarkStart w:name="_bookmark47" w:id="80"/>
      <w:bookmarkEnd w:id="80"/>
      <w:r>
        <w:rPr>
          <w:b w:val="0"/>
        </w:rPr>
      </w:r>
      <w:bookmarkStart w:name="_bookmark47" w:id="81"/>
      <w:bookmarkEnd w:id="81"/>
      <w:r>
        <w:rPr>
          <w:color w:val="233E5F"/>
        </w:rPr>
        <w:t>A</w:t>
      </w:r>
      <w:r>
        <w:rPr>
          <w:color w:val="233E5F"/>
        </w:rPr>
        <w:t>nálisis</w:t>
      </w:r>
      <w:r>
        <w:rPr>
          <w:color w:val="233E5F"/>
          <w:spacing w:val="-11"/>
        </w:rPr>
        <w:t> </w:t>
      </w:r>
      <w:r>
        <w:rPr>
          <w:color w:val="233E5F"/>
        </w:rPr>
        <w:t>Histológico</w:t>
      </w:r>
    </w:p>
    <w:p>
      <w:pPr>
        <w:pStyle w:val="BodyText"/>
        <w:spacing w:line="273" w:lineRule="auto" w:before="50"/>
        <w:ind w:left="139" w:right="134"/>
        <w:jc w:val="both"/>
      </w:pPr>
      <w:r>
        <w:rPr/>
        <w:t>Se recolectaron pequeños fragmentos de bazo, hígado, riñón y corazón con y sin lesiones sugerentes de enfermedad y se fijaron en formol al 10% para posterior procesamiento e inclusión en parafina; posteriormente se realizaron los cortes del bloque parafina con el micrótomo y se colocaron en laminillas y finalmente fueron teñidas con H&amp;E para su posterior observación al microscopio.</w:t>
      </w:r>
    </w:p>
    <w:p>
      <w:pPr>
        <w:pStyle w:val="Heading1"/>
        <w:numPr>
          <w:ilvl w:val="2"/>
          <w:numId w:val="8"/>
        </w:numPr>
        <w:tabs>
          <w:tab w:pos="744" w:val="left" w:leader="none"/>
        </w:tabs>
        <w:spacing w:line="240" w:lineRule="auto" w:before="205" w:after="0"/>
        <w:ind w:left="743" w:right="0" w:hanging="604"/>
        <w:jc w:val="both"/>
        <w:rPr>
          <w:color w:val="233E5F"/>
        </w:rPr>
      </w:pPr>
      <w:bookmarkStart w:name="_bookmark48" w:id="82"/>
      <w:bookmarkEnd w:id="82"/>
      <w:r>
        <w:rPr>
          <w:b w:val="0"/>
        </w:rPr>
      </w:r>
      <w:bookmarkStart w:name="_bookmark48" w:id="83"/>
      <w:bookmarkEnd w:id="83"/>
      <w:r>
        <w:rPr>
          <w:color w:val="233E5F"/>
        </w:rPr>
        <w:t>A</w:t>
      </w:r>
      <w:r>
        <w:rPr>
          <w:color w:val="233E5F"/>
        </w:rPr>
        <w:t>nálisis por la técnica de PCR Punto final y PCR</w:t>
      </w:r>
      <w:r>
        <w:rPr>
          <w:color w:val="233E5F"/>
          <w:spacing w:val="-28"/>
        </w:rPr>
        <w:t> </w:t>
      </w:r>
      <w:r>
        <w:rPr>
          <w:color w:val="233E5F"/>
        </w:rPr>
        <w:t>Anidada</w:t>
      </w:r>
    </w:p>
    <w:p>
      <w:pPr>
        <w:pStyle w:val="Heading1"/>
        <w:numPr>
          <w:ilvl w:val="3"/>
          <w:numId w:val="8"/>
        </w:numPr>
        <w:tabs>
          <w:tab w:pos="947" w:val="left" w:leader="none"/>
        </w:tabs>
        <w:spacing w:line="240" w:lineRule="auto" w:before="80" w:after="0"/>
        <w:ind w:left="946" w:right="0" w:hanging="807"/>
        <w:jc w:val="both"/>
      </w:pPr>
      <w:bookmarkStart w:name="_bookmark49" w:id="84"/>
      <w:bookmarkEnd w:id="84"/>
      <w:r>
        <w:rPr>
          <w:b w:val="0"/>
        </w:rPr>
      </w:r>
      <w:bookmarkStart w:name="_bookmark49" w:id="85"/>
      <w:bookmarkEnd w:id="85"/>
      <w:r>
        <w:rPr>
          <w:color w:val="365F91"/>
        </w:rPr>
        <w:t>E</w:t>
      </w:r>
      <w:r>
        <w:rPr>
          <w:color w:val="365F91"/>
        </w:rPr>
        <w:t>xtracción de</w:t>
      </w:r>
      <w:r>
        <w:rPr>
          <w:color w:val="365F91"/>
          <w:spacing w:val="-13"/>
        </w:rPr>
        <w:t> </w:t>
      </w:r>
      <w:r>
        <w:rPr>
          <w:color w:val="365F91"/>
        </w:rPr>
        <w:t>ADN</w:t>
      </w:r>
    </w:p>
    <w:p>
      <w:pPr>
        <w:pStyle w:val="BodyText"/>
        <w:spacing w:line="276" w:lineRule="auto" w:before="45"/>
        <w:ind w:left="139" w:right="133"/>
        <w:jc w:val="both"/>
      </w:pPr>
      <w:r>
        <w:rPr/>
        <w:t>Pequeños</w:t>
      </w:r>
      <w:r>
        <w:rPr>
          <w:spacing w:val="-17"/>
        </w:rPr>
        <w:t> </w:t>
      </w:r>
      <w:r>
        <w:rPr/>
        <w:t>fragmentos</w:t>
      </w:r>
      <w:r>
        <w:rPr>
          <w:spacing w:val="-17"/>
        </w:rPr>
        <w:t> </w:t>
      </w:r>
      <w:r>
        <w:rPr/>
        <w:t>de</w:t>
      </w:r>
      <w:r>
        <w:rPr>
          <w:spacing w:val="-12"/>
        </w:rPr>
        <w:t> </w:t>
      </w:r>
      <w:r>
        <w:rPr/>
        <w:t>bazo</w:t>
      </w:r>
      <w:r>
        <w:rPr>
          <w:spacing w:val="-16"/>
        </w:rPr>
        <w:t> </w:t>
      </w:r>
      <w:r>
        <w:rPr/>
        <w:t>con</w:t>
      </w:r>
      <w:r>
        <w:rPr>
          <w:spacing w:val="-17"/>
        </w:rPr>
        <w:t> </w:t>
      </w:r>
      <w:r>
        <w:rPr/>
        <w:t>a</w:t>
      </w:r>
      <w:r>
        <w:rPr>
          <w:spacing w:val="-16"/>
        </w:rPr>
        <w:t> </w:t>
      </w:r>
      <w:r>
        <w:rPr/>
        <w:t>sin</w:t>
      </w:r>
      <w:r>
        <w:rPr>
          <w:spacing w:val="-17"/>
        </w:rPr>
        <w:t> </w:t>
      </w:r>
      <w:r>
        <w:rPr/>
        <w:t>nódulos</w:t>
      </w:r>
      <w:r>
        <w:rPr>
          <w:spacing w:val="-16"/>
        </w:rPr>
        <w:t> </w:t>
      </w:r>
      <w:r>
        <w:rPr/>
        <w:t>fueron</w:t>
      </w:r>
      <w:r>
        <w:rPr>
          <w:spacing w:val="-17"/>
        </w:rPr>
        <w:t> </w:t>
      </w:r>
      <w:r>
        <w:rPr/>
        <w:t>colocados</w:t>
      </w:r>
      <w:r>
        <w:rPr>
          <w:spacing w:val="-17"/>
        </w:rPr>
        <w:t> </w:t>
      </w:r>
      <w:r>
        <w:rPr/>
        <w:t>en</w:t>
      </w:r>
      <w:r>
        <w:rPr>
          <w:spacing w:val="-17"/>
        </w:rPr>
        <w:t> </w:t>
      </w:r>
      <w:r>
        <w:rPr/>
        <w:t>tubos</w:t>
      </w:r>
      <w:r>
        <w:rPr>
          <w:spacing w:val="-17"/>
        </w:rPr>
        <w:t> </w:t>
      </w:r>
      <w:r>
        <w:rPr/>
        <w:t>de</w:t>
      </w:r>
      <w:r>
        <w:rPr>
          <w:spacing w:val="-17"/>
        </w:rPr>
        <w:t> </w:t>
      </w:r>
      <w:r>
        <w:rPr/>
        <w:t>10ml que contenían </w:t>
      </w:r>
      <w:r>
        <w:rPr>
          <w:spacing w:val="-3"/>
        </w:rPr>
        <w:t>5ml </w:t>
      </w:r>
      <w:r>
        <w:rPr/>
        <w:t>de etanol absoluto y fueron mantenidos en refrigeración a 4°C. Para la extracción de ADN </w:t>
      </w:r>
      <w:r>
        <w:rPr>
          <w:spacing w:val="-3"/>
        </w:rPr>
        <w:t>se </w:t>
      </w:r>
      <w:r>
        <w:rPr>
          <w:spacing w:val="-4"/>
        </w:rPr>
        <w:t>tomó </w:t>
      </w:r>
      <w:r>
        <w:rPr/>
        <w:t>un fragmento de aproximadamente 30 </w:t>
      </w:r>
      <w:r>
        <w:rPr>
          <w:spacing w:val="-4"/>
        </w:rPr>
        <w:t>mg </w:t>
      </w:r>
      <w:r>
        <w:rPr/>
        <w:t>de tejido, se maceró y se realizó la extracción de ADN bacteriano con el kit de extracción</w:t>
      </w:r>
      <w:r>
        <w:rPr>
          <w:spacing w:val="-23"/>
        </w:rPr>
        <w:t> </w:t>
      </w:r>
      <w:r>
        <w:rPr/>
        <w:t>Wizard</w:t>
      </w:r>
      <w:r>
        <w:rPr>
          <w:spacing w:val="-14"/>
        </w:rPr>
        <w:t> </w:t>
      </w:r>
      <w:r>
        <w:rPr/>
        <w:t>Genomic</w:t>
      </w:r>
      <w:r>
        <w:rPr>
          <w:spacing w:val="-14"/>
        </w:rPr>
        <w:t> </w:t>
      </w:r>
      <w:r>
        <w:rPr/>
        <w:t>DNA</w:t>
      </w:r>
      <w:r>
        <w:rPr>
          <w:spacing w:val="-16"/>
        </w:rPr>
        <w:t> </w:t>
      </w:r>
      <w:r>
        <w:rPr/>
        <w:t>Purification</w:t>
      </w:r>
      <w:r>
        <w:rPr>
          <w:spacing w:val="-14"/>
        </w:rPr>
        <w:t> </w:t>
      </w:r>
      <w:r>
        <w:rPr/>
        <w:t>Kit</w:t>
      </w:r>
      <w:r>
        <w:rPr>
          <w:spacing w:val="-14"/>
        </w:rPr>
        <w:t> </w:t>
      </w:r>
      <w:r>
        <w:rPr/>
        <w:t>(Isolating</w:t>
      </w:r>
      <w:r>
        <w:rPr>
          <w:spacing w:val="-14"/>
        </w:rPr>
        <w:t> </w:t>
      </w:r>
      <w:r>
        <w:rPr/>
        <w:t>Genomic</w:t>
      </w:r>
      <w:r>
        <w:rPr>
          <w:spacing w:val="-14"/>
        </w:rPr>
        <w:t> </w:t>
      </w:r>
      <w:r>
        <w:rPr/>
        <w:t>DNA</w:t>
      </w:r>
      <w:r>
        <w:rPr>
          <w:spacing w:val="-16"/>
        </w:rPr>
        <w:t> </w:t>
      </w:r>
      <w:r>
        <w:rPr/>
        <w:t>from</w:t>
      </w:r>
      <w:r>
        <w:rPr>
          <w:spacing w:val="-22"/>
        </w:rPr>
        <w:t> </w:t>
      </w:r>
      <w:r>
        <w:rPr/>
        <w:t>Gram Positive and Gram Negative Bacteria, PROMEGA) siguiendo las instrucciones del fabricante,</w:t>
      </w:r>
      <w:r>
        <w:rPr>
          <w:spacing w:val="-12"/>
        </w:rPr>
        <w:t> </w:t>
      </w:r>
      <w:r>
        <w:rPr/>
        <w:t>obteniéndose</w:t>
      </w:r>
      <w:r>
        <w:rPr>
          <w:spacing w:val="-12"/>
        </w:rPr>
        <w:t> </w:t>
      </w:r>
      <w:r>
        <w:rPr/>
        <w:t>un</w:t>
      </w:r>
      <w:r>
        <w:rPr>
          <w:spacing w:val="-12"/>
        </w:rPr>
        <w:t> </w:t>
      </w:r>
      <w:r>
        <w:rPr/>
        <w:t>volumen</w:t>
      </w:r>
      <w:r>
        <w:rPr>
          <w:spacing w:val="-12"/>
        </w:rPr>
        <w:t> </w:t>
      </w:r>
      <w:r>
        <w:rPr/>
        <w:t>total</w:t>
      </w:r>
      <w:r>
        <w:rPr>
          <w:spacing w:val="-8"/>
        </w:rPr>
        <w:t> </w:t>
      </w:r>
      <w:r>
        <w:rPr/>
        <w:t>de</w:t>
      </w:r>
      <w:r>
        <w:rPr>
          <w:spacing w:val="-17"/>
        </w:rPr>
        <w:t> </w:t>
      </w:r>
      <w:r>
        <w:rPr/>
        <w:t>muestra</w:t>
      </w:r>
      <w:r>
        <w:rPr>
          <w:spacing w:val="-12"/>
        </w:rPr>
        <w:t> </w:t>
      </w:r>
      <w:r>
        <w:rPr/>
        <w:t>de</w:t>
      </w:r>
      <w:r>
        <w:rPr>
          <w:spacing w:val="-12"/>
        </w:rPr>
        <w:t> </w:t>
      </w:r>
      <w:r>
        <w:rPr/>
        <w:t>100</w:t>
      </w:r>
      <w:r>
        <w:rPr>
          <w:spacing w:val="-12"/>
        </w:rPr>
        <w:t> </w:t>
      </w:r>
      <w:r>
        <w:rPr/>
        <w:t>µl,</w:t>
      </w:r>
      <w:r>
        <w:rPr>
          <w:spacing w:val="-12"/>
        </w:rPr>
        <w:t> </w:t>
      </w:r>
      <w:r>
        <w:rPr>
          <w:spacing w:val="-2"/>
        </w:rPr>
        <w:t>mismos</w:t>
      </w:r>
      <w:r>
        <w:rPr>
          <w:spacing w:val="-13"/>
        </w:rPr>
        <w:t> </w:t>
      </w:r>
      <w:r>
        <w:rPr/>
        <w:t>que</w:t>
      </w:r>
      <w:r>
        <w:rPr>
          <w:spacing w:val="-6"/>
        </w:rPr>
        <w:t> </w:t>
      </w:r>
      <w:r>
        <w:rPr/>
        <w:t>fueron colocados en refrigeración a 4°C durante una noche para </w:t>
      </w:r>
      <w:r>
        <w:rPr>
          <w:spacing w:val="-3"/>
        </w:rPr>
        <w:t>su </w:t>
      </w:r>
      <w:r>
        <w:rPr/>
        <w:t>hidratación y posterior utilización.</w:t>
      </w:r>
    </w:p>
    <w:p>
      <w:pPr>
        <w:pStyle w:val="Heading1"/>
        <w:numPr>
          <w:ilvl w:val="3"/>
          <w:numId w:val="8"/>
        </w:numPr>
        <w:tabs>
          <w:tab w:pos="947" w:val="left" w:leader="none"/>
        </w:tabs>
        <w:spacing w:line="240" w:lineRule="auto" w:before="202" w:after="0"/>
        <w:ind w:left="946" w:right="0" w:hanging="807"/>
        <w:jc w:val="both"/>
      </w:pPr>
      <w:bookmarkStart w:name="_bookmark50" w:id="86"/>
      <w:bookmarkEnd w:id="86"/>
      <w:r>
        <w:rPr>
          <w:b w:val="0"/>
        </w:rPr>
      </w:r>
      <w:bookmarkStart w:name="_bookmark50" w:id="87"/>
      <w:bookmarkEnd w:id="87"/>
      <w:r>
        <w:rPr>
          <w:color w:val="365F91"/>
        </w:rPr>
        <w:t>P</w:t>
      </w:r>
      <w:r>
        <w:rPr>
          <w:color w:val="365F91"/>
        </w:rPr>
        <w:t>CR Punto</w:t>
      </w:r>
      <w:r>
        <w:rPr>
          <w:color w:val="365F91"/>
          <w:spacing w:val="-10"/>
        </w:rPr>
        <w:t> </w:t>
      </w:r>
      <w:r>
        <w:rPr>
          <w:color w:val="365F91"/>
        </w:rPr>
        <w:t>final</w:t>
      </w:r>
    </w:p>
    <w:p>
      <w:pPr>
        <w:pStyle w:val="BodyText"/>
        <w:spacing w:line="273" w:lineRule="auto" w:before="45"/>
        <w:ind w:left="139" w:right="135"/>
        <w:jc w:val="both"/>
      </w:pPr>
      <w:r>
        <w:rPr/>
        <w:t>Para la amplificación del PCR punto final fueron utilizados los iniciadores y el protocolo descrito por </w:t>
      </w:r>
      <w:r>
        <w:rPr>
          <w:b/>
        </w:rPr>
        <w:t>Forsman </w:t>
      </w:r>
      <w:r>
        <w:rPr>
          <w:b/>
          <w:i/>
        </w:rPr>
        <w:t>et al</w:t>
      </w:r>
      <w:r>
        <w:rPr>
          <w:b/>
        </w:rPr>
        <w:t>., 1994 </w:t>
      </w:r>
      <w:r>
        <w:rPr/>
        <w:t>para amplificar el gen 16s del genero </w:t>
      </w:r>
      <w:r>
        <w:rPr>
          <w:i/>
        </w:rPr>
        <w:t>Francisella</w:t>
      </w:r>
      <w:r>
        <w:rPr>
          <w:i/>
          <w:spacing w:val="-9"/>
        </w:rPr>
        <w:t> </w:t>
      </w:r>
      <w:r>
        <w:rPr/>
        <w:t>sp.</w:t>
      </w:r>
      <w:r>
        <w:rPr>
          <w:spacing w:val="-10"/>
        </w:rPr>
        <w:t> </w:t>
      </w:r>
      <w:r>
        <w:rPr/>
        <w:t>cuya</w:t>
      </w:r>
      <w:r>
        <w:rPr>
          <w:spacing w:val="-10"/>
        </w:rPr>
        <w:t> </w:t>
      </w:r>
      <w:r>
        <w:rPr/>
        <w:t>secuencia</w:t>
      </w:r>
      <w:r>
        <w:rPr>
          <w:spacing w:val="-11"/>
        </w:rPr>
        <w:t> </w:t>
      </w:r>
      <w:r>
        <w:rPr/>
        <w:t>de</w:t>
      </w:r>
      <w:r>
        <w:rPr>
          <w:spacing w:val="-8"/>
        </w:rPr>
        <w:t> </w:t>
      </w:r>
      <w:r>
        <w:rPr/>
        <w:t>iniciadores</w:t>
      </w:r>
      <w:r>
        <w:rPr>
          <w:spacing w:val="-10"/>
        </w:rPr>
        <w:t> </w:t>
      </w:r>
      <w:r>
        <w:rPr/>
        <w:t>es:</w:t>
      </w:r>
      <w:r>
        <w:rPr>
          <w:spacing w:val="-24"/>
        </w:rPr>
        <w:t> </w:t>
      </w:r>
      <w:r>
        <w:rPr>
          <w:rFonts w:ascii="Calibri" w:hAnsi="Calibri"/>
          <w:sz w:val="22"/>
        </w:rPr>
        <w:t>(</w:t>
      </w:r>
      <w:r>
        <w:rPr/>
        <w:t>F11</w:t>
      </w:r>
      <w:r>
        <w:rPr>
          <w:spacing w:val="-11"/>
        </w:rPr>
        <w:t> </w:t>
      </w:r>
      <w:r>
        <w:rPr/>
        <w:t>5´-</w:t>
      </w:r>
      <w:r>
        <w:rPr>
          <w:spacing w:val="-10"/>
        </w:rPr>
        <w:t> </w:t>
      </w:r>
      <w:r>
        <w:rPr/>
        <w:t>TAC</w:t>
      </w:r>
      <w:r>
        <w:rPr>
          <w:spacing w:val="-12"/>
        </w:rPr>
        <w:t> </w:t>
      </w:r>
      <w:r>
        <w:rPr/>
        <w:t>CAG</w:t>
      </w:r>
      <w:r>
        <w:rPr>
          <w:spacing w:val="-11"/>
        </w:rPr>
        <w:t> </w:t>
      </w:r>
      <w:r>
        <w:rPr/>
        <w:t>TTG</w:t>
      </w:r>
      <w:r>
        <w:rPr>
          <w:spacing w:val="-11"/>
        </w:rPr>
        <w:t> </w:t>
      </w:r>
      <w:r>
        <w:rPr/>
        <w:t>GAA</w:t>
      </w:r>
      <w:r>
        <w:rPr>
          <w:spacing w:val="-13"/>
        </w:rPr>
        <w:t> </w:t>
      </w:r>
      <w:r>
        <w:rPr/>
        <w:t>ACG ACTGT-3´</w:t>
      </w:r>
      <w:r>
        <w:rPr>
          <w:spacing w:val="-9"/>
        </w:rPr>
        <w:t> </w:t>
      </w:r>
      <w:r>
        <w:rPr/>
        <w:t>y</w:t>
      </w:r>
      <w:r>
        <w:rPr>
          <w:spacing w:val="-11"/>
        </w:rPr>
        <w:t> </w:t>
      </w:r>
      <w:r>
        <w:rPr/>
        <w:t>F5</w:t>
      </w:r>
      <w:r>
        <w:rPr>
          <w:spacing w:val="-10"/>
        </w:rPr>
        <w:t> </w:t>
      </w:r>
      <w:r>
        <w:rPr/>
        <w:t>5´-</w:t>
      </w:r>
      <w:r>
        <w:rPr>
          <w:spacing w:val="-9"/>
        </w:rPr>
        <w:t> </w:t>
      </w:r>
      <w:r>
        <w:rPr/>
        <w:t>CCT</w:t>
      </w:r>
      <w:r>
        <w:rPr>
          <w:spacing w:val="-8"/>
        </w:rPr>
        <w:t> </w:t>
      </w:r>
      <w:r>
        <w:rPr/>
        <w:t>TTT</w:t>
      </w:r>
      <w:r>
        <w:rPr>
          <w:spacing w:val="-9"/>
        </w:rPr>
        <w:t> </w:t>
      </w:r>
      <w:r>
        <w:rPr/>
        <w:t>TGA</w:t>
      </w:r>
      <w:r>
        <w:rPr>
          <w:spacing w:val="-7"/>
        </w:rPr>
        <w:t> </w:t>
      </w:r>
      <w:r>
        <w:rPr/>
        <w:t>GTT</w:t>
      </w:r>
      <w:r>
        <w:rPr>
          <w:spacing w:val="-9"/>
        </w:rPr>
        <w:t> </w:t>
      </w:r>
      <w:r>
        <w:rPr/>
        <w:t>TCG</w:t>
      </w:r>
      <w:r>
        <w:rPr>
          <w:spacing w:val="-11"/>
        </w:rPr>
        <w:t> </w:t>
      </w:r>
      <w:r>
        <w:rPr/>
        <w:t>CTC</w:t>
      </w:r>
      <w:r>
        <w:rPr>
          <w:spacing w:val="-6"/>
        </w:rPr>
        <w:t> </w:t>
      </w:r>
      <w:r>
        <w:rPr/>
        <w:t>C-3´)</w:t>
      </w:r>
      <w:r>
        <w:rPr>
          <w:spacing w:val="-4"/>
        </w:rPr>
        <w:t> </w:t>
      </w:r>
      <w:r>
        <w:rPr/>
        <w:t>estos</w:t>
      </w:r>
      <w:r>
        <w:rPr>
          <w:spacing w:val="-11"/>
        </w:rPr>
        <w:t> </w:t>
      </w:r>
      <w:r>
        <w:rPr/>
        <w:t>iniciadores</w:t>
      </w:r>
      <w:r>
        <w:rPr>
          <w:spacing w:val="-7"/>
        </w:rPr>
        <w:t> </w:t>
      </w:r>
      <w:r>
        <w:rPr/>
        <w:t>amplifican un fragmento de 1131</w:t>
      </w:r>
      <w:r>
        <w:rPr>
          <w:spacing w:val="-4"/>
        </w:rPr>
        <w:t> </w:t>
      </w:r>
      <w:r>
        <w:rPr/>
        <w:t>pb.</w:t>
      </w:r>
    </w:p>
    <w:p>
      <w:pPr>
        <w:pStyle w:val="BodyText"/>
        <w:spacing w:line="271" w:lineRule="auto" w:before="210"/>
        <w:ind w:left="139" w:right="136"/>
        <w:jc w:val="both"/>
      </w:pPr>
      <w:r>
        <w:rPr/>
        <w:t>Para realizar esta reacción de PCR se colocó la mezcla de los siguientes reactivos (PROMEGA), dentro de un vial de 200 µl.</w:t>
      </w:r>
    </w:p>
    <w:p>
      <w:pPr>
        <w:pStyle w:val="BodyText"/>
        <w:spacing w:before="9"/>
        <w:rPr>
          <w:sz w:val="18"/>
        </w:rPr>
      </w:pPr>
    </w:p>
    <w:tbl>
      <w:tblPr>
        <w:tblW w:w="0" w:type="auto"/>
        <w:jc w:val="left"/>
        <w:tblInd w:w="1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18"/>
        <w:gridCol w:w="4413"/>
      </w:tblGrid>
      <w:tr>
        <w:trPr>
          <w:trHeight w:val="288" w:hRule="exact"/>
        </w:trPr>
        <w:tc>
          <w:tcPr>
            <w:tcW w:w="4418" w:type="dxa"/>
          </w:tcPr>
          <w:p>
            <w:pPr>
              <w:pStyle w:val="TableParagraph"/>
              <w:spacing w:line="267" w:lineRule="exact"/>
              <w:ind w:left="106" w:right="1720"/>
              <w:rPr>
                <w:b/>
                <w:sz w:val="24"/>
              </w:rPr>
            </w:pPr>
            <w:r>
              <w:rPr>
                <w:b/>
                <w:sz w:val="24"/>
              </w:rPr>
              <w:t>Componentes</w:t>
            </w:r>
          </w:p>
        </w:tc>
        <w:tc>
          <w:tcPr>
            <w:tcW w:w="4413" w:type="dxa"/>
          </w:tcPr>
          <w:p>
            <w:pPr>
              <w:pStyle w:val="TableParagraph"/>
              <w:spacing w:line="267" w:lineRule="exact"/>
              <w:ind w:left="100"/>
              <w:rPr>
                <w:b/>
                <w:sz w:val="24"/>
              </w:rPr>
            </w:pPr>
            <w:r>
              <w:rPr>
                <w:b/>
                <w:sz w:val="24"/>
              </w:rPr>
              <w:t>Volumen</w:t>
            </w:r>
          </w:p>
        </w:tc>
      </w:tr>
      <w:tr>
        <w:trPr>
          <w:trHeight w:val="1940" w:hRule="exact"/>
        </w:trPr>
        <w:tc>
          <w:tcPr>
            <w:tcW w:w="4418" w:type="dxa"/>
            <w:tcBorders>
              <w:bottom w:val="single" w:sz="4" w:space="0" w:color="000000"/>
            </w:tcBorders>
          </w:tcPr>
          <w:p>
            <w:pPr>
              <w:pStyle w:val="TableParagraph"/>
              <w:spacing w:line="240" w:lineRule="auto"/>
              <w:ind w:left="106" w:right="104"/>
              <w:jc w:val="both"/>
              <w:rPr>
                <w:sz w:val="24"/>
              </w:rPr>
            </w:pPr>
            <w:r>
              <w:rPr>
                <w:sz w:val="24"/>
              </w:rPr>
              <w:t>Mix PCR: 5X Go Taq Flexi buffer, 2.5mM MgCl2, 12.5µM de cada iniciador, 4µM dNTPs, 2.5UTaq Polimerasa.</w:t>
            </w:r>
          </w:p>
          <w:p>
            <w:pPr>
              <w:pStyle w:val="TableParagraph"/>
              <w:spacing w:line="240" w:lineRule="auto"/>
              <w:ind w:left="0"/>
              <w:rPr>
                <w:sz w:val="24"/>
              </w:rPr>
            </w:pPr>
          </w:p>
          <w:p>
            <w:pPr>
              <w:pStyle w:val="TableParagraph"/>
              <w:spacing w:line="240" w:lineRule="auto"/>
              <w:ind w:left="106"/>
              <w:jc w:val="both"/>
              <w:rPr>
                <w:sz w:val="24"/>
              </w:rPr>
            </w:pPr>
            <w:r>
              <w:rPr>
                <w:sz w:val="24"/>
              </w:rPr>
              <w:t>Agua libre de nucleasas</w:t>
            </w:r>
          </w:p>
        </w:tc>
        <w:tc>
          <w:tcPr>
            <w:tcW w:w="4413" w:type="dxa"/>
            <w:tcBorders>
              <w:bottom w:val="single" w:sz="4" w:space="0" w:color="000000"/>
            </w:tcBorders>
          </w:tcPr>
          <w:p>
            <w:pPr>
              <w:pStyle w:val="TableParagraph"/>
              <w:ind w:left="100"/>
              <w:rPr>
                <w:sz w:val="24"/>
              </w:rPr>
            </w:pPr>
            <w:r>
              <w:rPr>
                <w:sz w:val="24"/>
              </w:rPr>
              <w:t>10µl</w:t>
            </w:r>
          </w:p>
          <w:p>
            <w:pPr>
              <w:pStyle w:val="TableParagraph"/>
              <w:spacing w:line="240" w:lineRule="auto"/>
              <w:ind w:left="0"/>
              <w:rPr>
                <w:sz w:val="24"/>
              </w:rPr>
            </w:pPr>
          </w:p>
          <w:p>
            <w:pPr>
              <w:pStyle w:val="TableParagraph"/>
              <w:spacing w:line="240" w:lineRule="auto"/>
              <w:ind w:left="0"/>
              <w:rPr>
                <w:sz w:val="24"/>
              </w:rPr>
            </w:pPr>
          </w:p>
          <w:p>
            <w:pPr>
              <w:pStyle w:val="TableParagraph"/>
              <w:spacing w:line="240" w:lineRule="auto"/>
              <w:ind w:left="0"/>
              <w:rPr>
                <w:sz w:val="24"/>
              </w:rPr>
            </w:pPr>
          </w:p>
          <w:p>
            <w:pPr>
              <w:pStyle w:val="TableParagraph"/>
              <w:spacing w:line="240" w:lineRule="auto" w:before="9"/>
              <w:ind w:left="0"/>
              <w:rPr>
                <w:sz w:val="23"/>
              </w:rPr>
            </w:pPr>
          </w:p>
          <w:p>
            <w:pPr>
              <w:pStyle w:val="TableParagraph"/>
              <w:spacing w:line="240" w:lineRule="auto"/>
              <w:ind w:left="100"/>
              <w:rPr>
                <w:sz w:val="24"/>
              </w:rPr>
            </w:pPr>
            <w:r>
              <w:rPr>
                <w:sz w:val="24"/>
              </w:rPr>
              <w:t>13µl</w:t>
            </w:r>
          </w:p>
        </w:tc>
      </w:tr>
    </w:tbl>
    <w:p>
      <w:pPr>
        <w:spacing w:after="0" w:line="240" w:lineRule="auto"/>
        <w:rPr>
          <w:sz w:val="24"/>
        </w:rPr>
        <w:sectPr>
          <w:pgSz w:w="12240" w:h="15840"/>
          <w:pgMar w:header="752" w:footer="998" w:top="1000" w:bottom="1180" w:left="1560" w:right="1560"/>
        </w:sectPr>
      </w:pPr>
    </w:p>
    <w:p>
      <w:pPr>
        <w:pStyle w:val="BodyText"/>
        <w:rPr>
          <w:sz w:val="20"/>
        </w:rPr>
      </w:pPr>
    </w:p>
    <w:p>
      <w:pPr>
        <w:pStyle w:val="BodyText"/>
        <w:spacing w:before="5"/>
        <w:rPr>
          <w:sz w:val="15"/>
        </w:rPr>
      </w:pPr>
    </w:p>
    <w:tbl>
      <w:tblPr>
        <w:tblW w:w="0" w:type="auto"/>
        <w:jc w:val="left"/>
        <w:tblInd w:w="1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18"/>
        <w:gridCol w:w="4413"/>
      </w:tblGrid>
      <w:tr>
        <w:trPr>
          <w:trHeight w:val="288" w:hRule="exact"/>
        </w:trPr>
        <w:tc>
          <w:tcPr>
            <w:tcW w:w="4418" w:type="dxa"/>
          </w:tcPr>
          <w:p>
            <w:pPr>
              <w:pStyle w:val="TableParagraph"/>
              <w:ind w:left="106" w:right="1720"/>
              <w:rPr>
                <w:sz w:val="24"/>
              </w:rPr>
            </w:pPr>
            <w:r>
              <w:rPr>
                <w:sz w:val="24"/>
              </w:rPr>
              <w:t>Templado (125 ng/µl)</w:t>
            </w:r>
          </w:p>
        </w:tc>
        <w:tc>
          <w:tcPr>
            <w:tcW w:w="4413" w:type="dxa"/>
          </w:tcPr>
          <w:p>
            <w:pPr>
              <w:pStyle w:val="TableParagraph"/>
              <w:ind w:left="81" w:right="3690"/>
              <w:jc w:val="center"/>
              <w:rPr>
                <w:sz w:val="24"/>
              </w:rPr>
            </w:pPr>
            <w:r>
              <w:rPr>
                <w:sz w:val="24"/>
              </w:rPr>
              <w:t>2µl</w:t>
            </w:r>
          </w:p>
        </w:tc>
      </w:tr>
      <w:tr>
        <w:trPr>
          <w:trHeight w:val="283" w:hRule="exact"/>
        </w:trPr>
        <w:tc>
          <w:tcPr>
            <w:tcW w:w="4418" w:type="dxa"/>
          </w:tcPr>
          <w:p>
            <w:pPr>
              <w:pStyle w:val="TableParagraph"/>
              <w:spacing w:line="267" w:lineRule="exact"/>
              <w:ind w:left="106" w:right="1720"/>
              <w:rPr>
                <w:b/>
                <w:sz w:val="24"/>
              </w:rPr>
            </w:pPr>
            <w:r>
              <w:rPr>
                <w:b/>
                <w:sz w:val="24"/>
              </w:rPr>
              <w:t>Volumen total</w:t>
            </w:r>
          </w:p>
        </w:tc>
        <w:tc>
          <w:tcPr>
            <w:tcW w:w="4413" w:type="dxa"/>
          </w:tcPr>
          <w:p>
            <w:pPr>
              <w:pStyle w:val="TableParagraph"/>
              <w:spacing w:line="267" w:lineRule="exact"/>
              <w:ind w:left="81" w:right="3739"/>
              <w:jc w:val="center"/>
              <w:rPr>
                <w:b/>
                <w:sz w:val="24"/>
              </w:rPr>
            </w:pPr>
            <w:r>
              <w:rPr>
                <w:b/>
                <w:sz w:val="24"/>
              </w:rPr>
              <w:t>25 µl</w:t>
            </w:r>
          </w:p>
        </w:tc>
      </w:tr>
    </w:tbl>
    <w:p>
      <w:pPr>
        <w:pStyle w:val="BodyText"/>
        <w:rPr>
          <w:sz w:val="20"/>
        </w:rPr>
      </w:pPr>
    </w:p>
    <w:p>
      <w:pPr>
        <w:pStyle w:val="BodyText"/>
        <w:spacing w:before="8"/>
        <w:rPr>
          <w:sz w:val="18"/>
        </w:rPr>
      </w:pPr>
    </w:p>
    <w:p>
      <w:pPr>
        <w:pStyle w:val="BodyText"/>
        <w:spacing w:line="276" w:lineRule="auto" w:before="69"/>
        <w:ind w:left="139" w:right="136"/>
        <w:jc w:val="both"/>
      </w:pPr>
      <w:r>
        <w:rPr/>
        <w:t>La</w:t>
      </w:r>
      <w:r>
        <w:rPr>
          <w:spacing w:val="-4"/>
        </w:rPr>
        <w:t> </w:t>
      </w:r>
      <w:r>
        <w:rPr/>
        <w:t>reacción</w:t>
      </w:r>
      <w:r>
        <w:rPr>
          <w:spacing w:val="-3"/>
        </w:rPr>
        <w:t> </w:t>
      </w:r>
      <w:r>
        <w:rPr/>
        <w:t>fue</w:t>
      </w:r>
      <w:r>
        <w:rPr>
          <w:spacing w:val="-4"/>
        </w:rPr>
        <w:t> </w:t>
      </w:r>
      <w:r>
        <w:rPr/>
        <w:t>desarrollada</w:t>
      </w:r>
      <w:r>
        <w:rPr>
          <w:spacing w:val="-3"/>
        </w:rPr>
        <w:t> </w:t>
      </w:r>
      <w:r>
        <w:rPr/>
        <w:t>en</w:t>
      </w:r>
      <w:r>
        <w:rPr>
          <w:spacing w:val="-8"/>
        </w:rPr>
        <w:t> </w:t>
      </w:r>
      <w:r>
        <w:rPr/>
        <w:t>un</w:t>
      </w:r>
      <w:r>
        <w:rPr>
          <w:spacing w:val="-3"/>
        </w:rPr>
        <w:t> </w:t>
      </w:r>
      <w:r>
        <w:rPr/>
        <w:t>termociclador</w:t>
      </w:r>
      <w:r>
        <w:rPr>
          <w:spacing w:val="-19"/>
        </w:rPr>
        <w:t> </w:t>
      </w:r>
      <w:r>
        <w:rPr>
          <w:rFonts w:ascii="Calibri" w:hAnsi="Calibri"/>
          <w:sz w:val="22"/>
        </w:rPr>
        <w:t>(</w:t>
      </w:r>
      <w:r>
        <w:rPr>
          <w:b/>
        </w:rPr>
        <w:t>Techne</w:t>
      </w:r>
      <w:r>
        <w:rPr>
          <w:b/>
          <w:spacing w:val="-4"/>
        </w:rPr>
        <w:t> </w:t>
      </w:r>
      <w:r>
        <w:rPr>
          <w:b/>
        </w:rPr>
        <w:t>Genius</w:t>
      </w:r>
      <w:r>
        <w:rPr/>
        <w:t>)</w:t>
      </w:r>
      <w:r>
        <w:rPr>
          <w:spacing w:val="-3"/>
        </w:rPr>
        <w:t> </w:t>
      </w:r>
      <w:r>
        <w:rPr/>
        <w:t>con</w:t>
      </w:r>
      <w:r>
        <w:rPr>
          <w:spacing w:val="-4"/>
        </w:rPr>
        <w:t> </w:t>
      </w:r>
      <w:r>
        <w:rPr/>
        <w:t>el</w:t>
      </w:r>
      <w:r>
        <w:rPr>
          <w:spacing w:val="-4"/>
        </w:rPr>
        <w:t> </w:t>
      </w:r>
      <w:r>
        <w:rPr/>
        <w:t>siguiente perfil térmico de amplificación: desnaturalización inicial a 94°C por 3 minutos, seguido</w:t>
      </w:r>
      <w:r>
        <w:rPr>
          <w:spacing w:val="-9"/>
        </w:rPr>
        <w:t> </w:t>
      </w:r>
      <w:r>
        <w:rPr/>
        <w:t>por</w:t>
      </w:r>
      <w:r>
        <w:rPr>
          <w:spacing w:val="-9"/>
        </w:rPr>
        <w:t> </w:t>
      </w:r>
      <w:r>
        <w:rPr/>
        <w:t>35</w:t>
      </w:r>
      <w:r>
        <w:rPr>
          <w:spacing w:val="-10"/>
        </w:rPr>
        <w:t> </w:t>
      </w:r>
      <w:r>
        <w:rPr/>
        <w:t>ciclos</w:t>
      </w:r>
      <w:r>
        <w:rPr>
          <w:spacing w:val="-10"/>
        </w:rPr>
        <w:t> </w:t>
      </w:r>
      <w:r>
        <w:rPr/>
        <w:t>de</w:t>
      </w:r>
      <w:r>
        <w:rPr>
          <w:spacing w:val="46"/>
        </w:rPr>
        <w:t> </w:t>
      </w:r>
      <w:r>
        <w:rPr/>
        <w:t>94°C</w:t>
      </w:r>
      <w:r>
        <w:rPr>
          <w:spacing w:val="-11"/>
        </w:rPr>
        <w:t> </w:t>
      </w:r>
      <w:r>
        <w:rPr/>
        <w:t>por</w:t>
      </w:r>
      <w:r>
        <w:rPr>
          <w:spacing w:val="-9"/>
        </w:rPr>
        <w:t> </w:t>
      </w:r>
      <w:r>
        <w:rPr/>
        <w:t>30</w:t>
      </w:r>
      <w:r>
        <w:rPr>
          <w:spacing w:val="-10"/>
        </w:rPr>
        <w:t> </w:t>
      </w:r>
      <w:r>
        <w:rPr/>
        <w:t>s,</w:t>
      </w:r>
      <w:r>
        <w:rPr>
          <w:spacing w:val="-10"/>
        </w:rPr>
        <w:t> </w:t>
      </w:r>
      <w:r>
        <w:rPr/>
        <w:t>60°C</w:t>
      </w:r>
      <w:r>
        <w:rPr>
          <w:spacing w:val="-16"/>
        </w:rPr>
        <w:t> </w:t>
      </w:r>
      <w:r>
        <w:rPr>
          <w:spacing w:val="2"/>
        </w:rPr>
        <w:t>por</w:t>
      </w:r>
      <w:r>
        <w:rPr>
          <w:spacing w:val="-9"/>
        </w:rPr>
        <w:t> </w:t>
      </w:r>
      <w:r>
        <w:rPr/>
        <w:t>1</w:t>
      </w:r>
      <w:r>
        <w:rPr>
          <w:spacing w:val="-10"/>
        </w:rPr>
        <w:t> </w:t>
      </w:r>
      <w:r>
        <w:rPr/>
        <w:t>minuto</w:t>
      </w:r>
      <w:r>
        <w:rPr>
          <w:spacing w:val="-9"/>
        </w:rPr>
        <w:t> </w:t>
      </w:r>
      <w:r>
        <w:rPr/>
        <w:t>y</w:t>
      </w:r>
      <w:r>
        <w:rPr>
          <w:spacing w:val="-11"/>
        </w:rPr>
        <w:t> </w:t>
      </w:r>
      <w:r>
        <w:rPr/>
        <w:t>72°C</w:t>
      </w:r>
      <w:r>
        <w:rPr>
          <w:spacing w:val="-11"/>
        </w:rPr>
        <w:t> </w:t>
      </w:r>
      <w:r>
        <w:rPr/>
        <w:t>1</w:t>
      </w:r>
      <w:r>
        <w:rPr>
          <w:spacing w:val="-10"/>
        </w:rPr>
        <w:t> </w:t>
      </w:r>
      <w:r>
        <w:rPr/>
        <w:t>minuto</w:t>
      </w:r>
      <w:r>
        <w:rPr>
          <w:spacing w:val="-9"/>
        </w:rPr>
        <w:t> </w:t>
      </w:r>
      <w:r>
        <w:rPr/>
        <w:t>por</w:t>
      </w:r>
      <w:r>
        <w:rPr>
          <w:spacing w:val="-9"/>
        </w:rPr>
        <w:t> </w:t>
      </w:r>
      <w:r>
        <w:rPr/>
        <w:t>ciclo y un ciclo de extensión final por 5 minutos a 72°C. El producto de PCR se colocó en gel de agarosa al 1% y se corrió a 100 volts por 30 minutos en una cámara de electroforesis</w:t>
      </w:r>
      <w:r>
        <w:rPr>
          <w:spacing w:val="-17"/>
        </w:rPr>
        <w:t> </w:t>
      </w:r>
      <w:r>
        <w:rPr/>
        <w:t>(Mupid-Exu</w:t>
      </w:r>
      <w:r>
        <w:rPr>
          <w:spacing w:val="-18"/>
        </w:rPr>
        <w:t> </w:t>
      </w:r>
      <w:r>
        <w:rPr/>
        <w:t>Electrophoresis</w:t>
      </w:r>
      <w:r>
        <w:rPr>
          <w:spacing w:val="-18"/>
        </w:rPr>
        <w:t> </w:t>
      </w:r>
      <w:r>
        <w:rPr/>
        <w:t>System)</w:t>
      </w:r>
      <w:r>
        <w:rPr>
          <w:spacing w:val="-17"/>
        </w:rPr>
        <w:t> </w:t>
      </w:r>
      <w:r>
        <w:rPr/>
        <w:t>para</w:t>
      </w:r>
      <w:r>
        <w:rPr>
          <w:spacing w:val="-18"/>
        </w:rPr>
        <w:t> </w:t>
      </w:r>
      <w:r>
        <w:rPr/>
        <w:t>su</w:t>
      </w:r>
      <w:r>
        <w:rPr>
          <w:spacing w:val="-17"/>
        </w:rPr>
        <w:t> </w:t>
      </w:r>
      <w:r>
        <w:rPr/>
        <w:t>posterior</w:t>
      </w:r>
      <w:r>
        <w:rPr>
          <w:spacing w:val="-17"/>
        </w:rPr>
        <w:t> </w:t>
      </w:r>
      <w:r>
        <w:rPr/>
        <w:t>observación</w:t>
      </w:r>
      <w:r>
        <w:rPr>
          <w:spacing w:val="-18"/>
        </w:rPr>
        <w:t> </w:t>
      </w:r>
      <w:r>
        <w:rPr/>
        <w:t>en el transiluminador de rayos UV (DNr Bio Imaging System Mini</w:t>
      </w:r>
      <w:r>
        <w:rPr>
          <w:spacing w:val="-19"/>
        </w:rPr>
        <w:t> </w:t>
      </w:r>
      <w:r>
        <w:rPr/>
        <w:t>Pro).</w:t>
      </w:r>
    </w:p>
    <w:p>
      <w:pPr>
        <w:pStyle w:val="Heading1"/>
        <w:numPr>
          <w:ilvl w:val="3"/>
          <w:numId w:val="8"/>
        </w:numPr>
        <w:tabs>
          <w:tab w:pos="947" w:val="left" w:leader="none"/>
        </w:tabs>
        <w:spacing w:line="240" w:lineRule="auto" w:before="197" w:after="0"/>
        <w:ind w:left="946" w:right="0" w:hanging="807"/>
        <w:jc w:val="both"/>
      </w:pPr>
      <w:bookmarkStart w:name="_bookmark51" w:id="88"/>
      <w:bookmarkEnd w:id="88"/>
      <w:r>
        <w:rPr>
          <w:b w:val="0"/>
        </w:rPr>
      </w:r>
      <w:bookmarkStart w:name="_bookmark51" w:id="89"/>
      <w:bookmarkEnd w:id="89"/>
      <w:r>
        <w:rPr>
          <w:color w:val="365F91"/>
        </w:rPr>
        <w:t>P</w:t>
      </w:r>
      <w:r>
        <w:rPr>
          <w:color w:val="365F91"/>
        </w:rPr>
        <w:t>CR</w:t>
      </w:r>
      <w:r>
        <w:rPr>
          <w:color w:val="365F91"/>
          <w:spacing w:val="-7"/>
        </w:rPr>
        <w:t> </w:t>
      </w:r>
      <w:r>
        <w:rPr>
          <w:color w:val="365F91"/>
        </w:rPr>
        <w:t>anidado</w:t>
      </w:r>
    </w:p>
    <w:p>
      <w:pPr>
        <w:pStyle w:val="BodyText"/>
        <w:spacing w:line="276" w:lineRule="auto" w:before="50"/>
        <w:ind w:left="139" w:right="133"/>
        <w:jc w:val="both"/>
      </w:pPr>
      <w:r>
        <w:rPr/>
        <w:t>También realizó el PCR para amplificar el gen 16S de Eubacterias, del ADN total extraído de las muestras utilizando los iniciadores universales UN y EB descritos por </w:t>
      </w:r>
      <w:r>
        <w:rPr>
          <w:b/>
        </w:rPr>
        <w:t>Barry </w:t>
      </w:r>
      <w:r>
        <w:rPr>
          <w:b/>
          <w:i/>
        </w:rPr>
        <w:t>et al</w:t>
      </w:r>
      <w:r>
        <w:rPr>
          <w:b/>
        </w:rPr>
        <w:t>., 1990, </w:t>
      </w:r>
      <w:r>
        <w:rPr/>
        <w:t>cuya secuencia de iniciadores es: (EB: 5´-AGA GTT TGA TCC TGG CTC AG-3´ y UN 5´-ACG GAT ACC TTG TTA CGA GTT- 3´) y que</w:t>
      </w:r>
    </w:p>
    <w:p>
      <w:pPr>
        <w:pStyle w:val="BodyText"/>
        <w:spacing w:line="272" w:lineRule="exact"/>
        <w:ind w:left="139"/>
        <w:jc w:val="both"/>
      </w:pPr>
      <w:r>
        <w:rPr/>
        <w:t>amplifican un producto final de 1534 pb.</w:t>
      </w:r>
    </w:p>
    <w:p>
      <w:pPr>
        <w:pStyle w:val="BodyText"/>
        <w:spacing w:before="5"/>
        <w:rPr>
          <w:sz w:val="21"/>
        </w:rPr>
      </w:pPr>
    </w:p>
    <w:p>
      <w:pPr>
        <w:pStyle w:val="BodyText"/>
        <w:spacing w:line="271" w:lineRule="auto"/>
        <w:ind w:left="139" w:right="134"/>
        <w:jc w:val="both"/>
      </w:pPr>
      <w:r>
        <w:rPr/>
        <w:t>Para la reacción de PCR se colocaron dentro de un vial de 200µl los siguientes reactivos (PROMEGA).</w:t>
      </w:r>
    </w:p>
    <w:p>
      <w:pPr>
        <w:pStyle w:val="BodyText"/>
        <w:spacing w:before="9"/>
        <w:rPr>
          <w:sz w:val="18"/>
        </w:rPr>
      </w:pPr>
    </w:p>
    <w:tbl>
      <w:tblPr>
        <w:tblW w:w="0" w:type="auto"/>
        <w:jc w:val="left"/>
        <w:tblInd w:w="1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18"/>
        <w:gridCol w:w="4413"/>
      </w:tblGrid>
      <w:tr>
        <w:trPr>
          <w:trHeight w:val="283" w:hRule="exact"/>
        </w:trPr>
        <w:tc>
          <w:tcPr>
            <w:tcW w:w="4418" w:type="dxa"/>
          </w:tcPr>
          <w:p>
            <w:pPr>
              <w:pStyle w:val="TableParagraph"/>
              <w:spacing w:line="267" w:lineRule="exact"/>
              <w:ind w:left="106" w:right="1720"/>
              <w:rPr>
                <w:b/>
                <w:sz w:val="24"/>
              </w:rPr>
            </w:pPr>
            <w:r>
              <w:rPr>
                <w:b/>
                <w:sz w:val="24"/>
              </w:rPr>
              <w:t>Componentes</w:t>
            </w:r>
          </w:p>
        </w:tc>
        <w:tc>
          <w:tcPr>
            <w:tcW w:w="4413" w:type="dxa"/>
          </w:tcPr>
          <w:p>
            <w:pPr>
              <w:pStyle w:val="TableParagraph"/>
              <w:spacing w:line="267" w:lineRule="exact"/>
              <w:ind w:left="100"/>
              <w:rPr>
                <w:b/>
                <w:sz w:val="24"/>
              </w:rPr>
            </w:pPr>
            <w:r>
              <w:rPr>
                <w:b/>
                <w:sz w:val="24"/>
              </w:rPr>
              <w:t>Volumen</w:t>
            </w:r>
          </w:p>
        </w:tc>
      </w:tr>
      <w:tr>
        <w:trPr>
          <w:trHeight w:val="1666" w:hRule="exact"/>
        </w:trPr>
        <w:tc>
          <w:tcPr>
            <w:tcW w:w="4418" w:type="dxa"/>
          </w:tcPr>
          <w:p>
            <w:pPr>
              <w:pStyle w:val="TableParagraph"/>
              <w:spacing w:line="240" w:lineRule="auto"/>
              <w:ind w:left="106" w:right="105"/>
              <w:jc w:val="both"/>
              <w:rPr>
                <w:sz w:val="24"/>
              </w:rPr>
            </w:pPr>
            <w:r>
              <w:rPr>
                <w:sz w:val="24"/>
              </w:rPr>
              <w:t>Mix PCR: 5X GoTaq Flexi buffer, 3mM de MgCl2, 4 µM de dNTPs, 25 mM de cada primer (UN y EB) y 1U Taq polimerasa.</w:t>
            </w:r>
          </w:p>
          <w:p>
            <w:pPr>
              <w:pStyle w:val="TableParagraph"/>
              <w:spacing w:line="242" w:lineRule="auto"/>
              <w:ind w:left="106" w:right="1720"/>
              <w:rPr>
                <w:sz w:val="24"/>
              </w:rPr>
            </w:pPr>
            <w:r>
              <w:rPr>
                <w:sz w:val="24"/>
              </w:rPr>
              <w:t>Agua libre de nucleasas Templado (100 ng)</w:t>
            </w:r>
          </w:p>
        </w:tc>
        <w:tc>
          <w:tcPr>
            <w:tcW w:w="4413" w:type="dxa"/>
          </w:tcPr>
          <w:p>
            <w:pPr>
              <w:pStyle w:val="TableParagraph"/>
              <w:ind w:left="81" w:right="3622"/>
              <w:jc w:val="center"/>
              <w:rPr>
                <w:sz w:val="24"/>
              </w:rPr>
            </w:pPr>
            <w:r>
              <w:rPr>
                <w:sz w:val="24"/>
              </w:rPr>
              <w:t>11.2µl</w:t>
            </w:r>
          </w:p>
          <w:p>
            <w:pPr>
              <w:pStyle w:val="TableParagraph"/>
              <w:spacing w:line="240" w:lineRule="auto"/>
              <w:ind w:left="0"/>
              <w:rPr>
                <w:sz w:val="24"/>
              </w:rPr>
            </w:pPr>
          </w:p>
          <w:p>
            <w:pPr>
              <w:pStyle w:val="TableParagraph"/>
              <w:spacing w:line="240" w:lineRule="auto" w:before="2"/>
              <w:ind w:left="0"/>
              <w:rPr>
                <w:sz w:val="24"/>
              </w:rPr>
            </w:pPr>
          </w:p>
          <w:p>
            <w:pPr>
              <w:pStyle w:val="TableParagraph"/>
              <w:spacing w:line="275" w:lineRule="exact" w:before="1"/>
              <w:ind w:left="81" w:right="3622"/>
              <w:jc w:val="center"/>
              <w:rPr>
                <w:sz w:val="24"/>
              </w:rPr>
            </w:pPr>
            <w:r>
              <w:rPr>
                <w:sz w:val="24"/>
              </w:rPr>
              <w:t>12.8µl</w:t>
            </w:r>
          </w:p>
          <w:p>
            <w:pPr>
              <w:pStyle w:val="TableParagraph"/>
              <w:spacing w:line="275" w:lineRule="exact"/>
              <w:ind w:left="81" w:right="3488"/>
              <w:jc w:val="center"/>
              <w:rPr>
                <w:sz w:val="24"/>
              </w:rPr>
            </w:pPr>
            <w:r>
              <w:rPr>
                <w:sz w:val="24"/>
              </w:rPr>
              <w:t>1.0µl</w:t>
            </w:r>
          </w:p>
        </w:tc>
      </w:tr>
      <w:tr>
        <w:trPr>
          <w:trHeight w:val="288" w:hRule="exact"/>
        </w:trPr>
        <w:tc>
          <w:tcPr>
            <w:tcW w:w="4418" w:type="dxa"/>
          </w:tcPr>
          <w:p>
            <w:pPr>
              <w:pStyle w:val="TableParagraph"/>
              <w:spacing w:line="267" w:lineRule="exact"/>
              <w:ind w:left="106" w:right="1720"/>
              <w:rPr>
                <w:b/>
                <w:sz w:val="24"/>
              </w:rPr>
            </w:pPr>
            <w:r>
              <w:rPr>
                <w:b/>
                <w:sz w:val="24"/>
              </w:rPr>
              <w:t>Volumen total</w:t>
            </w:r>
          </w:p>
        </w:tc>
        <w:tc>
          <w:tcPr>
            <w:tcW w:w="4413" w:type="dxa"/>
          </w:tcPr>
          <w:p>
            <w:pPr>
              <w:pStyle w:val="TableParagraph"/>
              <w:spacing w:line="267" w:lineRule="exact"/>
              <w:ind w:left="100"/>
              <w:rPr>
                <w:b/>
                <w:sz w:val="24"/>
              </w:rPr>
            </w:pPr>
            <w:r>
              <w:rPr>
                <w:b/>
                <w:sz w:val="24"/>
              </w:rPr>
              <w:t>25.0µl</w:t>
            </w:r>
          </w:p>
        </w:tc>
      </w:tr>
    </w:tbl>
    <w:p>
      <w:pPr>
        <w:pStyle w:val="BodyText"/>
        <w:rPr>
          <w:sz w:val="20"/>
        </w:rPr>
      </w:pPr>
    </w:p>
    <w:p>
      <w:pPr>
        <w:pStyle w:val="BodyText"/>
        <w:spacing w:before="3"/>
        <w:rPr>
          <w:sz w:val="18"/>
        </w:rPr>
      </w:pPr>
    </w:p>
    <w:p>
      <w:pPr>
        <w:pStyle w:val="BodyText"/>
        <w:spacing w:line="276" w:lineRule="auto" w:before="70"/>
        <w:ind w:left="139" w:right="135"/>
        <w:jc w:val="both"/>
      </w:pPr>
      <w:r>
        <w:rPr/>
        <w:t>La</w:t>
      </w:r>
      <w:r>
        <w:rPr>
          <w:spacing w:val="-16"/>
        </w:rPr>
        <w:t> </w:t>
      </w:r>
      <w:r>
        <w:rPr/>
        <w:t>reacción</w:t>
      </w:r>
      <w:r>
        <w:rPr>
          <w:spacing w:val="-16"/>
        </w:rPr>
        <w:t> </w:t>
      </w:r>
      <w:r>
        <w:rPr/>
        <w:t>de</w:t>
      </w:r>
      <w:r>
        <w:rPr>
          <w:spacing w:val="-16"/>
        </w:rPr>
        <w:t> </w:t>
      </w:r>
      <w:r>
        <w:rPr/>
        <w:t>PCR</w:t>
      </w:r>
      <w:r>
        <w:rPr>
          <w:spacing w:val="-17"/>
        </w:rPr>
        <w:t> </w:t>
      </w:r>
      <w:r>
        <w:rPr/>
        <w:t>fue</w:t>
      </w:r>
      <w:r>
        <w:rPr>
          <w:spacing w:val="-16"/>
        </w:rPr>
        <w:t> </w:t>
      </w:r>
      <w:r>
        <w:rPr/>
        <w:t>desarrollada</w:t>
      </w:r>
      <w:r>
        <w:rPr>
          <w:spacing w:val="-10"/>
        </w:rPr>
        <w:t> </w:t>
      </w:r>
      <w:r>
        <w:rPr/>
        <w:t>en</w:t>
      </w:r>
      <w:r>
        <w:rPr>
          <w:spacing w:val="-15"/>
        </w:rPr>
        <w:t> </w:t>
      </w:r>
      <w:r>
        <w:rPr/>
        <w:t>termociclador</w:t>
      </w:r>
      <w:r>
        <w:rPr>
          <w:spacing w:val="-13"/>
        </w:rPr>
        <w:t> </w:t>
      </w:r>
      <w:r>
        <w:rPr/>
        <w:t>(</w:t>
      </w:r>
      <w:r>
        <w:rPr>
          <w:b/>
        </w:rPr>
        <w:t>Multigene</w:t>
      </w:r>
      <w:r>
        <w:rPr>
          <w:b/>
          <w:spacing w:val="-16"/>
        </w:rPr>
        <w:t> </w:t>
      </w:r>
      <w:r>
        <w:rPr>
          <w:b/>
        </w:rPr>
        <w:t>Mini</w:t>
      </w:r>
      <w:r>
        <w:rPr>
          <w:b/>
          <w:spacing w:val="-16"/>
        </w:rPr>
        <w:t> </w:t>
      </w:r>
      <w:r>
        <w:rPr>
          <w:b/>
        </w:rPr>
        <w:t>Labnet</w:t>
      </w:r>
      <w:r>
        <w:rPr/>
        <w:t>)</w:t>
      </w:r>
      <w:r>
        <w:rPr>
          <w:spacing w:val="-15"/>
        </w:rPr>
        <w:t> </w:t>
      </w:r>
      <w:r>
        <w:rPr/>
        <w:t>con el siguiente perfil térmico: desnaturalización inicial de 94°C por 5 min, seguido por 35 ciclos de 94°C por 1 min, 57°C por 1 min y 72°C por 1 min, con una extensión final de 72°C por 5</w:t>
      </w:r>
      <w:r>
        <w:rPr>
          <w:spacing w:val="-3"/>
        </w:rPr>
        <w:t> </w:t>
      </w:r>
      <w:r>
        <w:rPr/>
        <w:t>min.</w:t>
      </w:r>
    </w:p>
    <w:p>
      <w:pPr>
        <w:pStyle w:val="BodyText"/>
        <w:spacing w:line="276" w:lineRule="auto" w:before="202"/>
        <w:ind w:left="139" w:right="132"/>
        <w:jc w:val="both"/>
      </w:pPr>
      <w:r>
        <w:rPr/>
        <w:t>Para el PCR Anidado se utilizaron los iniciadores descritos por </w:t>
      </w:r>
      <w:r>
        <w:rPr>
          <w:b/>
        </w:rPr>
        <w:t>Soto </w:t>
      </w:r>
      <w:r>
        <w:rPr>
          <w:b/>
          <w:i/>
        </w:rPr>
        <w:t>et al</w:t>
      </w:r>
      <w:r>
        <w:rPr>
          <w:b/>
        </w:rPr>
        <w:t>., (2010) </w:t>
      </w:r>
      <w:r>
        <w:rPr/>
        <w:t>para amplificación del gen </w:t>
      </w:r>
      <w:r>
        <w:rPr>
          <w:b/>
        </w:rPr>
        <w:t>iglC </w:t>
      </w:r>
      <w:r>
        <w:rPr/>
        <w:t>de FNO cuya secuencia de iniciadores es la siguiente: iglCF 5´- GGG CGT ATC TAA GGA TGG TAT GAG -3´ e iglCR 5´- AGC ACA GCA TAC AGG CAA GCT A -3´, los iniciadores utilizados amplifican un producto de 101 pb; para la reacción se utilizó como templado el producto de la reacción anterior.</w:t>
      </w:r>
    </w:p>
    <w:p>
      <w:pPr>
        <w:spacing w:after="0" w:line="276" w:lineRule="auto"/>
        <w:jc w:val="both"/>
        <w:sectPr>
          <w:pgSz w:w="12240" w:h="15840"/>
          <w:pgMar w:header="752" w:footer="998" w:top="1000" w:bottom="1180" w:left="1560" w:right="1560"/>
        </w:sectPr>
      </w:pPr>
    </w:p>
    <w:p>
      <w:pPr>
        <w:pStyle w:val="BodyText"/>
        <w:rPr>
          <w:sz w:val="29"/>
        </w:rPr>
      </w:pPr>
    </w:p>
    <w:p>
      <w:pPr>
        <w:pStyle w:val="BodyText"/>
        <w:spacing w:line="271" w:lineRule="auto" w:before="70"/>
        <w:ind w:left="139"/>
      </w:pPr>
      <w:r>
        <w:rPr/>
        <w:t>Para realizar esta reacción de PCR se colocaron en un vial de 200µl los siguientes reactivos (PROMEGA).</w:t>
      </w:r>
    </w:p>
    <w:p>
      <w:pPr>
        <w:pStyle w:val="BodyText"/>
        <w:spacing w:before="9"/>
        <w:rPr>
          <w:sz w:val="18"/>
        </w:rPr>
      </w:pPr>
    </w:p>
    <w:tbl>
      <w:tblPr>
        <w:tblW w:w="0" w:type="auto"/>
        <w:jc w:val="left"/>
        <w:tblInd w:w="1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18"/>
        <w:gridCol w:w="4413"/>
      </w:tblGrid>
      <w:tr>
        <w:trPr>
          <w:trHeight w:val="289" w:hRule="exact"/>
        </w:trPr>
        <w:tc>
          <w:tcPr>
            <w:tcW w:w="4418" w:type="dxa"/>
          </w:tcPr>
          <w:p>
            <w:pPr>
              <w:pStyle w:val="TableParagraph"/>
              <w:spacing w:line="267" w:lineRule="exact"/>
              <w:ind w:left="106" w:right="1720"/>
              <w:rPr>
                <w:b/>
                <w:sz w:val="24"/>
              </w:rPr>
            </w:pPr>
            <w:r>
              <w:rPr>
                <w:b/>
                <w:sz w:val="24"/>
              </w:rPr>
              <w:t>Componentes</w:t>
            </w:r>
          </w:p>
        </w:tc>
        <w:tc>
          <w:tcPr>
            <w:tcW w:w="4413" w:type="dxa"/>
          </w:tcPr>
          <w:p>
            <w:pPr>
              <w:pStyle w:val="TableParagraph"/>
              <w:spacing w:line="267" w:lineRule="exact"/>
              <w:ind w:left="100"/>
              <w:rPr>
                <w:b/>
                <w:sz w:val="24"/>
              </w:rPr>
            </w:pPr>
            <w:r>
              <w:rPr>
                <w:b/>
                <w:sz w:val="24"/>
              </w:rPr>
              <w:t>Volumen</w:t>
            </w:r>
          </w:p>
        </w:tc>
      </w:tr>
      <w:tr>
        <w:trPr>
          <w:trHeight w:val="2492" w:hRule="exact"/>
        </w:trPr>
        <w:tc>
          <w:tcPr>
            <w:tcW w:w="4418" w:type="dxa"/>
          </w:tcPr>
          <w:p>
            <w:pPr>
              <w:pStyle w:val="TableParagraph"/>
              <w:spacing w:line="240" w:lineRule="auto"/>
              <w:ind w:left="106" w:right="105"/>
              <w:jc w:val="both"/>
              <w:rPr>
                <w:sz w:val="24"/>
              </w:rPr>
            </w:pPr>
            <w:r>
              <w:rPr>
                <w:sz w:val="24"/>
              </w:rPr>
              <w:t>Mix PCR: 5X GoTaq Flexi buffer, 3mM de MgCl2, 4µM de dNTPs, 25mM de cada primer (iglCF e iglCR) y 1U Taq polimerasa.</w:t>
            </w:r>
          </w:p>
          <w:p>
            <w:pPr>
              <w:pStyle w:val="TableParagraph"/>
              <w:spacing w:line="240" w:lineRule="auto"/>
              <w:ind w:left="0"/>
              <w:rPr>
                <w:sz w:val="24"/>
              </w:rPr>
            </w:pPr>
          </w:p>
          <w:p>
            <w:pPr>
              <w:pStyle w:val="TableParagraph"/>
              <w:spacing w:line="240" w:lineRule="auto"/>
              <w:ind w:left="106"/>
              <w:jc w:val="both"/>
              <w:rPr>
                <w:sz w:val="24"/>
              </w:rPr>
            </w:pPr>
            <w:r>
              <w:rPr>
                <w:sz w:val="24"/>
              </w:rPr>
              <w:t>Agua libre de nucleasas</w:t>
            </w:r>
          </w:p>
          <w:p>
            <w:pPr>
              <w:pStyle w:val="TableParagraph"/>
              <w:spacing w:line="240" w:lineRule="auto"/>
              <w:ind w:left="0"/>
              <w:rPr>
                <w:sz w:val="24"/>
              </w:rPr>
            </w:pPr>
          </w:p>
          <w:p>
            <w:pPr>
              <w:pStyle w:val="TableParagraph"/>
              <w:spacing w:line="242" w:lineRule="auto"/>
              <w:ind w:left="106" w:right="110"/>
              <w:jc w:val="both"/>
              <w:rPr>
                <w:sz w:val="24"/>
              </w:rPr>
            </w:pPr>
            <w:r>
              <w:rPr>
                <w:sz w:val="24"/>
              </w:rPr>
              <w:t>Producto de PCR anterior como templado</w:t>
            </w:r>
          </w:p>
        </w:tc>
        <w:tc>
          <w:tcPr>
            <w:tcW w:w="4413" w:type="dxa"/>
          </w:tcPr>
          <w:p>
            <w:pPr>
              <w:pStyle w:val="TableParagraph"/>
              <w:ind w:left="100"/>
              <w:rPr>
                <w:sz w:val="24"/>
              </w:rPr>
            </w:pPr>
            <w:r>
              <w:rPr>
                <w:sz w:val="24"/>
              </w:rPr>
              <w:t>11.2µl</w:t>
            </w:r>
          </w:p>
          <w:p>
            <w:pPr>
              <w:pStyle w:val="TableParagraph"/>
              <w:spacing w:line="240" w:lineRule="auto"/>
              <w:ind w:left="0"/>
              <w:rPr>
                <w:sz w:val="24"/>
              </w:rPr>
            </w:pPr>
          </w:p>
          <w:p>
            <w:pPr>
              <w:pStyle w:val="TableParagraph"/>
              <w:spacing w:line="240" w:lineRule="auto"/>
              <w:ind w:left="0"/>
              <w:rPr>
                <w:sz w:val="24"/>
              </w:rPr>
            </w:pPr>
          </w:p>
          <w:p>
            <w:pPr>
              <w:pStyle w:val="TableParagraph"/>
              <w:spacing w:line="240" w:lineRule="auto"/>
              <w:ind w:left="0"/>
              <w:rPr>
                <w:sz w:val="24"/>
              </w:rPr>
            </w:pPr>
          </w:p>
          <w:p>
            <w:pPr>
              <w:pStyle w:val="TableParagraph"/>
              <w:spacing w:line="240" w:lineRule="auto" w:before="9"/>
              <w:ind w:left="0"/>
              <w:rPr>
                <w:sz w:val="23"/>
              </w:rPr>
            </w:pPr>
          </w:p>
          <w:p>
            <w:pPr>
              <w:pStyle w:val="TableParagraph"/>
              <w:spacing w:line="240" w:lineRule="auto"/>
              <w:ind w:left="100"/>
              <w:rPr>
                <w:sz w:val="24"/>
              </w:rPr>
            </w:pPr>
            <w:r>
              <w:rPr>
                <w:sz w:val="24"/>
              </w:rPr>
              <w:t>12.8µl</w:t>
            </w:r>
          </w:p>
          <w:p>
            <w:pPr>
              <w:pStyle w:val="TableParagraph"/>
              <w:spacing w:line="240" w:lineRule="auto"/>
              <w:ind w:left="0"/>
              <w:rPr>
                <w:sz w:val="24"/>
              </w:rPr>
            </w:pPr>
          </w:p>
          <w:p>
            <w:pPr>
              <w:pStyle w:val="TableParagraph"/>
              <w:spacing w:line="240" w:lineRule="auto" w:before="2"/>
              <w:ind w:left="0"/>
              <w:rPr>
                <w:sz w:val="24"/>
              </w:rPr>
            </w:pPr>
          </w:p>
          <w:p>
            <w:pPr>
              <w:pStyle w:val="TableParagraph"/>
              <w:spacing w:line="240" w:lineRule="auto"/>
              <w:ind w:left="100"/>
              <w:rPr>
                <w:sz w:val="24"/>
              </w:rPr>
            </w:pPr>
            <w:r>
              <w:rPr>
                <w:sz w:val="24"/>
              </w:rPr>
              <w:t>1.0µl</w:t>
            </w:r>
          </w:p>
        </w:tc>
      </w:tr>
      <w:tr>
        <w:trPr>
          <w:trHeight w:val="288" w:hRule="exact"/>
        </w:trPr>
        <w:tc>
          <w:tcPr>
            <w:tcW w:w="4418" w:type="dxa"/>
          </w:tcPr>
          <w:p>
            <w:pPr>
              <w:pStyle w:val="TableParagraph"/>
              <w:spacing w:line="267" w:lineRule="exact"/>
              <w:ind w:left="106" w:right="1720"/>
              <w:rPr>
                <w:b/>
                <w:sz w:val="24"/>
              </w:rPr>
            </w:pPr>
            <w:r>
              <w:rPr>
                <w:b/>
                <w:sz w:val="24"/>
              </w:rPr>
              <w:t>Volumen total</w:t>
            </w:r>
          </w:p>
        </w:tc>
        <w:tc>
          <w:tcPr>
            <w:tcW w:w="4413" w:type="dxa"/>
          </w:tcPr>
          <w:p>
            <w:pPr>
              <w:pStyle w:val="TableParagraph"/>
              <w:spacing w:line="267" w:lineRule="exact"/>
              <w:ind w:left="100"/>
              <w:rPr>
                <w:b/>
                <w:sz w:val="24"/>
              </w:rPr>
            </w:pPr>
            <w:r>
              <w:rPr>
                <w:b/>
                <w:sz w:val="24"/>
              </w:rPr>
              <w:t>25.0µl</w:t>
            </w:r>
          </w:p>
        </w:tc>
      </w:tr>
    </w:tbl>
    <w:p>
      <w:pPr>
        <w:pStyle w:val="BodyText"/>
        <w:rPr>
          <w:sz w:val="20"/>
        </w:rPr>
      </w:pPr>
    </w:p>
    <w:p>
      <w:pPr>
        <w:pStyle w:val="BodyText"/>
        <w:spacing w:before="3"/>
        <w:rPr>
          <w:sz w:val="18"/>
        </w:rPr>
      </w:pPr>
    </w:p>
    <w:p>
      <w:pPr>
        <w:pStyle w:val="BodyText"/>
        <w:spacing w:line="276" w:lineRule="auto" w:before="70"/>
        <w:ind w:left="139" w:right="133"/>
        <w:jc w:val="both"/>
      </w:pPr>
      <w:r>
        <w:rPr/>
        <w:t>Las muestras se colocaron en un termociclador (</w:t>
      </w:r>
      <w:r>
        <w:rPr>
          <w:b/>
        </w:rPr>
        <w:t>Multigene Mini Labnet</w:t>
      </w:r>
      <w:r>
        <w:rPr/>
        <w:t>) con el siguiente perfil térmico: desnaturalización inicial a 94°C por 5 minutos, seguido por 35 ciclos de 94°C por 1 minuto, 59°C por 1 minuto y 72°C 1 minuto por cada ciclo  y un ciclo de extensión final por 5 minutos a 72°C. El producto de PCR se colocó en gel de agarosa al 3% y se corrió a 100 volts por 45 minutos en una cámara de electroforesis</w:t>
      </w:r>
      <w:r>
        <w:rPr>
          <w:spacing w:val="-29"/>
        </w:rPr>
        <w:t> </w:t>
      </w:r>
      <w:r>
        <w:rPr>
          <w:rFonts w:ascii="Calibri" w:hAnsi="Calibri"/>
          <w:sz w:val="22"/>
        </w:rPr>
        <w:t>(</w:t>
      </w:r>
      <w:r>
        <w:rPr/>
        <w:t>Mupid-Exu</w:t>
      </w:r>
      <w:r>
        <w:rPr>
          <w:spacing w:val="-13"/>
        </w:rPr>
        <w:t> </w:t>
      </w:r>
      <w:r>
        <w:rPr/>
        <w:t>Electrophoresis</w:t>
      </w:r>
      <w:r>
        <w:rPr>
          <w:spacing w:val="-14"/>
        </w:rPr>
        <w:t> </w:t>
      </w:r>
      <w:r>
        <w:rPr/>
        <w:t>System)</w:t>
      </w:r>
      <w:r>
        <w:rPr>
          <w:spacing w:val="-12"/>
        </w:rPr>
        <w:t> </w:t>
      </w:r>
      <w:r>
        <w:rPr/>
        <w:t>para</w:t>
      </w:r>
      <w:r>
        <w:rPr>
          <w:spacing w:val="-13"/>
        </w:rPr>
        <w:t> </w:t>
      </w:r>
      <w:r>
        <w:rPr/>
        <w:t>su</w:t>
      </w:r>
      <w:r>
        <w:rPr>
          <w:spacing w:val="-13"/>
        </w:rPr>
        <w:t> </w:t>
      </w:r>
      <w:r>
        <w:rPr/>
        <w:t>posterior</w:t>
      </w:r>
      <w:r>
        <w:rPr>
          <w:spacing w:val="-12"/>
        </w:rPr>
        <w:t> </w:t>
      </w:r>
      <w:r>
        <w:rPr/>
        <w:t>observación</w:t>
      </w:r>
      <w:r>
        <w:rPr>
          <w:spacing w:val="-17"/>
        </w:rPr>
        <w:t> </w:t>
      </w:r>
      <w:r>
        <w:rPr/>
        <w:t>en el transluminador de rayos UV (DNr Bio Imaging System Mini</w:t>
      </w:r>
      <w:r>
        <w:rPr>
          <w:spacing w:val="-14"/>
        </w:rPr>
        <w:t> </w:t>
      </w:r>
      <w:r>
        <w:rPr/>
        <w:t>Pro).</w:t>
      </w:r>
    </w:p>
    <w:p>
      <w:pPr>
        <w:pStyle w:val="BodyText"/>
        <w:spacing w:line="273" w:lineRule="auto" w:before="207"/>
        <w:ind w:left="139" w:right="135"/>
        <w:jc w:val="both"/>
      </w:pPr>
      <w:r>
        <w:rPr/>
        <w:t>Cuando se obtuvieron los resultados del total de muestras analizadas por cada proceso</w:t>
      </w:r>
      <w:r>
        <w:rPr>
          <w:spacing w:val="-4"/>
        </w:rPr>
        <w:t> </w:t>
      </w:r>
      <w:r>
        <w:rPr/>
        <w:t>de</w:t>
      </w:r>
      <w:r>
        <w:rPr>
          <w:spacing w:val="-11"/>
        </w:rPr>
        <w:t> </w:t>
      </w:r>
      <w:r>
        <w:rPr/>
        <w:t>diagnóstico,</w:t>
      </w:r>
      <w:r>
        <w:rPr>
          <w:spacing w:val="-6"/>
        </w:rPr>
        <w:t> </w:t>
      </w:r>
      <w:r>
        <w:rPr/>
        <w:t>se</w:t>
      </w:r>
      <w:r>
        <w:rPr>
          <w:spacing w:val="-6"/>
        </w:rPr>
        <w:t> </w:t>
      </w:r>
      <w:r>
        <w:rPr/>
        <w:t>realizó</w:t>
      </w:r>
      <w:r>
        <w:rPr>
          <w:spacing w:val="-11"/>
        </w:rPr>
        <w:t> </w:t>
      </w:r>
      <w:r>
        <w:rPr/>
        <w:t>la</w:t>
      </w:r>
      <w:r>
        <w:rPr>
          <w:spacing w:val="-6"/>
        </w:rPr>
        <w:t> </w:t>
      </w:r>
      <w:r>
        <w:rPr/>
        <w:t>comparación</w:t>
      </w:r>
      <w:r>
        <w:rPr>
          <w:spacing w:val="-6"/>
        </w:rPr>
        <w:t> </w:t>
      </w:r>
      <w:r>
        <w:rPr/>
        <w:t>de</w:t>
      </w:r>
      <w:r>
        <w:rPr>
          <w:spacing w:val="-1"/>
        </w:rPr>
        <w:t> </w:t>
      </w:r>
      <w:r>
        <w:rPr/>
        <w:t>la</w:t>
      </w:r>
      <w:r>
        <w:rPr>
          <w:spacing w:val="-6"/>
        </w:rPr>
        <w:t> </w:t>
      </w:r>
      <w:r>
        <w:rPr/>
        <w:t>sensibilidad</w:t>
      </w:r>
      <w:r>
        <w:rPr>
          <w:spacing w:val="-6"/>
        </w:rPr>
        <w:t> </w:t>
      </w:r>
      <w:r>
        <w:rPr/>
        <w:t>de</w:t>
      </w:r>
      <w:r>
        <w:rPr>
          <w:spacing w:val="-6"/>
        </w:rPr>
        <w:t> </w:t>
      </w:r>
      <w:r>
        <w:rPr/>
        <w:t>las</w:t>
      </w:r>
      <w:r>
        <w:rPr>
          <w:spacing w:val="-6"/>
        </w:rPr>
        <w:t> </w:t>
      </w:r>
      <w:r>
        <w:rPr/>
        <w:t>técnicas por</w:t>
      </w:r>
      <w:r>
        <w:rPr>
          <w:spacing w:val="-11"/>
        </w:rPr>
        <w:t> </w:t>
      </w:r>
      <w:r>
        <w:rPr/>
        <w:t>medio</w:t>
      </w:r>
      <w:r>
        <w:rPr>
          <w:spacing w:val="-12"/>
        </w:rPr>
        <w:t> </w:t>
      </w:r>
      <w:r>
        <w:rPr/>
        <w:t>de</w:t>
      </w:r>
      <w:r>
        <w:rPr>
          <w:spacing w:val="-12"/>
        </w:rPr>
        <w:t> </w:t>
      </w:r>
      <w:r>
        <w:rPr/>
        <w:t>cuadros</w:t>
      </w:r>
      <w:r>
        <w:rPr>
          <w:spacing w:val="-12"/>
        </w:rPr>
        <w:t> </w:t>
      </w:r>
      <w:r>
        <w:rPr/>
        <w:t>de</w:t>
      </w:r>
      <w:r>
        <w:rPr>
          <w:spacing w:val="-11"/>
        </w:rPr>
        <w:t> </w:t>
      </w:r>
      <w:r>
        <w:rPr/>
        <w:t>contingencia,</w:t>
      </w:r>
      <w:r>
        <w:rPr>
          <w:spacing w:val="-12"/>
        </w:rPr>
        <w:t> </w:t>
      </w:r>
      <w:r>
        <w:rPr/>
        <w:t>utilizando</w:t>
      </w:r>
      <w:r>
        <w:rPr>
          <w:spacing w:val="-12"/>
        </w:rPr>
        <w:t> </w:t>
      </w:r>
      <w:r>
        <w:rPr/>
        <w:t>el</w:t>
      </w:r>
      <w:r>
        <w:rPr>
          <w:spacing w:val="-8"/>
        </w:rPr>
        <w:t> </w:t>
      </w:r>
      <w:r>
        <w:rPr/>
        <w:t>programa</w:t>
      </w:r>
      <w:r>
        <w:rPr>
          <w:spacing w:val="-12"/>
        </w:rPr>
        <w:t> </w:t>
      </w:r>
      <w:r>
        <w:rPr/>
        <w:t>Graph</w:t>
      </w:r>
      <w:r>
        <w:rPr>
          <w:spacing w:val="-12"/>
        </w:rPr>
        <w:t> </w:t>
      </w:r>
      <w:r>
        <w:rPr/>
        <w:t>Pad</w:t>
      </w:r>
      <w:r>
        <w:rPr>
          <w:spacing w:val="-12"/>
        </w:rPr>
        <w:t> </w:t>
      </w:r>
      <w:r>
        <w:rPr/>
        <w:t>Prism</w:t>
      </w:r>
      <w:r>
        <w:rPr>
          <w:spacing w:val="-19"/>
        </w:rPr>
        <w:t> </w:t>
      </w:r>
      <w:r>
        <w:rPr/>
        <w:t>6.0.</w:t>
      </w:r>
    </w:p>
    <w:p>
      <w:pPr>
        <w:spacing w:after="0" w:line="273" w:lineRule="auto"/>
        <w:jc w:val="both"/>
        <w:sectPr>
          <w:pgSz w:w="12240" w:h="15840"/>
          <w:pgMar w:header="752" w:footer="998" w:top="1000" w:bottom="1180" w:left="1560" w:right="1560"/>
        </w:sectPr>
      </w:pPr>
    </w:p>
    <w:p>
      <w:pPr>
        <w:pStyle w:val="BodyText"/>
        <w:spacing w:before="7"/>
        <w:rPr>
          <w:sz w:val="28"/>
        </w:rPr>
      </w:pPr>
    </w:p>
    <w:p>
      <w:pPr>
        <w:pStyle w:val="Heading1"/>
        <w:numPr>
          <w:ilvl w:val="0"/>
          <w:numId w:val="8"/>
        </w:numPr>
        <w:tabs>
          <w:tab w:pos="409" w:val="left" w:leader="none"/>
        </w:tabs>
        <w:spacing w:line="240" w:lineRule="auto" w:before="70" w:after="0"/>
        <w:ind w:left="408" w:right="0" w:hanging="269"/>
        <w:jc w:val="left"/>
      </w:pPr>
      <w:bookmarkStart w:name="_bookmark52" w:id="90"/>
      <w:bookmarkEnd w:id="90"/>
      <w:r>
        <w:rPr>
          <w:b w:val="0"/>
        </w:rPr>
      </w:r>
      <w:bookmarkStart w:name="_bookmark52" w:id="91"/>
      <w:bookmarkEnd w:id="91"/>
      <w:r>
        <w:rPr>
          <w:color w:val="365F91"/>
        </w:rPr>
        <w:t>R</w:t>
      </w:r>
      <w:r>
        <w:rPr>
          <w:color w:val="365F91"/>
        </w:rPr>
        <w:t>ESULTADOS</w:t>
      </w:r>
    </w:p>
    <w:p>
      <w:pPr>
        <w:pStyle w:val="Heading1"/>
        <w:numPr>
          <w:ilvl w:val="1"/>
          <w:numId w:val="8"/>
        </w:numPr>
        <w:tabs>
          <w:tab w:pos="611" w:val="left" w:leader="none"/>
        </w:tabs>
        <w:spacing w:line="240" w:lineRule="auto" w:before="79" w:after="0"/>
        <w:ind w:left="610" w:right="0" w:hanging="471"/>
        <w:jc w:val="left"/>
      </w:pPr>
      <w:r>
        <w:rPr/>
        <w:drawing>
          <wp:anchor distT="0" distB="0" distL="0" distR="0" allowOverlap="1" layoutInCell="1" locked="0" behindDoc="0" simplePos="0" relativeHeight="1384">
            <wp:simplePos x="0" y="0"/>
            <wp:positionH relativeFrom="page">
              <wp:posOffset>1078991</wp:posOffset>
            </wp:positionH>
            <wp:positionV relativeFrom="paragraph">
              <wp:posOffset>260013</wp:posOffset>
            </wp:positionV>
            <wp:extent cx="5580316" cy="7594473"/>
            <wp:effectExtent l="0" t="0" r="0" b="0"/>
            <wp:wrapTopAndBottom/>
            <wp:docPr id="15" name="image13.jpeg" descr=""/>
            <wp:cNvGraphicFramePr>
              <a:graphicFrameLocks noChangeAspect="1"/>
            </wp:cNvGraphicFramePr>
            <a:graphic>
              <a:graphicData uri="http://schemas.openxmlformats.org/drawingml/2006/picture">
                <pic:pic>
                  <pic:nvPicPr>
                    <pic:cNvPr id="16" name="image13.jpeg"/>
                    <pic:cNvPicPr/>
                  </pic:nvPicPr>
                  <pic:blipFill>
                    <a:blip r:embed="rId28" cstate="print"/>
                    <a:stretch>
                      <a:fillRect/>
                    </a:stretch>
                  </pic:blipFill>
                  <pic:spPr>
                    <a:xfrm>
                      <a:off x="0" y="0"/>
                      <a:ext cx="5580316" cy="7594473"/>
                    </a:xfrm>
                    <a:prstGeom prst="rect">
                      <a:avLst/>
                    </a:prstGeom>
                  </pic:spPr>
                </pic:pic>
              </a:graphicData>
            </a:graphic>
          </wp:anchor>
        </w:drawing>
      </w:r>
      <w:bookmarkStart w:name="_bookmark53" w:id="92"/>
      <w:bookmarkEnd w:id="92"/>
      <w:r>
        <w:rPr>
          <w:b w:val="0"/>
        </w:rPr>
      </w:r>
      <w:bookmarkStart w:name="_bookmark53" w:id="93"/>
      <w:bookmarkEnd w:id="93"/>
      <w:r>
        <w:rPr>
          <w:color w:val="365F91"/>
        </w:rPr>
        <w:t>A</w:t>
      </w:r>
      <w:r>
        <w:rPr>
          <w:color w:val="365F91"/>
        </w:rPr>
        <w:t>rticulo enviado y en</w:t>
      </w:r>
      <w:r>
        <w:rPr>
          <w:color w:val="365F91"/>
          <w:spacing w:val="-15"/>
        </w:rPr>
        <w:t> </w:t>
      </w:r>
      <w:r>
        <w:rPr>
          <w:color w:val="365F91"/>
        </w:rPr>
        <w:t>revisión</w:t>
      </w:r>
    </w:p>
    <w:p>
      <w:pPr>
        <w:spacing w:after="0" w:line="240" w:lineRule="auto"/>
        <w:jc w:val="left"/>
        <w:sectPr>
          <w:pgSz w:w="12240" w:h="15840"/>
          <w:pgMar w:header="752" w:footer="998" w:top="1000" w:bottom="1180" w:left="1560" w:right="1560"/>
        </w:sectPr>
      </w:pPr>
    </w:p>
    <w:p>
      <w:pPr>
        <w:pStyle w:val="BodyText"/>
        <w:rPr>
          <w:b/>
          <w:sz w:val="20"/>
        </w:rPr>
      </w:pPr>
    </w:p>
    <w:p>
      <w:pPr>
        <w:spacing w:before="179"/>
        <w:ind w:left="229" w:right="0" w:firstLine="0"/>
        <w:jc w:val="left"/>
        <w:rPr>
          <w:rFonts w:ascii="Calibri"/>
          <w:sz w:val="22"/>
        </w:rPr>
      </w:pPr>
      <w:r>
        <w:rPr>
          <w:rFonts w:ascii="Calibri"/>
          <w:w w:val="100"/>
          <w:sz w:val="22"/>
        </w:rPr>
        <w:t>1</w:t>
      </w:r>
    </w:p>
    <w:p>
      <w:pPr>
        <w:pStyle w:val="BodyText"/>
        <w:spacing w:before="4"/>
        <w:rPr>
          <w:rFonts w:ascii="Calibri"/>
          <w:sz w:val="28"/>
        </w:rPr>
      </w:pPr>
    </w:p>
    <w:p>
      <w:pPr>
        <w:spacing w:before="0"/>
        <w:ind w:left="229" w:right="0" w:firstLine="0"/>
        <w:jc w:val="left"/>
        <w:rPr>
          <w:rFonts w:ascii="Calibri"/>
          <w:sz w:val="22"/>
        </w:rPr>
      </w:pPr>
      <w:r>
        <w:rPr>
          <w:rFonts w:ascii="Calibri"/>
          <w:w w:val="100"/>
          <w:sz w:val="22"/>
        </w:rPr>
        <w:t>2</w:t>
      </w:r>
    </w:p>
    <w:p>
      <w:pPr>
        <w:pStyle w:val="BodyText"/>
        <w:spacing w:before="11"/>
        <w:rPr>
          <w:rFonts w:ascii="Calibri"/>
          <w:sz w:val="21"/>
        </w:rPr>
      </w:pPr>
    </w:p>
    <w:p>
      <w:pPr>
        <w:pStyle w:val="Heading1"/>
        <w:numPr>
          <w:ilvl w:val="0"/>
          <w:numId w:val="6"/>
        </w:numPr>
        <w:tabs>
          <w:tab w:pos="1040" w:val="left" w:leader="none"/>
          <w:tab w:pos="1041" w:val="left" w:leader="none"/>
        </w:tabs>
        <w:spacing w:line="240" w:lineRule="auto" w:before="69" w:after="0"/>
        <w:ind w:left="1041" w:right="0" w:hanging="812"/>
        <w:jc w:val="left"/>
        <w:rPr>
          <w:rFonts w:ascii="Calibri" w:hAnsi="Calibri"/>
          <w:sz w:val="22"/>
        </w:rPr>
      </w:pPr>
      <w:r>
        <w:rPr>
          <w:rFonts w:ascii="Times New Roman" w:hAnsi="Times New Roman"/>
        </w:rPr>
        <w:t>Diagnóstico de Francisellosis en granjas de tilapias (</w:t>
      </w:r>
      <w:r>
        <w:rPr>
          <w:rFonts w:ascii="Times New Roman" w:hAnsi="Times New Roman"/>
          <w:i/>
        </w:rPr>
        <w:t>Oreochromis </w:t>
      </w:r>
      <w:r>
        <w:rPr>
          <w:rFonts w:ascii="Times New Roman" w:hAnsi="Times New Roman"/>
        </w:rPr>
        <w:t>sp.</w:t>
      </w:r>
      <w:r>
        <w:rPr>
          <w:rFonts w:ascii="Times New Roman" w:hAnsi="Times New Roman"/>
          <w:i/>
        </w:rPr>
        <w:t>) </w:t>
      </w:r>
      <w:r>
        <w:rPr>
          <w:rFonts w:ascii="Times New Roman" w:hAnsi="Times New Roman"/>
        </w:rPr>
        <w:t>de</w:t>
      </w:r>
      <w:r>
        <w:rPr>
          <w:rFonts w:ascii="Times New Roman" w:hAnsi="Times New Roman"/>
          <w:spacing w:val="-20"/>
        </w:rPr>
        <w:t> </w:t>
      </w:r>
      <w:r>
        <w:rPr>
          <w:rFonts w:ascii="Times New Roman" w:hAnsi="Times New Roman"/>
        </w:rPr>
        <w:t>México</w:t>
      </w:r>
    </w:p>
    <w:p>
      <w:pPr>
        <w:pStyle w:val="BodyText"/>
        <w:spacing w:before="9"/>
        <w:rPr>
          <w:rFonts w:ascii="Times New Roman"/>
          <w:b/>
          <w:sz w:val="22"/>
        </w:rPr>
      </w:pPr>
    </w:p>
    <w:p>
      <w:pPr>
        <w:pStyle w:val="ListParagraph"/>
        <w:numPr>
          <w:ilvl w:val="0"/>
          <w:numId w:val="6"/>
        </w:numPr>
        <w:tabs>
          <w:tab w:pos="1343" w:val="left" w:leader="none"/>
          <w:tab w:pos="1344" w:val="left" w:leader="none"/>
        </w:tabs>
        <w:spacing w:line="240" w:lineRule="auto" w:before="69" w:after="0"/>
        <w:ind w:left="1343" w:right="0" w:hanging="1114"/>
        <w:jc w:val="left"/>
        <w:rPr>
          <w:rFonts w:ascii="Calibri" w:hAnsi="Calibri"/>
          <w:b/>
          <w:sz w:val="22"/>
        </w:rPr>
      </w:pPr>
      <w:r>
        <w:rPr>
          <w:b/>
          <w:sz w:val="24"/>
        </w:rPr>
        <w:t>Diagnostics Francisellosis in tilapia farms (</w:t>
      </w:r>
      <w:r>
        <w:rPr>
          <w:b/>
          <w:i/>
          <w:sz w:val="24"/>
        </w:rPr>
        <w:t>Oreochromis </w:t>
      </w:r>
      <w:r>
        <w:rPr>
          <w:b/>
          <w:sz w:val="24"/>
        </w:rPr>
        <w:t>sp.) </w:t>
      </w:r>
      <w:r>
        <w:rPr>
          <w:b/>
          <w:spacing w:val="-3"/>
          <w:sz w:val="24"/>
        </w:rPr>
        <w:t>From</w:t>
      </w:r>
      <w:r>
        <w:rPr>
          <w:b/>
          <w:spacing w:val="-12"/>
          <w:sz w:val="24"/>
        </w:rPr>
        <w:t> </w:t>
      </w:r>
      <w:r>
        <w:rPr>
          <w:b/>
          <w:sz w:val="24"/>
        </w:rPr>
        <w:t>México</w:t>
      </w:r>
    </w:p>
    <w:p>
      <w:pPr>
        <w:pStyle w:val="BodyText"/>
        <w:spacing w:before="7"/>
        <w:rPr>
          <w:rFonts w:ascii="Times New Roman"/>
          <w:b/>
          <w:sz w:val="29"/>
        </w:rPr>
      </w:pPr>
    </w:p>
    <w:p>
      <w:pPr>
        <w:spacing w:before="0"/>
        <w:ind w:left="229" w:right="0" w:firstLine="0"/>
        <w:jc w:val="left"/>
        <w:rPr>
          <w:rFonts w:ascii="Calibri"/>
          <w:sz w:val="22"/>
        </w:rPr>
      </w:pPr>
      <w:r>
        <w:rPr>
          <w:rFonts w:ascii="Calibri"/>
          <w:w w:val="100"/>
          <w:sz w:val="22"/>
        </w:rPr>
        <w:t>5</w:t>
      </w:r>
    </w:p>
    <w:p>
      <w:pPr>
        <w:pStyle w:val="BodyText"/>
        <w:spacing w:before="9"/>
        <w:rPr>
          <w:rFonts w:ascii="Calibri"/>
          <w:sz w:val="19"/>
        </w:rPr>
      </w:pPr>
    </w:p>
    <w:p>
      <w:pPr>
        <w:pStyle w:val="ListParagraph"/>
        <w:numPr>
          <w:ilvl w:val="0"/>
          <w:numId w:val="10"/>
        </w:numPr>
        <w:tabs>
          <w:tab w:pos="767" w:val="left" w:leader="none"/>
          <w:tab w:pos="768" w:val="left" w:leader="none"/>
        </w:tabs>
        <w:spacing w:line="240" w:lineRule="auto" w:before="80" w:after="0"/>
        <w:ind w:left="767" w:right="0" w:hanging="538"/>
        <w:jc w:val="left"/>
        <w:rPr>
          <w:sz w:val="24"/>
        </w:rPr>
      </w:pPr>
      <w:r>
        <w:rPr>
          <w:sz w:val="24"/>
        </w:rPr>
        <w:t>G Mancera Cuadros</w:t>
      </w:r>
      <w:r>
        <w:rPr>
          <w:position w:val="9"/>
          <w:sz w:val="16"/>
        </w:rPr>
        <w:t>a*</w:t>
      </w:r>
      <w:r>
        <w:rPr>
          <w:sz w:val="24"/>
        </w:rPr>
        <w:t>, C Ortega</w:t>
      </w:r>
      <w:r>
        <w:rPr>
          <w:position w:val="9"/>
          <w:sz w:val="16"/>
        </w:rPr>
        <w:t>a</w:t>
      </w:r>
      <w:r>
        <w:rPr>
          <w:sz w:val="24"/>
        </w:rPr>
        <w:t>,  JS Martínez </w:t>
      </w:r>
      <w:r>
        <w:rPr>
          <w:position w:val="9"/>
          <w:sz w:val="16"/>
        </w:rPr>
        <w:t>a</w:t>
      </w:r>
      <w:r>
        <w:rPr>
          <w:sz w:val="24"/>
        </w:rPr>
        <w:t>, RC Fajardo</w:t>
      </w:r>
      <w:r>
        <w:rPr>
          <w:position w:val="9"/>
          <w:sz w:val="16"/>
        </w:rPr>
        <w:t>a</w:t>
      </w:r>
      <w:r>
        <w:rPr>
          <w:sz w:val="24"/>
        </w:rPr>
        <w:t>, A Romero</w:t>
      </w:r>
      <w:r>
        <w:rPr>
          <w:position w:val="9"/>
          <w:sz w:val="16"/>
        </w:rPr>
        <w:t>b</w:t>
      </w:r>
      <w:r>
        <w:rPr>
          <w:sz w:val="24"/>
        </w:rPr>
        <w:t>, R Enríquez</w:t>
      </w:r>
      <w:r>
        <w:rPr>
          <w:position w:val="9"/>
          <w:sz w:val="16"/>
        </w:rPr>
        <w:t>b</w:t>
      </w:r>
      <w:r>
        <w:rPr>
          <w:sz w:val="24"/>
        </w:rPr>
        <w:t>,</w:t>
      </w:r>
      <w:r>
        <w:rPr>
          <w:spacing w:val="-27"/>
          <w:sz w:val="24"/>
        </w:rPr>
        <w:t> </w:t>
      </w:r>
      <w:r>
        <w:rPr>
          <w:sz w:val="24"/>
        </w:rPr>
        <w:t>A</w:t>
      </w:r>
    </w:p>
    <w:p>
      <w:pPr>
        <w:pStyle w:val="ListParagraph"/>
        <w:numPr>
          <w:ilvl w:val="0"/>
          <w:numId w:val="10"/>
        </w:numPr>
        <w:tabs>
          <w:tab w:pos="4738" w:val="left" w:leader="none"/>
          <w:tab w:pos="4739" w:val="left" w:leader="none"/>
        </w:tabs>
        <w:spacing w:line="240" w:lineRule="auto" w:before="109" w:after="0"/>
        <w:ind w:left="4738" w:right="0" w:hanging="4509"/>
        <w:jc w:val="left"/>
        <w:rPr>
          <w:sz w:val="16"/>
        </w:rPr>
      </w:pPr>
      <w:r>
        <w:rPr>
          <w:sz w:val="24"/>
        </w:rPr>
        <w:t>Vargas</w:t>
      </w:r>
      <w:r>
        <w:rPr>
          <w:position w:val="9"/>
          <w:sz w:val="16"/>
        </w:rPr>
        <w:t>b</w:t>
      </w:r>
    </w:p>
    <w:p>
      <w:pPr>
        <w:pStyle w:val="BodyText"/>
        <w:spacing w:before="11"/>
        <w:rPr>
          <w:rFonts w:ascii="Times New Roman"/>
          <w:sz w:val="20"/>
        </w:rPr>
      </w:pPr>
    </w:p>
    <w:p>
      <w:pPr>
        <w:pStyle w:val="ListParagraph"/>
        <w:numPr>
          <w:ilvl w:val="0"/>
          <w:numId w:val="10"/>
        </w:numPr>
        <w:tabs>
          <w:tab w:pos="699" w:val="left" w:leader="none"/>
          <w:tab w:pos="700" w:val="left" w:leader="none"/>
        </w:tabs>
        <w:spacing w:line="240" w:lineRule="auto" w:before="79" w:after="0"/>
        <w:ind w:left="699" w:right="0" w:hanging="470"/>
        <w:jc w:val="left"/>
        <w:rPr>
          <w:sz w:val="24"/>
        </w:rPr>
      </w:pPr>
      <w:r>
        <w:rPr>
          <w:position w:val="9"/>
          <w:sz w:val="16"/>
        </w:rPr>
        <w:t>a</w:t>
      </w:r>
      <w:r>
        <w:rPr>
          <w:sz w:val="24"/>
        </w:rPr>
        <w:t>Centro  de Investigación  y Estudios  Avanzados  en  Salud  Animal (CIESA),  Facultad</w:t>
      </w:r>
      <w:r>
        <w:rPr>
          <w:spacing w:val="6"/>
          <w:sz w:val="24"/>
        </w:rPr>
        <w:t> </w:t>
      </w:r>
      <w:r>
        <w:rPr>
          <w:sz w:val="24"/>
        </w:rPr>
        <w:t>de</w:t>
      </w:r>
    </w:p>
    <w:p>
      <w:pPr>
        <w:pStyle w:val="ListParagraph"/>
        <w:numPr>
          <w:ilvl w:val="0"/>
          <w:numId w:val="10"/>
        </w:numPr>
        <w:tabs>
          <w:tab w:pos="699" w:val="left" w:leader="none"/>
          <w:tab w:pos="700" w:val="left" w:leader="none"/>
        </w:tabs>
        <w:spacing w:line="240" w:lineRule="auto" w:before="130" w:after="0"/>
        <w:ind w:left="699" w:right="0" w:hanging="470"/>
        <w:jc w:val="left"/>
        <w:rPr>
          <w:sz w:val="24"/>
        </w:rPr>
      </w:pPr>
      <w:r>
        <w:rPr>
          <w:sz w:val="24"/>
        </w:rPr>
        <w:t>Medicina Veterinaria y Zootecnia, Universidad Autónoma del Estado de México, </w:t>
      </w:r>
      <w:r>
        <w:rPr>
          <w:spacing w:val="-4"/>
          <w:sz w:val="24"/>
        </w:rPr>
        <w:t>Km.</w:t>
      </w:r>
      <w:r>
        <w:rPr>
          <w:spacing w:val="51"/>
          <w:sz w:val="24"/>
        </w:rPr>
        <w:t> </w:t>
      </w:r>
      <w:r>
        <w:rPr>
          <w:sz w:val="24"/>
        </w:rPr>
        <w:t>15.5</w:t>
      </w:r>
    </w:p>
    <w:p>
      <w:pPr>
        <w:pStyle w:val="ListParagraph"/>
        <w:numPr>
          <w:ilvl w:val="0"/>
          <w:numId w:val="10"/>
        </w:numPr>
        <w:tabs>
          <w:tab w:pos="699" w:val="left" w:leader="none"/>
          <w:tab w:pos="700" w:val="left" w:leader="none"/>
        </w:tabs>
        <w:spacing w:line="240" w:lineRule="auto" w:before="134" w:after="0"/>
        <w:ind w:left="699" w:right="0" w:hanging="581"/>
        <w:jc w:val="left"/>
        <w:rPr>
          <w:sz w:val="24"/>
        </w:rPr>
      </w:pPr>
      <w:r>
        <w:rPr>
          <w:sz w:val="24"/>
        </w:rPr>
        <w:t>Carretera Toluca-Atlacomulco, Estado de México. Código Postal</w:t>
      </w:r>
      <w:r>
        <w:rPr>
          <w:spacing w:val="-29"/>
          <w:sz w:val="24"/>
        </w:rPr>
        <w:t> </w:t>
      </w:r>
      <w:r>
        <w:rPr>
          <w:sz w:val="24"/>
        </w:rPr>
        <w:t>50200.</w:t>
      </w:r>
    </w:p>
    <w:p>
      <w:pPr>
        <w:pStyle w:val="ListParagraph"/>
        <w:numPr>
          <w:ilvl w:val="0"/>
          <w:numId w:val="10"/>
        </w:numPr>
        <w:tabs>
          <w:tab w:pos="699" w:val="left" w:leader="none"/>
          <w:tab w:pos="700" w:val="left" w:leader="none"/>
        </w:tabs>
        <w:spacing w:line="240" w:lineRule="auto" w:before="114" w:after="0"/>
        <w:ind w:left="699" w:right="0" w:hanging="581"/>
        <w:jc w:val="left"/>
        <w:rPr>
          <w:sz w:val="24"/>
        </w:rPr>
      </w:pPr>
      <w:r>
        <w:rPr>
          <w:position w:val="9"/>
          <w:sz w:val="16"/>
        </w:rPr>
        <w:t>b</w:t>
      </w:r>
      <w:r>
        <w:rPr>
          <w:sz w:val="24"/>
        </w:rPr>
        <w:t>Laboratorio</w:t>
      </w:r>
      <w:r>
        <w:rPr>
          <w:spacing w:val="-5"/>
          <w:sz w:val="24"/>
        </w:rPr>
        <w:t> </w:t>
      </w:r>
      <w:r>
        <w:rPr>
          <w:sz w:val="24"/>
        </w:rPr>
        <w:t>de</w:t>
      </w:r>
      <w:r>
        <w:rPr>
          <w:spacing w:val="-11"/>
          <w:sz w:val="24"/>
        </w:rPr>
        <w:t> </w:t>
      </w:r>
      <w:r>
        <w:rPr>
          <w:sz w:val="24"/>
        </w:rPr>
        <w:t>Biotecnología</w:t>
      </w:r>
      <w:r>
        <w:rPr>
          <w:spacing w:val="-6"/>
          <w:sz w:val="24"/>
        </w:rPr>
        <w:t> </w:t>
      </w:r>
      <w:r>
        <w:rPr>
          <w:sz w:val="24"/>
        </w:rPr>
        <w:t>y</w:t>
      </w:r>
      <w:r>
        <w:rPr>
          <w:spacing w:val="-14"/>
          <w:sz w:val="24"/>
        </w:rPr>
        <w:t> </w:t>
      </w:r>
      <w:r>
        <w:rPr>
          <w:sz w:val="24"/>
        </w:rPr>
        <w:t>Patología</w:t>
      </w:r>
      <w:r>
        <w:rPr>
          <w:spacing w:val="-6"/>
          <w:sz w:val="24"/>
        </w:rPr>
        <w:t> </w:t>
      </w:r>
      <w:r>
        <w:rPr>
          <w:sz w:val="24"/>
        </w:rPr>
        <w:t>Acuática,</w:t>
      </w:r>
      <w:r>
        <w:rPr>
          <w:spacing w:val="-8"/>
          <w:sz w:val="24"/>
        </w:rPr>
        <w:t> </w:t>
      </w:r>
      <w:r>
        <w:rPr>
          <w:sz w:val="24"/>
        </w:rPr>
        <w:t>Instituto</w:t>
      </w:r>
      <w:r>
        <w:rPr>
          <w:spacing w:val="-5"/>
          <w:sz w:val="24"/>
        </w:rPr>
        <w:t> </w:t>
      </w:r>
      <w:r>
        <w:rPr>
          <w:sz w:val="24"/>
        </w:rPr>
        <w:t>de</w:t>
      </w:r>
      <w:r>
        <w:rPr>
          <w:spacing w:val="-11"/>
          <w:sz w:val="24"/>
        </w:rPr>
        <w:t> </w:t>
      </w:r>
      <w:r>
        <w:rPr>
          <w:sz w:val="24"/>
        </w:rPr>
        <w:t>Patología</w:t>
      </w:r>
      <w:r>
        <w:rPr>
          <w:spacing w:val="-6"/>
          <w:sz w:val="24"/>
        </w:rPr>
        <w:t> </w:t>
      </w:r>
      <w:r>
        <w:rPr>
          <w:sz w:val="24"/>
        </w:rPr>
        <w:t>Animal,</w:t>
      </w:r>
      <w:r>
        <w:rPr>
          <w:spacing w:val="-8"/>
          <w:sz w:val="24"/>
        </w:rPr>
        <w:t> </w:t>
      </w:r>
      <w:r>
        <w:rPr>
          <w:sz w:val="24"/>
        </w:rPr>
        <w:t>Facultad</w:t>
      </w:r>
    </w:p>
    <w:p>
      <w:pPr>
        <w:pStyle w:val="ListParagraph"/>
        <w:numPr>
          <w:ilvl w:val="0"/>
          <w:numId w:val="10"/>
        </w:numPr>
        <w:tabs>
          <w:tab w:pos="699" w:val="left" w:leader="none"/>
          <w:tab w:pos="700" w:val="left" w:leader="none"/>
        </w:tabs>
        <w:spacing w:line="240" w:lineRule="auto" w:before="129" w:after="0"/>
        <w:ind w:left="699" w:right="0" w:hanging="581"/>
        <w:jc w:val="left"/>
        <w:rPr>
          <w:sz w:val="24"/>
        </w:rPr>
      </w:pPr>
      <w:r>
        <w:rPr>
          <w:sz w:val="24"/>
        </w:rPr>
        <w:t>de Ciencias Veterinarias Universidad Austral de Chile, Valdivia Chile. Código postal  </w:t>
      </w:r>
      <w:r>
        <w:rPr>
          <w:spacing w:val="4"/>
          <w:sz w:val="24"/>
        </w:rPr>
        <w:t> </w:t>
      </w:r>
      <w:r>
        <w:rPr>
          <w:sz w:val="24"/>
        </w:rPr>
        <w:t>567,</w:t>
      </w:r>
    </w:p>
    <w:p>
      <w:pPr>
        <w:pStyle w:val="ListParagraph"/>
        <w:numPr>
          <w:ilvl w:val="0"/>
          <w:numId w:val="10"/>
        </w:numPr>
        <w:tabs>
          <w:tab w:pos="699" w:val="left" w:leader="none"/>
          <w:tab w:pos="700" w:val="left" w:leader="none"/>
        </w:tabs>
        <w:spacing w:line="240" w:lineRule="auto" w:before="130" w:after="0"/>
        <w:ind w:left="699" w:right="0" w:hanging="581"/>
        <w:jc w:val="left"/>
        <w:rPr>
          <w:sz w:val="24"/>
        </w:rPr>
      </w:pPr>
      <w:r>
        <w:rPr>
          <w:sz w:val="24"/>
        </w:rPr>
        <w:t>Centro FONDAP, Interdisciplinary Center for Aquaculture Research (INCAR).</w:t>
      </w:r>
      <w:r>
        <w:rPr>
          <w:spacing w:val="-40"/>
          <w:sz w:val="24"/>
        </w:rPr>
        <w:t> </w:t>
      </w:r>
      <w:r>
        <w:rPr>
          <w:sz w:val="24"/>
        </w:rPr>
        <w:t>Chile.</w:t>
      </w:r>
    </w:p>
    <w:p>
      <w:pPr>
        <w:spacing w:before="149"/>
        <w:ind w:left="118" w:right="0" w:firstLine="0"/>
        <w:jc w:val="left"/>
        <w:rPr>
          <w:rFonts w:ascii="Calibri"/>
          <w:sz w:val="22"/>
        </w:rPr>
      </w:pPr>
      <w:r>
        <w:rPr>
          <w:rFonts w:ascii="Calibri"/>
          <w:sz w:val="22"/>
        </w:rPr>
        <w:t>14</w:t>
      </w:r>
    </w:p>
    <w:p>
      <w:pPr>
        <w:spacing w:before="144"/>
        <w:ind w:left="118" w:right="0" w:firstLine="0"/>
        <w:jc w:val="left"/>
        <w:rPr>
          <w:rFonts w:ascii="Calibri"/>
          <w:sz w:val="22"/>
        </w:rPr>
      </w:pPr>
      <w:r>
        <w:rPr>
          <w:rFonts w:ascii="Calibri"/>
          <w:sz w:val="22"/>
        </w:rPr>
        <w:t>15</w:t>
      </w:r>
    </w:p>
    <w:p>
      <w:pPr>
        <w:spacing w:before="144"/>
        <w:ind w:left="118" w:right="0" w:firstLine="0"/>
        <w:jc w:val="left"/>
        <w:rPr>
          <w:rFonts w:ascii="Calibri"/>
          <w:sz w:val="22"/>
        </w:rPr>
      </w:pPr>
      <w:r>
        <w:rPr>
          <w:rFonts w:ascii="Calibri"/>
          <w:sz w:val="22"/>
        </w:rPr>
        <w:t>16</w:t>
      </w:r>
    </w:p>
    <w:p>
      <w:pPr>
        <w:spacing w:before="144"/>
        <w:ind w:left="118" w:right="0" w:firstLine="0"/>
        <w:jc w:val="left"/>
        <w:rPr>
          <w:rFonts w:ascii="Calibri"/>
          <w:sz w:val="22"/>
        </w:rPr>
      </w:pPr>
      <w:r>
        <w:rPr>
          <w:rFonts w:ascii="Calibri"/>
          <w:sz w:val="22"/>
        </w:rPr>
        <w:t>17</w:t>
      </w:r>
    </w:p>
    <w:p>
      <w:pPr>
        <w:spacing w:before="149"/>
        <w:ind w:left="118" w:right="0" w:firstLine="0"/>
        <w:jc w:val="left"/>
        <w:rPr>
          <w:rFonts w:ascii="Calibri"/>
          <w:sz w:val="22"/>
        </w:rPr>
      </w:pPr>
      <w:r>
        <w:rPr>
          <w:rFonts w:ascii="Calibri"/>
          <w:sz w:val="22"/>
        </w:rPr>
        <w:t>18</w:t>
      </w:r>
    </w:p>
    <w:p>
      <w:pPr>
        <w:spacing w:before="144"/>
        <w:ind w:left="118" w:right="0" w:firstLine="0"/>
        <w:jc w:val="left"/>
        <w:rPr>
          <w:rFonts w:ascii="Calibri"/>
          <w:sz w:val="22"/>
        </w:rPr>
      </w:pPr>
      <w:r>
        <w:rPr>
          <w:rFonts w:ascii="Calibri"/>
          <w:sz w:val="22"/>
        </w:rPr>
        <w:t>19</w:t>
      </w:r>
    </w:p>
    <w:p>
      <w:pPr>
        <w:spacing w:before="144"/>
        <w:ind w:left="118" w:right="0" w:firstLine="0"/>
        <w:jc w:val="left"/>
        <w:rPr>
          <w:rFonts w:ascii="Calibri"/>
          <w:sz w:val="22"/>
        </w:rPr>
      </w:pPr>
      <w:r>
        <w:rPr>
          <w:rFonts w:ascii="Calibri"/>
          <w:sz w:val="22"/>
        </w:rPr>
        <w:t>20</w:t>
      </w:r>
    </w:p>
    <w:p>
      <w:pPr>
        <w:spacing w:before="145"/>
        <w:ind w:left="118" w:right="0" w:firstLine="0"/>
        <w:jc w:val="left"/>
        <w:rPr>
          <w:rFonts w:ascii="Calibri"/>
          <w:sz w:val="22"/>
        </w:rPr>
      </w:pPr>
      <w:r>
        <w:rPr>
          <w:rFonts w:ascii="Calibri"/>
          <w:sz w:val="22"/>
        </w:rPr>
        <w:t>21</w:t>
      </w:r>
    </w:p>
    <w:p>
      <w:pPr>
        <w:spacing w:before="149"/>
        <w:ind w:left="118" w:right="0" w:firstLine="0"/>
        <w:jc w:val="left"/>
        <w:rPr>
          <w:rFonts w:ascii="Calibri"/>
          <w:sz w:val="22"/>
        </w:rPr>
      </w:pPr>
      <w:r>
        <w:rPr>
          <w:rFonts w:ascii="Calibri"/>
          <w:sz w:val="22"/>
        </w:rPr>
        <w:t>22</w:t>
      </w:r>
    </w:p>
    <w:p>
      <w:pPr>
        <w:spacing w:before="144"/>
        <w:ind w:left="118" w:right="0" w:firstLine="0"/>
        <w:jc w:val="left"/>
        <w:rPr>
          <w:rFonts w:ascii="Calibri"/>
          <w:sz w:val="22"/>
        </w:rPr>
      </w:pPr>
      <w:r>
        <w:rPr>
          <w:rFonts w:ascii="Calibri"/>
          <w:sz w:val="22"/>
        </w:rPr>
        <w:t>23</w:t>
      </w:r>
    </w:p>
    <w:p>
      <w:pPr>
        <w:pStyle w:val="ListParagraph"/>
        <w:numPr>
          <w:ilvl w:val="0"/>
          <w:numId w:val="11"/>
        </w:numPr>
        <w:tabs>
          <w:tab w:pos="699" w:val="left" w:leader="none"/>
          <w:tab w:pos="700" w:val="left" w:leader="none"/>
        </w:tabs>
        <w:spacing w:line="240" w:lineRule="auto" w:before="129" w:after="0"/>
        <w:ind w:left="699" w:right="0" w:hanging="581"/>
        <w:jc w:val="left"/>
        <w:rPr>
          <w:sz w:val="24"/>
        </w:rPr>
      </w:pPr>
      <w:r>
        <w:rPr>
          <w:sz w:val="24"/>
        </w:rPr>
        <w:t>*Carretera Toluca-Atlacomulco  kilómetro  15.5,  Código  Postal 50200  Toluca,  Estado</w:t>
      </w:r>
      <w:r>
        <w:rPr>
          <w:spacing w:val="-1"/>
          <w:sz w:val="24"/>
        </w:rPr>
        <w:t> </w:t>
      </w:r>
      <w:r>
        <w:rPr>
          <w:sz w:val="24"/>
        </w:rPr>
        <w:t>de</w:t>
      </w:r>
    </w:p>
    <w:p>
      <w:pPr>
        <w:pStyle w:val="ListParagraph"/>
        <w:numPr>
          <w:ilvl w:val="0"/>
          <w:numId w:val="11"/>
        </w:numPr>
        <w:tabs>
          <w:tab w:pos="699" w:val="left" w:leader="none"/>
          <w:tab w:pos="700" w:val="left" w:leader="none"/>
        </w:tabs>
        <w:spacing w:line="240" w:lineRule="auto" w:before="130" w:after="0"/>
        <w:ind w:left="699" w:right="0" w:hanging="581"/>
        <w:jc w:val="left"/>
        <w:rPr>
          <w:sz w:val="24"/>
        </w:rPr>
      </w:pPr>
      <w:r>
        <w:rPr>
          <w:sz w:val="24"/>
        </w:rPr>
        <w:t>México;</w:t>
      </w:r>
      <w:r>
        <w:rPr>
          <w:spacing w:val="-9"/>
          <w:sz w:val="24"/>
        </w:rPr>
        <w:t> </w:t>
      </w:r>
      <w:hyperlink r:id="rId30">
        <w:r>
          <w:rPr>
            <w:sz w:val="24"/>
          </w:rPr>
          <w:t>germancu_09@hotmail.com</w:t>
        </w:r>
      </w:hyperlink>
    </w:p>
    <w:p>
      <w:pPr>
        <w:spacing w:before="144"/>
        <w:ind w:left="118" w:right="0" w:firstLine="0"/>
        <w:jc w:val="left"/>
        <w:rPr>
          <w:rFonts w:ascii="Calibri"/>
          <w:sz w:val="22"/>
        </w:rPr>
      </w:pPr>
      <w:r>
        <w:rPr>
          <w:rFonts w:ascii="Calibri"/>
          <w:sz w:val="22"/>
        </w:rPr>
        <w:t>26</w:t>
      </w:r>
    </w:p>
    <w:p>
      <w:pPr>
        <w:spacing w:before="149"/>
        <w:ind w:left="118" w:right="0" w:firstLine="0"/>
        <w:jc w:val="left"/>
        <w:rPr>
          <w:rFonts w:ascii="Calibri"/>
          <w:sz w:val="22"/>
        </w:rPr>
      </w:pPr>
      <w:r>
        <w:rPr>
          <w:rFonts w:ascii="Calibri"/>
          <w:sz w:val="22"/>
        </w:rPr>
        <w:t>27</w:t>
      </w:r>
    </w:p>
    <w:p>
      <w:pPr>
        <w:spacing w:before="144"/>
        <w:ind w:left="118" w:right="0" w:firstLine="0"/>
        <w:jc w:val="left"/>
        <w:rPr>
          <w:rFonts w:ascii="Calibri"/>
          <w:sz w:val="22"/>
        </w:rPr>
      </w:pPr>
      <w:r>
        <w:rPr>
          <w:rFonts w:ascii="Calibri"/>
          <w:sz w:val="22"/>
        </w:rPr>
        <w:t>28</w:t>
      </w:r>
    </w:p>
    <w:p>
      <w:pPr>
        <w:spacing w:after="0"/>
        <w:jc w:val="left"/>
        <w:rPr>
          <w:rFonts w:ascii="Calibri"/>
          <w:sz w:val="22"/>
        </w:rPr>
        <w:sectPr>
          <w:footerReference w:type="default" r:id="rId29"/>
          <w:pgSz w:w="12240" w:h="15840"/>
          <w:pgMar w:footer="1003" w:header="752" w:top="1000" w:bottom="1200" w:left="1000" w:right="1560"/>
        </w:sectPr>
      </w:pPr>
    </w:p>
    <w:p>
      <w:pPr>
        <w:pStyle w:val="BodyText"/>
        <w:spacing w:before="1"/>
        <w:rPr>
          <w:rFonts w:ascii="Calibri"/>
          <w:sz w:val="27"/>
        </w:rPr>
      </w:pPr>
    </w:p>
    <w:p>
      <w:pPr>
        <w:pStyle w:val="ListParagraph"/>
        <w:numPr>
          <w:ilvl w:val="0"/>
          <w:numId w:val="12"/>
        </w:numPr>
        <w:tabs>
          <w:tab w:pos="699" w:val="left" w:leader="none"/>
          <w:tab w:pos="700" w:val="left" w:leader="none"/>
        </w:tabs>
        <w:spacing w:line="240" w:lineRule="auto" w:before="69" w:after="0"/>
        <w:ind w:left="699" w:right="0" w:hanging="470"/>
        <w:jc w:val="left"/>
        <w:rPr>
          <w:sz w:val="24"/>
        </w:rPr>
      </w:pPr>
      <w:r>
        <w:rPr>
          <w:sz w:val="24"/>
        </w:rPr>
        <w:t>SUMMARY</w:t>
      </w:r>
    </w:p>
    <w:p>
      <w:pPr>
        <w:pStyle w:val="ListParagraph"/>
        <w:numPr>
          <w:ilvl w:val="0"/>
          <w:numId w:val="12"/>
        </w:numPr>
        <w:tabs>
          <w:tab w:pos="699" w:val="left" w:leader="none"/>
          <w:tab w:pos="700" w:val="left" w:leader="none"/>
        </w:tabs>
        <w:spacing w:line="240" w:lineRule="auto" w:before="134" w:after="0"/>
        <w:ind w:left="699" w:right="0" w:hanging="470"/>
        <w:jc w:val="left"/>
        <w:rPr>
          <w:sz w:val="24"/>
        </w:rPr>
      </w:pPr>
      <w:r>
        <w:rPr>
          <w:sz w:val="24"/>
        </w:rPr>
        <w:t>The Francisellosis </w:t>
      </w:r>
      <w:r>
        <w:rPr>
          <w:spacing w:val="-3"/>
          <w:sz w:val="24"/>
        </w:rPr>
        <w:t>in </w:t>
      </w:r>
      <w:r>
        <w:rPr>
          <w:sz w:val="24"/>
        </w:rPr>
        <w:t>tilapia (</w:t>
      </w:r>
      <w:r>
        <w:rPr>
          <w:i/>
          <w:sz w:val="24"/>
        </w:rPr>
        <w:t>Oreochromis </w:t>
      </w:r>
      <w:r>
        <w:rPr>
          <w:sz w:val="24"/>
        </w:rPr>
        <w:t>spp) </w:t>
      </w:r>
      <w:r>
        <w:rPr>
          <w:spacing w:val="-5"/>
          <w:sz w:val="24"/>
        </w:rPr>
        <w:t>is </w:t>
      </w:r>
      <w:r>
        <w:rPr>
          <w:sz w:val="24"/>
        </w:rPr>
        <w:t>an emerging disease caused by</w:t>
      </w:r>
      <w:r>
        <w:rPr>
          <w:spacing w:val="-27"/>
          <w:sz w:val="24"/>
        </w:rPr>
        <w:t> </w:t>
      </w:r>
      <w:r>
        <w:rPr>
          <w:sz w:val="24"/>
        </w:rPr>
        <w:t>facultative</w:t>
      </w:r>
    </w:p>
    <w:p>
      <w:pPr>
        <w:pStyle w:val="ListParagraph"/>
        <w:numPr>
          <w:ilvl w:val="0"/>
          <w:numId w:val="12"/>
        </w:numPr>
        <w:tabs>
          <w:tab w:pos="699" w:val="left" w:leader="none"/>
          <w:tab w:pos="700" w:val="left" w:leader="none"/>
        </w:tabs>
        <w:spacing w:line="240" w:lineRule="auto" w:before="129" w:after="0"/>
        <w:ind w:left="699" w:right="0" w:hanging="470"/>
        <w:jc w:val="left"/>
        <w:rPr>
          <w:sz w:val="24"/>
        </w:rPr>
      </w:pPr>
      <w:r>
        <w:rPr>
          <w:sz w:val="24"/>
        </w:rPr>
        <w:t>intracellular  bacterium  </w:t>
      </w:r>
      <w:r>
        <w:rPr>
          <w:i/>
          <w:sz w:val="24"/>
        </w:rPr>
        <w:t>Francisella  noatunensis  </w:t>
      </w:r>
      <w:r>
        <w:rPr>
          <w:sz w:val="24"/>
        </w:rPr>
        <w:t>subsp.  </w:t>
      </w:r>
      <w:r>
        <w:rPr>
          <w:i/>
          <w:sz w:val="24"/>
        </w:rPr>
        <w:t>orientalis</w:t>
      </w:r>
      <w:r>
        <w:rPr>
          <w:sz w:val="24"/>
        </w:rPr>
        <w:t>.  The  present      </w:t>
      </w:r>
      <w:r>
        <w:rPr>
          <w:spacing w:val="16"/>
          <w:sz w:val="24"/>
        </w:rPr>
        <w:t> </w:t>
      </w:r>
      <w:r>
        <w:rPr>
          <w:sz w:val="24"/>
        </w:rPr>
        <w:t>study</w:t>
      </w:r>
    </w:p>
    <w:p>
      <w:pPr>
        <w:pStyle w:val="ListParagraph"/>
        <w:numPr>
          <w:ilvl w:val="0"/>
          <w:numId w:val="12"/>
        </w:numPr>
        <w:tabs>
          <w:tab w:pos="699" w:val="left" w:leader="none"/>
          <w:tab w:pos="700" w:val="left" w:leader="none"/>
        </w:tabs>
        <w:spacing w:line="240" w:lineRule="auto" w:before="130" w:after="0"/>
        <w:ind w:left="699" w:right="0" w:hanging="470"/>
        <w:jc w:val="left"/>
        <w:rPr>
          <w:sz w:val="24"/>
        </w:rPr>
      </w:pPr>
      <w:r>
        <w:rPr>
          <w:sz w:val="24"/>
        </w:rPr>
        <w:t>describes</w:t>
      </w:r>
      <w:r>
        <w:rPr>
          <w:spacing w:val="16"/>
          <w:sz w:val="24"/>
        </w:rPr>
        <w:t> </w:t>
      </w:r>
      <w:r>
        <w:rPr>
          <w:sz w:val="24"/>
        </w:rPr>
        <w:t>the</w:t>
      </w:r>
      <w:r>
        <w:rPr>
          <w:spacing w:val="17"/>
          <w:sz w:val="24"/>
        </w:rPr>
        <w:t> </w:t>
      </w:r>
      <w:r>
        <w:rPr>
          <w:sz w:val="24"/>
        </w:rPr>
        <w:t>confirmation</w:t>
      </w:r>
      <w:r>
        <w:rPr>
          <w:spacing w:val="13"/>
          <w:sz w:val="24"/>
        </w:rPr>
        <w:t> </w:t>
      </w:r>
      <w:r>
        <w:rPr>
          <w:spacing w:val="4"/>
          <w:sz w:val="24"/>
        </w:rPr>
        <w:t>of</w:t>
      </w:r>
      <w:r>
        <w:rPr>
          <w:spacing w:val="10"/>
          <w:sz w:val="24"/>
        </w:rPr>
        <w:t> </w:t>
      </w:r>
      <w:r>
        <w:rPr>
          <w:sz w:val="24"/>
        </w:rPr>
        <w:t>the</w:t>
      </w:r>
      <w:r>
        <w:rPr>
          <w:spacing w:val="17"/>
          <w:sz w:val="24"/>
        </w:rPr>
        <w:t> </w:t>
      </w:r>
      <w:r>
        <w:rPr>
          <w:spacing w:val="-3"/>
          <w:sz w:val="24"/>
        </w:rPr>
        <w:t>first</w:t>
      </w:r>
      <w:r>
        <w:rPr>
          <w:spacing w:val="23"/>
          <w:sz w:val="24"/>
        </w:rPr>
        <w:t> </w:t>
      </w:r>
      <w:r>
        <w:rPr>
          <w:sz w:val="24"/>
        </w:rPr>
        <w:t>case</w:t>
      </w:r>
      <w:r>
        <w:rPr>
          <w:spacing w:val="17"/>
          <w:sz w:val="24"/>
        </w:rPr>
        <w:t> </w:t>
      </w:r>
      <w:r>
        <w:rPr>
          <w:sz w:val="24"/>
        </w:rPr>
        <w:t>of</w:t>
      </w:r>
      <w:r>
        <w:rPr>
          <w:spacing w:val="15"/>
          <w:sz w:val="24"/>
        </w:rPr>
        <w:t> </w:t>
      </w:r>
      <w:r>
        <w:rPr>
          <w:sz w:val="24"/>
        </w:rPr>
        <w:t>francisellosis</w:t>
      </w:r>
      <w:r>
        <w:rPr>
          <w:spacing w:val="21"/>
          <w:sz w:val="24"/>
        </w:rPr>
        <w:t> </w:t>
      </w:r>
      <w:r>
        <w:rPr>
          <w:spacing w:val="-3"/>
          <w:sz w:val="24"/>
        </w:rPr>
        <w:t>in</w:t>
      </w:r>
      <w:r>
        <w:rPr>
          <w:spacing w:val="18"/>
          <w:sz w:val="24"/>
        </w:rPr>
        <w:t> </w:t>
      </w:r>
      <w:r>
        <w:rPr>
          <w:sz w:val="24"/>
        </w:rPr>
        <w:t>Mexico,</w:t>
      </w:r>
      <w:r>
        <w:rPr>
          <w:spacing w:val="20"/>
          <w:sz w:val="24"/>
        </w:rPr>
        <w:t> </w:t>
      </w:r>
      <w:r>
        <w:rPr>
          <w:sz w:val="24"/>
        </w:rPr>
        <w:t>associated</w:t>
      </w:r>
      <w:r>
        <w:rPr>
          <w:spacing w:val="18"/>
          <w:sz w:val="24"/>
        </w:rPr>
        <w:t> </w:t>
      </w:r>
      <w:r>
        <w:rPr>
          <w:sz w:val="24"/>
        </w:rPr>
        <w:t>with</w:t>
      </w:r>
      <w:r>
        <w:rPr>
          <w:spacing w:val="26"/>
          <w:sz w:val="24"/>
        </w:rPr>
        <w:t> </w:t>
      </w:r>
      <w:r>
        <w:rPr>
          <w:sz w:val="24"/>
        </w:rPr>
        <w:t>an</w:t>
      </w:r>
    </w:p>
    <w:p>
      <w:pPr>
        <w:pStyle w:val="ListParagraph"/>
        <w:numPr>
          <w:ilvl w:val="0"/>
          <w:numId w:val="12"/>
        </w:numPr>
        <w:tabs>
          <w:tab w:pos="699" w:val="left" w:leader="none"/>
          <w:tab w:pos="700" w:val="left" w:leader="none"/>
        </w:tabs>
        <w:spacing w:line="240" w:lineRule="auto" w:before="129" w:after="0"/>
        <w:ind w:left="699" w:right="0" w:hanging="470"/>
        <w:jc w:val="left"/>
        <w:rPr>
          <w:sz w:val="24"/>
        </w:rPr>
      </w:pPr>
      <w:r>
        <w:rPr>
          <w:sz w:val="24"/>
        </w:rPr>
        <w:t>outbreak</w:t>
      </w:r>
      <w:r>
        <w:rPr>
          <w:spacing w:val="32"/>
          <w:sz w:val="24"/>
        </w:rPr>
        <w:t> </w:t>
      </w:r>
      <w:r>
        <w:rPr>
          <w:spacing w:val="-3"/>
          <w:sz w:val="24"/>
        </w:rPr>
        <w:t>in</w:t>
      </w:r>
      <w:r>
        <w:rPr>
          <w:spacing w:val="32"/>
          <w:sz w:val="24"/>
        </w:rPr>
        <w:t> </w:t>
      </w:r>
      <w:r>
        <w:rPr>
          <w:sz w:val="24"/>
        </w:rPr>
        <w:t>late</w:t>
      </w:r>
      <w:r>
        <w:rPr>
          <w:spacing w:val="31"/>
          <w:sz w:val="24"/>
        </w:rPr>
        <w:t> </w:t>
      </w:r>
      <w:r>
        <w:rPr>
          <w:sz w:val="24"/>
        </w:rPr>
        <w:t>2012</w:t>
      </w:r>
      <w:r>
        <w:rPr>
          <w:spacing w:val="32"/>
          <w:sz w:val="24"/>
        </w:rPr>
        <w:t> </w:t>
      </w:r>
      <w:r>
        <w:rPr>
          <w:spacing w:val="-3"/>
          <w:sz w:val="24"/>
        </w:rPr>
        <w:t>in</w:t>
      </w:r>
      <w:r>
        <w:rPr>
          <w:spacing w:val="27"/>
          <w:sz w:val="24"/>
        </w:rPr>
        <w:t> </w:t>
      </w:r>
      <w:r>
        <w:rPr>
          <w:sz w:val="24"/>
        </w:rPr>
        <w:t>a</w:t>
      </w:r>
      <w:r>
        <w:rPr>
          <w:spacing w:val="31"/>
          <w:sz w:val="24"/>
        </w:rPr>
        <w:t> </w:t>
      </w:r>
      <w:r>
        <w:rPr>
          <w:sz w:val="24"/>
        </w:rPr>
        <w:t>breeding</w:t>
      </w:r>
      <w:r>
        <w:rPr>
          <w:spacing w:val="37"/>
          <w:sz w:val="24"/>
        </w:rPr>
        <w:t> </w:t>
      </w:r>
      <w:r>
        <w:rPr>
          <w:spacing w:val="-3"/>
          <w:sz w:val="24"/>
        </w:rPr>
        <w:t>farm,</w:t>
      </w:r>
      <w:r>
        <w:rPr>
          <w:spacing w:val="34"/>
          <w:sz w:val="24"/>
        </w:rPr>
        <w:t> </w:t>
      </w:r>
      <w:r>
        <w:rPr>
          <w:sz w:val="24"/>
        </w:rPr>
        <w:t>causing</w:t>
      </w:r>
      <w:r>
        <w:rPr>
          <w:spacing w:val="32"/>
          <w:sz w:val="24"/>
        </w:rPr>
        <w:t> </w:t>
      </w:r>
      <w:r>
        <w:rPr>
          <w:sz w:val="24"/>
        </w:rPr>
        <w:t>a</w:t>
      </w:r>
      <w:r>
        <w:rPr>
          <w:spacing w:val="31"/>
          <w:sz w:val="24"/>
        </w:rPr>
        <w:t> </w:t>
      </w:r>
      <w:r>
        <w:rPr>
          <w:sz w:val="24"/>
        </w:rPr>
        <w:t>40%</w:t>
      </w:r>
      <w:r>
        <w:rPr>
          <w:spacing w:val="29"/>
          <w:sz w:val="24"/>
        </w:rPr>
        <w:t> </w:t>
      </w:r>
      <w:r>
        <w:rPr>
          <w:sz w:val="24"/>
        </w:rPr>
        <w:t>mortality,</w:t>
      </w:r>
      <w:r>
        <w:rPr>
          <w:spacing w:val="34"/>
          <w:sz w:val="24"/>
        </w:rPr>
        <w:t> </w:t>
      </w:r>
      <w:r>
        <w:rPr>
          <w:sz w:val="24"/>
        </w:rPr>
        <w:t>characterized</w:t>
      </w:r>
      <w:r>
        <w:rPr>
          <w:spacing w:val="32"/>
          <w:sz w:val="24"/>
        </w:rPr>
        <w:t> </w:t>
      </w:r>
      <w:r>
        <w:rPr>
          <w:sz w:val="24"/>
        </w:rPr>
        <w:t>by</w:t>
      </w:r>
      <w:r>
        <w:rPr>
          <w:spacing w:val="27"/>
          <w:sz w:val="24"/>
        </w:rPr>
        <w:t> </w:t>
      </w:r>
      <w:r>
        <w:rPr>
          <w:sz w:val="24"/>
        </w:rPr>
        <w:t>the</w:t>
      </w:r>
    </w:p>
    <w:p>
      <w:pPr>
        <w:pStyle w:val="ListParagraph"/>
        <w:numPr>
          <w:ilvl w:val="0"/>
          <w:numId w:val="12"/>
        </w:numPr>
        <w:tabs>
          <w:tab w:pos="699" w:val="left" w:leader="none"/>
          <w:tab w:pos="700" w:val="left" w:leader="none"/>
        </w:tabs>
        <w:spacing w:line="240" w:lineRule="auto" w:before="134" w:after="0"/>
        <w:ind w:left="699" w:right="0" w:hanging="470"/>
        <w:jc w:val="left"/>
        <w:rPr>
          <w:sz w:val="24"/>
        </w:rPr>
      </w:pPr>
      <w:r>
        <w:rPr>
          <w:sz w:val="24"/>
        </w:rPr>
        <w:t>presence of white nodules </w:t>
      </w:r>
      <w:r>
        <w:rPr>
          <w:spacing w:val="-3"/>
          <w:sz w:val="24"/>
        </w:rPr>
        <w:t>in </w:t>
      </w:r>
      <w:r>
        <w:rPr>
          <w:sz w:val="24"/>
        </w:rPr>
        <w:t>different organs, primarily spleen and kidney.   </w:t>
      </w:r>
      <w:r>
        <w:rPr>
          <w:spacing w:val="11"/>
          <w:sz w:val="24"/>
        </w:rPr>
        <w:t> </w:t>
      </w:r>
      <w:r>
        <w:rPr>
          <w:sz w:val="24"/>
        </w:rPr>
        <w:t>Histologically</w:t>
      </w:r>
    </w:p>
    <w:p>
      <w:pPr>
        <w:pStyle w:val="ListParagraph"/>
        <w:numPr>
          <w:ilvl w:val="0"/>
          <w:numId w:val="12"/>
        </w:numPr>
        <w:tabs>
          <w:tab w:pos="699" w:val="left" w:leader="none"/>
          <w:tab w:pos="700" w:val="left" w:leader="none"/>
        </w:tabs>
        <w:spacing w:line="240" w:lineRule="auto" w:before="129" w:after="0"/>
        <w:ind w:left="699" w:right="0" w:hanging="470"/>
        <w:jc w:val="left"/>
        <w:rPr>
          <w:sz w:val="24"/>
        </w:rPr>
      </w:pPr>
      <w:r>
        <w:rPr>
          <w:sz w:val="24"/>
        </w:rPr>
        <w:t>the lesions corresponded to granuloma formation. From DNA obtained from infected</w:t>
      </w:r>
      <w:r>
        <w:rPr>
          <w:spacing w:val="19"/>
          <w:sz w:val="24"/>
        </w:rPr>
        <w:t> </w:t>
      </w:r>
      <w:r>
        <w:rPr>
          <w:sz w:val="24"/>
        </w:rPr>
        <w:t>tissue</w:t>
      </w:r>
    </w:p>
    <w:p>
      <w:pPr>
        <w:pStyle w:val="ListParagraph"/>
        <w:numPr>
          <w:ilvl w:val="0"/>
          <w:numId w:val="12"/>
        </w:numPr>
        <w:tabs>
          <w:tab w:pos="699" w:val="left" w:leader="none"/>
          <w:tab w:pos="700" w:val="left" w:leader="none"/>
        </w:tabs>
        <w:spacing w:line="240" w:lineRule="auto" w:before="130" w:after="0"/>
        <w:ind w:left="699" w:right="0" w:hanging="470"/>
        <w:jc w:val="left"/>
        <w:rPr>
          <w:sz w:val="24"/>
        </w:rPr>
      </w:pPr>
      <w:r>
        <w:rPr>
          <w:sz w:val="24"/>
        </w:rPr>
        <w:t>and</w:t>
      </w:r>
      <w:r>
        <w:rPr>
          <w:spacing w:val="39"/>
          <w:sz w:val="24"/>
        </w:rPr>
        <w:t> </w:t>
      </w:r>
      <w:r>
        <w:rPr>
          <w:sz w:val="24"/>
        </w:rPr>
        <w:t>pure</w:t>
      </w:r>
      <w:r>
        <w:rPr>
          <w:spacing w:val="38"/>
          <w:sz w:val="24"/>
        </w:rPr>
        <w:t> </w:t>
      </w:r>
      <w:r>
        <w:rPr>
          <w:sz w:val="24"/>
        </w:rPr>
        <w:t>culture</w:t>
      </w:r>
      <w:r>
        <w:rPr>
          <w:spacing w:val="38"/>
          <w:sz w:val="24"/>
        </w:rPr>
        <w:t> </w:t>
      </w:r>
      <w:r>
        <w:rPr>
          <w:sz w:val="24"/>
        </w:rPr>
        <w:t>achieved</w:t>
      </w:r>
      <w:r>
        <w:rPr>
          <w:spacing w:val="44"/>
          <w:sz w:val="24"/>
        </w:rPr>
        <w:t> </w:t>
      </w:r>
      <w:r>
        <w:rPr>
          <w:sz w:val="24"/>
        </w:rPr>
        <w:t>between</w:t>
      </w:r>
      <w:r>
        <w:rPr>
          <w:spacing w:val="34"/>
          <w:sz w:val="24"/>
        </w:rPr>
        <w:t> </w:t>
      </w:r>
      <w:r>
        <w:rPr>
          <w:sz w:val="24"/>
        </w:rPr>
        <w:t>Cystine</w:t>
      </w:r>
      <w:r>
        <w:rPr>
          <w:spacing w:val="38"/>
          <w:sz w:val="24"/>
        </w:rPr>
        <w:t> </w:t>
      </w:r>
      <w:r>
        <w:rPr>
          <w:sz w:val="24"/>
        </w:rPr>
        <w:t>Heart</w:t>
      </w:r>
      <w:r>
        <w:rPr>
          <w:spacing w:val="39"/>
          <w:sz w:val="24"/>
        </w:rPr>
        <w:t> </w:t>
      </w:r>
      <w:r>
        <w:rPr>
          <w:sz w:val="24"/>
        </w:rPr>
        <w:t>Agar</w:t>
      </w:r>
      <w:r>
        <w:rPr>
          <w:spacing w:val="40"/>
          <w:sz w:val="24"/>
        </w:rPr>
        <w:t> </w:t>
      </w:r>
      <w:r>
        <w:rPr>
          <w:sz w:val="24"/>
        </w:rPr>
        <w:t>supplemented</w:t>
      </w:r>
      <w:r>
        <w:rPr>
          <w:spacing w:val="39"/>
          <w:sz w:val="24"/>
        </w:rPr>
        <w:t> </w:t>
      </w:r>
      <w:r>
        <w:rPr>
          <w:sz w:val="24"/>
        </w:rPr>
        <w:t>with</w:t>
      </w:r>
      <w:r>
        <w:rPr>
          <w:spacing w:val="39"/>
          <w:sz w:val="24"/>
        </w:rPr>
        <w:t> </w:t>
      </w:r>
      <w:r>
        <w:rPr>
          <w:sz w:val="24"/>
        </w:rPr>
        <w:t>hemoglobin,</w:t>
      </w:r>
    </w:p>
    <w:p>
      <w:pPr>
        <w:pStyle w:val="ListParagraph"/>
        <w:numPr>
          <w:ilvl w:val="0"/>
          <w:numId w:val="12"/>
        </w:numPr>
        <w:tabs>
          <w:tab w:pos="699" w:val="left" w:leader="none"/>
          <w:tab w:pos="700" w:val="left" w:leader="none"/>
        </w:tabs>
        <w:spacing w:line="240" w:lineRule="auto" w:before="129" w:after="0"/>
        <w:ind w:left="699" w:right="0" w:hanging="470"/>
        <w:jc w:val="left"/>
        <w:rPr>
          <w:sz w:val="24"/>
        </w:rPr>
      </w:pPr>
      <w:r>
        <w:rPr>
          <w:i/>
          <w:sz w:val="24"/>
        </w:rPr>
        <w:t>Francisella  noatunensis  </w:t>
      </w:r>
      <w:r>
        <w:rPr>
          <w:sz w:val="24"/>
        </w:rPr>
        <w:t>subsp  </w:t>
      </w:r>
      <w:r>
        <w:rPr>
          <w:i/>
          <w:sz w:val="24"/>
        </w:rPr>
        <w:t>orientalis  </w:t>
      </w:r>
      <w:r>
        <w:rPr>
          <w:sz w:val="24"/>
        </w:rPr>
        <w:t>was  initially  confirmed  by  amplification </w:t>
      </w:r>
      <w:r>
        <w:rPr>
          <w:spacing w:val="30"/>
          <w:sz w:val="24"/>
        </w:rPr>
        <w:t> </w:t>
      </w:r>
      <w:r>
        <w:rPr>
          <w:sz w:val="24"/>
        </w:rPr>
        <w:t>and</w:t>
      </w:r>
    </w:p>
    <w:p>
      <w:pPr>
        <w:pStyle w:val="ListParagraph"/>
        <w:numPr>
          <w:ilvl w:val="0"/>
          <w:numId w:val="12"/>
        </w:numPr>
        <w:tabs>
          <w:tab w:pos="699" w:val="left" w:leader="none"/>
          <w:tab w:pos="700" w:val="left" w:leader="none"/>
        </w:tabs>
        <w:spacing w:line="240" w:lineRule="auto" w:before="134" w:after="0"/>
        <w:ind w:left="699" w:right="0" w:hanging="581"/>
        <w:jc w:val="left"/>
        <w:rPr>
          <w:sz w:val="24"/>
        </w:rPr>
      </w:pPr>
      <w:r>
        <w:rPr>
          <w:sz w:val="24"/>
        </w:rPr>
        <w:t>sequence analysis </w:t>
      </w:r>
      <w:r>
        <w:rPr>
          <w:spacing w:val="4"/>
          <w:sz w:val="24"/>
        </w:rPr>
        <w:t>of </w:t>
      </w:r>
      <w:r>
        <w:rPr>
          <w:sz w:val="24"/>
        </w:rPr>
        <w:t>16S and ITS of Eubacteria genes and specific 16S </w:t>
      </w:r>
      <w:r>
        <w:rPr>
          <w:spacing w:val="2"/>
          <w:sz w:val="24"/>
        </w:rPr>
        <w:t>gene </w:t>
      </w:r>
      <w:r>
        <w:rPr>
          <w:sz w:val="24"/>
        </w:rPr>
        <w:t>bacteria </w:t>
      </w:r>
      <w:r>
        <w:rPr>
          <w:spacing w:val="4"/>
          <w:sz w:val="24"/>
        </w:rPr>
        <w:t>of</w:t>
      </w:r>
      <w:r>
        <w:rPr>
          <w:spacing w:val="7"/>
          <w:sz w:val="24"/>
        </w:rPr>
        <w:t> </w:t>
      </w:r>
      <w:r>
        <w:rPr>
          <w:sz w:val="24"/>
        </w:rPr>
        <w:t>the</w:t>
      </w:r>
    </w:p>
    <w:p>
      <w:pPr>
        <w:pStyle w:val="ListParagraph"/>
        <w:numPr>
          <w:ilvl w:val="0"/>
          <w:numId w:val="12"/>
        </w:numPr>
        <w:tabs>
          <w:tab w:pos="699" w:val="left" w:leader="none"/>
          <w:tab w:pos="700" w:val="left" w:leader="none"/>
        </w:tabs>
        <w:spacing w:line="240" w:lineRule="auto" w:before="129" w:after="0"/>
        <w:ind w:left="699" w:right="0" w:hanging="581"/>
        <w:jc w:val="left"/>
        <w:rPr>
          <w:sz w:val="24"/>
        </w:rPr>
      </w:pPr>
      <w:r>
        <w:rPr>
          <w:sz w:val="24"/>
        </w:rPr>
        <w:t>genus </w:t>
      </w:r>
      <w:r>
        <w:rPr>
          <w:i/>
          <w:sz w:val="24"/>
        </w:rPr>
        <w:t>Francisella</w:t>
      </w:r>
      <w:r>
        <w:rPr>
          <w:sz w:val="24"/>
        </w:rPr>
        <w:t>; Phylogenetic analysis </w:t>
      </w:r>
      <w:r>
        <w:rPr>
          <w:spacing w:val="4"/>
          <w:sz w:val="24"/>
        </w:rPr>
        <w:t>of </w:t>
      </w:r>
      <w:r>
        <w:rPr>
          <w:sz w:val="24"/>
        </w:rPr>
        <w:t>these genes amplicons demonstrated</w:t>
      </w:r>
      <w:r>
        <w:rPr>
          <w:spacing w:val="-4"/>
          <w:sz w:val="24"/>
        </w:rPr>
        <w:t> </w:t>
      </w:r>
      <w:r>
        <w:rPr>
          <w:sz w:val="24"/>
        </w:rPr>
        <w:t>sequences</w:t>
      </w:r>
    </w:p>
    <w:p>
      <w:pPr>
        <w:pStyle w:val="ListParagraph"/>
        <w:numPr>
          <w:ilvl w:val="0"/>
          <w:numId w:val="12"/>
        </w:numPr>
        <w:tabs>
          <w:tab w:pos="699" w:val="left" w:leader="none"/>
          <w:tab w:pos="700" w:val="left" w:leader="none"/>
        </w:tabs>
        <w:spacing w:line="240" w:lineRule="auto" w:before="130" w:after="0"/>
        <w:ind w:left="699" w:right="0" w:hanging="581"/>
        <w:jc w:val="left"/>
        <w:rPr>
          <w:sz w:val="24"/>
        </w:rPr>
      </w:pPr>
      <w:r>
        <w:rPr>
          <w:sz w:val="24"/>
        </w:rPr>
        <w:t>closely related to  </w:t>
      </w:r>
      <w:r>
        <w:rPr>
          <w:i/>
          <w:sz w:val="24"/>
        </w:rPr>
        <w:t>Francisella noatunensis </w:t>
      </w:r>
      <w:r>
        <w:rPr>
          <w:sz w:val="24"/>
        </w:rPr>
        <w:t>subsp.  </w:t>
      </w:r>
      <w:r>
        <w:rPr>
          <w:i/>
          <w:sz w:val="24"/>
        </w:rPr>
        <w:t>orientalis </w:t>
      </w:r>
      <w:r>
        <w:rPr>
          <w:sz w:val="24"/>
        </w:rPr>
        <w:t>diseased tilapia  isolated </w:t>
      </w:r>
      <w:r>
        <w:rPr>
          <w:spacing w:val="46"/>
          <w:sz w:val="24"/>
        </w:rPr>
        <w:t> </w:t>
      </w:r>
      <w:r>
        <w:rPr>
          <w:sz w:val="24"/>
        </w:rPr>
        <w:t>from</w:t>
      </w:r>
    </w:p>
    <w:p>
      <w:pPr>
        <w:pStyle w:val="ListParagraph"/>
        <w:numPr>
          <w:ilvl w:val="0"/>
          <w:numId w:val="12"/>
        </w:numPr>
        <w:tabs>
          <w:tab w:pos="699" w:val="left" w:leader="none"/>
          <w:tab w:pos="700" w:val="left" w:leader="none"/>
        </w:tabs>
        <w:spacing w:line="240" w:lineRule="auto" w:before="129" w:after="0"/>
        <w:ind w:left="699" w:right="0" w:hanging="581"/>
        <w:jc w:val="left"/>
        <w:rPr>
          <w:sz w:val="24"/>
        </w:rPr>
      </w:pPr>
      <w:r>
        <w:rPr>
          <w:sz w:val="24"/>
        </w:rPr>
        <w:t>different countries; the subspecies was confirmed </w:t>
      </w:r>
      <w:r>
        <w:rPr>
          <w:spacing w:val="-3"/>
          <w:sz w:val="24"/>
        </w:rPr>
        <w:t>using  </w:t>
      </w:r>
      <w:r>
        <w:rPr>
          <w:sz w:val="24"/>
        </w:rPr>
        <w:t>the gene targeting IglC  </w:t>
      </w:r>
      <w:r>
        <w:rPr>
          <w:spacing w:val="51"/>
          <w:sz w:val="24"/>
        </w:rPr>
        <w:t> </w:t>
      </w:r>
      <w:r>
        <w:rPr>
          <w:sz w:val="24"/>
        </w:rPr>
        <w:t>sequence,</w:t>
      </w:r>
    </w:p>
    <w:p>
      <w:pPr>
        <w:pStyle w:val="ListParagraph"/>
        <w:numPr>
          <w:ilvl w:val="0"/>
          <w:numId w:val="12"/>
        </w:numPr>
        <w:tabs>
          <w:tab w:pos="699" w:val="left" w:leader="none"/>
          <w:tab w:pos="700" w:val="left" w:leader="none"/>
        </w:tabs>
        <w:spacing w:line="240" w:lineRule="auto" w:before="134" w:after="0"/>
        <w:ind w:left="699" w:right="0" w:hanging="581"/>
        <w:jc w:val="left"/>
        <w:rPr>
          <w:sz w:val="24"/>
        </w:rPr>
      </w:pPr>
      <w:r>
        <w:rPr>
          <w:sz w:val="24"/>
        </w:rPr>
        <w:t>indicating</w:t>
      </w:r>
      <w:r>
        <w:rPr>
          <w:spacing w:val="-12"/>
          <w:sz w:val="24"/>
        </w:rPr>
        <w:t> </w:t>
      </w:r>
      <w:r>
        <w:rPr>
          <w:sz w:val="24"/>
        </w:rPr>
        <w:t>a</w:t>
      </w:r>
      <w:r>
        <w:rPr>
          <w:spacing w:val="-13"/>
          <w:sz w:val="24"/>
        </w:rPr>
        <w:t> </w:t>
      </w:r>
      <w:r>
        <w:rPr>
          <w:sz w:val="24"/>
        </w:rPr>
        <w:t>100%</w:t>
      </w:r>
      <w:r>
        <w:rPr>
          <w:spacing w:val="-5"/>
          <w:sz w:val="24"/>
        </w:rPr>
        <w:t> </w:t>
      </w:r>
      <w:r>
        <w:rPr>
          <w:sz w:val="24"/>
        </w:rPr>
        <w:t>identity</w:t>
      </w:r>
      <w:r>
        <w:rPr>
          <w:spacing w:val="-20"/>
          <w:sz w:val="24"/>
        </w:rPr>
        <w:t> </w:t>
      </w:r>
      <w:r>
        <w:rPr>
          <w:spacing w:val="2"/>
          <w:sz w:val="24"/>
        </w:rPr>
        <w:t>to</w:t>
      </w:r>
      <w:r>
        <w:rPr>
          <w:spacing w:val="-7"/>
          <w:sz w:val="24"/>
        </w:rPr>
        <w:t> </w:t>
      </w:r>
      <w:r>
        <w:rPr>
          <w:sz w:val="24"/>
        </w:rPr>
        <w:t>reference</w:t>
      </w:r>
      <w:r>
        <w:rPr>
          <w:spacing w:val="-8"/>
          <w:sz w:val="24"/>
        </w:rPr>
        <w:t> </w:t>
      </w:r>
      <w:r>
        <w:rPr>
          <w:sz w:val="24"/>
        </w:rPr>
        <w:t>strains</w:t>
      </w:r>
      <w:r>
        <w:rPr>
          <w:spacing w:val="-9"/>
          <w:sz w:val="24"/>
        </w:rPr>
        <w:t> </w:t>
      </w:r>
      <w:r>
        <w:rPr>
          <w:i/>
          <w:sz w:val="24"/>
        </w:rPr>
        <w:t>Francisella</w:t>
      </w:r>
      <w:r>
        <w:rPr>
          <w:i/>
          <w:spacing w:val="-11"/>
          <w:sz w:val="24"/>
        </w:rPr>
        <w:t> </w:t>
      </w:r>
      <w:r>
        <w:rPr>
          <w:i/>
          <w:sz w:val="24"/>
        </w:rPr>
        <w:t>noatunensis</w:t>
      </w:r>
      <w:r>
        <w:rPr>
          <w:i/>
          <w:spacing w:val="-8"/>
          <w:sz w:val="24"/>
        </w:rPr>
        <w:t> </w:t>
      </w:r>
      <w:r>
        <w:rPr>
          <w:sz w:val="24"/>
        </w:rPr>
        <w:t>subsp.</w:t>
      </w:r>
      <w:r>
        <w:rPr>
          <w:spacing w:val="-9"/>
          <w:sz w:val="24"/>
        </w:rPr>
        <w:t> </w:t>
      </w:r>
      <w:r>
        <w:rPr>
          <w:i/>
          <w:sz w:val="24"/>
        </w:rPr>
        <w:t>orientalis</w:t>
      </w:r>
      <w:r>
        <w:rPr>
          <w:sz w:val="24"/>
        </w:rPr>
        <w:t>;</w:t>
      </w:r>
      <w:r>
        <w:rPr>
          <w:spacing w:val="-16"/>
          <w:sz w:val="24"/>
        </w:rPr>
        <w:t> </w:t>
      </w:r>
      <w:r>
        <w:rPr>
          <w:sz w:val="24"/>
        </w:rPr>
        <w:t>this</w:t>
      </w:r>
    </w:p>
    <w:p>
      <w:pPr>
        <w:pStyle w:val="ListParagraph"/>
        <w:numPr>
          <w:ilvl w:val="0"/>
          <w:numId w:val="12"/>
        </w:numPr>
        <w:tabs>
          <w:tab w:pos="699" w:val="left" w:leader="none"/>
          <w:tab w:pos="700" w:val="left" w:leader="none"/>
        </w:tabs>
        <w:spacing w:line="240" w:lineRule="auto" w:before="129" w:after="0"/>
        <w:ind w:left="699" w:right="0" w:hanging="581"/>
        <w:jc w:val="left"/>
        <w:rPr>
          <w:sz w:val="24"/>
        </w:rPr>
      </w:pPr>
      <w:r>
        <w:rPr>
          <w:sz w:val="24"/>
        </w:rPr>
        <w:t>evidence confirms for the </w:t>
      </w:r>
      <w:r>
        <w:rPr>
          <w:spacing w:val="-3"/>
          <w:sz w:val="24"/>
        </w:rPr>
        <w:t>first </w:t>
      </w:r>
      <w:r>
        <w:rPr>
          <w:sz w:val="24"/>
        </w:rPr>
        <w:t>time the occurrence of francisellosis </w:t>
      </w:r>
      <w:r>
        <w:rPr>
          <w:spacing w:val="-3"/>
          <w:sz w:val="24"/>
        </w:rPr>
        <w:t>in </w:t>
      </w:r>
      <w:r>
        <w:rPr>
          <w:sz w:val="24"/>
        </w:rPr>
        <w:t>tilapia of</w:t>
      </w:r>
      <w:r>
        <w:rPr>
          <w:spacing w:val="-1"/>
          <w:sz w:val="24"/>
        </w:rPr>
        <w:t> </w:t>
      </w:r>
      <w:r>
        <w:rPr>
          <w:sz w:val="24"/>
        </w:rPr>
        <w:t>Mexico.</w:t>
      </w:r>
    </w:p>
    <w:p>
      <w:pPr>
        <w:spacing w:before="144"/>
        <w:ind w:left="118" w:right="0" w:firstLine="0"/>
        <w:jc w:val="left"/>
        <w:rPr>
          <w:rFonts w:ascii="Calibri"/>
          <w:sz w:val="22"/>
        </w:rPr>
      </w:pPr>
      <w:r>
        <w:rPr>
          <w:rFonts w:ascii="Calibri"/>
          <w:sz w:val="22"/>
        </w:rPr>
        <w:t>16</w:t>
      </w:r>
    </w:p>
    <w:p>
      <w:pPr>
        <w:spacing w:before="144"/>
        <w:ind w:left="118" w:right="0" w:firstLine="0"/>
        <w:jc w:val="left"/>
        <w:rPr>
          <w:rFonts w:ascii="Calibri"/>
          <w:sz w:val="22"/>
        </w:rPr>
      </w:pPr>
      <w:r>
        <w:rPr>
          <w:rFonts w:ascii="Calibri"/>
          <w:sz w:val="22"/>
        </w:rPr>
        <w:t>17</w:t>
      </w:r>
    </w:p>
    <w:p>
      <w:pPr>
        <w:pStyle w:val="BodyText"/>
        <w:tabs>
          <w:tab w:pos="699" w:val="left" w:leader="none"/>
        </w:tabs>
        <w:spacing w:before="134"/>
        <w:ind w:left="118"/>
        <w:rPr>
          <w:rFonts w:ascii="Times New Roman"/>
        </w:rPr>
      </w:pPr>
      <w:r>
        <w:rPr>
          <w:rFonts w:ascii="Calibri"/>
          <w:sz w:val="22"/>
        </w:rPr>
        <w:t>18</w:t>
        <w:tab/>
      </w:r>
      <w:r>
        <w:rPr>
          <w:rFonts w:ascii="Times New Roman"/>
        </w:rPr>
        <w:t>Key words: Tilapia (Oreochromis spp.), Francisella, 16S and ITS, Farm</w:t>
      </w:r>
      <w:r>
        <w:rPr>
          <w:rFonts w:ascii="Times New Roman"/>
          <w:spacing w:val="-42"/>
        </w:rPr>
        <w:t> </w:t>
      </w:r>
      <w:r>
        <w:rPr>
          <w:rFonts w:ascii="Times New Roman"/>
        </w:rPr>
        <w:t>breeding Mexico</w:t>
      </w:r>
    </w:p>
    <w:p>
      <w:pPr>
        <w:spacing w:before="144"/>
        <w:ind w:left="118" w:right="0" w:firstLine="0"/>
        <w:jc w:val="left"/>
        <w:rPr>
          <w:rFonts w:ascii="Calibri"/>
          <w:sz w:val="22"/>
        </w:rPr>
      </w:pPr>
      <w:r>
        <w:rPr>
          <w:rFonts w:ascii="Calibri"/>
          <w:sz w:val="22"/>
        </w:rPr>
        <w:t>19</w:t>
      </w:r>
    </w:p>
    <w:p>
      <w:pPr>
        <w:spacing w:before="144"/>
        <w:ind w:left="118" w:right="0" w:firstLine="0"/>
        <w:jc w:val="left"/>
        <w:rPr>
          <w:rFonts w:ascii="Calibri"/>
          <w:sz w:val="22"/>
        </w:rPr>
      </w:pPr>
      <w:r>
        <w:rPr>
          <w:rFonts w:ascii="Calibri"/>
          <w:sz w:val="22"/>
        </w:rPr>
        <w:t>20</w:t>
      </w:r>
    </w:p>
    <w:p>
      <w:pPr>
        <w:spacing w:before="144"/>
        <w:ind w:left="118" w:right="0" w:firstLine="0"/>
        <w:jc w:val="left"/>
        <w:rPr>
          <w:rFonts w:ascii="Calibri"/>
          <w:sz w:val="22"/>
        </w:rPr>
      </w:pPr>
      <w:r>
        <w:rPr>
          <w:rFonts w:ascii="Calibri"/>
          <w:sz w:val="22"/>
        </w:rPr>
        <w:t>21</w:t>
      </w:r>
    </w:p>
    <w:p>
      <w:pPr>
        <w:spacing w:before="149"/>
        <w:ind w:left="118" w:right="0" w:firstLine="0"/>
        <w:jc w:val="left"/>
        <w:rPr>
          <w:rFonts w:ascii="Calibri"/>
          <w:sz w:val="22"/>
        </w:rPr>
      </w:pPr>
      <w:r>
        <w:rPr>
          <w:rFonts w:ascii="Calibri"/>
          <w:sz w:val="22"/>
        </w:rPr>
        <w:t>22</w:t>
      </w:r>
    </w:p>
    <w:p>
      <w:pPr>
        <w:spacing w:before="144"/>
        <w:ind w:left="118" w:right="0" w:firstLine="0"/>
        <w:jc w:val="left"/>
        <w:rPr>
          <w:rFonts w:ascii="Calibri"/>
          <w:sz w:val="22"/>
        </w:rPr>
      </w:pPr>
      <w:r>
        <w:rPr>
          <w:rFonts w:ascii="Calibri"/>
          <w:sz w:val="22"/>
        </w:rPr>
        <w:t>23</w:t>
      </w:r>
    </w:p>
    <w:p>
      <w:pPr>
        <w:spacing w:before="145"/>
        <w:ind w:left="118" w:right="0" w:firstLine="0"/>
        <w:jc w:val="left"/>
        <w:rPr>
          <w:rFonts w:ascii="Calibri"/>
          <w:sz w:val="22"/>
        </w:rPr>
      </w:pPr>
      <w:r>
        <w:rPr>
          <w:rFonts w:ascii="Calibri"/>
          <w:sz w:val="22"/>
        </w:rPr>
        <w:t>24</w:t>
      </w:r>
    </w:p>
    <w:p>
      <w:pPr>
        <w:spacing w:before="144"/>
        <w:ind w:left="118" w:right="0" w:firstLine="0"/>
        <w:jc w:val="left"/>
        <w:rPr>
          <w:rFonts w:ascii="Calibri"/>
          <w:sz w:val="22"/>
        </w:rPr>
      </w:pPr>
      <w:r>
        <w:rPr>
          <w:rFonts w:ascii="Calibri"/>
          <w:sz w:val="22"/>
        </w:rPr>
        <w:t>25</w:t>
      </w:r>
    </w:p>
    <w:p>
      <w:pPr>
        <w:spacing w:before="144"/>
        <w:ind w:left="118" w:right="0" w:firstLine="0"/>
        <w:jc w:val="left"/>
        <w:rPr>
          <w:rFonts w:ascii="Calibri"/>
          <w:sz w:val="22"/>
        </w:rPr>
      </w:pPr>
      <w:r>
        <w:rPr>
          <w:rFonts w:ascii="Calibri"/>
          <w:sz w:val="22"/>
        </w:rPr>
        <w:t>26</w:t>
      </w:r>
    </w:p>
    <w:p>
      <w:pPr>
        <w:spacing w:before="149"/>
        <w:ind w:left="118" w:right="0" w:firstLine="0"/>
        <w:jc w:val="left"/>
        <w:rPr>
          <w:rFonts w:ascii="Calibri"/>
          <w:sz w:val="22"/>
        </w:rPr>
      </w:pPr>
      <w:r>
        <w:rPr>
          <w:rFonts w:ascii="Calibri"/>
          <w:sz w:val="22"/>
        </w:rPr>
        <w:t>27</w:t>
      </w:r>
    </w:p>
    <w:p>
      <w:pPr>
        <w:spacing w:before="144"/>
        <w:ind w:left="118" w:right="0" w:firstLine="0"/>
        <w:jc w:val="left"/>
        <w:rPr>
          <w:rFonts w:ascii="Calibri"/>
          <w:sz w:val="22"/>
        </w:rPr>
      </w:pPr>
      <w:r>
        <w:rPr>
          <w:rFonts w:ascii="Calibri"/>
          <w:sz w:val="22"/>
        </w:rPr>
        <w:t>28</w:t>
      </w:r>
    </w:p>
    <w:p>
      <w:pPr>
        <w:spacing w:before="144"/>
        <w:ind w:left="118" w:right="0" w:firstLine="0"/>
        <w:jc w:val="left"/>
        <w:rPr>
          <w:rFonts w:ascii="Calibri"/>
          <w:sz w:val="22"/>
        </w:rPr>
      </w:pPr>
      <w:r>
        <w:rPr>
          <w:rFonts w:ascii="Calibri"/>
          <w:sz w:val="22"/>
        </w:rPr>
        <w:t>29</w:t>
      </w:r>
    </w:p>
    <w:p>
      <w:pPr>
        <w:spacing w:before="144"/>
        <w:ind w:left="118" w:right="0" w:firstLine="0"/>
        <w:jc w:val="left"/>
        <w:rPr>
          <w:rFonts w:ascii="Calibri"/>
          <w:sz w:val="22"/>
        </w:rPr>
      </w:pPr>
      <w:r>
        <w:rPr>
          <w:rFonts w:ascii="Calibri"/>
          <w:sz w:val="22"/>
        </w:rPr>
        <w:t>30</w:t>
      </w:r>
    </w:p>
    <w:p>
      <w:pPr>
        <w:spacing w:before="149"/>
        <w:ind w:left="118" w:right="0" w:firstLine="0"/>
        <w:jc w:val="left"/>
        <w:rPr>
          <w:rFonts w:ascii="Calibri"/>
          <w:sz w:val="22"/>
        </w:rPr>
      </w:pPr>
      <w:r>
        <w:rPr>
          <w:rFonts w:ascii="Calibri"/>
          <w:sz w:val="22"/>
        </w:rPr>
        <w:t>31</w:t>
      </w:r>
    </w:p>
    <w:p>
      <w:pPr>
        <w:spacing w:after="0"/>
        <w:jc w:val="left"/>
        <w:rPr>
          <w:rFonts w:ascii="Calibri"/>
          <w:sz w:val="22"/>
        </w:rPr>
        <w:sectPr>
          <w:footerReference w:type="default" r:id="rId31"/>
          <w:pgSz w:w="12240" w:h="15840"/>
          <w:pgMar w:footer="1003" w:header="752" w:top="1000" w:bottom="1200" w:left="1000" w:right="1560"/>
          <w:pgNumType w:start="41"/>
        </w:sectPr>
      </w:pPr>
    </w:p>
    <w:p>
      <w:pPr>
        <w:pStyle w:val="BodyText"/>
        <w:spacing w:before="6"/>
        <w:rPr>
          <w:rFonts w:ascii="Calibri"/>
          <w:sz w:val="27"/>
        </w:rPr>
      </w:pPr>
    </w:p>
    <w:p>
      <w:pPr>
        <w:pStyle w:val="Heading1"/>
        <w:numPr>
          <w:ilvl w:val="0"/>
          <w:numId w:val="13"/>
        </w:numPr>
        <w:tabs>
          <w:tab w:pos="699" w:val="left" w:leader="none"/>
          <w:tab w:pos="700" w:val="left" w:leader="none"/>
        </w:tabs>
        <w:spacing w:line="240" w:lineRule="auto" w:before="69" w:after="0"/>
        <w:ind w:left="699" w:right="0" w:hanging="470"/>
        <w:jc w:val="left"/>
        <w:rPr>
          <w:rFonts w:ascii="Times New Roman" w:hAnsi="Times New Roman"/>
        </w:rPr>
      </w:pPr>
      <w:r>
        <w:rPr>
          <w:rFonts w:ascii="Times New Roman" w:hAnsi="Times New Roman"/>
        </w:rPr>
        <w:t>INTRODUCCIÓN</w:t>
      </w:r>
    </w:p>
    <w:p>
      <w:pPr>
        <w:pStyle w:val="ListParagraph"/>
        <w:numPr>
          <w:ilvl w:val="0"/>
          <w:numId w:val="13"/>
        </w:numPr>
        <w:tabs>
          <w:tab w:pos="1405" w:val="left" w:leader="none"/>
          <w:tab w:pos="1406" w:val="left" w:leader="none"/>
        </w:tabs>
        <w:spacing w:line="240" w:lineRule="auto" w:before="129" w:after="0"/>
        <w:ind w:left="1405" w:right="0" w:hanging="1176"/>
        <w:jc w:val="left"/>
        <w:rPr>
          <w:sz w:val="24"/>
        </w:rPr>
      </w:pPr>
      <w:r>
        <w:rPr>
          <w:sz w:val="24"/>
        </w:rPr>
        <w:t>El</w:t>
      </w:r>
      <w:r>
        <w:rPr>
          <w:spacing w:val="-24"/>
          <w:sz w:val="24"/>
        </w:rPr>
        <w:t> </w:t>
      </w:r>
      <w:r>
        <w:rPr>
          <w:sz w:val="24"/>
        </w:rPr>
        <w:t>cultivo</w:t>
      </w:r>
      <w:r>
        <w:rPr>
          <w:spacing w:val="-11"/>
          <w:sz w:val="24"/>
        </w:rPr>
        <w:t> </w:t>
      </w:r>
      <w:r>
        <w:rPr>
          <w:sz w:val="24"/>
        </w:rPr>
        <w:t>de</w:t>
      </w:r>
      <w:r>
        <w:rPr>
          <w:spacing w:val="-16"/>
          <w:sz w:val="24"/>
        </w:rPr>
        <w:t> </w:t>
      </w:r>
      <w:r>
        <w:rPr>
          <w:sz w:val="24"/>
        </w:rPr>
        <w:t>peces</w:t>
      </w:r>
      <w:r>
        <w:rPr>
          <w:spacing w:val="-17"/>
          <w:sz w:val="24"/>
        </w:rPr>
        <w:t> </w:t>
      </w:r>
      <w:r>
        <w:rPr>
          <w:sz w:val="24"/>
        </w:rPr>
        <w:t>del</w:t>
      </w:r>
      <w:r>
        <w:rPr>
          <w:spacing w:val="-19"/>
          <w:sz w:val="24"/>
        </w:rPr>
        <w:t> </w:t>
      </w:r>
      <w:r>
        <w:rPr>
          <w:sz w:val="24"/>
        </w:rPr>
        <w:t>genero</w:t>
      </w:r>
      <w:r>
        <w:rPr>
          <w:spacing w:val="-16"/>
          <w:sz w:val="24"/>
        </w:rPr>
        <w:t> </w:t>
      </w:r>
      <w:r>
        <w:rPr>
          <w:sz w:val="24"/>
        </w:rPr>
        <w:t>tilapia</w:t>
      </w:r>
      <w:r>
        <w:rPr>
          <w:spacing w:val="-16"/>
          <w:sz w:val="24"/>
        </w:rPr>
        <w:t> </w:t>
      </w:r>
      <w:r>
        <w:rPr>
          <w:sz w:val="24"/>
        </w:rPr>
        <w:t>en</w:t>
      </w:r>
      <w:r>
        <w:rPr>
          <w:spacing w:val="-15"/>
          <w:sz w:val="24"/>
        </w:rPr>
        <w:t> </w:t>
      </w:r>
      <w:r>
        <w:rPr>
          <w:sz w:val="24"/>
        </w:rPr>
        <w:t>México</w:t>
      </w:r>
      <w:r>
        <w:rPr>
          <w:spacing w:val="-11"/>
          <w:sz w:val="24"/>
        </w:rPr>
        <w:t> </w:t>
      </w:r>
      <w:r>
        <w:rPr>
          <w:sz w:val="24"/>
        </w:rPr>
        <w:t>es</w:t>
      </w:r>
      <w:r>
        <w:rPr>
          <w:spacing w:val="-17"/>
          <w:sz w:val="24"/>
        </w:rPr>
        <w:t> </w:t>
      </w:r>
      <w:r>
        <w:rPr>
          <w:sz w:val="24"/>
        </w:rPr>
        <w:t>una</w:t>
      </w:r>
      <w:r>
        <w:rPr>
          <w:spacing w:val="-16"/>
          <w:sz w:val="24"/>
        </w:rPr>
        <w:t> </w:t>
      </w:r>
      <w:r>
        <w:rPr>
          <w:sz w:val="24"/>
        </w:rPr>
        <w:t>actividad</w:t>
      </w:r>
      <w:r>
        <w:rPr>
          <w:spacing w:val="-15"/>
          <w:sz w:val="24"/>
        </w:rPr>
        <w:t> </w:t>
      </w:r>
      <w:r>
        <w:rPr>
          <w:sz w:val="24"/>
        </w:rPr>
        <w:t>relativamente</w:t>
      </w:r>
      <w:r>
        <w:rPr>
          <w:spacing w:val="-16"/>
          <w:sz w:val="24"/>
        </w:rPr>
        <w:t> </w:t>
      </w:r>
      <w:r>
        <w:rPr>
          <w:sz w:val="24"/>
        </w:rPr>
        <w:t>nueva;</w:t>
      </w:r>
    </w:p>
    <w:p>
      <w:pPr>
        <w:pStyle w:val="ListParagraph"/>
        <w:numPr>
          <w:ilvl w:val="0"/>
          <w:numId w:val="13"/>
        </w:numPr>
        <w:tabs>
          <w:tab w:pos="699" w:val="left" w:leader="none"/>
          <w:tab w:pos="700" w:val="left" w:leader="none"/>
          <w:tab w:pos="2172" w:val="left" w:leader="none"/>
          <w:tab w:pos="3667" w:val="left" w:leader="none"/>
          <w:tab w:pos="3989" w:val="left" w:leader="none"/>
          <w:tab w:pos="5462" w:val="left" w:leader="none"/>
          <w:tab w:pos="6332" w:val="left" w:leader="none"/>
          <w:tab w:pos="7166" w:val="left" w:leader="none"/>
          <w:tab w:pos="8553" w:val="left" w:leader="none"/>
          <w:tab w:pos="8989" w:val="left" w:leader="none"/>
        </w:tabs>
        <w:spacing w:line="240" w:lineRule="auto" w:before="129" w:after="0"/>
        <w:ind w:left="699" w:right="0" w:hanging="470"/>
        <w:jc w:val="left"/>
        <w:rPr>
          <w:sz w:val="24"/>
        </w:rPr>
      </w:pPr>
      <w:r>
        <w:rPr>
          <w:i/>
          <w:sz w:val="24"/>
        </w:rPr>
        <w:t>Oreochromis</w:t>
        <w:tab/>
        <w:t>mossambicus</w:t>
        <w:tab/>
      </w:r>
      <w:r>
        <w:rPr>
          <w:sz w:val="24"/>
        </w:rPr>
        <w:t>y</w:t>
        <w:tab/>
      </w:r>
      <w:r>
        <w:rPr>
          <w:i/>
          <w:sz w:val="24"/>
        </w:rPr>
        <w:t>Oreochromis</w:t>
        <w:tab/>
        <w:t>aureus</w:t>
        <w:tab/>
      </w:r>
      <w:r>
        <w:rPr>
          <w:sz w:val="24"/>
        </w:rPr>
        <w:t>fueron</w:t>
        <w:tab/>
        <w:t>introducidas</w:t>
        <w:tab/>
        <w:t>en</w:t>
        <w:tab/>
        <w:t>1964;</w:t>
      </w:r>
    </w:p>
    <w:p>
      <w:pPr>
        <w:pStyle w:val="ListParagraph"/>
        <w:numPr>
          <w:ilvl w:val="0"/>
          <w:numId w:val="13"/>
        </w:numPr>
        <w:tabs>
          <w:tab w:pos="699" w:val="left" w:leader="none"/>
          <w:tab w:pos="700" w:val="left" w:leader="none"/>
        </w:tabs>
        <w:spacing w:line="240" w:lineRule="auto" w:before="130" w:after="0"/>
        <w:ind w:left="699" w:right="0" w:hanging="470"/>
        <w:jc w:val="left"/>
        <w:rPr>
          <w:sz w:val="24"/>
        </w:rPr>
      </w:pPr>
      <w:r>
        <w:rPr>
          <w:sz w:val="24"/>
        </w:rPr>
        <w:t>posteriormente   ingresaron  otras   especies   que   se   han  distribuido   con  propósitos </w:t>
      </w:r>
      <w:r>
        <w:rPr>
          <w:spacing w:val="23"/>
          <w:sz w:val="24"/>
        </w:rPr>
        <w:t> </w:t>
      </w:r>
      <w:r>
        <w:rPr>
          <w:sz w:val="24"/>
        </w:rPr>
        <w:t>de</w:t>
      </w:r>
    </w:p>
    <w:p>
      <w:pPr>
        <w:pStyle w:val="ListParagraph"/>
        <w:numPr>
          <w:ilvl w:val="0"/>
          <w:numId w:val="13"/>
        </w:numPr>
        <w:tabs>
          <w:tab w:pos="699" w:val="left" w:leader="none"/>
          <w:tab w:pos="700" w:val="left" w:leader="none"/>
        </w:tabs>
        <w:spacing w:line="240" w:lineRule="auto" w:before="129" w:after="0"/>
        <w:ind w:left="699" w:right="0" w:hanging="470"/>
        <w:jc w:val="left"/>
        <w:rPr>
          <w:sz w:val="24"/>
        </w:rPr>
      </w:pPr>
      <w:r>
        <w:rPr>
          <w:sz w:val="24"/>
        </w:rPr>
        <w:t>subsistencia en embalses naturales y artificiales de prácticamente todo el país</w:t>
      </w:r>
      <w:r>
        <w:rPr>
          <w:spacing w:val="-12"/>
          <w:sz w:val="24"/>
        </w:rPr>
        <w:t> </w:t>
      </w:r>
      <w:r>
        <w:rPr>
          <w:sz w:val="24"/>
        </w:rPr>
        <w:t>(Fitzsimmons</w:t>
      </w:r>
    </w:p>
    <w:p>
      <w:pPr>
        <w:tabs>
          <w:tab w:pos="699" w:val="left" w:leader="none"/>
        </w:tabs>
        <w:spacing w:before="134"/>
        <w:ind w:left="229" w:right="0" w:firstLine="0"/>
        <w:jc w:val="left"/>
        <w:rPr>
          <w:rFonts w:ascii="Times New Roman"/>
          <w:sz w:val="24"/>
        </w:rPr>
      </w:pPr>
      <w:r>
        <w:rPr>
          <w:rFonts w:ascii="Calibri"/>
          <w:sz w:val="22"/>
        </w:rPr>
        <w:t>6</w:t>
        <w:tab/>
      </w:r>
      <w:r>
        <w:rPr>
          <w:rFonts w:ascii="Times New Roman"/>
          <w:sz w:val="24"/>
        </w:rPr>
        <w:t>2000).</w:t>
      </w:r>
    </w:p>
    <w:p>
      <w:pPr>
        <w:pStyle w:val="ListParagraph"/>
        <w:numPr>
          <w:ilvl w:val="0"/>
          <w:numId w:val="14"/>
        </w:numPr>
        <w:tabs>
          <w:tab w:pos="1405" w:val="left" w:leader="none"/>
          <w:tab w:pos="1406" w:val="left" w:leader="none"/>
        </w:tabs>
        <w:spacing w:line="240" w:lineRule="auto" w:before="129" w:after="0"/>
        <w:ind w:left="1405" w:right="0" w:hanging="1176"/>
        <w:jc w:val="left"/>
        <w:rPr>
          <w:sz w:val="24"/>
        </w:rPr>
      </w:pPr>
      <w:r>
        <w:rPr>
          <w:sz w:val="24"/>
        </w:rPr>
        <w:t>En  los últimos años,  </w:t>
      </w:r>
      <w:r>
        <w:rPr>
          <w:spacing w:val="-3"/>
          <w:sz w:val="24"/>
        </w:rPr>
        <w:t>México  </w:t>
      </w:r>
      <w:r>
        <w:rPr>
          <w:sz w:val="24"/>
        </w:rPr>
        <w:t>se  </w:t>
      </w:r>
      <w:r>
        <w:rPr>
          <w:spacing w:val="-3"/>
          <w:sz w:val="24"/>
        </w:rPr>
        <w:t>ha  </w:t>
      </w:r>
      <w:r>
        <w:rPr>
          <w:sz w:val="24"/>
        </w:rPr>
        <w:t>convertido  en uno  de  los principales   </w:t>
      </w:r>
      <w:r>
        <w:rPr>
          <w:spacing w:val="1"/>
          <w:sz w:val="24"/>
        </w:rPr>
        <w:t> </w:t>
      </w:r>
      <w:r>
        <w:rPr>
          <w:sz w:val="24"/>
        </w:rPr>
        <w:t>países</w:t>
      </w:r>
    </w:p>
    <w:p>
      <w:pPr>
        <w:pStyle w:val="ListParagraph"/>
        <w:numPr>
          <w:ilvl w:val="0"/>
          <w:numId w:val="14"/>
        </w:numPr>
        <w:tabs>
          <w:tab w:pos="699" w:val="left" w:leader="none"/>
          <w:tab w:pos="700" w:val="left" w:leader="none"/>
        </w:tabs>
        <w:spacing w:line="240" w:lineRule="auto" w:before="130" w:after="0"/>
        <w:ind w:left="699" w:right="0" w:hanging="470"/>
        <w:jc w:val="left"/>
        <w:rPr>
          <w:sz w:val="24"/>
        </w:rPr>
      </w:pPr>
      <w:r>
        <w:rPr>
          <w:sz w:val="24"/>
        </w:rPr>
        <w:t>productores</w:t>
      </w:r>
      <w:r>
        <w:rPr>
          <w:spacing w:val="-8"/>
          <w:sz w:val="24"/>
        </w:rPr>
        <w:t> </w:t>
      </w:r>
      <w:r>
        <w:rPr>
          <w:sz w:val="24"/>
        </w:rPr>
        <w:t>y</w:t>
      </w:r>
      <w:r>
        <w:rPr>
          <w:spacing w:val="-19"/>
          <w:sz w:val="24"/>
        </w:rPr>
        <w:t> </w:t>
      </w:r>
      <w:r>
        <w:rPr>
          <w:sz w:val="24"/>
        </w:rPr>
        <w:t>consumidores</w:t>
      </w:r>
      <w:r>
        <w:rPr>
          <w:spacing w:val="-13"/>
          <w:sz w:val="24"/>
        </w:rPr>
        <w:t> </w:t>
      </w:r>
      <w:r>
        <w:rPr>
          <w:sz w:val="24"/>
        </w:rPr>
        <w:t>de</w:t>
      </w:r>
      <w:r>
        <w:rPr>
          <w:spacing w:val="-12"/>
          <w:sz w:val="24"/>
        </w:rPr>
        <w:t> </w:t>
      </w:r>
      <w:r>
        <w:rPr>
          <w:sz w:val="24"/>
        </w:rPr>
        <w:t>tilapia</w:t>
      </w:r>
      <w:r>
        <w:rPr>
          <w:spacing w:val="-12"/>
          <w:sz w:val="24"/>
        </w:rPr>
        <w:t> </w:t>
      </w:r>
      <w:r>
        <w:rPr>
          <w:sz w:val="24"/>
        </w:rPr>
        <w:t>de</w:t>
      </w:r>
      <w:r>
        <w:rPr>
          <w:spacing w:val="-12"/>
          <w:sz w:val="24"/>
        </w:rPr>
        <w:t> </w:t>
      </w:r>
      <w:r>
        <w:rPr>
          <w:sz w:val="24"/>
        </w:rPr>
        <w:t>Latinoamérica</w:t>
      </w:r>
      <w:r>
        <w:rPr>
          <w:spacing w:val="-12"/>
          <w:sz w:val="24"/>
        </w:rPr>
        <w:t> </w:t>
      </w:r>
      <w:r>
        <w:rPr>
          <w:sz w:val="24"/>
        </w:rPr>
        <w:t>(Fitzsimmons</w:t>
      </w:r>
      <w:r>
        <w:rPr>
          <w:spacing w:val="-13"/>
          <w:sz w:val="24"/>
        </w:rPr>
        <w:t> </w:t>
      </w:r>
      <w:r>
        <w:rPr>
          <w:sz w:val="24"/>
        </w:rPr>
        <w:t>2000).</w:t>
      </w:r>
      <w:r>
        <w:rPr>
          <w:spacing w:val="-13"/>
          <w:sz w:val="24"/>
        </w:rPr>
        <w:t> </w:t>
      </w:r>
      <w:r>
        <w:rPr>
          <w:sz w:val="24"/>
        </w:rPr>
        <w:t>En</w:t>
      </w:r>
      <w:r>
        <w:rPr>
          <w:spacing w:val="-14"/>
          <w:sz w:val="24"/>
        </w:rPr>
        <w:t> </w:t>
      </w:r>
      <w:r>
        <w:rPr>
          <w:sz w:val="24"/>
        </w:rPr>
        <w:t>el</w:t>
      </w:r>
      <w:r>
        <w:rPr>
          <w:spacing w:val="-19"/>
          <w:sz w:val="24"/>
        </w:rPr>
        <w:t> </w:t>
      </w:r>
      <w:r>
        <w:rPr>
          <w:sz w:val="24"/>
        </w:rPr>
        <w:t>año</w:t>
      </w:r>
      <w:r>
        <w:rPr>
          <w:spacing w:val="-6"/>
          <w:sz w:val="24"/>
        </w:rPr>
        <w:t> </w:t>
      </w:r>
      <w:r>
        <w:rPr>
          <w:sz w:val="24"/>
        </w:rPr>
        <w:t>2011</w:t>
      </w:r>
    </w:p>
    <w:p>
      <w:pPr>
        <w:pStyle w:val="ListParagraph"/>
        <w:numPr>
          <w:ilvl w:val="0"/>
          <w:numId w:val="14"/>
        </w:numPr>
        <w:tabs>
          <w:tab w:pos="699" w:val="left" w:leader="none"/>
          <w:tab w:pos="700" w:val="left" w:leader="none"/>
        </w:tabs>
        <w:spacing w:line="240" w:lineRule="auto" w:before="129" w:after="0"/>
        <w:ind w:left="699" w:right="0" w:hanging="470"/>
        <w:jc w:val="left"/>
        <w:rPr>
          <w:sz w:val="24"/>
        </w:rPr>
      </w:pPr>
      <w:r>
        <w:rPr>
          <w:sz w:val="24"/>
        </w:rPr>
        <w:t>se logró una producción de 81.250 ton. de </w:t>
      </w:r>
      <w:r>
        <w:rPr>
          <w:spacing w:val="-4"/>
          <w:sz w:val="24"/>
        </w:rPr>
        <w:t>las </w:t>
      </w:r>
      <w:r>
        <w:rPr>
          <w:sz w:val="24"/>
        </w:rPr>
        <w:t>cuales 76.986 se derivaron de actividades  </w:t>
      </w:r>
      <w:r>
        <w:rPr>
          <w:spacing w:val="5"/>
          <w:sz w:val="24"/>
        </w:rPr>
        <w:t> </w:t>
      </w:r>
      <w:r>
        <w:rPr>
          <w:sz w:val="24"/>
        </w:rPr>
        <w:t>de</w:t>
      </w:r>
    </w:p>
    <w:p>
      <w:pPr>
        <w:pStyle w:val="ListParagraph"/>
        <w:numPr>
          <w:ilvl w:val="0"/>
          <w:numId w:val="14"/>
        </w:numPr>
        <w:tabs>
          <w:tab w:pos="699" w:val="left" w:leader="none"/>
          <w:tab w:pos="700" w:val="left" w:leader="none"/>
        </w:tabs>
        <w:spacing w:line="240" w:lineRule="auto" w:before="134" w:after="0"/>
        <w:ind w:left="699" w:right="0" w:hanging="581"/>
        <w:jc w:val="left"/>
        <w:rPr>
          <w:sz w:val="24"/>
        </w:rPr>
      </w:pPr>
      <w:r>
        <w:rPr>
          <w:sz w:val="24"/>
        </w:rPr>
        <w:t>acuacultura, ubicándose en el 5º lugar de producción pesquera nacional y en el 3er lugar</w:t>
      </w:r>
      <w:r>
        <w:rPr>
          <w:spacing w:val="-27"/>
          <w:sz w:val="24"/>
        </w:rPr>
        <w:t> </w:t>
      </w:r>
      <w:r>
        <w:rPr>
          <w:sz w:val="24"/>
        </w:rPr>
        <w:t>por</w:t>
      </w:r>
    </w:p>
    <w:p>
      <w:pPr>
        <w:pStyle w:val="ListParagraph"/>
        <w:numPr>
          <w:ilvl w:val="0"/>
          <w:numId w:val="14"/>
        </w:numPr>
        <w:tabs>
          <w:tab w:pos="699" w:val="left" w:leader="none"/>
          <w:tab w:pos="700" w:val="left" w:leader="none"/>
        </w:tabs>
        <w:spacing w:line="240" w:lineRule="auto" w:before="129" w:after="0"/>
        <w:ind w:left="699" w:right="0" w:hanging="581"/>
        <w:jc w:val="left"/>
        <w:rPr>
          <w:sz w:val="24"/>
        </w:rPr>
      </w:pPr>
      <w:r>
        <w:rPr>
          <w:sz w:val="24"/>
        </w:rPr>
        <w:t>valor  de  venta.  Entre  2002  a  2011  </w:t>
      </w:r>
      <w:r>
        <w:rPr>
          <w:spacing w:val="-3"/>
          <w:sz w:val="24"/>
        </w:rPr>
        <w:t>la  </w:t>
      </w:r>
      <w:r>
        <w:rPr>
          <w:sz w:val="24"/>
        </w:rPr>
        <w:t>actividad  creció  a  una  tasa  media  anual      </w:t>
      </w:r>
      <w:r>
        <w:rPr>
          <w:spacing w:val="26"/>
          <w:sz w:val="24"/>
        </w:rPr>
        <w:t> </w:t>
      </w:r>
      <w:r>
        <w:rPr>
          <w:sz w:val="24"/>
        </w:rPr>
        <w:t>de</w:t>
      </w:r>
    </w:p>
    <w:p>
      <w:pPr>
        <w:pStyle w:val="ListParagraph"/>
        <w:numPr>
          <w:ilvl w:val="0"/>
          <w:numId w:val="14"/>
        </w:numPr>
        <w:tabs>
          <w:tab w:pos="699" w:val="left" w:leader="none"/>
          <w:tab w:pos="700" w:val="left" w:leader="none"/>
        </w:tabs>
        <w:spacing w:line="240" w:lineRule="auto" w:before="130" w:after="0"/>
        <w:ind w:left="699" w:right="0" w:hanging="581"/>
        <w:jc w:val="left"/>
        <w:rPr>
          <w:sz w:val="24"/>
        </w:rPr>
      </w:pPr>
      <w:r>
        <w:rPr>
          <w:sz w:val="24"/>
        </w:rPr>
        <w:t>1.44%(Anuario  Estadístico  2012; 2013), y se estima que en el futuro  el crecimiento  </w:t>
      </w:r>
      <w:r>
        <w:rPr>
          <w:spacing w:val="51"/>
          <w:sz w:val="24"/>
        </w:rPr>
        <w:t> </w:t>
      </w:r>
      <w:r>
        <w:rPr>
          <w:sz w:val="24"/>
        </w:rPr>
        <w:t>será</w:t>
      </w:r>
    </w:p>
    <w:p>
      <w:pPr>
        <w:pStyle w:val="ListParagraph"/>
        <w:numPr>
          <w:ilvl w:val="0"/>
          <w:numId w:val="14"/>
        </w:numPr>
        <w:tabs>
          <w:tab w:pos="699" w:val="left" w:leader="none"/>
          <w:tab w:pos="700" w:val="left" w:leader="none"/>
        </w:tabs>
        <w:spacing w:line="240" w:lineRule="auto" w:before="129" w:after="0"/>
        <w:ind w:left="699" w:right="0" w:hanging="581"/>
        <w:jc w:val="left"/>
        <w:rPr>
          <w:sz w:val="24"/>
        </w:rPr>
      </w:pPr>
      <w:r>
        <w:rPr>
          <w:sz w:val="24"/>
        </w:rPr>
        <w:t>mayor, asociado a disponibilidad de mejores alimentos, desarrollo del cultivo en </w:t>
      </w:r>
      <w:r>
        <w:rPr>
          <w:spacing w:val="19"/>
          <w:sz w:val="24"/>
        </w:rPr>
        <w:t> </w:t>
      </w:r>
      <w:r>
        <w:rPr>
          <w:sz w:val="24"/>
        </w:rPr>
        <w:t>diferentes</w:t>
      </w:r>
    </w:p>
    <w:p>
      <w:pPr>
        <w:pStyle w:val="ListParagraph"/>
        <w:numPr>
          <w:ilvl w:val="0"/>
          <w:numId w:val="14"/>
        </w:numPr>
        <w:tabs>
          <w:tab w:pos="699" w:val="left" w:leader="none"/>
          <w:tab w:pos="700" w:val="left" w:leader="none"/>
        </w:tabs>
        <w:spacing w:line="240" w:lineRule="auto" w:before="134" w:after="0"/>
        <w:ind w:left="699" w:right="0" w:hanging="581"/>
        <w:jc w:val="left"/>
        <w:rPr>
          <w:sz w:val="24"/>
        </w:rPr>
      </w:pPr>
      <w:r>
        <w:rPr>
          <w:sz w:val="24"/>
        </w:rPr>
        <w:t>espacios,</w:t>
      </w:r>
      <w:r>
        <w:rPr>
          <w:spacing w:val="-11"/>
          <w:sz w:val="24"/>
        </w:rPr>
        <w:t> </w:t>
      </w:r>
      <w:r>
        <w:rPr>
          <w:sz w:val="24"/>
        </w:rPr>
        <w:t>uso</w:t>
      </w:r>
      <w:r>
        <w:rPr>
          <w:spacing w:val="-8"/>
          <w:sz w:val="24"/>
        </w:rPr>
        <w:t> </w:t>
      </w:r>
      <w:r>
        <w:rPr>
          <w:sz w:val="24"/>
        </w:rPr>
        <w:t>de</w:t>
      </w:r>
      <w:r>
        <w:rPr>
          <w:spacing w:val="-14"/>
          <w:sz w:val="24"/>
        </w:rPr>
        <w:t> </w:t>
      </w:r>
      <w:r>
        <w:rPr>
          <w:sz w:val="24"/>
        </w:rPr>
        <w:t>animales</w:t>
      </w:r>
      <w:r>
        <w:rPr>
          <w:spacing w:val="-14"/>
          <w:sz w:val="24"/>
        </w:rPr>
        <w:t> </w:t>
      </w:r>
      <w:r>
        <w:rPr>
          <w:sz w:val="24"/>
        </w:rPr>
        <w:t>de</w:t>
      </w:r>
      <w:r>
        <w:rPr>
          <w:spacing w:val="-9"/>
          <w:sz w:val="24"/>
        </w:rPr>
        <w:t> </w:t>
      </w:r>
      <w:r>
        <w:rPr>
          <w:sz w:val="24"/>
        </w:rPr>
        <w:t>mejor</w:t>
      </w:r>
      <w:r>
        <w:rPr>
          <w:spacing w:val="-11"/>
          <w:sz w:val="24"/>
        </w:rPr>
        <w:t> </w:t>
      </w:r>
      <w:r>
        <w:rPr>
          <w:sz w:val="24"/>
        </w:rPr>
        <w:t>calidad</w:t>
      </w:r>
      <w:r>
        <w:rPr>
          <w:spacing w:val="-13"/>
          <w:sz w:val="24"/>
        </w:rPr>
        <w:t> </w:t>
      </w:r>
      <w:r>
        <w:rPr>
          <w:sz w:val="24"/>
        </w:rPr>
        <w:t>genética,</w:t>
      </w:r>
      <w:r>
        <w:rPr>
          <w:spacing w:val="-11"/>
          <w:sz w:val="24"/>
        </w:rPr>
        <w:t> </w:t>
      </w:r>
      <w:r>
        <w:rPr>
          <w:sz w:val="24"/>
        </w:rPr>
        <w:t>y</w:t>
      </w:r>
      <w:r>
        <w:rPr>
          <w:spacing w:val="-21"/>
          <w:sz w:val="24"/>
        </w:rPr>
        <w:t> </w:t>
      </w:r>
      <w:r>
        <w:rPr>
          <w:sz w:val="24"/>
        </w:rPr>
        <w:t>a</w:t>
      </w:r>
      <w:r>
        <w:rPr>
          <w:spacing w:val="-9"/>
          <w:sz w:val="24"/>
        </w:rPr>
        <w:t> </w:t>
      </w:r>
      <w:r>
        <w:rPr>
          <w:spacing w:val="-5"/>
          <w:sz w:val="24"/>
        </w:rPr>
        <w:t>la</w:t>
      </w:r>
      <w:r>
        <w:rPr>
          <w:spacing w:val="-14"/>
          <w:sz w:val="24"/>
        </w:rPr>
        <w:t> </w:t>
      </w:r>
      <w:r>
        <w:rPr>
          <w:sz w:val="24"/>
        </w:rPr>
        <w:t>profesionalización</w:t>
      </w:r>
      <w:r>
        <w:rPr>
          <w:spacing w:val="-16"/>
          <w:sz w:val="24"/>
        </w:rPr>
        <w:t> </w:t>
      </w:r>
      <w:r>
        <w:rPr>
          <w:sz w:val="24"/>
        </w:rPr>
        <w:t>de</w:t>
      </w:r>
      <w:r>
        <w:rPr>
          <w:spacing w:val="-9"/>
          <w:sz w:val="24"/>
        </w:rPr>
        <w:t> </w:t>
      </w:r>
      <w:r>
        <w:rPr>
          <w:spacing w:val="-5"/>
          <w:sz w:val="24"/>
        </w:rPr>
        <w:t>la</w:t>
      </w:r>
      <w:r>
        <w:rPr>
          <w:spacing w:val="-14"/>
          <w:sz w:val="24"/>
        </w:rPr>
        <w:t> </w:t>
      </w:r>
      <w:r>
        <w:rPr>
          <w:sz w:val="24"/>
        </w:rPr>
        <w:t>actividad.</w:t>
      </w:r>
    </w:p>
    <w:p>
      <w:pPr>
        <w:pStyle w:val="ListParagraph"/>
        <w:numPr>
          <w:ilvl w:val="0"/>
          <w:numId w:val="14"/>
        </w:numPr>
        <w:tabs>
          <w:tab w:pos="1405" w:val="left" w:leader="none"/>
          <w:tab w:pos="1406" w:val="left" w:leader="none"/>
        </w:tabs>
        <w:spacing w:line="240" w:lineRule="auto" w:before="129" w:after="0"/>
        <w:ind w:left="1405" w:right="0" w:hanging="1287"/>
        <w:jc w:val="left"/>
        <w:rPr>
          <w:sz w:val="24"/>
        </w:rPr>
      </w:pPr>
      <w:r>
        <w:rPr>
          <w:sz w:val="24"/>
        </w:rPr>
        <w:t>La  tilapia  producida  en  México  se  destina  principalmente  al  mercado   </w:t>
      </w:r>
      <w:r>
        <w:rPr>
          <w:spacing w:val="2"/>
          <w:sz w:val="24"/>
        </w:rPr>
        <w:t> </w:t>
      </w:r>
      <w:r>
        <w:rPr>
          <w:sz w:val="24"/>
        </w:rPr>
        <w:t>interno</w:t>
      </w:r>
    </w:p>
    <w:p>
      <w:pPr>
        <w:pStyle w:val="ListParagraph"/>
        <w:numPr>
          <w:ilvl w:val="0"/>
          <w:numId w:val="14"/>
        </w:numPr>
        <w:tabs>
          <w:tab w:pos="699" w:val="left" w:leader="none"/>
          <w:tab w:pos="700" w:val="left" w:leader="none"/>
        </w:tabs>
        <w:spacing w:line="240" w:lineRule="auto" w:before="130" w:after="0"/>
        <w:ind w:left="699" w:right="0" w:hanging="581"/>
        <w:jc w:val="left"/>
        <w:rPr>
          <w:sz w:val="24"/>
        </w:rPr>
      </w:pPr>
      <w:r>
        <w:rPr>
          <w:sz w:val="24"/>
        </w:rPr>
        <w:t>(Anuario  Estadístico  2013); sin embargo, </w:t>
      </w:r>
      <w:r>
        <w:rPr>
          <w:spacing w:val="-5"/>
          <w:sz w:val="24"/>
        </w:rPr>
        <w:t>la  </w:t>
      </w:r>
      <w:r>
        <w:rPr>
          <w:sz w:val="24"/>
        </w:rPr>
        <w:t>proximidad al mercado  norteamericano  y </w:t>
      </w:r>
      <w:r>
        <w:rPr>
          <w:spacing w:val="19"/>
          <w:sz w:val="24"/>
        </w:rPr>
        <w:t> </w:t>
      </w:r>
      <w:r>
        <w:rPr>
          <w:sz w:val="24"/>
        </w:rPr>
        <w:t>el</w:t>
      </w:r>
    </w:p>
    <w:p>
      <w:pPr>
        <w:pStyle w:val="ListParagraph"/>
        <w:numPr>
          <w:ilvl w:val="0"/>
          <w:numId w:val="14"/>
        </w:numPr>
        <w:tabs>
          <w:tab w:pos="699" w:val="left" w:leader="none"/>
          <w:tab w:pos="700" w:val="left" w:leader="none"/>
        </w:tabs>
        <w:spacing w:line="240" w:lineRule="auto" w:before="129" w:after="0"/>
        <w:ind w:left="699" w:right="0" w:hanging="581"/>
        <w:jc w:val="left"/>
        <w:rPr>
          <w:sz w:val="24"/>
        </w:rPr>
      </w:pPr>
      <w:r>
        <w:rPr>
          <w:sz w:val="24"/>
        </w:rPr>
        <w:t>hecho de contar con grandes recursos hídricos representan una oportunidad para</w:t>
      </w:r>
      <w:r>
        <w:rPr>
          <w:spacing w:val="-16"/>
          <w:sz w:val="24"/>
        </w:rPr>
        <w:t> </w:t>
      </w:r>
      <w:r>
        <w:rPr>
          <w:sz w:val="24"/>
        </w:rPr>
        <w:t>convertirse</w:t>
      </w:r>
    </w:p>
    <w:p>
      <w:pPr>
        <w:pStyle w:val="ListParagraph"/>
        <w:numPr>
          <w:ilvl w:val="0"/>
          <w:numId w:val="14"/>
        </w:numPr>
        <w:tabs>
          <w:tab w:pos="699" w:val="left" w:leader="none"/>
          <w:tab w:pos="700" w:val="left" w:leader="none"/>
        </w:tabs>
        <w:spacing w:line="240" w:lineRule="auto" w:before="134" w:after="0"/>
        <w:ind w:left="699" w:right="0" w:hanging="581"/>
        <w:jc w:val="left"/>
        <w:rPr>
          <w:sz w:val="24"/>
        </w:rPr>
      </w:pPr>
      <w:r>
        <w:rPr>
          <w:sz w:val="24"/>
        </w:rPr>
        <w:t>en</w:t>
      </w:r>
      <w:r>
        <w:rPr>
          <w:spacing w:val="-16"/>
          <w:sz w:val="24"/>
        </w:rPr>
        <w:t> </w:t>
      </w:r>
      <w:r>
        <w:rPr>
          <w:sz w:val="24"/>
        </w:rPr>
        <w:t>uno</w:t>
      </w:r>
      <w:r>
        <w:rPr>
          <w:spacing w:val="-8"/>
          <w:sz w:val="24"/>
        </w:rPr>
        <w:t> </w:t>
      </w:r>
      <w:r>
        <w:rPr>
          <w:sz w:val="24"/>
        </w:rPr>
        <w:t>de</w:t>
      </w:r>
      <w:r>
        <w:rPr>
          <w:spacing w:val="-13"/>
          <w:sz w:val="24"/>
        </w:rPr>
        <w:t> </w:t>
      </w:r>
      <w:r>
        <w:rPr>
          <w:sz w:val="24"/>
        </w:rPr>
        <w:t>los</w:t>
      </w:r>
      <w:r>
        <w:rPr>
          <w:spacing w:val="-14"/>
          <w:sz w:val="24"/>
        </w:rPr>
        <w:t> </w:t>
      </w:r>
      <w:r>
        <w:rPr>
          <w:sz w:val="24"/>
        </w:rPr>
        <w:t>países</w:t>
      </w:r>
      <w:r>
        <w:rPr>
          <w:spacing w:val="-9"/>
          <w:sz w:val="24"/>
        </w:rPr>
        <w:t> </w:t>
      </w:r>
      <w:r>
        <w:rPr>
          <w:spacing w:val="-3"/>
          <w:sz w:val="24"/>
        </w:rPr>
        <w:t>más</w:t>
      </w:r>
      <w:r>
        <w:rPr>
          <w:spacing w:val="-9"/>
          <w:sz w:val="24"/>
        </w:rPr>
        <w:t> </w:t>
      </w:r>
      <w:r>
        <w:rPr>
          <w:sz w:val="24"/>
        </w:rPr>
        <w:t>importantes</w:t>
      </w:r>
      <w:r>
        <w:rPr>
          <w:spacing w:val="-14"/>
          <w:sz w:val="24"/>
        </w:rPr>
        <w:t> </w:t>
      </w:r>
      <w:r>
        <w:rPr>
          <w:sz w:val="24"/>
        </w:rPr>
        <w:t>en</w:t>
      </w:r>
      <w:r>
        <w:rPr>
          <w:spacing w:val="-16"/>
          <w:sz w:val="24"/>
        </w:rPr>
        <w:t> </w:t>
      </w:r>
      <w:r>
        <w:rPr>
          <w:spacing w:val="-3"/>
          <w:sz w:val="24"/>
        </w:rPr>
        <w:t>la</w:t>
      </w:r>
      <w:r>
        <w:rPr>
          <w:spacing w:val="-13"/>
          <w:sz w:val="24"/>
        </w:rPr>
        <w:t> </w:t>
      </w:r>
      <w:r>
        <w:rPr>
          <w:sz w:val="24"/>
        </w:rPr>
        <w:t>producción</w:t>
      </w:r>
      <w:r>
        <w:rPr>
          <w:spacing w:val="-16"/>
          <w:sz w:val="24"/>
        </w:rPr>
        <w:t> </w:t>
      </w:r>
      <w:r>
        <w:rPr>
          <w:sz w:val="24"/>
        </w:rPr>
        <w:t>y</w:t>
      </w:r>
      <w:r>
        <w:rPr>
          <w:spacing w:val="-21"/>
          <w:sz w:val="24"/>
        </w:rPr>
        <w:t> </w:t>
      </w:r>
      <w:r>
        <w:rPr>
          <w:sz w:val="24"/>
        </w:rPr>
        <w:t>comercio</w:t>
      </w:r>
      <w:r>
        <w:rPr>
          <w:spacing w:val="-3"/>
          <w:sz w:val="24"/>
        </w:rPr>
        <w:t> </w:t>
      </w:r>
      <w:r>
        <w:rPr>
          <w:sz w:val="24"/>
        </w:rPr>
        <w:t>internacional</w:t>
      </w:r>
      <w:r>
        <w:rPr>
          <w:spacing w:val="-21"/>
          <w:sz w:val="24"/>
        </w:rPr>
        <w:t> </w:t>
      </w:r>
      <w:r>
        <w:rPr>
          <w:sz w:val="24"/>
        </w:rPr>
        <w:t>de</w:t>
      </w:r>
      <w:r>
        <w:rPr>
          <w:spacing w:val="-8"/>
          <w:sz w:val="24"/>
        </w:rPr>
        <w:t> </w:t>
      </w:r>
      <w:r>
        <w:rPr>
          <w:spacing w:val="-5"/>
          <w:sz w:val="24"/>
        </w:rPr>
        <w:t>la</w:t>
      </w:r>
      <w:r>
        <w:rPr>
          <w:spacing w:val="-13"/>
          <w:sz w:val="24"/>
        </w:rPr>
        <w:t> </w:t>
      </w:r>
      <w:r>
        <w:rPr>
          <w:sz w:val="24"/>
        </w:rPr>
        <w:t>especie.</w:t>
      </w:r>
    </w:p>
    <w:p>
      <w:pPr>
        <w:pStyle w:val="ListParagraph"/>
        <w:numPr>
          <w:ilvl w:val="0"/>
          <w:numId w:val="14"/>
        </w:numPr>
        <w:tabs>
          <w:tab w:pos="699" w:val="left" w:leader="none"/>
          <w:tab w:pos="700" w:val="left" w:leader="none"/>
        </w:tabs>
        <w:spacing w:line="240" w:lineRule="auto" w:before="129" w:after="0"/>
        <w:ind w:left="699" w:right="0" w:hanging="581"/>
        <w:jc w:val="left"/>
        <w:rPr>
          <w:sz w:val="24"/>
        </w:rPr>
      </w:pPr>
      <w:r>
        <w:rPr>
          <w:sz w:val="24"/>
        </w:rPr>
        <w:t>Sin embargo, para aprovechar esta oportunidad, </w:t>
      </w:r>
      <w:r>
        <w:rPr>
          <w:spacing w:val="-5"/>
          <w:sz w:val="24"/>
        </w:rPr>
        <w:t>la </w:t>
      </w:r>
      <w:r>
        <w:rPr>
          <w:sz w:val="24"/>
        </w:rPr>
        <w:t>acuicultura de México deberá contar</w:t>
      </w:r>
      <w:r>
        <w:rPr>
          <w:spacing w:val="35"/>
          <w:sz w:val="24"/>
        </w:rPr>
        <w:t> </w:t>
      </w:r>
      <w:r>
        <w:rPr>
          <w:sz w:val="24"/>
        </w:rPr>
        <w:t>con</w:t>
      </w:r>
    </w:p>
    <w:p>
      <w:pPr>
        <w:pStyle w:val="ListParagraph"/>
        <w:numPr>
          <w:ilvl w:val="0"/>
          <w:numId w:val="14"/>
        </w:numPr>
        <w:tabs>
          <w:tab w:pos="699" w:val="left" w:leader="none"/>
          <w:tab w:pos="700" w:val="left" w:leader="none"/>
        </w:tabs>
        <w:spacing w:line="240" w:lineRule="auto" w:before="130" w:after="0"/>
        <w:ind w:left="699" w:right="0" w:hanging="581"/>
        <w:jc w:val="left"/>
        <w:rPr>
          <w:sz w:val="24"/>
        </w:rPr>
      </w:pPr>
      <w:r>
        <w:rPr>
          <w:sz w:val="24"/>
        </w:rPr>
        <w:t>las  herramientas  necesarias  para  favorecer  </w:t>
      </w:r>
      <w:r>
        <w:rPr>
          <w:spacing w:val="-5"/>
          <w:sz w:val="24"/>
        </w:rPr>
        <w:t>la  </w:t>
      </w:r>
      <w:r>
        <w:rPr>
          <w:sz w:val="24"/>
        </w:rPr>
        <w:t>permanencia  y extensión de  </w:t>
      </w:r>
      <w:r>
        <w:rPr>
          <w:spacing w:val="-3"/>
          <w:sz w:val="24"/>
        </w:rPr>
        <w:t>la </w:t>
      </w:r>
      <w:r>
        <w:rPr>
          <w:spacing w:val="37"/>
          <w:sz w:val="24"/>
        </w:rPr>
        <w:t> </w:t>
      </w:r>
      <w:r>
        <w:rPr>
          <w:sz w:val="24"/>
        </w:rPr>
        <w:t>actividad,</w:t>
      </w:r>
    </w:p>
    <w:p>
      <w:pPr>
        <w:pStyle w:val="ListParagraph"/>
        <w:numPr>
          <w:ilvl w:val="0"/>
          <w:numId w:val="14"/>
        </w:numPr>
        <w:tabs>
          <w:tab w:pos="699" w:val="left" w:leader="none"/>
          <w:tab w:pos="700" w:val="left" w:leader="none"/>
        </w:tabs>
        <w:spacing w:line="240" w:lineRule="auto" w:before="129" w:after="0"/>
        <w:ind w:left="699" w:right="0" w:hanging="581"/>
        <w:jc w:val="left"/>
        <w:rPr>
          <w:sz w:val="24"/>
        </w:rPr>
      </w:pPr>
      <w:r>
        <w:rPr>
          <w:sz w:val="24"/>
        </w:rPr>
        <w:t>enfrentando</w:t>
      </w:r>
      <w:r>
        <w:rPr>
          <w:spacing w:val="-2"/>
          <w:sz w:val="24"/>
        </w:rPr>
        <w:t> </w:t>
      </w:r>
      <w:r>
        <w:rPr>
          <w:sz w:val="24"/>
        </w:rPr>
        <w:t>retos</w:t>
      </w:r>
      <w:r>
        <w:rPr>
          <w:spacing w:val="-8"/>
          <w:sz w:val="24"/>
        </w:rPr>
        <w:t> </w:t>
      </w:r>
      <w:r>
        <w:rPr>
          <w:sz w:val="24"/>
        </w:rPr>
        <w:t>inherentes</w:t>
      </w:r>
      <w:r>
        <w:rPr>
          <w:spacing w:val="-8"/>
          <w:sz w:val="24"/>
        </w:rPr>
        <w:t> </w:t>
      </w:r>
      <w:r>
        <w:rPr>
          <w:sz w:val="24"/>
        </w:rPr>
        <w:t>a</w:t>
      </w:r>
      <w:r>
        <w:rPr>
          <w:spacing w:val="-7"/>
          <w:sz w:val="24"/>
        </w:rPr>
        <w:t> </w:t>
      </w:r>
      <w:r>
        <w:rPr>
          <w:spacing w:val="-5"/>
          <w:sz w:val="24"/>
        </w:rPr>
        <w:t>la</w:t>
      </w:r>
      <w:r>
        <w:rPr>
          <w:spacing w:val="-7"/>
          <w:sz w:val="24"/>
        </w:rPr>
        <w:t> </w:t>
      </w:r>
      <w:r>
        <w:rPr>
          <w:sz w:val="24"/>
        </w:rPr>
        <w:t>producción,</w:t>
      </w:r>
      <w:r>
        <w:rPr>
          <w:spacing w:val="-5"/>
          <w:sz w:val="24"/>
        </w:rPr>
        <w:t> </w:t>
      </w:r>
      <w:r>
        <w:rPr>
          <w:sz w:val="24"/>
        </w:rPr>
        <w:t>entre</w:t>
      </w:r>
      <w:r>
        <w:rPr>
          <w:spacing w:val="-12"/>
          <w:sz w:val="24"/>
        </w:rPr>
        <w:t> </w:t>
      </w:r>
      <w:r>
        <w:rPr>
          <w:sz w:val="24"/>
        </w:rPr>
        <w:t>los</w:t>
      </w:r>
      <w:r>
        <w:rPr>
          <w:spacing w:val="-8"/>
          <w:sz w:val="24"/>
        </w:rPr>
        <w:t> </w:t>
      </w:r>
      <w:r>
        <w:rPr>
          <w:sz w:val="24"/>
        </w:rPr>
        <w:t>que</w:t>
      </w:r>
      <w:r>
        <w:rPr>
          <w:spacing w:val="-7"/>
          <w:sz w:val="24"/>
        </w:rPr>
        <w:t> </w:t>
      </w:r>
      <w:r>
        <w:rPr>
          <w:sz w:val="24"/>
        </w:rPr>
        <w:t>resalta</w:t>
      </w:r>
      <w:r>
        <w:rPr>
          <w:spacing w:val="-7"/>
          <w:sz w:val="24"/>
        </w:rPr>
        <w:t> </w:t>
      </w:r>
      <w:r>
        <w:rPr>
          <w:sz w:val="24"/>
        </w:rPr>
        <w:t>el</w:t>
      </w:r>
      <w:r>
        <w:rPr>
          <w:spacing w:val="-15"/>
          <w:sz w:val="24"/>
        </w:rPr>
        <w:t> </w:t>
      </w:r>
      <w:r>
        <w:rPr>
          <w:sz w:val="24"/>
        </w:rPr>
        <w:t>diagnóstico</w:t>
      </w:r>
      <w:r>
        <w:rPr>
          <w:spacing w:val="-2"/>
          <w:sz w:val="24"/>
        </w:rPr>
        <w:t> </w:t>
      </w:r>
      <w:r>
        <w:rPr>
          <w:sz w:val="24"/>
        </w:rPr>
        <w:t>oportuno</w:t>
      </w:r>
      <w:r>
        <w:rPr>
          <w:spacing w:val="-2"/>
          <w:sz w:val="24"/>
        </w:rPr>
        <w:t> </w:t>
      </w:r>
      <w:r>
        <w:rPr>
          <w:sz w:val="24"/>
        </w:rPr>
        <w:t>de</w:t>
      </w:r>
    </w:p>
    <w:p>
      <w:pPr>
        <w:pStyle w:val="ListParagraph"/>
        <w:numPr>
          <w:ilvl w:val="0"/>
          <w:numId w:val="14"/>
        </w:numPr>
        <w:tabs>
          <w:tab w:pos="699" w:val="left" w:leader="none"/>
          <w:tab w:pos="700" w:val="left" w:leader="none"/>
        </w:tabs>
        <w:spacing w:line="240" w:lineRule="auto" w:before="134" w:after="0"/>
        <w:ind w:left="699" w:right="0" w:hanging="581"/>
        <w:jc w:val="left"/>
        <w:rPr>
          <w:sz w:val="24"/>
        </w:rPr>
      </w:pPr>
      <w:r>
        <w:rPr>
          <w:sz w:val="24"/>
        </w:rPr>
        <w:t>enfermedades  de  distinta  etiología.   Pese   a  que   </w:t>
      </w:r>
      <w:r>
        <w:rPr>
          <w:spacing w:val="-4"/>
          <w:sz w:val="24"/>
        </w:rPr>
        <w:t>las </w:t>
      </w:r>
      <w:r>
        <w:rPr>
          <w:spacing w:val="52"/>
          <w:sz w:val="24"/>
        </w:rPr>
        <w:t> </w:t>
      </w:r>
      <w:r>
        <w:rPr>
          <w:sz w:val="24"/>
        </w:rPr>
        <w:t>tilapias  tradicionalmente  se  </w:t>
      </w:r>
      <w:r>
        <w:rPr>
          <w:spacing w:val="32"/>
          <w:sz w:val="24"/>
        </w:rPr>
        <w:t> </w:t>
      </w:r>
      <w:r>
        <w:rPr>
          <w:sz w:val="24"/>
        </w:rPr>
        <w:t>han</w:t>
      </w:r>
    </w:p>
    <w:p>
      <w:pPr>
        <w:pStyle w:val="ListParagraph"/>
        <w:numPr>
          <w:ilvl w:val="0"/>
          <w:numId w:val="14"/>
        </w:numPr>
        <w:tabs>
          <w:tab w:pos="699" w:val="left" w:leader="none"/>
          <w:tab w:pos="700" w:val="left" w:leader="none"/>
        </w:tabs>
        <w:spacing w:line="240" w:lineRule="auto" w:before="129" w:after="0"/>
        <w:ind w:left="699" w:right="0" w:hanging="581"/>
        <w:jc w:val="left"/>
        <w:rPr>
          <w:sz w:val="24"/>
        </w:rPr>
      </w:pPr>
      <w:r>
        <w:rPr>
          <w:sz w:val="24"/>
        </w:rPr>
        <w:t>considerado</w:t>
      </w:r>
      <w:r>
        <w:rPr>
          <w:spacing w:val="-10"/>
          <w:sz w:val="24"/>
        </w:rPr>
        <w:t> </w:t>
      </w:r>
      <w:r>
        <w:rPr>
          <w:sz w:val="24"/>
        </w:rPr>
        <w:t>especies</w:t>
      </w:r>
      <w:r>
        <w:rPr>
          <w:spacing w:val="-16"/>
          <w:sz w:val="24"/>
        </w:rPr>
        <w:t> </w:t>
      </w:r>
      <w:r>
        <w:rPr>
          <w:sz w:val="24"/>
        </w:rPr>
        <w:t>resistentes</w:t>
      </w:r>
      <w:r>
        <w:rPr>
          <w:spacing w:val="-16"/>
          <w:sz w:val="24"/>
        </w:rPr>
        <w:t> </w:t>
      </w:r>
      <w:r>
        <w:rPr>
          <w:sz w:val="24"/>
        </w:rPr>
        <w:t>a</w:t>
      </w:r>
      <w:r>
        <w:rPr>
          <w:spacing w:val="-15"/>
          <w:sz w:val="24"/>
        </w:rPr>
        <w:t> </w:t>
      </w:r>
      <w:r>
        <w:rPr>
          <w:sz w:val="24"/>
        </w:rPr>
        <w:t>enfermedades,</w:t>
      </w:r>
      <w:r>
        <w:rPr>
          <w:spacing w:val="-13"/>
          <w:sz w:val="24"/>
        </w:rPr>
        <w:t> </w:t>
      </w:r>
      <w:r>
        <w:rPr>
          <w:sz w:val="24"/>
        </w:rPr>
        <w:t>recientemente</w:t>
      </w:r>
      <w:r>
        <w:rPr>
          <w:spacing w:val="-11"/>
          <w:sz w:val="24"/>
        </w:rPr>
        <w:t> </w:t>
      </w:r>
      <w:r>
        <w:rPr>
          <w:spacing w:val="-5"/>
          <w:sz w:val="24"/>
        </w:rPr>
        <w:t>la</w:t>
      </w:r>
      <w:r>
        <w:rPr>
          <w:spacing w:val="-11"/>
          <w:sz w:val="24"/>
        </w:rPr>
        <w:t> </w:t>
      </w:r>
      <w:r>
        <w:rPr>
          <w:sz w:val="24"/>
        </w:rPr>
        <w:t>francisellosis</w:t>
      </w:r>
      <w:r>
        <w:rPr>
          <w:spacing w:val="-12"/>
          <w:sz w:val="24"/>
        </w:rPr>
        <w:t> </w:t>
      </w:r>
      <w:r>
        <w:rPr>
          <w:sz w:val="24"/>
        </w:rPr>
        <w:t>ha</w:t>
      </w:r>
      <w:r>
        <w:rPr>
          <w:spacing w:val="-15"/>
          <w:sz w:val="24"/>
        </w:rPr>
        <w:t> </w:t>
      </w:r>
      <w:r>
        <w:rPr>
          <w:sz w:val="24"/>
        </w:rPr>
        <w:t>emergido</w:t>
      </w:r>
    </w:p>
    <w:p>
      <w:pPr>
        <w:pStyle w:val="ListParagraph"/>
        <w:numPr>
          <w:ilvl w:val="0"/>
          <w:numId w:val="14"/>
        </w:numPr>
        <w:tabs>
          <w:tab w:pos="699" w:val="left" w:leader="none"/>
          <w:tab w:pos="700" w:val="left" w:leader="none"/>
        </w:tabs>
        <w:spacing w:line="240" w:lineRule="auto" w:before="130" w:after="0"/>
        <w:ind w:left="699" w:right="0" w:hanging="581"/>
        <w:jc w:val="left"/>
        <w:rPr>
          <w:sz w:val="24"/>
        </w:rPr>
      </w:pPr>
      <w:r>
        <w:rPr>
          <w:sz w:val="24"/>
        </w:rPr>
        <w:t>causando enfermedad y mortalidad en peces silvestres y de cultivo en prácticamente todo</w:t>
      </w:r>
      <w:r>
        <w:rPr>
          <w:spacing w:val="5"/>
          <w:sz w:val="24"/>
        </w:rPr>
        <w:t> </w:t>
      </w:r>
      <w:r>
        <w:rPr>
          <w:sz w:val="24"/>
        </w:rPr>
        <w:t>el</w:t>
      </w:r>
    </w:p>
    <w:p>
      <w:pPr>
        <w:pStyle w:val="ListParagraph"/>
        <w:numPr>
          <w:ilvl w:val="0"/>
          <w:numId w:val="14"/>
        </w:numPr>
        <w:tabs>
          <w:tab w:pos="699" w:val="left" w:leader="none"/>
          <w:tab w:pos="700" w:val="left" w:leader="none"/>
        </w:tabs>
        <w:spacing w:line="240" w:lineRule="auto" w:before="129" w:after="0"/>
        <w:ind w:left="699" w:right="0" w:hanging="581"/>
        <w:jc w:val="left"/>
        <w:rPr>
          <w:sz w:val="24"/>
        </w:rPr>
      </w:pPr>
      <w:r>
        <w:rPr>
          <w:sz w:val="24"/>
        </w:rPr>
        <w:t>mundo.</w:t>
      </w:r>
    </w:p>
    <w:p>
      <w:pPr>
        <w:pStyle w:val="ListParagraph"/>
        <w:numPr>
          <w:ilvl w:val="0"/>
          <w:numId w:val="14"/>
        </w:numPr>
        <w:tabs>
          <w:tab w:pos="1405" w:val="left" w:leader="none"/>
          <w:tab w:pos="1406" w:val="left" w:leader="none"/>
        </w:tabs>
        <w:spacing w:line="240" w:lineRule="auto" w:before="129" w:after="0"/>
        <w:ind w:left="1405" w:right="0" w:hanging="1287"/>
        <w:jc w:val="left"/>
        <w:rPr>
          <w:i/>
          <w:sz w:val="24"/>
        </w:rPr>
      </w:pPr>
      <w:r>
        <w:rPr>
          <w:sz w:val="24"/>
        </w:rPr>
        <w:t>La francisellosis en tilapias es causada por el cocobacilo Gram negativo,</w:t>
      </w:r>
      <w:r>
        <w:rPr>
          <w:spacing w:val="-28"/>
          <w:sz w:val="24"/>
        </w:rPr>
        <w:t> </w:t>
      </w:r>
      <w:r>
        <w:rPr>
          <w:i/>
          <w:sz w:val="24"/>
        </w:rPr>
        <w:t>Francisella</w:t>
      </w:r>
    </w:p>
    <w:p>
      <w:pPr>
        <w:pStyle w:val="ListParagraph"/>
        <w:numPr>
          <w:ilvl w:val="0"/>
          <w:numId w:val="14"/>
        </w:numPr>
        <w:tabs>
          <w:tab w:pos="699" w:val="left" w:leader="none"/>
          <w:tab w:pos="700" w:val="left" w:leader="none"/>
        </w:tabs>
        <w:spacing w:line="240" w:lineRule="auto" w:before="134" w:after="0"/>
        <w:ind w:left="699" w:right="0" w:hanging="581"/>
        <w:jc w:val="left"/>
        <w:rPr>
          <w:sz w:val="24"/>
        </w:rPr>
      </w:pPr>
      <w:r>
        <w:rPr>
          <w:i/>
          <w:sz w:val="24"/>
        </w:rPr>
        <w:t>noatunensis</w:t>
      </w:r>
      <w:r>
        <w:rPr>
          <w:i/>
          <w:spacing w:val="-9"/>
          <w:sz w:val="24"/>
        </w:rPr>
        <w:t> </w:t>
      </w:r>
      <w:r>
        <w:rPr>
          <w:sz w:val="24"/>
        </w:rPr>
        <w:t>subsp.</w:t>
      </w:r>
      <w:r>
        <w:rPr>
          <w:spacing w:val="-6"/>
          <w:sz w:val="24"/>
        </w:rPr>
        <w:t> </w:t>
      </w:r>
      <w:r>
        <w:rPr>
          <w:i/>
          <w:sz w:val="24"/>
        </w:rPr>
        <w:t>orientalis</w:t>
      </w:r>
      <w:r>
        <w:rPr>
          <w:i/>
          <w:spacing w:val="-9"/>
          <w:sz w:val="24"/>
        </w:rPr>
        <w:t> </w:t>
      </w:r>
      <w:r>
        <w:rPr>
          <w:sz w:val="24"/>
        </w:rPr>
        <w:t>una</w:t>
      </w:r>
      <w:r>
        <w:rPr>
          <w:spacing w:val="-9"/>
          <w:sz w:val="24"/>
        </w:rPr>
        <w:t> </w:t>
      </w:r>
      <w:r>
        <w:rPr>
          <w:sz w:val="24"/>
        </w:rPr>
        <w:t>bacteria</w:t>
      </w:r>
      <w:r>
        <w:rPr>
          <w:spacing w:val="-5"/>
          <w:sz w:val="24"/>
        </w:rPr>
        <w:t> </w:t>
      </w:r>
      <w:r>
        <w:rPr>
          <w:sz w:val="24"/>
        </w:rPr>
        <w:t>intracelular</w:t>
      </w:r>
      <w:r>
        <w:rPr>
          <w:spacing w:val="-3"/>
          <w:sz w:val="24"/>
        </w:rPr>
        <w:t> </w:t>
      </w:r>
      <w:r>
        <w:rPr>
          <w:sz w:val="24"/>
        </w:rPr>
        <w:t>facultativa,</w:t>
      </w:r>
      <w:r>
        <w:rPr>
          <w:spacing w:val="-2"/>
          <w:sz w:val="24"/>
        </w:rPr>
        <w:t> </w:t>
      </w:r>
      <w:r>
        <w:rPr>
          <w:sz w:val="24"/>
        </w:rPr>
        <w:t>inmóvil,</w:t>
      </w:r>
      <w:r>
        <w:rPr>
          <w:spacing w:val="-7"/>
          <w:sz w:val="24"/>
        </w:rPr>
        <w:t> </w:t>
      </w:r>
      <w:r>
        <w:rPr>
          <w:sz w:val="24"/>
        </w:rPr>
        <w:t>aerobia</w:t>
      </w:r>
      <w:r>
        <w:rPr>
          <w:spacing w:val="-9"/>
          <w:sz w:val="24"/>
        </w:rPr>
        <w:t> </w:t>
      </w:r>
      <w:r>
        <w:rPr>
          <w:sz w:val="24"/>
        </w:rPr>
        <w:t>estricta</w:t>
      </w:r>
      <w:r>
        <w:rPr>
          <w:spacing w:val="-5"/>
          <w:sz w:val="24"/>
        </w:rPr>
        <w:t> </w:t>
      </w:r>
      <w:r>
        <w:rPr>
          <w:sz w:val="24"/>
        </w:rPr>
        <w:t>y</w:t>
      </w:r>
    </w:p>
    <w:p>
      <w:pPr>
        <w:pStyle w:val="ListParagraph"/>
        <w:numPr>
          <w:ilvl w:val="0"/>
          <w:numId w:val="14"/>
        </w:numPr>
        <w:tabs>
          <w:tab w:pos="699" w:val="left" w:leader="none"/>
          <w:tab w:pos="700" w:val="left" w:leader="none"/>
        </w:tabs>
        <w:spacing w:line="240" w:lineRule="auto" w:before="130" w:after="0"/>
        <w:ind w:left="699" w:right="0" w:hanging="581"/>
        <w:jc w:val="left"/>
        <w:rPr>
          <w:sz w:val="24"/>
        </w:rPr>
      </w:pPr>
      <w:r>
        <w:rPr>
          <w:sz w:val="24"/>
        </w:rPr>
        <w:t>altamente infectiva, que </w:t>
      </w:r>
      <w:r>
        <w:rPr>
          <w:spacing w:val="-3"/>
          <w:sz w:val="24"/>
        </w:rPr>
        <w:t>ha </w:t>
      </w:r>
      <w:r>
        <w:rPr>
          <w:sz w:val="24"/>
        </w:rPr>
        <w:t>sido reportada en varias partes del mundo, afectando a peces</w:t>
      </w:r>
      <w:r>
        <w:rPr>
          <w:spacing w:val="5"/>
          <w:sz w:val="24"/>
        </w:rPr>
        <w:t> </w:t>
      </w:r>
      <w:r>
        <w:rPr>
          <w:sz w:val="24"/>
        </w:rPr>
        <w:t>del</w:t>
      </w:r>
    </w:p>
    <w:p>
      <w:pPr>
        <w:pStyle w:val="ListParagraph"/>
        <w:numPr>
          <w:ilvl w:val="0"/>
          <w:numId w:val="14"/>
        </w:numPr>
        <w:tabs>
          <w:tab w:pos="699" w:val="left" w:leader="none"/>
          <w:tab w:pos="700" w:val="left" w:leader="none"/>
        </w:tabs>
        <w:spacing w:line="240" w:lineRule="auto" w:before="129" w:after="0"/>
        <w:ind w:left="699" w:right="0" w:hanging="581"/>
        <w:jc w:val="left"/>
        <w:rPr>
          <w:sz w:val="24"/>
        </w:rPr>
      </w:pPr>
      <w:r>
        <w:rPr>
          <w:sz w:val="24"/>
        </w:rPr>
        <w:t>genero</w:t>
      </w:r>
      <w:r>
        <w:rPr>
          <w:spacing w:val="21"/>
          <w:sz w:val="24"/>
        </w:rPr>
        <w:t> </w:t>
      </w:r>
      <w:r>
        <w:rPr>
          <w:sz w:val="24"/>
        </w:rPr>
        <w:t>tilapia</w:t>
      </w:r>
      <w:r>
        <w:rPr>
          <w:spacing w:val="16"/>
          <w:sz w:val="24"/>
        </w:rPr>
        <w:t> </w:t>
      </w:r>
      <w:r>
        <w:rPr>
          <w:sz w:val="24"/>
        </w:rPr>
        <w:t>de</w:t>
      </w:r>
      <w:r>
        <w:rPr>
          <w:spacing w:val="18"/>
          <w:sz w:val="24"/>
        </w:rPr>
        <w:t> </w:t>
      </w:r>
      <w:r>
        <w:rPr>
          <w:sz w:val="24"/>
        </w:rPr>
        <w:t>diferentes</w:t>
      </w:r>
      <w:r>
        <w:rPr>
          <w:spacing w:val="15"/>
          <w:sz w:val="24"/>
        </w:rPr>
        <w:t> </w:t>
      </w:r>
      <w:r>
        <w:rPr>
          <w:sz w:val="24"/>
        </w:rPr>
        <w:t>etapas</w:t>
      </w:r>
      <w:r>
        <w:rPr>
          <w:spacing w:val="15"/>
          <w:sz w:val="24"/>
        </w:rPr>
        <w:t> </w:t>
      </w:r>
      <w:r>
        <w:rPr>
          <w:sz w:val="24"/>
        </w:rPr>
        <w:t>de</w:t>
      </w:r>
      <w:r>
        <w:rPr>
          <w:spacing w:val="16"/>
          <w:sz w:val="24"/>
        </w:rPr>
        <w:t> </w:t>
      </w:r>
      <w:r>
        <w:rPr>
          <w:sz w:val="24"/>
        </w:rPr>
        <w:t>desarrollo</w:t>
      </w:r>
      <w:r>
        <w:rPr>
          <w:spacing w:val="21"/>
          <w:sz w:val="24"/>
        </w:rPr>
        <w:t> </w:t>
      </w:r>
      <w:r>
        <w:rPr>
          <w:sz w:val="24"/>
        </w:rPr>
        <w:t>tanto</w:t>
      </w:r>
      <w:r>
        <w:rPr>
          <w:spacing w:val="21"/>
          <w:sz w:val="24"/>
        </w:rPr>
        <w:t> </w:t>
      </w:r>
      <w:r>
        <w:rPr>
          <w:sz w:val="24"/>
        </w:rPr>
        <w:t>en</w:t>
      </w:r>
      <w:r>
        <w:rPr>
          <w:spacing w:val="18"/>
          <w:sz w:val="24"/>
        </w:rPr>
        <w:t> </w:t>
      </w:r>
      <w:r>
        <w:rPr>
          <w:sz w:val="24"/>
        </w:rPr>
        <w:t>condiciones</w:t>
      </w:r>
      <w:r>
        <w:rPr>
          <w:spacing w:val="15"/>
          <w:sz w:val="24"/>
        </w:rPr>
        <w:t> </w:t>
      </w:r>
      <w:r>
        <w:rPr>
          <w:sz w:val="24"/>
        </w:rPr>
        <w:t>de</w:t>
      </w:r>
      <w:r>
        <w:rPr>
          <w:spacing w:val="16"/>
          <w:sz w:val="24"/>
        </w:rPr>
        <w:t> </w:t>
      </w:r>
      <w:r>
        <w:rPr>
          <w:sz w:val="24"/>
        </w:rPr>
        <w:t>agua</w:t>
      </w:r>
      <w:r>
        <w:rPr>
          <w:spacing w:val="16"/>
          <w:sz w:val="24"/>
        </w:rPr>
        <w:t> </w:t>
      </w:r>
      <w:r>
        <w:rPr>
          <w:sz w:val="24"/>
        </w:rPr>
        <w:t>dulce</w:t>
      </w:r>
      <w:r>
        <w:rPr>
          <w:spacing w:val="16"/>
          <w:sz w:val="24"/>
        </w:rPr>
        <w:t> </w:t>
      </w:r>
      <w:r>
        <w:rPr>
          <w:sz w:val="24"/>
        </w:rPr>
        <w:t>como</w:t>
      </w:r>
    </w:p>
    <w:p>
      <w:pPr>
        <w:pStyle w:val="ListParagraph"/>
        <w:numPr>
          <w:ilvl w:val="0"/>
          <w:numId w:val="14"/>
        </w:numPr>
        <w:tabs>
          <w:tab w:pos="699" w:val="left" w:leader="none"/>
          <w:tab w:pos="700" w:val="left" w:leader="none"/>
        </w:tabs>
        <w:spacing w:line="240" w:lineRule="auto" w:before="129" w:after="0"/>
        <w:ind w:left="699" w:right="0" w:hanging="581"/>
        <w:jc w:val="left"/>
        <w:rPr>
          <w:sz w:val="24"/>
        </w:rPr>
      </w:pPr>
      <w:r>
        <w:rPr>
          <w:sz w:val="24"/>
        </w:rPr>
        <w:t>salobre; se </w:t>
      </w:r>
      <w:r>
        <w:rPr>
          <w:spacing w:val="-3"/>
          <w:sz w:val="24"/>
        </w:rPr>
        <w:t>ha </w:t>
      </w:r>
      <w:r>
        <w:rPr>
          <w:sz w:val="24"/>
        </w:rPr>
        <w:t>informado que 23 bacterias son suficientes para iniciar infección y</w:t>
      </w:r>
      <w:r>
        <w:rPr>
          <w:spacing w:val="-31"/>
          <w:sz w:val="24"/>
        </w:rPr>
        <w:t> </w:t>
      </w:r>
      <w:r>
        <w:rPr>
          <w:sz w:val="24"/>
        </w:rPr>
        <w:t>desarrollar</w:t>
      </w:r>
    </w:p>
    <w:p>
      <w:pPr>
        <w:pStyle w:val="ListParagraph"/>
        <w:numPr>
          <w:ilvl w:val="0"/>
          <w:numId w:val="14"/>
        </w:numPr>
        <w:tabs>
          <w:tab w:pos="699" w:val="left" w:leader="none"/>
          <w:tab w:pos="700" w:val="left" w:leader="none"/>
        </w:tabs>
        <w:spacing w:line="240" w:lineRule="auto" w:before="134" w:after="0"/>
        <w:ind w:left="699" w:right="0" w:hanging="581"/>
        <w:jc w:val="left"/>
        <w:rPr>
          <w:sz w:val="24"/>
        </w:rPr>
      </w:pPr>
      <w:r>
        <w:rPr>
          <w:sz w:val="24"/>
        </w:rPr>
        <w:t>enfermedad (Soto y </w:t>
      </w:r>
      <w:r>
        <w:rPr>
          <w:spacing w:val="2"/>
          <w:sz w:val="24"/>
        </w:rPr>
        <w:t>col </w:t>
      </w:r>
      <w:r>
        <w:rPr>
          <w:sz w:val="24"/>
        </w:rPr>
        <w:t>2009a;</w:t>
      </w:r>
      <w:r>
        <w:rPr>
          <w:spacing w:val="-22"/>
          <w:sz w:val="24"/>
        </w:rPr>
        <w:t> </w:t>
      </w:r>
      <w:r>
        <w:rPr>
          <w:sz w:val="24"/>
        </w:rPr>
        <w:t>2009b).</w:t>
      </w:r>
    </w:p>
    <w:p>
      <w:pPr>
        <w:spacing w:after="0" w:line="240" w:lineRule="auto"/>
        <w:jc w:val="left"/>
        <w:rPr>
          <w:sz w:val="24"/>
        </w:rPr>
        <w:sectPr>
          <w:pgSz w:w="12240" w:h="15840"/>
          <w:pgMar w:header="752" w:footer="1003" w:top="1000" w:bottom="1200" w:left="1000" w:right="1560"/>
        </w:sectPr>
      </w:pPr>
    </w:p>
    <w:p>
      <w:pPr>
        <w:pStyle w:val="BodyText"/>
        <w:spacing w:before="8"/>
        <w:rPr>
          <w:rFonts w:ascii="Times New Roman"/>
          <w:sz w:val="28"/>
        </w:rPr>
      </w:pPr>
    </w:p>
    <w:p>
      <w:pPr>
        <w:pStyle w:val="ListParagraph"/>
        <w:numPr>
          <w:ilvl w:val="1"/>
          <w:numId w:val="14"/>
        </w:numPr>
        <w:tabs>
          <w:tab w:pos="1405" w:val="left" w:leader="none"/>
          <w:tab w:pos="1406" w:val="left" w:leader="none"/>
        </w:tabs>
        <w:spacing w:line="240" w:lineRule="auto" w:before="70" w:after="0"/>
        <w:ind w:left="1405" w:right="0" w:hanging="1176"/>
        <w:jc w:val="left"/>
        <w:rPr>
          <w:sz w:val="24"/>
        </w:rPr>
      </w:pPr>
      <w:r>
        <w:rPr>
          <w:sz w:val="24"/>
        </w:rPr>
        <w:t>Los  peces  afectados  por   francisellosis   inicialmente   muestran  disminución  </w:t>
      </w:r>
      <w:r>
        <w:rPr>
          <w:spacing w:val="33"/>
          <w:sz w:val="24"/>
        </w:rPr>
        <w:t> </w:t>
      </w:r>
      <w:r>
        <w:rPr>
          <w:sz w:val="24"/>
        </w:rPr>
        <w:t>de</w:t>
      </w:r>
    </w:p>
    <w:p>
      <w:pPr>
        <w:pStyle w:val="ListParagraph"/>
        <w:numPr>
          <w:ilvl w:val="1"/>
          <w:numId w:val="14"/>
        </w:numPr>
        <w:tabs>
          <w:tab w:pos="699" w:val="left" w:leader="none"/>
          <w:tab w:pos="700" w:val="left" w:leader="none"/>
        </w:tabs>
        <w:spacing w:line="240" w:lineRule="auto" w:before="134" w:after="0"/>
        <w:ind w:left="699" w:right="0" w:hanging="470"/>
        <w:jc w:val="left"/>
        <w:rPr>
          <w:sz w:val="24"/>
        </w:rPr>
      </w:pPr>
      <w:r>
        <w:rPr>
          <w:sz w:val="24"/>
        </w:rPr>
        <w:t>actividad y nado lento, dejan de comer pero </w:t>
      </w:r>
      <w:r>
        <w:rPr>
          <w:spacing w:val="-3"/>
          <w:sz w:val="24"/>
        </w:rPr>
        <w:t>no </w:t>
      </w:r>
      <w:r>
        <w:rPr>
          <w:sz w:val="24"/>
        </w:rPr>
        <w:t>muestran anormalidad externa. Conforme</w:t>
      </w:r>
      <w:r>
        <w:rPr>
          <w:spacing w:val="21"/>
          <w:sz w:val="24"/>
        </w:rPr>
        <w:t> </w:t>
      </w:r>
      <w:r>
        <w:rPr>
          <w:spacing w:val="-3"/>
          <w:sz w:val="24"/>
        </w:rPr>
        <w:t>la</w:t>
      </w:r>
    </w:p>
    <w:p>
      <w:pPr>
        <w:pStyle w:val="ListParagraph"/>
        <w:numPr>
          <w:ilvl w:val="1"/>
          <w:numId w:val="14"/>
        </w:numPr>
        <w:tabs>
          <w:tab w:pos="699" w:val="left" w:leader="none"/>
          <w:tab w:pos="700" w:val="left" w:leader="none"/>
        </w:tabs>
        <w:spacing w:line="240" w:lineRule="auto" w:before="129" w:after="0"/>
        <w:ind w:left="699" w:right="0" w:hanging="470"/>
        <w:jc w:val="left"/>
        <w:rPr>
          <w:sz w:val="24"/>
        </w:rPr>
      </w:pPr>
      <w:r>
        <w:rPr>
          <w:sz w:val="24"/>
        </w:rPr>
        <w:t>infección</w:t>
      </w:r>
      <w:r>
        <w:rPr>
          <w:spacing w:val="18"/>
          <w:sz w:val="24"/>
        </w:rPr>
        <w:t> </w:t>
      </w:r>
      <w:r>
        <w:rPr>
          <w:sz w:val="24"/>
        </w:rPr>
        <w:t>avanza,</w:t>
      </w:r>
      <w:r>
        <w:rPr>
          <w:spacing w:val="30"/>
          <w:sz w:val="24"/>
        </w:rPr>
        <w:t> </w:t>
      </w:r>
      <w:r>
        <w:rPr>
          <w:sz w:val="24"/>
        </w:rPr>
        <w:t>los</w:t>
      </w:r>
      <w:r>
        <w:rPr>
          <w:spacing w:val="21"/>
          <w:sz w:val="24"/>
        </w:rPr>
        <w:t> </w:t>
      </w:r>
      <w:r>
        <w:rPr>
          <w:sz w:val="24"/>
        </w:rPr>
        <w:t>peces</w:t>
      </w:r>
      <w:r>
        <w:rPr>
          <w:spacing w:val="21"/>
          <w:sz w:val="24"/>
        </w:rPr>
        <w:t> </w:t>
      </w:r>
      <w:r>
        <w:rPr>
          <w:sz w:val="24"/>
        </w:rPr>
        <w:t>se</w:t>
      </w:r>
      <w:r>
        <w:rPr>
          <w:spacing w:val="22"/>
          <w:sz w:val="24"/>
        </w:rPr>
        <w:t> </w:t>
      </w:r>
      <w:r>
        <w:rPr>
          <w:sz w:val="24"/>
        </w:rPr>
        <w:t>pueden</w:t>
      </w:r>
      <w:r>
        <w:rPr>
          <w:spacing w:val="18"/>
          <w:sz w:val="24"/>
        </w:rPr>
        <w:t> </w:t>
      </w:r>
      <w:r>
        <w:rPr>
          <w:sz w:val="24"/>
        </w:rPr>
        <w:t>observar</w:t>
      </w:r>
      <w:r>
        <w:rPr>
          <w:spacing w:val="24"/>
          <w:sz w:val="24"/>
        </w:rPr>
        <w:t> </w:t>
      </w:r>
      <w:r>
        <w:rPr>
          <w:sz w:val="24"/>
        </w:rPr>
        <w:t>en</w:t>
      </w:r>
      <w:r>
        <w:rPr>
          <w:spacing w:val="23"/>
          <w:sz w:val="24"/>
        </w:rPr>
        <w:t> </w:t>
      </w:r>
      <w:r>
        <w:rPr>
          <w:spacing w:val="-5"/>
          <w:sz w:val="24"/>
        </w:rPr>
        <w:t>la</w:t>
      </w:r>
      <w:r>
        <w:rPr>
          <w:spacing w:val="22"/>
          <w:sz w:val="24"/>
        </w:rPr>
        <w:t> </w:t>
      </w:r>
      <w:r>
        <w:rPr>
          <w:sz w:val="24"/>
        </w:rPr>
        <w:t>superficie</w:t>
      </w:r>
      <w:r>
        <w:rPr>
          <w:spacing w:val="22"/>
          <w:sz w:val="24"/>
        </w:rPr>
        <w:t> </w:t>
      </w:r>
      <w:r>
        <w:rPr>
          <w:sz w:val="24"/>
        </w:rPr>
        <w:t>de</w:t>
      </w:r>
      <w:r>
        <w:rPr>
          <w:spacing w:val="27"/>
          <w:sz w:val="24"/>
        </w:rPr>
        <w:t> </w:t>
      </w:r>
      <w:r>
        <w:rPr>
          <w:spacing w:val="-5"/>
          <w:sz w:val="24"/>
        </w:rPr>
        <w:t>la</w:t>
      </w:r>
      <w:r>
        <w:rPr>
          <w:spacing w:val="22"/>
          <w:sz w:val="24"/>
        </w:rPr>
        <w:t> </w:t>
      </w:r>
      <w:r>
        <w:rPr>
          <w:sz w:val="24"/>
        </w:rPr>
        <w:t>columna</w:t>
      </w:r>
      <w:r>
        <w:rPr>
          <w:spacing w:val="22"/>
          <w:sz w:val="24"/>
        </w:rPr>
        <w:t> </w:t>
      </w:r>
      <w:r>
        <w:rPr>
          <w:sz w:val="24"/>
        </w:rPr>
        <w:t>del</w:t>
      </w:r>
      <w:r>
        <w:rPr>
          <w:spacing w:val="14"/>
          <w:sz w:val="24"/>
        </w:rPr>
        <w:t> </w:t>
      </w:r>
      <w:r>
        <w:rPr>
          <w:sz w:val="24"/>
        </w:rPr>
        <w:t>agua</w:t>
      </w:r>
      <w:r>
        <w:rPr>
          <w:spacing w:val="22"/>
          <w:sz w:val="24"/>
        </w:rPr>
        <w:t> </w:t>
      </w:r>
      <w:r>
        <w:rPr>
          <w:sz w:val="24"/>
        </w:rPr>
        <w:t>o</w:t>
      </w:r>
    </w:p>
    <w:p>
      <w:pPr>
        <w:pStyle w:val="ListParagraph"/>
        <w:numPr>
          <w:ilvl w:val="1"/>
          <w:numId w:val="14"/>
        </w:numPr>
        <w:tabs>
          <w:tab w:pos="699" w:val="left" w:leader="none"/>
          <w:tab w:pos="700" w:val="left" w:leader="none"/>
        </w:tabs>
        <w:spacing w:line="240" w:lineRule="auto" w:before="130" w:after="0"/>
        <w:ind w:left="699" w:right="0" w:hanging="470"/>
        <w:jc w:val="left"/>
        <w:rPr>
          <w:sz w:val="24"/>
        </w:rPr>
      </w:pPr>
      <w:r>
        <w:rPr>
          <w:sz w:val="24"/>
        </w:rPr>
        <w:t>cercanos  a  </w:t>
      </w:r>
      <w:r>
        <w:rPr>
          <w:spacing w:val="-5"/>
          <w:sz w:val="24"/>
        </w:rPr>
        <w:t>la  </w:t>
      </w:r>
      <w:r>
        <w:rPr>
          <w:sz w:val="24"/>
        </w:rPr>
        <w:t>fuente  de  aireación,  boqueo;  pueden  mostrar  lesiones  en  piel  y   </w:t>
      </w:r>
      <w:r>
        <w:rPr>
          <w:spacing w:val="42"/>
          <w:sz w:val="24"/>
        </w:rPr>
        <w:t> </w:t>
      </w:r>
      <w:r>
        <w:rPr>
          <w:sz w:val="24"/>
        </w:rPr>
        <w:t>aletas</w:t>
      </w:r>
    </w:p>
    <w:p>
      <w:pPr>
        <w:pStyle w:val="ListParagraph"/>
        <w:numPr>
          <w:ilvl w:val="1"/>
          <w:numId w:val="14"/>
        </w:numPr>
        <w:tabs>
          <w:tab w:pos="699" w:val="left" w:leader="none"/>
          <w:tab w:pos="700" w:val="left" w:leader="none"/>
        </w:tabs>
        <w:spacing w:line="240" w:lineRule="auto" w:before="129" w:after="0"/>
        <w:ind w:left="699" w:right="0" w:hanging="470"/>
        <w:jc w:val="left"/>
        <w:rPr>
          <w:sz w:val="24"/>
        </w:rPr>
      </w:pPr>
      <w:r>
        <w:rPr>
          <w:sz w:val="24"/>
        </w:rPr>
        <w:t>deshilachadas.</w:t>
      </w:r>
      <w:r>
        <w:rPr>
          <w:spacing w:val="-10"/>
          <w:sz w:val="24"/>
        </w:rPr>
        <w:t> </w:t>
      </w:r>
      <w:r>
        <w:rPr>
          <w:sz w:val="24"/>
        </w:rPr>
        <w:t>Al</w:t>
      </w:r>
      <w:r>
        <w:rPr>
          <w:spacing w:val="-12"/>
          <w:sz w:val="24"/>
        </w:rPr>
        <w:t> </w:t>
      </w:r>
      <w:r>
        <w:rPr>
          <w:sz w:val="24"/>
        </w:rPr>
        <w:t>inspeccionar</w:t>
      </w:r>
      <w:r>
        <w:rPr>
          <w:spacing w:val="-5"/>
          <w:sz w:val="24"/>
        </w:rPr>
        <w:t> la</w:t>
      </w:r>
      <w:r>
        <w:rPr>
          <w:spacing w:val="-13"/>
          <w:sz w:val="24"/>
        </w:rPr>
        <w:t> </w:t>
      </w:r>
      <w:r>
        <w:rPr>
          <w:sz w:val="24"/>
        </w:rPr>
        <w:t>cavidad</w:t>
      </w:r>
      <w:r>
        <w:rPr>
          <w:spacing w:val="-12"/>
          <w:sz w:val="24"/>
        </w:rPr>
        <w:t> </w:t>
      </w:r>
      <w:r>
        <w:rPr>
          <w:sz w:val="24"/>
        </w:rPr>
        <w:t>corporal</w:t>
      </w:r>
      <w:r>
        <w:rPr>
          <w:spacing w:val="-20"/>
          <w:sz w:val="24"/>
        </w:rPr>
        <w:t> </w:t>
      </w:r>
      <w:r>
        <w:rPr>
          <w:sz w:val="24"/>
        </w:rPr>
        <w:t>se</w:t>
      </w:r>
      <w:r>
        <w:rPr>
          <w:spacing w:val="-13"/>
          <w:sz w:val="24"/>
        </w:rPr>
        <w:t> </w:t>
      </w:r>
      <w:r>
        <w:rPr>
          <w:sz w:val="24"/>
        </w:rPr>
        <w:t>puede</w:t>
      </w:r>
      <w:r>
        <w:rPr>
          <w:spacing w:val="-13"/>
          <w:sz w:val="24"/>
        </w:rPr>
        <w:t> </w:t>
      </w:r>
      <w:r>
        <w:rPr>
          <w:sz w:val="24"/>
        </w:rPr>
        <w:t>observar</w:t>
      </w:r>
      <w:r>
        <w:rPr>
          <w:spacing w:val="-10"/>
          <w:sz w:val="24"/>
        </w:rPr>
        <w:t> </w:t>
      </w:r>
      <w:r>
        <w:rPr>
          <w:sz w:val="24"/>
        </w:rPr>
        <w:t>agrandamiento</w:t>
      </w:r>
      <w:r>
        <w:rPr>
          <w:spacing w:val="-7"/>
          <w:sz w:val="24"/>
        </w:rPr>
        <w:t> </w:t>
      </w:r>
      <w:r>
        <w:rPr>
          <w:sz w:val="24"/>
        </w:rPr>
        <w:t>de</w:t>
      </w:r>
      <w:r>
        <w:rPr>
          <w:spacing w:val="-13"/>
          <w:sz w:val="24"/>
        </w:rPr>
        <w:t> </w:t>
      </w:r>
      <w:r>
        <w:rPr>
          <w:sz w:val="24"/>
        </w:rPr>
        <w:t>bazo</w:t>
      </w:r>
    </w:p>
    <w:p>
      <w:pPr>
        <w:pStyle w:val="ListParagraph"/>
        <w:numPr>
          <w:ilvl w:val="1"/>
          <w:numId w:val="14"/>
        </w:numPr>
        <w:tabs>
          <w:tab w:pos="699" w:val="left" w:leader="none"/>
          <w:tab w:pos="700" w:val="left" w:leader="none"/>
        </w:tabs>
        <w:spacing w:line="240" w:lineRule="auto" w:before="134" w:after="0"/>
        <w:ind w:left="699" w:right="0" w:hanging="470"/>
        <w:jc w:val="left"/>
        <w:rPr>
          <w:sz w:val="24"/>
        </w:rPr>
      </w:pPr>
      <w:r>
        <w:rPr>
          <w:sz w:val="24"/>
        </w:rPr>
        <w:t>con</w:t>
      </w:r>
      <w:r>
        <w:rPr>
          <w:spacing w:val="18"/>
          <w:sz w:val="24"/>
        </w:rPr>
        <w:t> </w:t>
      </w:r>
      <w:r>
        <w:rPr>
          <w:sz w:val="24"/>
        </w:rPr>
        <w:t>presencia</w:t>
      </w:r>
      <w:r>
        <w:rPr>
          <w:spacing w:val="22"/>
          <w:sz w:val="24"/>
        </w:rPr>
        <w:t> </w:t>
      </w:r>
      <w:r>
        <w:rPr>
          <w:sz w:val="24"/>
        </w:rPr>
        <w:t>de</w:t>
      </w:r>
      <w:r>
        <w:rPr>
          <w:spacing w:val="22"/>
          <w:sz w:val="24"/>
        </w:rPr>
        <w:t> </w:t>
      </w:r>
      <w:r>
        <w:rPr>
          <w:sz w:val="24"/>
        </w:rPr>
        <w:t>nódulos</w:t>
      </w:r>
      <w:r>
        <w:rPr>
          <w:spacing w:val="21"/>
          <w:sz w:val="24"/>
        </w:rPr>
        <w:t> </w:t>
      </w:r>
      <w:r>
        <w:rPr>
          <w:sz w:val="24"/>
        </w:rPr>
        <w:t>blanquecinos</w:t>
      </w:r>
      <w:r>
        <w:rPr>
          <w:spacing w:val="21"/>
          <w:sz w:val="24"/>
        </w:rPr>
        <w:t> </w:t>
      </w:r>
      <w:r>
        <w:rPr>
          <w:sz w:val="24"/>
        </w:rPr>
        <w:t>de</w:t>
      </w:r>
      <w:r>
        <w:rPr>
          <w:spacing w:val="22"/>
          <w:sz w:val="24"/>
        </w:rPr>
        <w:t> </w:t>
      </w:r>
      <w:r>
        <w:rPr>
          <w:sz w:val="24"/>
        </w:rPr>
        <w:t>distinto</w:t>
      </w:r>
      <w:r>
        <w:rPr>
          <w:spacing w:val="22"/>
          <w:sz w:val="24"/>
        </w:rPr>
        <w:t> </w:t>
      </w:r>
      <w:r>
        <w:rPr>
          <w:sz w:val="24"/>
        </w:rPr>
        <w:t>tamaño,</w:t>
      </w:r>
      <w:r>
        <w:rPr>
          <w:spacing w:val="25"/>
          <w:sz w:val="24"/>
        </w:rPr>
        <w:t> </w:t>
      </w:r>
      <w:r>
        <w:rPr>
          <w:sz w:val="24"/>
        </w:rPr>
        <w:t>los</w:t>
      </w:r>
      <w:r>
        <w:rPr>
          <w:spacing w:val="21"/>
          <w:sz w:val="24"/>
        </w:rPr>
        <w:t> </w:t>
      </w:r>
      <w:r>
        <w:rPr>
          <w:sz w:val="24"/>
        </w:rPr>
        <w:t>cuales</w:t>
      </w:r>
      <w:r>
        <w:rPr>
          <w:spacing w:val="21"/>
          <w:sz w:val="24"/>
        </w:rPr>
        <w:t> </w:t>
      </w:r>
      <w:r>
        <w:rPr>
          <w:sz w:val="24"/>
        </w:rPr>
        <w:t>se</w:t>
      </w:r>
      <w:r>
        <w:rPr>
          <w:spacing w:val="22"/>
          <w:sz w:val="24"/>
        </w:rPr>
        <w:t> </w:t>
      </w:r>
      <w:r>
        <w:rPr>
          <w:sz w:val="24"/>
        </w:rPr>
        <w:t>pueden</w:t>
      </w:r>
      <w:r>
        <w:rPr>
          <w:spacing w:val="18"/>
          <w:sz w:val="24"/>
        </w:rPr>
        <w:t> </w:t>
      </w:r>
      <w:r>
        <w:rPr>
          <w:sz w:val="24"/>
        </w:rPr>
        <w:t>observar</w:t>
      </w:r>
    </w:p>
    <w:p>
      <w:pPr>
        <w:pStyle w:val="ListParagraph"/>
        <w:numPr>
          <w:ilvl w:val="1"/>
          <w:numId w:val="14"/>
        </w:numPr>
        <w:tabs>
          <w:tab w:pos="699" w:val="left" w:leader="none"/>
          <w:tab w:pos="700" w:val="left" w:leader="none"/>
        </w:tabs>
        <w:spacing w:line="240" w:lineRule="auto" w:before="129" w:after="0"/>
        <w:ind w:left="699" w:right="0" w:hanging="470"/>
        <w:jc w:val="left"/>
        <w:rPr>
          <w:sz w:val="24"/>
        </w:rPr>
      </w:pPr>
      <w:r>
        <w:rPr>
          <w:sz w:val="24"/>
        </w:rPr>
        <w:t>también</w:t>
      </w:r>
      <w:r>
        <w:rPr>
          <w:spacing w:val="-13"/>
          <w:sz w:val="24"/>
        </w:rPr>
        <w:t> </w:t>
      </w:r>
      <w:r>
        <w:rPr>
          <w:sz w:val="24"/>
        </w:rPr>
        <w:t>en</w:t>
      </w:r>
      <w:r>
        <w:rPr>
          <w:spacing w:val="-13"/>
          <w:sz w:val="24"/>
        </w:rPr>
        <w:t> </w:t>
      </w:r>
      <w:r>
        <w:rPr>
          <w:sz w:val="24"/>
        </w:rPr>
        <w:t>riñón</w:t>
      </w:r>
      <w:r>
        <w:rPr>
          <w:spacing w:val="-13"/>
          <w:sz w:val="24"/>
        </w:rPr>
        <w:t> </w:t>
      </w:r>
      <w:r>
        <w:rPr>
          <w:sz w:val="24"/>
        </w:rPr>
        <w:t>e</w:t>
      </w:r>
      <w:r>
        <w:rPr>
          <w:spacing w:val="-9"/>
          <w:sz w:val="24"/>
        </w:rPr>
        <w:t> </w:t>
      </w:r>
      <w:r>
        <w:rPr>
          <w:sz w:val="24"/>
        </w:rPr>
        <w:t>hígado,</w:t>
      </w:r>
      <w:r>
        <w:rPr>
          <w:spacing w:val="-6"/>
          <w:sz w:val="24"/>
        </w:rPr>
        <w:t> </w:t>
      </w:r>
      <w:r>
        <w:rPr>
          <w:sz w:val="24"/>
        </w:rPr>
        <w:t>con</w:t>
      </w:r>
      <w:r>
        <w:rPr>
          <w:spacing w:val="-4"/>
          <w:sz w:val="24"/>
        </w:rPr>
        <w:t> </w:t>
      </w:r>
      <w:r>
        <w:rPr>
          <w:sz w:val="24"/>
        </w:rPr>
        <w:t>menor</w:t>
      </w:r>
      <w:r>
        <w:rPr>
          <w:spacing w:val="-6"/>
          <w:sz w:val="24"/>
        </w:rPr>
        <w:t> </w:t>
      </w:r>
      <w:r>
        <w:rPr>
          <w:sz w:val="24"/>
        </w:rPr>
        <w:t>frecuencia</w:t>
      </w:r>
      <w:r>
        <w:rPr>
          <w:spacing w:val="-9"/>
          <w:sz w:val="24"/>
        </w:rPr>
        <w:t> </w:t>
      </w:r>
      <w:r>
        <w:rPr>
          <w:sz w:val="24"/>
        </w:rPr>
        <w:t>en</w:t>
      </w:r>
      <w:r>
        <w:rPr>
          <w:spacing w:val="-13"/>
          <w:sz w:val="24"/>
        </w:rPr>
        <w:t> </w:t>
      </w:r>
      <w:r>
        <w:rPr>
          <w:sz w:val="24"/>
        </w:rPr>
        <w:t>corazón,</w:t>
      </w:r>
      <w:r>
        <w:rPr>
          <w:spacing w:val="-6"/>
          <w:sz w:val="24"/>
        </w:rPr>
        <w:t> </w:t>
      </w:r>
      <w:r>
        <w:rPr>
          <w:sz w:val="24"/>
        </w:rPr>
        <w:t>gónadas,</w:t>
      </w:r>
      <w:r>
        <w:rPr>
          <w:spacing w:val="-1"/>
          <w:sz w:val="24"/>
        </w:rPr>
        <w:t> </w:t>
      </w:r>
      <w:r>
        <w:rPr>
          <w:sz w:val="24"/>
        </w:rPr>
        <w:t>intestino</w:t>
      </w:r>
      <w:r>
        <w:rPr>
          <w:spacing w:val="-3"/>
          <w:sz w:val="24"/>
        </w:rPr>
        <w:t> </w:t>
      </w:r>
      <w:r>
        <w:rPr>
          <w:sz w:val="24"/>
        </w:rPr>
        <w:t>y</w:t>
      </w:r>
      <w:r>
        <w:rPr>
          <w:spacing w:val="-13"/>
          <w:sz w:val="24"/>
        </w:rPr>
        <w:t> </w:t>
      </w:r>
      <w:r>
        <w:rPr>
          <w:sz w:val="24"/>
        </w:rPr>
        <w:t>branquias.</w:t>
      </w:r>
    </w:p>
    <w:p>
      <w:pPr>
        <w:pStyle w:val="ListParagraph"/>
        <w:numPr>
          <w:ilvl w:val="1"/>
          <w:numId w:val="14"/>
        </w:numPr>
        <w:tabs>
          <w:tab w:pos="699" w:val="left" w:leader="none"/>
          <w:tab w:pos="700" w:val="left" w:leader="none"/>
        </w:tabs>
        <w:spacing w:line="240" w:lineRule="auto" w:before="130" w:after="0"/>
        <w:ind w:left="699" w:right="0" w:hanging="470"/>
        <w:jc w:val="left"/>
        <w:rPr>
          <w:sz w:val="24"/>
        </w:rPr>
      </w:pPr>
      <w:r>
        <w:rPr>
          <w:sz w:val="24"/>
        </w:rPr>
        <w:t>A </w:t>
      </w:r>
      <w:r>
        <w:rPr>
          <w:spacing w:val="-5"/>
          <w:sz w:val="24"/>
        </w:rPr>
        <w:t>la </w:t>
      </w:r>
      <w:r>
        <w:rPr>
          <w:sz w:val="24"/>
        </w:rPr>
        <w:t>fecha </w:t>
      </w:r>
      <w:r>
        <w:rPr>
          <w:spacing w:val="-5"/>
          <w:sz w:val="24"/>
        </w:rPr>
        <w:t>la </w:t>
      </w:r>
      <w:r>
        <w:rPr>
          <w:sz w:val="24"/>
        </w:rPr>
        <w:t>enfermedad </w:t>
      </w:r>
      <w:r>
        <w:rPr>
          <w:spacing w:val="-3"/>
          <w:sz w:val="24"/>
        </w:rPr>
        <w:t>no ha </w:t>
      </w:r>
      <w:r>
        <w:rPr>
          <w:sz w:val="24"/>
        </w:rPr>
        <w:t>sido informada en México. En este trabajo se describen  </w:t>
      </w:r>
      <w:r>
        <w:rPr>
          <w:spacing w:val="18"/>
          <w:sz w:val="24"/>
        </w:rPr>
        <w:t> </w:t>
      </w:r>
      <w:r>
        <w:rPr>
          <w:sz w:val="24"/>
        </w:rPr>
        <w:t>los</w:t>
      </w:r>
    </w:p>
    <w:p>
      <w:pPr>
        <w:pStyle w:val="ListParagraph"/>
        <w:numPr>
          <w:ilvl w:val="1"/>
          <w:numId w:val="14"/>
        </w:numPr>
        <w:tabs>
          <w:tab w:pos="699" w:val="left" w:leader="none"/>
          <w:tab w:pos="700" w:val="left" w:leader="none"/>
        </w:tabs>
        <w:spacing w:line="240" w:lineRule="auto" w:before="129" w:after="0"/>
        <w:ind w:left="699" w:right="0" w:hanging="470"/>
        <w:jc w:val="left"/>
        <w:rPr>
          <w:sz w:val="24"/>
        </w:rPr>
      </w:pPr>
      <w:r>
        <w:rPr>
          <w:sz w:val="24"/>
        </w:rPr>
        <w:t>signos clínicos,  </w:t>
      </w:r>
      <w:r>
        <w:rPr>
          <w:spacing w:val="-4"/>
          <w:sz w:val="24"/>
        </w:rPr>
        <w:t>las  </w:t>
      </w:r>
      <w:r>
        <w:rPr>
          <w:sz w:val="24"/>
        </w:rPr>
        <w:t>lesiones  macro  y microscópicas encontradas en muestras de   </w:t>
      </w:r>
      <w:r>
        <w:rPr>
          <w:spacing w:val="38"/>
          <w:sz w:val="24"/>
        </w:rPr>
        <w:t> </w:t>
      </w:r>
      <w:r>
        <w:rPr>
          <w:sz w:val="24"/>
        </w:rPr>
        <w:t>tilapias</w:t>
      </w:r>
    </w:p>
    <w:p>
      <w:pPr>
        <w:pStyle w:val="ListParagraph"/>
        <w:numPr>
          <w:ilvl w:val="1"/>
          <w:numId w:val="14"/>
        </w:numPr>
        <w:tabs>
          <w:tab w:pos="699" w:val="left" w:leader="none"/>
          <w:tab w:pos="700" w:val="left" w:leader="none"/>
        </w:tabs>
        <w:spacing w:line="240" w:lineRule="auto" w:before="134" w:after="0"/>
        <w:ind w:left="699" w:right="0" w:hanging="581"/>
        <w:jc w:val="left"/>
        <w:rPr>
          <w:sz w:val="24"/>
        </w:rPr>
      </w:pPr>
      <w:r>
        <w:rPr>
          <w:sz w:val="24"/>
        </w:rPr>
        <w:t>afectadas por francisellosis en granjas del centro </w:t>
      </w:r>
      <w:r>
        <w:rPr>
          <w:spacing w:val="-3"/>
          <w:sz w:val="24"/>
        </w:rPr>
        <w:t>de </w:t>
      </w:r>
      <w:r>
        <w:rPr>
          <w:sz w:val="24"/>
        </w:rPr>
        <w:t>México; </w:t>
      </w:r>
      <w:r>
        <w:rPr>
          <w:spacing w:val="-5"/>
          <w:sz w:val="24"/>
        </w:rPr>
        <w:t>la </w:t>
      </w:r>
      <w:r>
        <w:rPr>
          <w:sz w:val="24"/>
        </w:rPr>
        <w:t>enfermedad </w:t>
      </w:r>
      <w:r>
        <w:rPr>
          <w:spacing w:val="-3"/>
          <w:sz w:val="24"/>
        </w:rPr>
        <w:t>fue </w:t>
      </w:r>
      <w:r>
        <w:rPr>
          <w:spacing w:val="32"/>
          <w:sz w:val="24"/>
        </w:rPr>
        <w:t> </w:t>
      </w:r>
      <w:r>
        <w:rPr>
          <w:sz w:val="24"/>
        </w:rPr>
        <w:t>confirmada</w:t>
      </w:r>
    </w:p>
    <w:p>
      <w:pPr>
        <w:pStyle w:val="ListParagraph"/>
        <w:numPr>
          <w:ilvl w:val="1"/>
          <w:numId w:val="14"/>
        </w:numPr>
        <w:tabs>
          <w:tab w:pos="699" w:val="left" w:leader="none"/>
          <w:tab w:pos="700" w:val="left" w:leader="none"/>
        </w:tabs>
        <w:spacing w:line="240" w:lineRule="auto" w:before="129" w:after="0"/>
        <w:ind w:left="699" w:right="0" w:hanging="581"/>
        <w:jc w:val="left"/>
        <w:rPr>
          <w:sz w:val="24"/>
        </w:rPr>
      </w:pPr>
      <w:r>
        <w:rPr>
          <w:sz w:val="24"/>
        </w:rPr>
        <w:t>por  el aislamiento  del agente  e  identificado  por </w:t>
      </w:r>
      <w:r>
        <w:rPr>
          <w:spacing w:val="-3"/>
          <w:sz w:val="24"/>
        </w:rPr>
        <w:t>medio  </w:t>
      </w:r>
      <w:r>
        <w:rPr>
          <w:sz w:val="24"/>
        </w:rPr>
        <w:t>de  </w:t>
      </w:r>
      <w:r>
        <w:rPr>
          <w:spacing w:val="-5"/>
          <w:sz w:val="24"/>
        </w:rPr>
        <w:t>la  </w:t>
      </w:r>
      <w:r>
        <w:rPr>
          <w:sz w:val="24"/>
        </w:rPr>
        <w:t>técnica  de  PCR</w:t>
      </w:r>
      <w:r>
        <w:rPr>
          <w:spacing w:val="-14"/>
          <w:sz w:val="24"/>
        </w:rPr>
        <w:t> </w:t>
      </w:r>
      <w:r>
        <w:rPr>
          <w:sz w:val="24"/>
        </w:rPr>
        <w:t>utilizando</w:t>
      </w:r>
    </w:p>
    <w:p>
      <w:pPr>
        <w:pStyle w:val="ListParagraph"/>
        <w:numPr>
          <w:ilvl w:val="1"/>
          <w:numId w:val="14"/>
        </w:numPr>
        <w:tabs>
          <w:tab w:pos="699" w:val="left" w:leader="none"/>
          <w:tab w:pos="700" w:val="left" w:leader="none"/>
        </w:tabs>
        <w:spacing w:line="240" w:lineRule="auto" w:before="130" w:after="0"/>
        <w:ind w:left="699" w:right="0" w:hanging="581"/>
        <w:jc w:val="left"/>
        <w:rPr>
          <w:sz w:val="24"/>
        </w:rPr>
      </w:pPr>
      <w:r>
        <w:rPr>
          <w:sz w:val="24"/>
        </w:rPr>
        <w:t>partidores específicos para </w:t>
      </w:r>
      <w:r>
        <w:rPr>
          <w:i/>
          <w:sz w:val="24"/>
        </w:rPr>
        <w:t>Francisella noatunensis </w:t>
      </w:r>
      <w:r>
        <w:rPr>
          <w:sz w:val="24"/>
        </w:rPr>
        <w:t>subsp. </w:t>
      </w:r>
      <w:r>
        <w:rPr>
          <w:i/>
          <w:sz w:val="24"/>
        </w:rPr>
        <w:t>orientalis</w:t>
      </w:r>
      <w:r>
        <w:rPr>
          <w:sz w:val="24"/>
        </w:rPr>
        <w:t>, y significa el  </w:t>
      </w:r>
      <w:r>
        <w:rPr>
          <w:spacing w:val="47"/>
          <w:sz w:val="24"/>
        </w:rPr>
        <w:t> </w:t>
      </w:r>
      <w:r>
        <w:rPr>
          <w:sz w:val="24"/>
        </w:rPr>
        <w:t>primer</w:t>
      </w:r>
    </w:p>
    <w:p>
      <w:pPr>
        <w:pStyle w:val="ListParagraph"/>
        <w:numPr>
          <w:ilvl w:val="1"/>
          <w:numId w:val="14"/>
        </w:numPr>
        <w:tabs>
          <w:tab w:pos="699" w:val="left" w:leader="none"/>
          <w:tab w:pos="700" w:val="left" w:leader="none"/>
        </w:tabs>
        <w:spacing w:line="240" w:lineRule="auto" w:before="129" w:after="0"/>
        <w:ind w:left="699" w:right="0" w:hanging="581"/>
        <w:jc w:val="left"/>
        <w:rPr>
          <w:sz w:val="24"/>
        </w:rPr>
      </w:pPr>
      <w:r>
        <w:rPr>
          <w:sz w:val="24"/>
        </w:rPr>
        <w:t>caso de esta enfermedad emergente para peces de</w:t>
      </w:r>
      <w:r>
        <w:rPr>
          <w:spacing w:val="-20"/>
          <w:sz w:val="24"/>
        </w:rPr>
        <w:t> </w:t>
      </w:r>
      <w:r>
        <w:rPr>
          <w:sz w:val="24"/>
        </w:rPr>
        <w:t>país.</w:t>
      </w:r>
    </w:p>
    <w:p>
      <w:pPr>
        <w:spacing w:before="149"/>
        <w:ind w:left="118" w:right="0" w:firstLine="0"/>
        <w:jc w:val="left"/>
        <w:rPr>
          <w:rFonts w:ascii="Calibri"/>
          <w:sz w:val="22"/>
        </w:rPr>
      </w:pPr>
      <w:r>
        <w:rPr>
          <w:rFonts w:ascii="Calibri"/>
          <w:sz w:val="22"/>
        </w:rPr>
        <w:t>14</w:t>
      </w:r>
    </w:p>
    <w:p>
      <w:pPr>
        <w:pStyle w:val="Heading1"/>
        <w:numPr>
          <w:ilvl w:val="0"/>
          <w:numId w:val="15"/>
        </w:numPr>
        <w:tabs>
          <w:tab w:pos="699" w:val="left" w:leader="none"/>
          <w:tab w:pos="700" w:val="left" w:leader="none"/>
        </w:tabs>
        <w:spacing w:line="240" w:lineRule="auto" w:before="134" w:after="0"/>
        <w:ind w:left="699" w:right="0" w:hanging="581"/>
        <w:jc w:val="left"/>
        <w:rPr>
          <w:rFonts w:ascii="Times New Roman" w:hAnsi="Times New Roman"/>
        </w:rPr>
      </w:pPr>
      <w:r>
        <w:rPr>
          <w:rFonts w:ascii="Times New Roman" w:hAnsi="Times New Roman"/>
        </w:rPr>
        <w:t>MATERIAL Y</w:t>
      </w:r>
      <w:r>
        <w:rPr>
          <w:rFonts w:ascii="Times New Roman" w:hAnsi="Times New Roman"/>
          <w:spacing w:val="-4"/>
        </w:rPr>
        <w:t> </w:t>
      </w:r>
      <w:r>
        <w:rPr>
          <w:rFonts w:ascii="Times New Roman" w:hAnsi="Times New Roman"/>
        </w:rPr>
        <w:t>MÉTODO</w:t>
      </w:r>
    </w:p>
    <w:p>
      <w:pPr>
        <w:pStyle w:val="ListParagraph"/>
        <w:numPr>
          <w:ilvl w:val="0"/>
          <w:numId w:val="15"/>
        </w:numPr>
        <w:tabs>
          <w:tab w:pos="1405" w:val="left" w:leader="none"/>
          <w:tab w:pos="1406" w:val="left" w:leader="none"/>
        </w:tabs>
        <w:spacing w:line="240" w:lineRule="auto" w:before="125" w:after="0"/>
        <w:ind w:left="1405" w:right="0" w:hanging="1287"/>
        <w:jc w:val="left"/>
        <w:rPr>
          <w:sz w:val="24"/>
        </w:rPr>
      </w:pPr>
      <w:r>
        <w:rPr>
          <w:sz w:val="24"/>
        </w:rPr>
        <w:t>Durante  el segundo  semestre  del año  2012,  se registró  </w:t>
      </w:r>
      <w:r>
        <w:rPr>
          <w:spacing w:val="-5"/>
          <w:sz w:val="24"/>
        </w:rPr>
        <w:t>la  </w:t>
      </w:r>
      <w:r>
        <w:rPr>
          <w:sz w:val="24"/>
        </w:rPr>
        <w:t>manifestación de   </w:t>
      </w:r>
      <w:r>
        <w:rPr>
          <w:spacing w:val="4"/>
          <w:sz w:val="24"/>
        </w:rPr>
        <w:t> </w:t>
      </w:r>
      <w:r>
        <w:rPr>
          <w:sz w:val="24"/>
        </w:rPr>
        <w:t>una</w:t>
      </w:r>
    </w:p>
    <w:p>
      <w:pPr>
        <w:pStyle w:val="ListParagraph"/>
        <w:numPr>
          <w:ilvl w:val="0"/>
          <w:numId w:val="15"/>
        </w:numPr>
        <w:tabs>
          <w:tab w:pos="699" w:val="left" w:leader="none"/>
          <w:tab w:pos="700" w:val="left" w:leader="none"/>
        </w:tabs>
        <w:spacing w:line="240" w:lineRule="auto" w:before="129" w:after="0"/>
        <w:ind w:left="699" w:right="0" w:hanging="581"/>
        <w:jc w:val="left"/>
        <w:rPr>
          <w:sz w:val="24"/>
        </w:rPr>
      </w:pPr>
      <w:r>
        <w:rPr>
          <w:sz w:val="24"/>
        </w:rPr>
        <w:t>enfermedad granulomatosa en una granja del centro de México dedicada a </w:t>
      </w:r>
      <w:r>
        <w:rPr>
          <w:spacing w:val="-5"/>
          <w:sz w:val="24"/>
        </w:rPr>
        <w:t>la  </w:t>
      </w:r>
      <w:r>
        <w:rPr>
          <w:spacing w:val="15"/>
          <w:sz w:val="24"/>
        </w:rPr>
        <w:t> </w:t>
      </w:r>
      <w:r>
        <w:rPr>
          <w:sz w:val="24"/>
        </w:rPr>
        <w:t>reproducción</w:t>
      </w:r>
    </w:p>
    <w:p>
      <w:pPr>
        <w:pStyle w:val="ListParagraph"/>
        <w:numPr>
          <w:ilvl w:val="0"/>
          <w:numId w:val="15"/>
        </w:numPr>
        <w:tabs>
          <w:tab w:pos="699" w:val="left" w:leader="none"/>
          <w:tab w:pos="700" w:val="left" w:leader="none"/>
        </w:tabs>
        <w:spacing w:line="240" w:lineRule="auto" w:before="134" w:after="0"/>
        <w:ind w:left="699" w:right="0" w:hanging="581"/>
        <w:jc w:val="left"/>
        <w:rPr>
          <w:sz w:val="24"/>
        </w:rPr>
      </w:pPr>
      <w:r>
        <w:rPr>
          <w:sz w:val="24"/>
        </w:rPr>
        <w:t>de tilapia (</w:t>
      </w:r>
      <w:r>
        <w:rPr>
          <w:i/>
          <w:sz w:val="24"/>
        </w:rPr>
        <w:t>oreochromis </w:t>
      </w:r>
      <w:r>
        <w:rPr>
          <w:sz w:val="24"/>
        </w:rPr>
        <w:t>sp.), en </w:t>
      </w:r>
      <w:r>
        <w:rPr>
          <w:spacing w:val="-5"/>
          <w:sz w:val="24"/>
        </w:rPr>
        <w:t>la </w:t>
      </w:r>
      <w:r>
        <w:rPr>
          <w:sz w:val="24"/>
        </w:rPr>
        <w:t>cual </w:t>
      </w:r>
      <w:r>
        <w:rPr>
          <w:spacing w:val="-3"/>
          <w:sz w:val="24"/>
        </w:rPr>
        <w:t>no </w:t>
      </w:r>
      <w:r>
        <w:rPr>
          <w:sz w:val="24"/>
        </w:rPr>
        <w:t>se había tenido reporte previo de </w:t>
      </w:r>
      <w:r>
        <w:rPr>
          <w:spacing w:val="-5"/>
          <w:sz w:val="24"/>
        </w:rPr>
        <w:t>la </w:t>
      </w:r>
      <w:r>
        <w:rPr>
          <w:sz w:val="24"/>
        </w:rPr>
        <w:t>existencia </w:t>
      </w:r>
      <w:r>
        <w:rPr>
          <w:spacing w:val="48"/>
          <w:sz w:val="24"/>
        </w:rPr>
        <w:t> </w:t>
      </w:r>
      <w:r>
        <w:rPr>
          <w:sz w:val="24"/>
        </w:rPr>
        <w:t>de</w:t>
      </w:r>
    </w:p>
    <w:p>
      <w:pPr>
        <w:pStyle w:val="ListParagraph"/>
        <w:numPr>
          <w:ilvl w:val="0"/>
          <w:numId w:val="15"/>
        </w:numPr>
        <w:tabs>
          <w:tab w:pos="699" w:val="left" w:leader="none"/>
          <w:tab w:pos="700" w:val="left" w:leader="none"/>
        </w:tabs>
        <w:spacing w:line="240" w:lineRule="auto" w:before="129" w:after="0"/>
        <w:ind w:left="699" w:right="0" w:hanging="581"/>
        <w:jc w:val="left"/>
        <w:rPr>
          <w:sz w:val="24"/>
        </w:rPr>
      </w:pPr>
      <w:r>
        <w:rPr>
          <w:sz w:val="24"/>
        </w:rPr>
        <w:t>enfermedades importantes. Los responsables de  la granja  informaron </w:t>
      </w:r>
      <w:r>
        <w:rPr>
          <w:spacing w:val="-3"/>
          <w:sz w:val="24"/>
        </w:rPr>
        <w:t>la  </w:t>
      </w:r>
      <w:r>
        <w:rPr>
          <w:sz w:val="24"/>
        </w:rPr>
        <w:t>ocurrencia de  </w:t>
      </w:r>
      <w:r>
        <w:rPr>
          <w:spacing w:val="10"/>
          <w:sz w:val="24"/>
        </w:rPr>
        <w:t> </w:t>
      </w:r>
      <w:r>
        <w:rPr>
          <w:sz w:val="24"/>
        </w:rPr>
        <w:t>un</w:t>
      </w:r>
    </w:p>
    <w:p>
      <w:pPr>
        <w:pStyle w:val="ListParagraph"/>
        <w:numPr>
          <w:ilvl w:val="0"/>
          <w:numId w:val="15"/>
        </w:numPr>
        <w:tabs>
          <w:tab w:pos="699" w:val="left" w:leader="none"/>
          <w:tab w:pos="700" w:val="left" w:leader="none"/>
        </w:tabs>
        <w:spacing w:line="240" w:lineRule="auto" w:before="130" w:after="0"/>
        <w:ind w:left="699" w:right="0" w:hanging="581"/>
        <w:jc w:val="left"/>
        <w:rPr>
          <w:sz w:val="24"/>
        </w:rPr>
      </w:pPr>
      <w:r>
        <w:rPr>
          <w:sz w:val="24"/>
        </w:rPr>
        <w:t>proceso</w:t>
      </w:r>
      <w:r>
        <w:rPr>
          <w:spacing w:val="2"/>
          <w:sz w:val="24"/>
        </w:rPr>
        <w:t> </w:t>
      </w:r>
      <w:r>
        <w:rPr>
          <w:sz w:val="24"/>
        </w:rPr>
        <w:t>de</w:t>
      </w:r>
      <w:r>
        <w:rPr>
          <w:spacing w:val="-7"/>
          <w:sz w:val="24"/>
        </w:rPr>
        <w:t> </w:t>
      </w:r>
      <w:r>
        <w:rPr>
          <w:sz w:val="24"/>
        </w:rPr>
        <w:t>enfermedad</w:t>
      </w:r>
      <w:r>
        <w:rPr>
          <w:spacing w:val="-2"/>
          <w:sz w:val="24"/>
        </w:rPr>
        <w:t> </w:t>
      </w:r>
      <w:r>
        <w:rPr>
          <w:sz w:val="24"/>
        </w:rPr>
        <w:t>en</w:t>
      </w:r>
      <w:r>
        <w:rPr>
          <w:spacing w:val="-6"/>
          <w:sz w:val="24"/>
        </w:rPr>
        <w:t> </w:t>
      </w:r>
      <w:r>
        <w:rPr>
          <w:sz w:val="24"/>
        </w:rPr>
        <w:t>un</w:t>
      </w:r>
      <w:r>
        <w:rPr>
          <w:spacing w:val="-2"/>
          <w:sz w:val="24"/>
        </w:rPr>
        <w:t> </w:t>
      </w:r>
      <w:r>
        <w:rPr>
          <w:sz w:val="24"/>
        </w:rPr>
        <w:t>lote</w:t>
      </w:r>
      <w:r>
        <w:rPr>
          <w:spacing w:val="-7"/>
          <w:sz w:val="24"/>
        </w:rPr>
        <w:t> </w:t>
      </w:r>
      <w:r>
        <w:rPr>
          <w:sz w:val="24"/>
        </w:rPr>
        <w:t>de</w:t>
      </w:r>
      <w:r>
        <w:rPr>
          <w:spacing w:val="-12"/>
          <w:sz w:val="24"/>
        </w:rPr>
        <w:t> </w:t>
      </w:r>
      <w:r>
        <w:rPr>
          <w:sz w:val="24"/>
        </w:rPr>
        <w:t>tilapias</w:t>
      </w:r>
      <w:r>
        <w:rPr>
          <w:spacing w:val="-3"/>
          <w:sz w:val="24"/>
        </w:rPr>
        <w:t> </w:t>
      </w:r>
      <w:r>
        <w:rPr>
          <w:sz w:val="24"/>
        </w:rPr>
        <w:t>de</w:t>
      </w:r>
      <w:r>
        <w:rPr>
          <w:spacing w:val="-2"/>
          <w:sz w:val="24"/>
        </w:rPr>
        <w:t> </w:t>
      </w:r>
      <w:r>
        <w:rPr>
          <w:sz w:val="24"/>
        </w:rPr>
        <w:t>entre</w:t>
      </w:r>
      <w:r>
        <w:rPr>
          <w:spacing w:val="-2"/>
          <w:sz w:val="24"/>
        </w:rPr>
        <w:t> </w:t>
      </w:r>
      <w:r>
        <w:rPr>
          <w:sz w:val="24"/>
        </w:rPr>
        <w:t>200</w:t>
      </w:r>
      <w:r>
        <w:rPr>
          <w:spacing w:val="-6"/>
          <w:sz w:val="24"/>
        </w:rPr>
        <w:t> </w:t>
      </w:r>
      <w:r>
        <w:rPr>
          <w:sz w:val="24"/>
        </w:rPr>
        <w:t>a</w:t>
      </w:r>
      <w:r>
        <w:rPr>
          <w:spacing w:val="-7"/>
          <w:sz w:val="24"/>
        </w:rPr>
        <w:t> </w:t>
      </w:r>
      <w:r>
        <w:rPr>
          <w:sz w:val="24"/>
        </w:rPr>
        <w:t>350</w:t>
      </w:r>
      <w:r>
        <w:rPr>
          <w:spacing w:val="-6"/>
          <w:sz w:val="24"/>
        </w:rPr>
        <w:t> </w:t>
      </w:r>
      <w:r>
        <w:rPr>
          <w:sz w:val="24"/>
        </w:rPr>
        <w:t>gr, mantenidos</w:t>
      </w:r>
      <w:r>
        <w:rPr>
          <w:spacing w:val="-3"/>
          <w:sz w:val="24"/>
        </w:rPr>
        <w:t> </w:t>
      </w:r>
      <w:r>
        <w:rPr>
          <w:sz w:val="24"/>
        </w:rPr>
        <w:t>en</w:t>
      </w:r>
      <w:r>
        <w:rPr>
          <w:spacing w:val="-6"/>
          <w:sz w:val="24"/>
        </w:rPr>
        <w:t> </w:t>
      </w:r>
      <w:r>
        <w:rPr>
          <w:sz w:val="24"/>
        </w:rPr>
        <w:t>estanques</w:t>
      </w:r>
    </w:p>
    <w:p>
      <w:pPr>
        <w:pStyle w:val="ListParagraph"/>
        <w:numPr>
          <w:ilvl w:val="0"/>
          <w:numId w:val="15"/>
        </w:numPr>
        <w:tabs>
          <w:tab w:pos="699" w:val="left" w:leader="none"/>
          <w:tab w:pos="700" w:val="left" w:leader="none"/>
        </w:tabs>
        <w:spacing w:line="240" w:lineRule="auto" w:before="129" w:after="0"/>
        <w:ind w:left="699" w:right="0" w:hanging="581"/>
        <w:jc w:val="left"/>
        <w:rPr>
          <w:sz w:val="24"/>
        </w:rPr>
      </w:pPr>
      <w:r>
        <w:rPr>
          <w:sz w:val="24"/>
        </w:rPr>
        <w:t>de</w:t>
      </w:r>
      <w:r>
        <w:rPr>
          <w:spacing w:val="24"/>
          <w:sz w:val="24"/>
        </w:rPr>
        <w:t> </w:t>
      </w:r>
      <w:r>
        <w:rPr>
          <w:sz w:val="24"/>
        </w:rPr>
        <w:t>concreto</w:t>
      </w:r>
      <w:r>
        <w:rPr>
          <w:spacing w:val="25"/>
          <w:sz w:val="24"/>
        </w:rPr>
        <w:t> </w:t>
      </w:r>
      <w:r>
        <w:rPr>
          <w:sz w:val="24"/>
        </w:rPr>
        <w:t>de</w:t>
      </w:r>
      <w:r>
        <w:rPr>
          <w:spacing w:val="24"/>
          <w:sz w:val="24"/>
        </w:rPr>
        <w:t> </w:t>
      </w:r>
      <w:r>
        <w:rPr>
          <w:sz w:val="24"/>
        </w:rPr>
        <w:t>10x4</w:t>
      </w:r>
      <w:r>
        <w:rPr>
          <w:spacing w:val="25"/>
          <w:sz w:val="24"/>
        </w:rPr>
        <w:t> </w:t>
      </w:r>
      <w:r>
        <w:rPr>
          <w:sz w:val="24"/>
        </w:rPr>
        <w:t>mts,</w:t>
      </w:r>
      <w:r>
        <w:rPr>
          <w:spacing w:val="27"/>
          <w:sz w:val="24"/>
        </w:rPr>
        <w:t> </w:t>
      </w:r>
      <w:r>
        <w:rPr>
          <w:sz w:val="24"/>
        </w:rPr>
        <w:t>con</w:t>
      </w:r>
      <w:r>
        <w:rPr>
          <w:spacing w:val="20"/>
          <w:sz w:val="24"/>
        </w:rPr>
        <w:t> </w:t>
      </w:r>
      <w:r>
        <w:rPr>
          <w:sz w:val="24"/>
        </w:rPr>
        <w:t>10%</w:t>
      </w:r>
      <w:r>
        <w:rPr>
          <w:spacing w:val="22"/>
          <w:sz w:val="24"/>
        </w:rPr>
        <w:t> </w:t>
      </w:r>
      <w:r>
        <w:rPr>
          <w:sz w:val="24"/>
        </w:rPr>
        <w:t>de</w:t>
      </w:r>
      <w:r>
        <w:rPr>
          <w:spacing w:val="24"/>
          <w:sz w:val="24"/>
        </w:rPr>
        <w:t> </w:t>
      </w:r>
      <w:r>
        <w:rPr>
          <w:spacing w:val="-3"/>
          <w:sz w:val="24"/>
        </w:rPr>
        <w:t>recambio</w:t>
      </w:r>
      <w:r>
        <w:rPr>
          <w:spacing w:val="29"/>
          <w:sz w:val="24"/>
        </w:rPr>
        <w:t> </w:t>
      </w:r>
      <w:r>
        <w:rPr>
          <w:sz w:val="24"/>
        </w:rPr>
        <w:t>diario</w:t>
      </w:r>
      <w:r>
        <w:rPr>
          <w:spacing w:val="29"/>
          <w:sz w:val="24"/>
        </w:rPr>
        <w:t> </w:t>
      </w:r>
      <w:r>
        <w:rPr>
          <w:sz w:val="24"/>
        </w:rPr>
        <w:t>de</w:t>
      </w:r>
      <w:r>
        <w:rPr>
          <w:spacing w:val="24"/>
          <w:sz w:val="24"/>
        </w:rPr>
        <w:t> </w:t>
      </w:r>
      <w:r>
        <w:rPr>
          <w:sz w:val="24"/>
        </w:rPr>
        <w:t>agua,</w:t>
      </w:r>
      <w:r>
        <w:rPr>
          <w:spacing w:val="22"/>
          <w:sz w:val="24"/>
        </w:rPr>
        <w:t> </w:t>
      </w:r>
      <w:r>
        <w:rPr>
          <w:sz w:val="24"/>
        </w:rPr>
        <w:t>temperatura</w:t>
      </w:r>
      <w:r>
        <w:rPr>
          <w:spacing w:val="24"/>
          <w:sz w:val="24"/>
        </w:rPr>
        <w:t> </w:t>
      </w:r>
      <w:r>
        <w:rPr>
          <w:spacing w:val="-3"/>
          <w:sz w:val="24"/>
        </w:rPr>
        <w:t>promedio</w:t>
      </w:r>
      <w:r>
        <w:rPr>
          <w:spacing w:val="29"/>
          <w:sz w:val="24"/>
        </w:rPr>
        <w:t> </w:t>
      </w:r>
      <w:r>
        <w:rPr>
          <w:sz w:val="24"/>
        </w:rPr>
        <w:t>de</w:t>
      </w:r>
    </w:p>
    <w:p>
      <w:pPr>
        <w:pStyle w:val="ListParagraph"/>
        <w:numPr>
          <w:ilvl w:val="0"/>
          <w:numId w:val="15"/>
        </w:numPr>
        <w:tabs>
          <w:tab w:pos="699" w:val="left" w:leader="none"/>
          <w:tab w:pos="700" w:val="left" w:leader="none"/>
        </w:tabs>
        <w:spacing w:line="240" w:lineRule="auto" w:before="134" w:after="0"/>
        <w:ind w:left="699" w:right="0" w:hanging="581"/>
        <w:jc w:val="left"/>
        <w:rPr>
          <w:sz w:val="24"/>
        </w:rPr>
      </w:pPr>
      <w:r>
        <w:rPr>
          <w:sz w:val="24"/>
        </w:rPr>
        <w:t>26°C.</w:t>
      </w:r>
      <w:r>
        <w:rPr>
          <w:spacing w:val="-8"/>
          <w:sz w:val="24"/>
        </w:rPr>
        <w:t> </w:t>
      </w:r>
      <w:r>
        <w:rPr>
          <w:sz w:val="24"/>
        </w:rPr>
        <w:t>Los</w:t>
      </w:r>
      <w:r>
        <w:rPr>
          <w:spacing w:val="-12"/>
          <w:sz w:val="24"/>
        </w:rPr>
        <w:t> </w:t>
      </w:r>
      <w:r>
        <w:rPr>
          <w:sz w:val="24"/>
        </w:rPr>
        <w:t>peces</w:t>
      </w:r>
      <w:r>
        <w:rPr>
          <w:spacing w:val="-7"/>
          <w:sz w:val="24"/>
        </w:rPr>
        <w:t> </w:t>
      </w:r>
      <w:r>
        <w:rPr>
          <w:sz w:val="24"/>
        </w:rPr>
        <w:t>iniciaron</w:t>
      </w:r>
      <w:r>
        <w:rPr>
          <w:spacing w:val="-14"/>
          <w:sz w:val="24"/>
        </w:rPr>
        <w:t> </w:t>
      </w:r>
      <w:r>
        <w:rPr>
          <w:sz w:val="24"/>
        </w:rPr>
        <w:t>con</w:t>
      </w:r>
      <w:r>
        <w:rPr>
          <w:spacing w:val="-14"/>
          <w:sz w:val="24"/>
        </w:rPr>
        <w:t> </w:t>
      </w:r>
      <w:r>
        <w:rPr>
          <w:sz w:val="24"/>
        </w:rPr>
        <w:t>disminución</w:t>
      </w:r>
      <w:r>
        <w:rPr>
          <w:spacing w:val="-14"/>
          <w:sz w:val="24"/>
        </w:rPr>
        <w:t> </w:t>
      </w:r>
      <w:r>
        <w:rPr>
          <w:sz w:val="24"/>
        </w:rPr>
        <w:t>del</w:t>
      </w:r>
      <w:r>
        <w:rPr>
          <w:spacing w:val="-14"/>
          <w:sz w:val="24"/>
        </w:rPr>
        <w:t> </w:t>
      </w:r>
      <w:r>
        <w:rPr>
          <w:sz w:val="24"/>
        </w:rPr>
        <w:t>consumo</w:t>
      </w:r>
      <w:r>
        <w:rPr>
          <w:spacing w:val="-5"/>
          <w:sz w:val="24"/>
        </w:rPr>
        <w:t> </w:t>
      </w:r>
      <w:r>
        <w:rPr>
          <w:sz w:val="24"/>
        </w:rPr>
        <w:t>de</w:t>
      </w:r>
      <w:r>
        <w:rPr>
          <w:spacing w:val="-11"/>
          <w:sz w:val="24"/>
        </w:rPr>
        <w:t> </w:t>
      </w:r>
      <w:r>
        <w:rPr>
          <w:sz w:val="24"/>
        </w:rPr>
        <w:t>alimento,</w:t>
      </w:r>
      <w:r>
        <w:rPr>
          <w:spacing w:val="-8"/>
          <w:sz w:val="24"/>
        </w:rPr>
        <w:t> </w:t>
      </w:r>
      <w:r>
        <w:rPr>
          <w:spacing w:val="-3"/>
          <w:sz w:val="24"/>
        </w:rPr>
        <w:t>baja</w:t>
      </w:r>
      <w:r>
        <w:rPr>
          <w:spacing w:val="-11"/>
          <w:sz w:val="24"/>
        </w:rPr>
        <w:t> </w:t>
      </w:r>
      <w:r>
        <w:rPr>
          <w:sz w:val="24"/>
        </w:rPr>
        <w:t>actividad,</w:t>
      </w:r>
      <w:r>
        <w:rPr>
          <w:spacing w:val="-3"/>
          <w:sz w:val="24"/>
        </w:rPr>
        <w:t> </w:t>
      </w:r>
      <w:r>
        <w:rPr>
          <w:sz w:val="24"/>
        </w:rPr>
        <w:t>nado</w:t>
      </w:r>
      <w:r>
        <w:rPr>
          <w:spacing w:val="-5"/>
          <w:sz w:val="24"/>
        </w:rPr>
        <w:t> </w:t>
      </w:r>
      <w:r>
        <w:rPr>
          <w:sz w:val="24"/>
        </w:rPr>
        <w:t>en</w:t>
      </w:r>
    </w:p>
    <w:p>
      <w:pPr>
        <w:pStyle w:val="ListParagraph"/>
        <w:numPr>
          <w:ilvl w:val="0"/>
          <w:numId w:val="15"/>
        </w:numPr>
        <w:tabs>
          <w:tab w:pos="699" w:val="left" w:leader="none"/>
          <w:tab w:pos="700" w:val="left" w:leader="none"/>
          <w:tab w:pos="1092" w:val="left" w:leader="none"/>
          <w:tab w:pos="2263" w:val="left" w:leader="none"/>
          <w:tab w:pos="2776" w:val="left" w:leader="none"/>
          <w:tab w:pos="3515" w:val="left" w:leader="none"/>
          <w:tab w:pos="4709" w:val="left" w:leader="none"/>
          <w:tab w:pos="6008" w:val="left" w:leader="none"/>
          <w:tab w:pos="7701" w:val="left" w:leader="none"/>
          <w:tab w:pos="8041" w:val="left" w:leader="none"/>
          <w:tab w:pos="9298" w:val="left" w:leader="none"/>
        </w:tabs>
        <w:spacing w:line="240" w:lineRule="auto" w:before="129" w:after="0"/>
        <w:ind w:left="699" w:right="0" w:hanging="581"/>
        <w:jc w:val="left"/>
        <w:rPr>
          <w:sz w:val="24"/>
        </w:rPr>
      </w:pPr>
      <w:r>
        <w:rPr>
          <w:spacing w:val="-3"/>
          <w:sz w:val="24"/>
        </w:rPr>
        <w:t>la</w:t>
        <w:tab/>
      </w:r>
      <w:r>
        <w:rPr>
          <w:sz w:val="24"/>
        </w:rPr>
        <w:t>superficie</w:t>
        <w:tab/>
        <w:t>del</w:t>
        <w:tab/>
        <w:t>agua,</w:t>
        <w:tab/>
        <w:t>distensión</w:t>
        <w:tab/>
        <w:t>abdominal,</w:t>
        <w:tab/>
        <w:t>oscurecimiento</w:t>
        <w:tab/>
        <w:t>y</w:t>
        <w:tab/>
        <w:t>mortalidad</w:t>
        <w:tab/>
        <w:t>de</w:t>
      </w:r>
    </w:p>
    <w:p>
      <w:pPr>
        <w:pStyle w:val="ListParagraph"/>
        <w:numPr>
          <w:ilvl w:val="0"/>
          <w:numId w:val="15"/>
        </w:numPr>
        <w:tabs>
          <w:tab w:pos="699" w:val="left" w:leader="none"/>
          <w:tab w:pos="700" w:val="left" w:leader="none"/>
        </w:tabs>
        <w:spacing w:line="240" w:lineRule="auto" w:before="130" w:after="0"/>
        <w:ind w:left="699" w:right="0" w:hanging="581"/>
        <w:jc w:val="left"/>
        <w:rPr>
          <w:sz w:val="24"/>
        </w:rPr>
      </w:pPr>
      <w:r>
        <w:rPr>
          <w:sz w:val="24"/>
        </w:rPr>
        <w:t>aproximadamente 40% de </w:t>
      </w:r>
      <w:r>
        <w:rPr>
          <w:spacing w:val="-5"/>
          <w:sz w:val="24"/>
        </w:rPr>
        <w:t>la </w:t>
      </w:r>
      <w:r>
        <w:rPr>
          <w:sz w:val="24"/>
        </w:rPr>
        <w:t>población; sin embargo, al momento de visitar   </w:t>
      </w:r>
      <w:r>
        <w:rPr>
          <w:spacing w:val="24"/>
          <w:sz w:val="24"/>
        </w:rPr>
        <w:t> </w:t>
      </w:r>
      <w:r>
        <w:rPr>
          <w:spacing w:val="-5"/>
          <w:sz w:val="24"/>
        </w:rPr>
        <w:t>la </w:t>
      </w:r>
      <w:r>
        <w:rPr>
          <w:sz w:val="24"/>
        </w:rPr>
        <w:t>granja para</w:t>
      </w:r>
    </w:p>
    <w:p>
      <w:pPr>
        <w:pStyle w:val="ListParagraph"/>
        <w:numPr>
          <w:ilvl w:val="0"/>
          <w:numId w:val="15"/>
        </w:numPr>
        <w:tabs>
          <w:tab w:pos="699" w:val="left" w:leader="none"/>
          <w:tab w:pos="700" w:val="left" w:leader="none"/>
        </w:tabs>
        <w:spacing w:line="240" w:lineRule="auto" w:before="129" w:after="0"/>
        <w:ind w:left="699" w:right="0" w:hanging="581"/>
        <w:jc w:val="left"/>
        <w:rPr>
          <w:sz w:val="24"/>
        </w:rPr>
      </w:pPr>
      <w:r>
        <w:rPr>
          <w:sz w:val="24"/>
        </w:rPr>
        <w:t>obtener las muestras </w:t>
      </w:r>
      <w:r>
        <w:rPr>
          <w:spacing w:val="-3"/>
          <w:sz w:val="24"/>
        </w:rPr>
        <w:t>no </w:t>
      </w:r>
      <w:r>
        <w:rPr>
          <w:sz w:val="24"/>
        </w:rPr>
        <w:t>se observó mortalidad, pero los peces del lote afectado</w:t>
      </w:r>
      <w:r>
        <w:rPr>
          <w:spacing w:val="39"/>
          <w:sz w:val="24"/>
        </w:rPr>
        <w:t> </w:t>
      </w:r>
      <w:r>
        <w:rPr>
          <w:sz w:val="24"/>
        </w:rPr>
        <w:t>presentaban</w:t>
      </w:r>
    </w:p>
    <w:p>
      <w:pPr>
        <w:pStyle w:val="ListParagraph"/>
        <w:numPr>
          <w:ilvl w:val="0"/>
          <w:numId w:val="15"/>
        </w:numPr>
        <w:tabs>
          <w:tab w:pos="699" w:val="left" w:leader="none"/>
          <w:tab w:pos="700" w:val="left" w:leader="none"/>
        </w:tabs>
        <w:spacing w:line="240" w:lineRule="auto" w:before="125" w:after="0"/>
        <w:ind w:left="699" w:right="0" w:hanging="581"/>
        <w:jc w:val="left"/>
        <w:rPr>
          <w:sz w:val="24"/>
        </w:rPr>
      </w:pPr>
      <w:r>
        <w:rPr>
          <w:sz w:val="24"/>
        </w:rPr>
        <w:t>emaciación</w:t>
      </w:r>
      <w:r>
        <w:rPr>
          <w:spacing w:val="-15"/>
          <w:sz w:val="24"/>
        </w:rPr>
        <w:t> </w:t>
      </w:r>
      <w:r>
        <w:rPr>
          <w:sz w:val="24"/>
        </w:rPr>
        <w:t>severa.</w:t>
      </w:r>
    </w:p>
    <w:p>
      <w:pPr>
        <w:pStyle w:val="BodyText"/>
        <w:spacing w:before="2"/>
        <w:rPr>
          <w:rFonts w:ascii="Times New Roman"/>
          <w:sz w:val="23"/>
        </w:rPr>
      </w:pPr>
    </w:p>
    <w:p>
      <w:pPr>
        <w:pStyle w:val="Heading1"/>
        <w:numPr>
          <w:ilvl w:val="0"/>
          <w:numId w:val="15"/>
        </w:numPr>
        <w:tabs>
          <w:tab w:pos="699" w:val="left" w:leader="none"/>
          <w:tab w:pos="700" w:val="left" w:leader="none"/>
        </w:tabs>
        <w:spacing w:line="240" w:lineRule="auto" w:before="70" w:after="0"/>
        <w:ind w:left="699" w:right="0" w:hanging="581"/>
        <w:jc w:val="left"/>
        <w:rPr>
          <w:rFonts w:ascii="Times New Roman" w:hAnsi="Times New Roman"/>
        </w:rPr>
      </w:pPr>
      <w:r>
        <w:rPr>
          <w:rFonts w:ascii="Times New Roman" w:hAnsi="Times New Roman"/>
        </w:rPr>
        <w:t>Obtención de</w:t>
      </w:r>
      <w:r>
        <w:rPr>
          <w:rFonts w:ascii="Times New Roman" w:hAnsi="Times New Roman"/>
          <w:spacing w:val="-11"/>
        </w:rPr>
        <w:t> </w:t>
      </w:r>
      <w:r>
        <w:rPr>
          <w:rFonts w:ascii="Times New Roman" w:hAnsi="Times New Roman"/>
        </w:rPr>
        <w:t>muestras</w:t>
      </w:r>
    </w:p>
    <w:p>
      <w:pPr>
        <w:pStyle w:val="BodyText"/>
        <w:spacing w:before="9"/>
        <w:rPr>
          <w:rFonts w:ascii="Times New Roman"/>
          <w:b/>
          <w:sz w:val="22"/>
        </w:rPr>
      </w:pPr>
    </w:p>
    <w:p>
      <w:pPr>
        <w:pStyle w:val="ListParagraph"/>
        <w:numPr>
          <w:ilvl w:val="0"/>
          <w:numId w:val="15"/>
        </w:numPr>
        <w:tabs>
          <w:tab w:pos="1405" w:val="left" w:leader="none"/>
          <w:tab w:pos="1406" w:val="left" w:leader="none"/>
        </w:tabs>
        <w:spacing w:line="240" w:lineRule="auto" w:before="69" w:after="0"/>
        <w:ind w:left="1405" w:right="0" w:hanging="1287"/>
        <w:jc w:val="left"/>
        <w:rPr>
          <w:sz w:val="24"/>
        </w:rPr>
      </w:pPr>
      <w:r>
        <w:rPr>
          <w:sz w:val="24"/>
        </w:rPr>
        <w:t>Se</w:t>
      </w:r>
      <w:r>
        <w:rPr>
          <w:spacing w:val="-15"/>
          <w:sz w:val="24"/>
        </w:rPr>
        <w:t> </w:t>
      </w:r>
      <w:r>
        <w:rPr>
          <w:sz w:val="24"/>
        </w:rPr>
        <w:t>colectaron</w:t>
      </w:r>
      <w:r>
        <w:rPr>
          <w:spacing w:val="-19"/>
          <w:sz w:val="24"/>
        </w:rPr>
        <w:t> </w:t>
      </w:r>
      <w:r>
        <w:rPr>
          <w:sz w:val="24"/>
        </w:rPr>
        <w:t>muestras</w:t>
      </w:r>
      <w:r>
        <w:rPr>
          <w:spacing w:val="-17"/>
          <w:sz w:val="24"/>
        </w:rPr>
        <w:t> </w:t>
      </w:r>
      <w:r>
        <w:rPr>
          <w:sz w:val="24"/>
        </w:rPr>
        <w:t>de</w:t>
      </w:r>
      <w:r>
        <w:rPr>
          <w:spacing w:val="-15"/>
          <w:sz w:val="24"/>
        </w:rPr>
        <w:t> </w:t>
      </w:r>
      <w:r>
        <w:rPr>
          <w:sz w:val="24"/>
        </w:rPr>
        <w:t>peces</w:t>
      </w:r>
      <w:r>
        <w:rPr>
          <w:spacing w:val="-17"/>
          <w:sz w:val="24"/>
        </w:rPr>
        <w:t> </w:t>
      </w:r>
      <w:r>
        <w:rPr>
          <w:sz w:val="24"/>
        </w:rPr>
        <w:t>que</w:t>
      </w:r>
      <w:r>
        <w:rPr>
          <w:spacing w:val="-15"/>
          <w:sz w:val="24"/>
        </w:rPr>
        <w:t> </w:t>
      </w:r>
      <w:r>
        <w:rPr>
          <w:sz w:val="24"/>
        </w:rPr>
        <w:t>presentaban</w:t>
      </w:r>
      <w:r>
        <w:rPr>
          <w:spacing w:val="-19"/>
          <w:sz w:val="24"/>
        </w:rPr>
        <w:t> </w:t>
      </w:r>
      <w:r>
        <w:rPr>
          <w:sz w:val="24"/>
        </w:rPr>
        <w:t>reacción</w:t>
      </w:r>
      <w:r>
        <w:rPr>
          <w:spacing w:val="-19"/>
          <w:sz w:val="24"/>
        </w:rPr>
        <w:t> </w:t>
      </w:r>
      <w:r>
        <w:rPr>
          <w:sz w:val="24"/>
        </w:rPr>
        <w:t>de</w:t>
      </w:r>
      <w:r>
        <w:rPr>
          <w:spacing w:val="-12"/>
          <w:sz w:val="24"/>
        </w:rPr>
        <w:t> </w:t>
      </w:r>
      <w:r>
        <w:rPr>
          <w:sz w:val="24"/>
        </w:rPr>
        <w:t>huida</w:t>
      </w:r>
      <w:r>
        <w:rPr>
          <w:spacing w:val="-15"/>
          <w:sz w:val="24"/>
        </w:rPr>
        <w:t> </w:t>
      </w:r>
      <w:r>
        <w:rPr>
          <w:sz w:val="24"/>
        </w:rPr>
        <w:t>retardada</w:t>
      </w:r>
      <w:r>
        <w:rPr>
          <w:spacing w:val="-15"/>
          <w:sz w:val="24"/>
        </w:rPr>
        <w:t> </w:t>
      </w:r>
      <w:r>
        <w:rPr>
          <w:spacing w:val="-4"/>
          <w:sz w:val="24"/>
        </w:rPr>
        <w:t>y/o</w:t>
      </w:r>
      <w:r>
        <w:rPr>
          <w:spacing w:val="-10"/>
          <w:sz w:val="24"/>
        </w:rPr>
        <w:t> </w:t>
      </w:r>
      <w:r>
        <w:rPr>
          <w:sz w:val="24"/>
        </w:rPr>
        <w:t>mala</w:t>
      </w:r>
    </w:p>
    <w:p>
      <w:pPr>
        <w:pStyle w:val="ListParagraph"/>
        <w:numPr>
          <w:ilvl w:val="0"/>
          <w:numId w:val="15"/>
        </w:numPr>
        <w:tabs>
          <w:tab w:pos="699" w:val="left" w:leader="none"/>
          <w:tab w:pos="700" w:val="left" w:leader="none"/>
        </w:tabs>
        <w:spacing w:line="240" w:lineRule="auto" w:before="134" w:after="0"/>
        <w:ind w:left="699" w:right="0" w:hanging="581"/>
        <w:jc w:val="left"/>
        <w:rPr>
          <w:sz w:val="24"/>
        </w:rPr>
      </w:pPr>
      <w:r>
        <w:rPr>
          <w:sz w:val="24"/>
        </w:rPr>
        <w:t>condición corporal,  y fueron transportados vivos  al laboratorio  en bolsas de plástico  </w:t>
      </w:r>
      <w:r>
        <w:rPr>
          <w:spacing w:val="39"/>
          <w:sz w:val="24"/>
        </w:rPr>
        <w:t> </w:t>
      </w:r>
      <w:r>
        <w:rPr>
          <w:sz w:val="24"/>
        </w:rPr>
        <w:t>con</w:t>
      </w:r>
    </w:p>
    <w:p>
      <w:pPr>
        <w:pStyle w:val="ListParagraph"/>
        <w:numPr>
          <w:ilvl w:val="0"/>
          <w:numId w:val="15"/>
        </w:numPr>
        <w:tabs>
          <w:tab w:pos="699" w:val="left" w:leader="none"/>
          <w:tab w:pos="700" w:val="left" w:leader="none"/>
        </w:tabs>
        <w:spacing w:line="240" w:lineRule="auto" w:before="129" w:after="0"/>
        <w:ind w:left="699" w:right="0" w:hanging="581"/>
        <w:jc w:val="left"/>
        <w:rPr>
          <w:sz w:val="24"/>
        </w:rPr>
      </w:pPr>
      <w:r>
        <w:rPr>
          <w:sz w:val="24"/>
        </w:rPr>
        <w:t>oxígeno.</w:t>
      </w:r>
      <w:r>
        <w:rPr>
          <w:spacing w:val="-14"/>
          <w:sz w:val="24"/>
        </w:rPr>
        <w:t> </w:t>
      </w:r>
      <w:r>
        <w:rPr>
          <w:sz w:val="24"/>
        </w:rPr>
        <w:t>Durante</w:t>
      </w:r>
      <w:r>
        <w:rPr>
          <w:spacing w:val="-17"/>
          <w:sz w:val="24"/>
        </w:rPr>
        <w:t> </w:t>
      </w:r>
      <w:r>
        <w:rPr>
          <w:spacing w:val="-5"/>
          <w:sz w:val="24"/>
        </w:rPr>
        <w:t>la</w:t>
      </w:r>
      <w:r>
        <w:rPr>
          <w:spacing w:val="-17"/>
          <w:sz w:val="24"/>
        </w:rPr>
        <w:t> </w:t>
      </w:r>
      <w:r>
        <w:rPr>
          <w:sz w:val="24"/>
        </w:rPr>
        <w:t>necropsia</w:t>
      </w:r>
      <w:r>
        <w:rPr>
          <w:spacing w:val="-17"/>
          <w:sz w:val="24"/>
        </w:rPr>
        <w:t> </w:t>
      </w:r>
      <w:r>
        <w:rPr>
          <w:sz w:val="24"/>
        </w:rPr>
        <w:t>se</w:t>
      </w:r>
      <w:r>
        <w:rPr>
          <w:spacing w:val="-17"/>
          <w:sz w:val="24"/>
        </w:rPr>
        <w:t> </w:t>
      </w:r>
      <w:r>
        <w:rPr>
          <w:sz w:val="24"/>
        </w:rPr>
        <w:t>realizaron</w:t>
      </w:r>
      <w:r>
        <w:rPr>
          <w:spacing w:val="-21"/>
          <w:sz w:val="24"/>
        </w:rPr>
        <w:t> </w:t>
      </w:r>
      <w:r>
        <w:rPr>
          <w:sz w:val="24"/>
        </w:rPr>
        <w:t>preparaciones</w:t>
      </w:r>
      <w:r>
        <w:rPr>
          <w:spacing w:val="-19"/>
          <w:sz w:val="24"/>
        </w:rPr>
        <w:t> </w:t>
      </w:r>
      <w:r>
        <w:rPr>
          <w:sz w:val="24"/>
        </w:rPr>
        <w:t>húmedas</w:t>
      </w:r>
      <w:r>
        <w:rPr>
          <w:spacing w:val="-19"/>
          <w:sz w:val="24"/>
        </w:rPr>
        <w:t> </w:t>
      </w:r>
      <w:r>
        <w:rPr>
          <w:sz w:val="24"/>
        </w:rPr>
        <w:t>de</w:t>
      </w:r>
      <w:r>
        <w:rPr>
          <w:spacing w:val="-17"/>
          <w:sz w:val="24"/>
        </w:rPr>
        <w:t> </w:t>
      </w:r>
      <w:r>
        <w:rPr>
          <w:sz w:val="24"/>
        </w:rPr>
        <w:t>piel,</w:t>
      </w:r>
      <w:r>
        <w:rPr>
          <w:spacing w:val="-14"/>
          <w:sz w:val="24"/>
        </w:rPr>
        <w:t> </w:t>
      </w:r>
      <w:r>
        <w:rPr>
          <w:sz w:val="24"/>
        </w:rPr>
        <w:t>aletas</w:t>
      </w:r>
      <w:r>
        <w:rPr>
          <w:spacing w:val="-14"/>
          <w:sz w:val="24"/>
        </w:rPr>
        <w:t> </w:t>
      </w:r>
      <w:r>
        <w:rPr>
          <w:sz w:val="24"/>
        </w:rPr>
        <w:t>y</w:t>
      </w:r>
      <w:r>
        <w:rPr>
          <w:spacing w:val="-21"/>
          <w:sz w:val="24"/>
        </w:rPr>
        <w:t> </w:t>
      </w:r>
      <w:r>
        <w:rPr>
          <w:sz w:val="24"/>
        </w:rPr>
        <w:t>branquias</w:t>
      </w:r>
    </w:p>
    <w:p>
      <w:pPr>
        <w:spacing w:after="0" w:line="240" w:lineRule="auto"/>
        <w:jc w:val="left"/>
        <w:rPr>
          <w:sz w:val="24"/>
        </w:rPr>
        <w:sectPr>
          <w:pgSz w:w="12240" w:h="15840"/>
          <w:pgMar w:header="752" w:footer="1003" w:top="1000" w:bottom="1200" w:left="1000" w:right="1560"/>
        </w:sectPr>
      </w:pPr>
    </w:p>
    <w:p>
      <w:pPr>
        <w:pStyle w:val="BodyText"/>
        <w:spacing w:before="8"/>
        <w:rPr>
          <w:rFonts w:ascii="Times New Roman"/>
          <w:sz w:val="28"/>
        </w:rPr>
      </w:pPr>
    </w:p>
    <w:p>
      <w:pPr>
        <w:pStyle w:val="ListParagraph"/>
        <w:numPr>
          <w:ilvl w:val="0"/>
          <w:numId w:val="16"/>
        </w:numPr>
        <w:tabs>
          <w:tab w:pos="699" w:val="left" w:leader="none"/>
          <w:tab w:pos="700" w:val="left" w:leader="none"/>
        </w:tabs>
        <w:spacing w:line="240" w:lineRule="auto" w:before="70" w:after="0"/>
        <w:ind w:left="699" w:right="0" w:hanging="470"/>
        <w:jc w:val="left"/>
        <w:rPr>
          <w:sz w:val="24"/>
        </w:rPr>
      </w:pPr>
      <w:r>
        <w:rPr>
          <w:sz w:val="24"/>
        </w:rPr>
        <w:t>para diagnóstico  de parásitos. Internamente se revisó  el aspecto, color y contenido  de   </w:t>
      </w:r>
      <w:r>
        <w:rPr>
          <w:spacing w:val="44"/>
          <w:sz w:val="24"/>
        </w:rPr>
        <w:t> </w:t>
      </w:r>
      <w:r>
        <w:rPr>
          <w:spacing w:val="-5"/>
          <w:sz w:val="24"/>
        </w:rPr>
        <w:t>la</w:t>
      </w:r>
    </w:p>
    <w:p>
      <w:pPr>
        <w:pStyle w:val="ListParagraph"/>
        <w:numPr>
          <w:ilvl w:val="0"/>
          <w:numId w:val="16"/>
        </w:numPr>
        <w:tabs>
          <w:tab w:pos="699" w:val="left" w:leader="none"/>
          <w:tab w:pos="700" w:val="left" w:leader="none"/>
        </w:tabs>
        <w:spacing w:line="240" w:lineRule="auto" w:before="134" w:after="0"/>
        <w:ind w:left="699" w:right="0" w:hanging="470"/>
        <w:jc w:val="left"/>
        <w:rPr>
          <w:sz w:val="24"/>
        </w:rPr>
      </w:pPr>
      <w:r>
        <w:rPr>
          <w:sz w:val="24"/>
        </w:rPr>
        <w:t>cavidad</w:t>
      </w:r>
      <w:r>
        <w:rPr>
          <w:spacing w:val="-12"/>
          <w:sz w:val="24"/>
        </w:rPr>
        <w:t> </w:t>
      </w:r>
      <w:r>
        <w:rPr>
          <w:sz w:val="24"/>
        </w:rPr>
        <w:t>corporal,</w:t>
      </w:r>
      <w:r>
        <w:rPr>
          <w:spacing w:val="-5"/>
          <w:sz w:val="24"/>
        </w:rPr>
        <w:t> </w:t>
      </w:r>
      <w:r>
        <w:rPr>
          <w:sz w:val="24"/>
        </w:rPr>
        <w:t>y</w:t>
      </w:r>
      <w:r>
        <w:rPr>
          <w:spacing w:val="-20"/>
          <w:sz w:val="24"/>
        </w:rPr>
        <w:t> </w:t>
      </w:r>
      <w:r>
        <w:rPr>
          <w:sz w:val="24"/>
        </w:rPr>
        <w:t>bajo</w:t>
      </w:r>
      <w:r>
        <w:rPr>
          <w:spacing w:val="-7"/>
          <w:sz w:val="24"/>
        </w:rPr>
        <w:t> </w:t>
      </w:r>
      <w:r>
        <w:rPr>
          <w:sz w:val="24"/>
        </w:rPr>
        <w:t>condiciones</w:t>
      </w:r>
      <w:r>
        <w:rPr>
          <w:spacing w:val="-14"/>
          <w:sz w:val="24"/>
        </w:rPr>
        <w:t> </w:t>
      </w:r>
      <w:r>
        <w:rPr>
          <w:sz w:val="24"/>
        </w:rPr>
        <w:t>de</w:t>
      </w:r>
      <w:r>
        <w:rPr>
          <w:spacing w:val="-13"/>
          <w:sz w:val="24"/>
        </w:rPr>
        <w:t> </w:t>
      </w:r>
      <w:r>
        <w:rPr>
          <w:sz w:val="24"/>
        </w:rPr>
        <w:t>esterilidad</w:t>
      </w:r>
      <w:r>
        <w:rPr>
          <w:spacing w:val="-12"/>
          <w:sz w:val="24"/>
        </w:rPr>
        <w:t> </w:t>
      </w:r>
      <w:r>
        <w:rPr>
          <w:sz w:val="24"/>
        </w:rPr>
        <w:t>se</w:t>
      </w:r>
      <w:r>
        <w:rPr>
          <w:spacing w:val="-13"/>
          <w:sz w:val="24"/>
        </w:rPr>
        <w:t> </w:t>
      </w:r>
      <w:r>
        <w:rPr>
          <w:sz w:val="24"/>
        </w:rPr>
        <w:t>obtuvieron</w:t>
      </w:r>
      <w:r>
        <w:rPr>
          <w:spacing w:val="-12"/>
          <w:sz w:val="24"/>
        </w:rPr>
        <w:t> </w:t>
      </w:r>
      <w:r>
        <w:rPr>
          <w:sz w:val="24"/>
        </w:rPr>
        <w:t>fragmentos</w:t>
      </w:r>
      <w:r>
        <w:rPr>
          <w:spacing w:val="-14"/>
          <w:sz w:val="24"/>
        </w:rPr>
        <w:t> </w:t>
      </w:r>
      <w:r>
        <w:rPr>
          <w:sz w:val="24"/>
        </w:rPr>
        <w:t>de</w:t>
      </w:r>
      <w:r>
        <w:rPr>
          <w:spacing w:val="-13"/>
          <w:sz w:val="24"/>
        </w:rPr>
        <w:t> </w:t>
      </w:r>
      <w:r>
        <w:rPr>
          <w:sz w:val="24"/>
        </w:rPr>
        <w:t>bazo,</w:t>
      </w:r>
      <w:r>
        <w:rPr>
          <w:spacing w:val="-10"/>
          <w:sz w:val="24"/>
        </w:rPr>
        <w:t> </w:t>
      </w:r>
      <w:r>
        <w:rPr>
          <w:spacing w:val="-2"/>
          <w:sz w:val="24"/>
        </w:rPr>
        <w:t>hígado</w:t>
      </w:r>
    </w:p>
    <w:p>
      <w:pPr>
        <w:pStyle w:val="ListParagraph"/>
        <w:numPr>
          <w:ilvl w:val="0"/>
          <w:numId w:val="16"/>
        </w:numPr>
        <w:tabs>
          <w:tab w:pos="699" w:val="left" w:leader="none"/>
          <w:tab w:pos="700" w:val="left" w:leader="none"/>
        </w:tabs>
        <w:spacing w:line="240" w:lineRule="auto" w:before="129" w:after="0"/>
        <w:ind w:left="699" w:right="0" w:hanging="470"/>
        <w:jc w:val="left"/>
        <w:rPr>
          <w:sz w:val="24"/>
        </w:rPr>
      </w:pPr>
      <w:r>
        <w:rPr>
          <w:sz w:val="24"/>
        </w:rPr>
        <w:t>y riñón para  intentar  aislamiento  de agentes bacterianos en  medios convencionales  y </w:t>
      </w:r>
      <w:r>
        <w:rPr>
          <w:spacing w:val="58"/>
          <w:sz w:val="24"/>
        </w:rPr>
        <w:t> </w:t>
      </w:r>
      <w:r>
        <w:rPr>
          <w:sz w:val="24"/>
        </w:rPr>
        <w:t>en</w:t>
      </w:r>
    </w:p>
    <w:p>
      <w:pPr>
        <w:pStyle w:val="ListParagraph"/>
        <w:numPr>
          <w:ilvl w:val="0"/>
          <w:numId w:val="16"/>
        </w:numPr>
        <w:tabs>
          <w:tab w:pos="699" w:val="left" w:leader="none"/>
          <w:tab w:pos="700" w:val="left" w:leader="none"/>
        </w:tabs>
        <w:spacing w:line="240" w:lineRule="auto" w:before="130" w:after="0"/>
        <w:ind w:left="699" w:right="0" w:hanging="470"/>
        <w:jc w:val="left"/>
        <w:rPr>
          <w:sz w:val="24"/>
        </w:rPr>
      </w:pPr>
      <w:r>
        <w:rPr>
          <w:spacing w:val="-3"/>
          <w:sz w:val="24"/>
        </w:rPr>
        <w:t>medio  </w:t>
      </w:r>
      <w:r>
        <w:rPr>
          <w:sz w:val="24"/>
        </w:rPr>
        <w:t>Cystine  Heart  Agar  suplementado  con  Hemoglobina  bovina  al  </w:t>
      </w:r>
      <w:r>
        <w:rPr>
          <w:spacing w:val="4"/>
          <w:sz w:val="24"/>
        </w:rPr>
        <w:t>2%;  </w:t>
      </w:r>
      <w:r>
        <w:rPr>
          <w:sz w:val="24"/>
        </w:rPr>
        <w:t>también</w:t>
      </w:r>
      <w:r>
        <w:rPr>
          <w:spacing w:val="32"/>
          <w:sz w:val="24"/>
        </w:rPr>
        <w:t> </w:t>
      </w:r>
      <w:r>
        <w:rPr>
          <w:sz w:val="24"/>
        </w:rPr>
        <w:t>se</w:t>
      </w:r>
    </w:p>
    <w:p>
      <w:pPr>
        <w:pStyle w:val="ListParagraph"/>
        <w:numPr>
          <w:ilvl w:val="0"/>
          <w:numId w:val="16"/>
        </w:numPr>
        <w:tabs>
          <w:tab w:pos="699" w:val="left" w:leader="none"/>
          <w:tab w:pos="700" w:val="left" w:leader="none"/>
        </w:tabs>
        <w:spacing w:line="240" w:lineRule="auto" w:before="129" w:after="0"/>
        <w:ind w:left="699" w:right="0" w:hanging="470"/>
        <w:jc w:val="left"/>
        <w:rPr>
          <w:sz w:val="24"/>
        </w:rPr>
      </w:pPr>
      <w:r>
        <w:rPr>
          <w:sz w:val="24"/>
        </w:rPr>
        <w:t>realizaron  improntas  del  bazo  y  riñón  afectados.  Para  estudio  histológico  se </w:t>
      </w:r>
      <w:r>
        <w:rPr>
          <w:spacing w:val="36"/>
          <w:sz w:val="24"/>
        </w:rPr>
        <w:t> </w:t>
      </w:r>
      <w:r>
        <w:rPr>
          <w:sz w:val="24"/>
        </w:rPr>
        <w:t>tomaron</w:t>
      </w:r>
    </w:p>
    <w:p>
      <w:pPr>
        <w:pStyle w:val="ListParagraph"/>
        <w:numPr>
          <w:ilvl w:val="0"/>
          <w:numId w:val="16"/>
        </w:numPr>
        <w:tabs>
          <w:tab w:pos="699" w:val="left" w:leader="none"/>
          <w:tab w:pos="700" w:val="left" w:leader="none"/>
        </w:tabs>
        <w:spacing w:line="240" w:lineRule="auto" w:before="134" w:after="0"/>
        <w:ind w:left="699" w:right="0" w:hanging="470"/>
        <w:jc w:val="left"/>
        <w:rPr>
          <w:sz w:val="24"/>
        </w:rPr>
      </w:pPr>
      <w:r>
        <w:rPr>
          <w:sz w:val="24"/>
        </w:rPr>
        <w:t>pequeños</w:t>
      </w:r>
      <w:r>
        <w:rPr>
          <w:spacing w:val="32"/>
          <w:sz w:val="24"/>
        </w:rPr>
        <w:t> </w:t>
      </w:r>
      <w:r>
        <w:rPr>
          <w:sz w:val="24"/>
        </w:rPr>
        <w:t>fragmentos</w:t>
      </w:r>
      <w:r>
        <w:rPr>
          <w:spacing w:val="22"/>
          <w:sz w:val="24"/>
        </w:rPr>
        <w:t> </w:t>
      </w:r>
      <w:r>
        <w:rPr>
          <w:sz w:val="24"/>
        </w:rPr>
        <w:t>de</w:t>
      </w:r>
      <w:r>
        <w:rPr>
          <w:spacing w:val="28"/>
          <w:sz w:val="24"/>
        </w:rPr>
        <w:t> </w:t>
      </w:r>
      <w:r>
        <w:rPr>
          <w:sz w:val="24"/>
        </w:rPr>
        <w:t>hígado,</w:t>
      </w:r>
      <w:r>
        <w:rPr>
          <w:spacing w:val="31"/>
          <w:sz w:val="24"/>
        </w:rPr>
        <w:t> </w:t>
      </w:r>
      <w:r>
        <w:rPr>
          <w:sz w:val="24"/>
        </w:rPr>
        <w:t>bazo,</w:t>
      </w:r>
      <w:r>
        <w:rPr>
          <w:spacing w:val="27"/>
          <w:sz w:val="24"/>
        </w:rPr>
        <w:t> </w:t>
      </w:r>
      <w:r>
        <w:rPr>
          <w:sz w:val="24"/>
        </w:rPr>
        <w:t>riñón,</w:t>
      </w:r>
      <w:r>
        <w:rPr>
          <w:spacing w:val="31"/>
          <w:sz w:val="24"/>
        </w:rPr>
        <w:t> </w:t>
      </w:r>
      <w:r>
        <w:rPr>
          <w:sz w:val="24"/>
        </w:rPr>
        <w:t>corazón,</w:t>
      </w:r>
      <w:r>
        <w:rPr>
          <w:spacing w:val="31"/>
          <w:sz w:val="24"/>
        </w:rPr>
        <w:t> </w:t>
      </w:r>
      <w:r>
        <w:rPr>
          <w:sz w:val="24"/>
        </w:rPr>
        <w:t>branquias,</w:t>
      </w:r>
      <w:r>
        <w:rPr>
          <w:spacing w:val="31"/>
          <w:sz w:val="24"/>
        </w:rPr>
        <w:t> </w:t>
      </w:r>
      <w:r>
        <w:rPr>
          <w:sz w:val="24"/>
        </w:rPr>
        <w:t>cerebro</w:t>
      </w:r>
      <w:r>
        <w:rPr>
          <w:spacing w:val="33"/>
          <w:sz w:val="24"/>
        </w:rPr>
        <w:t> </w:t>
      </w:r>
      <w:r>
        <w:rPr>
          <w:sz w:val="24"/>
        </w:rPr>
        <w:t>e</w:t>
      </w:r>
      <w:r>
        <w:rPr>
          <w:spacing w:val="24"/>
          <w:sz w:val="24"/>
        </w:rPr>
        <w:t> </w:t>
      </w:r>
      <w:r>
        <w:rPr>
          <w:sz w:val="24"/>
        </w:rPr>
        <w:t>intestino</w:t>
      </w:r>
      <w:r>
        <w:rPr>
          <w:spacing w:val="33"/>
          <w:sz w:val="24"/>
        </w:rPr>
        <w:t> </w:t>
      </w:r>
      <w:r>
        <w:rPr>
          <w:sz w:val="24"/>
        </w:rPr>
        <w:t>que</w:t>
      </w:r>
    </w:p>
    <w:p>
      <w:pPr>
        <w:pStyle w:val="ListParagraph"/>
        <w:numPr>
          <w:ilvl w:val="0"/>
          <w:numId w:val="16"/>
        </w:numPr>
        <w:tabs>
          <w:tab w:pos="699" w:val="left" w:leader="none"/>
          <w:tab w:pos="700" w:val="left" w:leader="none"/>
        </w:tabs>
        <w:spacing w:line="240" w:lineRule="auto" w:before="129" w:after="0"/>
        <w:ind w:left="699" w:right="0" w:hanging="470"/>
        <w:jc w:val="left"/>
        <w:rPr>
          <w:sz w:val="24"/>
        </w:rPr>
      </w:pPr>
      <w:r>
        <w:rPr>
          <w:sz w:val="24"/>
        </w:rPr>
        <w:t>fueron depositados en frascos con formol buferizado al 10% para posterior  </w:t>
      </w:r>
      <w:r>
        <w:rPr>
          <w:spacing w:val="51"/>
          <w:sz w:val="24"/>
        </w:rPr>
        <w:t> </w:t>
      </w:r>
      <w:r>
        <w:rPr>
          <w:sz w:val="24"/>
        </w:rPr>
        <w:t>procesamiento</w:t>
      </w:r>
    </w:p>
    <w:p>
      <w:pPr>
        <w:pStyle w:val="ListParagraph"/>
        <w:numPr>
          <w:ilvl w:val="0"/>
          <w:numId w:val="16"/>
        </w:numPr>
        <w:tabs>
          <w:tab w:pos="699" w:val="left" w:leader="none"/>
          <w:tab w:pos="700" w:val="left" w:leader="none"/>
        </w:tabs>
        <w:spacing w:line="240" w:lineRule="auto" w:before="125" w:after="0"/>
        <w:ind w:left="699" w:right="0" w:hanging="470"/>
        <w:jc w:val="left"/>
        <w:rPr>
          <w:sz w:val="24"/>
        </w:rPr>
      </w:pPr>
      <w:r>
        <w:rPr>
          <w:sz w:val="24"/>
        </w:rPr>
        <w:t>para tinción con H&amp;E e interpretación</w:t>
      </w:r>
      <w:r>
        <w:rPr>
          <w:spacing w:val="-26"/>
          <w:sz w:val="24"/>
        </w:rPr>
        <w:t> </w:t>
      </w:r>
      <w:r>
        <w:rPr>
          <w:sz w:val="24"/>
        </w:rPr>
        <w:t>histológica.</w:t>
      </w:r>
    </w:p>
    <w:p>
      <w:pPr>
        <w:pStyle w:val="BodyText"/>
        <w:spacing w:before="2"/>
        <w:rPr>
          <w:rFonts w:ascii="Times New Roman"/>
          <w:sz w:val="23"/>
        </w:rPr>
      </w:pPr>
    </w:p>
    <w:p>
      <w:pPr>
        <w:pStyle w:val="Heading1"/>
        <w:numPr>
          <w:ilvl w:val="0"/>
          <w:numId w:val="16"/>
        </w:numPr>
        <w:tabs>
          <w:tab w:pos="699" w:val="left" w:leader="none"/>
          <w:tab w:pos="700" w:val="left" w:leader="none"/>
        </w:tabs>
        <w:spacing w:line="240" w:lineRule="auto" w:before="69" w:after="0"/>
        <w:ind w:left="699" w:right="0" w:hanging="470"/>
        <w:jc w:val="left"/>
        <w:rPr>
          <w:rFonts w:ascii="Times New Roman" w:hAnsi="Times New Roman"/>
        </w:rPr>
      </w:pPr>
      <w:r>
        <w:rPr>
          <w:rFonts w:ascii="Times New Roman" w:hAnsi="Times New Roman"/>
        </w:rPr>
        <w:t>Extracción de</w:t>
      </w:r>
      <w:r>
        <w:rPr>
          <w:rFonts w:ascii="Times New Roman" w:hAnsi="Times New Roman"/>
          <w:spacing w:val="-3"/>
        </w:rPr>
        <w:t> </w:t>
      </w:r>
      <w:r>
        <w:rPr>
          <w:rFonts w:ascii="Times New Roman" w:hAnsi="Times New Roman"/>
        </w:rPr>
        <w:t>ADN</w:t>
      </w:r>
    </w:p>
    <w:p>
      <w:pPr>
        <w:pStyle w:val="BodyText"/>
        <w:spacing w:before="9"/>
        <w:rPr>
          <w:rFonts w:ascii="Times New Roman"/>
          <w:b/>
          <w:sz w:val="22"/>
        </w:rPr>
      </w:pPr>
    </w:p>
    <w:p>
      <w:pPr>
        <w:pStyle w:val="ListParagraph"/>
        <w:numPr>
          <w:ilvl w:val="0"/>
          <w:numId w:val="16"/>
        </w:numPr>
        <w:tabs>
          <w:tab w:pos="1405" w:val="left" w:leader="none"/>
          <w:tab w:pos="1406" w:val="left" w:leader="none"/>
        </w:tabs>
        <w:spacing w:line="240" w:lineRule="auto" w:before="69" w:after="0"/>
        <w:ind w:left="1405" w:right="0" w:hanging="1287"/>
        <w:jc w:val="left"/>
        <w:rPr>
          <w:sz w:val="24"/>
        </w:rPr>
      </w:pPr>
      <w:r>
        <w:rPr>
          <w:sz w:val="24"/>
        </w:rPr>
        <w:t>Para </w:t>
      </w:r>
      <w:r>
        <w:rPr>
          <w:spacing w:val="-5"/>
          <w:sz w:val="24"/>
        </w:rPr>
        <w:t>la  </w:t>
      </w:r>
      <w:r>
        <w:rPr>
          <w:sz w:val="24"/>
        </w:rPr>
        <w:t>identificación del género y especie de  </w:t>
      </w:r>
      <w:r>
        <w:rPr>
          <w:i/>
          <w:sz w:val="24"/>
        </w:rPr>
        <w:t>Francisella</w:t>
      </w:r>
      <w:r>
        <w:rPr>
          <w:sz w:val="24"/>
        </w:rPr>
        <w:t>, se procedió a extraer  </w:t>
      </w:r>
      <w:r>
        <w:rPr>
          <w:spacing w:val="36"/>
          <w:sz w:val="24"/>
        </w:rPr>
        <w:t> </w:t>
      </w:r>
      <w:r>
        <w:rPr>
          <w:sz w:val="24"/>
        </w:rPr>
        <w:t>el</w:t>
      </w:r>
    </w:p>
    <w:p>
      <w:pPr>
        <w:pStyle w:val="ListParagraph"/>
        <w:numPr>
          <w:ilvl w:val="0"/>
          <w:numId w:val="16"/>
        </w:numPr>
        <w:tabs>
          <w:tab w:pos="699" w:val="left" w:leader="none"/>
          <w:tab w:pos="700" w:val="left" w:leader="none"/>
        </w:tabs>
        <w:spacing w:line="240" w:lineRule="auto" w:before="130" w:after="0"/>
        <w:ind w:left="699" w:right="0" w:hanging="581"/>
        <w:jc w:val="left"/>
        <w:rPr>
          <w:sz w:val="24"/>
        </w:rPr>
      </w:pPr>
      <w:r>
        <w:rPr>
          <w:sz w:val="24"/>
        </w:rPr>
        <w:t>ADN desde muestras de bazo y riñón de 10 peces con granulomas y se depositaron en</w:t>
      </w:r>
      <w:r>
        <w:rPr>
          <w:spacing w:val="-25"/>
          <w:sz w:val="24"/>
        </w:rPr>
        <w:t> </w:t>
      </w:r>
      <w:r>
        <w:rPr>
          <w:sz w:val="24"/>
        </w:rPr>
        <w:t>tubos</w:t>
      </w:r>
    </w:p>
    <w:p>
      <w:pPr>
        <w:pStyle w:val="ListParagraph"/>
        <w:numPr>
          <w:ilvl w:val="0"/>
          <w:numId w:val="16"/>
        </w:numPr>
        <w:tabs>
          <w:tab w:pos="699" w:val="left" w:leader="none"/>
          <w:tab w:pos="700" w:val="left" w:leader="none"/>
        </w:tabs>
        <w:spacing w:line="240" w:lineRule="auto" w:before="129" w:after="0"/>
        <w:ind w:left="699" w:right="0" w:hanging="581"/>
        <w:jc w:val="left"/>
        <w:rPr>
          <w:sz w:val="24"/>
        </w:rPr>
      </w:pPr>
      <w:r>
        <w:rPr>
          <w:sz w:val="24"/>
        </w:rPr>
        <w:t>de</w:t>
      </w:r>
      <w:r>
        <w:rPr>
          <w:spacing w:val="19"/>
          <w:sz w:val="24"/>
        </w:rPr>
        <w:t> </w:t>
      </w:r>
      <w:r>
        <w:rPr>
          <w:sz w:val="24"/>
        </w:rPr>
        <w:t>10</w:t>
      </w:r>
      <w:r>
        <w:rPr>
          <w:spacing w:val="25"/>
          <w:sz w:val="24"/>
        </w:rPr>
        <w:t> </w:t>
      </w:r>
      <w:r>
        <w:rPr>
          <w:spacing w:val="-3"/>
          <w:sz w:val="24"/>
        </w:rPr>
        <w:t>ml</w:t>
      </w:r>
      <w:r>
        <w:rPr>
          <w:spacing w:val="16"/>
          <w:sz w:val="24"/>
        </w:rPr>
        <w:t> </w:t>
      </w:r>
      <w:r>
        <w:rPr>
          <w:sz w:val="24"/>
        </w:rPr>
        <w:t>conteniendo</w:t>
      </w:r>
      <w:r>
        <w:rPr>
          <w:spacing w:val="24"/>
          <w:sz w:val="24"/>
        </w:rPr>
        <w:t> </w:t>
      </w:r>
      <w:r>
        <w:rPr>
          <w:sz w:val="24"/>
        </w:rPr>
        <w:t>5</w:t>
      </w:r>
      <w:r>
        <w:rPr>
          <w:spacing w:val="20"/>
          <w:sz w:val="24"/>
        </w:rPr>
        <w:t> </w:t>
      </w:r>
      <w:r>
        <w:rPr>
          <w:spacing w:val="-3"/>
          <w:sz w:val="24"/>
        </w:rPr>
        <w:t>ml</w:t>
      </w:r>
      <w:r>
        <w:rPr>
          <w:spacing w:val="16"/>
          <w:sz w:val="24"/>
        </w:rPr>
        <w:t> </w:t>
      </w:r>
      <w:r>
        <w:rPr>
          <w:sz w:val="24"/>
        </w:rPr>
        <w:t>de</w:t>
      </w:r>
      <w:r>
        <w:rPr>
          <w:spacing w:val="19"/>
          <w:sz w:val="24"/>
        </w:rPr>
        <w:t> </w:t>
      </w:r>
      <w:r>
        <w:rPr>
          <w:sz w:val="24"/>
        </w:rPr>
        <w:t>etanol</w:t>
      </w:r>
      <w:r>
        <w:rPr>
          <w:spacing w:val="11"/>
          <w:sz w:val="24"/>
        </w:rPr>
        <w:t> </w:t>
      </w:r>
      <w:r>
        <w:rPr>
          <w:sz w:val="24"/>
        </w:rPr>
        <w:t>absoluto.</w:t>
      </w:r>
      <w:r>
        <w:rPr>
          <w:spacing w:val="22"/>
          <w:sz w:val="24"/>
        </w:rPr>
        <w:t> </w:t>
      </w:r>
      <w:r>
        <w:rPr>
          <w:sz w:val="24"/>
        </w:rPr>
        <w:t>Asimismo,</w:t>
      </w:r>
      <w:r>
        <w:rPr>
          <w:spacing w:val="22"/>
          <w:sz w:val="24"/>
        </w:rPr>
        <w:t> </w:t>
      </w:r>
      <w:r>
        <w:rPr>
          <w:sz w:val="24"/>
        </w:rPr>
        <w:t>se</w:t>
      </w:r>
      <w:r>
        <w:rPr>
          <w:spacing w:val="19"/>
          <w:sz w:val="24"/>
        </w:rPr>
        <w:t> </w:t>
      </w:r>
      <w:r>
        <w:rPr>
          <w:sz w:val="24"/>
        </w:rPr>
        <w:t>extrajo</w:t>
      </w:r>
      <w:r>
        <w:rPr>
          <w:spacing w:val="24"/>
          <w:sz w:val="24"/>
        </w:rPr>
        <w:t> </w:t>
      </w:r>
      <w:r>
        <w:rPr>
          <w:sz w:val="24"/>
        </w:rPr>
        <w:t>DNA</w:t>
      </w:r>
      <w:r>
        <w:rPr>
          <w:spacing w:val="15"/>
          <w:sz w:val="24"/>
        </w:rPr>
        <w:t> </w:t>
      </w:r>
      <w:r>
        <w:rPr>
          <w:sz w:val="24"/>
        </w:rPr>
        <w:t>total</w:t>
      </w:r>
      <w:r>
        <w:rPr>
          <w:spacing w:val="11"/>
          <w:sz w:val="24"/>
        </w:rPr>
        <w:t> </w:t>
      </w:r>
      <w:r>
        <w:rPr>
          <w:sz w:val="24"/>
        </w:rPr>
        <w:t>desde</w:t>
      </w:r>
      <w:r>
        <w:rPr>
          <w:spacing w:val="24"/>
          <w:sz w:val="24"/>
        </w:rPr>
        <w:t> </w:t>
      </w:r>
      <w:r>
        <w:rPr>
          <w:sz w:val="24"/>
        </w:rPr>
        <w:t>las</w:t>
      </w:r>
    </w:p>
    <w:p>
      <w:pPr>
        <w:pStyle w:val="ListParagraph"/>
        <w:numPr>
          <w:ilvl w:val="0"/>
          <w:numId w:val="16"/>
        </w:numPr>
        <w:tabs>
          <w:tab w:pos="699" w:val="left" w:leader="none"/>
          <w:tab w:pos="700" w:val="left" w:leader="none"/>
        </w:tabs>
        <w:spacing w:line="240" w:lineRule="auto" w:before="134" w:after="0"/>
        <w:ind w:left="699" w:right="0" w:hanging="581"/>
        <w:jc w:val="left"/>
        <w:rPr>
          <w:sz w:val="24"/>
        </w:rPr>
      </w:pPr>
      <w:r>
        <w:rPr>
          <w:sz w:val="24"/>
        </w:rPr>
        <w:t>colonias aisladas en el </w:t>
      </w:r>
      <w:r>
        <w:rPr>
          <w:spacing w:val="-3"/>
          <w:sz w:val="24"/>
        </w:rPr>
        <w:t>medio </w:t>
      </w:r>
      <w:r>
        <w:rPr>
          <w:sz w:val="24"/>
        </w:rPr>
        <w:t>Cystine Heart Agar suplementado con Hemoglobina bovina</w:t>
      </w:r>
      <w:r>
        <w:rPr>
          <w:spacing w:val="-27"/>
          <w:sz w:val="24"/>
        </w:rPr>
        <w:t> </w:t>
      </w:r>
      <w:r>
        <w:rPr>
          <w:spacing w:val="4"/>
          <w:sz w:val="24"/>
        </w:rPr>
        <w:t>al</w:t>
      </w:r>
    </w:p>
    <w:p>
      <w:pPr>
        <w:pStyle w:val="ListParagraph"/>
        <w:numPr>
          <w:ilvl w:val="0"/>
          <w:numId w:val="16"/>
        </w:numPr>
        <w:tabs>
          <w:tab w:pos="699" w:val="left" w:leader="none"/>
          <w:tab w:pos="700" w:val="left" w:leader="none"/>
        </w:tabs>
        <w:spacing w:line="240" w:lineRule="auto" w:before="129" w:after="0"/>
        <w:ind w:left="699" w:right="0" w:hanging="581"/>
        <w:jc w:val="left"/>
        <w:rPr>
          <w:sz w:val="24"/>
        </w:rPr>
      </w:pPr>
      <w:r>
        <w:rPr>
          <w:sz w:val="24"/>
        </w:rPr>
        <w:t>2%, utilizando el kit E.Z.N.A.® Tissue DNA </w:t>
      </w:r>
      <w:r>
        <w:rPr>
          <w:spacing w:val="-4"/>
          <w:sz w:val="24"/>
        </w:rPr>
        <w:t>Kit </w:t>
      </w:r>
      <w:r>
        <w:rPr>
          <w:sz w:val="24"/>
        </w:rPr>
        <w:t>(Omega Bio-Tek) según las </w:t>
      </w:r>
      <w:r>
        <w:rPr>
          <w:spacing w:val="12"/>
          <w:sz w:val="24"/>
        </w:rPr>
        <w:t> </w:t>
      </w:r>
      <w:r>
        <w:rPr>
          <w:sz w:val="24"/>
        </w:rPr>
        <w:t>instrucciones</w:t>
      </w:r>
    </w:p>
    <w:p>
      <w:pPr>
        <w:pStyle w:val="ListParagraph"/>
        <w:numPr>
          <w:ilvl w:val="0"/>
          <w:numId w:val="16"/>
        </w:numPr>
        <w:tabs>
          <w:tab w:pos="699" w:val="left" w:leader="none"/>
          <w:tab w:pos="700" w:val="left" w:leader="none"/>
        </w:tabs>
        <w:spacing w:line="240" w:lineRule="auto" w:before="125" w:after="0"/>
        <w:ind w:left="699" w:right="0" w:hanging="581"/>
        <w:jc w:val="left"/>
        <w:rPr>
          <w:sz w:val="24"/>
        </w:rPr>
      </w:pPr>
      <w:r>
        <w:rPr>
          <w:sz w:val="24"/>
        </w:rPr>
        <w:t>del fabricante. El DNA eluido se conservó a -20ºC hasta su</w:t>
      </w:r>
      <w:r>
        <w:rPr>
          <w:spacing w:val="-32"/>
          <w:sz w:val="24"/>
        </w:rPr>
        <w:t> </w:t>
      </w:r>
      <w:r>
        <w:rPr>
          <w:sz w:val="24"/>
        </w:rPr>
        <w:t>utilización.</w:t>
      </w:r>
    </w:p>
    <w:p>
      <w:pPr>
        <w:pStyle w:val="BodyText"/>
        <w:spacing w:before="2"/>
        <w:rPr>
          <w:rFonts w:ascii="Times New Roman"/>
          <w:sz w:val="23"/>
        </w:rPr>
      </w:pPr>
    </w:p>
    <w:p>
      <w:pPr>
        <w:pStyle w:val="Heading1"/>
        <w:numPr>
          <w:ilvl w:val="0"/>
          <w:numId w:val="16"/>
        </w:numPr>
        <w:tabs>
          <w:tab w:pos="699" w:val="left" w:leader="none"/>
          <w:tab w:pos="700" w:val="left" w:leader="none"/>
        </w:tabs>
        <w:spacing w:line="240" w:lineRule="auto" w:before="69" w:after="0"/>
        <w:ind w:left="699" w:right="0" w:hanging="581"/>
        <w:jc w:val="left"/>
        <w:rPr>
          <w:rFonts w:ascii="Times New Roman" w:hAnsi="Times New Roman"/>
        </w:rPr>
      </w:pPr>
      <w:r>
        <w:rPr>
          <w:rFonts w:ascii="Times New Roman" w:hAnsi="Times New Roman"/>
        </w:rPr>
        <w:t>Amplificación del gen 16S específico del género </w:t>
      </w:r>
      <w:r>
        <w:rPr>
          <w:rFonts w:ascii="Times New Roman" w:hAnsi="Times New Roman"/>
          <w:i/>
        </w:rPr>
        <w:t>Francisella</w:t>
      </w:r>
      <w:r>
        <w:rPr>
          <w:rFonts w:ascii="Times New Roman" w:hAnsi="Times New Roman"/>
          <w:i/>
          <w:spacing w:val="-22"/>
        </w:rPr>
        <w:t> </w:t>
      </w:r>
      <w:r>
        <w:rPr>
          <w:rFonts w:ascii="Times New Roman" w:hAnsi="Times New Roman"/>
        </w:rPr>
        <w:t>sp.</w:t>
      </w:r>
    </w:p>
    <w:p>
      <w:pPr>
        <w:pStyle w:val="BodyText"/>
        <w:spacing w:before="9"/>
        <w:rPr>
          <w:rFonts w:ascii="Times New Roman"/>
          <w:b/>
          <w:sz w:val="22"/>
        </w:rPr>
      </w:pPr>
    </w:p>
    <w:p>
      <w:pPr>
        <w:pStyle w:val="ListParagraph"/>
        <w:numPr>
          <w:ilvl w:val="0"/>
          <w:numId w:val="16"/>
        </w:numPr>
        <w:tabs>
          <w:tab w:pos="1405" w:val="left" w:leader="none"/>
          <w:tab w:pos="1406" w:val="left" w:leader="none"/>
        </w:tabs>
        <w:spacing w:line="240" w:lineRule="auto" w:before="69" w:after="0"/>
        <w:ind w:left="1405" w:right="0" w:hanging="1287"/>
        <w:jc w:val="left"/>
        <w:rPr>
          <w:sz w:val="24"/>
        </w:rPr>
      </w:pPr>
      <w:r>
        <w:rPr>
          <w:sz w:val="24"/>
        </w:rPr>
        <w:t>Para confirmar </w:t>
      </w:r>
      <w:r>
        <w:rPr>
          <w:spacing w:val="-5"/>
          <w:sz w:val="24"/>
        </w:rPr>
        <w:t>la </w:t>
      </w:r>
      <w:r>
        <w:rPr>
          <w:sz w:val="24"/>
        </w:rPr>
        <w:t>presencia de </w:t>
      </w:r>
      <w:r>
        <w:rPr>
          <w:i/>
          <w:sz w:val="24"/>
        </w:rPr>
        <w:t>Francisella </w:t>
      </w:r>
      <w:r>
        <w:rPr>
          <w:sz w:val="24"/>
        </w:rPr>
        <w:t>sp. en  las muestras, se realizó un</w:t>
      </w:r>
      <w:r>
        <w:rPr>
          <w:spacing w:val="-15"/>
          <w:sz w:val="24"/>
        </w:rPr>
        <w:t> </w:t>
      </w:r>
      <w:r>
        <w:rPr>
          <w:sz w:val="24"/>
        </w:rPr>
        <w:t>PCR</w:t>
      </w:r>
    </w:p>
    <w:p>
      <w:pPr>
        <w:pStyle w:val="ListParagraph"/>
        <w:numPr>
          <w:ilvl w:val="0"/>
          <w:numId w:val="16"/>
        </w:numPr>
        <w:tabs>
          <w:tab w:pos="699" w:val="left" w:leader="none"/>
          <w:tab w:pos="700" w:val="left" w:leader="none"/>
        </w:tabs>
        <w:spacing w:line="240" w:lineRule="auto" w:before="130" w:after="0"/>
        <w:ind w:left="699" w:right="0" w:hanging="581"/>
        <w:jc w:val="left"/>
        <w:rPr>
          <w:sz w:val="24"/>
        </w:rPr>
      </w:pPr>
      <w:r>
        <w:rPr>
          <w:sz w:val="24"/>
        </w:rPr>
        <w:t>confirmatorio para detección del </w:t>
      </w:r>
      <w:r>
        <w:rPr>
          <w:spacing w:val="2"/>
          <w:sz w:val="24"/>
        </w:rPr>
        <w:t>gen </w:t>
      </w:r>
      <w:r>
        <w:rPr>
          <w:sz w:val="24"/>
        </w:rPr>
        <w:t>16S de este género bacteriano (Forsman y </w:t>
      </w:r>
      <w:r>
        <w:rPr>
          <w:spacing w:val="2"/>
          <w:sz w:val="24"/>
        </w:rPr>
        <w:t>col</w:t>
      </w:r>
      <w:r>
        <w:rPr>
          <w:spacing w:val="5"/>
          <w:sz w:val="24"/>
        </w:rPr>
        <w:t> </w:t>
      </w:r>
      <w:r>
        <w:rPr>
          <w:sz w:val="24"/>
        </w:rPr>
        <w:t>1994)</w:t>
      </w:r>
    </w:p>
    <w:p>
      <w:pPr>
        <w:pStyle w:val="ListParagraph"/>
        <w:numPr>
          <w:ilvl w:val="0"/>
          <w:numId w:val="16"/>
        </w:numPr>
        <w:tabs>
          <w:tab w:pos="699" w:val="left" w:leader="none"/>
          <w:tab w:pos="700" w:val="left" w:leader="none"/>
        </w:tabs>
        <w:spacing w:line="240" w:lineRule="auto" w:before="129" w:after="0"/>
        <w:ind w:left="699" w:right="0" w:hanging="581"/>
        <w:jc w:val="left"/>
        <w:rPr>
          <w:sz w:val="24"/>
        </w:rPr>
      </w:pPr>
      <w:r>
        <w:rPr>
          <w:sz w:val="24"/>
        </w:rPr>
        <w:t>en un volumen de reacción de 25µl, integrada por 5X flexi buffer, 25µM MgCl2,</w:t>
      </w:r>
      <w:r>
        <w:rPr>
          <w:spacing w:val="-33"/>
          <w:sz w:val="24"/>
        </w:rPr>
        <w:t> </w:t>
      </w:r>
      <w:r>
        <w:rPr>
          <w:sz w:val="24"/>
        </w:rPr>
        <w:t>12.5µM</w:t>
      </w:r>
    </w:p>
    <w:p>
      <w:pPr>
        <w:pStyle w:val="ListParagraph"/>
        <w:numPr>
          <w:ilvl w:val="0"/>
          <w:numId w:val="16"/>
        </w:numPr>
        <w:tabs>
          <w:tab w:pos="699" w:val="left" w:leader="none"/>
          <w:tab w:pos="700" w:val="left" w:leader="none"/>
        </w:tabs>
        <w:spacing w:line="240" w:lineRule="auto" w:before="134" w:after="0"/>
        <w:ind w:left="699" w:right="0" w:hanging="581"/>
        <w:jc w:val="left"/>
        <w:rPr>
          <w:sz w:val="24"/>
        </w:rPr>
      </w:pPr>
      <w:r>
        <w:rPr>
          <w:sz w:val="24"/>
        </w:rPr>
        <w:t>de cada uno de los primers (F1 y F5 Tablas 1, 2), dNTPs </w:t>
      </w:r>
      <w:r>
        <w:rPr>
          <w:spacing w:val="-4"/>
          <w:sz w:val="24"/>
        </w:rPr>
        <w:t>mix </w:t>
      </w:r>
      <w:r>
        <w:rPr>
          <w:sz w:val="24"/>
        </w:rPr>
        <w:t>10µM, 2.5U de GoTaq</w:t>
      </w:r>
      <w:r>
        <w:rPr>
          <w:spacing w:val="-7"/>
          <w:sz w:val="24"/>
        </w:rPr>
        <w:t> </w:t>
      </w:r>
      <w:r>
        <w:rPr>
          <w:sz w:val="24"/>
        </w:rPr>
        <w:t>flexi</w:t>
      </w:r>
    </w:p>
    <w:p>
      <w:pPr>
        <w:pStyle w:val="ListParagraph"/>
        <w:numPr>
          <w:ilvl w:val="0"/>
          <w:numId w:val="16"/>
        </w:numPr>
        <w:tabs>
          <w:tab w:pos="699" w:val="left" w:leader="none"/>
          <w:tab w:pos="700" w:val="left" w:leader="none"/>
        </w:tabs>
        <w:spacing w:line="240" w:lineRule="auto" w:before="129" w:after="0"/>
        <w:ind w:left="699" w:right="0" w:hanging="581"/>
        <w:jc w:val="left"/>
        <w:rPr>
          <w:sz w:val="24"/>
        </w:rPr>
      </w:pPr>
      <w:r>
        <w:rPr>
          <w:sz w:val="24"/>
        </w:rPr>
        <w:t>DNA (PROMEGA) y 250 </w:t>
      </w:r>
      <w:r>
        <w:rPr>
          <w:spacing w:val="-3"/>
          <w:sz w:val="24"/>
        </w:rPr>
        <w:t>ng </w:t>
      </w:r>
      <w:r>
        <w:rPr>
          <w:sz w:val="24"/>
        </w:rPr>
        <w:t>de DNA. Las muestras se colocaron en termociclador con</w:t>
      </w:r>
      <w:r>
        <w:rPr>
          <w:spacing w:val="-26"/>
          <w:sz w:val="24"/>
        </w:rPr>
        <w:t> </w:t>
      </w:r>
      <w:r>
        <w:rPr>
          <w:sz w:val="24"/>
        </w:rPr>
        <w:t>el</w:t>
      </w:r>
    </w:p>
    <w:p>
      <w:pPr>
        <w:pStyle w:val="ListParagraph"/>
        <w:numPr>
          <w:ilvl w:val="0"/>
          <w:numId w:val="16"/>
        </w:numPr>
        <w:tabs>
          <w:tab w:pos="699" w:val="left" w:leader="none"/>
          <w:tab w:pos="700" w:val="left" w:leader="none"/>
        </w:tabs>
        <w:spacing w:line="240" w:lineRule="auto" w:before="130" w:after="0"/>
        <w:ind w:left="699" w:right="0" w:hanging="581"/>
        <w:jc w:val="left"/>
        <w:rPr>
          <w:sz w:val="24"/>
        </w:rPr>
      </w:pPr>
      <w:r>
        <w:rPr>
          <w:sz w:val="24"/>
        </w:rPr>
        <w:t>siguiente perfil térmico: desnaturalización inicial a 94°C por 3 minutos, seguido por</w:t>
      </w:r>
      <w:r>
        <w:rPr>
          <w:spacing w:val="-34"/>
          <w:sz w:val="24"/>
        </w:rPr>
        <w:t> </w:t>
      </w:r>
      <w:r>
        <w:rPr>
          <w:sz w:val="24"/>
        </w:rPr>
        <w:t>35</w:t>
      </w:r>
    </w:p>
    <w:p>
      <w:pPr>
        <w:pStyle w:val="ListParagraph"/>
        <w:numPr>
          <w:ilvl w:val="0"/>
          <w:numId w:val="16"/>
        </w:numPr>
        <w:tabs>
          <w:tab w:pos="699" w:val="left" w:leader="none"/>
          <w:tab w:pos="700" w:val="left" w:leader="none"/>
        </w:tabs>
        <w:spacing w:line="240" w:lineRule="auto" w:before="129" w:after="0"/>
        <w:ind w:left="699" w:right="0" w:hanging="581"/>
        <w:jc w:val="left"/>
        <w:rPr>
          <w:sz w:val="24"/>
        </w:rPr>
      </w:pPr>
      <w:r>
        <w:rPr>
          <w:sz w:val="24"/>
        </w:rPr>
        <w:t>ciclos de  94°C por 30 s, 60°C por 1 minuto y 72°C 1 minuto por cada </w:t>
      </w:r>
      <w:r>
        <w:rPr>
          <w:spacing w:val="-4"/>
          <w:sz w:val="24"/>
        </w:rPr>
        <w:t>ciclo </w:t>
      </w:r>
      <w:r>
        <w:rPr>
          <w:sz w:val="24"/>
        </w:rPr>
        <w:t>y un ciclo</w:t>
      </w:r>
      <w:r>
        <w:rPr>
          <w:spacing w:val="-5"/>
          <w:sz w:val="24"/>
        </w:rPr>
        <w:t> </w:t>
      </w:r>
      <w:r>
        <w:rPr>
          <w:sz w:val="24"/>
        </w:rPr>
        <w:t>de</w:t>
      </w:r>
    </w:p>
    <w:p>
      <w:pPr>
        <w:pStyle w:val="ListParagraph"/>
        <w:numPr>
          <w:ilvl w:val="0"/>
          <w:numId w:val="16"/>
        </w:numPr>
        <w:tabs>
          <w:tab w:pos="699" w:val="left" w:leader="none"/>
          <w:tab w:pos="700" w:val="left" w:leader="none"/>
        </w:tabs>
        <w:spacing w:line="240" w:lineRule="auto" w:before="129" w:after="0"/>
        <w:ind w:left="699" w:right="0" w:hanging="581"/>
        <w:jc w:val="left"/>
        <w:rPr>
          <w:sz w:val="24"/>
        </w:rPr>
      </w:pPr>
      <w:r>
        <w:rPr>
          <w:sz w:val="24"/>
        </w:rPr>
        <w:t>extensión final por 5 minutos a</w:t>
      </w:r>
      <w:r>
        <w:rPr>
          <w:spacing w:val="-15"/>
          <w:sz w:val="24"/>
        </w:rPr>
        <w:t> </w:t>
      </w:r>
      <w:r>
        <w:rPr>
          <w:sz w:val="24"/>
        </w:rPr>
        <w:t>72°C.</w:t>
      </w:r>
    </w:p>
    <w:p>
      <w:pPr>
        <w:pStyle w:val="BodyText"/>
        <w:spacing w:before="7"/>
        <w:rPr>
          <w:rFonts w:ascii="Times New Roman"/>
          <w:sz w:val="23"/>
        </w:rPr>
      </w:pPr>
    </w:p>
    <w:p>
      <w:pPr>
        <w:pStyle w:val="Heading1"/>
        <w:numPr>
          <w:ilvl w:val="0"/>
          <w:numId w:val="16"/>
        </w:numPr>
        <w:tabs>
          <w:tab w:pos="699" w:val="left" w:leader="none"/>
          <w:tab w:pos="700" w:val="left" w:leader="none"/>
        </w:tabs>
        <w:spacing w:line="240" w:lineRule="auto" w:before="69" w:after="0"/>
        <w:ind w:left="699" w:right="0" w:hanging="581"/>
        <w:jc w:val="left"/>
        <w:rPr>
          <w:rFonts w:ascii="Times New Roman" w:hAnsi="Times New Roman"/>
        </w:rPr>
      </w:pPr>
      <w:r>
        <w:rPr>
          <w:rFonts w:ascii="Times New Roman" w:hAnsi="Times New Roman"/>
        </w:rPr>
        <w:t>Amplificación del gen 16S de Eubacterias y del Espaciador Intergénico</w:t>
      </w:r>
      <w:r>
        <w:rPr>
          <w:rFonts w:ascii="Times New Roman" w:hAnsi="Times New Roman"/>
          <w:spacing w:val="-17"/>
        </w:rPr>
        <w:t> </w:t>
      </w:r>
      <w:r>
        <w:rPr>
          <w:rFonts w:ascii="Times New Roman" w:hAnsi="Times New Roman"/>
        </w:rPr>
        <w:t>16S-23S</w:t>
      </w:r>
    </w:p>
    <w:p>
      <w:pPr>
        <w:pStyle w:val="ListParagraph"/>
        <w:numPr>
          <w:ilvl w:val="0"/>
          <w:numId w:val="16"/>
        </w:numPr>
        <w:tabs>
          <w:tab w:pos="699" w:val="left" w:leader="none"/>
          <w:tab w:pos="700" w:val="left" w:leader="none"/>
        </w:tabs>
        <w:spacing w:line="240" w:lineRule="auto" w:before="125" w:after="0"/>
        <w:ind w:left="699" w:right="0" w:hanging="581"/>
        <w:jc w:val="left"/>
        <w:rPr>
          <w:b/>
          <w:sz w:val="24"/>
        </w:rPr>
      </w:pPr>
      <w:r>
        <w:rPr>
          <w:b/>
          <w:sz w:val="24"/>
        </w:rPr>
        <w:t>(ITS1) de </w:t>
      </w:r>
      <w:r>
        <w:rPr>
          <w:b/>
          <w:i/>
          <w:sz w:val="24"/>
        </w:rPr>
        <w:t>Francisella</w:t>
      </w:r>
      <w:r>
        <w:rPr>
          <w:b/>
          <w:i/>
          <w:spacing w:val="-8"/>
          <w:sz w:val="24"/>
        </w:rPr>
        <w:t> </w:t>
      </w:r>
      <w:r>
        <w:rPr>
          <w:b/>
          <w:sz w:val="24"/>
        </w:rPr>
        <w:t>sp.</w:t>
      </w:r>
    </w:p>
    <w:p>
      <w:pPr>
        <w:pStyle w:val="BodyText"/>
        <w:spacing w:before="9"/>
        <w:rPr>
          <w:rFonts w:ascii="Times New Roman"/>
          <w:b/>
          <w:sz w:val="22"/>
        </w:rPr>
      </w:pPr>
    </w:p>
    <w:p>
      <w:pPr>
        <w:pStyle w:val="ListParagraph"/>
        <w:numPr>
          <w:ilvl w:val="0"/>
          <w:numId w:val="16"/>
        </w:numPr>
        <w:tabs>
          <w:tab w:pos="1405" w:val="left" w:leader="none"/>
          <w:tab w:pos="1406" w:val="left" w:leader="none"/>
        </w:tabs>
        <w:spacing w:line="240" w:lineRule="auto" w:before="69" w:after="0"/>
        <w:ind w:left="1405" w:right="0" w:hanging="1287"/>
        <w:jc w:val="left"/>
        <w:rPr>
          <w:sz w:val="24"/>
        </w:rPr>
      </w:pPr>
      <w:r>
        <w:rPr>
          <w:sz w:val="24"/>
        </w:rPr>
        <w:t>En paralelo, el gen 16S especifico de </w:t>
      </w:r>
      <w:r>
        <w:rPr>
          <w:i/>
          <w:sz w:val="24"/>
        </w:rPr>
        <w:t>Francisella </w:t>
      </w:r>
      <w:r>
        <w:rPr>
          <w:sz w:val="24"/>
        </w:rPr>
        <w:t>sp. se realizó se amplificó del </w:t>
      </w:r>
      <w:r>
        <w:rPr>
          <w:spacing w:val="19"/>
          <w:sz w:val="24"/>
        </w:rPr>
        <w:t> </w:t>
      </w:r>
      <w:r>
        <w:rPr>
          <w:sz w:val="24"/>
        </w:rPr>
        <w:t>gen</w:t>
      </w:r>
    </w:p>
    <w:p>
      <w:pPr>
        <w:pStyle w:val="ListParagraph"/>
        <w:numPr>
          <w:ilvl w:val="0"/>
          <w:numId w:val="16"/>
        </w:numPr>
        <w:tabs>
          <w:tab w:pos="699" w:val="left" w:leader="none"/>
          <w:tab w:pos="700" w:val="left" w:leader="none"/>
        </w:tabs>
        <w:spacing w:line="240" w:lineRule="auto" w:before="129" w:after="0"/>
        <w:ind w:left="699" w:right="0" w:hanging="581"/>
        <w:jc w:val="left"/>
        <w:rPr>
          <w:sz w:val="24"/>
        </w:rPr>
      </w:pPr>
      <w:r>
        <w:rPr>
          <w:sz w:val="24"/>
        </w:rPr>
        <w:t>16S  de Eubacterias del  ADN total extraído  de  las  muestras de tejido  y de  las   </w:t>
      </w:r>
      <w:r>
        <w:rPr>
          <w:spacing w:val="25"/>
          <w:sz w:val="24"/>
        </w:rPr>
        <w:t> </w:t>
      </w:r>
      <w:r>
        <w:rPr>
          <w:sz w:val="24"/>
        </w:rPr>
        <w:t>colonias</w:t>
      </w:r>
    </w:p>
    <w:p>
      <w:pPr>
        <w:spacing w:after="0" w:line="240" w:lineRule="auto"/>
        <w:jc w:val="left"/>
        <w:rPr>
          <w:sz w:val="24"/>
        </w:rPr>
        <w:sectPr>
          <w:pgSz w:w="12240" w:h="15840"/>
          <w:pgMar w:header="752" w:footer="1003" w:top="1000" w:bottom="1200" w:left="1000" w:right="1560"/>
        </w:sectPr>
      </w:pPr>
    </w:p>
    <w:p>
      <w:pPr>
        <w:pStyle w:val="BodyText"/>
        <w:spacing w:before="8"/>
        <w:rPr>
          <w:rFonts w:ascii="Times New Roman"/>
          <w:sz w:val="28"/>
        </w:rPr>
      </w:pPr>
    </w:p>
    <w:p>
      <w:pPr>
        <w:pStyle w:val="ListParagraph"/>
        <w:numPr>
          <w:ilvl w:val="0"/>
          <w:numId w:val="17"/>
        </w:numPr>
        <w:tabs>
          <w:tab w:pos="699" w:val="left" w:leader="none"/>
          <w:tab w:pos="700" w:val="left" w:leader="none"/>
        </w:tabs>
        <w:spacing w:line="240" w:lineRule="auto" w:before="70" w:after="0"/>
        <w:ind w:left="699" w:right="0" w:hanging="470"/>
        <w:jc w:val="left"/>
        <w:rPr>
          <w:sz w:val="24"/>
        </w:rPr>
      </w:pPr>
      <w:r>
        <w:rPr>
          <w:sz w:val="24"/>
        </w:rPr>
        <w:t>obtenidas</w:t>
      </w:r>
      <w:r>
        <w:rPr>
          <w:spacing w:val="-18"/>
          <w:sz w:val="24"/>
        </w:rPr>
        <w:t> </w:t>
      </w:r>
      <w:r>
        <w:rPr>
          <w:sz w:val="24"/>
        </w:rPr>
        <w:t>en</w:t>
      </w:r>
      <w:r>
        <w:rPr>
          <w:spacing w:val="-15"/>
          <w:sz w:val="24"/>
        </w:rPr>
        <w:t> </w:t>
      </w:r>
      <w:r>
        <w:rPr>
          <w:spacing w:val="-3"/>
          <w:sz w:val="24"/>
        </w:rPr>
        <w:t>medio</w:t>
      </w:r>
      <w:r>
        <w:rPr>
          <w:spacing w:val="-11"/>
          <w:sz w:val="24"/>
        </w:rPr>
        <w:t> </w:t>
      </w:r>
      <w:r>
        <w:rPr>
          <w:sz w:val="24"/>
        </w:rPr>
        <w:t>de</w:t>
      </w:r>
      <w:r>
        <w:rPr>
          <w:spacing w:val="-16"/>
          <w:sz w:val="24"/>
        </w:rPr>
        <w:t> </w:t>
      </w:r>
      <w:r>
        <w:rPr>
          <w:sz w:val="24"/>
        </w:rPr>
        <w:t>cultivo,</w:t>
      </w:r>
      <w:r>
        <w:rPr>
          <w:spacing w:val="-13"/>
          <w:sz w:val="24"/>
        </w:rPr>
        <w:t> </w:t>
      </w:r>
      <w:r>
        <w:rPr>
          <w:sz w:val="24"/>
        </w:rPr>
        <w:t>utilizando</w:t>
      </w:r>
      <w:r>
        <w:rPr>
          <w:spacing w:val="-11"/>
          <w:sz w:val="24"/>
        </w:rPr>
        <w:t> </w:t>
      </w:r>
      <w:r>
        <w:rPr>
          <w:sz w:val="24"/>
        </w:rPr>
        <w:t>partidores</w:t>
      </w:r>
      <w:r>
        <w:rPr>
          <w:spacing w:val="-18"/>
          <w:sz w:val="24"/>
        </w:rPr>
        <w:t> </w:t>
      </w:r>
      <w:r>
        <w:rPr>
          <w:sz w:val="24"/>
        </w:rPr>
        <w:t>universales</w:t>
      </w:r>
      <w:r>
        <w:rPr>
          <w:spacing w:val="-18"/>
          <w:sz w:val="24"/>
        </w:rPr>
        <w:t> </w:t>
      </w:r>
      <w:r>
        <w:rPr>
          <w:sz w:val="24"/>
        </w:rPr>
        <w:t>UN</w:t>
      </w:r>
      <w:r>
        <w:rPr>
          <w:spacing w:val="-12"/>
          <w:sz w:val="24"/>
        </w:rPr>
        <w:t> </w:t>
      </w:r>
      <w:r>
        <w:rPr>
          <w:sz w:val="24"/>
        </w:rPr>
        <w:t>y</w:t>
      </w:r>
      <w:r>
        <w:rPr>
          <w:spacing w:val="-25"/>
          <w:sz w:val="24"/>
        </w:rPr>
        <w:t> </w:t>
      </w:r>
      <w:r>
        <w:rPr>
          <w:sz w:val="24"/>
        </w:rPr>
        <w:t>EB</w:t>
      </w:r>
      <w:r>
        <w:rPr>
          <w:spacing w:val="-17"/>
          <w:sz w:val="24"/>
        </w:rPr>
        <w:t> </w:t>
      </w:r>
      <w:r>
        <w:rPr>
          <w:sz w:val="24"/>
        </w:rPr>
        <w:t>(Tablas</w:t>
      </w:r>
      <w:r>
        <w:rPr>
          <w:spacing w:val="-18"/>
          <w:sz w:val="24"/>
        </w:rPr>
        <w:t> </w:t>
      </w:r>
      <w:r>
        <w:rPr>
          <w:sz w:val="24"/>
        </w:rPr>
        <w:t>1,</w:t>
      </w:r>
      <w:r>
        <w:rPr>
          <w:spacing w:val="-13"/>
          <w:sz w:val="24"/>
        </w:rPr>
        <w:t> </w:t>
      </w:r>
      <w:r>
        <w:rPr>
          <w:sz w:val="24"/>
        </w:rPr>
        <w:t>2)</w:t>
      </w:r>
      <w:r>
        <w:rPr>
          <w:spacing w:val="-19"/>
          <w:sz w:val="24"/>
        </w:rPr>
        <w:t> </w:t>
      </w:r>
      <w:r>
        <w:rPr>
          <w:sz w:val="24"/>
        </w:rPr>
        <w:t>(Barry</w:t>
      </w:r>
    </w:p>
    <w:p>
      <w:pPr>
        <w:pStyle w:val="ListParagraph"/>
        <w:numPr>
          <w:ilvl w:val="0"/>
          <w:numId w:val="17"/>
        </w:numPr>
        <w:tabs>
          <w:tab w:pos="699" w:val="left" w:leader="none"/>
          <w:tab w:pos="700" w:val="left" w:leader="none"/>
        </w:tabs>
        <w:spacing w:line="240" w:lineRule="auto" w:before="134" w:after="0"/>
        <w:ind w:left="699" w:right="0" w:hanging="470"/>
        <w:jc w:val="left"/>
        <w:rPr>
          <w:sz w:val="24"/>
        </w:rPr>
      </w:pPr>
      <w:r>
        <w:rPr>
          <w:sz w:val="24"/>
        </w:rPr>
        <w:t>y</w:t>
      </w:r>
      <w:r>
        <w:rPr>
          <w:spacing w:val="-9"/>
          <w:sz w:val="24"/>
        </w:rPr>
        <w:t> </w:t>
      </w:r>
      <w:r>
        <w:rPr>
          <w:spacing w:val="2"/>
          <w:sz w:val="24"/>
        </w:rPr>
        <w:t>col</w:t>
      </w:r>
      <w:r>
        <w:rPr>
          <w:spacing w:val="45"/>
          <w:sz w:val="24"/>
        </w:rPr>
        <w:t> </w:t>
      </w:r>
      <w:r>
        <w:rPr>
          <w:sz w:val="24"/>
        </w:rPr>
        <w:t>1990),</w:t>
      </w:r>
      <w:r>
        <w:rPr>
          <w:spacing w:val="-2"/>
          <w:sz w:val="24"/>
        </w:rPr>
        <w:t> </w:t>
      </w:r>
      <w:r>
        <w:rPr>
          <w:sz w:val="24"/>
        </w:rPr>
        <w:t>que</w:t>
      </w:r>
      <w:r>
        <w:rPr>
          <w:spacing w:val="-5"/>
          <w:sz w:val="24"/>
        </w:rPr>
        <w:t> </w:t>
      </w:r>
      <w:r>
        <w:rPr>
          <w:sz w:val="24"/>
        </w:rPr>
        <w:t>da</w:t>
      </w:r>
      <w:r>
        <w:rPr>
          <w:spacing w:val="-10"/>
          <w:sz w:val="24"/>
        </w:rPr>
        <w:t> </w:t>
      </w:r>
      <w:r>
        <w:rPr>
          <w:sz w:val="24"/>
        </w:rPr>
        <w:t>origen</w:t>
      </w:r>
      <w:r>
        <w:rPr>
          <w:spacing w:val="-9"/>
          <w:sz w:val="24"/>
        </w:rPr>
        <w:t> </w:t>
      </w:r>
      <w:r>
        <w:rPr>
          <w:sz w:val="24"/>
        </w:rPr>
        <w:t>a</w:t>
      </w:r>
      <w:r>
        <w:rPr>
          <w:spacing w:val="-5"/>
          <w:sz w:val="24"/>
        </w:rPr>
        <w:t> </w:t>
      </w:r>
      <w:r>
        <w:rPr>
          <w:sz w:val="24"/>
        </w:rPr>
        <w:t>un</w:t>
      </w:r>
      <w:r>
        <w:rPr>
          <w:spacing w:val="-9"/>
          <w:sz w:val="24"/>
        </w:rPr>
        <w:t> </w:t>
      </w:r>
      <w:r>
        <w:rPr>
          <w:sz w:val="24"/>
        </w:rPr>
        <w:t>producto</w:t>
      </w:r>
      <w:r>
        <w:rPr>
          <w:spacing w:val="1"/>
          <w:sz w:val="24"/>
        </w:rPr>
        <w:t> </w:t>
      </w:r>
      <w:r>
        <w:rPr>
          <w:sz w:val="24"/>
        </w:rPr>
        <w:t>de</w:t>
      </w:r>
      <w:r>
        <w:rPr>
          <w:spacing w:val="-5"/>
          <w:sz w:val="24"/>
        </w:rPr>
        <w:t> </w:t>
      </w:r>
      <w:r>
        <w:rPr>
          <w:sz w:val="24"/>
        </w:rPr>
        <w:t>PCR</w:t>
      </w:r>
      <w:r>
        <w:rPr>
          <w:spacing w:val="-6"/>
          <w:sz w:val="24"/>
        </w:rPr>
        <w:t> </w:t>
      </w:r>
      <w:r>
        <w:rPr>
          <w:sz w:val="24"/>
        </w:rPr>
        <w:t>de</w:t>
      </w:r>
      <w:r>
        <w:rPr>
          <w:spacing w:val="-5"/>
          <w:sz w:val="24"/>
        </w:rPr>
        <w:t> </w:t>
      </w:r>
      <w:r>
        <w:rPr>
          <w:sz w:val="24"/>
        </w:rPr>
        <w:t>1500</w:t>
      </w:r>
      <w:r>
        <w:rPr>
          <w:spacing w:val="-4"/>
          <w:sz w:val="24"/>
        </w:rPr>
        <w:t> </w:t>
      </w:r>
      <w:r>
        <w:rPr>
          <w:sz w:val="24"/>
        </w:rPr>
        <w:t>pb.</w:t>
      </w:r>
      <w:r>
        <w:rPr>
          <w:spacing w:val="-2"/>
          <w:sz w:val="24"/>
        </w:rPr>
        <w:t> </w:t>
      </w:r>
      <w:r>
        <w:rPr>
          <w:sz w:val="24"/>
        </w:rPr>
        <w:t>La</w:t>
      </w:r>
      <w:r>
        <w:rPr>
          <w:spacing w:val="-5"/>
          <w:sz w:val="24"/>
        </w:rPr>
        <w:t> </w:t>
      </w:r>
      <w:r>
        <w:rPr>
          <w:sz w:val="24"/>
        </w:rPr>
        <w:t>reacción</w:t>
      </w:r>
      <w:r>
        <w:rPr>
          <w:spacing w:val="-9"/>
          <w:sz w:val="24"/>
        </w:rPr>
        <w:t> </w:t>
      </w:r>
      <w:r>
        <w:rPr>
          <w:sz w:val="24"/>
        </w:rPr>
        <w:t>de</w:t>
      </w:r>
      <w:r>
        <w:rPr>
          <w:spacing w:val="-5"/>
          <w:sz w:val="24"/>
        </w:rPr>
        <w:t> </w:t>
      </w:r>
      <w:r>
        <w:rPr>
          <w:sz w:val="24"/>
        </w:rPr>
        <w:t>PCR</w:t>
      </w:r>
      <w:r>
        <w:rPr>
          <w:spacing w:val="-6"/>
          <w:sz w:val="24"/>
        </w:rPr>
        <w:t> </w:t>
      </w:r>
      <w:r>
        <w:rPr>
          <w:sz w:val="24"/>
        </w:rPr>
        <w:t>se</w:t>
      </w:r>
      <w:r>
        <w:rPr>
          <w:spacing w:val="-5"/>
          <w:sz w:val="24"/>
        </w:rPr>
        <w:t> </w:t>
      </w:r>
      <w:r>
        <w:rPr>
          <w:sz w:val="24"/>
        </w:rPr>
        <w:t>realizó</w:t>
      </w:r>
    </w:p>
    <w:p>
      <w:pPr>
        <w:pStyle w:val="ListParagraph"/>
        <w:numPr>
          <w:ilvl w:val="0"/>
          <w:numId w:val="17"/>
        </w:numPr>
        <w:tabs>
          <w:tab w:pos="699" w:val="left" w:leader="none"/>
          <w:tab w:pos="700" w:val="left" w:leader="none"/>
        </w:tabs>
        <w:spacing w:line="240" w:lineRule="auto" w:before="129" w:after="0"/>
        <w:ind w:left="699" w:right="0" w:hanging="470"/>
        <w:jc w:val="left"/>
        <w:rPr>
          <w:sz w:val="24"/>
        </w:rPr>
      </w:pPr>
      <w:r>
        <w:rPr>
          <w:sz w:val="24"/>
        </w:rPr>
        <w:t>usando</w:t>
      </w:r>
      <w:r>
        <w:rPr>
          <w:spacing w:val="-1"/>
          <w:sz w:val="24"/>
        </w:rPr>
        <w:t> </w:t>
      </w:r>
      <w:r>
        <w:rPr>
          <w:sz w:val="24"/>
        </w:rPr>
        <w:t>GoTaq</w:t>
      </w:r>
      <w:r>
        <w:rPr>
          <w:spacing w:val="-11"/>
          <w:sz w:val="24"/>
        </w:rPr>
        <w:t> </w:t>
      </w:r>
      <w:r>
        <w:rPr>
          <w:sz w:val="24"/>
        </w:rPr>
        <w:t>DNA</w:t>
      </w:r>
      <w:r>
        <w:rPr>
          <w:spacing w:val="-11"/>
          <w:sz w:val="24"/>
        </w:rPr>
        <w:t> </w:t>
      </w:r>
      <w:r>
        <w:rPr>
          <w:sz w:val="24"/>
        </w:rPr>
        <w:t>Polymerase</w:t>
      </w:r>
      <w:r>
        <w:rPr>
          <w:spacing w:val="-7"/>
          <w:sz w:val="24"/>
        </w:rPr>
        <w:t> </w:t>
      </w:r>
      <w:r>
        <w:rPr>
          <w:sz w:val="24"/>
        </w:rPr>
        <w:t>(Promega)</w:t>
      </w:r>
      <w:r>
        <w:rPr>
          <w:spacing w:val="-4"/>
          <w:sz w:val="24"/>
        </w:rPr>
        <w:t> </w:t>
      </w:r>
      <w:r>
        <w:rPr>
          <w:sz w:val="24"/>
        </w:rPr>
        <w:t>en</w:t>
      </w:r>
      <w:r>
        <w:rPr>
          <w:spacing w:val="-11"/>
          <w:sz w:val="24"/>
        </w:rPr>
        <w:t> </w:t>
      </w:r>
      <w:r>
        <w:rPr>
          <w:sz w:val="24"/>
        </w:rPr>
        <w:t>un</w:t>
      </w:r>
      <w:r>
        <w:rPr>
          <w:spacing w:val="-11"/>
          <w:sz w:val="24"/>
        </w:rPr>
        <w:t> </w:t>
      </w:r>
      <w:r>
        <w:rPr>
          <w:sz w:val="24"/>
        </w:rPr>
        <w:t>volumen</w:t>
      </w:r>
      <w:r>
        <w:rPr>
          <w:spacing w:val="-6"/>
          <w:sz w:val="24"/>
        </w:rPr>
        <w:t> </w:t>
      </w:r>
      <w:r>
        <w:rPr>
          <w:sz w:val="24"/>
        </w:rPr>
        <w:t>final</w:t>
      </w:r>
      <w:r>
        <w:rPr>
          <w:spacing w:val="-14"/>
          <w:sz w:val="24"/>
        </w:rPr>
        <w:t> </w:t>
      </w:r>
      <w:r>
        <w:rPr>
          <w:sz w:val="24"/>
        </w:rPr>
        <w:t>de</w:t>
      </w:r>
      <w:r>
        <w:rPr>
          <w:spacing w:val="-7"/>
          <w:sz w:val="24"/>
        </w:rPr>
        <w:t> </w:t>
      </w:r>
      <w:r>
        <w:rPr>
          <w:sz w:val="24"/>
        </w:rPr>
        <w:t>25</w:t>
      </w:r>
      <w:r>
        <w:rPr>
          <w:spacing w:val="-6"/>
          <w:sz w:val="24"/>
        </w:rPr>
        <w:t> </w:t>
      </w:r>
      <w:r>
        <w:rPr>
          <w:sz w:val="24"/>
        </w:rPr>
        <w:t>µl</w:t>
      </w:r>
      <w:r>
        <w:rPr>
          <w:spacing w:val="-14"/>
          <w:sz w:val="24"/>
        </w:rPr>
        <w:t> </w:t>
      </w:r>
      <w:r>
        <w:rPr>
          <w:sz w:val="24"/>
        </w:rPr>
        <w:t>conteniendo</w:t>
      </w:r>
      <w:r>
        <w:rPr>
          <w:spacing w:val="-1"/>
          <w:sz w:val="24"/>
        </w:rPr>
        <w:t> </w:t>
      </w:r>
      <w:r>
        <w:rPr>
          <w:sz w:val="24"/>
        </w:rPr>
        <w:t>50</w:t>
      </w:r>
      <w:r>
        <w:rPr>
          <w:spacing w:val="-6"/>
          <w:sz w:val="24"/>
        </w:rPr>
        <w:t> </w:t>
      </w:r>
      <w:r>
        <w:rPr>
          <w:spacing w:val="-3"/>
          <w:sz w:val="24"/>
        </w:rPr>
        <w:t>ng</w:t>
      </w:r>
    </w:p>
    <w:p>
      <w:pPr>
        <w:pStyle w:val="ListParagraph"/>
        <w:numPr>
          <w:ilvl w:val="0"/>
          <w:numId w:val="17"/>
        </w:numPr>
        <w:tabs>
          <w:tab w:pos="699" w:val="left" w:leader="none"/>
          <w:tab w:pos="700" w:val="left" w:leader="none"/>
        </w:tabs>
        <w:spacing w:line="240" w:lineRule="auto" w:before="130" w:after="0"/>
        <w:ind w:left="699" w:right="0" w:hanging="470"/>
        <w:jc w:val="left"/>
        <w:rPr>
          <w:sz w:val="24"/>
        </w:rPr>
      </w:pPr>
      <w:r>
        <w:rPr>
          <w:sz w:val="24"/>
        </w:rPr>
        <w:t>de</w:t>
      </w:r>
      <w:r>
        <w:rPr>
          <w:spacing w:val="14"/>
          <w:sz w:val="24"/>
        </w:rPr>
        <w:t> </w:t>
      </w:r>
      <w:r>
        <w:rPr>
          <w:sz w:val="24"/>
        </w:rPr>
        <w:t>templado,</w:t>
      </w:r>
      <w:r>
        <w:rPr>
          <w:spacing w:val="22"/>
          <w:sz w:val="24"/>
        </w:rPr>
        <w:t> </w:t>
      </w:r>
      <w:r>
        <w:rPr>
          <w:sz w:val="24"/>
        </w:rPr>
        <w:t>5X</w:t>
      </w:r>
      <w:r>
        <w:rPr>
          <w:spacing w:val="15"/>
          <w:sz w:val="24"/>
        </w:rPr>
        <w:t> </w:t>
      </w:r>
      <w:r>
        <w:rPr>
          <w:sz w:val="24"/>
        </w:rPr>
        <w:t>GoTaq®</w:t>
      </w:r>
      <w:r>
        <w:rPr>
          <w:spacing w:val="15"/>
          <w:sz w:val="24"/>
        </w:rPr>
        <w:t> </w:t>
      </w:r>
      <w:r>
        <w:rPr>
          <w:sz w:val="24"/>
        </w:rPr>
        <w:t>Flexi</w:t>
      </w:r>
      <w:r>
        <w:rPr>
          <w:spacing w:val="16"/>
          <w:sz w:val="24"/>
        </w:rPr>
        <w:t> </w:t>
      </w:r>
      <w:r>
        <w:rPr>
          <w:sz w:val="24"/>
        </w:rPr>
        <w:t>buffer,</w:t>
      </w:r>
      <w:r>
        <w:rPr>
          <w:spacing w:val="22"/>
          <w:sz w:val="24"/>
        </w:rPr>
        <w:t> </w:t>
      </w:r>
      <w:r>
        <w:rPr>
          <w:sz w:val="24"/>
        </w:rPr>
        <w:t>200</w:t>
      </w:r>
      <w:r>
        <w:rPr>
          <w:spacing w:val="15"/>
          <w:sz w:val="24"/>
        </w:rPr>
        <w:t> </w:t>
      </w:r>
      <w:r>
        <w:rPr>
          <w:spacing w:val="-3"/>
          <w:sz w:val="24"/>
        </w:rPr>
        <w:t>mM</w:t>
      </w:r>
      <w:r>
        <w:rPr>
          <w:spacing w:val="18"/>
          <w:sz w:val="24"/>
        </w:rPr>
        <w:t> </w:t>
      </w:r>
      <w:r>
        <w:rPr>
          <w:sz w:val="24"/>
        </w:rPr>
        <w:t>of</w:t>
      </w:r>
      <w:r>
        <w:rPr>
          <w:spacing w:val="12"/>
          <w:sz w:val="24"/>
        </w:rPr>
        <w:t> </w:t>
      </w:r>
      <w:r>
        <w:rPr>
          <w:sz w:val="24"/>
        </w:rPr>
        <w:t>MgCl2,</w:t>
      </w:r>
      <w:r>
        <w:rPr>
          <w:spacing w:val="22"/>
          <w:sz w:val="24"/>
        </w:rPr>
        <w:t> </w:t>
      </w:r>
      <w:r>
        <w:rPr>
          <w:sz w:val="24"/>
        </w:rPr>
        <w:t>10</w:t>
      </w:r>
      <w:r>
        <w:rPr>
          <w:spacing w:val="15"/>
          <w:sz w:val="24"/>
        </w:rPr>
        <w:t> </w:t>
      </w:r>
      <w:r>
        <w:rPr>
          <w:spacing w:val="-3"/>
          <w:sz w:val="24"/>
        </w:rPr>
        <w:t>mM</w:t>
      </w:r>
      <w:r>
        <w:rPr>
          <w:spacing w:val="18"/>
          <w:sz w:val="24"/>
        </w:rPr>
        <w:t> </w:t>
      </w:r>
      <w:r>
        <w:rPr>
          <w:sz w:val="24"/>
        </w:rPr>
        <w:t>of</w:t>
      </w:r>
      <w:r>
        <w:rPr>
          <w:spacing w:val="12"/>
          <w:sz w:val="24"/>
        </w:rPr>
        <w:t> </w:t>
      </w:r>
      <w:r>
        <w:rPr>
          <w:sz w:val="24"/>
        </w:rPr>
        <w:t>dNTPs,</w:t>
      </w:r>
      <w:r>
        <w:rPr>
          <w:spacing w:val="17"/>
          <w:sz w:val="24"/>
        </w:rPr>
        <w:t> </w:t>
      </w:r>
      <w:r>
        <w:rPr>
          <w:sz w:val="24"/>
        </w:rPr>
        <w:t>25</w:t>
      </w:r>
      <w:r>
        <w:rPr>
          <w:spacing w:val="15"/>
          <w:sz w:val="24"/>
        </w:rPr>
        <w:t> </w:t>
      </w:r>
      <w:r>
        <w:rPr>
          <w:spacing w:val="-3"/>
          <w:sz w:val="24"/>
        </w:rPr>
        <w:t>mM</w:t>
      </w:r>
      <w:r>
        <w:rPr>
          <w:spacing w:val="18"/>
          <w:sz w:val="24"/>
        </w:rPr>
        <w:t> </w:t>
      </w:r>
      <w:r>
        <w:rPr>
          <w:sz w:val="24"/>
        </w:rPr>
        <w:t>de</w:t>
      </w:r>
    </w:p>
    <w:p>
      <w:pPr>
        <w:pStyle w:val="ListParagraph"/>
        <w:numPr>
          <w:ilvl w:val="0"/>
          <w:numId w:val="17"/>
        </w:numPr>
        <w:tabs>
          <w:tab w:pos="699" w:val="left" w:leader="none"/>
          <w:tab w:pos="700" w:val="left" w:leader="none"/>
        </w:tabs>
        <w:spacing w:line="240" w:lineRule="auto" w:before="129" w:after="0"/>
        <w:ind w:left="699" w:right="0" w:hanging="470"/>
        <w:jc w:val="left"/>
        <w:rPr>
          <w:sz w:val="24"/>
        </w:rPr>
      </w:pPr>
      <w:r>
        <w:rPr>
          <w:sz w:val="24"/>
        </w:rPr>
        <w:t>cada</w:t>
      </w:r>
      <w:r>
        <w:rPr>
          <w:spacing w:val="-16"/>
          <w:sz w:val="24"/>
        </w:rPr>
        <w:t> </w:t>
      </w:r>
      <w:r>
        <w:rPr>
          <w:sz w:val="24"/>
        </w:rPr>
        <w:t>primer</w:t>
      </w:r>
      <w:r>
        <w:rPr>
          <w:spacing w:val="-14"/>
          <w:sz w:val="24"/>
        </w:rPr>
        <w:t> </w:t>
      </w:r>
      <w:r>
        <w:rPr>
          <w:sz w:val="24"/>
        </w:rPr>
        <w:t>(UN</w:t>
      </w:r>
      <w:r>
        <w:rPr>
          <w:spacing w:val="-12"/>
          <w:sz w:val="24"/>
        </w:rPr>
        <w:t> </w:t>
      </w:r>
      <w:r>
        <w:rPr>
          <w:sz w:val="24"/>
        </w:rPr>
        <w:t>y</w:t>
      </w:r>
      <w:r>
        <w:rPr>
          <w:spacing w:val="-24"/>
          <w:sz w:val="24"/>
        </w:rPr>
        <w:t> </w:t>
      </w:r>
      <w:r>
        <w:rPr>
          <w:sz w:val="24"/>
        </w:rPr>
        <w:t>EB).</w:t>
      </w:r>
      <w:r>
        <w:rPr>
          <w:spacing w:val="-11"/>
          <w:sz w:val="24"/>
        </w:rPr>
        <w:t> </w:t>
      </w:r>
      <w:r>
        <w:rPr>
          <w:sz w:val="24"/>
        </w:rPr>
        <w:t>La</w:t>
      </w:r>
      <w:r>
        <w:rPr>
          <w:spacing w:val="-16"/>
          <w:sz w:val="24"/>
        </w:rPr>
        <w:t> </w:t>
      </w:r>
      <w:r>
        <w:rPr>
          <w:sz w:val="24"/>
        </w:rPr>
        <w:t>reacción</w:t>
      </w:r>
      <w:r>
        <w:rPr>
          <w:spacing w:val="-20"/>
          <w:sz w:val="24"/>
        </w:rPr>
        <w:t> </w:t>
      </w:r>
      <w:r>
        <w:rPr>
          <w:sz w:val="24"/>
        </w:rPr>
        <w:t>de</w:t>
      </w:r>
      <w:r>
        <w:rPr>
          <w:spacing w:val="-16"/>
          <w:sz w:val="24"/>
        </w:rPr>
        <w:t> </w:t>
      </w:r>
      <w:r>
        <w:rPr>
          <w:sz w:val="24"/>
        </w:rPr>
        <w:t>PCR</w:t>
      </w:r>
      <w:r>
        <w:rPr>
          <w:spacing w:val="-12"/>
          <w:sz w:val="24"/>
        </w:rPr>
        <w:t> </w:t>
      </w:r>
      <w:r>
        <w:rPr>
          <w:sz w:val="24"/>
        </w:rPr>
        <w:t>fue</w:t>
      </w:r>
      <w:r>
        <w:rPr>
          <w:spacing w:val="-16"/>
          <w:sz w:val="24"/>
        </w:rPr>
        <w:t> </w:t>
      </w:r>
      <w:r>
        <w:rPr>
          <w:sz w:val="24"/>
        </w:rPr>
        <w:t>desarrollada</w:t>
      </w:r>
      <w:r>
        <w:rPr>
          <w:spacing w:val="-16"/>
          <w:sz w:val="24"/>
        </w:rPr>
        <w:t> </w:t>
      </w:r>
      <w:r>
        <w:rPr>
          <w:sz w:val="24"/>
        </w:rPr>
        <w:t>usando</w:t>
      </w:r>
      <w:r>
        <w:rPr>
          <w:spacing w:val="-11"/>
          <w:sz w:val="24"/>
        </w:rPr>
        <w:t> </w:t>
      </w:r>
      <w:r>
        <w:rPr>
          <w:sz w:val="24"/>
        </w:rPr>
        <w:t>un</w:t>
      </w:r>
      <w:r>
        <w:rPr>
          <w:spacing w:val="-20"/>
          <w:sz w:val="24"/>
        </w:rPr>
        <w:t> </w:t>
      </w:r>
      <w:r>
        <w:rPr>
          <w:sz w:val="24"/>
        </w:rPr>
        <w:t>MultitiGene</w:t>
      </w:r>
      <w:r>
        <w:rPr>
          <w:spacing w:val="-16"/>
          <w:sz w:val="24"/>
        </w:rPr>
        <w:t> </w:t>
      </w:r>
      <w:r>
        <w:rPr>
          <w:sz w:val="24"/>
        </w:rPr>
        <w:t>gradient</w:t>
      </w:r>
    </w:p>
    <w:p>
      <w:pPr>
        <w:pStyle w:val="ListParagraph"/>
        <w:numPr>
          <w:ilvl w:val="0"/>
          <w:numId w:val="17"/>
        </w:numPr>
        <w:tabs>
          <w:tab w:pos="699" w:val="left" w:leader="none"/>
          <w:tab w:pos="700" w:val="left" w:leader="none"/>
        </w:tabs>
        <w:spacing w:line="240" w:lineRule="auto" w:before="134" w:after="0"/>
        <w:ind w:left="699" w:right="0" w:hanging="470"/>
        <w:jc w:val="left"/>
        <w:rPr>
          <w:sz w:val="24"/>
        </w:rPr>
      </w:pPr>
      <w:r>
        <w:rPr>
          <w:sz w:val="24"/>
        </w:rPr>
        <w:t>thermal</w:t>
      </w:r>
      <w:r>
        <w:rPr>
          <w:spacing w:val="-11"/>
          <w:sz w:val="24"/>
        </w:rPr>
        <w:t> </w:t>
      </w:r>
      <w:r>
        <w:rPr>
          <w:sz w:val="24"/>
        </w:rPr>
        <w:t>cycler</w:t>
      </w:r>
      <w:r>
        <w:rPr>
          <w:spacing w:val="-2"/>
          <w:sz w:val="24"/>
        </w:rPr>
        <w:t> </w:t>
      </w:r>
      <w:r>
        <w:rPr>
          <w:sz w:val="24"/>
        </w:rPr>
        <w:t>and</w:t>
      </w:r>
      <w:r>
        <w:rPr>
          <w:spacing w:val="-3"/>
          <w:sz w:val="24"/>
        </w:rPr>
        <w:t> </w:t>
      </w:r>
      <w:r>
        <w:rPr>
          <w:sz w:val="24"/>
        </w:rPr>
        <w:t>the</w:t>
      </w:r>
      <w:r>
        <w:rPr>
          <w:spacing w:val="-4"/>
          <w:sz w:val="24"/>
        </w:rPr>
        <w:t> </w:t>
      </w:r>
      <w:r>
        <w:rPr>
          <w:sz w:val="24"/>
        </w:rPr>
        <w:t>following</w:t>
      </w:r>
      <w:r>
        <w:rPr>
          <w:spacing w:val="-3"/>
          <w:sz w:val="24"/>
        </w:rPr>
        <w:t> </w:t>
      </w:r>
      <w:r>
        <w:rPr>
          <w:sz w:val="24"/>
        </w:rPr>
        <w:t>settings:</w:t>
      </w:r>
      <w:r>
        <w:rPr>
          <w:spacing w:val="-3"/>
          <w:sz w:val="24"/>
        </w:rPr>
        <w:t> </w:t>
      </w:r>
      <w:r>
        <w:rPr>
          <w:sz w:val="24"/>
        </w:rPr>
        <w:t>94°C for</w:t>
      </w:r>
      <w:r>
        <w:rPr>
          <w:spacing w:val="-2"/>
          <w:sz w:val="24"/>
        </w:rPr>
        <w:t> </w:t>
      </w:r>
      <w:r>
        <w:rPr>
          <w:sz w:val="24"/>
        </w:rPr>
        <w:t>5</w:t>
      </w:r>
      <w:r>
        <w:rPr>
          <w:spacing w:val="-7"/>
          <w:sz w:val="24"/>
        </w:rPr>
        <w:t> </w:t>
      </w:r>
      <w:r>
        <w:rPr>
          <w:spacing w:val="-3"/>
          <w:sz w:val="24"/>
        </w:rPr>
        <w:t>min,</w:t>
      </w:r>
      <w:r>
        <w:rPr>
          <w:spacing w:val="-1"/>
          <w:sz w:val="24"/>
        </w:rPr>
        <w:t> </w:t>
      </w:r>
      <w:r>
        <w:rPr>
          <w:sz w:val="24"/>
        </w:rPr>
        <w:t>followed</w:t>
      </w:r>
      <w:r>
        <w:rPr>
          <w:spacing w:val="1"/>
          <w:sz w:val="24"/>
        </w:rPr>
        <w:t> </w:t>
      </w:r>
      <w:r>
        <w:rPr>
          <w:sz w:val="24"/>
        </w:rPr>
        <w:t>by</w:t>
      </w:r>
      <w:r>
        <w:rPr>
          <w:spacing w:val="-12"/>
          <w:sz w:val="24"/>
        </w:rPr>
        <w:t> </w:t>
      </w:r>
      <w:r>
        <w:rPr>
          <w:sz w:val="24"/>
        </w:rPr>
        <w:t>35</w:t>
      </w:r>
      <w:r>
        <w:rPr>
          <w:spacing w:val="-3"/>
          <w:sz w:val="24"/>
        </w:rPr>
        <w:t> </w:t>
      </w:r>
      <w:r>
        <w:rPr>
          <w:sz w:val="24"/>
        </w:rPr>
        <w:t>cycles</w:t>
      </w:r>
      <w:r>
        <w:rPr>
          <w:spacing w:val="-5"/>
          <w:sz w:val="24"/>
        </w:rPr>
        <w:t> </w:t>
      </w:r>
      <w:r>
        <w:rPr>
          <w:sz w:val="24"/>
        </w:rPr>
        <w:t>at</w:t>
      </w:r>
      <w:r>
        <w:rPr>
          <w:spacing w:val="-3"/>
          <w:sz w:val="24"/>
        </w:rPr>
        <w:t> </w:t>
      </w:r>
      <w:r>
        <w:rPr>
          <w:sz w:val="24"/>
        </w:rPr>
        <w:t>94°C</w:t>
      </w:r>
      <w:r>
        <w:rPr>
          <w:spacing w:val="-5"/>
          <w:sz w:val="24"/>
        </w:rPr>
        <w:t> </w:t>
      </w:r>
      <w:r>
        <w:rPr>
          <w:sz w:val="24"/>
        </w:rPr>
        <w:t>for</w:t>
      </w:r>
    </w:p>
    <w:p>
      <w:pPr>
        <w:pStyle w:val="ListParagraph"/>
        <w:numPr>
          <w:ilvl w:val="0"/>
          <w:numId w:val="17"/>
        </w:numPr>
        <w:tabs>
          <w:tab w:pos="699" w:val="left" w:leader="none"/>
          <w:tab w:pos="700" w:val="left" w:leader="none"/>
        </w:tabs>
        <w:spacing w:line="240" w:lineRule="auto" w:before="125" w:after="0"/>
        <w:ind w:left="699" w:right="0" w:hanging="470"/>
        <w:jc w:val="left"/>
        <w:rPr>
          <w:sz w:val="24"/>
        </w:rPr>
      </w:pPr>
      <w:r>
        <w:rPr>
          <w:sz w:val="24"/>
        </w:rPr>
        <w:t>1 </w:t>
      </w:r>
      <w:r>
        <w:rPr>
          <w:spacing w:val="-3"/>
          <w:sz w:val="24"/>
        </w:rPr>
        <w:t>min, </w:t>
      </w:r>
      <w:r>
        <w:rPr>
          <w:sz w:val="24"/>
        </w:rPr>
        <w:t>57°C for 1 </w:t>
      </w:r>
      <w:r>
        <w:rPr>
          <w:spacing w:val="-3"/>
          <w:sz w:val="24"/>
        </w:rPr>
        <w:t>min, </w:t>
      </w:r>
      <w:r>
        <w:rPr>
          <w:sz w:val="24"/>
        </w:rPr>
        <w:t>and 1 </w:t>
      </w:r>
      <w:r>
        <w:rPr>
          <w:spacing w:val="-4"/>
          <w:sz w:val="24"/>
        </w:rPr>
        <w:t>min </w:t>
      </w:r>
      <w:r>
        <w:rPr>
          <w:sz w:val="24"/>
        </w:rPr>
        <w:t>at 72°C, with a final extension at 72°C for 10</w:t>
      </w:r>
      <w:r>
        <w:rPr>
          <w:spacing w:val="21"/>
          <w:sz w:val="24"/>
        </w:rPr>
        <w:t> </w:t>
      </w:r>
      <w:r>
        <w:rPr>
          <w:spacing w:val="-3"/>
          <w:sz w:val="24"/>
        </w:rPr>
        <w:t>min.</w:t>
      </w:r>
    </w:p>
    <w:p>
      <w:pPr>
        <w:pStyle w:val="BodyText"/>
        <w:spacing w:before="2"/>
        <w:rPr>
          <w:rFonts w:ascii="Times New Roman"/>
          <w:sz w:val="23"/>
        </w:rPr>
      </w:pPr>
    </w:p>
    <w:p>
      <w:pPr>
        <w:pStyle w:val="ListParagraph"/>
        <w:numPr>
          <w:ilvl w:val="0"/>
          <w:numId w:val="17"/>
        </w:numPr>
        <w:tabs>
          <w:tab w:pos="1405" w:val="left" w:leader="none"/>
          <w:tab w:pos="1406" w:val="left" w:leader="none"/>
        </w:tabs>
        <w:spacing w:line="240" w:lineRule="auto" w:before="70" w:after="0"/>
        <w:ind w:left="1405" w:right="0" w:hanging="1176"/>
        <w:jc w:val="left"/>
        <w:rPr>
          <w:sz w:val="24"/>
        </w:rPr>
      </w:pPr>
      <w:r>
        <w:rPr>
          <w:sz w:val="24"/>
        </w:rPr>
        <w:t>Para </w:t>
      </w:r>
      <w:r>
        <w:rPr>
          <w:spacing w:val="-5"/>
          <w:sz w:val="24"/>
        </w:rPr>
        <w:t>la </w:t>
      </w:r>
      <w:r>
        <w:rPr>
          <w:sz w:val="24"/>
        </w:rPr>
        <w:t>amplificación del espaciador 16S-23S se desarrolló con el protocolo</w:t>
      </w:r>
      <w:r>
        <w:rPr>
          <w:spacing w:val="27"/>
          <w:sz w:val="24"/>
        </w:rPr>
        <w:t> </w:t>
      </w:r>
      <w:r>
        <w:rPr>
          <w:sz w:val="24"/>
        </w:rPr>
        <w:t>descrito</w:t>
      </w:r>
    </w:p>
    <w:p>
      <w:pPr>
        <w:pStyle w:val="ListParagraph"/>
        <w:numPr>
          <w:ilvl w:val="0"/>
          <w:numId w:val="17"/>
        </w:numPr>
        <w:tabs>
          <w:tab w:pos="699" w:val="left" w:leader="none"/>
          <w:tab w:pos="700" w:val="left" w:leader="none"/>
        </w:tabs>
        <w:spacing w:line="240" w:lineRule="auto" w:before="129" w:after="0"/>
        <w:ind w:left="699" w:right="0" w:hanging="470"/>
        <w:jc w:val="left"/>
        <w:rPr>
          <w:sz w:val="24"/>
        </w:rPr>
      </w:pPr>
      <w:r>
        <w:rPr>
          <w:sz w:val="24"/>
        </w:rPr>
        <w:t>por</w:t>
      </w:r>
      <w:r>
        <w:rPr>
          <w:spacing w:val="-20"/>
          <w:sz w:val="24"/>
        </w:rPr>
        <w:t> </w:t>
      </w:r>
      <w:r>
        <w:rPr>
          <w:sz w:val="24"/>
        </w:rPr>
        <w:t>(Barry</w:t>
      </w:r>
      <w:r>
        <w:rPr>
          <w:spacing w:val="-21"/>
          <w:sz w:val="24"/>
        </w:rPr>
        <w:t> </w:t>
      </w:r>
      <w:r>
        <w:rPr>
          <w:sz w:val="24"/>
        </w:rPr>
        <w:t>y</w:t>
      </w:r>
      <w:r>
        <w:rPr>
          <w:spacing w:val="-26"/>
          <w:sz w:val="24"/>
        </w:rPr>
        <w:t> </w:t>
      </w:r>
      <w:r>
        <w:rPr>
          <w:spacing w:val="2"/>
          <w:sz w:val="24"/>
        </w:rPr>
        <w:t>col</w:t>
      </w:r>
      <w:r>
        <w:rPr>
          <w:spacing w:val="-26"/>
          <w:sz w:val="24"/>
        </w:rPr>
        <w:t> </w:t>
      </w:r>
      <w:r>
        <w:rPr>
          <w:sz w:val="24"/>
        </w:rPr>
        <w:t>1991)</w:t>
      </w:r>
      <w:r>
        <w:rPr>
          <w:spacing w:val="-16"/>
          <w:sz w:val="24"/>
        </w:rPr>
        <w:t> </w:t>
      </w:r>
      <w:r>
        <w:rPr>
          <w:sz w:val="24"/>
        </w:rPr>
        <w:t>con</w:t>
      </w:r>
      <w:r>
        <w:rPr>
          <w:spacing w:val="-17"/>
          <w:sz w:val="24"/>
        </w:rPr>
        <w:t> </w:t>
      </w:r>
      <w:r>
        <w:rPr>
          <w:sz w:val="24"/>
        </w:rPr>
        <w:t>ligeras</w:t>
      </w:r>
      <w:r>
        <w:rPr>
          <w:spacing w:val="-15"/>
          <w:sz w:val="24"/>
        </w:rPr>
        <w:t> </w:t>
      </w:r>
      <w:r>
        <w:rPr>
          <w:sz w:val="24"/>
        </w:rPr>
        <w:t>modificaciones.</w:t>
      </w:r>
      <w:r>
        <w:rPr>
          <w:spacing w:val="-15"/>
          <w:sz w:val="24"/>
        </w:rPr>
        <w:t> </w:t>
      </w:r>
      <w:r>
        <w:rPr>
          <w:sz w:val="24"/>
        </w:rPr>
        <w:t>La</w:t>
      </w:r>
      <w:r>
        <w:rPr>
          <w:spacing w:val="-14"/>
          <w:sz w:val="24"/>
        </w:rPr>
        <w:t> </w:t>
      </w:r>
      <w:r>
        <w:rPr>
          <w:sz w:val="24"/>
        </w:rPr>
        <w:t>mezcla</w:t>
      </w:r>
      <w:r>
        <w:rPr>
          <w:spacing w:val="-18"/>
          <w:sz w:val="24"/>
        </w:rPr>
        <w:t> </w:t>
      </w:r>
      <w:r>
        <w:rPr>
          <w:sz w:val="24"/>
        </w:rPr>
        <w:t>de</w:t>
      </w:r>
      <w:r>
        <w:rPr>
          <w:spacing w:val="-18"/>
          <w:sz w:val="24"/>
        </w:rPr>
        <w:t> </w:t>
      </w:r>
      <w:r>
        <w:rPr>
          <w:sz w:val="24"/>
        </w:rPr>
        <w:t>PCR</w:t>
      </w:r>
      <w:r>
        <w:rPr>
          <w:spacing w:val="-19"/>
          <w:sz w:val="24"/>
        </w:rPr>
        <w:t> </w:t>
      </w:r>
      <w:r>
        <w:rPr>
          <w:sz w:val="24"/>
        </w:rPr>
        <w:t>fue</w:t>
      </w:r>
      <w:r>
        <w:rPr>
          <w:spacing w:val="-18"/>
          <w:sz w:val="24"/>
        </w:rPr>
        <w:t> </w:t>
      </w:r>
      <w:r>
        <w:rPr>
          <w:sz w:val="24"/>
        </w:rPr>
        <w:t>desarrollada</w:t>
      </w:r>
      <w:r>
        <w:rPr>
          <w:spacing w:val="-18"/>
          <w:sz w:val="24"/>
        </w:rPr>
        <w:t> </w:t>
      </w:r>
      <w:r>
        <w:rPr>
          <w:sz w:val="24"/>
        </w:rPr>
        <w:t>usando</w:t>
      </w:r>
    </w:p>
    <w:p>
      <w:pPr>
        <w:pStyle w:val="ListParagraph"/>
        <w:numPr>
          <w:ilvl w:val="0"/>
          <w:numId w:val="17"/>
        </w:numPr>
        <w:tabs>
          <w:tab w:pos="699" w:val="left" w:leader="none"/>
          <w:tab w:pos="700" w:val="left" w:leader="none"/>
        </w:tabs>
        <w:spacing w:line="240" w:lineRule="auto" w:before="129" w:after="0"/>
        <w:ind w:left="699" w:right="0" w:hanging="581"/>
        <w:jc w:val="left"/>
        <w:rPr>
          <w:sz w:val="24"/>
        </w:rPr>
      </w:pPr>
      <w:r>
        <w:rPr>
          <w:sz w:val="24"/>
        </w:rPr>
        <w:t>GoTaq</w:t>
      </w:r>
      <w:r>
        <w:rPr>
          <w:spacing w:val="14"/>
          <w:sz w:val="24"/>
        </w:rPr>
        <w:t> </w:t>
      </w:r>
      <w:r>
        <w:rPr>
          <w:sz w:val="24"/>
        </w:rPr>
        <w:t>DNA</w:t>
      </w:r>
      <w:r>
        <w:rPr>
          <w:spacing w:val="14"/>
          <w:sz w:val="24"/>
        </w:rPr>
        <w:t> </w:t>
      </w:r>
      <w:r>
        <w:rPr>
          <w:sz w:val="24"/>
        </w:rPr>
        <w:t>Polymerase</w:t>
      </w:r>
      <w:r>
        <w:rPr>
          <w:spacing w:val="18"/>
          <w:sz w:val="24"/>
        </w:rPr>
        <w:t> </w:t>
      </w:r>
      <w:r>
        <w:rPr>
          <w:sz w:val="24"/>
        </w:rPr>
        <w:t>(Promega)</w:t>
      </w:r>
      <w:r>
        <w:rPr>
          <w:spacing w:val="20"/>
          <w:sz w:val="24"/>
        </w:rPr>
        <w:t> </w:t>
      </w:r>
      <w:r>
        <w:rPr>
          <w:sz w:val="24"/>
        </w:rPr>
        <w:t>en</w:t>
      </w:r>
      <w:r>
        <w:rPr>
          <w:spacing w:val="14"/>
          <w:sz w:val="24"/>
        </w:rPr>
        <w:t> </w:t>
      </w:r>
      <w:r>
        <w:rPr>
          <w:sz w:val="24"/>
        </w:rPr>
        <w:t>un</w:t>
      </w:r>
      <w:r>
        <w:rPr>
          <w:spacing w:val="14"/>
          <w:sz w:val="24"/>
        </w:rPr>
        <w:t> </w:t>
      </w:r>
      <w:r>
        <w:rPr>
          <w:sz w:val="24"/>
        </w:rPr>
        <w:t>volumen</w:t>
      </w:r>
      <w:r>
        <w:rPr>
          <w:spacing w:val="18"/>
          <w:sz w:val="24"/>
        </w:rPr>
        <w:t> </w:t>
      </w:r>
      <w:r>
        <w:rPr>
          <w:sz w:val="24"/>
        </w:rPr>
        <w:t>final</w:t>
      </w:r>
      <w:r>
        <w:rPr>
          <w:spacing w:val="15"/>
          <w:sz w:val="24"/>
        </w:rPr>
        <w:t> </w:t>
      </w:r>
      <w:r>
        <w:rPr>
          <w:sz w:val="24"/>
        </w:rPr>
        <w:t>de</w:t>
      </w:r>
      <w:r>
        <w:rPr>
          <w:spacing w:val="18"/>
          <w:sz w:val="24"/>
        </w:rPr>
        <w:t> </w:t>
      </w:r>
      <w:r>
        <w:rPr>
          <w:sz w:val="24"/>
        </w:rPr>
        <w:t>25</w:t>
      </w:r>
      <w:r>
        <w:rPr>
          <w:spacing w:val="19"/>
          <w:sz w:val="24"/>
        </w:rPr>
        <w:t> </w:t>
      </w:r>
      <w:r>
        <w:rPr>
          <w:sz w:val="24"/>
        </w:rPr>
        <w:t>µl</w:t>
      </w:r>
      <w:r>
        <w:rPr>
          <w:spacing w:val="10"/>
          <w:sz w:val="24"/>
        </w:rPr>
        <w:t> </w:t>
      </w:r>
      <w:r>
        <w:rPr>
          <w:sz w:val="24"/>
        </w:rPr>
        <w:t>conteniendo</w:t>
      </w:r>
      <w:r>
        <w:rPr>
          <w:spacing w:val="23"/>
          <w:sz w:val="24"/>
        </w:rPr>
        <w:t> </w:t>
      </w:r>
      <w:r>
        <w:rPr>
          <w:sz w:val="24"/>
        </w:rPr>
        <w:t>100</w:t>
      </w:r>
      <w:r>
        <w:rPr>
          <w:spacing w:val="19"/>
          <w:sz w:val="24"/>
        </w:rPr>
        <w:t> </w:t>
      </w:r>
      <w:r>
        <w:rPr>
          <w:spacing w:val="-3"/>
          <w:sz w:val="24"/>
        </w:rPr>
        <w:t>ng</w:t>
      </w:r>
      <w:r>
        <w:rPr>
          <w:spacing w:val="19"/>
          <w:sz w:val="24"/>
        </w:rPr>
        <w:t> </w:t>
      </w:r>
      <w:r>
        <w:rPr>
          <w:sz w:val="24"/>
        </w:rPr>
        <w:t>de</w:t>
      </w:r>
    </w:p>
    <w:p>
      <w:pPr>
        <w:pStyle w:val="ListParagraph"/>
        <w:numPr>
          <w:ilvl w:val="0"/>
          <w:numId w:val="17"/>
        </w:numPr>
        <w:tabs>
          <w:tab w:pos="699" w:val="left" w:leader="none"/>
          <w:tab w:pos="700" w:val="left" w:leader="none"/>
        </w:tabs>
        <w:spacing w:line="240" w:lineRule="auto" w:before="135" w:after="0"/>
        <w:ind w:left="699" w:right="0" w:hanging="581"/>
        <w:jc w:val="left"/>
        <w:rPr>
          <w:sz w:val="24"/>
        </w:rPr>
      </w:pPr>
      <w:r>
        <w:rPr>
          <w:sz w:val="24"/>
        </w:rPr>
        <w:t>DNA genómico total como templado, 5X GoTaq® Flexi buffer, 200 </w:t>
      </w:r>
      <w:r>
        <w:rPr>
          <w:spacing w:val="-3"/>
          <w:sz w:val="24"/>
        </w:rPr>
        <w:t>mM </w:t>
      </w:r>
      <w:r>
        <w:rPr>
          <w:sz w:val="24"/>
        </w:rPr>
        <w:t>of MgCl2, 10</w:t>
      </w:r>
      <w:r>
        <w:rPr>
          <w:spacing w:val="-16"/>
          <w:sz w:val="24"/>
        </w:rPr>
        <w:t> </w:t>
      </w:r>
      <w:r>
        <w:rPr>
          <w:spacing w:val="-3"/>
          <w:sz w:val="24"/>
        </w:rPr>
        <w:t>mM</w:t>
      </w:r>
    </w:p>
    <w:p>
      <w:pPr>
        <w:pStyle w:val="ListParagraph"/>
        <w:numPr>
          <w:ilvl w:val="0"/>
          <w:numId w:val="17"/>
        </w:numPr>
        <w:tabs>
          <w:tab w:pos="699" w:val="left" w:leader="none"/>
          <w:tab w:pos="700" w:val="left" w:leader="none"/>
        </w:tabs>
        <w:spacing w:line="240" w:lineRule="auto" w:before="129" w:after="0"/>
        <w:ind w:left="699" w:right="0" w:hanging="581"/>
        <w:jc w:val="left"/>
        <w:rPr>
          <w:sz w:val="24"/>
        </w:rPr>
      </w:pPr>
      <w:r>
        <w:rPr>
          <w:sz w:val="24"/>
        </w:rPr>
        <w:t>of</w:t>
      </w:r>
      <w:r>
        <w:rPr>
          <w:spacing w:val="-13"/>
          <w:sz w:val="24"/>
        </w:rPr>
        <w:t> </w:t>
      </w:r>
      <w:r>
        <w:rPr>
          <w:sz w:val="24"/>
        </w:rPr>
        <w:t>dNTPs,</w:t>
      </w:r>
      <w:r>
        <w:rPr>
          <w:spacing w:val="-3"/>
          <w:sz w:val="24"/>
        </w:rPr>
        <w:t> </w:t>
      </w:r>
      <w:r>
        <w:rPr>
          <w:sz w:val="24"/>
        </w:rPr>
        <w:t>25</w:t>
      </w:r>
      <w:r>
        <w:rPr>
          <w:spacing w:val="-10"/>
          <w:sz w:val="24"/>
        </w:rPr>
        <w:t> </w:t>
      </w:r>
      <w:r>
        <w:rPr>
          <w:spacing w:val="-3"/>
          <w:sz w:val="24"/>
        </w:rPr>
        <w:t>mM</w:t>
      </w:r>
      <w:r>
        <w:rPr>
          <w:spacing w:val="-7"/>
          <w:sz w:val="24"/>
        </w:rPr>
        <w:t> </w:t>
      </w:r>
      <w:r>
        <w:rPr>
          <w:sz w:val="24"/>
        </w:rPr>
        <w:t>de</w:t>
      </w:r>
      <w:r>
        <w:rPr>
          <w:spacing w:val="-6"/>
          <w:sz w:val="24"/>
        </w:rPr>
        <w:t> </w:t>
      </w:r>
      <w:r>
        <w:rPr>
          <w:sz w:val="24"/>
        </w:rPr>
        <w:t>cada</w:t>
      </w:r>
      <w:r>
        <w:rPr>
          <w:spacing w:val="-6"/>
          <w:sz w:val="24"/>
        </w:rPr>
        <w:t> </w:t>
      </w:r>
      <w:r>
        <w:rPr>
          <w:sz w:val="24"/>
        </w:rPr>
        <w:t>primer</w:t>
      </w:r>
      <w:r>
        <w:rPr>
          <w:spacing w:val="1"/>
          <w:sz w:val="24"/>
        </w:rPr>
        <w:t> </w:t>
      </w:r>
      <w:r>
        <w:rPr>
          <w:spacing w:val="-3"/>
          <w:sz w:val="24"/>
        </w:rPr>
        <w:t>A1</w:t>
      </w:r>
      <w:r>
        <w:rPr>
          <w:sz w:val="24"/>
        </w:rPr>
        <w:t> y</w:t>
      </w:r>
      <w:r>
        <w:rPr>
          <w:spacing w:val="-14"/>
          <w:sz w:val="24"/>
        </w:rPr>
        <w:t> </w:t>
      </w:r>
      <w:r>
        <w:rPr>
          <w:sz w:val="24"/>
        </w:rPr>
        <w:t>B1</w:t>
      </w:r>
      <w:r>
        <w:rPr>
          <w:spacing w:val="-5"/>
          <w:sz w:val="24"/>
        </w:rPr>
        <w:t> </w:t>
      </w:r>
      <w:r>
        <w:rPr>
          <w:sz w:val="24"/>
        </w:rPr>
        <w:t>(Tablas</w:t>
      </w:r>
      <w:r>
        <w:rPr>
          <w:spacing w:val="-2"/>
          <w:sz w:val="24"/>
        </w:rPr>
        <w:t> </w:t>
      </w:r>
      <w:r>
        <w:rPr>
          <w:sz w:val="24"/>
        </w:rPr>
        <w:t>1,</w:t>
      </w:r>
      <w:r>
        <w:rPr>
          <w:spacing w:val="-3"/>
          <w:sz w:val="24"/>
        </w:rPr>
        <w:t> </w:t>
      </w:r>
      <w:r>
        <w:rPr>
          <w:sz w:val="24"/>
        </w:rPr>
        <w:t>2),</w:t>
      </w:r>
      <w:r>
        <w:rPr>
          <w:spacing w:val="-3"/>
          <w:sz w:val="24"/>
        </w:rPr>
        <w:t> </w:t>
      </w:r>
      <w:r>
        <w:rPr>
          <w:sz w:val="24"/>
        </w:rPr>
        <w:t>que</w:t>
      </w:r>
      <w:r>
        <w:rPr>
          <w:spacing w:val="-15"/>
          <w:sz w:val="24"/>
        </w:rPr>
        <w:t> </w:t>
      </w:r>
      <w:r>
        <w:rPr>
          <w:sz w:val="24"/>
        </w:rPr>
        <w:t>originan</w:t>
      </w:r>
      <w:r>
        <w:rPr>
          <w:spacing w:val="-10"/>
          <w:sz w:val="24"/>
        </w:rPr>
        <w:t> </w:t>
      </w:r>
      <w:r>
        <w:rPr>
          <w:sz w:val="24"/>
        </w:rPr>
        <w:t>un</w:t>
      </w:r>
      <w:r>
        <w:rPr>
          <w:spacing w:val="-10"/>
          <w:sz w:val="24"/>
        </w:rPr>
        <w:t> </w:t>
      </w:r>
      <w:r>
        <w:rPr>
          <w:sz w:val="24"/>
        </w:rPr>
        <w:t>producto de</w:t>
      </w:r>
      <w:r>
        <w:rPr>
          <w:spacing w:val="-6"/>
          <w:sz w:val="24"/>
        </w:rPr>
        <w:t> </w:t>
      </w:r>
      <w:r>
        <w:rPr>
          <w:sz w:val="24"/>
        </w:rPr>
        <w:t>280</w:t>
      </w:r>
      <w:r>
        <w:rPr>
          <w:spacing w:val="-10"/>
          <w:sz w:val="24"/>
        </w:rPr>
        <w:t> </w:t>
      </w:r>
      <w:r>
        <w:rPr>
          <w:sz w:val="24"/>
        </w:rPr>
        <w:t>pb</w:t>
      </w:r>
    </w:p>
    <w:p>
      <w:pPr>
        <w:pStyle w:val="ListParagraph"/>
        <w:numPr>
          <w:ilvl w:val="0"/>
          <w:numId w:val="17"/>
        </w:numPr>
        <w:tabs>
          <w:tab w:pos="699" w:val="left" w:leader="none"/>
          <w:tab w:pos="700" w:val="left" w:leader="none"/>
        </w:tabs>
        <w:spacing w:line="240" w:lineRule="auto" w:before="129" w:after="0"/>
        <w:ind w:left="699" w:right="0" w:hanging="581"/>
        <w:jc w:val="left"/>
        <w:rPr>
          <w:sz w:val="24"/>
        </w:rPr>
      </w:pPr>
      <w:r>
        <w:rPr>
          <w:sz w:val="24"/>
        </w:rPr>
        <w:t>aproximadamente.  La  amplificación  del  producto  de  PCR  </w:t>
      </w:r>
      <w:r>
        <w:rPr>
          <w:spacing w:val="-3"/>
          <w:sz w:val="24"/>
        </w:rPr>
        <w:t>fúe  </w:t>
      </w:r>
      <w:r>
        <w:rPr>
          <w:sz w:val="24"/>
        </w:rPr>
        <w:t>desarrollado  usando </w:t>
      </w:r>
      <w:r>
        <w:rPr>
          <w:spacing w:val="29"/>
          <w:sz w:val="24"/>
        </w:rPr>
        <w:t> </w:t>
      </w:r>
      <w:r>
        <w:rPr>
          <w:sz w:val="24"/>
        </w:rPr>
        <w:t>un</w:t>
      </w:r>
    </w:p>
    <w:p>
      <w:pPr>
        <w:pStyle w:val="ListParagraph"/>
        <w:numPr>
          <w:ilvl w:val="0"/>
          <w:numId w:val="17"/>
        </w:numPr>
        <w:tabs>
          <w:tab w:pos="699" w:val="left" w:leader="none"/>
          <w:tab w:pos="700" w:val="left" w:leader="none"/>
        </w:tabs>
        <w:spacing w:line="240" w:lineRule="auto" w:before="129" w:after="0"/>
        <w:ind w:left="699" w:right="0" w:hanging="581"/>
        <w:jc w:val="left"/>
        <w:rPr>
          <w:sz w:val="24"/>
        </w:rPr>
      </w:pPr>
      <w:r>
        <w:rPr>
          <w:sz w:val="24"/>
        </w:rPr>
        <w:t>MultiGene gradient thermal cycler and the following settings: 94°C for 5 </w:t>
      </w:r>
      <w:r>
        <w:rPr>
          <w:spacing w:val="-4"/>
          <w:sz w:val="24"/>
        </w:rPr>
        <w:t>min, </w:t>
      </w:r>
      <w:r>
        <w:rPr>
          <w:sz w:val="24"/>
        </w:rPr>
        <w:t>followed </w:t>
      </w:r>
      <w:r>
        <w:rPr>
          <w:spacing w:val="47"/>
          <w:sz w:val="24"/>
        </w:rPr>
        <w:t> </w:t>
      </w:r>
      <w:r>
        <w:rPr>
          <w:sz w:val="24"/>
        </w:rPr>
        <w:t>by</w:t>
      </w:r>
    </w:p>
    <w:p>
      <w:pPr>
        <w:pStyle w:val="ListParagraph"/>
        <w:numPr>
          <w:ilvl w:val="0"/>
          <w:numId w:val="17"/>
        </w:numPr>
        <w:tabs>
          <w:tab w:pos="699" w:val="left" w:leader="none"/>
          <w:tab w:pos="700" w:val="left" w:leader="none"/>
        </w:tabs>
        <w:spacing w:line="240" w:lineRule="auto" w:before="130" w:after="0"/>
        <w:ind w:left="699" w:right="0" w:hanging="581"/>
        <w:jc w:val="left"/>
        <w:rPr>
          <w:sz w:val="24"/>
        </w:rPr>
      </w:pPr>
      <w:r>
        <w:rPr>
          <w:sz w:val="24"/>
        </w:rPr>
        <w:t>35</w:t>
      </w:r>
      <w:r>
        <w:rPr>
          <w:spacing w:val="14"/>
          <w:sz w:val="24"/>
        </w:rPr>
        <w:t> </w:t>
      </w:r>
      <w:r>
        <w:rPr>
          <w:sz w:val="24"/>
        </w:rPr>
        <w:t>cycles</w:t>
      </w:r>
      <w:r>
        <w:rPr>
          <w:spacing w:val="12"/>
          <w:sz w:val="24"/>
        </w:rPr>
        <w:t> </w:t>
      </w:r>
      <w:r>
        <w:rPr>
          <w:sz w:val="24"/>
        </w:rPr>
        <w:t>at</w:t>
      </w:r>
      <w:r>
        <w:rPr>
          <w:spacing w:val="19"/>
          <w:sz w:val="24"/>
        </w:rPr>
        <w:t> </w:t>
      </w:r>
      <w:r>
        <w:rPr>
          <w:sz w:val="24"/>
        </w:rPr>
        <w:t>94°C</w:t>
      </w:r>
      <w:r>
        <w:rPr>
          <w:spacing w:val="17"/>
          <w:sz w:val="24"/>
        </w:rPr>
        <w:t> </w:t>
      </w:r>
      <w:r>
        <w:rPr>
          <w:sz w:val="24"/>
        </w:rPr>
        <w:t>for</w:t>
      </w:r>
      <w:r>
        <w:rPr>
          <w:spacing w:val="16"/>
          <w:sz w:val="24"/>
        </w:rPr>
        <w:t> </w:t>
      </w:r>
      <w:r>
        <w:rPr>
          <w:sz w:val="24"/>
        </w:rPr>
        <w:t>1</w:t>
      </w:r>
      <w:r>
        <w:rPr>
          <w:spacing w:val="19"/>
          <w:sz w:val="24"/>
        </w:rPr>
        <w:t> </w:t>
      </w:r>
      <w:r>
        <w:rPr>
          <w:spacing w:val="-3"/>
          <w:sz w:val="24"/>
        </w:rPr>
        <w:t>min,</w:t>
      </w:r>
      <w:r>
        <w:rPr>
          <w:spacing w:val="16"/>
          <w:sz w:val="24"/>
        </w:rPr>
        <w:t> </w:t>
      </w:r>
      <w:r>
        <w:rPr>
          <w:sz w:val="24"/>
        </w:rPr>
        <w:t>50°C</w:t>
      </w:r>
      <w:r>
        <w:rPr>
          <w:spacing w:val="17"/>
          <w:sz w:val="24"/>
        </w:rPr>
        <w:t> </w:t>
      </w:r>
      <w:r>
        <w:rPr>
          <w:sz w:val="24"/>
        </w:rPr>
        <w:t>for</w:t>
      </w:r>
      <w:r>
        <w:rPr>
          <w:spacing w:val="16"/>
          <w:sz w:val="24"/>
        </w:rPr>
        <w:t> </w:t>
      </w:r>
      <w:r>
        <w:rPr>
          <w:sz w:val="24"/>
        </w:rPr>
        <w:t>1</w:t>
      </w:r>
      <w:r>
        <w:rPr>
          <w:spacing w:val="19"/>
          <w:sz w:val="24"/>
        </w:rPr>
        <w:t> </w:t>
      </w:r>
      <w:r>
        <w:rPr>
          <w:spacing w:val="-4"/>
          <w:sz w:val="24"/>
        </w:rPr>
        <w:t>min,</w:t>
      </w:r>
      <w:r>
        <w:rPr>
          <w:spacing w:val="16"/>
          <w:sz w:val="24"/>
        </w:rPr>
        <w:t> </w:t>
      </w:r>
      <w:r>
        <w:rPr>
          <w:sz w:val="24"/>
        </w:rPr>
        <w:t>and</w:t>
      </w:r>
      <w:r>
        <w:rPr>
          <w:spacing w:val="19"/>
          <w:sz w:val="24"/>
        </w:rPr>
        <w:t> </w:t>
      </w:r>
      <w:r>
        <w:rPr>
          <w:sz w:val="24"/>
        </w:rPr>
        <w:t>1</w:t>
      </w:r>
      <w:r>
        <w:rPr>
          <w:spacing w:val="19"/>
          <w:sz w:val="24"/>
        </w:rPr>
        <w:t> </w:t>
      </w:r>
      <w:r>
        <w:rPr>
          <w:spacing w:val="-4"/>
          <w:sz w:val="24"/>
        </w:rPr>
        <w:t>min</w:t>
      </w:r>
      <w:r>
        <w:rPr>
          <w:spacing w:val="14"/>
          <w:sz w:val="24"/>
        </w:rPr>
        <w:t> </w:t>
      </w:r>
      <w:r>
        <w:rPr>
          <w:sz w:val="24"/>
        </w:rPr>
        <w:t>at</w:t>
      </w:r>
      <w:r>
        <w:rPr>
          <w:spacing w:val="19"/>
          <w:sz w:val="24"/>
        </w:rPr>
        <w:t> </w:t>
      </w:r>
      <w:r>
        <w:rPr>
          <w:sz w:val="24"/>
        </w:rPr>
        <w:t>72°C,</w:t>
      </w:r>
      <w:r>
        <w:rPr>
          <w:spacing w:val="16"/>
          <w:sz w:val="24"/>
        </w:rPr>
        <w:t> </w:t>
      </w:r>
      <w:r>
        <w:rPr>
          <w:sz w:val="24"/>
        </w:rPr>
        <w:t>with</w:t>
      </w:r>
      <w:r>
        <w:rPr>
          <w:spacing w:val="9"/>
          <w:sz w:val="24"/>
        </w:rPr>
        <w:t> </w:t>
      </w:r>
      <w:r>
        <w:rPr>
          <w:sz w:val="24"/>
        </w:rPr>
        <w:t>a</w:t>
      </w:r>
      <w:r>
        <w:rPr>
          <w:spacing w:val="18"/>
          <w:sz w:val="24"/>
        </w:rPr>
        <w:t> </w:t>
      </w:r>
      <w:r>
        <w:rPr>
          <w:sz w:val="24"/>
        </w:rPr>
        <w:t>final</w:t>
      </w:r>
      <w:r>
        <w:rPr>
          <w:spacing w:val="10"/>
          <w:sz w:val="24"/>
        </w:rPr>
        <w:t> </w:t>
      </w:r>
      <w:r>
        <w:rPr>
          <w:sz w:val="24"/>
        </w:rPr>
        <w:t>extension</w:t>
      </w:r>
      <w:r>
        <w:rPr>
          <w:spacing w:val="9"/>
          <w:sz w:val="24"/>
        </w:rPr>
        <w:t> </w:t>
      </w:r>
      <w:r>
        <w:rPr>
          <w:sz w:val="24"/>
        </w:rPr>
        <w:t>at</w:t>
      </w:r>
    </w:p>
    <w:p>
      <w:pPr>
        <w:pStyle w:val="ListParagraph"/>
        <w:numPr>
          <w:ilvl w:val="0"/>
          <w:numId w:val="17"/>
        </w:numPr>
        <w:tabs>
          <w:tab w:pos="699" w:val="left" w:leader="none"/>
          <w:tab w:pos="700" w:val="left" w:leader="none"/>
        </w:tabs>
        <w:spacing w:line="240" w:lineRule="auto" w:before="129" w:after="0"/>
        <w:ind w:left="699" w:right="0" w:hanging="581"/>
        <w:jc w:val="left"/>
        <w:rPr>
          <w:sz w:val="24"/>
        </w:rPr>
      </w:pPr>
      <w:r>
        <w:rPr>
          <w:sz w:val="24"/>
        </w:rPr>
        <w:t>72°C for 10 </w:t>
      </w:r>
      <w:r>
        <w:rPr>
          <w:spacing w:val="-4"/>
          <w:sz w:val="24"/>
        </w:rPr>
        <w:t>min. </w:t>
      </w:r>
      <w:r>
        <w:rPr>
          <w:sz w:val="24"/>
        </w:rPr>
        <w:t>Los productos de PCR fueron resueltos en un gel de agarosa al</w:t>
      </w:r>
      <w:r>
        <w:rPr>
          <w:spacing w:val="-3"/>
          <w:sz w:val="24"/>
        </w:rPr>
        <w:t> </w:t>
      </w:r>
      <w:r>
        <w:rPr>
          <w:sz w:val="24"/>
        </w:rPr>
        <w:t>1,5%.</w:t>
      </w:r>
    </w:p>
    <w:p>
      <w:pPr>
        <w:pStyle w:val="BodyText"/>
        <w:spacing w:before="2"/>
        <w:rPr>
          <w:rFonts w:ascii="Times New Roman"/>
          <w:sz w:val="23"/>
        </w:rPr>
      </w:pPr>
    </w:p>
    <w:p>
      <w:pPr>
        <w:pStyle w:val="Heading1"/>
        <w:numPr>
          <w:ilvl w:val="0"/>
          <w:numId w:val="17"/>
        </w:numPr>
        <w:tabs>
          <w:tab w:pos="699" w:val="left" w:leader="none"/>
          <w:tab w:pos="700" w:val="left" w:leader="none"/>
        </w:tabs>
        <w:spacing w:line="240" w:lineRule="auto" w:before="69" w:after="0"/>
        <w:ind w:left="699" w:right="0" w:hanging="581"/>
        <w:jc w:val="left"/>
        <w:rPr>
          <w:rFonts w:ascii="Times New Roman"/>
        </w:rPr>
      </w:pPr>
      <w:r>
        <w:rPr>
          <w:rFonts w:ascii="Times New Roman"/>
        </w:rPr>
        <w:t>Real time</w:t>
      </w:r>
      <w:r>
        <w:rPr>
          <w:rFonts w:ascii="Times New Roman"/>
          <w:spacing w:val="-10"/>
        </w:rPr>
        <w:t> </w:t>
      </w:r>
      <w:r>
        <w:rPr>
          <w:rFonts w:ascii="Times New Roman"/>
        </w:rPr>
        <w:t>PCR</w:t>
      </w:r>
    </w:p>
    <w:p>
      <w:pPr>
        <w:pStyle w:val="BodyText"/>
        <w:spacing w:before="9"/>
        <w:rPr>
          <w:rFonts w:ascii="Times New Roman"/>
          <w:b/>
          <w:sz w:val="22"/>
        </w:rPr>
      </w:pPr>
    </w:p>
    <w:p>
      <w:pPr>
        <w:pStyle w:val="ListParagraph"/>
        <w:numPr>
          <w:ilvl w:val="0"/>
          <w:numId w:val="17"/>
        </w:numPr>
        <w:tabs>
          <w:tab w:pos="1405" w:val="left" w:leader="none"/>
          <w:tab w:pos="1406" w:val="left" w:leader="none"/>
        </w:tabs>
        <w:spacing w:line="240" w:lineRule="auto" w:before="69" w:after="0"/>
        <w:ind w:left="1405" w:right="0" w:hanging="1287"/>
        <w:jc w:val="left"/>
        <w:rPr>
          <w:sz w:val="24"/>
        </w:rPr>
      </w:pPr>
      <w:r>
        <w:rPr>
          <w:sz w:val="24"/>
        </w:rPr>
        <w:t>Para determinar  </w:t>
      </w:r>
      <w:r>
        <w:rPr>
          <w:spacing w:val="-5"/>
          <w:sz w:val="24"/>
        </w:rPr>
        <w:t>la  </w:t>
      </w:r>
      <w:r>
        <w:rPr>
          <w:sz w:val="24"/>
        </w:rPr>
        <w:t>especie de  </w:t>
      </w:r>
      <w:r>
        <w:rPr>
          <w:i/>
          <w:sz w:val="24"/>
        </w:rPr>
        <w:t>Francisella </w:t>
      </w:r>
      <w:r>
        <w:rPr>
          <w:sz w:val="24"/>
        </w:rPr>
        <w:t>presente tanto  en </w:t>
      </w:r>
      <w:r>
        <w:rPr>
          <w:spacing w:val="-3"/>
          <w:sz w:val="24"/>
        </w:rPr>
        <w:t>las  </w:t>
      </w:r>
      <w:r>
        <w:rPr>
          <w:sz w:val="24"/>
        </w:rPr>
        <w:t>muestras de</w:t>
      </w:r>
      <w:r>
        <w:rPr>
          <w:spacing w:val="36"/>
          <w:sz w:val="24"/>
        </w:rPr>
        <w:t> </w:t>
      </w:r>
      <w:r>
        <w:rPr>
          <w:sz w:val="24"/>
        </w:rPr>
        <w:t>tejido</w:t>
      </w:r>
    </w:p>
    <w:p>
      <w:pPr>
        <w:pStyle w:val="ListParagraph"/>
        <w:numPr>
          <w:ilvl w:val="0"/>
          <w:numId w:val="17"/>
        </w:numPr>
        <w:tabs>
          <w:tab w:pos="699" w:val="left" w:leader="none"/>
          <w:tab w:pos="700" w:val="left" w:leader="none"/>
        </w:tabs>
        <w:spacing w:line="240" w:lineRule="auto" w:before="129" w:after="0"/>
        <w:ind w:left="699" w:right="0" w:hanging="581"/>
        <w:jc w:val="left"/>
        <w:rPr>
          <w:sz w:val="24"/>
        </w:rPr>
      </w:pPr>
      <w:r>
        <w:rPr>
          <w:sz w:val="24"/>
        </w:rPr>
        <w:t>como en las colonias obtenidas en el </w:t>
      </w:r>
      <w:r>
        <w:rPr>
          <w:spacing w:val="-3"/>
          <w:sz w:val="24"/>
        </w:rPr>
        <w:t>medio </w:t>
      </w:r>
      <w:r>
        <w:rPr>
          <w:sz w:val="24"/>
        </w:rPr>
        <w:t>de cultivo enriquecido, se realizó una  </w:t>
      </w:r>
      <w:r>
        <w:rPr>
          <w:spacing w:val="10"/>
          <w:sz w:val="24"/>
        </w:rPr>
        <w:t> </w:t>
      </w:r>
      <w:r>
        <w:rPr>
          <w:sz w:val="24"/>
        </w:rPr>
        <w:t>reacción</w:t>
      </w:r>
    </w:p>
    <w:p>
      <w:pPr>
        <w:pStyle w:val="ListParagraph"/>
        <w:numPr>
          <w:ilvl w:val="0"/>
          <w:numId w:val="17"/>
        </w:numPr>
        <w:tabs>
          <w:tab w:pos="699" w:val="left" w:leader="none"/>
          <w:tab w:pos="700" w:val="left" w:leader="none"/>
        </w:tabs>
        <w:spacing w:line="240" w:lineRule="auto" w:before="129" w:after="0"/>
        <w:ind w:left="699" w:right="0" w:hanging="581"/>
        <w:jc w:val="left"/>
        <w:rPr>
          <w:sz w:val="24"/>
        </w:rPr>
      </w:pPr>
      <w:r>
        <w:rPr>
          <w:sz w:val="24"/>
        </w:rPr>
        <w:t>de</w:t>
      </w:r>
      <w:r>
        <w:rPr>
          <w:spacing w:val="-8"/>
          <w:sz w:val="24"/>
        </w:rPr>
        <w:t> </w:t>
      </w:r>
      <w:r>
        <w:rPr>
          <w:sz w:val="24"/>
        </w:rPr>
        <w:t>PCR</w:t>
      </w:r>
      <w:r>
        <w:rPr>
          <w:spacing w:val="-8"/>
          <w:sz w:val="24"/>
        </w:rPr>
        <w:t> </w:t>
      </w:r>
      <w:r>
        <w:rPr>
          <w:sz w:val="24"/>
        </w:rPr>
        <w:t>para</w:t>
      </w:r>
      <w:r>
        <w:rPr>
          <w:spacing w:val="-12"/>
          <w:sz w:val="24"/>
        </w:rPr>
        <w:t> </w:t>
      </w:r>
      <w:r>
        <w:rPr>
          <w:sz w:val="24"/>
        </w:rPr>
        <w:t>amplificar</w:t>
      </w:r>
      <w:r>
        <w:rPr>
          <w:spacing w:val="-5"/>
          <w:sz w:val="24"/>
        </w:rPr>
        <w:t> </w:t>
      </w:r>
      <w:r>
        <w:rPr>
          <w:sz w:val="24"/>
        </w:rPr>
        <w:t>parte</w:t>
      </w:r>
      <w:r>
        <w:rPr>
          <w:spacing w:val="-12"/>
          <w:sz w:val="24"/>
        </w:rPr>
        <w:t> </w:t>
      </w:r>
      <w:r>
        <w:rPr>
          <w:sz w:val="24"/>
        </w:rPr>
        <w:t>del</w:t>
      </w:r>
      <w:r>
        <w:rPr>
          <w:spacing w:val="-15"/>
          <w:sz w:val="24"/>
        </w:rPr>
        <w:t> </w:t>
      </w:r>
      <w:r>
        <w:rPr>
          <w:sz w:val="24"/>
        </w:rPr>
        <w:t>gen</w:t>
      </w:r>
      <w:r>
        <w:rPr>
          <w:spacing w:val="-7"/>
          <w:sz w:val="24"/>
        </w:rPr>
        <w:t> </w:t>
      </w:r>
      <w:r>
        <w:rPr>
          <w:sz w:val="24"/>
        </w:rPr>
        <w:t>iglC</w:t>
      </w:r>
      <w:r>
        <w:rPr>
          <w:spacing w:val="-8"/>
          <w:sz w:val="24"/>
        </w:rPr>
        <w:t> </w:t>
      </w:r>
      <w:r>
        <w:rPr>
          <w:sz w:val="24"/>
        </w:rPr>
        <w:t>de</w:t>
      </w:r>
      <w:r>
        <w:rPr>
          <w:spacing w:val="-3"/>
          <w:sz w:val="24"/>
        </w:rPr>
        <w:t> </w:t>
      </w:r>
      <w:r>
        <w:rPr>
          <w:i/>
          <w:sz w:val="24"/>
        </w:rPr>
        <w:t>Francisella</w:t>
      </w:r>
      <w:r>
        <w:rPr>
          <w:i/>
          <w:spacing w:val="-7"/>
          <w:sz w:val="24"/>
        </w:rPr>
        <w:t> </w:t>
      </w:r>
      <w:r>
        <w:rPr>
          <w:i/>
          <w:sz w:val="24"/>
        </w:rPr>
        <w:t>noatunensis</w:t>
      </w:r>
      <w:r>
        <w:rPr>
          <w:i/>
          <w:spacing w:val="-7"/>
          <w:sz w:val="24"/>
        </w:rPr>
        <w:t> </w:t>
      </w:r>
      <w:r>
        <w:rPr>
          <w:sz w:val="24"/>
        </w:rPr>
        <w:t>subsp</w:t>
      </w:r>
      <w:r>
        <w:rPr>
          <w:i/>
          <w:sz w:val="24"/>
        </w:rPr>
        <w:t>.</w:t>
      </w:r>
      <w:r>
        <w:rPr>
          <w:i/>
          <w:spacing w:val="-5"/>
          <w:sz w:val="24"/>
        </w:rPr>
        <w:t> </w:t>
      </w:r>
      <w:r>
        <w:rPr>
          <w:i/>
          <w:sz w:val="24"/>
        </w:rPr>
        <w:t>orientalis</w:t>
      </w:r>
      <w:r>
        <w:rPr>
          <w:i/>
          <w:spacing w:val="-8"/>
          <w:sz w:val="24"/>
        </w:rPr>
        <w:t> </w:t>
      </w:r>
      <w:r>
        <w:rPr>
          <w:sz w:val="24"/>
        </w:rPr>
        <w:t>en</w:t>
      </w:r>
      <w:r>
        <w:rPr>
          <w:spacing w:val="-11"/>
          <w:sz w:val="24"/>
        </w:rPr>
        <w:t> </w:t>
      </w:r>
      <w:r>
        <w:rPr>
          <w:sz w:val="24"/>
        </w:rPr>
        <w:t>un</w:t>
      </w:r>
    </w:p>
    <w:p>
      <w:pPr>
        <w:pStyle w:val="ListParagraph"/>
        <w:numPr>
          <w:ilvl w:val="0"/>
          <w:numId w:val="17"/>
        </w:numPr>
        <w:tabs>
          <w:tab w:pos="699" w:val="left" w:leader="none"/>
          <w:tab w:pos="700" w:val="left" w:leader="none"/>
        </w:tabs>
        <w:spacing w:line="240" w:lineRule="auto" w:before="129" w:after="0"/>
        <w:ind w:left="699" w:right="0" w:hanging="581"/>
        <w:jc w:val="left"/>
        <w:rPr>
          <w:sz w:val="24"/>
        </w:rPr>
      </w:pPr>
      <w:r>
        <w:rPr>
          <w:sz w:val="24"/>
        </w:rPr>
        <w:t>volumen</w:t>
      </w:r>
      <w:r>
        <w:rPr>
          <w:spacing w:val="18"/>
          <w:sz w:val="24"/>
        </w:rPr>
        <w:t> </w:t>
      </w:r>
      <w:r>
        <w:rPr>
          <w:sz w:val="24"/>
        </w:rPr>
        <w:t>de</w:t>
      </w:r>
      <w:r>
        <w:rPr>
          <w:spacing w:val="22"/>
          <w:sz w:val="24"/>
        </w:rPr>
        <w:t> </w:t>
      </w:r>
      <w:r>
        <w:rPr>
          <w:sz w:val="24"/>
        </w:rPr>
        <w:t>reacción</w:t>
      </w:r>
      <w:r>
        <w:rPr>
          <w:spacing w:val="18"/>
          <w:sz w:val="24"/>
        </w:rPr>
        <w:t> </w:t>
      </w:r>
      <w:r>
        <w:rPr>
          <w:sz w:val="24"/>
        </w:rPr>
        <w:t>de</w:t>
      </w:r>
      <w:r>
        <w:rPr>
          <w:spacing w:val="26"/>
          <w:sz w:val="24"/>
        </w:rPr>
        <w:t> </w:t>
      </w:r>
      <w:r>
        <w:rPr>
          <w:sz w:val="24"/>
        </w:rPr>
        <w:t>25</w:t>
      </w:r>
      <w:r>
        <w:rPr>
          <w:spacing w:val="23"/>
          <w:sz w:val="24"/>
        </w:rPr>
        <w:t> </w:t>
      </w:r>
      <w:r>
        <w:rPr>
          <w:sz w:val="24"/>
        </w:rPr>
        <w:t>µl</w:t>
      </w:r>
      <w:r>
        <w:rPr>
          <w:spacing w:val="14"/>
          <w:sz w:val="24"/>
        </w:rPr>
        <w:t> </w:t>
      </w:r>
      <w:r>
        <w:rPr>
          <w:sz w:val="24"/>
        </w:rPr>
        <w:t>conteniendo</w:t>
      </w:r>
      <w:r>
        <w:rPr>
          <w:spacing w:val="27"/>
          <w:sz w:val="24"/>
        </w:rPr>
        <w:t> </w:t>
      </w:r>
      <w:r>
        <w:rPr>
          <w:sz w:val="24"/>
        </w:rPr>
        <w:t>5X</w:t>
      </w:r>
      <w:r>
        <w:rPr>
          <w:spacing w:val="22"/>
          <w:sz w:val="24"/>
        </w:rPr>
        <w:t> </w:t>
      </w:r>
      <w:r>
        <w:rPr>
          <w:sz w:val="24"/>
        </w:rPr>
        <w:t>flexi</w:t>
      </w:r>
      <w:r>
        <w:rPr>
          <w:spacing w:val="18"/>
          <w:sz w:val="24"/>
        </w:rPr>
        <w:t> </w:t>
      </w:r>
      <w:r>
        <w:rPr>
          <w:sz w:val="24"/>
        </w:rPr>
        <w:t>buffer,</w:t>
      </w:r>
      <w:r>
        <w:rPr>
          <w:spacing w:val="25"/>
          <w:sz w:val="24"/>
        </w:rPr>
        <w:t> </w:t>
      </w:r>
      <w:r>
        <w:rPr>
          <w:sz w:val="24"/>
        </w:rPr>
        <w:t>25µM</w:t>
      </w:r>
      <w:r>
        <w:rPr>
          <w:spacing w:val="21"/>
          <w:sz w:val="24"/>
        </w:rPr>
        <w:t> </w:t>
      </w:r>
      <w:r>
        <w:rPr>
          <w:spacing w:val="-3"/>
          <w:sz w:val="24"/>
        </w:rPr>
        <w:t>MgCl2,</w:t>
      </w:r>
      <w:r>
        <w:rPr>
          <w:spacing w:val="25"/>
          <w:sz w:val="24"/>
        </w:rPr>
        <w:t> </w:t>
      </w:r>
      <w:r>
        <w:rPr>
          <w:sz w:val="24"/>
        </w:rPr>
        <w:t>25µM</w:t>
      </w:r>
      <w:r>
        <w:rPr>
          <w:spacing w:val="21"/>
          <w:sz w:val="24"/>
        </w:rPr>
        <w:t> </w:t>
      </w:r>
      <w:r>
        <w:rPr>
          <w:sz w:val="24"/>
        </w:rPr>
        <w:t>primers</w:t>
      </w:r>
    </w:p>
    <w:p>
      <w:pPr>
        <w:pStyle w:val="ListParagraph"/>
        <w:numPr>
          <w:ilvl w:val="0"/>
          <w:numId w:val="17"/>
        </w:numPr>
        <w:tabs>
          <w:tab w:pos="699" w:val="left" w:leader="none"/>
          <w:tab w:pos="700" w:val="left" w:leader="none"/>
        </w:tabs>
        <w:spacing w:line="240" w:lineRule="auto" w:before="135" w:after="0"/>
        <w:ind w:left="699" w:right="0" w:hanging="581"/>
        <w:jc w:val="left"/>
        <w:rPr>
          <w:sz w:val="24"/>
        </w:rPr>
      </w:pPr>
      <w:r>
        <w:rPr>
          <w:sz w:val="24"/>
        </w:rPr>
        <w:t>(iglCF e iglCR; Tabla 2), dNTPs </w:t>
      </w:r>
      <w:r>
        <w:rPr>
          <w:spacing w:val="-4"/>
          <w:sz w:val="24"/>
        </w:rPr>
        <w:t>mix </w:t>
      </w:r>
      <w:r>
        <w:rPr>
          <w:sz w:val="24"/>
        </w:rPr>
        <w:t>10µM, 1U de GoTaq flexi DNA (PROMEGA) y </w:t>
      </w:r>
      <w:r>
        <w:rPr>
          <w:spacing w:val="20"/>
          <w:sz w:val="24"/>
        </w:rPr>
        <w:t> </w:t>
      </w:r>
      <w:r>
        <w:rPr>
          <w:sz w:val="24"/>
        </w:rPr>
        <w:t>200</w:t>
      </w:r>
    </w:p>
    <w:p>
      <w:pPr>
        <w:pStyle w:val="ListParagraph"/>
        <w:numPr>
          <w:ilvl w:val="0"/>
          <w:numId w:val="17"/>
        </w:numPr>
        <w:tabs>
          <w:tab w:pos="699" w:val="left" w:leader="none"/>
          <w:tab w:pos="700" w:val="left" w:leader="none"/>
        </w:tabs>
        <w:spacing w:line="240" w:lineRule="auto" w:before="129" w:after="0"/>
        <w:ind w:left="699" w:right="0" w:hanging="581"/>
        <w:jc w:val="left"/>
        <w:rPr>
          <w:sz w:val="24"/>
        </w:rPr>
      </w:pPr>
      <w:r>
        <w:rPr>
          <w:spacing w:val="-3"/>
          <w:sz w:val="24"/>
        </w:rPr>
        <w:t>ng</w:t>
      </w:r>
      <w:r>
        <w:rPr>
          <w:spacing w:val="25"/>
          <w:sz w:val="24"/>
        </w:rPr>
        <w:t> </w:t>
      </w:r>
      <w:r>
        <w:rPr>
          <w:sz w:val="24"/>
        </w:rPr>
        <w:t>de</w:t>
      </w:r>
      <w:r>
        <w:rPr>
          <w:spacing w:val="24"/>
          <w:sz w:val="24"/>
        </w:rPr>
        <w:t> </w:t>
      </w:r>
      <w:r>
        <w:rPr>
          <w:sz w:val="24"/>
        </w:rPr>
        <w:t>DNA</w:t>
      </w:r>
      <w:r>
        <w:rPr>
          <w:spacing w:val="19"/>
          <w:sz w:val="24"/>
        </w:rPr>
        <w:t> </w:t>
      </w:r>
      <w:r>
        <w:rPr>
          <w:sz w:val="24"/>
        </w:rPr>
        <w:t>de</w:t>
      </w:r>
      <w:r>
        <w:rPr>
          <w:spacing w:val="26"/>
          <w:sz w:val="24"/>
        </w:rPr>
        <w:t> </w:t>
      </w:r>
      <w:r>
        <w:rPr>
          <w:sz w:val="24"/>
        </w:rPr>
        <w:t>acuerdo</w:t>
      </w:r>
      <w:r>
        <w:rPr>
          <w:spacing w:val="29"/>
          <w:sz w:val="24"/>
        </w:rPr>
        <w:t> </w:t>
      </w:r>
      <w:r>
        <w:rPr>
          <w:sz w:val="24"/>
        </w:rPr>
        <w:t>al</w:t>
      </w:r>
      <w:r>
        <w:rPr>
          <w:spacing w:val="16"/>
          <w:sz w:val="24"/>
        </w:rPr>
        <w:t> </w:t>
      </w:r>
      <w:r>
        <w:rPr>
          <w:sz w:val="24"/>
        </w:rPr>
        <w:t>protocolo</w:t>
      </w:r>
      <w:r>
        <w:rPr>
          <w:spacing w:val="29"/>
          <w:sz w:val="24"/>
        </w:rPr>
        <w:t> </w:t>
      </w:r>
      <w:r>
        <w:rPr>
          <w:sz w:val="24"/>
        </w:rPr>
        <w:t>descrito</w:t>
      </w:r>
      <w:r>
        <w:rPr>
          <w:spacing w:val="29"/>
          <w:sz w:val="24"/>
        </w:rPr>
        <w:t> </w:t>
      </w:r>
      <w:r>
        <w:rPr>
          <w:sz w:val="24"/>
        </w:rPr>
        <w:t>por</w:t>
      </w:r>
      <w:r>
        <w:rPr>
          <w:spacing w:val="22"/>
          <w:sz w:val="24"/>
        </w:rPr>
        <w:t> </w:t>
      </w:r>
      <w:r>
        <w:rPr>
          <w:sz w:val="24"/>
        </w:rPr>
        <w:t>(Soto</w:t>
      </w:r>
      <w:r>
        <w:rPr>
          <w:spacing w:val="30"/>
          <w:sz w:val="24"/>
        </w:rPr>
        <w:t> </w:t>
      </w:r>
      <w:r>
        <w:rPr>
          <w:sz w:val="24"/>
        </w:rPr>
        <w:t>y</w:t>
      </w:r>
      <w:r>
        <w:rPr>
          <w:spacing w:val="15"/>
          <w:sz w:val="24"/>
        </w:rPr>
        <w:t> </w:t>
      </w:r>
      <w:r>
        <w:rPr>
          <w:spacing w:val="2"/>
          <w:sz w:val="24"/>
        </w:rPr>
        <w:t>col</w:t>
      </w:r>
      <w:r>
        <w:rPr>
          <w:spacing w:val="16"/>
          <w:sz w:val="24"/>
        </w:rPr>
        <w:t> </w:t>
      </w:r>
      <w:r>
        <w:rPr>
          <w:sz w:val="24"/>
        </w:rPr>
        <w:t>2010).</w:t>
      </w:r>
      <w:r>
        <w:rPr>
          <w:spacing w:val="27"/>
          <w:sz w:val="24"/>
        </w:rPr>
        <w:t> </w:t>
      </w:r>
      <w:r>
        <w:rPr>
          <w:sz w:val="24"/>
        </w:rPr>
        <w:t>El</w:t>
      </w:r>
      <w:r>
        <w:rPr>
          <w:spacing w:val="16"/>
          <w:sz w:val="24"/>
        </w:rPr>
        <w:t> </w:t>
      </w:r>
      <w:r>
        <w:rPr>
          <w:sz w:val="24"/>
        </w:rPr>
        <w:t>termociclador</w:t>
      </w:r>
      <w:r>
        <w:rPr>
          <w:spacing w:val="26"/>
          <w:sz w:val="24"/>
        </w:rPr>
        <w:t> </w:t>
      </w:r>
      <w:r>
        <w:rPr>
          <w:sz w:val="24"/>
        </w:rPr>
        <w:t>fue</w:t>
      </w:r>
    </w:p>
    <w:p>
      <w:pPr>
        <w:pStyle w:val="ListParagraph"/>
        <w:numPr>
          <w:ilvl w:val="0"/>
          <w:numId w:val="17"/>
        </w:numPr>
        <w:tabs>
          <w:tab w:pos="699" w:val="left" w:leader="none"/>
          <w:tab w:pos="700" w:val="left" w:leader="none"/>
        </w:tabs>
        <w:spacing w:line="240" w:lineRule="auto" w:before="129" w:after="0"/>
        <w:ind w:left="699" w:right="0" w:hanging="581"/>
        <w:jc w:val="left"/>
        <w:rPr>
          <w:sz w:val="24"/>
        </w:rPr>
      </w:pPr>
      <w:r>
        <w:rPr>
          <w:sz w:val="24"/>
        </w:rPr>
        <w:t>programado con el siguiente perfil térmico: desnaturalización inicial a 94°C por 5 </w:t>
      </w:r>
      <w:r>
        <w:rPr>
          <w:spacing w:val="3"/>
          <w:sz w:val="24"/>
        </w:rPr>
        <w:t> </w:t>
      </w:r>
      <w:r>
        <w:rPr>
          <w:sz w:val="24"/>
        </w:rPr>
        <w:t>minutos,</w:t>
      </w:r>
    </w:p>
    <w:p>
      <w:pPr>
        <w:pStyle w:val="ListParagraph"/>
        <w:numPr>
          <w:ilvl w:val="0"/>
          <w:numId w:val="17"/>
        </w:numPr>
        <w:tabs>
          <w:tab w:pos="699" w:val="left" w:leader="none"/>
          <w:tab w:pos="700" w:val="left" w:leader="none"/>
        </w:tabs>
        <w:spacing w:line="240" w:lineRule="auto" w:before="129" w:after="0"/>
        <w:ind w:left="699" w:right="0" w:hanging="581"/>
        <w:jc w:val="left"/>
        <w:rPr>
          <w:sz w:val="24"/>
        </w:rPr>
      </w:pPr>
      <w:r>
        <w:rPr>
          <w:sz w:val="24"/>
        </w:rPr>
        <w:t>seguido por 35 ciclos de  94°C por 1 minuto, 59°C por 1 minuto y 72°C 1 minuto por </w:t>
      </w:r>
      <w:r>
        <w:rPr>
          <w:spacing w:val="47"/>
          <w:sz w:val="24"/>
        </w:rPr>
        <w:t> </w:t>
      </w:r>
      <w:r>
        <w:rPr>
          <w:sz w:val="24"/>
        </w:rPr>
        <w:t>cada</w:t>
      </w:r>
    </w:p>
    <w:p>
      <w:pPr>
        <w:pStyle w:val="ListParagraph"/>
        <w:numPr>
          <w:ilvl w:val="0"/>
          <w:numId w:val="17"/>
        </w:numPr>
        <w:tabs>
          <w:tab w:pos="699" w:val="left" w:leader="none"/>
          <w:tab w:pos="700" w:val="left" w:leader="none"/>
        </w:tabs>
        <w:spacing w:line="240" w:lineRule="auto" w:before="125" w:after="0"/>
        <w:ind w:left="699" w:right="0" w:hanging="581"/>
        <w:jc w:val="left"/>
        <w:rPr>
          <w:sz w:val="24"/>
        </w:rPr>
      </w:pPr>
      <w:r>
        <w:rPr>
          <w:spacing w:val="-3"/>
          <w:sz w:val="24"/>
        </w:rPr>
        <w:t>ciclo </w:t>
      </w:r>
      <w:r>
        <w:rPr>
          <w:sz w:val="24"/>
        </w:rPr>
        <w:t>y un ciclo de extensión final por 5 minutos a</w:t>
      </w:r>
      <w:r>
        <w:rPr>
          <w:spacing w:val="-14"/>
          <w:sz w:val="24"/>
        </w:rPr>
        <w:t> </w:t>
      </w:r>
      <w:r>
        <w:rPr>
          <w:sz w:val="24"/>
        </w:rPr>
        <w:t>72°C.</w:t>
      </w:r>
    </w:p>
    <w:p>
      <w:pPr>
        <w:pStyle w:val="BodyText"/>
        <w:spacing w:before="2"/>
        <w:rPr>
          <w:rFonts w:ascii="Times New Roman"/>
          <w:sz w:val="23"/>
        </w:rPr>
      </w:pPr>
    </w:p>
    <w:p>
      <w:pPr>
        <w:pStyle w:val="ListParagraph"/>
        <w:numPr>
          <w:ilvl w:val="0"/>
          <w:numId w:val="17"/>
        </w:numPr>
        <w:tabs>
          <w:tab w:pos="1405" w:val="left" w:leader="none"/>
          <w:tab w:pos="1406" w:val="left" w:leader="none"/>
        </w:tabs>
        <w:spacing w:line="240" w:lineRule="auto" w:before="69" w:after="0"/>
        <w:ind w:left="1405" w:right="0" w:hanging="1287"/>
        <w:jc w:val="left"/>
        <w:rPr>
          <w:sz w:val="24"/>
        </w:rPr>
      </w:pPr>
      <w:r>
        <w:rPr>
          <w:sz w:val="24"/>
        </w:rPr>
        <w:t>Todos los productos de PCR obtenidos fueron resueltos en un gel de agarosa al</w:t>
      </w:r>
      <w:r>
        <w:rPr>
          <w:spacing w:val="-39"/>
          <w:sz w:val="24"/>
        </w:rPr>
        <w:t> </w:t>
      </w:r>
      <w:r>
        <w:rPr>
          <w:sz w:val="24"/>
        </w:rPr>
        <w:t>1.5%</w:t>
      </w:r>
    </w:p>
    <w:p>
      <w:pPr>
        <w:pStyle w:val="ListParagraph"/>
        <w:numPr>
          <w:ilvl w:val="0"/>
          <w:numId w:val="17"/>
        </w:numPr>
        <w:tabs>
          <w:tab w:pos="699" w:val="left" w:leader="none"/>
          <w:tab w:pos="700" w:val="left" w:leader="none"/>
        </w:tabs>
        <w:spacing w:line="240" w:lineRule="auto" w:before="134" w:after="0"/>
        <w:ind w:left="699" w:right="0" w:hanging="581"/>
        <w:jc w:val="left"/>
        <w:rPr>
          <w:sz w:val="24"/>
        </w:rPr>
      </w:pPr>
      <w:r>
        <w:rPr>
          <w:sz w:val="24"/>
        </w:rPr>
        <w:t>y</w:t>
      </w:r>
      <w:r>
        <w:rPr>
          <w:spacing w:val="-15"/>
          <w:sz w:val="24"/>
        </w:rPr>
        <w:t> </w:t>
      </w:r>
      <w:r>
        <w:rPr>
          <w:sz w:val="24"/>
        </w:rPr>
        <w:t>sometido</w:t>
      </w:r>
      <w:r>
        <w:rPr>
          <w:spacing w:val="-7"/>
          <w:sz w:val="24"/>
        </w:rPr>
        <w:t> </w:t>
      </w:r>
      <w:r>
        <w:rPr>
          <w:sz w:val="24"/>
        </w:rPr>
        <w:t>a</w:t>
      </w:r>
      <w:r>
        <w:rPr>
          <w:spacing w:val="-12"/>
          <w:sz w:val="24"/>
        </w:rPr>
        <w:t> </w:t>
      </w:r>
      <w:r>
        <w:rPr>
          <w:sz w:val="24"/>
        </w:rPr>
        <w:t>100</w:t>
      </w:r>
      <w:r>
        <w:rPr>
          <w:spacing w:val="-12"/>
          <w:sz w:val="24"/>
        </w:rPr>
        <w:t> </w:t>
      </w:r>
      <w:r>
        <w:rPr>
          <w:sz w:val="24"/>
        </w:rPr>
        <w:t>volts</w:t>
      </w:r>
      <w:r>
        <w:rPr>
          <w:spacing w:val="-13"/>
          <w:sz w:val="24"/>
        </w:rPr>
        <w:t> </w:t>
      </w:r>
      <w:r>
        <w:rPr>
          <w:sz w:val="24"/>
        </w:rPr>
        <w:t>por</w:t>
      </w:r>
      <w:r>
        <w:rPr>
          <w:spacing w:val="-14"/>
          <w:sz w:val="24"/>
        </w:rPr>
        <w:t> </w:t>
      </w:r>
      <w:r>
        <w:rPr>
          <w:sz w:val="24"/>
        </w:rPr>
        <w:t>30</w:t>
      </w:r>
      <w:r>
        <w:rPr>
          <w:spacing w:val="-12"/>
          <w:sz w:val="24"/>
        </w:rPr>
        <w:t> </w:t>
      </w:r>
      <w:r>
        <w:rPr>
          <w:sz w:val="24"/>
        </w:rPr>
        <w:t>minutos</w:t>
      </w:r>
      <w:r>
        <w:rPr>
          <w:spacing w:val="-13"/>
          <w:sz w:val="24"/>
        </w:rPr>
        <w:t> </w:t>
      </w:r>
      <w:r>
        <w:rPr>
          <w:sz w:val="24"/>
        </w:rPr>
        <w:t>en</w:t>
      </w:r>
      <w:r>
        <w:rPr>
          <w:spacing w:val="-15"/>
          <w:sz w:val="24"/>
        </w:rPr>
        <w:t> </w:t>
      </w:r>
      <w:r>
        <w:rPr>
          <w:sz w:val="24"/>
        </w:rPr>
        <w:t>cámara</w:t>
      </w:r>
      <w:r>
        <w:rPr>
          <w:spacing w:val="-12"/>
          <w:sz w:val="24"/>
        </w:rPr>
        <w:t> </w:t>
      </w:r>
      <w:r>
        <w:rPr>
          <w:sz w:val="24"/>
        </w:rPr>
        <w:t>de</w:t>
      </w:r>
      <w:r>
        <w:rPr>
          <w:spacing w:val="-12"/>
          <w:sz w:val="24"/>
        </w:rPr>
        <w:t> </w:t>
      </w:r>
      <w:r>
        <w:rPr>
          <w:sz w:val="24"/>
        </w:rPr>
        <w:t>electroforesis</w:t>
      </w:r>
      <w:r>
        <w:rPr>
          <w:spacing w:val="-13"/>
          <w:sz w:val="24"/>
        </w:rPr>
        <w:t> </w:t>
      </w:r>
      <w:r>
        <w:rPr>
          <w:sz w:val="24"/>
        </w:rPr>
        <w:t>para</w:t>
      </w:r>
      <w:r>
        <w:rPr>
          <w:spacing w:val="-12"/>
          <w:sz w:val="24"/>
        </w:rPr>
        <w:t> </w:t>
      </w:r>
      <w:r>
        <w:rPr>
          <w:sz w:val="24"/>
        </w:rPr>
        <w:t>posterior</w:t>
      </w:r>
      <w:r>
        <w:rPr>
          <w:spacing w:val="-14"/>
          <w:sz w:val="24"/>
        </w:rPr>
        <w:t> </w:t>
      </w:r>
      <w:r>
        <w:rPr>
          <w:sz w:val="24"/>
        </w:rPr>
        <w:t>observación</w:t>
      </w:r>
    </w:p>
    <w:p>
      <w:pPr>
        <w:pStyle w:val="ListParagraph"/>
        <w:numPr>
          <w:ilvl w:val="0"/>
          <w:numId w:val="17"/>
        </w:numPr>
        <w:tabs>
          <w:tab w:pos="699" w:val="left" w:leader="none"/>
          <w:tab w:pos="700" w:val="left" w:leader="none"/>
        </w:tabs>
        <w:spacing w:line="240" w:lineRule="auto" w:before="129" w:after="0"/>
        <w:ind w:left="699" w:right="0" w:hanging="581"/>
        <w:jc w:val="left"/>
        <w:rPr>
          <w:sz w:val="24"/>
        </w:rPr>
      </w:pPr>
      <w:r>
        <w:rPr>
          <w:sz w:val="24"/>
        </w:rPr>
        <w:t>en transluminador UV (MiniBis Pro Bio-Imaging Systems). Los productos de PCR  </w:t>
      </w:r>
      <w:r>
        <w:rPr>
          <w:spacing w:val="18"/>
          <w:sz w:val="24"/>
        </w:rPr>
        <w:t> </w:t>
      </w:r>
      <w:r>
        <w:rPr>
          <w:sz w:val="24"/>
        </w:rPr>
        <w:t>fueron</w:t>
      </w:r>
    </w:p>
    <w:p>
      <w:pPr>
        <w:spacing w:after="0" w:line="240" w:lineRule="auto"/>
        <w:jc w:val="left"/>
        <w:rPr>
          <w:sz w:val="24"/>
        </w:rPr>
        <w:sectPr>
          <w:pgSz w:w="12240" w:h="15840"/>
          <w:pgMar w:header="752" w:footer="1003" w:top="1000" w:bottom="1200" w:left="1000" w:right="1560"/>
        </w:sectPr>
      </w:pPr>
    </w:p>
    <w:p>
      <w:pPr>
        <w:pStyle w:val="BodyText"/>
        <w:spacing w:before="8"/>
        <w:rPr>
          <w:rFonts w:ascii="Times New Roman"/>
          <w:sz w:val="28"/>
        </w:rPr>
      </w:pPr>
    </w:p>
    <w:p>
      <w:pPr>
        <w:pStyle w:val="ListParagraph"/>
        <w:numPr>
          <w:ilvl w:val="0"/>
          <w:numId w:val="18"/>
        </w:numPr>
        <w:tabs>
          <w:tab w:pos="699" w:val="left" w:leader="none"/>
          <w:tab w:pos="700" w:val="left" w:leader="none"/>
        </w:tabs>
        <w:spacing w:line="240" w:lineRule="auto" w:before="70" w:after="0"/>
        <w:ind w:left="699" w:right="0" w:hanging="470"/>
        <w:jc w:val="left"/>
        <w:rPr>
          <w:sz w:val="24"/>
        </w:rPr>
      </w:pPr>
      <w:r>
        <w:rPr>
          <w:sz w:val="24"/>
        </w:rPr>
        <w:t>purificados</w:t>
      </w:r>
      <w:r>
        <w:rPr>
          <w:spacing w:val="-9"/>
          <w:sz w:val="24"/>
        </w:rPr>
        <w:t> </w:t>
      </w:r>
      <w:r>
        <w:rPr>
          <w:sz w:val="24"/>
        </w:rPr>
        <w:t>utilizando</w:t>
      </w:r>
      <w:r>
        <w:rPr>
          <w:spacing w:val="-2"/>
          <w:sz w:val="24"/>
        </w:rPr>
        <w:t> </w:t>
      </w:r>
      <w:r>
        <w:rPr>
          <w:sz w:val="24"/>
        </w:rPr>
        <w:t>el</w:t>
      </w:r>
      <w:r>
        <w:rPr>
          <w:spacing w:val="-15"/>
          <w:sz w:val="24"/>
        </w:rPr>
        <w:t> </w:t>
      </w:r>
      <w:r>
        <w:rPr>
          <w:sz w:val="24"/>
        </w:rPr>
        <w:t>kit</w:t>
      </w:r>
      <w:r>
        <w:rPr>
          <w:spacing w:val="-2"/>
          <w:sz w:val="24"/>
        </w:rPr>
        <w:t> </w:t>
      </w:r>
      <w:r>
        <w:rPr>
          <w:sz w:val="24"/>
        </w:rPr>
        <w:t>“E.Z.N.A.</w:t>
      </w:r>
      <w:r>
        <w:rPr>
          <w:spacing w:val="-5"/>
          <w:sz w:val="24"/>
        </w:rPr>
        <w:t> </w:t>
      </w:r>
      <w:r>
        <w:rPr>
          <w:sz w:val="24"/>
        </w:rPr>
        <w:t>Gel</w:t>
      </w:r>
      <w:r>
        <w:rPr>
          <w:spacing w:val="-15"/>
          <w:sz w:val="24"/>
        </w:rPr>
        <w:t> </w:t>
      </w:r>
      <w:r>
        <w:rPr>
          <w:sz w:val="24"/>
        </w:rPr>
        <w:t>Extraction”,</w:t>
      </w:r>
      <w:r>
        <w:rPr>
          <w:spacing w:val="-10"/>
          <w:sz w:val="24"/>
        </w:rPr>
        <w:t> </w:t>
      </w:r>
      <w:r>
        <w:rPr>
          <w:sz w:val="24"/>
        </w:rPr>
        <w:t>(Omega</w:t>
      </w:r>
      <w:r>
        <w:rPr>
          <w:spacing w:val="-8"/>
          <w:sz w:val="24"/>
        </w:rPr>
        <w:t> </w:t>
      </w:r>
      <w:r>
        <w:rPr>
          <w:sz w:val="24"/>
        </w:rPr>
        <w:t>BIO-TEK),</w:t>
      </w:r>
      <w:r>
        <w:rPr>
          <w:spacing w:val="-9"/>
          <w:sz w:val="24"/>
        </w:rPr>
        <w:t> </w:t>
      </w:r>
      <w:r>
        <w:rPr>
          <w:sz w:val="24"/>
        </w:rPr>
        <w:t>de</w:t>
      </w:r>
      <w:r>
        <w:rPr>
          <w:spacing w:val="-12"/>
          <w:sz w:val="24"/>
        </w:rPr>
        <w:t> </w:t>
      </w:r>
      <w:r>
        <w:rPr>
          <w:sz w:val="24"/>
        </w:rPr>
        <w:t>acuerdo</w:t>
      </w:r>
      <w:r>
        <w:rPr>
          <w:spacing w:val="-7"/>
          <w:sz w:val="24"/>
        </w:rPr>
        <w:t> </w:t>
      </w:r>
      <w:r>
        <w:rPr>
          <w:sz w:val="24"/>
        </w:rPr>
        <w:t>a</w:t>
      </w:r>
      <w:r>
        <w:rPr>
          <w:spacing w:val="-12"/>
          <w:sz w:val="24"/>
        </w:rPr>
        <w:t> </w:t>
      </w:r>
      <w:r>
        <w:rPr>
          <w:spacing w:val="-3"/>
          <w:sz w:val="24"/>
        </w:rPr>
        <w:t>las</w:t>
      </w:r>
    </w:p>
    <w:p>
      <w:pPr>
        <w:pStyle w:val="ListParagraph"/>
        <w:numPr>
          <w:ilvl w:val="0"/>
          <w:numId w:val="18"/>
        </w:numPr>
        <w:tabs>
          <w:tab w:pos="699" w:val="left" w:leader="none"/>
          <w:tab w:pos="700" w:val="left" w:leader="none"/>
        </w:tabs>
        <w:spacing w:line="240" w:lineRule="auto" w:before="134" w:after="0"/>
        <w:ind w:left="699" w:right="0" w:hanging="470"/>
        <w:jc w:val="left"/>
        <w:rPr>
          <w:sz w:val="24"/>
        </w:rPr>
      </w:pPr>
      <w:r>
        <w:rPr>
          <w:sz w:val="24"/>
        </w:rPr>
        <w:t>especificaciones del fabricante y fueron enviados a secuenciación (Macrogen, Korea).  </w:t>
      </w:r>
      <w:r>
        <w:rPr>
          <w:spacing w:val="20"/>
          <w:sz w:val="24"/>
        </w:rPr>
        <w:t> </w:t>
      </w:r>
      <w:r>
        <w:rPr>
          <w:sz w:val="24"/>
        </w:rPr>
        <w:t>Las</w:t>
      </w:r>
    </w:p>
    <w:p>
      <w:pPr>
        <w:pStyle w:val="ListParagraph"/>
        <w:numPr>
          <w:ilvl w:val="0"/>
          <w:numId w:val="18"/>
        </w:numPr>
        <w:tabs>
          <w:tab w:pos="699" w:val="left" w:leader="none"/>
          <w:tab w:pos="700" w:val="left" w:leader="none"/>
        </w:tabs>
        <w:spacing w:line="240" w:lineRule="auto" w:before="129" w:after="0"/>
        <w:ind w:left="699" w:right="0" w:hanging="470"/>
        <w:jc w:val="left"/>
        <w:rPr>
          <w:sz w:val="24"/>
        </w:rPr>
      </w:pPr>
      <w:r>
        <w:rPr>
          <w:sz w:val="24"/>
        </w:rPr>
        <w:t>secuencias</w:t>
      </w:r>
      <w:r>
        <w:rPr>
          <w:spacing w:val="30"/>
          <w:sz w:val="24"/>
        </w:rPr>
        <w:t> </w:t>
      </w:r>
      <w:r>
        <w:rPr>
          <w:sz w:val="24"/>
        </w:rPr>
        <w:t>obtenidas</w:t>
      </w:r>
      <w:r>
        <w:rPr>
          <w:spacing w:val="30"/>
          <w:sz w:val="24"/>
        </w:rPr>
        <w:t> </w:t>
      </w:r>
      <w:r>
        <w:rPr>
          <w:sz w:val="24"/>
        </w:rPr>
        <w:t>se</w:t>
      </w:r>
      <w:r>
        <w:rPr>
          <w:spacing w:val="31"/>
          <w:sz w:val="24"/>
        </w:rPr>
        <w:t> </w:t>
      </w:r>
      <w:r>
        <w:rPr>
          <w:sz w:val="24"/>
        </w:rPr>
        <w:t>compararon</w:t>
      </w:r>
      <w:r>
        <w:rPr>
          <w:spacing w:val="27"/>
          <w:sz w:val="24"/>
        </w:rPr>
        <w:t> </w:t>
      </w:r>
      <w:r>
        <w:rPr>
          <w:sz w:val="24"/>
        </w:rPr>
        <w:t>con</w:t>
      </w:r>
      <w:r>
        <w:rPr>
          <w:spacing w:val="27"/>
          <w:sz w:val="24"/>
        </w:rPr>
        <w:t> </w:t>
      </w:r>
      <w:r>
        <w:rPr>
          <w:spacing w:val="-3"/>
          <w:sz w:val="24"/>
        </w:rPr>
        <w:t>las</w:t>
      </w:r>
      <w:r>
        <w:rPr>
          <w:spacing w:val="30"/>
          <w:sz w:val="24"/>
        </w:rPr>
        <w:t> </w:t>
      </w:r>
      <w:r>
        <w:rPr>
          <w:sz w:val="24"/>
        </w:rPr>
        <w:t>secuencias</w:t>
      </w:r>
      <w:r>
        <w:rPr>
          <w:spacing w:val="34"/>
          <w:sz w:val="24"/>
        </w:rPr>
        <w:t> </w:t>
      </w:r>
      <w:r>
        <w:rPr>
          <w:sz w:val="24"/>
        </w:rPr>
        <w:t>incluidas</w:t>
      </w:r>
      <w:r>
        <w:rPr>
          <w:spacing w:val="30"/>
          <w:sz w:val="24"/>
        </w:rPr>
        <w:t> </w:t>
      </w:r>
      <w:r>
        <w:rPr>
          <w:sz w:val="24"/>
        </w:rPr>
        <w:t>en</w:t>
      </w:r>
      <w:r>
        <w:rPr>
          <w:spacing w:val="31"/>
          <w:sz w:val="24"/>
        </w:rPr>
        <w:t> </w:t>
      </w:r>
      <w:r>
        <w:rPr>
          <w:spacing w:val="-5"/>
          <w:sz w:val="24"/>
        </w:rPr>
        <w:t>la</w:t>
      </w:r>
      <w:r>
        <w:rPr>
          <w:spacing w:val="31"/>
          <w:sz w:val="24"/>
        </w:rPr>
        <w:t> </w:t>
      </w:r>
      <w:r>
        <w:rPr>
          <w:sz w:val="24"/>
        </w:rPr>
        <w:t>base</w:t>
      </w:r>
      <w:r>
        <w:rPr>
          <w:spacing w:val="31"/>
          <w:sz w:val="24"/>
        </w:rPr>
        <w:t> </w:t>
      </w:r>
      <w:r>
        <w:rPr>
          <w:sz w:val="24"/>
        </w:rPr>
        <w:t>de</w:t>
      </w:r>
      <w:r>
        <w:rPr>
          <w:spacing w:val="31"/>
          <w:sz w:val="24"/>
        </w:rPr>
        <w:t> </w:t>
      </w:r>
      <w:r>
        <w:rPr>
          <w:sz w:val="24"/>
        </w:rPr>
        <w:t>datos</w:t>
      </w:r>
      <w:r>
        <w:rPr>
          <w:spacing w:val="25"/>
          <w:sz w:val="24"/>
        </w:rPr>
        <w:t> </w:t>
      </w:r>
      <w:r>
        <w:rPr>
          <w:sz w:val="24"/>
        </w:rPr>
        <w:t>del</w:t>
      </w:r>
    </w:p>
    <w:p>
      <w:pPr>
        <w:pStyle w:val="ListParagraph"/>
        <w:numPr>
          <w:ilvl w:val="0"/>
          <w:numId w:val="18"/>
        </w:numPr>
        <w:tabs>
          <w:tab w:pos="699" w:val="left" w:leader="none"/>
          <w:tab w:pos="700" w:val="left" w:leader="none"/>
          <w:tab w:pos="1884" w:val="left" w:leader="none"/>
          <w:tab w:pos="3064" w:val="left" w:leader="none"/>
          <w:tab w:pos="3447" w:val="left" w:leader="none"/>
          <w:tab w:pos="4819" w:val="left" w:leader="none"/>
          <w:tab w:pos="5971" w:val="left" w:leader="none"/>
          <w:tab w:pos="9126" w:val="left" w:leader="none"/>
        </w:tabs>
        <w:spacing w:line="240" w:lineRule="auto" w:before="130" w:after="0"/>
        <w:ind w:left="699" w:right="0" w:hanging="470"/>
        <w:jc w:val="left"/>
        <w:rPr>
          <w:sz w:val="24"/>
        </w:rPr>
      </w:pPr>
      <w:r>
        <w:rPr>
          <w:sz w:val="24"/>
        </w:rPr>
        <w:t>GenBank,</w:t>
        <w:tab/>
        <w:t>utilizando</w:t>
        <w:tab/>
      </w:r>
      <w:r>
        <w:rPr>
          <w:spacing w:val="-5"/>
          <w:sz w:val="24"/>
        </w:rPr>
        <w:t>la</w:t>
        <w:tab/>
      </w:r>
      <w:r>
        <w:rPr>
          <w:sz w:val="24"/>
        </w:rPr>
        <w:t>herramienta</w:t>
        <w:tab/>
        <w:t>BLASTN</w:t>
        <w:tab/>
        <w:t>(http://blast.ncbi.nlm.nih.gov),</w:t>
        <w:tab/>
        <w:t>para</w:t>
      </w:r>
    </w:p>
    <w:p>
      <w:pPr>
        <w:pStyle w:val="ListParagraph"/>
        <w:numPr>
          <w:ilvl w:val="0"/>
          <w:numId w:val="18"/>
        </w:numPr>
        <w:tabs>
          <w:tab w:pos="699" w:val="left" w:leader="none"/>
          <w:tab w:pos="700" w:val="left" w:leader="none"/>
        </w:tabs>
        <w:spacing w:line="240" w:lineRule="auto" w:before="125" w:after="0"/>
        <w:ind w:left="699" w:right="0" w:hanging="470"/>
        <w:jc w:val="left"/>
        <w:rPr>
          <w:sz w:val="24"/>
        </w:rPr>
      </w:pPr>
      <w:r>
        <w:rPr>
          <w:sz w:val="24"/>
        </w:rPr>
        <w:t>determinar su</w:t>
      </w:r>
      <w:r>
        <w:rPr>
          <w:spacing w:val="-16"/>
          <w:sz w:val="24"/>
        </w:rPr>
        <w:t> </w:t>
      </w:r>
      <w:r>
        <w:rPr>
          <w:sz w:val="24"/>
        </w:rPr>
        <w:t>identidad.</w:t>
      </w:r>
    </w:p>
    <w:p>
      <w:pPr>
        <w:pStyle w:val="BodyText"/>
        <w:spacing w:before="2"/>
        <w:rPr>
          <w:rFonts w:ascii="Times New Roman"/>
          <w:sz w:val="23"/>
        </w:rPr>
      </w:pPr>
    </w:p>
    <w:p>
      <w:pPr>
        <w:pStyle w:val="Heading1"/>
        <w:numPr>
          <w:ilvl w:val="0"/>
          <w:numId w:val="18"/>
        </w:numPr>
        <w:tabs>
          <w:tab w:pos="699" w:val="left" w:leader="none"/>
          <w:tab w:pos="700" w:val="left" w:leader="none"/>
        </w:tabs>
        <w:spacing w:line="240" w:lineRule="auto" w:before="69" w:after="0"/>
        <w:ind w:left="699" w:right="0" w:hanging="470"/>
        <w:jc w:val="left"/>
        <w:rPr>
          <w:rFonts w:ascii="Times New Roman" w:hAnsi="Times New Roman"/>
        </w:rPr>
      </w:pPr>
      <w:r>
        <w:rPr>
          <w:rFonts w:ascii="Times New Roman" w:hAnsi="Times New Roman"/>
        </w:rPr>
        <w:t>Análisis</w:t>
      </w:r>
      <w:r>
        <w:rPr>
          <w:rFonts w:ascii="Times New Roman" w:hAnsi="Times New Roman"/>
          <w:spacing w:val="-7"/>
        </w:rPr>
        <w:t> </w:t>
      </w:r>
      <w:r>
        <w:rPr>
          <w:rFonts w:ascii="Times New Roman" w:hAnsi="Times New Roman"/>
        </w:rPr>
        <w:t>filogenético</w:t>
      </w:r>
    </w:p>
    <w:p>
      <w:pPr>
        <w:pStyle w:val="BodyText"/>
        <w:spacing w:before="9"/>
        <w:rPr>
          <w:rFonts w:ascii="Times New Roman"/>
          <w:b/>
          <w:sz w:val="22"/>
        </w:rPr>
      </w:pPr>
    </w:p>
    <w:p>
      <w:pPr>
        <w:pStyle w:val="ListParagraph"/>
        <w:numPr>
          <w:ilvl w:val="0"/>
          <w:numId w:val="18"/>
        </w:numPr>
        <w:tabs>
          <w:tab w:pos="1405" w:val="left" w:leader="none"/>
          <w:tab w:pos="1406" w:val="left" w:leader="none"/>
        </w:tabs>
        <w:spacing w:line="240" w:lineRule="auto" w:before="69" w:after="0"/>
        <w:ind w:left="1405" w:right="0" w:hanging="1176"/>
        <w:jc w:val="left"/>
        <w:rPr>
          <w:sz w:val="24"/>
        </w:rPr>
      </w:pPr>
      <w:r>
        <w:rPr>
          <w:sz w:val="24"/>
        </w:rPr>
        <w:t>Una vez determinada </w:t>
      </w:r>
      <w:r>
        <w:rPr>
          <w:spacing w:val="-5"/>
          <w:sz w:val="24"/>
        </w:rPr>
        <w:t>la </w:t>
      </w:r>
      <w:r>
        <w:rPr>
          <w:sz w:val="24"/>
        </w:rPr>
        <w:t>identidad de </w:t>
      </w:r>
      <w:r>
        <w:rPr>
          <w:spacing w:val="-3"/>
          <w:sz w:val="24"/>
        </w:rPr>
        <w:t>las </w:t>
      </w:r>
      <w:r>
        <w:rPr>
          <w:sz w:val="24"/>
        </w:rPr>
        <w:t>secuencias obtenidas, éstas fueron</w:t>
      </w:r>
      <w:r>
        <w:rPr>
          <w:spacing w:val="3"/>
          <w:sz w:val="24"/>
        </w:rPr>
        <w:t> </w:t>
      </w:r>
      <w:r>
        <w:rPr>
          <w:sz w:val="24"/>
        </w:rPr>
        <w:t>alineadas</w:t>
      </w:r>
    </w:p>
    <w:p>
      <w:pPr>
        <w:pStyle w:val="ListParagraph"/>
        <w:numPr>
          <w:ilvl w:val="0"/>
          <w:numId w:val="18"/>
        </w:numPr>
        <w:tabs>
          <w:tab w:pos="699" w:val="left" w:leader="none"/>
          <w:tab w:pos="700" w:val="left" w:leader="none"/>
        </w:tabs>
        <w:spacing w:line="240" w:lineRule="auto" w:before="129" w:after="0"/>
        <w:ind w:left="699" w:right="0" w:hanging="470"/>
        <w:jc w:val="left"/>
        <w:rPr>
          <w:sz w:val="24"/>
        </w:rPr>
      </w:pPr>
      <w:r>
        <w:rPr>
          <w:sz w:val="24"/>
        </w:rPr>
        <w:t>y se realizó un análisis filogenético utilizando el programa MEGA 5.2 (Tamura y </w:t>
      </w:r>
      <w:r>
        <w:rPr>
          <w:spacing w:val="2"/>
          <w:sz w:val="24"/>
        </w:rPr>
        <w:t>col</w:t>
      </w:r>
      <w:r>
        <w:rPr>
          <w:spacing w:val="-36"/>
          <w:sz w:val="24"/>
        </w:rPr>
        <w:t> </w:t>
      </w:r>
      <w:r>
        <w:rPr>
          <w:sz w:val="24"/>
        </w:rPr>
        <w:t>2007),</w:t>
      </w:r>
    </w:p>
    <w:p>
      <w:pPr>
        <w:pStyle w:val="ListParagraph"/>
        <w:numPr>
          <w:ilvl w:val="0"/>
          <w:numId w:val="18"/>
        </w:numPr>
        <w:tabs>
          <w:tab w:pos="699" w:val="left" w:leader="none"/>
          <w:tab w:pos="700" w:val="left" w:leader="none"/>
        </w:tabs>
        <w:spacing w:line="240" w:lineRule="auto" w:before="134" w:after="0"/>
        <w:ind w:left="699" w:right="0" w:hanging="470"/>
        <w:jc w:val="left"/>
        <w:rPr>
          <w:sz w:val="24"/>
        </w:rPr>
      </w:pPr>
      <w:r>
        <w:rPr>
          <w:sz w:val="24"/>
        </w:rPr>
        <w:t>generando</w:t>
      </w:r>
      <w:r>
        <w:rPr>
          <w:spacing w:val="-1"/>
          <w:sz w:val="24"/>
        </w:rPr>
        <w:t> </w:t>
      </w:r>
      <w:r>
        <w:rPr>
          <w:sz w:val="24"/>
        </w:rPr>
        <w:t>valores</w:t>
      </w:r>
      <w:r>
        <w:rPr>
          <w:spacing w:val="-8"/>
          <w:sz w:val="24"/>
        </w:rPr>
        <w:t> </w:t>
      </w:r>
      <w:r>
        <w:rPr>
          <w:sz w:val="24"/>
        </w:rPr>
        <w:t>de</w:t>
      </w:r>
      <w:r>
        <w:rPr>
          <w:spacing w:val="-7"/>
          <w:sz w:val="24"/>
        </w:rPr>
        <w:t> </w:t>
      </w:r>
      <w:r>
        <w:rPr>
          <w:sz w:val="24"/>
        </w:rPr>
        <w:t>bootstrap</w:t>
      </w:r>
      <w:r>
        <w:rPr>
          <w:spacing w:val="-11"/>
          <w:sz w:val="24"/>
        </w:rPr>
        <w:t> </w:t>
      </w:r>
      <w:r>
        <w:rPr>
          <w:sz w:val="24"/>
        </w:rPr>
        <w:t>de</w:t>
      </w:r>
      <w:r>
        <w:rPr>
          <w:spacing w:val="-7"/>
          <w:sz w:val="24"/>
        </w:rPr>
        <w:t> </w:t>
      </w:r>
      <w:r>
        <w:rPr>
          <w:sz w:val="24"/>
        </w:rPr>
        <w:t>1000</w:t>
      </w:r>
      <w:r>
        <w:rPr>
          <w:spacing w:val="-11"/>
          <w:sz w:val="24"/>
        </w:rPr>
        <w:t> </w:t>
      </w:r>
      <w:r>
        <w:rPr>
          <w:sz w:val="24"/>
        </w:rPr>
        <w:t>“árboles”</w:t>
      </w:r>
      <w:r>
        <w:rPr>
          <w:spacing w:val="-7"/>
          <w:sz w:val="24"/>
        </w:rPr>
        <w:t> </w:t>
      </w:r>
      <w:r>
        <w:rPr>
          <w:sz w:val="24"/>
        </w:rPr>
        <w:t>para</w:t>
      </w:r>
      <w:r>
        <w:rPr>
          <w:spacing w:val="-7"/>
          <w:sz w:val="24"/>
        </w:rPr>
        <w:t> </w:t>
      </w:r>
      <w:r>
        <w:rPr>
          <w:sz w:val="24"/>
        </w:rPr>
        <w:t>generar</w:t>
      </w:r>
      <w:r>
        <w:rPr>
          <w:spacing w:val="-4"/>
          <w:sz w:val="24"/>
        </w:rPr>
        <w:t> </w:t>
      </w:r>
      <w:r>
        <w:rPr>
          <w:sz w:val="24"/>
        </w:rPr>
        <w:t>un</w:t>
      </w:r>
      <w:r>
        <w:rPr>
          <w:spacing w:val="-11"/>
          <w:sz w:val="24"/>
        </w:rPr>
        <w:t> </w:t>
      </w:r>
      <w:r>
        <w:rPr>
          <w:sz w:val="24"/>
        </w:rPr>
        <w:t>árbol</w:t>
      </w:r>
      <w:r>
        <w:rPr>
          <w:spacing w:val="-15"/>
          <w:sz w:val="24"/>
        </w:rPr>
        <w:t> </w:t>
      </w:r>
      <w:r>
        <w:rPr>
          <w:sz w:val="24"/>
        </w:rPr>
        <w:t>de</w:t>
      </w:r>
      <w:r>
        <w:rPr>
          <w:spacing w:val="-7"/>
          <w:sz w:val="24"/>
        </w:rPr>
        <w:t> </w:t>
      </w:r>
      <w:r>
        <w:rPr>
          <w:sz w:val="24"/>
        </w:rPr>
        <w:t>consenso</w:t>
      </w:r>
      <w:r>
        <w:rPr>
          <w:spacing w:val="-1"/>
          <w:sz w:val="24"/>
        </w:rPr>
        <w:t> </w:t>
      </w:r>
      <w:r>
        <w:rPr>
          <w:sz w:val="24"/>
        </w:rPr>
        <w:t>para</w:t>
      </w:r>
      <w:r>
        <w:rPr>
          <w:spacing w:val="-12"/>
          <w:sz w:val="24"/>
        </w:rPr>
        <w:t> </w:t>
      </w:r>
      <w:r>
        <w:rPr>
          <w:spacing w:val="-3"/>
          <w:sz w:val="24"/>
        </w:rPr>
        <w:t>las</w:t>
      </w:r>
    </w:p>
    <w:p>
      <w:pPr>
        <w:pStyle w:val="ListParagraph"/>
        <w:numPr>
          <w:ilvl w:val="0"/>
          <w:numId w:val="18"/>
        </w:numPr>
        <w:tabs>
          <w:tab w:pos="699" w:val="left" w:leader="none"/>
          <w:tab w:pos="700" w:val="left" w:leader="none"/>
        </w:tabs>
        <w:spacing w:line="240" w:lineRule="auto" w:before="129" w:after="0"/>
        <w:ind w:left="699" w:right="0" w:hanging="581"/>
        <w:jc w:val="left"/>
        <w:rPr>
          <w:sz w:val="24"/>
        </w:rPr>
      </w:pPr>
      <w:r>
        <w:rPr>
          <w:sz w:val="24"/>
        </w:rPr>
        <w:t>secuencias 16S rRNA e ITS-1, utilizando  el método  de máxima probabilidad  </w:t>
      </w:r>
      <w:r>
        <w:rPr>
          <w:spacing w:val="49"/>
          <w:sz w:val="24"/>
        </w:rPr>
        <w:t> </w:t>
      </w:r>
      <w:r>
        <w:rPr>
          <w:sz w:val="24"/>
        </w:rPr>
        <w:t>(Maximum</w:t>
      </w:r>
    </w:p>
    <w:p>
      <w:pPr>
        <w:pStyle w:val="ListParagraph"/>
        <w:numPr>
          <w:ilvl w:val="0"/>
          <w:numId w:val="18"/>
        </w:numPr>
        <w:tabs>
          <w:tab w:pos="699" w:val="left" w:leader="none"/>
          <w:tab w:pos="700" w:val="left" w:leader="none"/>
        </w:tabs>
        <w:spacing w:line="240" w:lineRule="auto" w:before="125" w:after="0"/>
        <w:ind w:left="699" w:right="0" w:hanging="581"/>
        <w:jc w:val="left"/>
        <w:rPr>
          <w:sz w:val="24"/>
        </w:rPr>
      </w:pPr>
      <w:r>
        <w:rPr>
          <w:sz w:val="24"/>
        </w:rPr>
        <w:t>likelihood</w:t>
      </w:r>
      <w:r>
        <w:rPr>
          <w:spacing w:val="-7"/>
          <w:sz w:val="24"/>
        </w:rPr>
        <w:t> </w:t>
      </w:r>
      <w:r>
        <w:rPr>
          <w:sz w:val="24"/>
        </w:rPr>
        <w:t>method).</w:t>
      </w:r>
    </w:p>
    <w:p>
      <w:pPr>
        <w:pStyle w:val="BodyText"/>
        <w:spacing w:before="2"/>
        <w:rPr>
          <w:rFonts w:ascii="Times New Roman"/>
          <w:sz w:val="23"/>
        </w:rPr>
      </w:pPr>
    </w:p>
    <w:p>
      <w:pPr>
        <w:pStyle w:val="ListParagraph"/>
        <w:numPr>
          <w:ilvl w:val="0"/>
          <w:numId w:val="18"/>
        </w:numPr>
        <w:tabs>
          <w:tab w:pos="1405" w:val="left" w:leader="none"/>
          <w:tab w:pos="1406" w:val="left" w:leader="none"/>
        </w:tabs>
        <w:spacing w:line="240" w:lineRule="auto" w:before="69" w:after="0"/>
        <w:ind w:left="1405" w:right="0" w:hanging="1287"/>
        <w:jc w:val="left"/>
        <w:rPr>
          <w:sz w:val="24"/>
        </w:rPr>
      </w:pPr>
      <w:r>
        <w:rPr>
          <w:sz w:val="24"/>
        </w:rPr>
        <w:t>El análisis del gen 16S se incluyeron 14 secuencias nucleotídicas para el gen 16S</w:t>
      </w:r>
      <w:r>
        <w:rPr>
          <w:spacing w:val="23"/>
          <w:sz w:val="24"/>
        </w:rPr>
        <w:t> </w:t>
      </w:r>
      <w:r>
        <w:rPr>
          <w:sz w:val="24"/>
        </w:rPr>
        <w:t>de</w:t>
      </w:r>
    </w:p>
    <w:p>
      <w:pPr>
        <w:pStyle w:val="ListParagraph"/>
        <w:numPr>
          <w:ilvl w:val="0"/>
          <w:numId w:val="18"/>
        </w:numPr>
        <w:tabs>
          <w:tab w:pos="699" w:val="left" w:leader="none"/>
          <w:tab w:pos="700" w:val="left" w:leader="none"/>
        </w:tabs>
        <w:spacing w:line="240" w:lineRule="auto" w:before="129" w:after="0"/>
        <w:ind w:left="699" w:right="0" w:hanging="581"/>
        <w:jc w:val="left"/>
        <w:rPr>
          <w:sz w:val="24"/>
        </w:rPr>
      </w:pPr>
      <w:r>
        <w:rPr>
          <w:sz w:val="24"/>
        </w:rPr>
        <w:t>cepas</w:t>
      </w:r>
      <w:r>
        <w:rPr>
          <w:spacing w:val="-13"/>
          <w:sz w:val="24"/>
        </w:rPr>
        <w:t> </w:t>
      </w:r>
      <w:r>
        <w:rPr>
          <w:sz w:val="24"/>
        </w:rPr>
        <w:t>de</w:t>
      </w:r>
      <w:r>
        <w:rPr>
          <w:spacing w:val="-12"/>
          <w:sz w:val="24"/>
        </w:rPr>
        <w:t> </w:t>
      </w:r>
      <w:r>
        <w:rPr>
          <w:sz w:val="24"/>
        </w:rPr>
        <w:t>genero</w:t>
      </w:r>
      <w:r>
        <w:rPr>
          <w:spacing w:val="-7"/>
          <w:sz w:val="24"/>
        </w:rPr>
        <w:t> </w:t>
      </w:r>
      <w:r>
        <w:rPr>
          <w:sz w:val="24"/>
        </w:rPr>
        <w:t>Francisella</w:t>
      </w:r>
      <w:r>
        <w:rPr>
          <w:spacing w:val="-12"/>
          <w:sz w:val="24"/>
        </w:rPr>
        <w:t> </w:t>
      </w:r>
      <w:r>
        <w:rPr>
          <w:sz w:val="24"/>
        </w:rPr>
        <w:t>descritas</w:t>
      </w:r>
      <w:r>
        <w:rPr>
          <w:spacing w:val="-13"/>
          <w:sz w:val="24"/>
        </w:rPr>
        <w:t> </w:t>
      </w:r>
      <w:r>
        <w:rPr>
          <w:sz w:val="24"/>
        </w:rPr>
        <w:t>anteriormente,</w:t>
      </w:r>
      <w:r>
        <w:rPr>
          <w:spacing w:val="-10"/>
          <w:sz w:val="24"/>
        </w:rPr>
        <w:t> </w:t>
      </w:r>
      <w:r>
        <w:rPr>
          <w:sz w:val="24"/>
        </w:rPr>
        <w:t>analizándose</w:t>
      </w:r>
      <w:r>
        <w:rPr>
          <w:spacing w:val="-12"/>
          <w:sz w:val="24"/>
        </w:rPr>
        <w:t> </w:t>
      </w:r>
      <w:r>
        <w:rPr>
          <w:sz w:val="24"/>
        </w:rPr>
        <w:t>792</w:t>
      </w:r>
      <w:r>
        <w:rPr>
          <w:spacing w:val="-11"/>
          <w:sz w:val="24"/>
        </w:rPr>
        <w:t> </w:t>
      </w:r>
      <w:r>
        <w:rPr>
          <w:sz w:val="24"/>
        </w:rPr>
        <w:t>posiciones</w:t>
      </w:r>
      <w:r>
        <w:rPr>
          <w:spacing w:val="-13"/>
          <w:sz w:val="24"/>
        </w:rPr>
        <w:t> </w:t>
      </w:r>
      <w:r>
        <w:rPr>
          <w:sz w:val="24"/>
        </w:rPr>
        <w:t>en</w:t>
      </w:r>
      <w:r>
        <w:rPr>
          <w:spacing w:val="-15"/>
          <w:sz w:val="24"/>
        </w:rPr>
        <w:t> </w:t>
      </w:r>
      <w:r>
        <w:rPr>
          <w:sz w:val="24"/>
        </w:rPr>
        <w:t>el</w:t>
      </w:r>
      <w:r>
        <w:rPr>
          <w:spacing w:val="-15"/>
          <w:sz w:val="24"/>
        </w:rPr>
        <w:t> </w:t>
      </w:r>
      <w:r>
        <w:rPr>
          <w:sz w:val="24"/>
        </w:rPr>
        <w:t>grupo</w:t>
      </w:r>
    </w:p>
    <w:p>
      <w:pPr>
        <w:pStyle w:val="ListParagraph"/>
        <w:numPr>
          <w:ilvl w:val="0"/>
          <w:numId w:val="18"/>
        </w:numPr>
        <w:tabs>
          <w:tab w:pos="699" w:val="left" w:leader="none"/>
          <w:tab w:pos="700" w:val="left" w:leader="none"/>
        </w:tabs>
        <w:spacing w:line="240" w:lineRule="auto" w:before="135" w:after="0"/>
        <w:ind w:left="699" w:right="0" w:hanging="581"/>
        <w:jc w:val="left"/>
        <w:rPr>
          <w:sz w:val="24"/>
        </w:rPr>
      </w:pPr>
      <w:r>
        <w:rPr>
          <w:sz w:val="24"/>
        </w:rPr>
        <w:t>de</w:t>
      </w:r>
      <w:r>
        <w:rPr>
          <w:spacing w:val="-7"/>
          <w:sz w:val="24"/>
        </w:rPr>
        <w:t> </w:t>
      </w:r>
      <w:r>
        <w:rPr>
          <w:sz w:val="24"/>
        </w:rPr>
        <w:t>datos</w:t>
      </w:r>
      <w:r>
        <w:rPr>
          <w:spacing w:val="-8"/>
          <w:sz w:val="24"/>
        </w:rPr>
        <w:t> </w:t>
      </w:r>
      <w:r>
        <w:rPr>
          <w:spacing w:val="-3"/>
          <w:sz w:val="24"/>
        </w:rPr>
        <w:t>final.</w:t>
      </w:r>
      <w:r>
        <w:rPr>
          <w:spacing w:val="-4"/>
          <w:sz w:val="24"/>
        </w:rPr>
        <w:t> </w:t>
      </w:r>
      <w:r>
        <w:rPr>
          <w:sz w:val="24"/>
        </w:rPr>
        <w:t>En</w:t>
      </w:r>
      <w:r>
        <w:rPr>
          <w:spacing w:val="-11"/>
          <w:sz w:val="24"/>
        </w:rPr>
        <w:t> </w:t>
      </w:r>
      <w:r>
        <w:rPr>
          <w:sz w:val="24"/>
        </w:rPr>
        <w:t>el</w:t>
      </w:r>
      <w:r>
        <w:rPr>
          <w:spacing w:val="-15"/>
          <w:sz w:val="24"/>
        </w:rPr>
        <w:t> </w:t>
      </w:r>
      <w:r>
        <w:rPr>
          <w:sz w:val="24"/>
        </w:rPr>
        <w:t>caso</w:t>
      </w:r>
      <w:r>
        <w:rPr>
          <w:spacing w:val="-1"/>
          <w:sz w:val="24"/>
        </w:rPr>
        <w:t> </w:t>
      </w:r>
      <w:r>
        <w:rPr>
          <w:sz w:val="24"/>
        </w:rPr>
        <w:t>de</w:t>
      </w:r>
      <w:r>
        <w:rPr>
          <w:spacing w:val="-12"/>
          <w:sz w:val="24"/>
        </w:rPr>
        <w:t> </w:t>
      </w:r>
      <w:r>
        <w:rPr>
          <w:spacing w:val="-5"/>
          <w:sz w:val="24"/>
        </w:rPr>
        <w:t>la</w:t>
      </w:r>
      <w:r>
        <w:rPr>
          <w:spacing w:val="-7"/>
          <w:sz w:val="24"/>
        </w:rPr>
        <w:t> </w:t>
      </w:r>
      <w:r>
        <w:rPr>
          <w:sz w:val="24"/>
        </w:rPr>
        <w:t>región</w:t>
      </w:r>
      <w:r>
        <w:rPr>
          <w:spacing w:val="-11"/>
          <w:sz w:val="24"/>
        </w:rPr>
        <w:t> </w:t>
      </w:r>
      <w:r>
        <w:rPr>
          <w:sz w:val="24"/>
        </w:rPr>
        <w:t>ITS,</w:t>
      </w:r>
      <w:r>
        <w:rPr>
          <w:spacing w:val="-8"/>
          <w:sz w:val="24"/>
        </w:rPr>
        <w:t> </w:t>
      </w:r>
      <w:r>
        <w:rPr>
          <w:sz w:val="24"/>
        </w:rPr>
        <w:t>el</w:t>
      </w:r>
      <w:r>
        <w:rPr>
          <w:spacing w:val="-15"/>
          <w:sz w:val="24"/>
        </w:rPr>
        <w:t> </w:t>
      </w:r>
      <w:r>
        <w:rPr>
          <w:sz w:val="24"/>
        </w:rPr>
        <w:t>análisis</w:t>
      </w:r>
      <w:r>
        <w:rPr>
          <w:spacing w:val="-3"/>
          <w:sz w:val="24"/>
        </w:rPr>
        <w:t> </w:t>
      </w:r>
      <w:r>
        <w:rPr>
          <w:sz w:val="24"/>
        </w:rPr>
        <w:t>involucró</w:t>
      </w:r>
      <w:r>
        <w:rPr>
          <w:spacing w:val="-1"/>
          <w:sz w:val="24"/>
        </w:rPr>
        <w:t> </w:t>
      </w:r>
      <w:r>
        <w:rPr>
          <w:sz w:val="24"/>
        </w:rPr>
        <w:t>a</w:t>
      </w:r>
      <w:r>
        <w:rPr>
          <w:spacing w:val="-12"/>
          <w:sz w:val="24"/>
        </w:rPr>
        <w:t> </w:t>
      </w:r>
      <w:r>
        <w:rPr>
          <w:sz w:val="24"/>
        </w:rPr>
        <w:t>11</w:t>
      </w:r>
      <w:r>
        <w:rPr>
          <w:spacing w:val="-6"/>
          <w:sz w:val="24"/>
        </w:rPr>
        <w:t> </w:t>
      </w:r>
      <w:r>
        <w:rPr>
          <w:sz w:val="24"/>
        </w:rPr>
        <w:t>secuencias</w:t>
      </w:r>
      <w:r>
        <w:rPr>
          <w:spacing w:val="-8"/>
          <w:sz w:val="24"/>
        </w:rPr>
        <w:t> </w:t>
      </w:r>
      <w:r>
        <w:rPr>
          <w:sz w:val="24"/>
        </w:rPr>
        <w:t>nucleotídicas</w:t>
      </w:r>
    </w:p>
    <w:p>
      <w:pPr>
        <w:pStyle w:val="ListParagraph"/>
        <w:numPr>
          <w:ilvl w:val="0"/>
          <w:numId w:val="18"/>
        </w:numPr>
        <w:tabs>
          <w:tab w:pos="699" w:val="left" w:leader="none"/>
          <w:tab w:pos="700" w:val="left" w:leader="none"/>
        </w:tabs>
        <w:spacing w:line="240" w:lineRule="auto" w:before="125" w:after="0"/>
        <w:ind w:left="699" w:right="0" w:hanging="581"/>
        <w:jc w:val="left"/>
        <w:rPr>
          <w:sz w:val="24"/>
        </w:rPr>
      </w:pPr>
      <w:r>
        <w:rPr>
          <w:sz w:val="24"/>
        </w:rPr>
        <w:t>descritas, analizándose 192 posiciones en el grupo de datos</w:t>
      </w:r>
      <w:r>
        <w:rPr>
          <w:spacing w:val="-10"/>
          <w:sz w:val="24"/>
        </w:rPr>
        <w:t> </w:t>
      </w:r>
      <w:r>
        <w:rPr>
          <w:spacing w:val="-3"/>
          <w:sz w:val="24"/>
        </w:rPr>
        <w:t>final.</w:t>
      </w:r>
    </w:p>
    <w:p>
      <w:pPr>
        <w:pStyle w:val="BodyText"/>
        <w:spacing w:before="2"/>
        <w:rPr>
          <w:rFonts w:ascii="Times New Roman"/>
          <w:sz w:val="23"/>
        </w:rPr>
      </w:pPr>
    </w:p>
    <w:p>
      <w:pPr>
        <w:pStyle w:val="Heading1"/>
        <w:numPr>
          <w:ilvl w:val="0"/>
          <w:numId w:val="18"/>
        </w:numPr>
        <w:tabs>
          <w:tab w:pos="699" w:val="left" w:leader="none"/>
          <w:tab w:pos="700" w:val="left" w:leader="none"/>
        </w:tabs>
        <w:spacing w:line="240" w:lineRule="auto" w:before="69" w:after="0"/>
        <w:ind w:left="699" w:right="0" w:hanging="581"/>
        <w:jc w:val="left"/>
        <w:rPr>
          <w:rFonts w:ascii="Times New Roman"/>
        </w:rPr>
      </w:pPr>
      <w:r>
        <w:rPr>
          <w:rFonts w:ascii="Times New Roman"/>
        </w:rPr>
        <w:t>RESULTADOS</w:t>
      </w:r>
    </w:p>
    <w:p>
      <w:pPr>
        <w:pStyle w:val="BodyText"/>
        <w:spacing w:before="9"/>
        <w:rPr>
          <w:rFonts w:ascii="Times New Roman"/>
          <w:b/>
          <w:sz w:val="22"/>
        </w:rPr>
      </w:pPr>
    </w:p>
    <w:p>
      <w:pPr>
        <w:pStyle w:val="ListParagraph"/>
        <w:numPr>
          <w:ilvl w:val="0"/>
          <w:numId w:val="18"/>
        </w:numPr>
        <w:tabs>
          <w:tab w:pos="699" w:val="left" w:leader="none"/>
          <w:tab w:pos="700" w:val="left" w:leader="none"/>
        </w:tabs>
        <w:spacing w:line="240" w:lineRule="auto" w:before="69" w:after="0"/>
        <w:ind w:left="699" w:right="0" w:hanging="581"/>
        <w:jc w:val="left"/>
        <w:rPr>
          <w:b/>
          <w:sz w:val="24"/>
        </w:rPr>
      </w:pPr>
      <w:r>
        <w:rPr>
          <w:b/>
          <w:sz w:val="24"/>
        </w:rPr>
        <w:t>Aspectos clínicos y</w:t>
      </w:r>
      <w:r>
        <w:rPr>
          <w:b/>
          <w:spacing w:val="-15"/>
          <w:sz w:val="24"/>
        </w:rPr>
        <w:t> </w:t>
      </w:r>
      <w:r>
        <w:rPr>
          <w:b/>
          <w:sz w:val="24"/>
        </w:rPr>
        <w:t>necropsia</w:t>
      </w:r>
    </w:p>
    <w:p>
      <w:pPr>
        <w:pStyle w:val="BodyText"/>
        <w:spacing w:before="9"/>
        <w:rPr>
          <w:rFonts w:ascii="Times New Roman"/>
          <w:b/>
          <w:sz w:val="22"/>
        </w:rPr>
      </w:pPr>
    </w:p>
    <w:p>
      <w:pPr>
        <w:pStyle w:val="ListParagraph"/>
        <w:numPr>
          <w:ilvl w:val="0"/>
          <w:numId w:val="18"/>
        </w:numPr>
        <w:tabs>
          <w:tab w:pos="1405" w:val="left" w:leader="none"/>
          <w:tab w:pos="1406" w:val="left" w:leader="none"/>
        </w:tabs>
        <w:spacing w:line="240" w:lineRule="auto" w:before="69" w:after="0"/>
        <w:ind w:left="1405" w:right="0" w:hanging="1287"/>
        <w:jc w:val="left"/>
        <w:rPr>
          <w:sz w:val="24"/>
        </w:rPr>
      </w:pPr>
      <w:r>
        <w:rPr>
          <w:sz w:val="24"/>
        </w:rPr>
        <w:t>Los</w:t>
      </w:r>
      <w:r>
        <w:rPr>
          <w:spacing w:val="-12"/>
          <w:sz w:val="24"/>
        </w:rPr>
        <w:t> </w:t>
      </w:r>
      <w:r>
        <w:rPr>
          <w:sz w:val="24"/>
        </w:rPr>
        <w:t>signos</w:t>
      </w:r>
      <w:r>
        <w:rPr>
          <w:spacing w:val="-12"/>
          <w:sz w:val="24"/>
        </w:rPr>
        <w:t> </w:t>
      </w:r>
      <w:r>
        <w:rPr>
          <w:sz w:val="24"/>
        </w:rPr>
        <w:t>clínicos</w:t>
      </w:r>
      <w:r>
        <w:rPr>
          <w:spacing w:val="-7"/>
          <w:sz w:val="24"/>
        </w:rPr>
        <w:t> </w:t>
      </w:r>
      <w:r>
        <w:rPr>
          <w:sz w:val="24"/>
        </w:rPr>
        <w:t>y</w:t>
      </w:r>
      <w:r>
        <w:rPr>
          <w:spacing w:val="-14"/>
          <w:sz w:val="24"/>
        </w:rPr>
        <w:t> </w:t>
      </w:r>
      <w:r>
        <w:rPr>
          <w:sz w:val="24"/>
        </w:rPr>
        <w:t>lesiones</w:t>
      </w:r>
      <w:r>
        <w:rPr>
          <w:spacing w:val="-12"/>
          <w:sz w:val="24"/>
        </w:rPr>
        <w:t> </w:t>
      </w:r>
      <w:r>
        <w:rPr>
          <w:sz w:val="24"/>
        </w:rPr>
        <w:t>observados</w:t>
      </w:r>
      <w:r>
        <w:rPr>
          <w:spacing w:val="-12"/>
          <w:sz w:val="24"/>
        </w:rPr>
        <w:t> </w:t>
      </w:r>
      <w:r>
        <w:rPr>
          <w:sz w:val="24"/>
        </w:rPr>
        <w:t>en</w:t>
      </w:r>
      <w:r>
        <w:rPr>
          <w:spacing w:val="-10"/>
          <w:sz w:val="24"/>
        </w:rPr>
        <w:t> </w:t>
      </w:r>
      <w:r>
        <w:rPr>
          <w:sz w:val="24"/>
        </w:rPr>
        <w:t>los</w:t>
      </w:r>
      <w:r>
        <w:rPr>
          <w:spacing w:val="-12"/>
          <w:sz w:val="24"/>
        </w:rPr>
        <w:t> </w:t>
      </w:r>
      <w:r>
        <w:rPr>
          <w:sz w:val="24"/>
        </w:rPr>
        <w:t>peces</w:t>
      </w:r>
      <w:r>
        <w:rPr>
          <w:spacing w:val="-12"/>
          <w:sz w:val="24"/>
        </w:rPr>
        <w:t> </w:t>
      </w:r>
      <w:r>
        <w:rPr>
          <w:sz w:val="24"/>
        </w:rPr>
        <w:t>de</w:t>
      </w:r>
      <w:r>
        <w:rPr>
          <w:spacing w:val="-6"/>
          <w:sz w:val="24"/>
        </w:rPr>
        <w:t> </w:t>
      </w:r>
      <w:r>
        <w:rPr>
          <w:spacing w:val="-5"/>
          <w:sz w:val="24"/>
        </w:rPr>
        <w:t>la</w:t>
      </w:r>
      <w:r>
        <w:rPr>
          <w:spacing w:val="-11"/>
          <w:sz w:val="24"/>
        </w:rPr>
        <w:t> </w:t>
      </w:r>
      <w:r>
        <w:rPr>
          <w:sz w:val="24"/>
        </w:rPr>
        <w:t>granja</w:t>
      </w:r>
      <w:r>
        <w:rPr>
          <w:spacing w:val="-11"/>
          <w:sz w:val="24"/>
        </w:rPr>
        <w:t> </w:t>
      </w:r>
      <w:r>
        <w:rPr>
          <w:sz w:val="24"/>
        </w:rPr>
        <w:t>afectada</w:t>
      </w:r>
      <w:r>
        <w:rPr>
          <w:spacing w:val="-11"/>
          <w:sz w:val="24"/>
        </w:rPr>
        <w:t> </w:t>
      </w:r>
      <w:r>
        <w:rPr>
          <w:spacing w:val="-3"/>
          <w:sz w:val="24"/>
        </w:rPr>
        <w:t>no</w:t>
      </w:r>
      <w:r>
        <w:rPr>
          <w:spacing w:val="-5"/>
          <w:sz w:val="24"/>
        </w:rPr>
        <w:t> </w:t>
      </w:r>
      <w:r>
        <w:rPr>
          <w:sz w:val="24"/>
        </w:rPr>
        <w:t>habían</w:t>
      </w:r>
    </w:p>
    <w:p>
      <w:pPr>
        <w:pStyle w:val="ListParagraph"/>
        <w:numPr>
          <w:ilvl w:val="0"/>
          <w:numId w:val="18"/>
        </w:numPr>
        <w:tabs>
          <w:tab w:pos="699" w:val="left" w:leader="none"/>
          <w:tab w:pos="700" w:val="left" w:leader="none"/>
        </w:tabs>
        <w:spacing w:line="240" w:lineRule="auto" w:before="129" w:after="0"/>
        <w:ind w:left="699" w:right="0" w:hanging="581"/>
        <w:jc w:val="left"/>
        <w:rPr>
          <w:sz w:val="24"/>
        </w:rPr>
      </w:pPr>
      <w:r>
        <w:rPr>
          <w:sz w:val="24"/>
        </w:rPr>
        <w:t>sido previamente</w:t>
      </w:r>
      <w:r>
        <w:rPr>
          <w:spacing w:val="-6"/>
          <w:sz w:val="24"/>
        </w:rPr>
        <w:t> </w:t>
      </w:r>
      <w:r>
        <w:rPr>
          <w:sz w:val="24"/>
        </w:rPr>
        <w:t>reportados</w:t>
      </w:r>
      <w:r>
        <w:rPr>
          <w:spacing w:val="-7"/>
          <w:sz w:val="24"/>
        </w:rPr>
        <w:t> </w:t>
      </w:r>
      <w:r>
        <w:rPr>
          <w:sz w:val="24"/>
        </w:rPr>
        <w:t>en</w:t>
      </w:r>
      <w:r>
        <w:rPr>
          <w:spacing w:val="-10"/>
          <w:sz w:val="24"/>
        </w:rPr>
        <w:t> </w:t>
      </w:r>
      <w:r>
        <w:rPr>
          <w:sz w:val="24"/>
        </w:rPr>
        <w:t>peces</w:t>
      </w:r>
      <w:r>
        <w:rPr>
          <w:spacing w:val="-7"/>
          <w:sz w:val="24"/>
        </w:rPr>
        <w:t> </w:t>
      </w:r>
      <w:r>
        <w:rPr>
          <w:sz w:val="24"/>
        </w:rPr>
        <w:t>de</w:t>
      </w:r>
      <w:r>
        <w:rPr>
          <w:spacing w:val="-6"/>
          <w:sz w:val="24"/>
        </w:rPr>
        <w:t> </w:t>
      </w:r>
      <w:r>
        <w:rPr>
          <w:sz w:val="24"/>
        </w:rPr>
        <w:t>cultivo o</w:t>
      </w:r>
      <w:r>
        <w:rPr>
          <w:spacing w:val="-5"/>
          <w:sz w:val="24"/>
        </w:rPr>
        <w:t> </w:t>
      </w:r>
      <w:r>
        <w:rPr>
          <w:sz w:val="24"/>
        </w:rPr>
        <w:t>silvestres</w:t>
      </w:r>
      <w:r>
        <w:rPr>
          <w:spacing w:val="-7"/>
          <w:sz w:val="24"/>
        </w:rPr>
        <w:t> </w:t>
      </w:r>
      <w:r>
        <w:rPr>
          <w:sz w:val="24"/>
        </w:rPr>
        <w:t>de</w:t>
      </w:r>
      <w:r>
        <w:rPr>
          <w:spacing w:val="-6"/>
          <w:sz w:val="24"/>
        </w:rPr>
        <w:t> </w:t>
      </w:r>
      <w:r>
        <w:rPr>
          <w:sz w:val="24"/>
        </w:rPr>
        <w:t>México.</w:t>
      </w:r>
      <w:r>
        <w:rPr>
          <w:spacing w:val="-3"/>
          <w:sz w:val="24"/>
        </w:rPr>
        <w:t> </w:t>
      </w:r>
      <w:r>
        <w:rPr>
          <w:sz w:val="24"/>
        </w:rPr>
        <w:t>El</w:t>
      </w:r>
      <w:r>
        <w:rPr>
          <w:spacing w:val="-14"/>
          <w:sz w:val="24"/>
        </w:rPr>
        <w:t> </w:t>
      </w:r>
      <w:r>
        <w:rPr>
          <w:sz w:val="24"/>
        </w:rPr>
        <w:t>50%</w:t>
      </w:r>
      <w:r>
        <w:rPr>
          <w:spacing w:val="-3"/>
          <w:sz w:val="24"/>
        </w:rPr>
        <w:t> </w:t>
      </w:r>
      <w:r>
        <w:rPr>
          <w:sz w:val="24"/>
        </w:rPr>
        <w:t>de</w:t>
      </w:r>
      <w:r>
        <w:rPr>
          <w:spacing w:val="-1"/>
          <w:sz w:val="24"/>
        </w:rPr>
        <w:t> </w:t>
      </w:r>
      <w:r>
        <w:rPr>
          <w:sz w:val="24"/>
        </w:rPr>
        <w:t>los</w:t>
      </w:r>
      <w:r>
        <w:rPr>
          <w:spacing w:val="-7"/>
          <w:sz w:val="24"/>
        </w:rPr>
        <w:t> </w:t>
      </w:r>
      <w:r>
        <w:rPr>
          <w:spacing w:val="2"/>
          <w:sz w:val="24"/>
        </w:rPr>
        <w:t>peces</w:t>
      </w:r>
    </w:p>
    <w:p>
      <w:pPr>
        <w:pStyle w:val="ListParagraph"/>
        <w:numPr>
          <w:ilvl w:val="0"/>
          <w:numId w:val="18"/>
        </w:numPr>
        <w:tabs>
          <w:tab w:pos="699" w:val="left" w:leader="none"/>
          <w:tab w:pos="700" w:val="left" w:leader="none"/>
        </w:tabs>
        <w:spacing w:line="240" w:lineRule="auto" w:before="129" w:after="0"/>
        <w:ind w:left="699" w:right="0" w:hanging="581"/>
        <w:jc w:val="left"/>
        <w:rPr>
          <w:sz w:val="24"/>
        </w:rPr>
      </w:pPr>
      <w:r>
        <w:rPr>
          <w:sz w:val="24"/>
        </w:rPr>
        <w:t>remitidos</w:t>
      </w:r>
      <w:r>
        <w:rPr>
          <w:spacing w:val="-16"/>
          <w:sz w:val="24"/>
        </w:rPr>
        <w:t> </w:t>
      </w:r>
      <w:r>
        <w:rPr>
          <w:sz w:val="24"/>
        </w:rPr>
        <w:t>presentaron</w:t>
      </w:r>
      <w:r>
        <w:rPr>
          <w:spacing w:val="-18"/>
          <w:sz w:val="24"/>
        </w:rPr>
        <w:t> </w:t>
      </w:r>
      <w:r>
        <w:rPr>
          <w:sz w:val="24"/>
        </w:rPr>
        <w:t>palidez</w:t>
      </w:r>
      <w:r>
        <w:rPr>
          <w:spacing w:val="-15"/>
          <w:sz w:val="24"/>
        </w:rPr>
        <w:t> </w:t>
      </w:r>
      <w:r>
        <w:rPr>
          <w:sz w:val="24"/>
        </w:rPr>
        <w:t>branquial,</w:t>
      </w:r>
      <w:r>
        <w:rPr>
          <w:spacing w:val="-8"/>
          <w:sz w:val="24"/>
        </w:rPr>
        <w:t> </w:t>
      </w:r>
      <w:r>
        <w:rPr>
          <w:sz w:val="24"/>
        </w:rPr>
        <w:t>ligera</w:t>
      </w:r>
      <w:r>
        <w:rPr>
          <w:spacing w:val="-15"/>
          <w:sz w:val="24"/>
        </w:rPr>
        <w:t> </w:t>
      </w:r>
      <w:r>
        <w:rPr>
          <w:sz w:val="24"/>
        </w:rPr>
        <w:t>exoftalmia</w:t>
      </w:r>
      <w:r>
        <w:rPr>
          <w:spacing w:val="-11"/>
          <w:sz w:val="24"/>
        </w:rPr>
        <w:t> </w:t>
      </w:r>
      <w:r>
        <w:rPr>
          <w:sz w:val="24"/>
        </w:rPr>
        <w:t>y</w:t>
      </w:r>
      <w:r>
        <w:rPr>
          <w:spacing w:val="-22"/>
          <w:sz w:val="24"/>
        </w:rPr>
        <w:t> </w:t>
      </w:r>
      <w:r>
        <w:rPr>
          <w:sz w:val="24"/>
        </w:rPr>
        <w:t>distención</w:t>
      </w:r>
      <w:r>
        <w:rPr>
          <w:spacing w:val="-18"/>
          <w:sz w:val="24"/>
        </w:rPr>
        <w:t> </w:t>
      </w:r>
      <w:r>
        <w:rPr>
          <w:sz w:val="24"/>
        </w:rPr>
        <w:t>abdominal</w:t>
      </w:r>
      <w:r>
        <w:rPr>
          <w:spacing w:val="-18"/>
          <w:sz w:val="24"/>
        </w:rPr>
        <w:t> </w:t>
      </w:r>
      <w:r>
        <w:rPr>
          <w:sz w:val="24"/>
        </w:rPr>
        <w:t>moderada;</w:t>
      </w:r>
    </w:p>
    <w:p>
      <w:pPr>
        <w:pStyle w:val="ListParagraph"/>
        <w:numPr>
          <w:ilvl w:val="0"/>
          <w:numId w:val="18"/>
        </w:numPr>
        <w:tabs>
          <w:tab w:pos="699" w:val="left" w:leader="none"/>
          <w:tab w:pos="700" w:val="left" w:leader="none"/>
        </w:tabs>
        <w:spacing w:line="240" w:lineRule="auto" w:before="130" w:after="0"/>
        <w:ind w:left="699" w:right="0" w:hanging="581"/>
        <w:jc w:val="left"/>
        <w:rPr>
          <w:sz w:val="24"/>
        </w:rPr>
      </w:pPr>
      <w:r>
        <w:rPr>
          <w:sz w:val="24"/>
        </w:rPr>
        <w:t>un menor porcentaje de animales presento nódulos blanquecinos en</w:t>
      </w:r>
      <w:r>
        <w:rPr>
          <w:spacing w:val="-43"/>
          <w:sz w:val="24"/>
        </w:rPr>
        <w:t> </w:t>
      </w:r>
      <w:r>
        <w:rPr>
          <w:sz w:val="24"/>
        </w:rPr>
        <w:t>branquias, acortamiento</w:t>
      </w:r>
    </w:p>
    <w:p>
      <w:pPr>
        <w:pStyle w:val="ListParagraph"/>
        <w:numPr>
          <w:ilvl w:val="0"/>
          <w:numId w:val="18"/>
        </w:numPr>
        <w:tabs>
          <w:tab w:pos="699" w:val="left" w:leader="none"/>
          <w:tab w:pos="700" w:val="left" w:leader="none"/>
        </w:tabs>
        <w:spacing w:line="240" w:lineRule="auto" w:before="134" w:after="0"/>
        <w:ind w:left="699" w:right="0" w:hanging="581"/>
        <w:jc w:val="left"/>
        <w:rPr>
          <w:sz w:val="24"/>
        </w:rPr>
      </w:pPr>
      <w:r>
        <w:rPr>
          <w:sz w:val="24"/>
        </w:rPr>
        <w:t>de</w:t>
      </w:r>
      <w:r>
        <w:rPr>
          <w:spacing w:val="-10"/>
          <w:sz w:val="24"/>
        </w:rPr>
        <w:t> </w:t>
      </w:r>
      <w:r>
        <w:rPr>
          <w:sz w:val="24"/>
        </w:rPr>
        <w:t>laminillas</w:t>
      </w:r>
      <w:r>
        <w:rPr>
          <w:spacing w:val="-11"/>
          <w:sz w:val="24"/>
        </w:rPr>
        <w:t> </w:t>
      </w:r>
      <w:r>
        <w:rPr>
          <w:sz w:val="24"/>
        </w:rPr>
        <w:t>primarias,</w:t>
      </w:r>
      <w:r>
        <w:rPr>
          <w:spacing w:val="-7"/>
          <w:sz w:val="24"/>
        </w:rPr>
        <w:t> </w:t>
      </w:r>
      <w:r>
        <w:rPr>
          <w:sz w:val="24"/>
        </w:rPr>
        <w:t>áreas</w:t>
      </w:r>
      <w:r>
        <w:rPr>
          <w:spacing w:val="-11"/>
          <w:sz w:val="24"/>
        </w:rPr>
        <w:t> </w:t>
      </w:r>
      <w:r>
        <w:rPr>
          <w:sz w:val="24"/>
        </w:rPr>
        <w:t>de</w:t>
      </w:r>
      <w:r>
        <w:rPr>
          <w:spacing w:val="-10"/>
          <w:sz w:val="24"/>
        </w:rPr>
        <w:t> </w:t>
      </w:r>
      <w:r>
        <w:rPr>
          <w:sz w:val="24"/>
        </w:rPr>
        <w:t>consolidación,</w:t>
      </w:r>
      <w:r>
        <w:rPr>
          <w:spacing w:val="-7"/>
          <w:sz w:val="24"/>
        </w:rPr>
        <w:t> </w:t>
      </w:r>
      <w:r>
        <w:rPr>
          <w:sz w:val="24"/>
        </w:rPr>
        <w:t>coloración</w:t>
      </w:r>
      <w:r>
        <w:rPr>
          <w:spacing w:val="-14"/>
          <w:sz w:val="24"/>
        </w:rPr>
        <w:t> </w:t>
      </w:r>
      <w:r>
        <w:rPr>
          <w:sz w:val="24"/>
        </w:rPr>
        <w:t>obscura,</w:t>
      </w:r>
      <w:r>
        <w:rPr>
          <w:spacing w:val="-7"/>
          <w:sz w:val="24"/>
        </w:rPr>
        <w:t> </w:t>
      </w:r>
      <w:r>
        <w:rPr>
          <w:sz w:val="24"/>
        </w:rPr>
        <w:t>con</w:t>
      </w:r>
      <w:r>
        <w:rPr>
          <w:spacing w:val="-14"/>
          <w:sz w:val="24"/>
        </w:rPr>
        <w:t> </w:t>
      </w:r>
      <w:r>
        <w:rPr>
          <w:sz w:val="24"/>
        </w:rPr>
        <w:t>necrosis</w:t>
      </w:r>
      <w:r>
        <w:rPr>
          <w:spacing w:val="-6"/>
          <w:sz w:val="24"/>
        </w:rPr>
        <w:t> </w:t>
      </w:r>
      <w:r>
        <w:rPr>
          <w:sz w:val="24"/>
        </w:rPr>
        <w:t>y</w:t>
      </w:r>
      <w:r>
        <w:rPr>
          <w:spacing w:val="-17"/>
          <w:sz w:val="24"/>
        </w:rPr>
        <w:t> </w:t>
      </w:r>
      <w:r>
        <w:rPr>
          <w:sz w:val="24"/>
        </w:rPr>
        <w:t>exceso</w:t>
      </w:r>
      <w:r>
        <w:rPr>
          <w:spacing w:val="-5"/>
          <w:sz w:val="24"/>
        </w:rPr>
        <w:t> </w:t>
      </w:r>
      <w:r>
        <w:rPr>
          <w:sz w:val="24"/>
        </w:rPr>
        <w:t>de</w:t>
      </w:r>
    </w:p>
    <w:p>
      <w:pPr>
        <w:pStyle w:val="ListParagraph"/>
        <w:numPr>
          <w:ilvl w:val="0"/>
          <w:numId w:val="18"/>
        </w:numPr>
        <w:tabs>
          <w:tab w:pos="699" w:val="left" w:leader="none"/>
          <w:tab w:pos="700" w:val="left" w:leader="none"/>
        </w:tabs>
        <w:spacing w:line="240" w:lineRule="auto" w:before="129" w:after="0"/>
        <w:ind w:left="699" w:right="0" w:hanging="581"/>
        <w:jc w:val="left"/>
        <w:rPr>
          <w:sz w:val="24"/>
        </w:rPr>
      </w:pPr>
      <w:r>
        <w:rPr>
          <w:sz w:val="24"/>
        </w:rPr>
        <w:t>mucus.   Parte  de  los  animales  también  se  observaron  emaciados,   con  inactividad    </w:t>
      </w:r>
      <w:r>
        <w:rPr>
          <w:spacing w:val="6"/>
          <w:sz w:val="24"/>
        </w:rPr>
        <w:t> </w:t>
      </w:r>
      <w:r>
        <w:rPr>
          <w:sz w:val="24"/>
        </w:rPr>
        <w:t>e</w:t>
      </w:r>
    </w:p>
    <w:p>
      <w:pPr>
        <w:pStyle w:val="ListParagraph"/>
        <w:numPr>
          <w:ilvl w:val="0"/>
          <w:numId w:val="18"/>
        </w:numPr>
        <w:tabs>
          <w:tab w:pos="699" w:val="left" w:leader="none"/>
          <w:tab w:pos="700" w:val="left" w:leader="none"/>
        </w:tabs>
        <w:spacing w:line="240" w:lineRule="auto" w:before="129" w:after="0"/>
        <w:ind w:left="699" w:right="0" w:hanging="581"/>
        <w:jc w:val="left"/>
        <w:rPr>
          <w:sz w:val="24"/>
        </w:rPr>
      </w:pPr>
      <w:r>
        <w:rPr>
          <w:sz w:val="24"/>
        </w:rPr>
        <w:t>incoordinación para nadar. A excepción de </w:t>
      </w:r>
      <w:r>
        <w:rPr>
          <w:spacing w:val="-5"/>
          <w:sz w:val="24"/>
        </w:rPr>
        <w:t>la </w:t>
      </w:r>
      <w:r>
        <w:rPr>
          <w:sz w:val="24"/>
        </w:rPr>
        <w:t>pérdida de escamas, en piel </w:t>
      </w:r>
      <w:r>
        <w:rPr>
          <w:spacing w:val="-3"/>
          <w:sz w:val="24"/>
        </w:rPr>
        <w:t>no </w:t>
      </w:r>
      <w:r>
        <w:rPr>
          <w:sz w:val="24"/>
        </w:rPr>
        <w:t>se </w:t>
      </w:r>
      <w:r>
        <w:rPr>
          <w:spacing w:val="31"/>
          <w:sz w:val="24"/>
        </w:rPr>
        <w:t> </w:t>
      </w:r>
      <w:r>
        <w:rPr>
          <w:sz w:val="24"/>
        </w:rPr>
        <w:t>observaron</w:t>
      </w:r>
    </w:p>
    <w:p>
      <w:pPr>
        <w:pStyle w:val="ListParagraph"/>
        <w:numPr>
          <w:ilvl w:val="0"/>
          <w:numId w:val="18"/>
        </w:numPr>
        <w:tabs>
          <w:tab w:pos="699" w:val="left" w:leader="none"/>
          <w:tab w:pos="700" w:val="left" w:leader="none"/>
        </w:tabs>
        <w:spacing w:line="240" w:lineRule="auto" w:before="130" w:after="0"/>
        <w:ind w:left="699" w:right="0" w:hanging="581"/>
        <w:jc w:val="left"/>
        <w:rPr>
          <w:sz w:val="24"/>
        </w:rPr>
      </w:pPr>
      <w:r>
        <w:rPr>
          <w:sz w:val="24"/>
        </w:rPr>
        <w:t>lesiones  externas.  Las  preparaciones  húmedas  de  </w:t>
      </w:r>
      <w:r>
        <w:rPr>
          <w:i/>
          <w:sz w:val="24"/>
        </w:rPr>
        <w:t>mucus  </w:t>
      </w:r>
      <w:r>
        <w:rPr>
          <w:sz w:val="24"/>
        </w:rPr>
        <w:t>evidenciaron  </w:t>
      </w:r>
      <w:r>
        <w:rPr>
          <w:spacing w:val="-5"/>
          <w:sz w:val="24"/>
        </w:rPr>
        <w:t>la  </w:t>
      </w:r>
      <w:r>
        <w:rPr>
          <w:sz w:val="24"/>
        </w:rPr>
        <w:t>presencia </w:t>
      </w:r>
      <w:r>
        <w:rPr>
          <w:spacing w:val="18"/>
          <w:sz w:val="24"/>
        </w:rPr>
        <w:t> </w:t>
      </w:r>
      <w:r>
        <w:rPr>
          <w:sz w:val="24"/>
        </w:rPr>
        <w:t>del</w:t>
      </w:r>
    </w:p>
    <w:p>
      <w:pPr>
        <w:pStyle w:val="ListParagraph"/>
        <w:numPr>
          <w:ilvl w:val="0"/>
          <w:numId w:val="18"/>
        </w:numPr>
        <w:tabs>
          <w:tab w:pos="699" w:val="left" w:leader="none"/>
          <w:tab w:pos="700" w:val="left" w:leader="none"/>
        </w:tabs>
        <w:spacing w:line="240" w:lineRule="auto" w:before="125" w:after="0"/>
        <w:ind w:left="699" w:right="0" w:hanging="581"/>
        <w:jc w:val="left"/>
        <w:rPr>
          <w:i/>
          <w:sz w:val="24"/>
        </w:rPr>
      </w:pPr>
      <w:r>
        <w:rPr>
          <w:sz w:val="24"/>
        </w:rPr>
        <w:t>monogeneo </w:t>
      </w:r>
      <w:r>
        <w:rPr>
          <w:i/>
          <w:sz w:val="24"/>
        </w:rPr>
        <w:t>Dactilogyrus </w:t>
      </w:r>
      <w:r>
        <w:rPr>
          <w:sz w:val="24"/>
        </w:rPr>
        <w:t>sp</w:t>
      </w:r>
      <w:r>
        <w:rPr>
          <w:i/>
          <w:sz w:val="24"/>
        </w:rPr>
        <w:t>. </w:t>
      </w:r>
      <w:r>
        <w:rPr>
          <w:sz w:val="24"/>
        </w:rPr>
        <w:t>y los protozoos </w:t>
      </w:r>
      <w:r>
        <w:rPr>
          <w:i/>
          <w:sz w:val="24"/>
        </w:rPr>
        <w:t>Trichodina sp. </w:t>
      </w:r>
      <w:r>
        <w:rPr>
          <w:sz w:val="24"/>
        </w:rPr>
        <w:t>y </w:t>
      </w:r>
      <w:r>
        <w:rPr>
          <w:i/>
          <w:sz w:val="24"/>
        </w:rPr>
        <w:t>Apiosoma</w:t>
      </w:r>
      <w:r>
        <w:rPr>
          <w:i/>
          <w:spacing w:val="-17"/>
          <w:sz w:val="24"/>
        </w:rPr>
        <w:t> </w:t>
      </w:r>
      <w:r>
        <w:rPr>
          <w:sz w:val="24"/>
        </w:rPr>
        <w:t>sp</w:t>
      </w:r>
      <w:r>
        <w:rPr>
          <w:i/>
          <w:sz w:val="24"/>
        </w:rPr>
        <w:t>.</w:t>
      </w:r>
    </w:p>
    <w:p>
      <w:pPr>
        <w:pStyle w:val="BodyText"/>
        <w:spacing w:before="2"/>
        <w:rPr>
          <w:rFonts w:ascii="Times New Roman"/>
          <w:i/>
          <w:sz w:val="23"/>
        </w:rPr>
      </w:pPr>
    </w:p>
    <w:p>
      <w:pPr>
        <w:pStyle w:val="ListParagraph"/>
        <w:numPr>
          <w:ilvl w:val="0"/>
          <w:numId w:val="18"/>
        </w:numPr>
        <w:tabs>
          <w:tab w:pos="1405" w:val="left" w:leader="none"/>
          <w:tab w:pos="1406" w:val="left" w:leader="none"/>
        </w:tabs>
        <w:spacing w:line="240" w:lineRule="auto" w:before="69" w:after="0"/>
        <w:ind w:left="1405" w:right="0" w:hanging="1287"/>
        <w:jc w:val="left"/>
        <w:rPr>
          <w:sz w:val="24"/>
        </w:rPr>
      </w:pPr>
      <w:r>
        <w:rPr>
          <w:sz w:val="24"/>
        </w:rPr>
        <w:t>Internamente,</w:t>
      </w:r>
      <w:r>
        <w:rPr>
          <w:spacing w:val="-11"/>
          <w:sz w:val="24"/>
        </w:rPr>
        <w:t> </w:t>
      </w:r>
      <w:r>
        <w:rPr>
          <w:sz w:val="24"/>
        </w:rPr>
        <w:t>los</w:t>
      </w:r>
      <w:r>
        <w:rPr>
          <w:spacing w:val="-14"/>
          <w:sz w:val="24"/>
        </w:rPr>
        <w:t> </w:t>
      </w:r>
      <w:r>
        <w:rPr>
          <w:sz w:val="24"/>
        </w:rPr>
        <w:t>peces</w:t>
      </w:r>
      <w:r>
        <w:rPr>
          <w:spacing w:val="-14"/>
          <w:sz w:val="24"/>
        </w:rPr>
        <w:t> </w:t>
      </w:r>
      <w:r>
        <w:rPr>
          <w:sz w:val="24"/>
        </w:rPr>
        <w:t>presentaron</w:t>
      </w:r>
      <w:r>
        <w:rPr>
          <w:spacing w:val="-16"/>
          <w:sz w:val="24"/>
        </w:rPr>
        <w:t> </w:t>
      </w:r>
      <w:r>
        <w:rPr>
          <w:sz w:val="24"/>
        </w:rPr>
        <w:t>ascitis</w:t>
      </w:r>
      <w:r>
        <w:rPr>
          <w:spacing w:val="-14"/>
          <w:sz w:val="24"/>
        </w:rPr>
        <w:t> </w:t>
      </w:r>
      <w:r>
        <w:rPr>
          <w:sz w:val="24"/>
        </w:rPr>
        <w:t>serosa</w:t>
      </w:r>
      <w:r>
        <w:rPr>
          <w:spacing w:val="-13"/>
          <w:sz w:val="24"/>
        </w:rPr>
        <w:t> </w:t>
      </w:r>
      <w:r>
        <w:rPr>
          <w:sz w:val="24"/>
        </w:rPr>
        <w:t>moderada</w:t>
      </w:r>
      <w:r>
        <w:rPr>
          <w:spacing w:val="-9"/>
          <w:sz w:val="24"/>
        </w:rPr>
        <w:t> </w:t>
      </w:r>
      <w:r>
        <w:rPr>
          <w:sz w:val="24"/>
        </w:rPr>
        <w:t>y</w:t>
      </w:r>
      <w:r>
        <w:rPr>
          <w:spacing w:val="-21"/>
          <w:sz w:val="24"/>
        </w:rPr>
        <w:t> </w:t>
      </w:r>
      <w:r>
        <w:rPr>
          <w:sz w:val="24"/>
        </w:rPr>
        <w:t>adherencias</w:t>
      </w:r>
      <w:r>
        <w:rPr>
          <w:spacing w:val="-14"/>
          <w:sz w:val="24"/>
        </w:rPr>
        <w:t> </w:t>
      </w:r>
      <w:r>
        <w:rPr>
          <w:sz w:val="24"/>
        </w:rPr>
        <w:t>en</w:t>
      </w:r>
      <w:r>
        <w:rPr>
          <w:spacing w:val="-16"/>
          <w:sz w:val="24"/>
        </w:rPr>
        <w:t> </w:t>
      </w:r>
      <w:r>
        <w:rPr>
          <w:sz w:val="24"/>
        </w:rPr>
        <w:t>cavidad</w:t>
      </w:r>
    </w:p>
    <w:p>
      <w:pPr>
        <w:pStyle w:val="ListParagraph"/>
        <w:numPr>
          <w:ilvl w:val="0"/>
          <w:numId w:val="18"/>
        </w:numPr>
        <w:tabs>
          <w:tab w:pos="699" w:val="left" w:leader="none"/>
          <w:tab w:pos="700" w:val="left" w:leader="none"/>
        </w:tabs>
        <w:spacing w:line="240" w:lineRule="auto" w:before="134" w:after="0"/>
        <w:ind w:left="699" w:right="0" w:hanging="581"/>
        <w:jc w:val="left"/>
        <w:rPr>
          <w:sz w:val="24"/>
        </w:rPr>
      </w:pPr>
      <w:r>
        <w:rPr>
          <w:sz w:val="24"/>
        </w:rPr>
        <w:t>celómica y entre los órganos internos; mesenterio y </w:t>
      </w:r>
      <w:r>
        <w:rPr>
          <w:i/>
          <w:sz w:val="24"/>
        </w:rPr>
        <w:t>mesovarium </w:t>
      </w:r>
      <w:r>
        <w:rPr>
          <w:sz w:val="24"/>
        </w:rPr>
        <w:t>con nódulos</w:t>
      </w:r>
      <w:r>
        <w:rPr>
          <w:spacing w:val="21"/>
          <w:sz w:val="24"/>
        </w:rPr>
        <w:t> </w:t>
      </w:r>
      <w:r>
        <w:rPr>
          <w:sz w:val="24"/>
        </w:rPr>
        <w:t>blanquecinos.</w:t>
      </w:r>
    </w:p>
    <w:p>
      <w:pPr>
        <w:spacing w:after="0" w:line="240" w:lineRule="auto"/>
        <w:jc w:val="left"/>
        <w:rPr>
          <w:sz w:val="24"/>
        </w:rPr>
        <w:sectPr>
          <w:pgSz w:w="12240" w:h="15840"/>
          <w:pgMar w:header="752" w:footer="1003" w:top="1000" w:bottom="1200" w:left="1000" w:right="1560"/>
        </w:sectPr>
      </w:pPr>
    </w:p>
    <w:p>
      <w:pPr>
        <w:pStyle w:val="BodyText"/>
        <w:spacing w:before="8"/>
        <w:rPr>
          <w:rFonts w:ascii="Times New Roman"/>
          <w:sz w:val="28"/>
        </w:rPr>
      </w:pPr>
    </w:p>
    <w:p>
      <w:pPr>
        <w:pStyle w:val="ListParagraph"/>
        <w:numPr>
          <w:ilvl w:val="0"/>
          <w:numId w:val="19"/>
        </w:numPr>
        <w:tabs>
          <w:tab w:pos="699" w:val="left" w:leader="none"/>
          <w:tab w:pos="700" w:val="left" w:leader="none"/>
        </w:tabs>
        <w:spacing w:line="240" w:lineRule="auto" w:before="70" w:after="0"/>
        <w:ind w:left="699" w:right="0" w:hanging="470"/>
        <w:jc w:val="left"/>
        <w:rPr>
          <w:sz w:val="24"/>
        </w:rPr>
      </w:pPr>
      <w:r>
        <w:rPr>
          <w:sz w:val="24"/>
        </w:rPr>
        <w:t>El bazo mostro severo aumento de tamaño y formación difusa de nódulos blanquecinos  </w:t>
      </w:r>
      <w:r>
        <w:rPr>
          <w:spacing w:val="4"/>
          <w:sz w:val="24"/>
        </w:rPr>
        <w:t> </w:t>
      </w:r>
      <w:r>
        <w:rPr>
          <w:sz w:val="24"/>
        </w:rPr>
        <w:t>de</w:t>
      </w:r>
    </w:p>
    <w:p>
      <w:pPr>
        <w:pStyle w:val="ListParagraph"/>
        <w:numPr>
          <w:ilvl w:val="0"/>
          <w:numId w:val="19"/>
        </w:numPr>
        <w:tabs>
          <w:tab w:pos="699" w:val="left" w:leader="none"/>
          <w:tab w:pos="700" w:val="left" w:leader="none"/>
        </w:tabs>
        <w:spacing w:line="240" w:lineRule="auto" w:before="134" w:after="0"/>
        <w:ind w:left="699" w:right="0" w:hanging="470"/>
        <w:jc w:val="left"/>
        <w:rPr>
          <w:sz w:val="24"/>
        </w:rPr>
      </w:pPr>
      <w:r>
        <w:rPr>
          <w:sz w:val="24"/>
        </w:rPr>
        <w:t>distinto  tamaño  y  nivel  de  profundidad;  en  menor  número  nódulos  de  </w:t>
      </w:r>
      <w:r>
        <w:rPr>
          <w:spacing w:val="-3"/>
          <w:sz w:val="24"/>
        </w:rPr>
        <w:t>mayor </w:t>
      </w:r>
      <w:r>
        <w:rPr>
          <w:spacing w:val="2"/>
          <w:sz w:val="24"/>
        </w:rPr>
        <w:t> </w:t>
      </w:r>
      <w:r>
        <w:rPr>
          <w:sz w:val="24"/>
        </w:rPr>
        <w:t>tamaño</w:t>
      </w:r>
    </w:p>
    <w:p>
      <w:pPr>
        <w:pStyle w:val="ListParagraph"/>
        <w:numPr>
          <w:ilvl w:val="0"/>
          <w:numId w:val="19"/>
        </w:numPr>
        <w:tabs>
          <w:tab w:pos="699" w:val="left" w:leader="none"/>
          <w:tab w:pos="700" w:val="left" w:leader="none"/>
        </w:tabs>
        <w:spacing w:line="240" w:lineRule="auto" w:before="129" w:after="0"/>
        <w:ind w:left="699" w:right="0" w:hanging="470"/>
        <w:jc w:val="left"/>
        <w:rPr>
          <w:sz w:val="24"/>
        </w:rPr>
      </w:pPr>
      <w:r>
        <w:rPr>
          <w:sz w:val="24"/>
        </w:rPr>
        <w:t>estuvieron  presentes  en  riñón  sin  patrón  de  distribución  definido.  El  hígado,</w:t>
      </w:r>
      <w:r>
        <w:rPr>
          <w:spacing w:val="57"/>
          <w:sz w:val="24"/>
        </w:rPr>
        <w:t> </w:t>
      </w:r>
      <w:r>
        <w:rPr>
          <w:sz w:val="24"/>
        </w:rPr>
        <w:t>presento</w:t>
      </w:r>
    </w:p>
    <w:p>
      <w:pPr>
        <w:pStyle w:val="ListParagraph"/>
        <w:numPr>
          <w:ilvl w:val="0"/>
          <w:numId w:val="19"/>
        </w:numPr>
        <w:tabs>
          <w:tab w:pos="699" w:val="left" w:leader="none"/>
          <w:tab w:pos="700" w:val="left" w:leader="none"/>
        </w:tabs>
        <w:spacing w:line="240" w:lineRule="auto" w:before="130" w:after="0"/>
        <w:ind w:left="699" w:right="0" w:hanging="470"/>
        <w:jc w:val="left"/>
        <w:rPr>
          <w:sz w:val="24"/>
        </w:rPr>
      </w:pPr>
      <w:r>
        <w:rPr>
          <w:sz w:val="24"/>
        </w:rPr>
        <w:t>coloración  irregular,  predominando  </w:t>
      </w:r>
      <w:r>
        <w:rPr>
          <w:spacing w:val="-5"/>
          <w:sz w:val="24"/>
        </w:rPr>
        <w:t>la  </w:t>
      </w:r>
      <w:r>
        <w:rPr>
          <w:sz w:val="24"/>
        </w:rPr>
        <w:t>palidez,  adherencias  y  escasos  granulomas. </w:t>
      </w:r>
      <w:r>
        <w:rPr>
          <w:spacing w:val="10"/>
          <w:sz w:val="24"/>
        </w:rPr>
        <w:t> </w:t>
      </w:r>
      <w:r>
        <w:rPr>
          <w:sz w:val="24"/>
        </w:rPr>
        <w:t>Los</w:t>
      </w:r>
    </w:p>
    <w:p>
      <w:pPr>
        <w:pStyle w:val="ListParagraph"/>
        <w:numPr>
          <w:ilvl w:val="0"/>
          <w:numId w:val="19"/>
        </w:numPr>
        <w:tabs>
          <w:tab w:pos="699" w:val="left" w:leader="none"/>
          <w:tab w:pos="700" w:val="left" w:leader="none"/>
        </w:tabs>
        <w:spacing w:line="240" w:lineRule="auto" w:before="129" w:after="0"/>
        <w:ind w:left="699" w:right="0" w:hanging="470"/>
        <w:jc w:val="left"/>
        <w:rPr>
          <w:sz w:val="24"/>
        </w:rPr>
      </w:pPr>
      <w:r>
        <w:rPr>
          <w:sz w:val="24"/>
        </w:rPr>
        <w:t>nódulos también fueron evidentes en menor frecuencia en corazón y ovarios. Improntas </w:t>
      </w:r>
      <w:r>
        <w:rPr>
          <w:spacing w:val="39"/>
          <w:sz w:val="24"/>
        </w:rPr>
        <w:t> </w:t>
      </w:r>
      <w:r>
        <w:rPr>
          <w:sz w:val="24"/>
        </w:rPr>
        <w:t>de</w:t>
      </w:r>
    </w:p>
    <w:p>
      <w:pPr>
        <w:pStyle w:val="ListParagraph"/>
        <w:numPr>
          <w:ilvl w:val="0"/>
          <w:numId w:val="19"/>
        </w:numPr>
        <w:tabs>
          <w:tab w:pos="699" w:val="left" w:leader="none"/>
          <w:tab w:pos="700" w:val="left" w:leader="none"/>
        </w:tabs>
        <w:spacing w:line="240" w:lineRule="auto" w:before="134" w:after="0"/>
        <w:ind w:left="699" w:right="0" w:hanging="470"/>
        <w:jc w:val="left"/>
        <w:rPr>
          <w:sz w:val="24"/>
        </w:rPr>
      </w:pPr>
      <w:r>
        <w:rPr>
          <w:sz w:val="24"/>
        </w:rPr>
        <w:t>órganos  afectados  mostraron  presencia  de  cocobacilos  pleomórficos  Gram   </w:t>
      </w:r>
      <w:r>
        <w:rPr>
          <w:spacing w:val="28"/>
          <w:sz w:val="24"/>
        </w:rPr>
        <w:t> </w:t>
      </w:r>
      <w:r>
        <w:rPr>
          <w:sz w:val="24"/>
        </w:rPr>
        <w:t>negativos,</w:t>
      </w:r>
    </w:p>
    <w:p>
      <w:pPr>
        <w:pStyle w:val="ListParagraph"/>
        <w:numPr>
          <w:ilvl w:val="0"/>
          <w:numId w:val="19"/>
        </w:numPr>
        <w:tabs>
          <w:tab w:pos="699" w:val="left" w:leader="none"/>
          <w:tab w:pos="700" w:val="left" w:leader="none"/>
        </w:tabs>
        <w:spacing w:line="240" w:lineRule="auto" w:before="129" w:after="0"/>
        <w:ind w:left="699" w:right="0" w:hanging="470"/>
        <w:jc w:val="left"/>
        <w:rPr>
          <w:sz w:val="24"/>
        </w:rPr>
      </w:pPr>
      <w:r>
        <w:rPr>
          <w:sz w:val="24"/>
        </w:rPr>
        <w:t>intracelulares;</w:t>
      </w:r>
      <w:r>
        <w:rPr>
          <w:spacing w:val="-16"/>
          <w:sz w:val="24"/>
        </w:rPr>
        <w:t> </w:t>
      </w:r>
      <w:r>
        <w:rPr>
          <w:sz w:val="24"/>
        </w:rPr>
        <w:t>sin</w:t>
      </w:r>
      <w:r>
        <w:rPr>
          <w:spacing w:val="-13"/>
          <w:sz w:val="24"/>
        </w:rPr>
        <w:t> </w:t>
      </w:r>
      <w:r>
        <w:rPr>
          <w:sz w:val="24"/>
        </w:rPr>
        <w:t>embargo,</w:t>
      </w:r>
      <w:r>
        <w:rPr>
          <w:spacing w:val="-15"/>
          <w:sz w:val="24"/>
        </w:rPr>
        <w:t> </w:t>
      </w:r>
      <w:r>
        <w:rPr>
          <w:sz w:val="24"/>
        </w:rPr>
        <w:t>pese</w:t>
      </w:r>
      <w:r>
        <w:rPr>
          <w:spacing w:val="-14"/>
          <w:sz w:val="24"/>
        </w:rPr>
        <w:t> </w:t>
      </w:r>
      <w:r>
        <w:rPr>
          <w:sz w:val="24"/>
        </w:rPr>
        <w:t>a</w:t>
      </w:r>
      <w:r>
        <w:rPr>
          <w:spacing w:val="-14"/>
          <w:sz w:val="24"/>
        </w:rPr>
        <w:t> </w:t>
      </w:r>
      <w:r>
        <w:rPr>
          <w:sz w:val="24"/>
        </w:rPr>
        <w:t>varios</w:t>
      </w:r>
      <w:r>
        <w:rPr>
          <w:spacing w:val="-10"/>
          <w:sz w:val="24"/>
        </w:rPr>
        <w:t> </w:t>
      </w:r>
      <w:r>
        <w:rPr>
          <w:sz w:val="24"/>
        </w:rPr>
        <w:t>intentos</w:t>
      </w:r>
      <w:r>
        <w:rPr>
          <w:spacing w:val="-15"/>
          <w:sz w:val="24"/>
        </w:rPr>
        <w:t> </w:t>
      </w:r>
      <w:r>
        <w:rPr>
          <w:sz w:val="24"/>
        </w:rPr>
        <w:t>inicialmente</w:t>
      </w:r>
      <w:r>
        <w:rPr>
          <w:spacing w:val="-14"/>
          <w:sz w:val="24"/>
        </w:rPr>
        <w:t> </w:t>
      </w:r>
      <w:r>
        <w:rPr>
          <w:sz w:val="24"/>
        </w:rPr>
        <w:t>fue</w:t>
      </w:r>
      <w:r>
        <w:rPr>
          <w:spacing w:val="-9"/>
          <w:sz w:val="24"/>
        </w:rPr>
        <w:t> </w:t>
      </w:r>
      <w:r>
        <w:rPr>
          <w:sz w:val="24"/>
        </w:rPr>
        <w:t>infructuoso</w:t>
      </w:r>
      <w:r>
        <w:rPr>
          <w:spacing w:val="-13"/>
          <w:sz w:val="24"/>
        </w:rPr>
        <w:t> </w:t>
      </w:r>
      <w:r>
        <w:rPr>
          <w:sz w:val="24"/>
        </w:rPr>
        <w:t>el</w:t>
      </w:r>
      <w:r>
        <w:rPr>
          <w:spacing w:val="-21"/>
          <w:sz w:val="24"/>
        </w:rPr>
        <w:t> </w:t>
      </w:r>
      <w:r>
        <w:rPr>
          <w:sz w:val="24"/>
        </w:rPr>
        <w:t>aislamiento</w:t>
      </w:r>
    </w:p>
    <w:p>
      <w:pPr>
        <w:pStyle w:val="ListParagraph"/>
        <w:numPr>
          <w:ilvl w:val="0"/>
          <w:numId w:val="19"/>
        </w:numPr>
        <w:tabs>
          <w:tab w:pos="699" w:val="left" w:leader="none"/>
          <w:tab w:pos="700" w:val="left" w:leader="none"/>
        </w:tabs>
        <w:spacing w:line="240" w:lineRule="auto" w:before="130" w:after="0"/>
        <w:ind w:left="699" w:right="0" w:hanging="470"/>
        <w:jc w:val="left"/>
        <w:rPr>
          <w:sz w:val="24"/>
        </w:rPr>
      </w:pPr>
      <w:r>
        <w:rPr>
          <w:sz w:val="24"/>
        </w:rPr>
        <w:t>de bacterias en medios de cultivo  bacteriológico  convencionales. Cuarenta  y cinco    </w:t>
      </w:r>
      <w:r>
        <w:rPr>
          <w:spacing w:val="17"/>
          <w:sz w:val="24"/>
        </w:rPr>
        <w:t> </w:t>
      </w:r>
      <w:r>
        <w:rPr>
          <w:sz w:val="24"/>
        </w:rPr>
        <w:t>días</w:t>
      </w:r>
    </w:p>
    <w:p>
      <w:pPr>
        <w:pStyle w:val="ListParagraph"/>
        <w:numPr>
          <w:ilvl w:val="0"/>
          <w:numId w:val="19"/>
        </w:numPr>
        <w:tabs>
          <w:tab w:pos="699" w:val="left" w:leader="none"/>
          <w:tab w:pos="700" w:val="left" w:leader="none"/>
        </w:tabs>
        <w:spacing w:line="240" w:lineRule="auto" w:before="129" w:after="0"/>
        <w:ind w:left="699" w:right="0" w:hanging="470"/>
        <w:jc w:val="left"/>
        <w:rPr>
          <w:sz w:val="24"/>
        </w:rPr>
      </w:pPr>
      <w:r>
        <w:rPr>
          <w:sz w:val="24"/>
        </w:rPr>
        <w:t>después del primer muestreo, al utilizar el </w:t>
      </w:r>
      <w:r>
        <w:rPr>
          <w:spacing w:val="-3"/>
          <w:sz w:val="24"/>
        </w:rPr>
        <w:t>medio </w:t>
      </w:r>
      <w:r>
        <w:rPr>
          <w:sz w:val="24"/>
        </w:rPr>
        <w:t>de cultivo   </w:t>
      </w:r>
      <w:r>
        <w:rPr>
          <w:spacing w:val="21"/>
          <w:sz w:val="24"/>
        </w:rPr>
        <w:t> </w:t>
      </w:r>
      <w:r>
        <w:rPr>
          <w:sz w:val="24"/>
        </w:rPr>
        <w:t>suplementado con L-cysteina,</w:t>
      </w:r>
    </w:p>
    <w:p>
      <w:pPr>
        <w:pStyle w:val="ListParagraph"/>
        <w:numPr>
          <w:ilvl w:val="0"/>
          <w:numId w:val="19"/>
        </w:numPr>
        <w:tabs>
          <w:tab w:pos="699" w:val="left" w:leader="none"/>
          <w:tab w:pos="700" w:val="left" w:leader="none"/>
        </w:tabs>
        <w:spacing w:line="240" w:lineRule="auto" w:before="129" w:after="0"/>
        <w:ind w:left="699" w:right="0" w:hanging="581"/>
        <w:jc w:val="left"/>
        <w:rPr>
          <w:sz w:val="24"/>
        </w:rPr>
      </w:pPr>
      <w:r>
        <w:rPr>
          <w:i/>
          <w:sz w:val="24"/>
        </w:rPr>
        <w:t>Francisella </w:t>
      </w:r>
      <w:r>
        <w:rPr>
          <w:sz w:val="24"/>
        </w:rPr>
        <w:t>sp. </w:t>
      </w:r>
      <w:r>
        <w:rPr>
          <w:spacing w:val="-3"/>
          <w:sz w:val="24"/>
        </w:rPr>
        <w:t>fue </w:t>
      </w:r>
      <w:r>
        <w:rPr>
          <w:sz w:val="24"/>
        </w:rPr>
        <w:t>aislada del bazo de peces de una nueva muestra del lote</w:t>
      </w:r>
      <w:r>
        <w:rPr>
          <w:spacing w:val="-31"/>
          <w:sz w:val="24"/>
        </w:rPr>
        <w:t> </w:t>
      </w:r>
      <w:r>
        <w:rPr>
          <w:sz w:val="24"/>
        </w:rPr>
        <w:t>original.</w:t>
      </w:r>
    </w:p>
    <w:p>
      <w:pPr>
        <w:pStyle w:val="BodyText"/>
        <w:spacing w:before="3"/>
        <w:rPr>
          <w:rFonts w:ascii="Times New Roman"/>
          <w:sz w:val="23"/>
        </w:rPr>
      </w:pPr>
    </w:p>
    <w:p>
      <w:pPr>
        <w:pStyle w:val="Heading1"/>
        <w:numPr>
          <w:ilvl w:val="0"/>
          <w:numId w:val="19"/>
        </w:numPr>
        <w:tabs>
          <w:tab w:pos="699" w:val="left" w:leader="none"/>
          <w:tab w:pos="700" w:val="left" w:leader="none"/>
        </w:tabs>
        <w:spacing w:line="240" w:lineRule="auto" w:before="69" w:after="0"/>
        <w:ind w:left="699" w:right="0" w:hanging="581"/>
        <w:jc w:val="left"/>
        <w:rPr>
          <w:rFonts w:ascii="Times New Roman" w:hAnsi="Times New Roman"/>
        </w:rPr>
      </w:pPr>
      <w:r>
        <w:rPr>
          <w:rFonts w:ascii="Times New Roman" w:hAnsi="Times New Roman"/>
        </w:rPr>
        <w:t>Histología</w:t>
      </w:r>
    </w:p>
    <w:p>
      <w:pPr>
        <w:pStyle w:val="BodyText"/>
        <w:spacing w:before="4"/>
        <w:rPr>
          <w:rFonts w:ascii="Times New Roman"/>
          <w:b/>
          <w:sz w:val="22"/>
        </w:rPr>
      </w:pPr>
    </w:p>
    <w:p>
      <w:pPr>
        <w:pStyle w:val="ListParagraph"/>
        <w:numPr>
          <w:ilvl w:val="0"/>
          <w:numId w:val="19"/>
        </w:numPr>
        <w:tabs>
          <w:tab w:pos="1405" w:val="left" w:leader="none"/>
          <w:tab w:pos="1406" w:val="left" w:leader="none"/>
        </w:tabs>
        <w:spacing w:line="240" w:lineRule="auto" w:before="69" w:after="0"/>
        <w:ind w:left="1405" w:right="0" w:hanging="1287"/>
        <w:jc w:val="left"/>
        <w:rPr>
          <w:sz w:val="24"/>
        </w:rPr>
      </w:pPr>
      <w:r>
        <w:rPr>
          <w:sz w:val="24"/>
        </w:rPr>
        <w:t>Las secciones de tejido teñidas con H&amp;E presentaron múltiples áreas de</w:t>
      </w:r>
      <w:r>
        <w:rPr>
          <w:spacing w:val="-16"/>
          <w:sz w:val="24"/>
        </w:rPr>
        <w:t> </w:t>
      </w:r>
      <w:r>
        <w:rPr>
          <w:sz w:val="24"/>
        </w:rPr>
        <w:t>inflamación</w:t>
      </w:r>
    </w:p>
    <w:p>
      <w:pPr>
        <w:pStyle w:val="ListParagraph"/>
        <w:numPr>
          <w:ilvl w:val="0"/>
          <w:numId w:val="19"/>
        </w:numPr>
        <w:tabs>
          <w:tab w:pos="699" w:val="left" w:leader="none"/>
          <w:tab w:pos="700" w:val="left" w:leader="none"/>
        </w:tabs>
        <w:spacing w:line="240" w:lineRule="auto" w:before="134" w:after="0"/>
        <w:ind w:left="699" w:right="0" w:hanging="581"/>
        <w:jc w:val="left"/>
        <w:rPr>
          <w:sz w:val="24"/>
        </w:rPr>
      </w:pPr>
      <w:r>
        <w:rPr>
          <w:sz w:val="24"/>
        </w:rPr>
        <w:t>granulomatosa</w:t>
      </w:r>
      <w:r>
        <w:rPr>
          <w:spacing w:val="18"/>
          <w:sz w:val="24"/>
        </w:rPr>
        <w:t> </w:t>
      </w:r>
      <w:r>
        <w:rPr>
          <w:sz w:val="24"/>
        </w:rPr>
        <w:t>severa</w:t>
      </w:r>
      <w:r>
        <w:rPr>
          <w:spacing w:val="22"/>
          <w:sz w:val="24"/>
        </w:rPr>
        <w:t> </w:t>
      </w:r>
      <w:r>
        <w:rPr>
          <w:sz w:val="24"/>
        </w:rPr>
        <w:t>y</w:t>
      </w:r>
      <w:r>
        <w:rPr>
          <w:spacing w:val="9"/>
          <w:sz w:val="24"/>
        </w:rPr>
        <w:t> </w:t>
      </w:r>
      <w:r>
        <w:rPr>
          <w:sz w:val="24"/>
        </w:rPr>
        <w:t>en</w:t>
      </w:r>
      <w:r>
        <w:rPr>
          <w:spacing w:val="14"/>
          <w:sz w:val="24"/>
        </w:rPr>
        <w:t> </w:t>
      </w:r>
      <w:r>
        <w:rPr>
          <w:sz w:val="24"/>
        </w:rPr>
        <w:t>distinto</w:t>
      </w:r>
      <w:r>
        <w:rPr>
          <w:spacing w:val="23"/>
          <w:sz w:val="24"/>
        </w:rPr>
        <w:t> </w:t>
      </w:r>
      <w:r>
        <w:rPr>
          <w:sz w:val="24"/>
        </w:rPr>
        <w:t>grado</w:t>
      </w:r>
      <w:r>
        <w:rPr>
          <w:spacing w:val="19"/>
          <w:sz w:val="24"/>
        </w:rPr>
        <w:t> </w:t>
      </w:r>
      <w:r>
        <w:rPr>
          <w:sz w:val="24"/>
        </w:rPr>
        <w:t>de</w:t>
      </w:r>
      <w:r>
        <w:rPr>
          <w:spacing w:val="18"/>
          <w:sz w:val="24"/>
        </w:rPr>
        <w:t> </w:t>
      </w:r>
      <w:r>
        <w:rPr>
          <w:sz w:val="24"/>
        </w:rPr>
        <w:t>evolución</w:t>
      </w:r>
      <w:r>
        <w:rPr>
          <w:spacing w:val="14"/>
          <w:sz w:val="24"/>
        </w:rPr>
        <w:t> </w:t>
      </w:r>
      <w:r>
        <w:rPr>
          <w:sz w:val="24"/>
        </w:rPr>
        <w:t>en</w:t>
      </w:r>
      <w:r>
        <w:rPr>
          <w:spacing w:val="14"/>
          <w:sz w:val="24"/>
        </w:rPr>
        <w:t> </w:t>
      </w:r>
      <w:r>
        <w:rPr>
          <w:sz w:val="24"/>
        </w:rPr>
        <w:t>bazo,</w:t>
      </w:r>
      <w:r>
        <w:rPr>
          <w:spacing w:val="16"/>
          <w:sz w:val="24"/>
        </w:rPr>
        <w:t> </w:t>
      </w:r>
      <w:r>
        <w:rPr>
          <w:sz w:val="24"/>
        </w:rPr>
        <w:t>riñón</w:t>
      </w:r>
      <w:r>
        <w:rPr>
          <w:spacing w:val="14"/>
          <w:sz w:val="24"/>
        </w:rPr>
        <w:t> </w:t>
      </w:r>
      <w:r>
        <w:rPr>
          <w:sz w:val="24"/>
        </w:rPr>
        <w:t>e</w:t>
      </w:r>
      <w:r>
        <w:rPr>
          <w:spacing w:val="22"/>
          <w:sz w:val="24"/>
        </w:rPr>
        <w:t> </w:t>
      </w:r>
      <w:r>
        <w:rPr>
          <w:sz w:val="24"/>
        </w:rPr>
        <w:t>hígado;</w:t>
      </w:r>
      <w:r>
        <w:rPr>
          <w:spacing w:val="15"/>
          <w:sz w:val="24"/>
        </w:rPr>
        <w:t> </w:t>
      </w:r>
      <w:r>
        <w:rPr>
          <w:sz w:val="24"/>
        </w:rPr>
        <w:t>en</w:t>
      </w:r>
      <w:r>
        <w:rPr>
          <w:spacing w:val="19"/>
          <w:sz w:val="24"/>
        </w:rPr>
        <w:t> </w:t>
      </w:r>
      <w:r>
        <w:rPr>
          <w:sz w:val="24"/>
        </w:rPr>
        <w:t>menor</w:t>
      </w:r>
    </w:p>
    <w:p>
      <w:pPr>
        <w:pStyle w:val="ListParagraph"/>
        <w:numPr>
          <w:ilvl w:val="0"/>
          <w:numId w:val="19"/>
        </w:numPr>
        <w:tabs>
          <w:tab w:pos="699" w:val="left" w:leader="none"/>
          <w:tab w:pos="700" w:val="left" w:leader="none"/>
        </w:tabs>
        <w:spacing w:line="240" w:lineRule="auto" w:before="129" w:after="0"/>
        <w:ind w:left="699" w:right="0" w:hanging="581"/>
        <w:jc w:val="left"/>
        <w:rPr>
          <w:sz w:val="24"/>
        </w:rPr>
      </w:pPr>
      <w:r>
        <w:rPr>
          <w:sz w:val="24"/>
        </w:rPr>
        <w:t>grado</w:t>
      </w:r>
      <w:r>
        <w:rPr>
          <w:spacing w:val="-7"/>
          <w:sz w:val="24"/>
        </w:rPr>
        <w:t> </w:t>
      </w:r>
      <w:r>
        <w:rPr>
          <w:sz w:val="24"/>
        </w:rPr>
        <w:t>los</w:t>
      </w:r>
      <w:r>
        <w:rPr>
          <w:spacing w:val="-14"/>
          <w:sz w:val="24"/>
        </w:rPr>
        <w:t> </w:t>
      </w:r>
      <w:r>
        <w:rPr>
          <w:sz w:val="24"/>
        </w:rPr>
        <w:t>granulomas</w:t>
      </w:r>
      <w:r>
        <w:rPr>
          <w:spacing w:val="-14"/>
          <w:sz w:val="24"/>
        </w:rPr>
        <w:t> </w:t>
      </w:r>
      <w:r>
        <w:rPr>
          <w:sz w:val="24"/>
        </w:rPr>
        <w:t>también</w:t>
      </w:r>
      <w:r>
        <w:rPr>
          <w:spacing w:val="-12"/>
          <w:sz w:val="24"/>
        </w:rPr>
        <w:t> </w:t>
      </w:r>
      <w:r>
        <w:rPr>
          <w:sz w:val="24"/>
        </w:rPr>
        <w:t>estuvieron</w:t>
      </w:r>
      <w:r>
        <w:rPr>
          <w:spacing w:val="-16"/>
          <w:sz w:val="24"/>
        </w:rPr>
        <w:t> </w:t>
      </w:r>
      <w:r>
        <w:rPr>
          <w:sz w:val="24"/>
        </w:rPr>
        <w:t>presentes</w:t>
      </w:r>
      <w:r>
        <w:rPr>
          <w:spacing w:val="-9"/>
          <w:sz w:val="24"/>
        </w:rPr>
        <w:t> </w:t>
      </w:r>
      <w:r>
        <w:rPr>
          <w:sz w:val="24"/>
        </w:rPr>
        <w:t>en</w:t>
      </w:r>
      <w:r>
        <w:rPr>
          <w:spacing w:val="-16"/>
          <w:sz w:val="24"/>
        </w:rPr>
        <w:t> </w:t>
      </w:r>
      <w:r>
        <w:rPr>
          <w:sz w:val="24"/>
        </w:rPr>
        <w:t>corazón,</w:t>
      </w:r>
      <w:r>
        <w:rPr>
          <w:spacing w:val="-10"/>
          <w:sz w:val="24"/>
        </w:rPr>
        <w:t> </w:t>
      </w:r>
      <w:r>
        <w:rPr>
          <w:sz w:val="24"/>
        </w:rPr>
        <w:t>branquias,</w:t>
      </w:r>
      <w:r>
        <w:rPr>
          <w:spacing w:val="-10"/>
          <w:sz w:val="24"/>
        </w:rPr>
        <w:t> </w:t>
      </w:r>
      <w:r>
        <w:rPr>
          <w:sz w:val="24"/>
        </w:rPr>
        <w:t>ovario</w:t>
      </w:r>
      <w:r>
        <w:rPr>
          <w:spacing w:val="-7"/>
          <w:sz w:val="24"/>
        </w:rPr>
        <w:t> </w:t>
      </w:r>
      <w:r>
        <w:rPr>
          <w:sz w:val="24"/>
        </w:rPr>
        <w:t>e</w:t>
      </w:r>
      <w:r>
        <w:rPr>
          <w:spacing w:val="-8"/>
          <w:sz w:val="24"/>
        </w:rPr>
        <w:t> </w:t>
      </w:r>
      <w:r>
        <w:rPr>
          <w:sz w:val="24"/>
        </w:rPr>
        <w:t>intestino.</w:t>
      </w:r>
    </w:p>
    <w:p>
      <w:pPr>
        <w:pStyle w:val="ListParagraph"/>
        <w:numPr>
          <w:ilvl w:val="0"/>
          <w:numId w:val="19"/>
        </w:numPr>
        <w:tabs>
          <w:tab w:pos="699" w:val="left" w:leader="none"/>
          <w:tab w:pos="700" w:val="left" w:leader="none"/>
        </w:tabs>
        <w:spacing w:line="240" w:lineRule="auto" w:before="130" w:after="0"/>
        <w:ind w:left="699" w:right="0" w:hanging="581"/>
        <w:jc w:val="left"/>
        <w:rPr>
          <w:sz w:val="24"/>
        </w:rPr>
      </w:pPr>
      <w:r>
        <w:rPr>
          <w:sz w:val="24"/>
        </w:rPr>
        <w:t>En  los  casos  </w:t>
      </w:r>
      <w:r>
        <w:rPr>
          <w:spacing w:val="-4"/>
          <w:sz w:val="24"/>
        </w:rPr>
        <w:t>más  </w:t>
      </w:r>
      <w:r>
        <w:rPr>
          <w:sz w:val="24"/>
        </w:rPr>
        <w:t>severos  se  presentan  amplias  áreas  de  necrosis  difusa  y  </w:t>
      </w:r>
      <w:r>
        <w:rPr>
          <w:spacing w:val="39"/>
          <w:sz w:val="24"/>
        </w:rPr>
        <w:t> </w:t>
      </w:r>
      <w:r>
        <w:rPr>
          <w:sz w:val="24"/>
        </w:rPr>
        <w:t>vasculitis</w:t>
      </w:r>
    </w:p>
    <w:p>
      <w:pPr>
        <w:pStyle w:val="ListParagraph"/>
        <w:numPr>
          <w:ilvl w:val="0"/>
          <w:numId w:val="19"/>
        </w:numPr>
        <w:tabs>
          <w:tab w:pos="699" w:val="left" w:leader="none"/>
          <w:tab w:pos="700" w:val="left" w:leader="none"/>
        </w:tabs>
        <w:spacing w:line="240" w:lineRule="auto" w:before="129" w:after="0"/>
        <w:ind w:left="699" w:right="0" w:hanging="581"/>
        <w:jc w:val="left"/>
        <w:rPr>
          <w:sz w:val="24"/>
        </w:rPr>
      </w:pPr>
      <w:r>
        <w:rPr>
          <w:sz w:val="24"/>
        </w:rPr>
        <w:t>necrotizante con infiltración de células  mononucleares. En </w:t>
      </w:r>
      <w:r>
        <w:rPr>
          <w:spacing w:val="-5"/>
          <w:sz w:val="24"/>
        </w:rPr>
        <w:t>la  </w:t>
      </w:r>
      <w:r>
        <w:rPr>
          <w:sz w:val="24"/>
        </w:rPr>
        <w:t>mayoría de </w:t>
      </w:r>
      <w:r>
        <w:rPr>
          <w:spacing w:val="-3"/>
          <w:sz w:val="24"/>
        </w:rPr>
        <w:t>las </w:t>
      </w:r>
      <w:r>
        <w:rPr>
          <w:sz w:val="24"/>
        </w:rPr>
        <w:t>secciones  </w:t>
      </w:r>
      <w:r>
        <w:rPr>
          <w:spacing w:val="45"/>
          <w:sz w:val="24"/>
        </w:rPr>
        <w:t> </w:t>
      </w:r>
      <w:r>
        <w:rPr>
          <w:sz w:val="24"/>
        </w:rPr>
        <w:t>es</w:t>
      </w:r>
    </w:p>
    <w:p>
      <w:pPr>
        <w:pStyle w:val="ListParagraph"/>
        <w:numPr>
          <w:ilvl w:val="0"/>
          <w:numId w:val="19"/>
        </w:numPr>
        <w:tabs>
          <w:tab w:pos="699" w:val="left" w:leader="none"/>
          <w:tab w:pos="700" w:val="left" w:leader="none"/>
        </w:tabs>
        <w:spacing w:line="240" w:lineRule="auto" w:before="134" w:after="0"/>
        <w:ind w:left="699" w:right="0" w:hanging="581"/>
        <w:jc w:val="left"/>
        <w:rPr>
          <w:sz w:val="24"/>
        </w:rPr>
      </w:pPr>
      <w:r>
        <w:rPr>
          <w:sz w:val="24"/>
        </w:rPr>
        <w:t>posible   </w:t>
      </w:r>
      <w:r>
        <w:rPr>
          <w:spacing w:val="26"/>
          <w:sz w:val="24"/>
        </w:rPr>
        <w:t> </w:t>
      </w:r>
      <w:r>
        <w:rPr>
          <w:sz w:val="24"/>
        </w:rPr>
        <w:t>notar </w:t>
      </w:r>
      <w:r>
        <w:rPr>
          <w:spacing w:val="-5"/>
          <w:sz w:val="24"/>
        </w:rPr>
        <w:t>la </w:t>
      </w:r>
      <w:r>
        <w:rPr>
          <w:sz w:val="24"/>
        </w:rPr>
        <w:t>presencia de bacterias de pleomorficas entre el material necrótico, células</w:t>
      </w:r>
    </w:p>
    <w:p>
      <w:pPr>
        <w:pStyle w:val="ListParagraph"/>
        <w:numPr>
          <w:ilvl w:val="0"/>
          <w:numId w:val="19"/>
        </w:numPr>
        <w:tabs>
          <w:tab w:pos="699" w:val="left" w:leader="none"/>
          <w:tab w:pos="700" w:val="left" w:leader="none"/>
        </w:tabs>
        <w:spacing w:line="240" w:lineRule="auto" w:before="129" w:after="0"/>
        <w:ind w:left="699" w:right="0" w:hanging="581"/>
        <w:jc w:val="left"/>
        <w:rPr>
          <w:sz w:val="24"/>
        </w:rPr>
      </w:pPr>
      <w:r>
        <w:rPr>
          <w:sz w:val="24"/>
        </w:rPr>
        <w:t>tipo</w:t>
      </w:r>
      <w:r>
        <w:rPr>
          <w:spacing w:val="-4"/>
          <w:sz w:val="24"/>
        </w:rPr>
        <w:t> </w:t>
      </w:r>
      <w:r>
        <w:rPr>
          <w:sz w:val="24"/>
        </w:rPr>
        <w:t>macrófagos,</w:t>
      </w:r>
      <w:r>
        <w:rPr>
          <w:spacing w:val="-7"/>
          <w:sz w:val="24"/>
        </w:rPr>
        <w:t> </w:t>
      </w:r>
      <w:r>
        <w:rPr>
          <w:sz w:val="24"/>
        </w:rPr>
        <w:t>fibroblastos.</w:t>
      </w:r>
      <w:r>
        <w:rPr>
          <w:spacing w:val="-11"/>
          <w:sz w:val="24"/>
        </w:rPr>
        <w:t> </w:t>
      </w:r>
      <w:r>
        <w:rPr>
          <w:sz w:val="24"/>
        </w:rPr>
        <w:t>En</w:t>
      </w:r>
      <w:r>
        <w:rPr>
          <w:spacing w:val="-13"/>
          <w:sz w:val="24"/>
        </w:rPr>
        <w:t> </w:t>
      </w:r>
      <w:r>
        <w:rPr>
          <w:sz w:val="24"/>
        </w:rPr>
        <w:t>hígado</w:t>
      </w:r>
      <w:r>
        <w:rPr>
          <w:spacing w:val="-4"/>
          <w:sz w:val="24"/>
        </w:rPr>
        <w:t> </w:t>
      </w:r>
      <w:r>
        <w:rPr>
          <w:sz w:val="24"/>
        </w:rPr>
        <w:t>es</w:t>
      </w:r>
      <w:r>
        <w:rPr>
          <w:spacing w:val="-11"/>
          <w:sz w:val="24"/>
        </w:rPr>
        <w:t> </w:t>
      </w:r>
      <w:r>
        <w:rPr>
          <w:sz w:val="24"/>
        </w:rPr>
        <w:t>posible</w:t>
      </w:r>
      <w:r>
        <w:rPr>
          <w:spacing w:val="-5"/>
          <w:sz w:val="24"/>
        </w:rPr>
        <w:t> </w:t>
      </w:r>
      <w:r>
        <w:rPr>
          <w:sz w:val="24"/>
        </w:rPr>
        <w:t>evidenciar</w:t>
      </w:r>
      <w:r>
        <w:rPr>
          <w:spacing w:val="-3"/>
          <w:sz w:val="24"/>
        </w:rPr>
        <w:t> </w:t>
      </w:r>
      <w:r>
        <w:rPr>
          <w:spacing w:val="-5"/>
          <w:sz w:val="24"/>
        </w:rPr>
        <w:t>la</w:t>
      </w:r>
      <w:r>
        <w:rPr>
          <w:spacing w:val="-10"/>
          <w:sz w:val="24"/>
        </w:rPr>
        <w:t> </w:t>
      </w:r>
      <w:r>
        <w:rPr>
          <w:sz w:val="24"/>
        </w:rPr>
        <w:t>típica</w:t>
      </w:r>
      <w:r>
        <w:rPr>
          <w:spacing w:val="-5"/>
          <w:sz w:val="24"/>
        </w:rPr>
        <w:t> </w:t>
      </w:r>
      <w:r>
        <w:rPr>
          <w:sz w:val="24"/>
        </w:rPr>
        <w:t>lesión</w:t>
      </w:r>
      <w:r>
        <w:rPr>
          <w:spacing w:val="-13"/>
          <w:sz w:val="24"/>
        </w:rPr>
        <w:t> </w:t>
      </w:r>
      <w:r>
        <w:rPr>
          <w:sz w:val="24"/>
        </w:rPr>
        <w:t>de</w:t>
      </w:r>
      <w:r>
        <w:rPr>
          <w:spacing w:val="-10"/>
          <w:sz w:val="24"/>
        </w:rPr>
        <w:t> </w:t>
      </w:r>
      <w:r>
        <w:rPr>
          <w:sz w:val="24"/>
        </w:rPr>
        <w:t>poliarteritis</w:t>
      </w:r>
    </w:p>
    <w:p>
      <w:pPr>
        <w:pStyle w:val="ListParagraph"/>
        <w:numPr>
          <w:ilvl w:val="0"/>
          <w:numId w:val="19"/>
        </w:numPr>
        <w:tabs>
          <w:tab w:pos="699" w:val="left" w:leader="none"/>
          <w:tab w:pos="700" w:val="left" w:leader="none"/>
        </w:tabs>
        <w:spacing w:line="240" w:lineRule="auto" w:before="130" w:after="0"/>
        <w:ind w:left="699" w:right="0" w:hanging="581"/>
        <w:jc w:val="left"/>
        <w:rPr>
          <w:sz w:val="24"/>
        </w:rPr>
      </w:pPr>
      <w:r>
        <w:rPr>
          <w:sz w:val="24"/>
        </w:rPr>
        <w:t>granulomatosa referida en casos de francisellosis. Las lesiones histológicas </w:t>
      </w:r>
      <w:r>
        <w:rPr>
          <w:spacing w:val="-3"/>
          <w:sz w:val="24"/>
        </w:rPr>
        <w:t>no </w:t>
      </w:r>
      <w:r>
        <w:rPr>
          <w:sz w:val="24"/>
        </w:rPr>
        <w:t>habían  </w:t>
      </w:r>
      <w:r>
        <w:rPr>
          <w:spacing w:val="13"/>
          <w:sz w:val="24"/>
        </w:rPr>
        <w:t> </w:t>
      </w:r>
      <w:r>
        <w:rPr>
          <w:sz w:val="24"/>
        </w:rPr>
        <w:t>sido</w:t>
      </w:r>
    </w:p>
    <w:p>
      <w:pPr>
        <w:pStyle w:val="ListParagraph"/>
        <w:numPr>
          <w:ilvl w:val="0"/>
          <w:numId w:val="19"/>
        </w:numPr>
        <w:tabs>
          <w:tab w:pos="699" w:val="left" w:leader="none"/>
          <w:tab w:pos="700" w:val="left" w:leader="none"/>
        </w:tabs>
        <w:spacing w:line="240" w:lineRule="auto" w:before="125" w:after="0"/>
        <w:ind w:left="699" w:right="0" w:hanging="581"/>
        <w:jc w:val="left"/>
        <w:rPr>
          <w:sz w:val="24"/>
        </w:rPr>
      </w:pPr>
      <w:r>
        <w:rPr>
          <w:sz w:val="24"/>
        </w:rPr>
        <w:t>observadas previamente en casos de enfermedad de tilapias de</w:t>
      </w:r>
      <w:r>
        <w:rPr>
          <w:spacing w:val="-24"/>
          <w:sz w:val="24"/>
        </w:rPr>
        <w:t> </w:t>
      </w:r>
      <w:r>
        <w:rPr>
          <w:sz w:val="24"/>
        </w:rPr>
        <w:t>México.</w:t>
      </w:r>
    </w:p>
    <w:p>
      <w:pPr>
        <w:pStyle w:val="BodyText"/>
        <w:spacing w:before="5"/>
        <w:rPr>
          <w:rFonts w:ascii="Times New Roman"/>
          <w:sz w:val="30"/>
        </w:rPr>
      </w:pPr>
    </w:p>
    <w:p>
      <w:pPr>
        <w:spacing w:before="0"/>
        <w:ind w:left="118" w:right="0" w:firstLine="0"/>
        <w:jc w:val="left"/>
        <w:rPr>
          <w:rFonts w:ascii="Calibri"/>
          <w:sz w:val="22"/>
        </w:rPr>
      </w:pPr>
      <w:r>
        <w:rPr>
          <w:rFonts w:ascii="Calibri"/>
          <w:sz w:val="22"/>
        </w:rPr>
        <w:t>21</w:t>
      </w:r>
    </w:p>
    <w:p>
      <w:pPr>
        <w:pStyle w:val="BodyText"/>
        <w:spacing w:before="4"/>
        <w:rPr>
          <w:rFonts w:ascii="Calibri"/>
          <w:sz w:val="28"/>
        </w:rPr>
      </w:pPr>
    </w:p>
    <w:p>
      <w:pPr>
        <w:spacing w:before="0"/>
        <w:ind w:left="118" w:right="0" w:firstLine="0"/>
        <w:jc w:val="left"/>
        <w:rPr>
          <w:rFonts w:ascii="Calibri"/>
          <w:sz w:val="22"/>
        </w:rPr>
      </w:pPr>
      <w:r>
        <w:rPr>
          <w:rFonts w:ascii="Calibri"/>
          <w:sz w:val="22"/>
        </w:rPr>
        <w:t>22</w:t>
      </w:r>
    </w:p>
    <w:p>
      <w:pPr>
        <w:pStyle w:val="BodyText"/>
        <w:spacing w:before="5"/>
        <w:rPr>
          <w:rFonts w:ascii="Calibri"/>
          <w:sz w:val="21"/>
        </w:rPr>
      </w:pPr>
    </w:p>
    <w:p>
      <w:pPr>
        <w:pStyle w:val="Heading1"/>
        <w:numPr>
          <w:ilvl w:val="0"/>
          <w:numId w:val="20"/>
        </w:numPr>
        <w:tabs>
          <w:tab w:pos="699" w:val="left" w:leader="none"/>
          <w:tab w:pos="700" w:val="left" w:leader="none"/>
        </w:tabs>
        <w:spacing w:line="240" w:lineRule="auto" w:before="70" w:after="0"/>
        <w:ind w:left="699" w:right="0" w:hanging="581"/>
        <w:jc w:val="left"/>
        <w:rPr>
          <w:rFonts w:ascii="Times New Roman" w:hAnsi="Times New Roman"/>
          <w:i/>
        </w:rPr>
      </w:pPr>
      <w:r>
        <w:rPr>
          <w:rFonts w:ascii="Times New Roman" w:hAnsi="Times New Roman"/>
        </w:rPr>
        <w:t>Amplificación y análisis de las secuencias 16S e ITS1 de </w:t>
      </w:r>
      <w:r>
        <w:rPr>
          <w:rFonts w:ascii="Times New Roman" w:hAnsi="Times New Roman"/>
          <w:i/>
        </w:rPr>
        <w:t>Francisella</w:t>
      </w:r>
      <w:r>
        <w:rPr>
          <w:rFonts w:ascii="Times New Roman" w:hAnsi="Times New Roman"/>
          <w:i/>
          <w:spacing w:val="-20"/>
        </w:rPr>
        <w:t> </w:t>
      </w:r>
      <w:r>
        <w:rPr>
          <w:rFonts w:ascii="Times New Roman" w:hAnsi="Times New Roman"/>
        </w:rPr>
        <w:t>sp</w:t>
      </w:r>
      <w:r>
        <w:rPr>
          <w:rFonts w:ascii="Times New Roman" w:hAnsi="Times New Roman"/>
          <w:i/>
        </w:rPr>
        <w:t>.</w:t>
      </w:r>
    </w:p>
    <w:p>
      <w:pPr>
        <w:pStyle w:val="BodyText"/>
        <w:spacing w:before="9"/>
        <w:rPr>
          <w:rFonts w:ascii="Times New Roman"/>
          <w:b/>
          <w:i/>
          <w:sz w:val="22"/>
        </w:rPr>
      </w:pPr>
    </w:p>
    <w:p>
      <w:pPr>
        <w:pStyle w:val="ListParagraph"/>
        <w:numPr>
          <w:ilvl w:val="0"/>
          <w:numId w:val="20"/>
        </w:numPr>
        <w:tabs>
          <w:tab w:pos="1405" w:val="left" w:leader="none"/>
          <w:tab w:pos="1406" w:val="left" w:leader="none"/>
        </w:tabs>
        <w:spacing w:line="240" w:lineRule="auto" w:before="69" w:after="0"/>
        <w:ind w:left="1405" w:right="0" w:hanging="1287"/>
        <w:jc w:val="left"/>
        <w:rPr>
          <w:sz w:val="24"/>
        </w:rPr>
      </w:pPr>
      <w:r>
        <w:rPr>
          <w:sz w:val="24"/>
        </w:rPr>
        <w:t>El PCR realizado de muestras obtenidas tanto de tejido como de colonias aisladas</w:t>
      </w:r>
      <w:r>
        <w:rPr>
          <w:spacing w:val="-29"/>
          <w:sz w:val="24"/>
        </w:rPr>
        <w:t> </w:t>
      </w:r>
      <w:r>
        <w:rPr>
          <w:spacing w:val="4"/>
          <w:sz w:val="24"/>
        </w:rPr>
        <w:t>en</w:t>
      </w:r>
    </w:p>
    <w:p>
      <w:pPr>
        <w:pStyle w:val="ListParagraph"/>
        <w:numPr>
          <w:ilvl w:val="0"/>
          <w:numId w:val="20"/>
        </w:numPr>
        <w:tabs>
          <w:tab w:pos="699" w:val="left" w:leader="none"/>
          <w:tab w:pos="700" w:val="left" w:leader="none"/>
        </w:tabs>
        <w:spacing w:line="240" w:lineRule="auto" w:before="130" w:after="0"/>
        <w:ind w:left="699" w:right="0" w:hanging="581"/>
        <w:jc w:val="left"/>
        <w:rPr>
          <w:sz w:val="24"/>
        </w:rPr>
      </w:pPr>
      <w:r>
        <w:rPr>
          <w:spacing w:val="-3"/>
          <w:sz w:val="24"/>
        </w:rPr>
        <w:t>medio  </w:t>
      </w:r>
      <w:r>
        <w:rPr>
          <w:sz w:val="24"/>
        </w:rPr>
        <w:t>enriquecido  amplificó  un producto  de aproximadamente 1.100 pb,  específico</w:t>
      </w:r>
      <w:r>
        <w:rPr>
          <w:spacing w:val="18"/>
          <w:sz w:val="24"/>
        </w:rPr>
        <w:t> </w:t>
      </w:r>
      <w:r>
        <w:rPr>
          <w:sz w:val="24"/>
        </w:rPr>
        <w:t>para</w:t>
      </w:r>
    </w:p>
    <w:p>
      <w:pPr>
        <w:pStyle w:val="ListParagraph"/>
        <w:numPr>
          <w:ilvl w:val="0"/>
          <w:numId w:val="20"/>
        </w:numPr>
        <w:tabs>
          <w:tab w:pos="699" w:val="left" w:leader="none"/>
          <w:tab w:pos="700" w:val="left" w:leader="none"/>
        </w:tabs>
        <w:spacing w:line="240" w:lineRule="auto" w:before="129" w:after="0"/>
        <w:ind w:left="699" w:right="0" w:hanging="581"/>
        <w:jc w:val="left"/>
        <w:rPr>
          <w:sz w:val="24"/>
        </w:rPr>
      </w:pPr>
      <w:r>
        <w:rPr>
          <w:sz w:val="24"/>
        </w:rPr>
        <w:t>detección del gen 16S de bacterias del género </w:t>
      </w:r>
      <w:r>
        <w:rPr>
          <w:i/>
          <w:sz w:val="24"/>
        </w:rPr>
        <w:t>Francisella </w:t>
      </w:r>
      <w:r>
        <w:rPr>
          <w:sz w:val="24"/>
        </w:rPr>
        <w:t>(Figura 1). Asimismo, tanto   </w:t>
      </w:r>
      <w:r>
        <w:rPr>
          <w:spacing w:val="5"/>
          <w:sz w:val="24"/>
        </w:rPr>
        <w:t> </w:t>
      </w:r>
      <w:r>
        <w:rPr>
          <w:sz w:val="24"/>
        </w:rPr>
        <w:t>del</w:t>
      </w:r>
    </w:p>
    <w:p>
      <w:pPr>
        <w:pStyle w:val="ListParagraph"/>
        <w:numPr>
          <w:ilvl w:val="0"/>
          <w:numId w:val="20"/>
        </w:numPr>
        <w:tabs>
          <w:tab w:pos="699" w:val="left" w:leader="none"/>
          <w:tab w:pos="700" w:val="left" w:leader="none"/>
        </w:tabs>
        <w:spacing w:line="240" w:lineRule="auto" w:before="134" w:after="0"/>
        <w:ind w:left="699" w:right="0" w:hanging="581"/>
        <w:jc w:val="left"/>
        <w:rPr>
          <w:sz w:val="24"/>
        </w:rPr>
      </w:pPr>
      <w:r>
        <w:rPr>
          <w:sz w:val="24"/>
        </w:rPr>
        <w:t>DNA</w:t>
      </w:r>
      <w:r>
        <w:rPr>
          <w:spacing w:val="-12"/>
          <w:sz w:val="24"/>
        </w:rPr>
        <w:t> </w:t>
      </w:r>
      <w:r>
        <w:rPr>
          <w:sz w:val="24"/>
        </w:rPr>
        <w:t>extraído</w:t>
      </w:r>
      <w:r>
        <w:rPr>
          <w:spacing w:val="-3"/>
          <w:sz w:val="24"/>
        </w:rPr>
        <w:t> </w:t>
      </w:r>
      <w:r>
        <w:rPr>
          <w:sz w:val="24"/>
        </w:rPr>
        <w:t>de</w:t>
      </w:r>
      <w:r>
        <w:rPr>
          <w:spacing w:val="-13"/>
          <w:sz w:val="24"/>
        </w:rPr>
        <w:t> </w:t>
      </w:r>
      <w:r>
        <w:rPr>
          <w:sz w:val="24"/>
        </w:rPr>
        <w:t>tejido</w:t>
      </w:r>
      <w:r>
        <w:rPr>
          <w:spacing w:val="-3"/>
          <w:sz w:val="24"/>
        </w:rPr>
        <w:t> </w:t>
      </w:r>
      <w:r>
        <w:rPr>
          <w:sz w:val="24"/>
        </w:rPr>
        <w:t>como</w:t>
      </w:r>
      <w:r>
        <w:rPr>
          <w:spacing w:val="-3"/>
          <w:sz w:val="24"/>
        </w:rPr>
        <w:t> </w:t>
      </w:r>
      <w:r>
        <w:rPr>
          <w:sz w:val="24"/>
        </w:rPr>
        <w:t>del</w:t>
      </w:r>
      <w:r>
        <w:rPr>
          <w:spacing w:val="-16"/>
          <w:sz w:val="24"/>
        </w:rPr>
        <w:t> </w:t>
      </w:r>
      <w:r>
        <w:rPr>
          <w:sz w:val="24"/>
        </w:rPr>
        <w:t>obtenido</w:t>
      </w:r>
      <w:r>
        <w:rPr>
          <w:spacing w:val="-3"/>
          <w:sz w:val="24"/>
        </w:rPr>
        <w:t> </w:t>
      </w:r>
      <w:r>
        <w:rPr>
          <w:sz w:val="24"/>
        </w:rPr>
        <w:t>de</w:t>
      </w:r>
      <w:r>
        <w:rPr>
          <w:spacing w:val="-8"/>
          <w:sz w:val="24"/>
        </w:rPr>
        <w:t> </w:t>
      </w:r>
      <w:r>
        <w:rPr>
          <w:spacing w:val="-4"/>
          <w:sz w:val="24"/>
        </w:rPr>
        <w:t>las</w:t>
      </w:r>
      <w:r>
        <w:rPr>
          <w:spacing w:val="-5"/>
          <w:sz w:val="24"/>
        </w:rPr>
        <w:t> </w:t>
      </w:r>
      <w:r>
        <w:rPr>
          <w:sz w:val="24"/>
        </w:rPr>
        <w:t>bacterias</w:t>
      </w:r>
      <w:r>
        <w:rPr>
          <w:spacing w:val="-9"/>
          <w:sz w:val="24"/>
        </w:rPr>
        <w:t> </w:t>
      </w:r>
      <w:r>
        <w:rPr>
          <w:sz w:val="24"/>
        </w:rPr>
        <w:t>cultivadas</w:t>
      </w:r>
      <w:r>
        <w:rPr>
          <w:spacing w:val="-9"/>
          <w:sz w:val="24"/>
        </w:rPr>
        <w:t> </w:t>
      </w:r>
      <w:r>
        <w:rPr>
          <w:sz w:val="24"/>
        </w:rPr>
        <w:t>se</w:t>
      </w:r>
      <w:r>
        <w:rPr>
          <w:spacing w:val="-8"/>
          <w:sz w:val="24"/>
        </w:rPr>
        <w:t> </w:t>
      </w:r>
      <w:r>
        <w:rPr>
          <w:sz w:val="24"/>
        </w:rPr>
        <w:t>amplificó</w:t>
      </w:r>
      <w:r>
        <w:rPr>
          <w:spacing w:val="-3"/>
          <w:sz w:val="24"/>
        </w:rPr>
        <w:t> </w:t>
      </w:r>
      <w:r>
        <w:rPr>
          <w:sz w:val="24"/>
        </w:rPr>
        <w:t>el</w:t>
      </w:r>
      <w:r>
        <w:rPr>
          <w:spacing w:val="-16"/>
          <w:sz w:val="24"/>
        </w:rPr>
        <w:t> </w:t>
      </w:r>
      <w:r>
        <w:rPr>
          <w:sz w:val="24"/>
        </w:rPr>
        <w:t>gen16S</w:t>
      </w:r>
    </w:p>
    <w:p>
      <w:pPr>
        <w:spacing w:after="0" w:line="240" w:lineRule="auto"/>
        <w:jc w:val="left"/>
        <w:rPr>
          <w:sz w:val="24"/>
        </w:rPr>
        <w:sectPr>
          <w:pgSz w:w="12240" w:h="15840"/>
          <w:pgMar w:header="752" w:footer="1003" w:top="1000" w:bottom="1200" w:left="1000" w:right="1560"/>
        </w:sectPr>
      </w:pPr>
    </w:p>
    <w:p>
      <w:pPr>
        <w:pStyle w:val="BodyText"/>
        <w:spacing w:before="8"/>
        <w:rPr>
          <w:rFonts w:ascii="Times New Roman"/>
          <w:sz w:val="28"/>
        </w:rPr>
      </w:pPr>
    </w:p>
    <w:p>
      <w:pPr>
        <w:pStyle w:val="ListParagraph"/>
        <w:numPr>
          <w:ilvl w:val="0"/>
          <w:numId w:val="21"/>
        </w:numPr>
        <w:tabs>
          <w:tab w:pos="699" w:val="left" w:leader="none"/>
          <w:tab w:pos="700" w:val="left" w:leader="none"/>
        </w:tabs>
        <w:spacing w:line="240" w:lineRule="auto" w:before="70" w:after="0"/>
        <w:ind w:left="699" w:right="0" w:hanging="470"/>
        <w:jc w:val="left"/>
        <w:rPr>
          <w:sz w:val="24"/>
        </w:rPr>
      </w:pPr>
      <w:r>
        <w:rPr>
          <w:sz w:val="24"/>
        </w:rPr>
        <w:t>completo de 1500 pb, </w:t>
      </w:r>
      <w:r>
        <w:rPr>
          <w:spacing w:val="-3"/>
          <w:sz w:val="24"/>
        </w:rPr>
        <w:t>cuyo </w:t>
      </w:r>
      <w:r>
        <w:rPr>
          <w:sz w:val="24"/>
        </w:rPr>
        <w:t>análisis nucleótidico determino que </w:t>
      </w:r>
      <w:r>
        <w:rPr>
          <w:spacing w:val="-3"/>
          <w:sz w:val="24"/>
        </w:rPr>
        <w:t>no </w:t>
      </w:r>
      <w:r>
        <w:rPr>
          <w:sz w:val="24"/>
        </w:rPr>
        <w:t>existen diferencias  entre</w:t>
      </w:r>
    </w:p>
    <w:p>
      <w:pPr>
        <w:pStyle w:val="ListParagraph"/>
        <w:numPr>
          <w:ilvl w:val="0"/>
          <w:numId w:val="21"/>
        </w:numPr>
        <w:tabs>
          <w:tab w:pos="699" w:val="left" w:leader="none"/>
          <w:tab w:pos="700" w:val="left" w:leader="none"/>
        </w:tabs>
        <w:spacing w:line="240" w:lineRule="auto" w:before="129" w:after="0"/>
        <w:ind w:left="699" w:right="0" w:hanging="470"/>
        <w:jc w:val="left"/>
        <w:rPr>
          <w:sz w:val="24"/>
        </w:rPr>
      </w:pPr>
      <w:r>
        <w:rPr>
          <w:sz w:val="24"/>
        </w:rPr>
        <w:t>las distintas fuentes de</w:t>
      </w:r>
      <w:r>
        <w:rPr>
          <w:spacing w:val="-17"/>
          <w:sz w:val="24"/>
        </w:rPr>
        <w:t> </w:t>
      </w:r>
      <w:r>
        <w:rPr>
          <w:sz w:val="24"/>
        </w:rPr>
        <w:t>DNA.</w:t>
      </w:r>
    </w:p>
    <w:p>
      <w:pPr>
        <w:pStyle w:val="BodyText"/>
        <w:spacing w:before="3"/>
        <w:rPr>
          <w:rFonts w:ascii="Times New Roman"/>
          <w:sz w:val="23"/>
        </w:rPr>
      </w:pPr>
    </w:p>
    <w:p>
      <w:pPr>
        <w:pStyle w:val="ListParagraph"/>
        <w:numPr>
          <w:ilvl w:val="0"/>
          <w:numId w:val="21"/>
        </w:numPr>
        <w:tabs>
          <w:tab w:pos="1405" w:val="left" w:leader="none"/>
          <w:tab w:pos="1406" w:val="left" w:leader="none"/>
        </w:tabs>
        <w:spacing w:line="240" w:lineRule="auto" w:before="69" w:after="0"/>
        <w:ind w:left="1405" w:right="0" w:hanging="1176"/>
        <w:jc w:val="left"/>
        <w:rPr>
          <w:sz w:val="24"/>
        </w:rPr>
      </w:pPr>
      <w:r>
        <w:rPr>
          <w:sz w:val="24"/>
        </w:rPr>
        <w:t>El análisis de </w:t>
      </w:r>
      <w:r>
        <w:rPr>
          <w:spacing w:val="-5"/>
          <w:sz w:val="24"/>
        </w:rPr>
        <w:t>la </w:t>
      </w:r>
      <w:r>
        <w:rPr>
          <w:sz w:val="24"/>
        </w:rPr>
        <w:t>secuencia del gen 16S de nuestra bacteria con </w:t>
      </w:r>
      <w:r>
        <w:rPr>
          <w:spacing w:val="-5"/>
          <w:sz w:val="24"/>
        </w:rPr>
        <w:t>la </w:t>
      </w:r>
      <w:r>
        <w:rPr>
          <w:sz w:val="24"/>
        </w:rPr>
        <w:t>secuencia de  </w:t>
      </w:r>
      <w:r>
        <w:rPr>
          <w:spacing w:val="14"/>
          <w:sz w:val="24"/>
        </w:rPr>
        <w:t> </w:t>
      </w:r>
      <w:r>
        <w:rPr>
          <w:sz w:val="24"/>
        </w:rPr>
        <w:t>otras</w:t>
      </w:r>
    </w:p>
    <w:p>
      <w:pPr>
        <w:pStyle w:val="ListParagraph"/>
        <w:numPr>
          <w:ilvl w:val="0"/>
          <w:numId w:val="21"/>
        </w:numPr>
        <w:tabs>
          <w:tab w:pos="699" w:val="left" w:leader="none"/>
          <w:tab w:pos="700" w:val="left" w:leader="none"/>
        </w:tabs>
        <w:spacing w:line="240" w:lineRule="auto" w:before="129" w:after="0"/>
        <w:ind w:left="699" w:right="0" w:hanging="470"/>
        <w:jc w:val="left"/>
        <w:rPr>
          <w:i/>
          <w:sz w:val="24"/>
        </w:rPr>
      </w:pPr>
      <w:r>
        <w:rPr>
          <w:sz w:val="24"/>
        </w:rPr>
        <w:t>cepas, obtuvo 99,5% de identidad con cepas de </w:t>
      </w:r>
      <w:r>
        <w:rPr>
          <w:i/>
          <w:sz w:val="24"/>
        </w:rPr>
        <w:t>Francisella noatunensis </w:t>
      </w:r>
      <w:r>
        <w:rPr>
          <w:sz w:val="24"/>
        </w:rPr>
        <w:t>subsp</w:t>
      </w:r>
      <w:r>
        <w:rPr>
          <w:i/>
          <w:sz w:val="24"/>
        </w:rPr>
        <w:t>.  </w:t>
      </w:r>
      <w:r>
        <w:rPr>
          <w:i/>
          <w:spacing w:val="36"/>
          <w:sz w:val="24"/>
        </w:rPr>
        <w:t> </w:t>
      </w:r>
      <w:r>
        <w:rPr>
          <w:i/>
          <w:sz w:val="24"/>
        </w:rPr>
        <w:t>Orientalis,</w:t>
      </w:r>
    </w:p>
    <w:p>
      <w:pPr>
        <w:pStyle w:val="ListParagraph"/>
        <w:numPr>
          <w:ilvl w:val="0"/>
          <w:numId w:val="21"/>
        </w:numPr>
        <w:tabs>
          <w:tab w:pos="699" w:val="left" w:leader="none"/>
          <w:tab w:pos="700" w:val="left" w:leader="none"/>
        </w:tabs>
        <w:spacing w:line="240" w:lineRule="auto" w:before="129" w:after="0"/>
        <w:ind w:left="699" w:right="0" w:hanging="470"/>
        <w:jc w:val="left"/>
        <w:rPr>
          <w:sz w:val="24"/>
        </w:rPr>
      </w:pPr>
      <w:r>
        <w:rPr>
          <w:sz w:val="24"/>
        </w:rPr>
        <w:t>incluyendo a </w:t>
      </w:r>
      <w:r>
        <w:rPr>
          <w:spacing w:val="-5"/>
          <w:sz w:val="24"/>
        </w:rPr>
        <w:t>la </w:t>
      </w:r>
      <w:r>
        <w:rPr>
          <w:sz w:val="24"/>
        </w:rPr>
        <w:t>cepa Ehime-1, aislada de </w:t>
      </w:r>
      <w:r>
        <w:rPr>
          <w:i/>
          <w:sz w:val="24"/>
        </w:rPr>
        <w:t>Parapritipoma trilineatum </w:t>
      </w:r>
      <w:r>
        <w:rPr>
          <w:sz w:val="24"/>
        </w:rPr>
        <w:t>en Japón (Accesion</w:t>
      </w:r>
      <w:r>
        <w:rPr>
          <w:spacing w:val="52"/>
          <w:sz w:val="24"/>
        </w:rPr>
        <w:t> </w:t>
      </w:r>
      <w:r>
        <w:rPr>
          <w:spacing w:val="-3"/>
          <w:sz w:val="24"/>
        </w:rPr>
        <w:t>no</w:t>
      </w:r>
    </w:p>
    <w:p>
      <w:pPr>
        <w:pStyle w:val="ListParagraph"/>
        <w:numPr>
          <w:ilvl w:val="0"/>
          <w:numId w:val="21"/>
        </w:numPr>
        <w:tabs>
          <w:tab w:pos="699" w:val="left" w:leader="none"/>
          <w:tab w:pos="700" w:val="left" w:leader="none"/>
        </w:tabs>
        <w:spacing w:line="240" w:lineRule="auto" w:before="129" w:after="0"/>
        <w:ind w:left="699" w:right="0" w:hanging="470"/>
        <w:jc w:val="left"/>
        <w:rPr>
          <w:sz w:val="24"/>
        </w:rPr>
      </w:pPr>
      <w:r>
        <w:rPr>
          <w:sz w:val="24"/>
        </w:rPr>
        <w:t>EU683030), </w:t>
      </w:r>
      <w:r>
        <w:rPr>
          <w:spacing w:val="-5"/>
          <w:sz w:val="24"/>
        </w:rPr>
        <w:t>la </w:t>
      </w:r>
      <w:r>
        <w:rPr>
          <w:sz w:val="24"/>
        </w:rPr>
        <w:t>cepa Toba04 de tilapia (Accesion </w:t>
      </w:r>
      <w:r>
        <w:rPr>
          <w:spacing w:val="-3"/>
          <w:sz w:val="24"/>
        </w:rPr>
        <w:t>no </w:t>
      </w:r>
      <w:r>
        <w:rPr>
          <w:sz w:val="24"/>
        </w:rPr>
        <w:t>NR_07581.1; Indonesia) y de  </w:t>
      </w:r>
      <w:r>
        <w:rPr>
          <w:spacing w:val="52"/>
          <w:sz w:val="24"/>
        </w:rPr>
        <w:t> </w:t>
      </w:r>
      <w:r>
        <w:rPr>
          <w:sz w:val="24"/>
        </w:rPr>
        <w:t>Taiwán</w:t>
      </w:r>
    </w:p>
    <w:p>
      <w:pPr>
        <w:pStyle w:val="ListParagraph"/>
        <w:numPr>
          <w:ilvl w:val="0"/>
          <w:numId w:val="21"/>
        </w:numPr>
        <w:tabs>
          <w:tab w:pos="699" w:val="left" w:leader="none"/>
          <w:tab w:pos="700" w:val="left" w:leader="none"/>
        </w:tabs>
        <w:spacing w:line="240" w:lineRule="auto" w:before="135" w:after="0"/>
        <w:ind w:left="699" w:right="0" w:hanging="470"/>
        <w:jc w:val="left"/>
        <w:rPr>
          <w:sz w:val="24"/>
        </w:rPr>
      </w:pPr>
      <w:r>
        <w:rPr>
          <w:sz w:val="24"/>
        </w:rPr>
        <w:t>AF206675; AF385857. Estos hallazgos también fueron confirmados al analizar </w:t>
      </w:r>
      <w:r>
        <w:rPr>
          <w:spacing w:val="-3"/>
          <w:sz w:val="24"/>
        </w:rPr>
        <w:t>la</w:t>
      </w:r>
      <w:r>
        <w:rPr>
          <w:spacing w:val="-36"/>
          <w:sz w:val="24"/>
        </w:rPr>
        <w:t> </w:t>
      </w:r>
      <w:r>
        <w:rPr>
          <w:sz w:val="24"/>
        </w:rPr>
        <w:t>secuencia</w:t>
      </w:r>
    </w:p>
    <w:p>
      <w:pPr>
        <w:pStyle w:val="ListParagraph"/>
        <w:numPr>
          <w:ilvl w:val="0"/>
          <w:numId w:val="21"/>
        </w:numPr>
        <w:tabs>
          <w:tab w:pos="699" w:val="left" w:leader="none"/>
          <w:tab w:pos="700" w:val="left" w:leader="none"/>
        </w:tabs>
        <w:spacing w:line="240" w:lineRule="auto" w:before="129" w:after="0"/>
        <w:ind w:left="699" w:right="0" w:hanging="470"/>
        <w:jc w:val="left"/>
        <w:rPr>
          <w:sz w:val="24"/>
        </w:rPr>
      </w:pPr>
      <w:r>
        <w:rPr>
          <w:sz w:val="24"/>
        </w:rPr>
        <w:t>del</w:t>
      </w:r>
      <w:r>
        <w:rPr>
          <w:spacing w:val="-14"/>
          <w:sz w:val="24"/>
        </w:rPr>
        <w:t> </w:t>
      </w:r>
      <w:r>
        <w:rPr>
          <w:sz w:val="24"/>
        </w:rPr>
        <w:t>producto de</w:t>
      </w:r>
      <w:r>
        <w:rPr>
          <w:spacing w:val="-11"/>
          <w:sz w:val="24"/>
        </w:rPr>
        <w:t> </w:t>
      </w:r>
      <w:r>
        <w:rPr>
          <w:sz w:val="24"/>
        </w:rPr>
        <w:t>PCR</w:t>
      </w:r>
      <w:r>
        <w:rPr>
          <w:spacing w:val="-7"/>
          <w:sz w:val="24"/>
        </w:rPr>
        <w:t> </w:t>
      </w:r>
      <w:r>
        <w:rPr>
          <w:sz w:val="24"/>
        </w:rPr>
        <w:t>correspondiente</w:t>
      </w:r>
      <w:r>
        <w:rPr>
          <w:spacing w:val="-6"/>
          <w:sz w:val="24"/>
        </w:rPr>
        <w:t> </w:t>
      </w:r>
      <w:r>
        <w:rPr>
          <w:sz w:val="24"/>
        </w:rPr>
        <w:t>a</w:t>
      </w:r>
      <w:r>
        <w:rPr>
          <w:spacing w:val="-6"/>
          <w:sz w:val="24"/>
        </w:rPr>
        <w:t> </w:t>
      </w:r>
      <w:r>
        <w:rPr>
          <w:sz w:val="24"/>
        </w:rPr>
        <w:t>ITS1</w:t>
      </w:r>
      <w:r>
        <w:rPr>
          <w:spacing w:val="-5"/>
          <w:sz w:val="24"/>
        </w:rPr>
        <w:t> </w:t>
      </w:r>
      <w:r>
        <w:rPr>
          <w:sz w:val="24"/>
        </w:rPr>
        <w:t>de</w:t>
      </w:r>
      <w:r>
        <w:rPr>
          <w:spacing w:val="-6"/>
          <w:sz w:val="24"/>
        </w:rPr>
        <w:t> </w:t>
      </w:r>
      <w:r>
        <w:rPr>
          <w:spacing w:val="-3"/>
          <w:sz w:val="24"/>
        </w:rPr>
        <w:t>las</w:t>
      </w:r>
      <w:r>
        <w:rPr>
          <w:spacing w:val="-2"/>
          <w:sz w:val="24"/>
        </w:rPr>
        <w:t> </w:t>
      </w:r>
      <w:r>
        <w:rPr>
          <w:sz w:val="24"/>
        </w:rPr>
        <w:t>colonias</w:t>
      </w:r>
      <w:r>
        <w:rPr>
          <w:spacing w:val="-7"/>
          <w:sz w:val="24"/>
        </w:rPr>
        <w:t> </w:t>
      </w:r>
      <w:r>
        <w:rPr>
          <w:sz w:val="24"/>
        </w:rPr>
        <w:t>aisladas,</w:t>
      </w:r>
      <w:r>
        <w:rPr>
          <w:spacing w:val="-3"/>
          <w:sz w:val="24"/>
        </w:rPr>
        <w:t> </w:t>
      </w:r>
      <w:r>
        <w:rPr>
          <w:sz w:val="24"/>
        </w:rPr>
        <w:t>que</w:t>
      </w:r>
      <w:r>
        <w:rPr>
          <w:spacing w:val="-1"/>
          <w:sz w:val="24"/>
        </w:rPr>
        <w:t> </w:t>
      </w:r>
      <w:r>
        <w:rPr>
          <w:sz w:val="24"/>
        </w:rPr>
        <w:t>mostro 98.78%</w:t>
      </w:r>
      <w:r>
        <w:rPr>
          <w:spacing w:val="-3"/>
          <w:sz w:val="24"/>
        </w:rPr>
        <w:t> </w:t>
      </w:r>
      <w:r>
        <w:rPr>
          <w:sz w:val="24"/>
        </w:rPr>
        <w:t>de</w:t>
      </w:r>
    </w:p>
    <w:p>
      <w:pPr>
        <w:pStyle w:val="ListParagraph"/>
        <w:numPr>
          <w:ilvl w:val="0"/>
          <w:numId w:val="21"/>
        </w:numPr>
        <w:tabs>
          <w:tab w:pos="699" w:val="left" w:leader="none"/>
          <w:tab w:pos="700" w:val="left" w:leader="none"/>
        </w:tabs>
        <w:spacing w:line="240" w:lineRule="auto" w:before="129" w:after="0"/>
        <w:ind w:left="699" w:right="0" w:hanging="470"/>
        <w:jc w:val="left"/>
        <w:rPr>
          <w:sz w:val="24"/>
        </w:rPr>
      </w:pPr>
      <w:r>
        <w:rPr>
          <w:sz w:val="24"/>
        </w:rPr>
        <w:t>similitud</w:t>
      </w:r>
      <w:r>
        <w:rPr>
          <w:spacing w:val="-12"/>
          <w:sz w:val="24"/>
        </w:rPr>
        <w:t> </w:t>
      </w:r>
      <w:r>
        <w:rPr>
          <w:sz w:val="24"/>
        </w:rPr>
        <w:t>con</w:t>
      </w:r>
      <w:r>
        <w:rPr>
          <w:spacing w:val="-16"/>
          <w:sz w:val="24"/>
        </w:rPr>
        <w:t> </w:t>
      </w:r>
      <w:r>
        <w:rPr>
          <w:sz w:val="24"/>
        </w:rPr>
        <w:t>el</w:t>
      </w:r>
      <w:r>
        <w:rPr>
          <w:spacing w:val="-20"/>
          <w:sz w:val="24"/>
        </w:rPr>
        <w:t> </w:t>
      </w:r>
      <w:r>
        <w:rPr>
          <w:sz w:val="24"/>
        </w:rPr>
        <w:t>ITS1</w:t>
      </w:r>
      <w:r>
        <w:rPr>
          <w:spacing w:val="-16"/>
          <w:sz w:val="24"/>
        </w:rPr>
        <w:t> </w:t>
      </w:r>
      <w:r>
        <w:rPr>
          <w:sz w:val="24"/>
        </w:rPr>
        <w:t>de</w:t>
      </w:r>
      <w:r>
        <w:rPr>
          <w:spacing w:val="-13"/>
          <w:sz w:val="24"/>
        </w:rPr>
        <w:t> </w:t>
      </w:r>
      <w:r>
        <w:rPr>
          <w:spacing w:val="-5"/>
          <w:sz w:val="24"/>
        </w:rPr>
        <w:t>la</w:t>
      </w:r>
      <w:r>
        <w:rPr>
          <w:spacing w:val="-13"/>
          <w:sz w:val="24"/>
        </w:rPr>
        <w:t> </w:t>
      </w:r>
      <w:r>
        <w:rPr>
          <w:sz w:val="24"/>
        </w:rPr>
        <w:t>cepa</w:t>
      </w:r>
      <w:r>
        <w:rPr>
          <w:spacing w:val="-13"/>
          <w:sz w:val="24"/>
        </w:rPr>
        <w:t> </w:t>
      </w:r>
      <w:r>
        <w:rPr>
          <w:sz w:val="24"/>
        </w:rPr>
        <w:t>Ehime-1.</w:t>
      </w:r>
      <w:r>
        <w:rPr>
          <w:spacing w:val="-10"/>
          <w:sz w:val="24"/>
        </w:rPr>
        <w:t> </w:t>
      </w:r>
      <w:r>
        <w:rPr>
          <w:sz w:val="24"/>
        </w:rPr>
        <w:t>Adicionalmente,</w:t>
      </w:r>
      <w:r>
        <w:rPr>
          <w:spacing w:val="-10"/>
          <w:sz w:val="24"/>
        </w:rPr>
        <w:t> </w:t>
      </w:r>
      <w:r>
        <w:rPr>
          <w:sz w:val="24"/>
        </w:rPr>
        <w:t>se</w:t>
      </w:r>
      <w:r>
        <w:rPr>
          <w:spacing w:val="-13"/>
          <w:sz w:val="24"/>
        </w:rPr>
        <w:t> </w:t>
      </w:r>
      <w:r>
        <w:rPr>
          <w:sz w:val="24"/>
        </w:rPr>
        <w:t>determinó</w:t>
      </w:r>
      <w:r>
        <w:rPr>
          <w:spacing w:val="-7"/>
          <w:sz w:val="24"/>
        </w:rPr>
        <w:t> </w:t>
      </w:r>
      <w:r>
        <w:rPr>
          <w:sz w:val="24"/>
        </w:rPr>
        <w:t>un</w:t>
      </w:r>
      <w:r>
        <w:rPr>
          <w:spacing w:val="-16"/>
          <w:sz w:val="24"/>
        </w:rPr>
        <w:t> </w:t>
      </w:r>
      <w:r>
        <w:rPr>
          <w:sz w:val="24"/>
        </w:rPr>
        <w:t>97%</w:t>
      </w:r>
      <w:r>
        <w:rPr>
          <w:spacing w:val="-10"/>
          <w:sz w:val="24"/>
        </w:rPr>
        <w:t> </w:t>
      </w:r>
      <w:r>
        <w:rPr>
          <w:sz w:val="24"/>
        </w:rPr>
        <w:t>de</w:t>
      </w:r>
      <w:r>
        <w:rPr>
          <w:spacing w:val="-13"/>
          <w:sz w:val="24"/>
        </w:rPr>
        <w:t> </w:t>
      </w:r>
      <w:r>
        <w:rPr>
          <w:sz w:val="24"/>
        </w:rPr>
        <w:t>identidad</w:t>
      </w:r>
    </w:p>
    <w:p>
      <w:pPr>
        <w:pStyle w:val="ListParagraph"/>
        <w:numPr>
          <w:ilvl w:val="0"/>
          <w:numId w:val="21"/>
        </w:numPr>
        <w:tabs>
          <w:tab w:pos="699" w:val="left" w:leader="none"/>
          <w:tab w:pos="700" w:val="left" w:leader="none"/>
        </w:tabs>
        <w:spacing w:line="240" w:lineRule="auto" w:before="129" w:after="0"/>
        <w:ind w:left="699" w:right="0" w:hanging="581"/>
        <w:jc w:val="left"/>
        <w:rPr>
          <w:sz w:val="24"/>
        </w:rPr>
      </w:pPr>
      <w:r>
        <w:rPr>
          <w:sz w:val="24"/>
        </w:rPr>
        <w:t>con </w:t>
      </w:r>
      <w:r>
        <w:rPr>
          <w:i/>
          <w:sz w:val="24"/>
        </w:rPr>
        <w:t>Francisella  philomiragia  </w:t>
      </w:r>
      <w:r>
        <w:rPr>
          <w:sz w:val="24"/>
        </w:rPr>
        <w:t>subsp</w:t>
      </w:r>
      <w:r>
        <w:rPr>
          <w:i/>
          <w:sz w:val="24"/>
        </w:rPr>
        <w:t>.  philomiragia  </w:t>
      </w:r>
      <w:r>
        <w:rPr>
          <w:sz w:val="24"/>
        </w:rPr>
        <w:t>cepa ATCC 25017,  </w:t>
      </w:r>
      <w:r>
        <w:rPr>
          <w:spacing w:val="-5"/>
          <w:sz w:val="24"/>
        </w:rPr>
        <w:t>lo  </w:t>
      </w:r>
      <w:r>
        <w:rPr>
          <w:sz w:val="24"/>
        </w:rPr>
        <w:t>cual sugiere </w:t>
      </w:r>
      <w:r>
        <w:rPr>
          <w:spacing w:val="59"/>
          <w:sz w:val="24"/>
        </w:rPr>
        <w:t> </w:t>
      </w:r>
      <w:r>
        <w:rPr>
          <w:sz w:val="24"/>
        </w:rPr>
        <w:t>a</w:t>
      </w:r>
    </w:p>
    <w:p>
      <w:pPr>
        <w:pStyle w:val="ListParagraph"/>
        <w:numPr>
          <w:ilvl w:val="0"/>
          <w:numId w:val="21"/>
        </w:numPr>
        <w:tabs>
          <w:tab w:pos="699" w:val="left" w:leader="none"/>
          <w:tab w:pos="700" w:val="left" w:leader="none"/>
        </w:tabs>
        <w:spacing w:line="240" w:lineRule="auto" w:before="135" w:after="0"/>
        <w:ind w:left="699" w:right="0" w:hanging="581"/>
        <w:jc w:val="left"/>
        <w:rPr>
          <w:sz w:val="24"/>
        </w:rPr>
      </w:pPr>
      <w:r>
        <w:rPr>
          <w:i/>
          <w:sz w:val="24"/>
        </w:rPr>
        <w:t>Francisella noatunensis </w:t>
      </w:r>
      <w:r>
        <w:rPr>
          <w:sz w:val="24"/>
        </w:rPr>
        <w:t>subsp</w:t>
      </w:r>
      <w:r>
        <w:rPr>
          <w:i/>
          <w:sz w:val="24"/>
        </w:rPr>
        <w:t>. orientalis, </w:t>
      </w:r>
      <w:r>
        <w:rPr>
          <w:spacing w:val="-3"/>
          <w:sz w:val="24"/>
        </w:rPr>
        <w:t>como </w:t>
      </w:r>
      <w:r>
        <w:rPr>
          <w:sz w:val="24"/>
        </w:rPr>
        <w:t>agente causal de </w:t>
      </w:r>
      <w:r>
        <w:rPr>
          <w:spacing w:val="-5"/>
          <w:sz w:val="24"/>
        </w:rPr>
        <w:t>la </w:t>
      </w:r>
      <w:r>
        <w:rPr>
          <w:sz w:val="24"/>
        </w:rPr>
        <w:t>enfermedad  </w:t>
      </w:r>
      <w:r>
        <w:rPr>
          <w:spacing w:val="13"/>
          <w:sz w:val="24"/>
        </w:rPr>
        <w:t> </w:t>
      </w:r>
      <w:r>
        <w:rPr>
          <w:sz w:val="24"/>
        </w:rPr>
        <w:t>observada</w:t>
      </w:r>
    </w:p>
    <w:p>
      <w:pPr>
        <w:pStyle w:val="ListParagraph"/>
        <w:numPr>
          <w:ilvl w:val="0"/>
          <w:numId w:val="21"/>
        </w:numPr>
        <w:tabs>
          <w:tab w:pos="699" w:val="left" w:leader="none"/>
          <w:tab w:pos="700" w:val="left" w:leader="none"/>
        </w:tabs>
        <w:spacing w:line="240" w:lineRule="auto" w:before="125" w:after="0"/>
        <w:ind w:left="699" w:right="0" w:hanging="581"/>
        <w:jc w:val="left"/>
        <w:rPr>
          <w:sz w:val="24"/>
        </w:rPr>
      </w:pPr>
      <w:r>
        <w:rPr>
          <w:sz w:val="24"/>
        </w:rPr>
        <w:t>en las tilapias</w:t>
      </w:r>
      <w:r>
        <w:rPr>
          <w:spacing w:val="-15"/>
          <w:sz w:val="24"/>
        </w:rPr>
        <w:t> </w:t>
      </w:r>
      <w:r>
        <w:rPr>
          <w:sz w:val="24"/>
        </w:rPr>
        <w:t>analizadas.</w:t>
      </w:r>
    </w:p>
    <w:p>
      <w:pPr>
        <w:pStyle w:val="BodyText"/>
        <w:spacing w:before="2"/>
        <w:rPr>
          <w:rFonts w:ascii="Times New Roman"/>
          <w:sz w:val="23"/>
        </w:rPr>
      </w:pPr>
    </w:p>
    <w:p>
      <w:pPr>
        <w:pStyle w:val="Heading1"/>
        <w:numPr>
          <w:ilvl w:val="0"/>
          <w:numId w:val="21"/>
        </w:numPr>
        <w:tabs>
          <w:tab w:pos="699" w:val="left" w:leader="none"/>
          <w:tab w:pos="700" w:val="left" w:leader="none"/>
        </w:tabs>
        <w:spacing w:line="240" w:lineRule="auto" w:before="69" w:after="0"/>
        <w:ind w:left="699" w:right="0" w:hanging="581"/>
        <w:jc w:val="left"/>
        <w:rPr>
          <w:rFonts w:ascii="Times New Roman"/>
        </w:rPr>
      </w:pPr>
      <w:r>
        <w:rPr>
          <w:rFonts w:ascii="Times New Roman"/>
        </w:rPr>
        <w:t>Filogenia</w:t>
      </w:r>
    </w:p>
    <w:p>
      <w:pPr>
        <w:pStyle w:val="BodyText"/>
        <w:spacing w:before="9"/>
        <w:rPr>
          <w:rFonts w:ascii="Times New Roman"/>
          <w:b/>
          <w:sz w:val="22"/>
        </w:rPr>
      </w:pPr>
    </w:p>
    <w:p>
      <w:pPr>
        <w:pStyle w:val="ListParagraph"/>
        <w:numPr>
          <w:ilvl w:val="0"/>
          <w:numId w:val="21"/>
        </w:numPr>
        <w:tabs>
          <w:tab w:pos="1405" w:val="left" w:leader="none"/>
          <w:tab w:pos="1406" w:val="left" w:leader="none"/>
        </w:tabs>
        <w:spacing w:line="240" w:lineRule="auto" w:before="69" w:after="0"/>
        <w:ind w:left="1405" w:right="0" w:hanging="1287"/>
        <w:jc w:val="left"/>
        <w:rPr>
          <w:sz w:val="24"/>
        </w:rPr>
      </w:pPr>
      <w:r>
        <w:rPr>
          <w:sz w:val="24"/>
        </w:rPr>
        <w:t>El análisis de las secuencias de los productos de </w:t>
      </w:r>
      <w:r>
        <w:rPr>
          <w:spacing w:val="-2"/>
          <w:sz w:val="24"/>
        </w:rPr>
        <w:t>PCR </w:t>
      </w:r>
      <w:r>
        <w:rPr>
          <w:sz w:val="24"/>
        </w:rPr>
        <w:t>del gen 16S e ITS-1</w:t>
      </w:r>
      <w:r>
        <w:rPr>
          <w:spacing w:val="-34"/>
          <w:sz w:val="24"/>
        </w:rPr>
        <w:t> </w:t>
      </w:r>
      <w:r>
        <w:rPr>
          <w:sz w:val="24"/>
        </w:rPr>
        <w:t>obtenidas,</w:t>
      </w:r>
    </w:p>
    <w:p>
      <w:pPr>
        <w:pStyle w:val="ListParagraph"/>
        <w:numPr>
          <w:ilvl w:val="0"/>
          <w:numId w:val="21"/>
        </w:numPr>
        <w:tabs>
          <w:tab w:pos="699" w:val="left" w:leader="none"/>
          <w:tab w:pos="700" w:val="left" w:leader="none"/>
        </w:tabs>
        <w:spacing w:line="240" w:lineRule="auto" w:before="129" w:after="0"/>
        <w:ind w:left="699" w:right="0" w:hanging="581"/>
        <w:jc w:val="left"/>
        <w:rPr>
          <w:sz w:val="24"/>
        </w:rPr>
      </w:pPr>
      <w:r>
        <w:rPr>
          <w:sz w:val="24"/>
        </w:rPr>
        <w:t>confirmaron </w:t>
      </w:r>
      <w:r>
        <w:rPr>
          <w:spacing w:val="-5"/>
          <w:sz w:val="24"/>
        </w:rPr>
        <w:t>la </w:t>
      </w:r>
      <w:r>
        <w:rPr>
          <w:sz w:val="24"/>
        </w:rPr>
        <w:t>identidad de los productos </w:t>
      </w:r>
      <w:r>
        <w:rPr>
          <w:spacing w:val="-3"/>
          <w:sz w:val="24"/>
        </w:rPr>
        <w:t>como </w:t>
      </w:r>
      <w:r>
        <w:rPr>
          <w:sz w:val="24"/>
        </w:rPr>
        <w:t>secuencias del genero </w:t>
      </w:r>
      <w:r>
        <w:rPr>
          <w:i/>
          <w:sz w:val="24"/>
        </w:rPr>
        <w:t>Francisella</w:t>
      </w:r>
      <w:r>
        <w:rPr>
          <w:sz w:val="24"/>
        </w:rPr>
        <w:t>, </w:t>
      </w:r>
      <w:r>
        <w:rPr>
          <w:spacing w:val="30"/>
          <w:sz w:val="24"/>
        </w:rPr>
        <w:t> </w:t>
      </w:r>
      <w:r>
        <w:rPr>
          <w:sz w:val="24"/>
        </w:rPr>
        <w:t>especie</w:t>
      </w:r>
    </w:p>
    <w:p>
      <w:pPr>
        <w:pStyle w:val="ListParagraph"/>
        <w:numPr>
          <w:ilvl w:val="0"/>
          <w:numId w:val="21"/>
        </w:numPr>
        <w:tabs>
          <w:tab w:pos="699" w:val="left" w:leader="none"/>
          <w:tab w:pos="700" w:val="left" w:leader="none"/>
        </w:tabs>
        <w:spacing w:line="240" w:lineRule="auto" w:before="129" w:after="0"/>
        <w:ind w:left="699" w:right="0" w:hanging="581"/>
        <w:jc w:val="left"/>
        <w:rPr>
          <w:sz w:val="24"/>
        </w:rPr>
      </w:pPr>
      <w:r>
        <w:rPr>
          <w:i/>
          <w:sz w:val="24"/>
        </w:rPr>
        <w:t>noatunensis  </w:t>
      </w:r>
      <w:r>
        <w:rPr>
          <w:sz w:val="24"/>
        </w:rPr>
        <w:t>subsp</w:t>
      </w:r>
      <w:r>
        <w:rPr>
          <w:i/>
          <w:sz w:val="24"/>
        </w:rPr>
        <w:t>.  orientalis.  </w:t>
      </w:r>
      <w:r>
        <w:rPr>
          <w:sz w:val="24"/>
        </w:rPr>
        <w:t>En  el  caso  del  gen  16S,  todas  </w:t>
      </w:r>
      <w:r>
        <w:rPr>
          <w:spacing w:val="-5"/>
          <w:sz w:val="24"/>
        </w:rPr>
        <w:t>la  </w:t>
      </w:r>
      <w:r>
        <w:rPr>
          <w:sz w:val="24"/>
        </w:rPr>
        <w:t>secuencias  del</w:t>
      </w:r>
      <w:r>
        <w:rPr>
          <w:spacing w:val="3"/>
          <w:sz w:val="24"/>
        </w:rPr>
        <w:t> </w:t>
      </w:r>
      <w:r>
        <w:rPr>
          <w:sz w:val="24"/>
        </w:rPr>
        <w:t>genero</w:t>
      </w:r>
    </w:p>
    <w:p>
      <w:pPr>
        <w:pStyle w:val="ListParagraph"/>
        <w:numPr>
          <w:ilvl w:val="0"/>
          <w:numId w:val="21"/>
        </w:numPr>
        <w:tabs>
          <w:tab w:pos="699" w:val="left" w:leader="none"/>
          <w:tab w:pos="700" w:val="left" w:leader="none"/>
        </w:tabs>
        <w:spacing w:line="240" w:lineRule="auto" w:before="129" w:after="0"/>
        <w:ind w:left="699" w:right="0" w:hanging="581"/>
        <w:jc w:val="left"/>
        <w:rPr>
          <w:sz w:val="24"/>
        </w:rPr>
      </w:pPr>
      <w:r>
        <w:rPr>
          <w:i/>
          <w:sz w:val="24"/>
        </w:rPr>
        <w:t>Francisella  </w:t>
      </w:r>
      <w:r>
        <w:rPr>
          <w:sz w:val="24"/>
        </w:rPr>
        <w:t>se  agruparon  en  un  </w:t>
      </w:r>
      <w:r>
        <w:rPr>
          <w:spacing w:val="-3"/>
          <w:sz w:val="24"/>
        </w:rPr>
        <w:t>mismo  </w:t>
      </w:r>
      <w:r>
        <w:rPr>
          <w:sz w:val="24"/>
        </w:rPr>
        <w:t>clado,  y  nuestra  secuencia  se  relaciona    </w:t>
      </w:r>
      <w:r>
        <w:rPr>
          <w:spacing w:val="14"/>
          <w:sz w:val="24"/>
        </w:rPr>
        <w:t> </w:t>
      </w:r>
      <w:r>
        <w:rPr>
          <w:sz w:val="24"/>
        </w:rPr>
        <w:t>más</w:t>
      </w:r>
    </w:p>
    <w:p>
      <w:pPr>
        <w:pStyle w:val="ListParagraph"/>
        <w:numPr>
          <w:ilvl w:val="0"/>
          <w:numId w:val="21"/>
        </w:numPr>
        <w:tabs>
          <w:tab w:pos="699" w:val="left" w:leader="none"/>
          <w:tab w:pos="700" w:val="left" w:leader="none"/>
        </w:tabs>
        <w:spacing w:line="240" w:lineRule="auto" w:before="135" w:after="0"/>
        <w:ind w:left="699" w:right="0" w:hanging="581"/>
        <w:jc w:val="left"/>
        <w:rPr>
          <w:sz w:val="24"/>
        </w:rPr>
      </w:pPr>
      <w:r>
        <w:rPr>
          <w:sz w:val="24"/>
        </w:rPr>
        <w:t>estrechamente</w:t>
      </w:r>
      <w:r>
        <w:rPr>
          <w:spacing w:val="-13"/>
          <w:sz w:val="24"/>
        </w:rPr>
        <w:t> </w:t>
      </w:r>
      <w:r>
        <w:rPr>
          <w:sz w:val="24"/>
        </w:rPr>
        <w:t>en</w:t>
      </w:r>
      <w:r>
        <w:rPr>
          <w:spacing w:val="-16"/>
          <w:sz w:val="24"/>
        </w:rPr>
        <w:t> </w:t>
      </w:r>
      <w:r>
        <w:rPr>
          <w:sz w:val="24"/>
        </w:rPr>
        <w:t>un</w:t>
      </w:r>
      <w:r>
        <w:rPr>
          <w:spacing w:val="-16"/>
          <w:sz w:val="24"/>
        </w:rPr>
        <w:t> </w:t>
      </w:r>
      <w:r>
        <w:rPr>
          <w:sz w:val="24"/>
        </w:rPr>
        <w:t>subclado</w:t>
      </w:r>
      <w:r>
        <w:rPr>
          <w:spacing w:val="-8"/>
          <w:sz w:val="24"/>
        </w:rPr>
        <w:t> </w:t>
      </w:r>
      <w:r>
        <w:rPr>
          <w:sz w:val="24"/>
        </w:rPr>
        <w:t>con</w:t>
      </w:r>
      <w:r>
        <w:rPr>
          <w:spacing w:val="-13"/>
          <w:sz w:val="24"/>
        </w:rPr>
        <w:t> </w:t>
      </w:r>
      <w:r>
        <w:rPr>
          <w:i/>
          <w:sz w:val="24"/>
        </w:rPr>
        <w:t>Francisella</w:t>
      </w:r>
      <w:r>
        <w:rPr>
          <w:i/>
          <w:spacing w:val="-12"/>
          <w:sz w:val="24"/>
        </w:rPr>
        <w:t> </w:t>
      </w:r>
      <w:r>
        <w:rPr>
          <w:i/>
          <w:sz w:val="24"/>
        </w:rPr>
        <w:t>noatunensis</w:t>
      </w:r>
      <w:r>
        <w:rPr>
          <w:i/>
          <w:spacing w:val="-13"/>
          <w:sz w:val="24"/>
        </w:rPr>
        <w:t> </w:t>
      </w:r>
      <w:r>
        <w:rPr>
          <w:sz w:val="24"/>
        </w:rPr>
        <w:t>subsp</w:t>
      </w:r>
      <w:r>
        <w:rPr>
          <w:i/>
          <w:sz w:val="24"/>
        </w:rPr>
        <w:t>.</w:t>
      </w:r>
      <w:r>
        <w:rPr>
          <w:i/>
          <w:spacing w:val="-11"/>
          <w:sz w:val="24"/>
        </w:rPr>
        <w:t> </w:t>
      </w:r>
      <w:r>
        <w:rPr>
          <w:i/>
          <w:sz w:val="24"/>
        </w:rPr>
        <w:t>orientalis</w:t>
      </w:r>
      <w:r>
        <w:rPr>
          <w:i/>
          <w:spacing w:val="-13"/>
          <w:sz w:val="24"/>
        </w:rPr>
        <w:t> </w:t>
      </w:r>
      <w:r>
        <w:rPr>
          <w:sz w:val="24"/>
        </w:rPr>
        <w:t>(NR_074581.1),</w:t>
      </w:r>
    </w:p>
    <w:p>
      <w:pPr>
        <w:pStyle w:val="ListParagraph"/>
        <w:numPr>
          <w:ilvl w:val="0"/>
          <w:numId w:val="21"/>
        </w:numPr>
        <w:tabs>
          <w:tab w:pos="699" w:val="left" w:leader="none"/>
          <w:tab w:pos="700" w:val="left" w:leader="none"/>
        </w:tabs>
        <w:spacing w:line="240" w:lineRule="auto" w:before="129" w:after="0"/>
        <w:ind w:left="699" w:right="0" w:hanging="581"/>
        <w:jc w:val="left"/>
        <w:rPr>
          <w:sz w:val="24"/>
        </w:rPr>
      </w:pPr>
      <w:r>
        <w:rPr>
          <w:sz w:val="24"/>
        </w:rPr>
        <w:t>con un bootstrap de </w:t>
      </w:r>
      <w:r>
        <w:rPr>
          <w:spacing w:val="-3"/>
          <w:sz w:val="24"/>
        </w:rPr>
        <w:t>apoyo </w:t>
      </w:r>
      <w:r>
        <w:rPr>
          <w:sz w:val="24"/>
        </w:rPr>
        <w:t>de 99% (Fig. 2). El análisis filogenético de </w:t>
      </w:r>
      <w:r>
        <w:rPr>
          <w:spacing w:val="-4"/>
          <w:sz w:val="24"/>
        </w:rPr>
        <w:t>las </w:t>
      </w:r>
      <w:r>
        <w:rPr>
          <w:sz w:val="24"/>
        </w:rPr>
        <w:t>secuencias</w:t>
      </w:r>
      <w:r>
        <w:rPr>
          <w:spacing w:val="50"/>
          <w:sz w:val="24"/>
        </w:rPr>
        <w:t> </w:t>
      </w:r>
      <w:r>
        <w:rPr>
          <w:sz w:val="24"/>
        </w:rPr>
        <w:t>ITS-1,</w:t>
      </w:r>
    </w:p>
    <w:p>
      <w:pPr>
        <w:pStyle w:val="ListParagraph"/>
        <w:numPr>
          <w:ilvl w:val="0"/>
          <w:numId w:val="21"/>
        </w:numPr>
        <w:tabs>
          <w:tab w:pos="699" w:val="left" w:leader="none"/>
          <w:tab w:pos="700" w:val="left" w:leader="none"/>
        </w:tabs>
        <w:spacing w:line="240" w:lineRule="auto" w:before="129" w:after="0"/>
        <w:ind w:left="699" w:right="0" w:hanging="581"/>
        <w:jc w:val="left"/>
        <w:rPr>
          <w:sz w:val="24"/>
        </w:rPr>
      </w:pPr>
      <w:r>
        <w:rPr>
          <w:spacing w:val="-5"/>
          <w:sz w:val="24"/>
        </w:rPr>
        <w:t>lo  </w:t>
      </w:r>
      <w:r>
        <w:rPr>
          <w:sz w:val="24"/>
        </w:rPr>
        <w:t>anterior  confirma  al  ubicar  a  nuestra  secuencia  en  el  clado  del  genero</w:t>
      </w:r>
      <w:r>
        <w:rPr>
          <w:spacing w:val="-6"/>
          <w:sz w:val="24"/>
        </w:rPr>
        <w:t> </w:t>
      </w:r>
      <w:r>
        <w:rPr>
          <w:i/>
          <w:sz w:val="24"/>
        </w:rPr>
        <w:t>Francisella</w:t>
      </w:r>
      <w:r>
        <w:rPr>
          <w:sz w:val="24"/>
        </w:rPr>
        <w:t>,</w:t>
      </w:r>
    </w:p>
    <w:p>
      <w:pPr>
        <w:pStyle w:val="ListParagraph"/>
        <w:numPr>
          <w:ilvl w:val="0"/>
          <w:numId w:val="21"/>
        </w:numPr>
        <w:tabs>
          <w:tab w:pos="699" w:val="left" w:leader="none"/>
          <w:tab w:pos="700" w:val="left" w:leader="none"/>
        </w:tabs>
        <w:spacing w:line="240" w:lineRule="auto" w:before="129" w:after="0"/>
        <w:ind w:left="699" w:right="0" w:hanging="581"/>
        <w:jc w:val="left"/>
        <w:rPr>
          <w:sz w:val="24"/>
        </w:rPr>
      </w:pPr>
      <w:r>
        <w:rPr>
          <w:sz w:val="24"/>
        </w:rPr>
        <w:t>estrechamente relacionada con </w:t>
      </w:r>
      <w:r>
        <w:rPr>
          <w:i/>
          <w:sz w:val="24"/>
        </w:rPr>
        <w:t>Francisella noatunensis </w:t>
      </w:r>
      <w:r>
        <w:rPr>
          <w:sz w:val="24"/>
        </w:rPr>
        <w:t>subsp</w:t>
      </w:r>
      <w:r>
        <w:rPr>
          <w:i/>
          <w:sz w:val="24"/>
        </w:rPr>
        <w:t>. orientalis </w:t>
      </w:r>
      <w:r>
        <w:rPr>
          <w:sz w:val="24"/>
        </w:rPr>
        <w:t>(EU683030.1)</w:t>
      </w:r>
      <w:r>
        <w:rPr>
          <w:spacing w:val="11"/>
          <w:sz w:val="24"/>
        </w:rPr>
        <w:t> </w:t>
      </w:r>
      <w:r>
        <w:rPr>
          <w:sz w:val="24"/>
        </w:rPr>
        <w:t>con</w:t>
      </w:r>
    </w:p>
    <w:p>
      <w:pPr>
        <w:pStyle w:val="ListParagraph"/>
        <w:numPr>
          <w:ilvl w:val="0"/>
          <w:numId w:val="21"/>
        </w:numPr>
        <w:tabs>
          <w:tab w:pos="699" w:val="left" w:leader="none"/>
          <w:tab w:pos="700" w:val="left" w:leader="none"/>
        </w:tabs>
        <w:spacing w:line="240" w:lineRule="auto" w:before="135" w:after="0"/>
        <w:ind w:left="699" w:right="0" w:hanging="581"/>
        <w:jc w:val="left"/>
        <w:rPr>
          <w:sz w:val="24"/>
        </w:rPr>
      </w:pPr>
      <w:r>
        <w:rPr>
          <w:sz w:val="24"/>
        </w:rPr>
        <w:t>un</w:t>
      </w:r>
      <w:r>
        <w:rPr>
          <w:spacing w:val="22"/>
          <w:sz w:val="24"/>
        </w:rPr>
        <w:t> </w:t>
      </w:r>
      <w:r>
        <w:rPr>
          <w:sz w:val="24"/>
        </w:rPr>
        <w:t>bootstrap</w:t>
      </w:r>
      <w:r>
        <w:rPr>
          <w:spacing w:val="22"/>
          <w:sz w:val="24"/>
        </w:rPr>
        <w:t> </w:t>
      </w:r>
      <w:r>
        <w:rPr>
          <w:sz w:val="24"/>
        </w:rPr>
        <w:t>de</w:t>
      </w:r>
      <w:r>
        <w:rPr>
          <w:spacing w:val="26"/>
          <w:sz w:val="24"/>
        </w:rPr>
        <w:t> </w:t>
      </w:r>
      <w:r>
        <w:rPr>
          <w:spacing w:val="-3"/>
          <w:sz w:val="24"/>
        </w:rPr>
        <w:t>apoyo</w:t>
      </w:r>
      <w:r>
        <w:rPr>
          <w:spacing w:val="31"/>
          <w:sz w:val="24"/>
        </w:rPr>
        <w:t> </w:t>
      </w:r>
      <w:r>
        <w:rPr>
          <w:sz w:val="24"/>
        </w:rPr>
        <w:t>de</w:t>
      </w:r>
      <w:r>
        <w:rPr>
          <w:spacing w:val="21"/>
          <w:sz w:val="24"/>
        </w:rPr>
        <w:t> </w:t>
      </w:r>
      <w:r>
        <w:rPr>
          <w:sz w:val="24"/>
        </w:rPr>
        <w:t>85</w:t>
      </w:r>
      <w:r>
        <w:rPr>
          <w:spacing w:val="22"/>
          <w:sz w:val="24"/>
        </w:rPr>
        <w:t> </w:t>
      </w:r>
      <w:r>
        <w:rPr>
          <w:sz w:val="24"/>
        </w:rPr>
        <w:t>%</w:t>
      </w:r>
      <w:r>
        <w:rPr>
          <w:spacing w:val="23"/>
          <w:sz w:val="24"/>
        </w:rPr>
        <w:t> </w:t>
      </w:r>
      <w:r>
        <w:rPr>
          <w:sz w:val="24"/>
        </w:rPr>
        <w:t>(Fig.</w:t>
      </w:r>
      <w:r>
        <w:rPr>
          <w:spacing w:val="29"/>
          <w:sz w:val="24"/>
        </w:rPr>
        <w:t> </w:t>
      </w:r>
      <w:r>
        <w:rPr>
          <w:sz w:val="24"/>
        </w:rPr>
        <w:t>3).</w:t>
      </w:r>
      <w:r>
        <w:rPr>
          <w:spacing w:val="24"/>
          <w:sz w:val="24"/>
        </w:rPr>
        <w:t> </w:t>
      </w:r>
      <w:r>
        <w:rPr>
          <w:sz w:val="24"/>
        </w:rPr>
        <w:t>Con</w:t>
      </w:r>
      <w:r>
        <w:rPr>
          <w:spacing w:val="22"/>
          <w:sz w:val="24"/>
        </w:rPr>
        <w:t> </w:t>
      </w:r>
      <w:r>
        <w:rPr>
          <w:sz w:val="24"/>
        </w:rPr>
        <w:t>esta</w:t>
      </w:r>
      <w:r>
        <w:rPr>
          <w:spacing w:val="26"/>
          <w:sz w:val="24"/>
        </w:rPr>
        <w:t> </w:t>
      </w:r>
      <w:r>
        <w:rPr>
          <w:sz w:val="24"/>
        </w:rPr>
        <w:t>información,</w:t>
      </w:r>
      <w:r>
        <w:rPr>
          <w:spacing w:val="29"/>
          <w:sz w:val="24"/>
        </w:rPr>
        <w:t> </w:t>
      </w:r>
      <w:r>
        <w:rPr>
          <w:sz w:val="24"/>
        </w:rPr>
        <w:t>se</w:t>
      </w:r>
      <w:r>
        <w:rPr>
          <w:spacing w:val="26"/>
          <w:sz w:val="24"/>
        </w:rPr>
        <w:t> </w:t>
      </w:r>
      <w:r>
        <w:rPr>
          <w:sz w:val="24"/>
        </w:rPr>
        <w:t>elaboró</w:t>
      </w:r>
      <w:r>
        <w:rPr>
          <w:spacing w:val="26"/>
          <w:sz w:val="24"/>
        </w:rPr>
        <w:t> </w:t>
      </w:r>
      <w:r>
        <w:rPr>
          <w:sz w:val="24"/>
        </w:rPr>
        <w:t>una</w:t>
      </w:r>
      <w:r>
        <w:rPr>
          <w:spacing w:val="26"/>
          <w:sz w:val="24"/>
        </w:rPr>
        <w:t> </w:t>
      </w:r>
      <w:r>
        <w:rPr>
          <w:sz w:val="24"/>
        </w:rPr>
        <w:t>matriz</w:t>
      </w:r>
      <w:r>
        <w:rPr>
          <w:spacing w:val="38"/>
          <w:sz w:val="24"/>
        </w:rPr>
        <w:t> </w:t>
      </w:r>
      <w:r>
        <w:rPr>
          <w:sz w:val="24"/>
        </w:rPr>
        <w:t>de</w:t>
      </w:r>
    </w:p>
    <w:p>
      <w:pPr>
        <w:pStyle w:val="ListParagraph"/>
        <w:numPr>
          <w:ilvl w:val="0"/>
          <w:numId w:val="21"/>
        </w:numPr>
        <w:tabs>
          <w:tab w:pos="699" w:val="left" w:leader="none"/>
          <w:tab w:pos="700" w:val="left" w:leader="none"/>
        </w:tabs>
        <w:spacing w:line="240" w:lineRule="auto" w:before="129" w:after="0"/>
        <w:ind w:left="699" w:right="0" w:hanging="581"/>
        <w:jc w:val="left"/>
        <w:rPr>
          <w:sz w:val="24"/>
        </w:rPr>
      </w:pPr>
      <w:r>
        <w:rPr>
          <w:sz w:val="24"/>
        </w:rPr>
        <w:t>identidad</w:t>
      </w:r>
      <w:r>
        <w:rPr>
          <w:spacing w:val="46"/>
          <w:sz w:val="24"/>
        </w:rPr>
        <w:t> </w:t>
      </w:r>
      <w:r>
        <w:rPr>
          <w:sz w:val="24"/>
        </w:rPr>
        <w:t>de</w:t>
      </w:r>
      <w:r>
        <w:rPr>
          <w:spacing w:val="45"/>
          <w:sz w:val="24"/>
        </w:rPr>
        <w:t> </w:t>
      </w:r>
      <w:r>
        <w:rPr>
          <w:sz w:val="24"/>
        </w:rPr>
        <w:t>secuencias</w:t>
      </w:r>
      <w:r>
        <w:rPr>
          <w:spacing w:val="44"/>
          <w:sz w:val="24"/>
        </w:rPr>
        <w:t> </w:t>
      </w:r>
      <w:r>
        <w:rPr>
          <w:sz w:val="24"/>
        </w:rPr>
        <w:t>para</w:t>
      </w:r>
      <w:r>
        <w:rPr>
          <w:spacing w:val="45"/>
          <w:sz w:val="24"/>
        </w:rPr>
        <w:t> </w:t>
      </w:r>
      <w:r>
        <w:rPr>
          <w:sz w:val="24"/>
        </w:rPr>
        <w:t>estimar</w:t>
      </w:r>
      <w:r>
        <w:rPr>
          <w:spacing w:val="47"/>
          <w:sz w:val="24"/>
        </w:rPr>
        <w:t> </w:t>
      </w:r>
      <w:r>
        <w:rPr>
          <w:sz w:val="24"/>
        </w:rPr>
        <w:t>su</w:t>
      </w:r>
      <w:r>
        <w:rPr>
          <w:spacing w:val="46"/>
          <w:sz w:val="24"/>
        </w:rPr>
        <w:t> </w:t>
      </w:r>
      <w:r>
        <w:rPr>
          <w:sz w:val="24"/>
        </w:rPr>
        <w:t>divergencia</w:t>
      </w:r>
      <w:r>
        <w:rPr>
          <w:spacing w:val="45"/>
          <w:sz w:val="24"/>
        </w:rPr>
        <w:t> </w:t>
      </w:r>
      <w:r>
        <w:rPr>
          <w:sz w:val="24"/>
        </w:rPr>
        <w:t>evolutiva</w:t>
      </w:r>
      <w:r>
        <w:rPr>
          <w:spacing w:val="45"/>
          <w:sz w:val="24"/>
        </w:rPr>
        <w:t> </w:t>
      </w:r>
      <w:r>
        <w:rPr>
          <w:sz w:val="24"/>
        </w:rPr>
        <w:t>(Tabla</w:t>
      </w:r>
      <w:r>
        <w:rPr>
          <w:spacing w:val="45"/>
          <w:sz w:val="24"/>
        </w:rPr>
        <w:t> </w:t>
      </w:r>
      <w:r>
        <w:rPr>
          <w:sz w:val="24"/>
        </w:rPr>
        <w:t>3</w:t>
      </w:r>
      <w:r>
        <w:rPr>
          <w:spacing w:val="50"/>
          <w:sz w:val="24"/>
        </w:rPr>
        <w:t> </w:t>
      </w:r>
      <w:r>
        <w:rPr>
          <w:sz w:val="24"/>
        </w:rPr>
        <w:t>y</w:t>
      </w:r>
      <w:r>
        <w:rPr>
          <w:spacing w:val="41"/>
          <w:sz w:val="24"/>
        </w:rPr>
        <w:t> </w:t>
      </w:r>
      <w:r>
        <w:rPr>
          <w:sz w:val="24"/>
        </w:rPr>
        <w:t>Tabla</w:t>
      </w:r>
      <w:r>
        <w:rPr>
          <w:spacing w:val="45"/>
          <w:sz w:val="24"/>
        </w:rPr>
        <w:t> </w:t>
      </w:r>
      <w:r>
        <w:rPr>
          <w:sz w:val="24"/>
        </w:rPr>
        <w:t>4).  La</w:t>
      </w:r>
    </w:p>
    <w:p>
      <w:pPr>
        <w:pStyle w:val="ListParagraph"/>
        <w:numPr>
          <w:ilvl w:val="0"/>
          <w:numId w:val="21"/>
        </w:numPr>
        <w:tabs>
          <w:tab w:pos="699" w:val="left" w:leader="none"/>
          <w:tab w:pos="700" w:val="left" w:leader="none"/>
        </w:tabs>
        <w:spacing w:line="240" w:lineRule="auto" w:before="129" w:after="0"/>
        <w:ind w:left="699" w:right="0" w:hanging="581"/>
        <w:jc w:val="left"/>
        <w:rPr>
          <w:sz w:val="24"/>
        </w:rPr>
      </w:pPr>
      <w:r>
        <w:rPr>
          <w:sz w:val="24"/>
        </w:rPr>
        <w:t>comparación de </w:t>
      </w:r>
      <w:r>
        <w:rPr>
          <w:spacing w:val="-3"/>
          <w:sz w:val="24"/>
        </w:rPr>
        <w:t>las </w:t>
      </w:r>
      <w:r>
        <w:rPr>
          <w:sz w:val="24"/>
        </w:rPr>
        <w:t>secuencias del gen 16S e ITS-1 de </w:t>
      </w:r>
      <w:r>
        <w:rPr>
          <w:i/>
          <w:sz w:val="24"/>
        </w:rPr>
        <w:t>Francisella </w:t>
      </w:r>
      <w:r>
        <w:rPr>
          <w:sz w:val="24"/>
        </w:rPr>
        <w:t>descrita en este </w:t>
      </w:r>
      <w:r>
        <w:rPr>
          <w:spacing w:val="49"/>
          <w:sz w:val="24"/>
        </w:rPr>
        <w:t> </w:t>
      </w:r>
      <w:r>
        <w:rPr>
          <w:sz w:val="24"/>
        </w:rPr>
        <w:t>estudio,</w:t>
      </w:r>
    </w:p>
    <w:p>
      <w:pPr>
        <w:pStyle w:val="ListParagraph"/>
        <w:numPr>
          <w:ilvl w:val="0"/>
          <w:numId w:val="21"/>
        </w:numPr>
        <w:tabs>
          <w:tab w:pos="699" w:val="left" w:leader="none"/>
          <w:tab w:pos="700" w:val="left" w:leader="none"/>
        </w:tabs>
        <w:spacing w:line="240" w:lineRule="auto" w:before="129" w:after="0"/>
        <w:ind w:left="699" w:right="0" w:hanging="581"/>
        <w:jc w:val="left"/>
        <w:rPr>
          <w:i/>
          <w:sz w:val="24"/>
        </w:rPr>
      </w:pPr>
      <w:r>
        <w:rPr>
          <w:sz w:val="24"/>
        </w:rPr>
        <w:t>muestran</w:t>
      </w:r>
      <w:r>
        <w:rPr>
          <w:spacing w:val="14"/>
          <w:sz w:val="24"/>
        </w:rPr>
        <w:t> </w:t>
      </w:r>
      <w:r>
        <w:rPr>
          <w:sz w:val="24"/>
        </w:rPr>
        <w:t>que</w:t>
      </w:r>
      <w:r>
        <w:rPr>
          <w:spacing w:val="18"/>
          <w:sz w:val="24"/>
        </w:rPr>
        <w:t> </w:t>
      </w:r>
      <w:r>
        <w:rPr>
          <w:spacing w:val="-3"/>
          <w:sz w:val="24"/>
        </w:rPr>
        <w:t>no</w:t>
      </w:r>
      <w:r>
        <w:rPr>
          <w:spacing w:val="23"/>
          <w:sz w:val="24"/>
        </w:rPr>
        <w:t> </w:t>
      </w:r>
      <w:r>
        <w:rPr>
          <w:sz w:val="24"/>
        </w:rPr>
        <w:t>existen</w:t>
      </w:r>
      <w:r>
        <w:rPr>
          <w:spacing w:val="14"/>
          <w:sz w:val="24"/>
        </w:rPr>
        <w:t> </w:t>
      </w:r>
      <w:r>
        <w:rPr>
          <w:sz w:val="24"/>
        </w:rPr>
        <w:t>diferencias</w:t>
      </w:r>
      <w:r>
        <w:rPr>
          <w:spacing w:val="17"/>
          <w:sz w:val="24"/>
        </w:rPr>
        <w:t> </w:t>
      </w:r>
      <w:r>
        <w:rPr>
          <w:sz w:val="24"/>
        </w:rPr>
        <w:t>con</w:t>
      </w:r>
      <w:r>
        <w:rPr>
          <w:spacing w:val="19"/>
          <w:sz w:val="24"/>
        </w:rPr>
        <w:t> </w:t>
      </w:r>
      <w:r>
        <w:rPr>
          <w:sz w:val="24"/>
        </w:rPr>
        <w:t>las</w:t>
      </w:r>
      <w:r>
        <w:rPr>
          <w:spacing w:val="17"/>
          <w:sz w:val="24"/>
        </w:rPr>
        <w:t> </w:t>
      </w:r>
      <w:r>
        <w:rPr>
          <w:sz w:val="24"/>
        </w:rPr>
        <w:t>regiones</w:t>
      </w:r>
      <w:r>
        <w:rPr>
          <w:spacing w:val="17"/>
          <w:sz w:val="24"/>
        </w:rPr>
        <w:t> </w:t>
      </w:r>
      <w:r>
        <w:rPr>
          <w:sz w:val="24"/>
        </w:rPr>
        <w:t>analizadas</w:t>
      </w:r>
      <w:r>
        <w:rPr>
          <w:spacing w:val="17"/>
          <w:sz w:val="24"/>
        </w:rPr>
        <w:t> </w:t>
      </w:r>
      <w:r>
        <w:rPr>
          <w:sz w:val="24"/>
        </w:rPr>
        <w:t>en</w:t>
      </w:r>
      <w:r>
        <w:rPr>
          <w:spacing w:val="19"/>
          <w:sz w:val="24"/>
        </w:rPr>
        <w:t> </w:t>
      </w:r>
      <w:r>
        <w:rPr>
          <w:spacing w:val="-3"/>
          <w:sz w:val="24"/>
        </w:rPr>
        <w:t>la</w:t>
      </w:r>
      <w:r>
        <w:rPr>
          <w:spacing w:val="18"/>
          <w:sz w:val="24"/>
        </w:rPr>
        <w:t> </w:t>
      </w:r>
      <w:r>
        <w:rPr>
          <w:sz w:val="24"/>
        </w:rPr>
        <w:t>cepa</w:t>
      </w:r>
      <w:r>
        <w:rPr>
          <w:spacing w:val="28"/>
          <w:sz w:val="24"/>
        </w:rPr>
        <w:t> </w:t>
      </w:r>
      <w:r>
        <w:rPr>
          <w:sz w:val="24"/>
        </w:rPr>
        <w:t>de</w:t>
      </w:r>
      <w:r>
        <w:rPr>
          <w:spacing w:val="18"/>
          <w:sz w:val="24"/>
        </w:rPr>
        <w:t> </w:t>
      </w:r>
      <w:r>
        <w:rPr>
          <w:i/>
          <w:sz w:val="24"/>
        </w:rPr>
        <w:t>Francisella</w:t>
      </w:r>
    </w:p>
    <w:p>
      <w:pPr>
        <w:pStyle w:val="ListParagraph"/>
        <w:numPr>
          <w:ilvl w:val="0"/>
          <w:numId w:val="21"/>
        </w:numPr>
        <w:tabs>
          <w:tab w:pos="699" w:val="left" w:leader="none"/>
          <w:tab w:pos="700" w:val="left" w:leader="none"/>
        </w:tabs>
        <w:spacing w:line="240" w:lineRule="auto" w:before="125" w:after="0"/>
        <w:ind w:left="699" w:right="0" w:hanging="581"/>
        <w:jc w:val="left"/>
        <w:rPr>
          <w:sz w:val="24"/>
        </w:rPr>
      </w:pPr>
      <w:r>
        <w:rPr>
          <w:i/>
          <w:sz w:val="24"/>
        </w:rPr>
        <w:t>noatunensis subsp. orientalis</w:t>
      </w:r>
      <w:r>
        <w:rPr>
          <w:sz w:val="24"/>
        </w:rPr>
        <w:t>, con un 100% de identidad (Tabla 3 y Tabla</w:t>
      </w:r>
      <w:r>
        <w:rPr>
          <w:spacing w:val="-24"/>
          <w:sz w:val="24"/>
        </w:rPr>
        <w:t> </w:t>
      </w:r>
      <w:r>
        <w:rPr>
          <w:sz w:val="24"/>
        </w:rPr>
        <w:t>4).</w:t>
      </w:r>
    </w:p>
    <w:p>
      <w:pPr>
        <w:pStyle w:val="BodyText"/>
        <w:spacing w:before="2"/>
        <w:rPr>
          <w:rFonts w:ascii="Times New Roman"/>
          <w:sz w:val="23"/>
        </w:rPr>
      </w:pPr>
    </w:p>
    <w:p>
      <w:pPr>
        <w:pStyle w:val="Heading1"/>
        <w:numPr>
          <w:ilvl w:val="0"/>
          <w:numId w:val="21"/>
        </w:numPr>
        <w:tabs>
          <w:tab w:pos="699" w:val="left" w:leader="none"/>
          <w:tab w:pos="700" w:val="left" w:leader="none"/>
        </w:tabs>
        <w:spacing w:line="240" w:lineRule="auto" w:before="69" w:after="0"/>
        <w:ind w:left="699" w:right="0" w:hanging="581"/>
        <w:jc w:val="left"/>
        <w:rPr>
          <w:rFonts w:ascii="Times New Roman"/>
        </w:rPr>
      </w:pPr>
      <w:r>
        <w:rPr>
          <w:rFonts w:ascii="Times New Roman"/>
        </w:rPr>
        <w:t>PCR tiempo</w:t>
      </w:r>
      <w:r>
        <w:rPr>
          <w:rFonts w:ascii="Times New Roman"/>
          <w:spacing w:val="-7"/>
        </w:rPr>
        <w:t> </w:t>
      </w:r>
      <w:r>
        <w:rPr>
          <w:rFonts w:ascii="Times New Roman"/>
        </w:rPr>
        <w:t>real</w:t>
      </w:r>
    </w:p>
    <w:p>
      <w:pPr>
        <w:pStyle w:val="BodyText"/>
        <w:spacing w:before="9"/>
        <w:rPr>
          <w:rFonts w:ascii="Times New Roman"/>
          <w:b/>
          <w:sz w:val="22"/>
        </w:rPr>
      </w:pPr>
    </w:p>
    <w:p>
      <w:pPr>
        <w:pStyle w:val="ListParagraph"/>
        <w:numPr>
          <w:ilvl w:val="0"/>
          <w:numId w:val="21"/>
        </w:numPr>
        <w:tabs>
          <w:tab w:pos="1405" w:val="left" w:leader="none"/>
          <w:tab w:pos="1406" w:val="left" w:leader="none"/>
        </w:tabs>
        <w:spacing w:line="240" w:lineRule="auto" w:before="69" w:after="0"/>
        <w:ind w:left="1405" w:right="0" w:hanging="1287"/>
        <w:jc w:val="left"/>
        <w:rPr>
          <w:i/>
          <w:sz w:val="24"/>
        </w:rPr>
      </w:pPr>
      <w:r>
        <w:rPr>
          <w:sz w:val="24"/>
        </w:rPr>
        <w:t>De  </w:t>
      </w:r>
      <w:r>
        <w:rPr>
          <w:spacing w:val="-3"/>
          <w:sz w:val="24"/>
        </w:rPr>
        <w:t>las  </w:t>
      </w:r>
      <w:r>
        <w:rPr>
          <w:sz w:val="24"/>
        </w:rPr>
        <w:t>muestras  para  confirmar  </w:t>
      </w:r>
      <w:r>
        <w:rPr>
          <w:spacing w:val="-5"/>
          <w:sz w:val="24"/>
        </w:rPr>
        <w:t>la  </w:t>
      </w:r>
      <w:r>
        <w:rPr>
          <w:sz w:val="24"/>
        </w:rPr>
        <w:t>presencia  de  </w:t>
      </w:r>
      <w:r>
        <w:rPr>
          <w:i/>
          <w:sz w:val="24"/>
        </w:rPr>
        <w:t>Francisella  noatunensis </w:t>
      </w:r>
      <w:r>
        <w:rPr>
          <w:i/>
          <w:spacing w:val="14"/>
          <w:sz w:val="24"/>
        </w:rPr>
        <w:t> </w:t>
      </w:r>
      <w:r>
        <w:rPr>
          <w:sz w:val="24"/>
        </w:rPr>
        <w:t>subsp</w:t>
      </w:r>
      <w:r>
        <w:rPr>
          <w:i/>
          <w:sz w:val="24"/>
        </w:rPr>
        <w:t>.</w:t>
      </w:r>
    </w:p>
    <w:p>
      <w:pPr>
        <w:pStyle w:val="ListParagraph"/>
        <w:numPr>
          <w:ilvl w:val="0"/>
          <w:numId w:val="21"/>
        </w:numPr>
        <w:tabs>
          <w:tab w:pos="699" w:val="left" w:leader="none"/>
          <w:tab w:pos="700" w:val="left" w:leader="none"/>
        </w:tabs>
        <w:spacing w:line="240" w:lineRule="auto" w:before="135" w:after="0"/>
        <w:ind w:left="699" w:right="0" w:hanging="581"/>
        <w:jc w:val="left"/>
        <w:rPr>
          <w:sz w:val="24"/>
        </w:rPr>
      </w:pPr>
      <w:r>
        <w:rPr>
          <w:i/>
          <w:sz w:val="24"/>
        </w:rPr>
        <w:t>orientalis</w:t>
      </w:r>
      <w:r>
        <w:rPr>
          <w:i/>
          <w:spacing w:val="25"/>
          <w:sz w:val="24"/>
        </w:rPr>
        <w:t> </w:t>
      </w:r>
      <w:r>
        <w:rPr>
          <w:sz w:val="24"/>
        </w:rPr>
        <w:t>mediante</w:t>
      </w:r>
      <w:r>
        <w:rPr>
          <w:spacing w:val="26"/>
          <w:sz w:val="24"/>
        </w:rPr>
        <w:t> </w:t>
      </w:r>
      <w:r>
        <w:rPr>
          <w:sz w:val="24"/>
        </w:rPr>
        <w:t>los</w:t>
      </w:r>
      <w:r>
        <w:rPr>
          <w:spacing w:val="20"/>
          <w:sz w:val="24"/>
        </w:rPr>
        <w:t> </w:t>
      </w:r>
      <w:r>
        <w:rPr>
          <w:sz w:val="24"/>
        </w:rPr>
        <w:t>partidores</w:t>
      </w:r>
      <w:r>
        <w:rPr>
          <w:spacing w:val="20"/>
          <w:sz w:val="24"/>
        </w:rPr>
        <w:t> </w:t>
      </w:r>
      <w:r>
        <w:rPr>
          <w:sz w:val="24"/>
        </w:rPr>
        <w:t>específicos</w:t>
      </w:r>
      <w:r>
        <w:rPr>
          <w:spacing w:val="20"/>
          <w:sz w:val="24"/>
        </w:rPr>
        <w:t> </w:t>
      </w:r>
      <w:r>
        <w:rPr>
          <w:sz w:val="24"/>
        </w:rPr>
        <w:t>para</w:t>
      </w:r>
      <w:r>
        <w:rPr>
          <w:spacing w:val="21"/>
          <w:sz w:val="24"/>
        </w:rPr>
        <w:t> </w:t>
      </w:r>
      <w:r>
        <w:rPr>
          <w:sz w:val="24"/>
        </w:rPr>
        <w:t>amplificar</w:t>
      </w:r>
      <w:r>
        <w:rPr>
          <w:spacing w:val="23"/>
          <w:sz w:val="24"/>
        </w:rPr>
        <w:t> </w:t>
      </w:r>
      <w:r>
        <w:rPr>
          <w:sz w:val="24"/>
        </w:rPr>
        <w:t>el</w:t>
      </w:r>
      <w:r>
        <w:rPr>
          <w:spacing w:val="13"/>
          <w:sz w:val="24"/>
        </w:rPr>
        <w:t> </w:t>
      </w:r>
      <w:r>
        <w:rPr>
          <w:sz w:val="24"/>
        </w:rPr>
        <w:t>gen</w:t>
      </w:r>
      <w:r>
        <w:rPr>
          <w:spacing w:val="25"/>
          <w:sz w:val="24"/>
        </w:rPr>
        <w:t> </w:t>
      </w:r>
      <w:r>
        <w:rPr>
          <w:i/>
          <w:sz w:val="24"/>
        </w:rPr>
        <w:t>igl</w:t>
      </w:r>
      <w:r>
        <w:rPr>
          <w:sz w:val="24"/>
        </w:rPr>
        <w:t>C</w:t>
      </w:r>
      <w:r>
        <w:rPr>
          <w:spacing w:val="20"/>
          <w:sz w:val="24"/>
        </w:rPr>
        <w:t> </w:t>
      </w:r>
      <w:r>
        <w:rPr>
          <w:sz w:val="24"/>
        </w:rPr>
        <w:t>presente</w:t>
      </w:r>
      <w:r>
        <w:rPr>
          <w:spacing w:val="21"/>
          <w:sz w:val="24"/>
        </w:rPr>
        <w:t> </w:t>
      </w:r>
      <w:r>
        <w:rPr>
          <w:sz w:val="24"/>
        </w:rPr>
        <w:t>en</w:t>
      </w:r>
      <w:r>
        <w:rPr>
          <w:spacing w:val="17"/>
          <w:sz w:val="24"/>
        </w:rPr>
        <w:t> </w:t>
      </w:r>
      <w:r>
        <w:rPr>
          <w:sz w:val="24"/>
        </w:rPr>
        <w:t>esta</w:t>
      </w:r>
    </w:p>
    <w:p>
      <w:pPr>
        <w:spacing w:after="0" w:line="240" w:lineRule="auto"/>
        <w:jc w:val="left"/>
        <w:rPr>
          <w:sz w:val="24"/>
        </w:rPr>
        <w:sectPr>
          <w:pgSz w:w="12240" w:h="15840"/>
          <w:pgMar w:header="752" w:footer="1003" w:top="1000" w:bottom="1200" w:left="1000" w:right="1560"/>
        </w:sectPr>
      </w:pPr>
    </w:p>
    <w:p>
      <w:pPr>
        <w:pStyle w:val="BodyText"/>
        <w:spacing w:before="8"/>
        <w:rPr>
          <w:rFonts w:ascii="Times New Roman"/>
          <w:sz w:val="28"/>
        </w:rPr>
      </w:pPr>
    </w:p>
    <w:p>
      <w:pPr>
        <w:pStyle w:val="ListParagraph"/>
        <w:numPr>
          <w:ilvl w:val="0"/>
          <w:numId w:val="22"/>
        </w:numPr>
        <w:tabs>
          <w:tab w:pos="699" w:val="left" w:leader="none"/>
          <w:tab w:pos="700" w:val="left" w:leader="none"/>
        </w:tabs>
        <w:spacing w:line="240" w:lineRule="auto" w:before="70" w:after="0"/>
        <w:ind w:left="699" w:right="0" w:hanging="470"/>
        <w:jc w:val="left"/>
        <w:rPr>
          <w:sz w:val="24"/>
        </w:rPr>
      </w:pPr>
      <w:r>
        <w:rPr>
          <w:sz w:val="24"/>
        </w:rPr>
        <w:t>especie,</w:t>
      </w:r>
      <w:r>
        <w:rPr>
          <w:spacing w:val="-9"/>
          <w:sz w:val="24"/>
        </w:rPr>
        <w:t> </w:t>
      </w:r>
      <w:r>
        <w:rPr>
          <w:sz w:val="24"/>
        </w:rPr>
        <w:t>obteniéndose</w:t>
      </w:r>
      <w:r>
        <w:rPr>
          <w:spacing w:val="-12"/>
          <w:sz w:val="24"/>
        </w:rPr>
        <w:t> </w:t>
      </w:r>
      <w:r>
        <w:rPr>
          <w:sz w:val="24"/>
        </w:rPr>
        <w:t>valores</w:t>
      </w:r>
      <w:r>
        <w:rPr>
          <w:spacing w:val="-13"/>
          <w:sz w:val="24"/>
        </w:rPr>
        <w:t> </w:t>
      </w:r>
      <w:r>
        <w:rPr>
          <w:sz w:val="24"/>
        </w:rPr>
        <w:t>de</w:t>
      </w:r>
      <w:r>
        <w:rPr>
          <w:spacing w:val="-12"/>
          <w:sz w:val="24"/>
        </w:rPr>
        <w:t> </w:t>
      </w:r>
      <w:r>
        <w:rPr>
          <w:sz w:val="24"/>
        </w:rPr>
        <w:t>Ct</w:t>
      </w:r>
      <w:r>
        <w:rPr>
          <w:spacing w:val="39"/>
          <w:sz w:val="24"/>
        </w:rPr>
        <w:t> </w:t>
      </w:r>
      <w:r>
        <w:rPr>
          <w:sz w:val="24"/>
        </w:rPr>
        <w:t>entre</w:t>
      </w:r>
      <w:r>
        <w:rPr>
          <w:spacing w:val="-12"/>
          <w:sz w:val="24"/>
        </w:rPr>
        <w:t> </w:t>
      </w:r>
      <w:r>
        <w:rPr>
          <w:sz w:val="24"/>
        </w:rPr>
        <w:t>16-20</w:t>
      </w:r>
      <w:r>
        <w:rPr>
          <w:spacing w:val="-11"/>
          <w:sz w:val="24"/>
        </w:rPr>
        <w:t> </w:t>
      </w:r>
      <w:r>
        <w:rPr>
          <w:sz w:val="24"/>
        </w:rPr>
        <w:t>para</w:t>
      </w:r>
      <w:r>
        <w:rPr>
          <w:spacing w:val="-12"/>
          <w:sz w:val="24"/>
        </w:rPr>
        <w:t> </w:t>
      </w:r>
      <w:r>
        <w:rPr>
          <w:spacing w:val="-3"/>
          <w:sz w:val="24"/>
        </w:rPr>
        <w:t>las</w:t>
      </w:r>
      <w:r>
        <w:rPr>
          <w:spacing w:val="-13"/>
          <w:sz w:val="24"/>
        </w:rPr>
        <w:t> </w:t>
      </w:r>
      <w:r>
        <w:rPr>
          <w:sz w:val="24"/>
        </w:rPr>
        <w:t>colonias</w:t>
      </w:r>
      <w:r>
        <w:rPr>
          <w:spacing w:val="-9"/>
          <w:sz w:val="24"/>
        </w:rPr>
        <w:t> </w:t>
      </w:r>
      <w:r>
        <w:rPr>
          <w:sz w:val="24"/>
        </w:rPr>
        <w:t>y</w:t>
      </w:r>
      <w:r>
        <w:rPr>
          <w:spacing w:val="-20"/>
          <w:sz w:val="24"/>
        </w:rPr>
        <w:t> </w:t>
      </w:r>
      <w:r>
        <w:rPr>
          <w:sz w:val="24"/>
        </w:rPr>
        <w:t>para</w:t>
      </w:r>
      <w:r>
        <w:rPr>
          <w:spacing w:val="-8"/>
          <w:sz w:val="24"/>
        </w:rPr>
        <w:t> </w:t>
      </w:r>
      <w:r>
        <w:rPr>
          <w:sz w:val="24"/>
        </w:rPr>
        <w:t>las</w:t>
      </w:r>
      <w:r>
        <w:rPr>
          <w:spacing w:val="-9"/>
          <w:sz w:val="24"/>
        </w:rPr>
        <w:t> </w:t>
      </w:r>
      <w:r>
        <w:rPr>
          <w:sz w:val="24"/>
        </w:rPr>
        <w:t>muestras</w:t>
      </w:r>
      <w:r>
        <w:rPr>
          <w:spacing w:val="-13"/>
          <w:sz w:val="24"/>
        </w:rPr>
        <w:t> </w:t>
      </w:r>
      <w:r>
        <w:rPr>
          <w:sz w:val="24"/>
        </w:rPr>
        <w:t>de</w:t>
      </w:r>
      <w:r>
        <w:rPr>
          <w:spacing w:val="-12"/>
          <w:sz w:val="24"/>
        </w:rPr>
        <w:t> </w:t>
      </w:r>
      <w:r>
        <w:rPr>
          <w:sz w:val="24"/>
        </w:rPr>
        <w:t>bazo</w:t>
      </w:r>
    </w:p>
    <w:p>
      <w:pPr>
        <w:pStyle w:val="ListParagraph"/>
        <w:numPr>
          <w:ilvl w:val="0"/>
          <w:numId w:val="22"/>
        </w:numPr>
        <w:tabs>
          <w:tab w:pos="699" w:val="left" w:leader="none"/>
          <w:tab w:pos="700" w:val="left" w:leader="none"/>
        </w:tabs>
        <w:spacing w:line="240" w:lineRule="auto" w:before="134" w:after="0"/>
        <w:ind w:left="699" w:right="0" w:hanging="470"/>
        <w:jc w:val="left"/>
        <w:rPr>
          <w:sz w:val="24"/>
        </w:rPr>
      </w:pPr>
      <w:r>
        <w:rPr>
          <w:sz w:val="24"/>
        </w:rPr>
        <w:t>con lesiones granulomatosas el Ct  </w:t>
      </w:r>
      <w:r>
        <w:rPr>
          <w:spacing w:val="-3"/>
          <w:sz w:val="24"/>
        </w:rPr>
        <w:t>fue  </w:t>
      </w:r>
      <w:r>
        <w:rPr>
          <w:sz w:val="24"/>
        </w:rPr>
        <w:t>entre 26-30. Asimismo, cada reacción originó   </w:t>
      </w:r>
      <w:r>
        <w:rPr>
          <w:spacing w:val="27"/>
          <w:sz w:val="24"/>
        </w:rPr>
        <w:t> </w:t>
      </w:r>
      <w:r>
        <w:rPr>
          <w:sz w:val="24"/>
        </w:rPr>
        <w:t>una</w:t>
      </w:r>
    </w:p>
    <w:p>
      <w:pPr>
        <w:pStyle w:val="ListParagraph"/>
        <w:numPr>
          <w:ilvl w:val="0"/>
          <w:numId w:val="22"/>
        </w:numPr>
        <w:tabs>
          <w:tab w:pos="699" w:val="left" w:leader="none"/>
          <w:tab w:pos="700" w:val="left" w:leader="none"/>
        </w:tabs>
        <w:spacing w:line="240" w:lineRule="auto" w:before="129" w:after="0"/>
        <w:ind w:left="699" w:right="0" w:hanging="470"/>
        <w:jc w:val="left"/>
        <w:rPr>
          <w:sz w:val="24"/>
        </w:rPr>
      </w:pPr>
      <w:r>
        <w:rPr>
          <w:sz w:val="24"/>
        </w:rPr>
        <w:t>única curva de </w:t>
      </w:r>
      <w:r>
        <w:rPr>
          <w:spacing w:val="-3"/>
          <w:sz w:val="24"/>
        </w:rPr>
        <w:t>melting </w:t>
      </w:r>
      <w:r>
        <w:rPr>
          <w:sz w:val="24"/>
        </w:rPr>
        <w:t>(dato </w:t>
      </w:r>
      <w:r>
        <w:rPr>
          <w:spacing w:val="-3"/>
          <w:sz w:val="24"/>
        </w:rPr>
        <w:t>no </w:t>
      </w:r>
      <w:r>
        <w:rPr>
          <w:sz w:val="24"/>
        </w:rPr>
        <w:t>mostrado), reflejando en un producto específico de 100  </w:t>
      </w:r>
      <w:r>
        <w:rPr>
          <w:spacing w:val="12"/>
          <w:sz w:val="24"/>
        </w:rPr>
        <w:t> </w:t>
      </w:r>
      <w:r>
        <w:rPr>
          <w:sz w:val="24"/>
        </w:rPr>
        <w:t>pb</w:t>
      </w:r>
    </w:p>
    <w:p>
      <w:pPr>
        <w:pStyle w:val="ListParagraph"/>
        <w:numPr>
          <w:ilvl w:val="0"/>
          <w:numId w:val="22"/>
        </w:numPr>
        <w:tabs>
          <w:tab w:pos="699" w:val="left" w:leader="none"/>
          <w:tab w:pos="700" w:val="left" w:leader="none"/>
        </w:tabs>
        <w:spacing w:line="240" w:lineRule="auto" w:before="130" w:after="0"/>
        <w:ind w:left="699" w:right="0" w:hanging="470"/>
        <w:jc w:val="left"/>
        <w:rPr>
          <w:sz w:val="24"/>
        </w:rPr>
      </w:pPr>
      <w:r>
        <w:rPr>
          <w:sz w:val="24"/>
        </w:rPr>
        <w:t>en</w:t>
      </w:r>
      <w:r>
        <w:rPr>
          <w:spacing w:val="-12"/>
          <w:sz w:val="24"/>
        </w:rPr>
        <w:t> </w:t>
      </w:r>
      <w:r>
        <w:rPr>
          <w:sz w:val="24"/>
        </w:rPr>
        <w:t>gel</w:t>
      </w:r>
      <w:r>
        <w:rPr>
          <w:spacing w:val="-16"/>
          <w:sz w:val="24"/>
        </w:rPr>
        <w:t> </w:t>
      </w:r>
      <w:r>
        <w:rPr>
          <w:sz w:val="24"/>
        </w:rPr>
        <w:t>de</w:t>
      </w:r>
      <w:r>
        <w:rPr>
          <w:spacing w:val="-8"/>
          <w:sz w:val="24"/>
        </w:rPr>
        <w:t> </w:t>
      </w:r>
      <w:r>
        <w:rPr>
          <w:sz w:val="24"/>
        </w:rPr>
        <w:t>agarosa</w:t>
      </w:r>
      <w:r>
        <w:rPr>
          <w:spacing w:val="-8"/>
          <w:sz w:val="24"/>
        </w:rPr>
        <w:t> </w:t>
      </w:r>
      <w:r>
        <w:rPr>
          <w:sz w:val="24"/>
        </w:rPr>
        <w:t>al</w:t>
      </w:r>
      <w:r>
        <w:rPr>
          <w:spacing w:val="-16"/>
          <w:sz w:val="24"/>
        </w:rPr>
        <w:t> </w:t>
      </w:r>
      <w:r>
        <w:rPr>
          <w:sz w:val="24"/>
        </w:rPr>
        <w:t>1.5%</w:t>
      </w:r>
      <w:r>
        <w:rPr>
          <w:spacing w:val="-10"/>
          <w:sz w:val="24"/>
        </w:rPr>
        <w:t> </w:t>
      </w:r>
      <w:r>
        <w:rPr>
          <w:sz w:val="24"/>
        </w:rPr>
        <w:t>(Figura</w:t>
      </w:r>
      <w:r>
        <w:rPr>
          <w:spacing w:val="-8"/>
          <w:sz w:val="24"/>
        </w:rPr>
        <w:t> </w:t>
      </w:r>
      <w:r>
        <w:rPr>
          <w:sz w:val="24"/>
        </w:rPr>
        <w:t>4A),</w:t>
      </w:r>
      <w:r>
        <w:rPr>
          <w:spacing w:val="-6"/>
          <w:sz w:val="24"/>
        </w:rPr>
        <w:t> </w:t>
      </w:r>
      <w:r>
        <w:rPr>
          <w:sz w:val="24"/>
        </w:rPr>
        <w:t>cuya</w:t>
      </w:r>
      <w:r>
        <w:rPr>
          <w:spacing w:val="-8"/>
          <w:sz w:val="24"/>
        </w:rPr>
        <w:t> </w:t>
      </w:r>
      <w:r>
        <w:rPr>
          <w:sz w:val="24"/>
        </w:rPr>
        <w:t>secuencia</w:t>
      </w:r>
      <w:r>
        <w:rPr>
          <w:spacing w:val="-4"/>
          <w:sz w:val="24"/>
        </w:rPr>
        <w:t> </w:t>
      </w:r>
      <w:r>
        <w:rPr>
          <w:sz w:val="24"/>
        </w:rPr>
        <w:t>nucleotídica</w:t>
      </w:r>
      <w:r>
        <w:rPr>
          <w:spacing w:val="-8"/>
          <w:sz w:val="24"/>
        </w:rPr>
        <w:t> </w:t>
      </w:r>
      <w:r>
        <w:rPr>
          <w:sz w:val="24"/>
        </w:rPr>
        <w:t>tanto</w:t>
      </w:r>
      <w:r>
        <w:rPr>
          <w:spacing w:val="-3"/>
          <w:sz w:val="24"/>
        </w:rPr>
        <w:t> </w:t>
      </w:r>
      <w:r>
        <w:rPr>
          <w:sz w:val="24"/>
        </w:rPr>
        <w:t>para</w:t>
      </w:r>
      <w:r>
        <w:rPr>
          <w:spacing w:val="-8"/>
          <w:sz w:val="24"/>
        </w:rPr>
        <w:t> </w:t>
      </w:r>
      <w:r>
        <w:rPr>
          <w:sz w:val="24"/>
        </w:rPr>
        <w:t>colonias</w:t>
      </w:r>
      <w:r>
        <w:rPr>
          <w:spacing w:val="-9"/>
          <w:sz w:val="24"/>
        </w:rPr>
        <w:t> </w:t>
      </w:r>
      <w:r>
        <w:rPr>
          <w:sz w:val="24"/>
        </w:rPr>
        <w:t>como</w:t>
      </w:r>
    </w:p>
    <w:p>
      <w:pPr>
        <w:pStyle w:val="ListParagraph"/>
        <w:numPr>
          <w:ilvl w:val="0"/>
          <w:numId w:val="22"/>
        </w:numPr>
        <w:tabs>
          <w:tab w:pos="699" w:val="left" w:leader="none"/>
          <w:tab w:pos="700" w:val="left" w:leader="none"/>
        </w:tabs>
        <w:spacing w:line="240" w:lineRule="auto" w:before="129" w:after="0"/>
        <w:ind w:left="699" w:right="0" w:hanging="470"/>
        <w:jc w:val="left"/>
        <w:rPr>
          <w:i/>
          <w:sz w:val="24"/>
        </w:rPr>
      </w:pPr>
      <w:r>
        <w:rPr>
          <w:sz w:val="24"/>
        </w:rPr>
        <w:t>para</w:t>
      </w:r>
      <w:r>
        <w:rPr>
          <w:spacing w:val="12"/>
          <w:sz w:val="24"/>
        </w:rPr>
        <w:t> </w:t>
      </w:r>
      <w:r>
        <w:rPr>
          <w:sz w:val="24"/>
        </w:rPr>
        <w:t>tejido</w:t>
      </w:r>
      <w:r>
        <w:rPr>
          <w:spacing w:val="22"/>
          <w:sz w:val="24"/>
        </w:rPr>
        <w:t> </w:t>
      </w:r>
      <w:r>
        <w:rPr>
          <w:sz w:val="24"/>
        </w:rPr>
        <w:t>infectado,</w:t>
      </w:r>
      <w:r>
        <w:rPr>
          <w:spacing w:val="15"/>
          <w:sz w:val="24"/>
        </w:rPr>
        <w:t> </w:t>
      </w:r>
      <w:r>
        <w:rPr>
          <w:sz w:val="24"/>
        </w:rPr>
        <w:t>mostró</w:t>
      </w:r>
      <w:r>
        <w:rPr>
          <w:spacing w:val="18"/>
          <w:sz w:val="24"/>
        </w:rPr>
        <w:t> </w:t>
      </w:r>
      <w:r>
        <w:rPr>
          <w:sz w:val="24"/>
        </w:rPr>
        <w:t>un</w:t>
      </w:r>
      <w:r>
        <w:rPr>
          <w:spacing w:val="13"/>
          <w:sz w:val="24"/>
        </w:rPr>
        <w:t> </w:t>
      </w:r>
      <w:r>
        <w:rPr>
          <w:sz w:val="24"/>
        </w:rPr>
        <w:t>100%</w:t>
      </w:r>
      <w:r>
        <w:rPr>
          <w:spacing w:val="19"/>
          <w:sz w:val="24"/>
        </w:rPr>
        <w:t> </w:t>
      </w:r>
      <w:r>
        <w:rPr>
          <w:sz w:val="24"/>
        </w:rPr>
        <w:t>de</w:t>
      </w:r>
      <w:r>
        <w:rPr>
          <w:spacing w:val="12"/>
          <w:sz w:val="24"/>
        </w:rPr>
        <w:t> </w:t>
      </w:r>
      <w:r>
        <w:rPr>
          <w:sz w:val="24"/>
        </w:rPr>
        <w:t>identidad</w:t>
      </w:r>
      <w:r>
        <w:rPr>
          <w:spacing w:val="18"/>
          <w:sz w:val="24"/>
        </w:rPr>
        <w:t> </w:t>
      </w:r>
      <w:r>
        <w:rPr>
          <w:sz w:val="24"/>
        </w:rPr>
        <w:t>con</w:t>
      </w:r>
      <w:r>
        <w:rPr>
          <w:spacing w:val="20"/>
          <w:sz w:val="24"/>
        </w:rPr>
        <w:t> </w:t>
      </w:r>
      <w:r>
        <w:rPr>
          <w:i/>
          <w:sz w:val="24"/>
        </w:rPr>
        <w:t>igl</w:t>
      </w:r>
      <w:r>
        <w:rPr>
          <w:sz w:val="24"/>
        </w:rPr>
        <w:t>C</w:t>
      </w:r>
      <w:r>
        <w:rPr>
          <w:spacing w:val="16"/>
          <w:sz w:val="24"/>
        </w:rPr>
        <w:t> </w:t>
      </w:r>
      <w:r>
        <w:rPr>
          <w:sz w:val="24"/>
        </w:rPr>
        <w:t>de</w:t>
      </w:r>
      <w:r>
        <w:rPr>
          <w:spacing w:val="12"/>
          <w:sz w:val="24"/>
        </w:rPr>
        <w:t> </w:t>
      </w:r>
      <w:r>
        <w:rPr>
          <w:spacing w:val="-5"/>
          <w:sz w:val="24"/>
        </w:rPr>
        <w:t>la</w:t>
      </w:r>
      <w:r>
        <w:rPr>
          <w:spacing w:val="17"/>
          <w:sz w:val="24"/>
        </w:rPr>
        <w:t> </w:t>
      </w:r>
      <w:r>
        <w:rPr>
          <w:sz w:val="24"/>
        </w:rPr>
        <w:t>cepa</w:t>
      </w:r>
      <w:r>
        <w:rPr>
          <w:spacing w:val="17"/>
          <w:sz w:val="24"/>
        </w:rPr>
        <w:t> </w:t>
      </w:r>
      <w:r>
        <w:rPr>
          <w:sz w:val="24"/>
        </w:rPr>
        <w:t>de</w:t>
      </w:r>
      <w:r>
        <w:rPr>
          <w:spacing w:val="19"/>
          <w:sz w:val="24"/>
        </w:rPr>
        <w:t> </w:t>
      </w:r>
      <w:r>
        <w:rPr>
          <w:i/>
          <w:sz w:val="24"/>
        </w:rPr>
        <w:t>F.</w:t>
      </w:r>
      <w:r>
        <w:rPr>
          <w:i/>
          <w:spacing w:val="15"/>
          <w:sz w:val="24"/>
        </w:rPr>
        <w:t> </w:t>
      </w:r>
      <w:r>
        <w:rPr>
          <w:i/>
          <w:sz w:val="24"/>
        </w:rPr>
        <w:t>noatunensis</w:t>
      </w:r>
    </w:p>
    <w:p>
      <w:pPr>
        <w:pStyle w:val="ListParagraph"/>
        <w:numPr>
          <w:ilvl w:val="0"/>
          <w:numId w:val="22"/>
        </w:numPr>
        <w:tabs>
          <w:tab w:pos="699" w:val="left" w:leader="none"/>
          <w:tab w:pos="700" w:val="left" w:leader="none"/>
        </w:tabs>
        <w:spacing w:line="240" w:lineRule="auto" w:before="134" w:after="0"/>
        <w:ind w:left="699" w:right="0" w:hanging="470"/>
        <w:jc w:val="left"/>
        <w:rPr>
          <w:sz w:val="24"/>
        </w:rPr>
      </w:pPr>
      <w:r>
        <w:rPr>
          <w:sz w:val="24"/>
        </w:rPr>
        <w:t>subsp</w:t>
      </w:r>
      <w:r>
        <w:rPr>
          <w:i/>
          <w:sz w:val="24"/>
        </w:rPr>
        <w:t>. orientalis </w:t>
      </w:r>
      <w:r>
        <w:rPr>
          <w:sz w:val="24"/>
        </w:rPr>
        <w:t>LADL 07-285A (Soto </w:t>
      </w:r>
      <w:r>
        <w:rPr>
          <w:i/>
          <w:sz w:val="24"/>
        </w:rPr>
        <w:t>et al</w:t>
      </w:r>
      <w:r>
        <w:rPr>
          <w:sz w:val="24"/>
        </w:rPr>
        <w:t>., 2010) (Figura 4B), corroborando </w:t>
      </w:r>
      <w:r>
        <w:rPr>
          <w:spacing w:val="-5"/>
          <w:sz w:val="24"/>
        </w:rPr>
        <w:t>la</w:t>
      </w:r>
      <w:r>
        <w:rPr>
          <w:spacing w:val="16"/>
          <w:sz w:val="24"/>
        </w:rPr>
        <w:t> </w:t>
      </w:r>
      <w:r>
        <w:rPr>
          <w:sz w:val="24"/>
        </w:rPr>
        <w:t>presencia</w:t>
      </w:r>
    </w:p>
    <w:p>
      <w:pPr>
        <w:pStyle w:val="ListParagraph"/>
        <w:numPr>
          <w:ilvl w:val="0"/>
          <w:numId w:val="22"/>
        </w:numPr>
        <w:tabs>
          <w:tab w:pos="699" w:val="left" w:leader="none"/>
          <w:tab w:pos="700" w:val="left" w:leader="none"/>
        </w:tabs>
        <w:spacing w:line="240" w:lineRule="auto" w:before="125" w:after="0"/>
        <w:ind w:left="699" w:right="0" w:hanging="470"/>
        <w:jc w:val="left"/>
        <w:rPr>
          <w:sz w:val="24"/>
        </w:rPr>
      </w:pPr>
      <w:r>
        <w:rPr>
          <w:sz w:val="24"/>
        </w:rPr>
        <w:t>de esta bacteria emergente en peces en</w:t>
      </w:r>
      <w:r>
        <w:rPr>
          <w:spacing w:val="-16"/>
          <w:sz w:val="24"/>
        </w:rPr>
        <w:t> </w:t>
      </w:r>
      <w:r>
        <w:rPr>
          <w:sz w:val="24"/>
        </w:rPr>
        <w:t>México.</w:t>
      </w:r>
    </w:p>
    <w:p>
      <w:pPr>
        <w:pStyle w:val="BodyText"/>
        <w:spacing w:before="2"/>
        <w:rPr>
          <w:rFonts w:ascii="Times New Roman"/>
          <w:sz w:val="23"/>
        </w:rPr>
      </w:pPr>
    </w:p>
    <w:p>
      <w:pPr>
        <w:pStyle w:val="Heading1"/>
        <w:numPr>
          <w:ilvl w:val="0"/>
          <w:numId w:val="22"/>
        </w:numPr>
        <w:tabs>
          <w:tab w:pos="699" w:val="left" w:leader="none"/>
          <w:tab w:pos="700" w:val="left" w:leader="none"/>
        </w:tabs>
        <w:spacing w:line="240" w:lineRule="auto" w:before="70" w:after="0"/>
        <w:ind w:left="699" w:right="0" w:hanging="470"/>
        <w:jc w:val="left"/>
        <w:rPr>
          <w:rFonts w:ascii="Times New Roman" w:hAnsi="Times New Roman"/>
        </w:rPr>
      </w:pPr>
      <w:r>
        <w:rPr>
          <w:rFonts w:ascii="Times New Roman" w:hAnsi="Times New Roman"/>
        </w:rPr>
        <w:t>DISCUSIÓN</w:t>
      </w:r>
    </w:p>
    <w:p>
      <w:pPr>
        <w:pStyle w:val="BodyText"/>
        <w:spacing w:before="9"/>
        <w:rPr>
          <w:rFonts w:ascii="Times New Roman"/>
          <w:b/>
          <w:sz w:val="22"/>
        </w:rPr>
      </w:pPr>
    </w:p>
    <w:p>
      <w:pPr>
        <w:pStyle w:val="ListParagraph"/>
        <w:numPr>
          <w:ilvl w:val="0"/>
          <w:numId w:val="22"/>
        </w:numPr>
        <w:tabs>
          <w:tab w:pos="1405" w:val="left" w:leader="none"/>
          <w:tab w:pos="1406" w:val="left" w:leader="none"/>
        </w:tabs>
        <w:spacing w:line="240" w:lineRule="auto" w:before="69" w:after="0"/>
        <w:ind w:left="1405" w:right="0" w:hanging="1176"/>
        <w:jc w:val="left"/>
        <w:rPr>
          <w:sz w:val="24"/>
        </w:rPr>
      </w:pPr>
      <w:r>
        <w:rPr>
          <w:sz w:val="24"/>
        </w:rPr>
        <w:t>Las lesiones granulomatosas en peces pueden ser causadas por distintos    patógenos</w:t>
      </w:r>
    </w:p>
    <w:p>
      <w:pPr>
        <w:pStyle w:val="ListParagraph"/>
        <w:numPr>
          <w:ilvl w:val="0"/>
          <w:numId w:val="22"/>
        </w:numPr>
        <w:tabs>
          <w:tab w:pos="699" w:val="left" w:leader="none"/>
          <w:tab w:pos="700" w:val="left" w:leader="none"/>
        </w:tabs>
        <w:spacing w:line="240" w:lineRule="auto" w:before="129" w:after="0"/>
        <w:ind w:left="699" w:right="0" w:hanging="581"/>
        <w:jc w:val="left"/>
        <w:rPr>
          <w:sz w:val="24"/>
        </w:rPr>
      </w:pPr>
      <w:r>
        <w:rPr>
          <w:sz w:val="24"/>
        </w:rPr>
        <w:t>(Colquhoun  y  Duodu,  2011);  </w:t>
      </w:r>
      <w:r>
        <w:rPr>
          <w:spacing w:val="-3"/>
          <w:sz w:val="24"/>
        </w:rPr>
        <w:t>sin  </w:t>
      </w:r>
      <w:r>
        <w:rPr>
          <w:sz w:val="24"/>
        </w:rPr>
        <w:t>embargo,  el  análisis  macroscópico,  microscópico   </w:t>
      </w:r>
      <w:r>
        <w:rPr>
          <w:spacing w:val="25"/>
          <w:sz w:val="24"/>
        </w:rPr>
        <w:t> </w:t>
      </w:r>
      <w:r>
        <w:rPr>
          <w:sz w:val="24"/>
        </w:rPr>
        <w:t>y</w:t>
      </w:r>
    </w:p>
    <w:p>
      <w:pPr>
        <w:pStyle w:val="ListParagraph"/>
        <w:numPr>
          <w:ilvl w:val="0"/>
          <w:numId w:val="22"/>
        </w:numPr>
        <w:tabs>
          <w:tab w:pos="699" w:val="left" w:leader="none"/>
          <w:tab w:pos="700" w:val="left" w:leader="none"/>
        </w:tabs>
        <w:spacing w:line="240" w:lineRule="auto" w:before="130" w:after="0"/>
        <w:ind w:left="699" w:right="0" w:hanging="581"/>
        <w:jc w:val="left"/>
        <w:rPr>
          <w:sz w:val="24"/>
        </w:rPr>
      </w:pPr>
      <w:r>
        <w:rPr>
          <w:sz w:val="24"/>
        </w:rPr>
        <w:t>molecular</w:t>
      </w:r>
      <w:r>
        <w:rPr>
          <w:spacing w:val="-11"/>
          <w:sz w:val="24"/>
        </w:rPr>
        <w:t> </w:t>
      </w:r>
      <w:r>
        <w:rPr>
          <w:sz w:val="24"/>
        </w:rPr>
        <w:t>realizado</w:t>
      </w:r>
      <w:r>
        <w:rPr>
          <w:spacing w:val="-8"/>
          <w:sz w:val="24"/>
        </w:rPr>
        <w:t> </w:t>
      </w:r>
      <w:r>
        <w:rPr>
          <w:sz w:val="24"/>
        </w:rPr>
        <w:t>en</w:t>
      </w:r>
      <w:r>
        <w:rPr>
          <w:spacing w:val="-13"/>
          <w:sz w:val="24"/>
        </w:rPr>
        <w:t> </w:t>
      </w:r>
      <w:r>
        <w:rPr>
          <w:spacing w:val="-4"/>
          <w:sz w:val="24"/>
        </w:rPr>
        <w:t>las</w:t>
      </w:r>
      <w:r>
        <w:rPr>
          <w:spacing w:val="-10"/>
          <w:sz w:val="24"/>
        </w:rPr>
        <w:t> </w:t>
      </w:r>
      <w:r>
        <w:rPr>
          <w:sz w:val="24"/>
        </w:rPr>
        <w:t>muestras</w:t>
      </w:r>
      <w:r>
        <w:rPr>
          <w:spacing w:val="-15"/>
          <w:sz w:val="24"/>
        </w:rPr>
        <w:t> </w:t>
      </w:r>
      <w:r>
        <w:rPr>
          <w:sz w:val="24"/>
        </w:rPr>
        <w:t>de</w:t>
      </w:r>
      <w:r>
        <w:rPr>
          <w:spacing w:val="-18"/>
          <w:sz w:val="24"/>
        </w:rPr>
        <w:t> </w:t>
      </w:r>
      <w:r>
        <w:rPr>
          <w:sz w:val="24"/>
        </w:rPr>
        <w:t>tilapias</w:t>
      </w:r>
      <w:r>
        <w:rPr>
          <w:spacing w:val="-15"/>
          <w:sz w:val="24"/>
        </w:rPr>
        <w:t> </w:t>
      </w:r>
      <w:r>
        <w:rPr>
          <w:sz w:val="24"/>
        </w:rPr>
        <w:t>de</w:t>
      </w:r>
      <w:r>
        <w:rPr>
          <w:spacing w:val="-14"/>
          <w:sz w:val="24"/>
        </w:rPr>
        <w:t> </w:t>
      </w:r>
      <w:r>
        <w:rPr>
          <w:sz w:val="24"/>
        </w:rPr>
        <w:t>este</w:t>
      </w:r>
      <w:r>
        <w:rPr>
          <w:spacing w:val="-14"/>
          <w:sz w:val="24"/>
        </w:rPr>
        <w:t> </w:t>
      </w:r>
      <w:r>
        <w:rPr>
          <w:sz w:val="24"/>
        </w:rPr>
        <w:t>caso</w:t>
      </w:r>
      <w:r>
        <w:rPr>
          <w:spacing w:val="-13"/>
          <w:sz w:val="24"/>
        </w:rPr>
        <w:t> </w:t>
      </w:r>
      <w:r>
        <w:rPr>
          <w:sz w:val="24"/>
        </w:rPr>
        <w:t>confirman</w:t>
      </w:r>
      <w:r>
        <w:rPr>
          <w:spacing w:val="-13"/>
          <w:sz w:val="24"/>
        </w:rPr>
        <w:t> </w:t>
      </w:r>
      <w:r>
        <w:rPr>
          <w:spacing w:val="-5"/>
          <w:sz w:val="24"/>
        </w:rPr>
        <w:t>la</w:t>
      </w:r>
      <w:r>
        <w:rPr>
          <w:spacing w:val="-14"/>
          <w:sz w:val="24"/>
        </w:rPr>
        <w:t> </w:t>
      </w:r>
      <w:r>
        <w:rPr>
          <w:sz w:val="24"/>
        </w:rPr>
        <w:t>presencia</w:t>
      </w:r>
      <w:r>
        <w:rPr>
          <w:spacing w:val="-14"/>
          <w:sz w:val="24"/>
        </w:rPr>
        <w:t> </w:t>
      </w:r>
      <w:r>
        <w:rPr>
          <w:sz w:val="24"/>
        </w:rPr>
        <w:t>en</w:t>
      </w:r>
      <w:r>
        <w:rPr>
          <w:spacing w:val="-17"/>
          <w:sz w:val="24"/>
        </w:rPr>
        <w:t> </w:t>
      </w:r>
      <w:r>
        <w:rPr>
          <w:sz w:val="24"/>
        </w:rPr>
        <w:t>México</w:t>
      </w:r>
    </w:p>
    <w:p>
      <w:pPr>
        <w:pStyle w:val="ListParagraph"/>
        <w:numPr>
          <w:ilvl w:val="0"/>
          <w:numId w:val="22"/>
        </w:numPr>
        <w:tabs>
          <w:tab w:pos="699" w:val="left" w:leader="none"/>
          <w:tab w:pos="700" w:val="left" w:leader="none"/>
        </w:tabs>
        <w:spacing w:line="240" w:lineRule="auto" w:before="129" w:after="0"/>
        <w:ind w:left="699" w:right="0" w:hanging="581"/>
        <w:jc w:val="left"/>
        <w:rPr>
          <w:sz w:val="24"/>
        </w:rPr>
      </w:pPr>
      <w:r>
        <w:rPr>
          <w:sz w:val="24"/>
        </w:rPr>
        <w:t>de</w:t>
      </w:r>
      <w:r>
        <w:rPr>
          <w:spacing w:val="27"/>
          <w:sz w:val="24"/>
        </w:rPr>
        <w:t> </w:t>
      </w:r>
      <w:r>
        <w:rPr>
          <w:sz w:val="24"/>
        </w:rPr>
        <w:t>francisellosis,</w:t>
      </w:r>
      <w:r>
        <w:rPr>
          <w:spacing w:val="30"/>
          <w:sz w:val="24"/>
        </w:rPr>
        <w:t> </w:t>
      </w:r>
      <w:r>
        <w:rPr>
          <w:sz w:val="24"/>
        </w:rPr>
        <w:t>enfermedad</w:t>
      </w:r>
      <w:r>
        <w:rPr>
          <w:spacing w:val="27"/>
          <w:sz w:val="24"/>
        </w:rPr>
        <w:t> </w:t>
      </w:r>
      <w:r>
        <w:rPr>
          <w:sz w:val="24"/>
        </w:rPr>
        <w:t>que</w:t>
      </w:r>
      <w:r>
        <w:rPr>
          <w:spacing w:val="27"/>
          <w:sz w:val="24"/>
        </w:rPr>
        <w:t> </w:t>
      </w:r>
      <w:r>
        <w:rPr>
          <w:sz w:val="24"/>
        </w:rPr>
        <w:t>en</w:t>
      </w:r>
      <w:r>
        <w:rPr>
          <w:spacing w:val="23"/>
          <w:sz w:val="24"/>
        </w:rPr>
        <w:t> </w:t>
      </w:r>
      <w:r>
        <w:rPr>
          <w:sz w:val="24"/>
        </w:rPr>
        <w:t>peces</w:t>
      </w:r>
      <w:r>
        <w:rPr>
          <w:spacing w:val="25"/>
          <w:sz w:val="24"/>
        </w:rPr>
        <w:t> </w:t>
      </w:r>
      <w:r>
        <w:rPr>
          <w:sz w:val="24"/>
        </w:rPr>
        <w:t>del</w:t>
      </w:r>
      <w:r>
        <w:rPr>
          <w:spacing w:val="18"/>
          <w:sz w:val="24"/>
        </w:rPr>
        <w:t> </w:t>
      </w:r>
      <w:r>
        <w:rPr>
          <w:sz w:val="24"/>
        </w:rPr>
        <w:t>género</w:t>
      </w:r>
      <w:r>
        <w:rPr>
          <w:spacing w:val="27"/>
          <w:sz w:val="24"/>
        </w:rPr>
        <w:t> </w:t>
      </w:r>
      <w:r>
        <w:rPr>
          <w:sz w:val="24"/>
        </w:rPr>
        <w:t>tilapia</w:t>
      </w:r>
      <w:r>
        <w:rPr>
          <w:spacing w:val="27"/>
          <w:sz w:val="24"/>
        </w:rPr>
        <w:t> </w:t>
      </w:r>
      <w:r>
        <w:rPr>
          <w:sz w:val="24"/>
        </w:rPr>
        <w:t>es</w:t>
      </w:r>
      <w:r>
        <w:rPr>
          <w:spacing w:val="25"/>
          <w:sz w:val="24"/>
        </w:rPr>
        <w:t> </w:t>
      </w:r>
      <w:r>
        <w:rPr>
          <w:sz w:val="24"/>
        </w:rPr>
        <w:t>ocasionada</w:t>
      </w:r>
      <w:r>
        <w:rPr>
          <w:spacing w:val="27"/>
          <w:sz w:val="24"/>
        </w:rPr>
        <w:t> </w:t>
      </w:r>
      <w:r>
        <w:rPr>
          <w:sz w:val="24"/>
        </w:rPr>
        <w:t>por</w:t>
      </w:r>
      <w:r>
        <w:rPr>
          <w:spacing w:val="24"/>
          <w:sz w:val="24"/>
        </w:rPr>
        <w:t> </w:t>
      </w:r>
      <w:r>
        <w:rPr>
          <w:sz w:val="24"/>
        </w:rPr>
        <w:t>bacterias</w:t>
      </w:r>
    </w:p>
    <w:p>
      <w:pPr>
        <w:pStyle w:val="ListParagraph"/>
        <w:numPr>
          <w:ilvl w:val="0"/>
          <w:numId w:val="22"/>
        </w:numPr>
        <w:tabs>
          <w:tab w:pos="699" w:val="left" w:leader="none"/>
          <w:tab w:pos="700" w:val="left" w:leader="none"/>
        </w:tabs>
        <w:spacing w:line="240" w:lineRule="auto" w:before="134" w:after="0"/>
        <w:ind w:left="699" w:right="0" w:hanging="581"/>
        <w:jc w:val="left"/>
        <w:rPr>
          <w:sz w:val="24"/>
        </w:rPr>
      </w:pPr>
      <w:r>
        <w:rPr>
          <w:sz w:val="24"/>
        </w:rPr>
        <w:t>intracelulares,</w:t>
      </w:r>
      <w:r>
        <w:rPr>
          <w:spacing w:val="-4"/>
          <w:sz w:val="24"/>
        </w:rPr>
        <w:t> </w:t>
      </w:r>
      <w:r>
        <w:rPr>
          <w:sz w:val="24"/>
        </w:rPr>
        <w:t>Gram</w:t>
      </w:r>
      <w:r>
        <w:rPr>
          <w:spacing w:val="-9"/>
          <w:sz w:val="24"/>
        </w:rPr>
        <w:t> </w:t>
      </w:r>
      <w:r>
        <w:rPr>
          <w:sz w:val="24"/>
        </w:rPr>
        <w:t>negativas</w:t>
      </w:r>
      <w:r>
        <w:rPr>
          <w:spacing w:val="-7"/>
          <w:sz w:val="24"/>
        </w:rPr>
        <w:t> </w:t>
      </w:r>
      <w:r>
        <w:rPr>
          <w:sz w:val="24"/>
        </w:rPr>
        <w:t>del</w:t>
      </w:r>
      <w:r>
        <w:rPr>
          <w:spacing w:val="-9"/>
          <w:sz w:val="24"/>
        </w:rPr>
        <w:t> </w:t>
      </w:r>
      <w:r>
        <w:rPr>
          <w:sz w:val="24"/>
        </w:rPr>
        <w:t>género </w:t>
      </w:r>
      <w:r>
        <w:rPr>
          <w:i/>
          <w:sz w:val="24"/>
        </w:rPr>
        <w:t>Francisella</w:t>
      </w:r>
      <w:r>
        <w:rPr>
          <w:i/>
          <w:spacing w:val="-4"/>
          <w:sz w:val="24"/>
        </w:rPr>
        <w:t> </w:t>
      </w:r>
      <w:r>
        <w:rPr>
          <w:sz w:val="24"/>
        </w:rPr>
        <w:t>(Colquhoun</w:t>
      </w:r>
      <w:r>
        <w:rPr>
          <w:spacing w:val="-5"/>
          <w:sz w:val="24"/>
        </w:rPr>
        <w:t> </w:t>
      </w:r>
      <w:r>
        <w:rPr>
          <w:sz w:val="24"/>
        </w:rPr>
        <w:t>y</w:t>
      </w:r>
      <w:r>
        <w:rPr>
          <w:spacing w:val="-10"/>
          <w:sz w:val="24"/>
        </w:rPr>
        <w:t> </w:t>
      </w:r>
      <w:r>
        <w:rPr>
          <w:sz w:val="24"/>
        </w:rPr>
        <w:t>Duodu,</w:t>
      </w:r>
      <w:r>
        <w:rPr>
          <w:spacing w:val="-4"/>
          <w:sz w:val="24"/>
        </w:rPr>
        <w:t> </w:t>
      </w:r>
      <w:r>
        <w:rPr>
          <w:sz w:val="24"/>
        </w:rPr>
        <w:t>2011;</w:t>
      </w:r>
      <w:r>
        <w:rPr>
          <w:spacing w:val="-9"/>
          <w:sz w:val="24"/>
        </w:rPr>
        <w:t> </w:t>
      </w:r>
      <w:r>
        <w:rPr>
          <w:sz w:val="24"/>
        </w:rPr>
        <w:t>Birkbeck</w:t>
      </w:r>
    </w:p>
    <w:p>
      <w:pPr>
        <w:pStyle w:val="ListParagraph"/>
        <w:numPr>
          <w:ilvl w:val="0"/>
          <w:numId w:val="22"/>
        </w:numPr>
        <w:tabs>
          <w:tab w:pos="699" w:val="left" w:leader="none"/>
          <w:tab w:pos="700" w:val="left" w:leader="none"/>
        </w:tabs>
        <w:spacing w:line="240" w:lineRule="auto" w:before="129" w:after="0"/>
        <w:ind w:left="699" w:right="0" w:hanging="581"/>
        <w:jc w:val="left"/>
        <w:rPr>
          <w:sz w:val="24"/>
        </w:rPr>
      </w:pPr>
      <w:r>
        <w:rPr>
          <w:sz w:val="24"/>
        </w:rPr>
        <w:t>y</w:t>
      </w:r>
      <w:r>
        <w:rPr>
          <w:spacing w:val="15"/>
          <w:sz w:val="24"/>
        </w:rPr>
        <w:t> </w:t>
      </w:r>
      <w:r>
        <w:rPr>
          <w:spacing w:val="2"/>
          <w:sz w:val="24"/>
        </w:rPr>
        <w:t>col</w:t>
      </w:r>
      <w:r>
        <w:rPr>
          <w:spacing w:val="16"/>
          <w:sz w:val="24"/>
        </w:rPr>
        <w:t> </w:t>
      </w:r>
      <w:r>
        <w:rPr>
          <w:sz w:val="24"/>
        </w:rPr>
        <w:t>2007;</w:t>
      </w:r>
      <w:r>
        <w:rPr>
          <w:spacing w:val="20"/>
          <w:sz w:val="24"/>
        </w:rPr>
        <w:t> </w:t>
      </w:r>
      <w:r>
        <w:rPr>
          <w:sz w:val="24"/>
        </w:rPr>
        <w:t>Soto</w:t>
      </w:r>
      <w:r>
        <w:rPr>
          <w:spacing w:val="25"/>
          <w:sz w:val="24"/>
        </w:rPr>
        <w:t> </w:t>
      </w:r>
      <w:r>
        <w:rPr>
          <w:sz w:val="24"/>
        </w:rPr>
        <w:t>y</w:t>
      </w:r>
      <w:r>
        <w:rPr>
          <w:spacing w:val="15"/>
          <w:sz w:val="24"/>
        </w:rPr>
        <w:t> </w:t>
      </w:r>
      <w:r>
        <w:rPr>
          <w:sz w:val="24"/>
        </w:rPr>
        <w:t>col</w:t>
      </w:r>
      <w:r>
        <w:rPr>
          <w:spacing w:val="16"/>
          <w:sz w:val="24"/>
        </w:rPr>
        <w:t> </w:t>
      </w:r>
      <w:r>
        <w:rPr>
          <w:sz w:val="24"/>
        </w:rPr>
        <w:t>2009a;</w:t>
      </w:r>
      <w:r>
        <w:rPr>
          <w:spacing w:val="20"/>
          <w:sz w:val="24"/>
        </w:rPr>
        <w:t> </w:t>
      </w:r>
      <w:r>
        <w:rPr>
          <w:sz w:val="24"/>
        </w:rPr>
        <w:t>Mauel</w:t>
      </w:r>
      <w:r>
        <w:rPr>
          <w:spacing w:val="20"/>
          <w:sz w:val="24"/>
        </w:rPr>
        <w:t> </w:t>
      </w:r>
      <w:r>
        <w:rPr>
          <w:sz w:val="24"/>
        </w:rPr>
        <w:t>y</w:t>
      </w:r>
      <w:r>
        <w:rPr>
          <w:spacing w:val="15"/>
          <w:sz w:val="24"/>
        </w:rPr>
        <w:t> </w:t>
      </w:r>
      <w:r>
        <w:rPr>
          <w:spacing w:val="2"/>
          <w:sz w:val="24"/>
        </w:rPr>
        <w:t>col</w:t>
      </w:r>
      <w:r>
        <w:rPr>
          <w:spacing w:val="16"/>
          <w:sz w:val="24"/>
        </w:rPr>
        <w:t> </w:t>
      </w:r>
      <w:r>
        <w:rPr>
          <w:sz w:val="24"/>
        </w:rPr>
        <w:t>2003;</w:t>
      </w:r>
      <w:r>
        <w:rPr>
          <w:spacing w:val="25"/>
          <w:sz w:val="24"/>
        </w:rPr>
        <w:t> </w:t>
      </w:r>
      <w:r>
        <w:rPr>
          <w:sz w:val="24"/>
        </w:rPr>
        <w:t>2005),</w:t>
      </w:r>
      <w:r>
        <w:rPr>
          <w:spacing w:val="22"/>
          <w:sz w:val="24"/>
        </w:rPr>
        <w:t> </w:t>
      </w:r>
      <w:r>
        <w:rPr>
          <w:sz w:val="24"/>
        </w:rPr>
        <w:t>que</w:t>
      </w:r>
      <w:r>
        <w:rPr>
          <w:spacing w:val="19"/>
          <w:sz w:val="24"/>
        </w:rPr>
        <w:t> </w:t>
      </w:r>
      <w:r>
        <w:rPr>
          <w:sz w:val="24"/>
        </w:rPr>
        <w:t>también</w:t>
      </w:r>
      <w:r>
        <w:rPr>
          <w:spacing w:val="20"/>
          <w:sz w:val="24"/>
        </w:rPr>
        <w:t> </w:t>
      </w:r>
      <w:r>
        <w:rPr>
          <w:sz w:val="24"/>
        </w:rPr>
        <w:t>han</w:t>
      </w:r>
      <w:r>
        <w:rPr>
          <w:spacing w:val="20"/>
          <w:sz w:val="24"/>
        </w:rPr>
        <w:t> </w:t>
      </w:r>
      <w:r>
        <w:rPr>
          <w:sz w:val="24"/>
        </w:rPr>
        <w:t>sido</w:t>
      </w:r>
      <w:r>
        <w:rPr>
          <w:spacing w:val="29"/>
          <w:sz w:val="24"/>
        </w:rPr>
        <w:t> </w:t>
      </w:r>
      <w:r>
        <w:rPr>
          <w:sz w:val="24"/>
        </w:rPr>
        <w:t>reportadas</w:t>
      </w:r>
    </w:p>
    <w:p>
      <w:pPr>
        <w:pStyle w:val="ListParagraph"/>
        <w:numPr>
          <w:ilvl w:val="0"/>
          <w:numId w:val="22"/>
        </w:numPr>
        <w:tabs>
          <w:tab w:pos="699" w:val="left" w:leader="none"/>
          <w:tab w:pos="700" w:val="left" w:leader="none"/>
        </w:tabs>
        <w:spacing w:line="240" w:lineRule="auto" w:before="125" w:after="0"/>
        <w:ind w:left="699" w:right="0" w:hanging="581"/>
        <w:jc w:val="left"/>
        <w:rPr>
          <w:sz w:val="24"/>
        </w:rPr>
      </w:pPr>
      <w:r>
        <w:rPr>
          <w:sz w:val="24"/>
        </w:rPr>
        <w:t>afectando a otras especies de peces (Nylund y </w:t>
      </w:r>
      <w:r>
        <w:rPr>
          <w:spacing w:val="2"/>
          <w:sz w:val="24"/>
        </w:rPr>
        <w:t>col </w:t>
      </w:r>
      <w:r>
        <w:rPr>
          <w:sz w:val="24"/>
        </w:rPr>
        <w:t>2006; Olsen y </w:t>
      </w:r>
      <w:r>
        <w:rPr>
          <w:spacing w:val="2"/>
          <w:sz w:val="24"/>
        </w:rPr>
        <w:t>col</w:t>
      </w:r>
      <w:r>
        <w:rPr>
          <w:spacing w:val="-38"/>
          <w:sz w:val="24"/>
        </w:rPr>
        <w:t> </w:t>
      </w:r>
      <w:r>
        <w:rPr>
          <w:sz w:val="24"/>
        </w:rPr>
        <w:t>2006).</w:t>
      </w:r>
    </w:p>
    <w:p>
      <w:pPr>
        <w:pStyle w:val="BodyText"/>
        <w:spacing w:before="2"/>
        <w:rPr>
          <w:rFonts w:ascii="Times New Roman"/>
          <w:sz w:val="23"/>
        </w:rPr>
      </w:pPr>
    </w:p>
    <w:p>
      <w:pPr>
        <w:pStyle w:val="ListParagraph"/>
        <w:numPr>
          <w:ilvl w:val="0"/>
          <w:numId w:val="22"/>
        </w:numPr>
        <w:tabs>
          <w:tab w:pos="1405" w:val="left" w:leader="none"/>
          <w:tab w:pos="1406" w:val="left" w:leader="none"/>
        </w:tabs>
        <w:spacing w:line="240" w:lineRule="auto" w:before="69" w:after="0"/>
        <w:ind w:left="1405" w:right="0" w:hanging="1287"/>
        <w:jc w:val="left"/>
        <w:rPr>
          <w:sz w:val="24"/>
        </w:rPr>
      </w:pPr>
      <w:r>
        <w:rPr>
          <w:sz w:val="24"/>
        </w:rPr>
        <w:t>Las  patologías  asociadas  a  francisellosis  se  caracterizan  </w:t>
      </w:r>
      <w:r>
        <w:rPr>
          <w:spacing w:val="4"/>
          <w:sz w:val="24"/>
        </w:rPr>
        <w:t>por  </w:t>
      </w:r>
      <w:r>
        <w:rPr>
          <w:sz w:val="24"/>
        </w:rPr>
        <w:t>ausencia  o </w:t>
      </w:r>
      <w:r>
        <w:rPr>
          <w:spacing w:val="19"/>
          <w:sz w:val="24"/>
        </w:rPr>
        <w:t> </w:t>
      </w:r>
      <w:r>
        <w:rPr>
          <w:sz w:val="24"/>
        </w:rPr>
        <w:t>escasa</w:t>
      </w:r>
    </w:p>
    <w:p>
      <w:pPr>
        <w:pStyle w:val="ListParagraph"/>
        <w:numPr>
          <w:ilvl w:val="0"/>
          <w:numId w:val="22"/>
        </w:numPr>
        <w:tabs>
          <w:tab w:pos="699" w:val="left" w:leader="none"/>
          <w:tab w:pos="700" w:val="left" w:leader="none"/>
        </w:tabs>
        <w:spacing w:line="240" w:lineRule="auto" w:before="129" w:after="0"/>
        <w:ind w:left="699" w:right="0" w:hanging="581"/>
        <w:jc w:val="left"/>
        <w:rPr>
          <w:sz w:val="24"/>
        </w:rPr>
      </w:pPr>
      <w:r>
        <w:rPr>
          <w:sz w:val="24"/>
        </w:rPr>
        <w:t>presencia</w:t>
      </w:r>
      <w:r>
        <w:rPr>
          <w:spacing w:val="21"/>
          <w:sz w:val="24"/>
        </w:rPr>
        <w:t> </w:t>
      </w:r>
      <w:r>
        <w:rPr>
          <w:sz w:val="24"/>
        </w:rPr>
        <w:t>de</w:t>
      </w:r>
      <w:r>
        <w:rPr>
          <w:spacing w:val="21"/>
          <w:sz w:val="24"/>
        </w:rPr>
        <w:t> </w:t>
      </w:r>
      <w:r>
        <w:rPr>
          <w:sz w:val="24"/>
        </w:rPr>
        <w:t>signos</w:t>
      </w:r>
      <w:r>
        <w:rPr>
          <w:spacing w:val="20"/>
          <w:sz w:val="24"/>
        </w:rPr>
        <w:t> </w:t>
      </w:r>
      <w:r>
        <w:rPr>
          <w:sz w:val="24"/>
        </w:rPr>
        <w:t>clínicos</w:t>
      </w:r>
      <w:r>
        <w:rPr>
          <w:spacing w:val="24"/>
          <w:sz w:val="24"/>
        </w:rPr>
        <w:t> </w:t>
      </w:r>
      <w:r>
        <w:rPr>
          <w:sz w:val="24"/>
        </w:rPr>
        <w:t>y</w:t>
      </w:r>
      <w:r>
        <w:rPr>
          <w:spacing w:val="17"/>
          <w:sz w:val="24"/>
        </w:rPr>
        <w:t> </w:t>
      </w:r>
      <w:r>
        <w:rPr>
          <w:sz w:val="24"/>
        </w:rPr>
        <w:t>lesiones</w:t>
      </w:r>
      <w:r>
        <w:rPr>
          <w:spacing w:val="20"/>
          <w:sz w:val="24"/>
        </w:rPr>
        <w:t> </w:t>
      </w:r>
      <w:r>
        <w:rPr>
          <w:sz w:val="24"/>
        </w:rPr>
        <w:t>externas</w:t>
      </w:r>
      <w:r>
        <w:rPr>
          <w:spacing w:val="20"/>
          <w:sz w:val="24"/>
        </w:rPr>
        <w:t> </w:t>
      </w:r>
      <w:r>
        <w:rPr>
          <w:sz w:val="24"/>
        </w:rPr>
        <w:t>en</w:t>
      </w:r>
      <w:r>
        <w:rPr>
          <w:spacing w:val="22"/>
          <w:sz w:val="24"/>
        </w:rPr>
        <w:t> </w:t>
      </w:r>
      <w:r>
        <w:rPr>
          <w:sz w:val="24"/>
        </w:rPr>
        <w:t>los</w:t>
      </w:r>
      <w:r>
        <w:rPr>
          <w:spacing w:val="20"/>
          <w:sz w:val="24"/>
        </w:rPr>
        <w:t> </w:t>
      </w:r>
      <w:r>
        <w:rPr>
          <w:sz w:val="24"/>
        </w:rPr>
        <w:t>peces</w:t>
      </w:r>
      <w:r>
        <w:rPr>
          <w:spacing w:val="20"/>
          <w:sz w:val="24"/>
        </w:rPr>
        <w:t> </w:t>
      </w:r>
      <w:r>
        <w:rPr>
          <w:sz w:val="24"/>
        </w:rPr>
        <w:t>afectados.</w:t>
      </w:r>
      <w:r>
        <w:rPr>
          <w:spacing w:val="19"/>
          <w:sz w:val="24"/>
        </w:rPr>
        <w:t> </w:t>
      </w:r>
      <w:r>
        <w:rPr>
          <w:sz w:val="24"/>
        </w:rPr>
        <w:t>Los</w:t>
      </w:r>
      <w:r>
        <w:rPr>
          <w:spacing w:val="15"/>
          <w:sz w:val="24"/>
        </w:rPr>
        <w:t> </w:t>
      </w:r>
      <w:r>
        <w:rPr>
          <w:sz w:val="24"/>
        </w:rPr>
        <w:t>peces</w:t>
      </w:r>
      <w:r>
        <w:rPr>
          <w:spacing w:val="20"/>
          <w:sz w:val="24"/>
        </w:rPr>
        <w:t> </w:t>
      </w:r>
      <w:r>
        <w:rPr>
          <w:sz w:val="24"/>
        </w:rPr>
        <w:t>de</w:t>
      </w:r>
      <w:r>
        <w:rPr>
          <w:spacing w:val="21"/>
          <w:sz w:val="24"/>
        </w:rPr>
        <w:t> </w:t>
      </w:r>
      <w:r>
        <w:rPr>
          <w:sz w:val="24"/>
        </w:rPr>
        <w:t>este</w:t>
      </w:r>
    </w:p>
    <w:p>
      <w:pPr>
        <w:pStyle w:val="ListParagraph"/>
        <w:numPr>
          <w:ilvl w:val="0"/>
          <w:numId w:val="22"/>
        </w:numPr>
        <w:tabs>
          <w:tab w:pos="699" w:val="left" w:leader="none"/>
          <w:tab w:pos="700" w:val="left" w:leader="none"/>
        </w:tabs>
        <w:spacing w:line="240" w:lineRule="auto" w:before="135" w:after="0"/>
        <w:ind w:left="699" w:right="0" w:hanging="581"/>
        <w:jc w:val="left"/>
        <w:rPr>
          <w:sz w:val="24"/>
        </w:rPr>
      </w:pPr>
      <w:r>
        <w:rPr>
          <w:sz w:val="24"/>
        </w:rPr>
        <w:t>estudio   presentaron  caquexia,   emaciación,   anorexia,   anemia   y  nado   lento,  pero </w:t>
      </w:r>
      <w:r>
        <w:rPr>
          <w:spacing w:val="2"/>
          <w:sz w:val="24"/>
        </w:rPr>
        <w:t> </w:t>
      </w:r>
      <w:r>
        <w:rPr>
          <w:spacing w:val="-3"/>
          <w:sz w:val="24"/>
        </w:rPr>
        <w:t>no</w:t>
      </w:r>
    </w:p>
    <w:p>
      <w:pPr>
        <w:pStyle w:val="ListParagraph"/>
        <w:numPr>
          <w:ilvl w:val="0"/>
          <w:numId w:val="22"/>
        </w:numPr>
        <w:tabs>
          <w:tab w:pos="699" w:val="left" w:leader="none"/>
          <w:tab w:pos="700" w:val="left" w:leader="none"/>
        </w:tabs>
        <w:spacing w:line="240" w:lineRule="auto" w:before="129" w:after="0"/>
        <w:ind w:left="699" w:right="0" w:hanging="581"/>
        <w:jc w:val="left"/>
        <w:rPr>
          <w:sz w:val="24"/>
        </w:rPr>
      </w:pPr>
      <w:r>
        <w:rPr>
          <w:sz w:val="24"/>
        </w:rPr>
        <w:t>presentaron hemorragias, ulceraciones externas o daño muscular descritas por (Mauel y</w:t>
      </w:r>
      <w:r>
        <w:rPr>
          <w:spacing w:val="48"/>
          <w:sz w:val="24"/>
        </w:rPr>
        <w:t> </w:t>
      </w:r>
      <w:r>
        <w:rPr>
          <w:spacing w:val="2"/>
          <w:sz w:val="24"/>
        </w:rPr>
        <w:t>col</w:t>
      </w:r>
    </w:p>
    <w:p>
      <w:pPr>
        <w:pStyle w:val="ListParagraph"/>
        <w:numPr>
          <w:ilvl w:val="0"/>
          <w:numId w:val="22"/>
        </w:numPr>
        <w:tabs>
          <w:tab w:pos="699" w:val="left" w:leader="none"/>
          <w:tab w:pos="700" w:val="left" w:leader="none"/>
        </w:tabs>
        <w:spacing w:line="240" w:lineRule="auto" w:before="129" w:after="0"/>
        <w:ind w:left="699" w:right="0" w:hanging="581"/>
        <w:jc w:val="left"/>
        <w:rPr>
          <w:sz w:val="24"/>
        </w:rPr>
      </w:pPr>
      <w:r>
        <w:rPr>
          <w:sz w:val="24"/>
        </w:rPr>
        <w:t>2007) en tilapias afectadas por esta enfermedad; </w:t>
      </w:r>
      <w:r>
        <w:rPr>
          <w:spacing w:val="-3"/>
          <w:sz w:val="24"/>
        </w:rPr>
        <w:t>la </w:t>
      </w:r>
      <w:r>
        <w:rPr>
          <w:sz w:val="24"/>
        </w:rPr>
        <w:t>distención abdominal (Soto y </w:t>
      </w:r>
      <w:r>
        <w:rPr>
          <w:spacing w:val="2"/>
          <w:sz w:val="24"/>
        </w:rPr>
        <w:t>col </w:t>
      </w:r>
      <w:r>
        <w:rPr>
          <w:spacing w:val="29"/>
          <w:sz w:val="24"/>
        </w:rPr>
        <w:t> </w:t>
      </w:r>
      <w:r>
        <w:rPr>
          <w:sz w:val="24"/>
        </w:rPr>
        <w:t>2011)</w:t>
      </w:r>
    </w:p>
    <w:p>
      <w:pPr>
        <w:pStyle w:val="ListParagraph"/>
        <w:numPr>
          <w:ilvl w:val="0"/>
          <w:numId w:val="22"/>
        </w:numPr>
        <w:tabs>
          <w:tab w:pos="699" w:val="left" w:leader="none"/>
          <w:tab w:pos="700" w:val="left" w:leader="none"/>
        </w:tabs>
        <w:spacing w:line="240" w:lineRule="auto" w:before="129" w:after="0"/>
        <w:ind w:left="699" w:right="0" w:hanging="581"/>
        <w:jc w:val="left"/>
        <w:rPr>
          <w:sz w:val="24"/>
        </w:rPr>
      </w:pPr>
      <w:r>
        <w:rPr>
          <w:spacing w:val="-3"/>
          <w:sz w:val="24"/>
        </w:rPr>
        <w:t>no  fue  </w:t>
      </w:r>
      <w:r>
        <w:rPr>
          <w:sz w:val="24"/>
        </w:rPr>
        <w:t>marcada.  </w:t>
      </w:r>
      <w:r>
        <w:rPr>
          <w:spacing w:val="2"/>
          <w:sz w:val="24"/>
        </w:rPr>
        <w:t>Si </w:t>
      </w:r>
      <w:r>
        <w:rPr>
          <w:sz w:val="24"/>
        </w:rPr>
        <w:t>bien  </w:t>
      </w:r>
      <w:r>
        <w:rPr>
          <w:spacing w:val="-5"/>
          <w:sz w:val="24"/>
        </w:rPr>
        <w:t>la  </w:t>
      </w:r>
      <w:r>
        <w:rPr>
          <w:sz w:val="24"/>
        </w:rPr>
        <w:t>mortalidad  en casos de francisellosis es alta, tanto  los</w:t>
      </w:r>
      <w:r>
        <w:rPr>
          <w:spacing w:val="48"/>
          <w:sz w:val="24"/>
        </w:rPr>
        <w:t> </w:t>
      </w:r>
      <w:r>
        <w:rPr>
          <w:sz w:val="24"/>
        </w:rPr>
        <w:t>signos</w:t>
      </w:r>
    </w:p>
    <w:p>
      <w:pPr>
        <w:pStyle w:val="ListParagraph"/>
        <w:numPr>
          <w:ilvl w:val="0"/>
          <w:numId w:val="22"/>
        </w:numPr>
        <w:tabs>
          <w:tab w:pos="699" w:val="left" w:leader="none"/>
          <w:tab w:pos="700" w:val="left" w:leader="none"/>
        </w:tabs>
        <w:spacing w:line="240" w:lineRule="auto" w:before="135" w:after="0"/>
        <w:ind w:left="699" w:right="0" w:hanging="581"/>
        <w:jc w:val="left"/>
        <w:rPr>
          <w:sz w:val="24"/>
        </w:rPr>
      </w:pPr>
      <w:r>
        <w:rPr>
          <w:sz w:val="24"/>
        </w:rPr>
        <w:t>clínicos, las lesiones macroscópicas y el nivel de mortalidad pueden variar, dependiendo</w:t>
      </w:r>
      <w:r>
        <w:rPr>
          <w:spacing w:val="26"/>
          <w:sz w:val="24"/>
        </w:rPr>
        <w:t> </w:t>
      </w:r>
      <w:r>
        <w:rPr>
          <w:sz w:val="24"/>
        </w:rPr>
        <w:t>de</w:t>
      </w:r>
    </w:p>
    <w:p>
      <w:pPr>
        <w:pStyle w:val="ListParagraph"/>
        <w:numPr>
          <w:ilvl w:val="0"/>
          <w:numId w:val="22"/>
        </w:numPr>
        <w:tabs>
          <w:tab w:pos="699" w:val="left" w:leader="none"/>
          <w:tab w:pos="700" w:val="left" w:leader="none"/>
        </w:tabs>
        <w:spacing w:line="240" w:lineRule="auto" w:before="129" w:after="0"/>
        <w:ind w:left="699" w:right="0" w:hanging="581"/>
        <w:jc w:val="left"/>
        <w:rPr>
          <w:sz w:val="24"/>
        </w:rPr>
      </w:pPr>
      <w:r>
        <w:rPr>
          <w:sz w:val="24"/>
        </w:rPr>
        <w:t>los</w:t>
      </w:r>
      <w:r>
        <w:rPr>
          <w:spacing w:val="44"/>
          <w:sz w:val="24"/>
        </w:rPr>
        <w:t> </w:t>
      </w:r>
      <w:r>
        <w:rPr>
          <w:sz w:val="24"/>
        </w:rPr>
        <w:t>factores</w:t>
      </w:r>
      <w:r>
        <w:rPr>
          <w:spacing w:val="39"/>
          <w:sz w:val="24"/>
        </w:rPr>
        <w:t> </w:t>
      </w:r>
      <w:r>
        <w:rPr>
          <w:sz w:val="24"/>
        </w:rPr>
        <w:t>involucrados</w:t>
      </w:r>
      <w:r>
        <w:rPr>
          <w:spacing w:val="39"/>
          <w:sz w:val="24"/>
        </w:rPr>
        <w:t> </w:t>
      </w:r>
      <w:r>
        <w:rPr>
          <w:sz w:val="24"/>
        </w:rPr>
        <w:t>en</w:t>
      </w:r>
      <w:r>
        <w:rPr>
          <w:spacing w:val="36"/>
          <w:sz w:val="24"/>
        </w:rPr>
        <w:t> </w:t>
      </w:r>
      <w:r>
        <w:rPr>
          <w:spacing w:val="-5"/>
          <w:sz w:val="24"/>
        </w:rPr>
        <w:t>la</w:t>
      </w:r>
      <w:r>
        <w:rPr>
          <w:spacing w:val="40"/>
          <w:sz w:val="24"/>
        </w:rPr>
        <w:t> </w:t>
      </w:r>
      <w:r>
        <w:rPr>
          <w:sz w:val="24"/>
        </w:rPr>
        <w:t>triada</w:t>
      </w:r>
      <w:r>
        <w:rPr>
          <w:spacing w:val="40"/>
          <w:sz w:val="24"/>
        </w:rPr>
        <w:t> </w:t>
      </w:r>
      <w:r>
        <w:rPr>
          <w:sz w:val="24"/>
        </w:rPr>
        <w:t>epizootiológica</w:t>
      </w:r>
      <w:r>
        <w:rPr>
          <w:spacing w:val="45"/>
          <w:sz w:val="24"/>
        </w:rPr>
        <w:t> </w:t>
      </w:r>
      <w:r>
        <w:rPr>
          <w:sz w:val="24"/>
        </w:rPr>
        <w:t>y</w:t>
      </w:r>
      <w:r>
        <w:rPr>
          <w:spacing w:val="31"/>
          <w:sz w:val="24"/>
        </w:rPr>
        <w:t> </w:t>
      </w:r>
      <w:r>
        <w:rPr>
          <w:sz w:val="24"/>
        </w:rPr>
        <w:t>del</w:t>
      </w:r>
      <w:r>
        <w:rPr>
          <w:spacing w:val="32"/>
          <w:sz w:val="24"/>
        </w:rPr>
        <w:t> </w:t>
      </w:r>
      <w:r>
        <w:rPr>
          <w:sz w:val="24"/>
        </w:rPr>
        <w:t>estadio</w:t>
      </w:r>
      <w:r>
        <w:rPr>
          <w:spacing w:val="45"/>
          <w:sz w:val="24"/>
        </w:rPr>
        <w:t> </w:t>
      </w:r>
      <w:r>
        <w:rPr>
          <w:sz w:val="24"/>
        </w:rPr>
        <w:t>en</w:t>
      </w:r>
      <w:r>
        <w:rPr>
          <w:spacing w:val="36"/>
          <w:sz w:val="24"/>
        </w:rPr>
        <w:t> </w:t>
      </w:r>
      <w:r>
        <w:rPr>
          <w:sz w:val="24"/>
        </w:rPr>
        <w:t>que</w:t>
      </w:r>
      <w:r>
        <w:rPr>
          <w:spacing w:val="40"/>
          <w:sz w:val="24"/>
        </w:rPr>
        <w:t> </w:t>
      </w:r>
      <w:r>
        <w:rPr>
          <w:sz w:val="24"/>
        </w:rPr>
        <w:t>se</w:t>
      </w:r>
      <w:r>
        <w:rPr>
          <w:spacing w:val="35"/>
          <w:sz w:val="24"/>
        </w:rPr>
        <w:t> </w:t>
      </w:r>
      <w:r>
        <w:rPr>
          <w:sz w:val="24"/>
        </w:rPr>
        <w:t>analice</w:t>
      </w:r>
      <w:r>
        <w:rPr>
          <w:spacing w:val="40"/>
          <w:sz w:val="24"/>
        </w:rPr>
        <w:t> </w:t>
      </w:r>
      <w:r>
        <w:rPr>
          <w:sz w:val="24"/>
        </w:rPr>
        <w:t>el</w:t>
      </w:r>
    </w:p>
    <w:p>
      <w:pPr>
        <w:pStyle w:val="ListParagraph"/>
        <w:numPr>
          <w:ilvl w:val="0"/>
          <w:numId w:val="22"/>
        </w:numPr>
        <w:tabs>
          <w:tab w:pos="699" w:val="left" w:leader="none"/>
          <w:tab w:pos="700" w:val="left" w:leader="none"/>
        </w:tabs>
        <w:spacing w:line="240" w:lineRule="auto" w:before="125" w:after="0"/>
        <w:ind w:left="699" w:right="0" w:hanging="581"/>
        <w:jc w:val="left"/>
        <w:rPr>
          <w:sz w:val="24"/>
        </w:rPr>
      </w:pPr>
      <w:r>
        <w:rPr>
          <w:sz w:val="24"/>
        </w:rPr>
        <w:t>proceso de</w:t>
      </w:r>
      <w:r>
        <w:rPr>
          <w:spacing w:val="-11"/>
          <w:sz w:val="24"/>
        </w:rPr>
        <w:t> </w:t>
      </w:r>
      <w:r>
        <w:rPr>
          <w:sz w:val="24"/>
        </w:rPr>
        <w:t>enfermedad.</w:t>
      </w:r>
    </w:p>
    <w:p>
      <w:pPr>
        <w:pStyle w:val="BodyText"/>
        <w:spacing w:before="2"/>
        <w:rPr>
          <w:rFonts w:ascii="Times New Roman"/>
          <w:sz w:val="23"/>
        </w:rPr>
      </w:pPr>
    </w:p>
    <w:p>
      <w:pPr>
        <w:pStyle w:val="ListParagraph"/>
        <w:numPr>
          <w:ilvl w:val="0"/>
          <w:numId w:val="22"/>
        </w:numPr>
        <w:tabs>
          <w:tab w:pos="1405" w:val="left" w:leader="none"/>
          <w:tab w:pos="1406" w:val="left" w:leader="none"/>
        </w:tabs>
        <w:spacing w:line="240" w:lineRule="auto" w:before="69" w:after="0"/>
        <w:ind w:left="1405" w:right="0" w:hanging="1287"/>
        <w:jc w:val="left"/>
        <w:rPr>
          <w:sz w:val="24"/>
        </w:rPr>
      </w:pPr>
      <w:r>
        <w:rPr>
          <w:sz w:val="24"/>
        </w:rPr>
        <w:t>A</w:t>
      </w:r>
      <w:r>
        <w:rPr>
          <w:spacing w:val="13"/>
          <w:sz w:val="24"/>
        </w:rPr>
        <w:t> </w:t>
      </w:r>
      <w:r>
        <w:rPr>
          <w:sz w:val="24"/>
        </w:rPr>
        <w:t>decir</w:t>
      </w:r>
      <w:r>
        <w:rPr>
          <w:spacing w:val="18"/>
          <w:sz w:val="24"/>
        </w:rPr>
        <w:t> </w:t>
      </w:r>
      <w:r>
        <w:rPr>
          <w:sz w:val="24"/>
        </w:rPr>
        <w:t>de</w:t>
      </w:r>
      <w:r>
        <w:rPr>
          <w:spacing w:val="21"/>
          <w:sz w:val="24"/>
        </w:rPr>
        <w:t> </w:t>
      </w:r>
      <w:r>
        <w:rPr>
          <w:sz w:val="24"/>
        </w:rPr>
        <w:t>los</w:t>
      </w:r>
      <w:r>
        <w:rPr>
          <w:spacing w:val="15"/>
          <w:sz w:val="24"/>
        </w:rPr>
        <w:t> </w:t>
      </w:r>
      <w:r>
        <w:rPr>
          <w:sz w:val="24"/>
        </w:rPr>
        <w:t>responsables</w:t>
      </w:r>
      <w:r>
        <w:rPr>
          <w:spacing w:val="15"/>
          <w:sz w:val="24"/>
        </w:rPr>
        <w:t> </w:t>
      </w:r>
      <w:r>
        <w:rPr>
          <w:sz w:val="24"/>
        </w:rPr>
        <w:t>de</w:t>
      </w:r>
      <w:r>
        <w:rPr>
          <w:spacing w:val="21"/>
          <w:sz w:val="24"/>
        </w:rPr>
        <w:t> </w:t>
      </w:r>
      <w:r>
        <w:rPr>
          <w:spacing w:val="-5"/>
          <w:sz w:val="24"/>
        </w:rPr>
        <w:t>la</w:t>
      </w:r>
      <w:r>
        <w:rPr>
          <w:spacing w:val="16"/>
          <w:sz w:val="24"/>
        </w:rPr>
        <w:t> </w:t>
      </w:r>
      <w:r>
        <w:rPr>
          <w:sz w:val="24"/>
        </w:rPr>
        <w:t>granja,</w:t>
      </w:r>
      <w:r>
        <w:rPr>
          <w:spacing w:val="19"/>
          <w:sz w:val="24"/>
        </w:rPr>
        <w:t> </w:t>
      </w:r>
      <w:r>
        <w:rPr>
          <w:sz w:val="24"/>
        </w:rPr>
        <w:t>al</w:t>
      </w:r>
      <w:r>
        <w:rPr>
          <w:spacing w:val="9"/>
          <w:sz w:val="24"/>
        </w:rPr>
        <w:t> </w:t>
      </w:r>
      <w:r>
        <w:rPr>
          <w:sz w:val="24"/>
        </w:rPr>
        <w:t>remitir</w:t>
      </w:r>
      <w:r>
        <w:rPr>
          <w:spacing w:val="19"/>
          <w:sz w:val="24"/>
        </w:rPr>
        <w:t> </w:t>
      </w:r>
      <w:r>
        <w:rPr>
          <w:spacing w:val="-5"/>
          <w:sz w:val="24"/>
        </w:rPr>
        <w:t>la</w:t>
      </w:r>
      <w:r>
        <w:rPr>
          <w:spacing w:val="21"/>
          <w:sz w:val="24"/>
        </w:rPr>
        <w:t> </w:t>
      </w:r>
      <w:r>
        <w:rPr>
          <w:sz w:val="24"/>
        </w:rPr>
        <w:t>muestra,</w:t>
      </w:r>
      <w:r>
        <w:rPr>
          <w:spacing w:val="14"/>
          <w:sz w:val="24"/>
        </w:rPr>
        <w:t> </w:t>
      </w:r>
      <w:r>
        <w:rPr>
          <w:spacing w:val="-5"/>
          <w:sz w:val="24"/>
        </w:rPr>
        <w:t>la</w:t>
      </w:r>
      <w:r>
        <w:rPr>
          <w:spacing w:val="16"/>
          <w:sz w:val="24"/>
        </w:rPr>
        <w:t> </w:t>
      </w:r>
      <w:r>
        <w:rPr>
          <w:sz w:val="24"/>
        </w:rPr>
        <w:t>enfermedad</w:t>
      </w:r>
      <w:r>
        <w:rPr>
          <w:spacing w:val="17"/>
          <w:sz w:val="24"/>
        </w:rPr>
        <w:t> </w:t>
      </w:r>
      <w:r>
        <w:rPr>
          <w:sz w:val="24"/>
        </w:rPr>
        <w:t>tenia</w:t>
      </w:r>
    </w:p>
    <w:p>
      <w:pPr>
        <w:pStyle w:val="ListParagraph"/>
        <w:numPr>
          <w:ilvl w:val="0"/>
          <w:numId w:val="22"/>
        </w:numPr>
        <w:tabs>
          <w:tab w:pos="699" w:val="left" w:leader="none"/>
          <w:tab w:pos="700" w:val="left" w:leader="none"/>
        </w:tabs>
        <w:spacing w:line="240" w:lineRule="auto" w:before="130" w:after="0"/>
        <w:ind w:left="699" w:right="0" w:hanging="581"/>
        <w:jc w:val="left"/>
        <w:rPr>
          <w:sz w:val="24"/>
        </w:rPr>
      </w:pPr>
      <w:r>
        <w:rPr>
          <w:sz w:val="24"/>
        </w:rPr>
        <w:t>aproximadamente 6 </w:t>
      </w:r>
      <w:r>
        <w:rPr>
          <w:spacing w:val="-3"/>
          <w:sz w:val="24"/>
        </w:rPr>
        <w:t>meses  </w:t>
      </w:r>
      <w:r>
        <w:rPr>
          <w:sz w:val="24"/>
        </w:rPr>
        <w:t>de haber  aparecido,  por tanto, este caso  describe un    </w:t>
      </w:r>
      <w:r>
        <w:rPr>
          <w:spacing w:val="4"/>
          <w:sz w:val="24"/>
        </w:rPr>
        <w:t> </w:t>
      </w:r>
      <w:r>
        <w:rPr>
          <w:sz w:val="24"/>
        </w:rPr>
        <w:t>proceso</w:t>
      </w:r>
    </w:p>
    <w:p>
      <w:pPr>
        <w:pStyle w:val="ListParagraph"/>
        <w:numPr>
          <w:ilvl w:val="0"/>
          <w:numId w:val="22"/>
        </w:numPr>
        <w:tabs>
          <w:tab w:pos="699" w:val="left" w:leader="none"/>
          <w:tab w:pos="700" w:val="left" w:leader="none"/>
        </w:tabs>
        <w:spacing w:line="240" w:lineRule="auto" w:before="129" w:after="0"/>
        <w:ind w:left="699" w:right="0" w:hanging="581"/>
        <w:jc w:val="left"/>
        <w:rPr>
          <w:sz w:val="24"/>
        </w:rPr>
      </w:pPr>
      <w:r>
        <w:rPr>
          <w:sz w:val="24"/>
        </w:rPr>
        <w:t>crónico</w:t>
      </w:r>
      <w:r>
        <w:rPr>
          <w:spacing w:val="-1"/>
          <w:sz w:val="24"/>
        </w:rPr>
        <w:t> </w:t>
      </w:r>
      <w:r>
        <w:rPr>
          <w:sz w:val="24"/>
        </w:rPr>
        <w:t>de</w:t>
      </w:r>
      <w:r>
        <w:rPr>
          <w:spacing w:val="-2"/>
          <w:sz w:val="24"/>
        </w:rPr>
        <w:t> </w:t>
      </w:r>
      <w:r>
        <w:rPr>
          <w:spacing w:val="-5"/>
          <w:sz w:val="24"/>
        </w:rPr>
        <w:t>la</w:t>
      </w:r>
      <w:r>
        <w:rPr>
          <w:spacing w:val="-7"/>
          <w:sz w:val="24"/>
        </w:rPr>
        <w:t> </w:t>
      </w:r>
      <w:r>
        <w:rPr>
          <w:sz w:val="24"/>
        </w:rPr>
        <w:t>enfermedad</w:t>
      </w:r>
      <w:r>
        <w:rPr>
          <w:spacing w:val="-6"/>
          <w:sz w:val="24"/>
        </w:rPr>
        <w:t> </w:t>
      </w:r>
      <w:r>
        <w:rPr>
          <w:sz w:val="24"/>
        </w:rPr>
        <w:t>que</w:t>
      </w:r>
      <w:r>
        <w:rPr>
          <w:spacing w:val="-7"/>
          <w:sz w:val="24"/>
        </w:rPr>
        <w:t> </w:t>
      </w:r>
      <w:r>
        <w:rPr>
          <w:sz w:val="24"/>
        </w:rPr>
        <w:t>en</w:t>
      </w:r>
      <w:r>
        <w:rPr>
          <w:spacing w:val="-11"/>
          <w:sz w:val="24"/>
        </w:rPr>
        <w:t> </w:t>
      </w:r>
      <w:r>
        <w:rPr>
          <w:sz w:val="24"/>
        </w:rPr>
        <w:t>algún</w:t>
      </w:r>
      <w:r>
        <w:rPr>
          <w:spacing w:val="-6"/>
          <w:sz w:val="24"/>
        </w:rPr>
        <w:t> </w:t>
      </w:r>
      <w:r>
        <w:rPr>
          <w:sz w:val="24"/>
        </w:rPr>
        <w:t>momento</w:t>
      </w:r>
      <w:r>
        <w:rPr>
          <w:spacing w:val="-1"/>
          <w:sz w:val="24"/>
        </w:rPr>
        <w:t> </w:t>
      </w:r>
      <w:r>
        <w:rPr>
          <w:sz w:val="24"/>
        </w:rPr>
        <w:t>pudo</w:t>
      </w:r>
      <w:r>
        <w:rPr>
          <w:spacing w:val="-1"/>
          <w:sz w:val="24"/>
        </w:rPr>
        <w:t> </w:t>
      </w:r>
      <w:r>
        <w:rPr>
          <w:sz w:val="24"/>
        </w:rPr>
        <w:t>manifestar</w:t>
      </w:r>
      <w:r>
        <w:rPr>
          <w:spacing w:val="-4"/>
          <w:sz w:val="24"/>
        </w:rPr>
        <w:t> </w:t>
      </w:r>
      <w:r>
        <w:rPr>
          <w:sz w:val="24"/>
        </w:rPr>
        <w:t>signos</w:t>
      </w:r>
      <w:r>
        <w:rPr>
          <w:spacing w:val="-3"/>
          <w:sz w:val="24"/>
        </w:rPr>
        <w:t> más</w:t>
      </w:r>
      <w:r>
        <w:rPr>
          <w:spacing w:val="-8"/>
          <w:sz w:val="24"/>
        </w:rPr>
        <w:t> </w:t>
      </w:r>
      <w:r>
        <w:rPr>
          <w:sz w:val="24"/>
        </w:rPr>
        <w:t>dramáticos,</w:t>
      </w:r>
      <w:r>
        <w:rPr>
          <w:spacing w:val="-4"/>
          <w:sz w:val="24"/>
        </w:rPr>
        <w:t> </w:t>
      </w:r>
      <w:r>
        <w:rPr>
          <w:spacing w:val="-3"/>
          <w:sz w:val="24"/>
        </w:rPr>
        <w:t>ya</w:t>
      </w:r>
    </w:p>
    <w:p>
      <w:pPr>
        <w:pStyle w:val="ListParagraph"/>
        <w:numPr>
          <w:ilvl w:val="0"/>
          <w:numId w:val="22"/>
        </w:numPr>
        <w:tabs>
          <w:tab w:pos="699" w:val="left" w:leader="none"/>
          <w:tab w:pos="700" w:val="left" w:leader="none"/>
        </w:tabs>
        <w:spacing w:line="240" w:lineRule="auto" w:before="134" w:after="0"/>
        <w:ind w:left="699" w:right="0" w:hanging="581"/>
        <w:jc w:val="left"/>
        <w:rPr>
          <w:sz w:val="24"/>
        </w:rPr>
      </w:pPr>
      <w:r>
        <w:rPr>
          <w:sz w:val="24"/>
        </w:rPr>
        <w:t>que</w:t>
      </w:r>
      <w:r>
        <w:rPr>
          <w:spacing w:val="-3"/>
          <w:sz w:val="24"/>
        </w:rPr>
        <w:t> </w:t>
      </w:r>
      <w:r>
        <w:rPr>
          <w:sz w:val="24"/>
        </w:rPr>
        <w:t>inicialmente</w:t>
      </w:r>
      <w:r>
        <w:rPr>
          <w:spacing w:val="-8"/>
          <w:sz w:val="24"/>
        </w:rPr>
        <w:t> </w:t>
      </w:r>
      <w:r>
        <w:rPr>
          <w:sz w:val="24"/>
        </w:rPr>
        <w:t>se</w:t>
      </w:r>
      <w:r>
        <w:rPr>
          <w:spacing w:val="-8"/>
          <w:sz w:val="24"/>
        </w:rPr>
        <w:t> </w:t>
      </w:r>
      <w:r>
        <w:rPr>
          <w:sz w:val="24"/>
        </w:rPr>
        <w:t>registró</w:t>
      </w:r>
      <w:r>
        <w:rPr>
          <w:spacing w:val="-2"/>
          <w:sz w:val="24"/>
        </w:rPr>
        <w:t> </w:t>
      </w:r>
      <w:r>
        <w:rPr>
          <w:sz w:val="24"/>
        </w:rPr>
        <w:t>40%</w:t>
      </w:r>
      <w:r>
        <w:rPr>
          <w:spacing w:val="-5"/>
          <w:sz w:val="24"/>
        </w:rPr>
        <w:t> </w:t>
      </w:r>
      <w:r>
        <w:rPr>
          <w:sz w:val="24"/>
        </w:rPr>
        <w:t>de</w:t>
      </w:r>
      <w:r>
        <w:rPr>
          <w:spacing w:val="-8"/>
          <w:sz w:val="24"/>
        </w:rPr>
        <w:t> </w:t>
      </w:r>
      <w:r>
        <w:rPr>
          <w:sz w:val="24"/>
        </w:rPr>
        <w:t>mortalidad,</w:t>
      </w:r>
      <w:r>
        <w:rPr>
          <w:spacing w:val="-5"/>
          <w:sz w:val="24"/>
        </w:rPr>
        <w:t> </w:t>
      </w:r>
      <w:r>
        <w:rPr>
          <w:sz w:val="24"/>
        </w:rPr>
        <w:t>acorde</w:t>
      </w:r>
      <w:r>
        <w:rPr>
          <w:spacing w:val="-8"/>
          <w:sz w:val="24"/>
        </w:rPr>
        <w:t> </w:t>
      </w:r>
      <w:r>
        <w:rPr>
          <w:sz w:val="24"/>
        </w:rPr>
        <w:t>con</w:t>
      </w:r>
      <w:r>
        <w:rPr>
          <w:spacing w:val="-7"/>
          <w:sz w:val="24"/>
        </w:rPr>
        <w:t> </w:t>
      </w:r>
      <w:r>
        <w:rPr>
          <w:sz w:val="24"/>
        </w:rPr>
        <w:t>los</w:t>
      </w:r>
      <w:r>
        <w:rPr>
          <w:spacing w:val="-9"/>
          <w:sz w:val="24"/>
        </w:rPr>
        <w:t> </w:t>
      </w:r>
      <w:r>
        <w:rPr>
          <w:sz w:val="24"/>
        </w:rPr>
        <w:t>reportes</w:t>
      </w:r>
      <w:r>
        <w:rPr>
          <w:spacing w:val="-9"/>
          <w:sz w:val="24"/>
        </w:rPr>
        <w:t> </w:t>
      </w:r>
      <w:r>
        <w:rPr>
          <w:sz w:val="24"/>
        </w:rPr>
        <w:t>previos</w:t>
      </w:r>
      <w:r>
        <w:rPr>
          <w:spacing w:val="-9"/>
          <w:sz w:val="24"/>
        </w:rPr>
        <w:t> </w:t>
      </w:r>
      <w:r>
        <w:rPr>
          <w:sz w:val="24"/>
        </w:rPr>
        <w:t>(Kamaishi</w:t>
      </w:r>
      <w:r>
        <w:rPr>
          <w:spacing w:val="-2"/>
          <w:sz w:val="24"/>
        </w:rPr>
        <w:t> </w:t>
      </w:r>
      <w:r>
        <w:rPr>
          <w:sz w:val="24"/>
        </w:rPr>
        <w:t>y</w:t>
      </w:r>
    </w:p>
    <w:p>
      <w:pPr>
        <w:pStyle w:val="ListParagraph"/>
        <w:numPr>
          <w:ilvl w:val="0"/>
          <w:numId w:val="22"/>
        </w:numPr>
        <w:tabs>
          <w:tab w:pos="699" w:val="left" w:leader="none"/>
          <w:tab w:pos="700" w:val="left" w:leader="none"/>
        </w:tabs>
        <w:spacing w:line="240" w:lineRule="auto" w:before="125" w:after="0"/>
        <w:ind w:left="699" w:right="0" w:hanging="581"/>
        <w:jc w:val="left"/>
        <w:rPr>
          <w:sz w:val="24"/>
        </w:rPr>
      </w:pPr>
      <w:r>
        <w:rPr>
          <w:sz w:val="24"/>
        </w:rPr>
        <w:t>col 2005, Olsen y </w:t>
      </w:r>
      <w:r>
        <w:rPr>
          <w:spacing w:val="2"/>
          <w:sz w:val="24"/>
        </w:rPr>
        <w:t>col </w:t>
      </w:r>
      <w:r>
        <w:rPr>
          <w:sz w:val="24"/>
        </w:rPr>
        <w:t>2006, Ostland y </w:t>
      </w:r>
      <w:r>
        <w:rPr>
          <w:spacing w:val="2"/>
          <w:sz w:val="24"/>
        </w:rPr>
        <w:t>col</w:t>
      </w:r>
      <w:r>
        <w:rPr>
          <w:spacing w:val="-32"/>
          <w:sz w:val="24"/>
        </w:rPr>
        <w:t> </w:t>
      </w:r>
      <w:r>
        <w:rPr>
          <w:sz w:val="24"/>
        </w:rPr>
        <w:t>2006)</w:t>
      </w:r>
    </w:p>
    <w:p>
      <w:pPr>
        <w:spacing w:after="0" w:line="240" w:lineRule="auto"/>
        <w:jc w:val="left"/>
        <w:rPr>
          <w:sz w:val="24"/>
        </w:rPr>
        <w:sectPr>
          <w:pgSz w:w="12240" w:h="15840"/>
          <w:pgMar w:header="752" w:footer="1003" w:top="1000" w:bottom="1200" w:left="1000" w:right="1560"/>
        </w:sectPr>
      </w:pPr>
    </w:p>
    <w:p>
      <w:pPr>
        <w:pStyle w:val="BodyText"/>
        <w:spacing w:before="8"/>
        <w:rPr>
          <w:rFonts w:ascii="Times New Roman"/>
          <w:sz w:val="28"/>
        </w:rPr>
      </w:pPr>
    </w:p>
    <w:p>
      <w:pPr>
        <w:pStyle w:val="ListParagraph"/>
        <w:numPr>
          <w:ilvl w:val="1"/>
          <w:numId w:val="22"/>
        </w:numPr>
        <w:tabs>
          <w:tab w:pos="1405" w:val="left" w:leader="none"/>
          <w:tab w:pos="1406" w:val="left" w:leader="none"/>
        </w:tabs>
        <w:spacing w:line="240" w:lineRule="auto" w:before="70" w:after="0"/>
        <w:ind w:left="1405" w:right="0" w:hanging="1176"/>
        <w:jc w:val="left"/>
        <w:rPr>
          <w:sz w:val="24"/>
        </w:rPr>
      </w:pPr>
      <w:r>
        <w:rPr>
          <w:sz w:val="24"/>
        </w:rPr>
        <w:t>La</w:t>
      </w:r>
      <w:r>
        <w:rPr>
          <w:spacing w:val="-15"/>
          <w:sz w:val="24"/>
        </w:rPr>
        <w:t> </w:t>
      </w:r>
      <w:r>
        <w:rPr>
          <w:sz w:val="24"/>
        </w:rPr>
        <w:t>temperatura</w:t>
      </w:r>
      <w:r>
        <w:rPr>
          <w:spacing w:val="-15"/>
          <w:sz w:val="24"/>
        </w:rPr>
        <w:t> </w:t>
      </w:r>
      <w:r>
        <w:rPr>
          <w:sz w:val="24"/>
        </w:rPr>
        <w:t>es</w:t>
      </w:r>
      <w:r>
        <w:rPr>
          <w:spacing w:val="-17"/>
          <w:sz w:val="24"/>
        </w:rPr>
        <w:t> </w:t>
      </w:r>
      <w:r>
        <w:rPr>
          <w:sz w:val="24"/>
        </w:rPr>
        <w:t>un</w:t>
      </w:r>
      <w:r>
        <w:rPr>
          <w:spacing w:val="-14"/>
          <w:sz w:val="24"/>
        </w:rPr>
        <w:t> </w:t>
      </w:r>
      <w:r>
        <w:rPr>
          <w:sz w:val="24"/>
        </w:rPr>
        <w:t>factor</w:t>
      </w:r>
      <w:r>
        <w:rPr>
          <w:spacing w:val="-18"/>
          <w:sz w:val="24"/>
        </w:rPr>
        <w:t> </w:t>
      </w:r>
      <w:r>
        <w:rPr>
          <w:sz w:val="24"/>
        </w:rPr>
        <w:t>determinante</w:t>
      </w:r>
      <w:r>
        <w:rPr>
          <w:spacing w:val="-15"/>
          <w:sz w:val="24"/>
        </w:rPr>
        <w:t> </w:t>
      </w:r>
      <w:r>
        <w:rPr>
          <w:sz w:val="24"/>
        </w:rPr>
        <w:t>en</w:t>
      </w:r>
      <w:r>
        <w:rPr>
          <w:spacing w:val="-14"/>
          <w:sz w:val="24"/>
        </w:rPr>
        <w:t> </w:t>
      </w:r>
      <w:r>
        <w:rPr>
          <w:spacing w:val="-3"/>
          <w:sz w:val="24"/>
        </w:rPr>
        <w:t>la</w:t>
      </w:r>
      <w:r>
        <w:rPr>
          <w:spacing w:val="-12"/>
          <w:sz w:val="24"/>
        </w:rPr>
        <w:t> </w:t>
      </w:r>
      <w:r>
        <w:rPr>
          <w:sz w:val="24"/>
        </w:rPr>
        <w:t>manifestación</w:t>
      </w:r>
      <w:r>
        <w:rPr>
          <w:spacing w:val="-19"/>
          <w:sz w:val="24"/>
        </w:rPr>
        <w:t> </w:t>
      </w:r>
      <w:r>
        <w:rPr>
          <w:sz w:val="24"/>
        </w:rPr>
        <w:t>clínica</w:t>
      </w:r>
      <w:r>
        <w:rPr>
          <w:spacing w:val="-15"/>
          <w:sz w:val="24"/>
        </w:rPr>
        <w:t> </w:t>
      </w:r>
      <w:r>
        <w:rPr>
          <w:sz w:val="24"/>
        </w:rPr>
        <w:t>de</w:t>
      </w:r>
      <w:r>
        <w:rPr>
          <w:spacing w:val="-12"/>
          <w:sz w:val="24"/>
        </w:rPr>
        <w:t> </w:t>
      </w:r>
      <w:r>
        <w:rPr>
          <w:spacing w:val="-3"/>
          <w:sz w:val="24"/>
        </w:rPr>
        <w:t>la</w:t>
      </w:r>
      <w:r>
        <w:rPr>
          <w:spacing w:val="-15"/>
          <w:sz w:val="24"/>
        </w:rPr>
        <w:t> </w:t>
      </w:r>
      <w:r>
        <w:rPr>
          <w:sz w:val="24"/>
        </w:rPr>
        <w:t>enfermedad</w:t>
      </w:r>
    </w:p>
    <w:p>
      <w:pPr>
        <w:pStyle w:val="ListParagraph"/>
        <w:numPr>
          <w:ilvl w:val="1"/>
          <w:numId w:val="22"/>
        </w:numPr>
        <w:tabs>
          <w:tab w:pos="699" w:val="left" w:leader="none"/>
          <w:tab w:pos="700" w:val="left" w:leader="none"/>
        </w:tabs>
        <w:spacing w:line="240" w:lineRule="auto" w:before="134" w:after="0"/>
        <w:ind w:left="699" w:right="0" w:hanging="470"/>
        <w:jc w:val="left"/>
        <w:rPr>
          <w:sz w:val="24"/>
        </w:rPr>
      </w:pPr>
      <w:r>
        <w:rPr>
          <w:sz w:val="24"/>
        </w:rPr>
        <w:t>y</w:t>
      </w:r>
      <w:r>
        <w:rPr>
          <w:spacing w:val="10"/>
          <w:sz w:val="24"/>
        </w:rPr>
        <w:t> </w:t>
      </w:r>
      <w:r>
        <w:rPr>
          <w:sz w:val="24"/>
        </w:rPr>
        <w:t>del</w:t>
      </w:r>
      <w:r>
        <w:rPr>
          <w:spacing w:val="16"/>
          <w:sz w:val="24"/>
        </w:rPr>
        <w:t> </w:t>
      </w:r>
      <w:r>
        <w:rPr>
          <w:sz w:val="24"/>
        </w:rPr>
        <w:t>niel</w:t>
      </w:r>
      <w:r>
        <w:rPr>
          <w:spacing w:val="11"/>
          <w:sz w:val="24"/>
        </w:rPr>
        <w:t> </w:t>
      </w:r>
      <w:r>
        <w:rPr>
          <w:sz w:val="24"/>
        </w:rPr>
        <w:t>de</w:t>
      </w:r>
      <w:r>
        <w:rPr>
          <w:spacing w:val="19"/>
          <w:sz w:val="24"/>
        </w:rPr>
        <w:t> </w:t>
      </w:r>
      <w:r>
        <w:rPr>
          <w:sz w:val="24"/>
        </w:rPr>
        <w:t>mortalidad</w:t>
      </w:r>
      <w:r>
        <w:rPr>
          <w:spacing w:val="15"/>
          <w:sz w:val="24"/>
        </w:rPr>
        <w:t> </w:t>
      </w:r>
      <w:r>
        <w:rPr>
          <w:sz w:val="24"/>
        </w:rPr>
        <w:t>(Mauel</w:t>
      </w:r>
      <w:r>
        <w:rPr>
          <w:spacing w:val="11"/>
          <w:sz w:val="24"/>
        </w:rPr>
        <w:t> </w:t>
      </w:r>
      <w:r>
        <w:rPr>
          <w:sz w:val="24"/>
        </w:rPr>
        <w:t>y</w:t>
      </w:r>
      <w:r>
        <w:rPr>
          <w:spacing w:val="15"/>
          <w:sz w:val="24"/>
        </w:rPr>
        <w:t> </w:t>
      </w:r>
      <w:r>
        <w:rPr>
          <w:sz w:val="24"/>
        </w:rPr>
        <w:t>col</w:t>
      </w:r>
      <w:r>
        <w:rPr>
          <w:spacing w:val="6"/>
          <w:sz w:val="24"/>
        </w:rPr>
        <w:t> </w:t>
      </w:r>
      <w:r>
        <w:rPr>
          <w:sz w:val="24"/>
        </w:rPr>
        <w:t>2007).</w:t>
      </w:r>
      <w:r>
        <w:rPr>
          <w:spacing w:val="24"/>
          <w:sz w:val="24"/>
        </w:rPr>
        <w:t> </w:t>
      </w:r>
      <w:r>
        <w:rPr>
          <w:color w:val="0E0D0C"/>
          <w:sz w:val="24"/>
        </w:rPr>
        <w:t>Mauel</w:t>
      </w:r>
      <w:r>
        <w:rPr>
          <w:color w:val="0E0D0C"/>
          <w:spacing w:val="11"/>
          <w:sz w:val="24"/>
        </w:rPr>
        <w:t> </w:t>
      </w:r>
      <w:r>
        <w:rPr>
          <w:color w:val="0E0D0C"/>
          <w:sz w:val="24"/>
        </w:rPr>
        <w:t>y</w:t>
      </w:r>
      <w:r>
        <w:rPr>
          <w:color w:val="0E0D0C"/>
          <w:spacing w:val="10"/>
          <w:sz w:val="24"/>
        </w:rPr>
        <w:t> </w:t>
      </w:r>
      <w:r>
        <w:rPr>
          <w:color w:val="0E0D0C"/>
          <w:spacing w:val="2"/>
          <w:sz w:val="24"/>
        </w:rPr>
        <w:t>col</w:t>
      </w:r>
      <w:r>
        <w:rPr>
          <w:color w:val="0E0D0C"/>
          <w:spacing w:val="6"/>
          <w:sz w:val="24"/>
        </w:rPr>
        <w:t> </w:t>
      </w:r>
      <w:r>
        <w:rPr>
          <w:color w:val="0E0D0C"/>
          <w:sz w:val="24"/>
        </w:rPr>
        <w:t>2005</w:t>
      </w:r>
      <w:r>
        <w:rPr>
          <w:color w:val="0E0D0C"/>
          <w:spacing w:val="20"/>
          <w:sz w:val="24"/>
        </w:rPr>
        <w:t> </w:t>
      </w:r>
      <w:r>
        <w:rPr>
          <w:color w:val="0E0D0C"/>
          <w:sz w:val="24"/>
        </w:rPr>
        <w:t>informaron</w:t>
      </w:r>
      <w:r>
        <w:rPr>
          <w:color w:val="0E0D0C"/>
          <w:spacing w:val="10"/>
          <w:sz w:val="24"/>
        </w:rPr>
        <w:t> </w:t>
      </w:r>
      <w:r>
        <w:rPr>
          <w:color w:val="0E0D0C"/>
          <w:sz w:val="24"/>
        </w:rPr>
        <w:t>que</w:t>
      </w:r>
      <w:r>
        <w:rPr>
          <w:color w:val="0E0D0C"/>
          <w:spacing w:val="14"/>
          <w:sz w:val="24"/>
        </w:rPr>
        <w:t> </w:t>
      </w:r>
      <w:r>
        <w:rPr>
          <w:color w:val="0E0D0C"/>
          <w:sz w:val="24"/>
        </w:rPr>
        <w:t>se</w:t>
      </w:r>
      <w:r>
        <w:rPr>
          <w:color w:val="0E0D0C"/>
          <w:spacing w:val="14"/>
          <w:sz w:val="24"/>
        </w:rPr>
        <w:t> </w:t>
      </w:r>
      <w:r>
        <w:rPr>
          <w:color w:val="0E0D0C"/>
          <w:sz w:val="24"/>
        </w:rPr>
        <w:t>registra</w:t>
      </w:r>
    </w:p>
    <w:p>
      <w:pPr>
        <w:pStyle w:val="ListParagraph"/>
        <w:numPr>
          <w:ilvl w:val="1"/>
          <w:numId w:val="22"/>
        </w:numPr>
        <w:tabs>
          <w:tab w:pos="699" w:val="left" w:leader="none"/>
          <w:tab w:pos="700" w:val="left" w:leader="none"/>
        </w:tabs>
        <w:spacing w:line="240" w:lineRule="auto" w:before="129" w:after="0"/>
        <w:ind w:left="699" w:right="0" w:hanging="470"/>
        <w:jc w:val="left"/>
        <w:rPr>
          <w:sz w:val="24"/>
        </w:rPr>
      </w:pPr>
      <w:r>
        <w:rPr>
          <w:color w:val="0E0D0C"/>
          <w:sz w:val="24"/>
        </w:rPr>
        <w:t>mayor mortalidad a temperatura entre 21.5 a </w:t>
      </w:r>
      <w:r>
        <w:rPr>
          <w:color w:val="0E0D0C"/>
          <w:spacing w:val="-3"/>
          <w:sz w:val="24"/>
        </w:rPr>
        <w:t>26.3°C. </w:t>
      </w:r>
      <w:r>
        <w:rPr>
          <w:color w:val="0E0D0C"/>
          <w:sz w:val="24"/>
        </w:rPr>
        <w:t>por tanto   </w:t>
      </w:r>
      <w:r>
        <w:rPr>
          <w:color w:val="0E0D0C"/>
          <w:spacing w:val="40"/>
          <w:sz w:val="24"/>
        </w:rPr>
        <w:t> </w:t>
      </w:r>
      <w:r>
        <w:rPr>
          <w:color w:val="0E0D0C"/>
          <w:spacing w:val="-5"/>
          <w:sz w:val="24"/>
        </w:rPr>
        <w:t>la  </w:t>
      </w:r>
      <w:r>
        <w:rPr>
          <w:color w:val="0E0D0C"/>
          <w:sz w:val="24"/>
        </w:rPr>
        <w:t>mortalidad reportada en</w:t>
      </w:r>
    </w:p>
    <w:p>
      <w:pPr>
        <w:pStyle w:val="ListParagraph"/>
        <w:numPr>
          <w:ilvl w:val="1"/>
          <w:numId w:val="22"/>
        </w:numPr>
        <w:tabs>
          <w:tab w:pos="699" w:val="left" w:leader="none"/>
          <w:tab w:pos="700" w:val="left" w:leader="none"/>
        </w:tabs>
        <w:spacing w:line="240" w:lineRule="auto" w:before="130" w:after="0"/>
        <w:ind w:left="699" w:right="0" w:hanging="470"/>
        <w:jc w:val="left"/>
        <w:rPr>
          <w:sz w:val="24"/>
        </w:rPr>
      </w:pPr>
      <w:r>
        <w:rPr>
          <w:color w:val="0E0D0C"/>
          <w:sz w:val="24"/>
        </w:rPr>
        <w:t>este  brote de enfermedad  podría  explicarse  porque  su ocurrencia  se  registró  cuando </w:t>
      </w:r>
      <w:r>
        <w:rPr>
          <w:color w:val="0E0D0C"/>
          <w:spacing w:val="50"/>
          <w:sz w:val="24"/>
        </w:rPr>
        <w:t> </w:t>
      </w:r>
      <w:r>
        <w:rPr>
          <w:color w:val="0E0D0C"/>
          <w:spacing w:val="-5"/>
          <w:sz w:val="24"/>
        </w:rPr>
        <w:t>la</w:t>
      </w:r>
    </w:p>
    <w:p>
      <w:pPr>
        <w:pStyle w:val="ListParagraph"/>
        <w:numPr>
          <w:ilvl w:val="1"/>
          <w:numId w:val="22"/>
        </w:numPr>
        <w:tabs>
          <w:tab w:pos="699" w:val="left" w:leader="none"/>
          <w:tab w:pos="700" w:val="left" w:leader="none"/>
        </w:tabs>
        <w:spacing w:line="240" w:lineRule="auto" w:before="129" w:after="0"/>
        <w:ind w:left="699" w:right="0" w:hanging="470"/>
        <w:jc w:val="left"/>
        <w:rPr>
          <w:sz w:val="24"/>
        </w:rPr>
      </w:pPr>
      <w:r>
        <w:rPr>
          <w:color w:val="0E0D0C"/>
          <w:sz w:val="24"/>
        </w:rPr>
        <w:t>temperatura</w:t>
      </w:r>
      <w:r>
        <w:rPr>
          <w:color w:val="0E0D0C"/>
          <w:spacing w:val="-7"/>
          <w:sz w:val="24"/>
        </w:rPr>
        <w:t> </w:t>
      </w:r>
      <w:r>
        <w:rPr>
          <w:color w:val="0E0D0C"/>
          <w:sz w:val="24"/>
        </w:rPr>
        <w:t>del</w:t>
      </w:r>
      <w:r>
        <w:rPr>
          <w:color w:val="0E0D0C"/>
          <w:spacing w:val="-15"/>
          <w:sz w:val="24"/>
        </w:rPr>
        <w:t> </w:t>
      </w:r>
      <w:r>
        <w:rPr>
          <w:color w:val="0E0D0C"/>
          <w:sz w:val="24"/>
        </w:rPr>
        <w:t>agua</w:t>
      </w:r>
      <w:r>
        <w:rPr>
          <w:color w:val="0E0D0C"/>
          <w:spacing w:val="-7"/>
          <w:sz w:val="24"/>
        </w:rPr>
        <w:t> </w:t>
      </w:r>
      <w:r>
        <w:rPr>
          <w:color w:val="0E0D0C"/>
          <w:sz w:val="24"/>
        </w:rPr>
        <w:t>en</w:t>
      </w:r>
      <w:r>
        <w:rPr>
          <w:color w:val="0E0D0C"/>
          <w:spacing w:val="-11"/>
          <w:sz w:val="24"/>
        </w:rPr>
        <w:t> </w:t>
      </w:r>
      <w:r>
        <w:rPr>
          <w:color w:val="0E0D0C"/>
          <w:spacing w:val="-5"/>
          <w:sz w:val="24"/>
        </w:rPr>
        <w:t>la</w:t>
      </w:r>
      <w:r>
        <w:rPr>
          <w:color w:val="0E0D0C"/>
          <w:spacing w:val="-7"/>
          <w:sz w:val="24"/>
        </w:rPr>
        <w:t> </w:t>
      </w:r>
      <w:r>
        <w:rPr>
          <w:color w:val="0E0D0C"/>
          <w:sz w:val="24"/>
        </w:rPr>
        <w:t>zona</w:t>
      </w:r>
      <w:r>
        <w:rPr>
          <w:color w:val="0E0D0C"/>
          <w:spacing w:val="-7"/>
          <w:sz w:val="24"/>
        </w:rPr>
        <w:t> </w:t>
      </w:r>
      <w:r>
        <w:rPr>
          <w:color w:val="0E0D0C"/>
          <w:sz w:val="24"/>
        </w:rPr>
        <w:t>es</w:t>
      </w:r>
      <w:r>
        <w:rPr>
          <w:color w:val="0E0D0C"/>
          <w:spacing w:val="-8"/>
          <w:sz w:val="24"/>
        </w:rPr>
        <w:t> </w:t>
      </w:r>
      <w:r>
        <w:rPr>
          <w:color w:val="0E0D0C"/>
          <w:sz w:val="24"/>
        </w:rPr>
        <w:t>de</w:t>
      </w:r>
      <w:r>
        <w:rPr>
          <w:color w:val="0E0D0C"/>
          <w:spacing w:val="-7"/>
          <w:sz w:val="24"/>
        </w:rPr>
        <w:t> </w:t>
      </w:r>
      <w:r>
        <w:rPr>
          <w:color w:val="0E0D0C"/>
          <w:sz w:val="24"/>
        </w:rPr>
        <w:t>alrededor</w:t>
      </w:r>
      <w:r>
        <w:rPr>
          <w:color w:val="0E0D0C"/>
          <w:spacing w:val="-9"/>
          <w:sz w:val="24"/>
        </w:rPr>
        <w:t> </w:t>
      </w:r>
      <w:r>
        <w:rPr>
          <w:color w:val="0E0D0C"/>
          <w:sz w:val="24"/>
        </w:rPr>
        <w:t>de</w:t>
      </w:r>
      <w:r>
        <w:rPr>
          <w:color w:val="0E0D0C"/>
          <w:spacing w:val="-12"/>
          <w:sz w:val="24"/>
        </w:rPr>
        <w:t> </w:t>
      </w:r>
      <w:r>
        <w:rPr>
          <w:color w:val="0E0D0C"/>
          <w:sz w:val="24"/>
        </w:rPr>
        <w:t>26°C</w:t>
      </w:r>
      <w:r>
        <w:rPr>
          <w:color w:val="0E0D0C"/>
          <w:spacing w:val="-8"/>
          <w:sz w:val="24"/>
        </w:rPr>
        <w:t> </w:t>
      </w:r>
      <w:r>
        <w:rPr>
          <w:color w:val="0E0D0C"/>
          <w:sz w:val="24"/>
        </w:rPr>
        <w:t>en</w:t>
      </w:r>
      <w:r>
        <w:rPr>
          <w:color w:val="0E0D0C"/>
          <w:spacing w:val="-11"/>
          <w:sz w:val="24"/>
        </w:rPr>
        <w:t> </w:t>
      </w:r>
      <w:r>
        <w:rPr>
          <w:color w:val="0E0D0C"/>
          <w:sz w:val="24"/>
        </w:rPr>
        <w:t>el</w:t>
      </w:r>
      <w:r>
        <w:rPr>
          <w:color w:val="0E0D0C"/>
          <w:spacing w:val="-10"/>
          <w:sz w:val="24"/>
        </w:rPr>
        <w:t> </w:t>
      </w:r>
      <w:r>
        <w:rPr>
          <w:color w:val="0E0D0C"/>
          <w:sz w:val="24"/>
        </w:rPr>
        <w:t>invierno</w:t>
      </w:r>
      <w:r>
        <w:rPr>
          <w:color w:val="0E0D0C"/>
          <w:spacing w:val="-2"/>
          <w:sz w:val="24"/>
        </w:rPr>
        <w:t> </w:t>
      </w:r>
      <w:r>
        <w:rPr>
          <w:color w:val="0E0D0C"/>
          <w:sz w:val="24"/>
        </w:rPr>
        <w:t>mexicano.</w:t>
      </w:r>
      <w:r>
        <w:rPr>
          <w:color w:val="0E0D0C"/>
          <w:spacing w:val="-8"/>
          <w:sz w:val="24"/>
        </w:rPr>
        <w:t> </w:t>
      </w:r>
      <w:r>
        <w:rPr>
          <w:color w:val="0E0D0C"/>
          <w:sz w:val="24"/>
        </w:rPr>
        <w:t>Otro</w:t>
      </w:r>
      <w:r>
        <w:rPr>
          <w:color w:val="0E0D0C"/>
          <w:spacing w:val="-6"/>
          <w:sz w:val="24"/>
        </w:rPr>
        <w:t> </w:t>
      </w:r>
      <w:r>
        <w:rPr>
          <w:color w:val="0E0D0C"/>
          <w:sz w:val="24"/>
        </w:rPr>
        <w:t>factor</w:t>
      </w:r>
    </w:p>
    <w:p>
      <w:pPr>
        <w:pStyle w:val="ListParagraph"/>
        <w:numPr>
          <w:ilvl w:val="1"/>
          <w:numId w:val="22"/>
        </w:numPr>
        <w:tabs>
          <w:tab w:pos="699" w:val="left" w:leader="none"/>
          <w:tab w:pos="700" w:val="left" w:leader="none"/>
        </w:tabs>
        <w:spacing w:line="240" w:lineRule="auto" w:before="134" w:after="0"/>
        <w:ind w:left="699" w:right="0" w:hanging="470"/>
        <w:jc w:val="left"/>
        <w:rPr>
          <w:sz w:val="24"/>
        </w:rPr>
      </w:pPr>
      <w:r>
        <w:rPr>
          <w:color w:val="0E0D0C"/>
          <w:sz w:val="24"/>
        </w:rPr>
        <w:t>crítico</w:t>
      </w:r>
      <w:r>
        <w:rPr>
          <w:color w:val="0E0D0C"/>
          <w:spacing w:val="20"/>
          <w:sz w:val="24"/>
        </w:rPr>
        <w:t> </w:t>
      </w:r>
      <w:r>
        <w:rPr>
          <w:color w:val="0E0D0C"/>
          <w:sz w:val="24"/>
        </w:rPr>
        <w:t>en</w:t>
      </w:r>
      <w:r>
        <w:rPr>
          <w:color w:val="0E0D0C"/>
          <w:spacing w:val="15"/>
          <w:sz w:val="24"/>
        </w:rPr>
        <w:t> </w:t>
      </w:r>
      <w:r>
        <w:rPr>
          <w:color w:val="0E0D0C"/>
          <w:spacing w:val="-5"/>
          <w:sz w:val="24"/>
        </w:rPr>
        <w:t>la</w:t>
      </w:r>
      <w:r>
        <w:rPr>
          <w:color w:val="0E0D0C"/>
          <w:spacing w:val="14"/>
          <w:sz w:val="24"/>
        </w:rPr>
        <w:t> </w:t>
      </w:r>
      <w:r>
        <w:rPr>
          <w:color w:val="0E0D0C"/>
          <w:sz w:val="24"/>
        </w:rPr>
        <w:t>transmisión</w:t>
      </w:r>
      <w:r>
        <w:rPr>
          <w:color w:val="0E0D0C"/>
          <w:spacing w:val="15"/>
          <w:sz w:val="24"/>
        </w:rPr>
        <w:t> </w:t>
      </w:r>
      <w:r>
        <w:rPr>
          <w:color w:val="0E0D0C"/>
          <w:sz w:val="24"/>
        </w:rPr>
        <w:t>de</w:t>
      </w:r>
      <w:r>
        <w:rPr>
          <w:color w:val="0E0D0C"/>
          <w:spacing w:val="19"/>
          <w:sz w:val="24"/>
        </w:rPr>
        <w:t> </w:t>
      </w:r>
      <w:r>
        <w:rPr>
          <w:color w:val="0E0D0C"/>
          <w:spacing w:val="-5"/>
          <w:sz w:val="24"/>
        </w:rPr>
        <w:t>la</w:t>
      </w:r>
      <w:r>
        <w:rPr>
          <w:color w:val="0E0D0C"/>
          <w:spacing w:val="14"/>
          <w:sz w:val="24"/>
        </w:rPr>
        <w:t> </w:t>
      </w:r>
      <w:r>
        <w:rPr>
          <w:color w:val="0E0D0C"/>
          <w:sz w:val="24"/>
        </w:rPr>
        <w:t>enfermedad</w:t>
      </w:r>
      <w:r>
        <w:rPr>
          <w:color w:val="0E0D0C"/>
          <w:spacing w:val="15"/>
          <w:sz w:val="24"/>
        </w:rPr>
        <w:t> </w:t>
      </w:r>
      <w:r>
        <w:rPr>
          <w:color w:val="0E0D0C"/>
          <w:sz w:val="24"/>
        </w:rPr>
        <w:t>es</w:t>
      </w:r>
      <w:r>
        <w:rPr>
          <w:color w:val="0E0D0C"/>
          <w:spacing w:val="18"/>
          <w:sz w:val="24"/>
        </w:rPr>
        <w:t> </w:t>
      </w:r>
      <w:r>
        <w:rPr>
          <w:color w:val="0E0D0C"/>
          <w:spacing w:val="-3"/>
          <w:sz w:val="24"/>
        </w:rPr>
        <w:t>la</w:t>
      </w:r>
      <w:r>
        <w:rPr>
          <w:color w:val="0E0D0C"/>
          <w:spacing w:val="14"/>
          <w:sz w:val="24"/>
        </w:rPr>
        <w:t> </w:t>
      </w:r>
      <w:r>
        <w:rPr>
          <w:color w:val="0E0D0C"/>
          <w:sz w:val="24"/>
        </w:rPr>
        <w:t>recirculación</w:t>
      </w:r>
      <w:r>
        <w:rPr>
          <w:color w:val="0E0D0C"/>
          <w:spacing w:val="10"/>
          <w:sz w:val="24"/>
        </w:rPr>
        <w:t> </w:t>
      </w:r>
      <w:r>
        <w:rPr>
          <w:color w:val="0E0D0C"/>
          <w:sz w:val="24"/>
        </w:rPr>
        <w:t>de</w:t>
      </w:r>
      <w:r>
        <w:rPr>
          <w:color w:val="0E0D0C"/>
          <w:spacing w:val="14"/>
          <w:sz w:val="24"/>
        </w:rPr>
        <w:t> </w:t>
      </w:r>
      <w:r>
        <w:rPr>
          <w:color w:val="0E0D0C"/>
          <w:sz w:val="24"/>
        </w:rPr>
        <w:t>agua</w:t>
      </w:r>
      <w:r>
        <w:rPr>
          <w:color w:val="0E0D0C"/>
          <w:spacing w:val="14"/>
          <w:sz w:val="24"/>
        </w:rPr>
        <w:t> </w:t>
      </w:r>
      <w:r>
        <w:rPr>
          <w:color w:val="0E0D0C"/>
          <w:sz w:val="24"/>
        </w:rPr>
        <w:t>en</w:t>
      </w:r>
      <w:r>
        <w:rPr>
          <w:color w:val="0E0D0C"/>
          <w:spacing w:val="10"/>
          <w:sz w:val="24"/>
        </w:rPr>
        <w:t> </w:t>
      </w:r>
      <w:r>
        <w:rPr>
          <w:color w:val="0E0D0C"/>
          <w:sz w:val="24"/>
        </w:rPr>
        <w:t>sistemas</w:t>
      </w:r>
      <w:r>
        <w:rPr>
          <w:color w:val="0E0D0C"/>
          <w:spacing w:val="13"/>
          <w:sz w:val="24"/>
        </w:rPr>
        <w:t> </w:t>
      </w:r>
      <w:r>
        <w:rPr>
          <w:color w:val="0E0D0C"/>
          <w:sz w:val="24"/>
        </w:rPr>
        <w:t>con</w:t>
      </w:r>
      <w:r>
        <w:rPr>
          <w:color w:val="0E0D0C"/>
          <w:spacing w:val="10"/>
          <w:sz w:val="24"/>
        </w:rPr>
        <w:t> </w:t>
      </w:r>
      <w:r>
        <w:rPr>
          <w:color w:val="0E0D0C"/>
          <w:sz w:val="24"/>
        </w:rPr>
        <w:t>alta</w:t>
      </w:r>
    </w:p>
    <w:p>
      <w:pPr>
        <w:pStyle w:val="ListParagraph"/>
        <w:numPr>
          <w:ilvl w:val="1"/>
          <w:numId w:val="22"/>
        </w:numPr>
        <w:tabs>
          <w:tab w:pos="699" w:val="left" w:leader="none"/>
          <w:tab w:pos="700" w:val="left" w:leader="none"/>
        </w:tabs>
        <w:spacing w:line="240" w:lineRule="auto" w:before="129" w:after="0"/>
        <w:ind w:left="699" w:right="0" w:hanging="470"/>
        <w:jc w:val="left"/>
        <w:rPr>
          <w:sz w:val="24"/>
        </w:rPr>
      </w:pPr>
      <w:r>
        <w:rPr>
          <w:color w:val="0E0D0C"/>
          <w:sz w:val="24"/>
        </w:rPr>
        <w:t>biomasa que favorece el contacto de peces y eliminación de desechos (Jeffery y col </w:t>
      </w:r>
      <w:r>
        <w:rPr>
          <w:color w:val="0E0D0C"/>
          <w:spacing w:val="53"/>
          <w:sz w:val="24"/>
        </w:rPr>
        <w:t> </w:t>
      </w:r>
      <w:r>
        <w:rPr>
          <w:color w:val="0E0D0C"/>
          <w:sz w:val="24"/>
        </w:rPr>
        <w:t>2010),</w:t>
      </w:r>
    </w:p>
    <w:p>
      <w:pPr>
        <w:pStyle w:val="ListParagraph"/>
        <w:numPr>
          <w:ilvl w:val="1"/>
          <w:numId w:val="22"/>
        </w:numPr>
        <w:tabs>
          <w:tab w:pos="699" w:val="left" w:leader="none"/>
          <w:tab w:pos="700" w:val="left" w:leader="none"/>
        </w:tabs>
        <w:spacing w:line="240" w:lineRule="auto" w:before="130" w:after="0"/>
        <w:ind w:left="699" w:right="0" w:hanging="470"/>
        <w:jc w:val="left"/>
        <w:rPr>
          <w:sz w:val="24"/>
        </w:rPr>
      </w:pPr>
      <w:r>
        <w:rPr>
          <w:color w:val="0E0D0C"/>
          <w:sz w:val="24"/>
        </w:rPr>
        <w:t>situaciones que convergen en </w:t>
      </w:r>
      <w:r>
        <w:rPr>
          <w:color w:val="0E0D0C"/>
          <w:spacing w:val="-5"/>
          <w:sz w:val="24"/>
        </w:rPr>
        <w:t>la </w:t>
      </w:r>
      <w:r>
        <w:rPr>
          <w:color w:val="0E0D0C"/>
          <w:sz w:val="24"/>
        </w:rPr>
        <w:t>granja de este estudio, donde </w:t>
      </w:r>
      <w:r>
        <w:rPr>
          <w:color w:val="0E0D0C"/>
          <w:spacing w:val="-5"/>
          <w:sz w:val="24"/>
        </w:rPr>
        <w:t>la </w:t>
      </w:r>
      <w:r>
        <w:rPr>
          <w:color w:val="0E0D0C"/>
          <w:sz w:val="24"/>
        </w:rPr>
        <w:t>alta mortalidad  </w:t>
      </w:r>
      <w:r>
        <w:rPr>
          <w:color w:val="0E0D0C"/>
          <w:spacing w:val="40"/>
          <w:sz w:val="24"/>
        </w:rPr>
        <w:t> </w:t>
      </w:r>
      <w:r>
        <w:rPr>
          <w:color w:val="0E0D0C"/>
          <w:sz w:val="24"/>
        </w:rPr>
        <w:t>observada</w:t>
      </w:r>
    </w:p>
    <w:p>
      <w:pPr>
        <w:pStyle w:val="ListParagraph"/>
        <w:numPr>
          <w:ilvl w:val="1"/>
          <w:numId w:val="22"/>
        </w:numPr>
        <w:tabs>
          <w:tab w:pos="699" w:val="left" w:leader="none"/>
          <w:tab w:pos="700" w:val="left" w:leader="none"/>
        </w:tabs>
        <w:spacing w:line="240" w:lineRule="auto" w:before="129" w:after="0"/>
        <w:ind w:left="699" w:right="0" w:hanging="470"/>
        <w:jc w:val="left"/>
        <w:rPr>
          <w:sz w:val="24"/>
        </w:rPr>
      </w:pPr>
      <w:r>
        <w:rPr>
          <w:color w:val="0E0D0C"/>
          <w:sz w:val="24"/>
        </w:rPr>
        <w:t>también está asociada al </w:t>
      </w:r>
      <w:r>
        <w:rPr>
          <w:color w:val="0E0D0C"/>
          <w:spacing w:val="-3"/>
          <w:sz w:val="24"/>
        </w:rPr>
        <w:t>manejo </w:t>
      </w:r>
      <w:r>
        <w:rPr>
          <w:color w:val="0E0D0C"/>
          <w:sz w:val="24"/>
        </w:rPr>
        <w:t>de constante de </w:t>
      </w:r>
      <w:r>
        <w:rPr>
          <w:color w:val="0E0D0C"/>
          <w:spacing w:val="-4"/>
          <w:sz w:val="24"/>
        </w:rPr>
        <w:t>los </w:t>
      </w:r>
      <w:r>
        <w:rPr>
          <w:color w:val="0E0D0C"/>
          <w:sz w:val="24"/>
        </w:rPr>
        <w:t>animales utilizados como</w:t>
      </w:r>
      <w:r>
        <w:rPr>
          <w:color w:val="0E0D0C"/>
          <w:spacing w:val="-6"/>
          <w:sz w:val="24"/>
        </w:rPr>
        <w:t> </w:t>
      </w:r>
      <w:r>
        <w:rPr>
          <w:color w:val="0E0D0C"/>
          <w:sz w:val="24"/>
        </w:rPr>
        <w:t>reproductores</w:t>
      </w:r>
    </w:p>
    <w:p>
      <w:pPr>
        <w:pStyle w:val="ListParagraph"/>
        <w:numPr>
          <w:ilvl w:val="1"/>
          <w:numId w:val="22"/>
        </w:numPr>
        <w:tabs>
          <w:tab w:pos="699" w:val="left" w:leader="none"/>
          <w:tab w:pos="700" w:val="left" w:leader="none"/>
        </w:tabs>
        <w:spacing w:line="240" w:lineRule="auto" w:before="134" w:after="0"/>
        <w:ind w:left="699" w:right="0" w:hanging="581"/>
        <w:jc w:val="left"/>
        <w:rPr>
          <w:sz w:val="24"/>
        </w:rPr>
      </w:pPr>
      <w:r>
        <w:rPr>
          <w:color w:val="0E0D0C"/>
          <w:sz w:val="24"/>
        </w:rPr>
        <w:t>(Mauel y </w:t>
      </w:r>
      <w:r>
        <w:rPr>
          <w:color w:val="0E0D0C"/>
          <w:spacing w:val="2"/>
          <w:sz w:val="24"/>
        </w:rPr>
        <w:t>col </w:t>
      </w:r>
      <w:r>
        <w:rPr>
          <w:color w:val="0E0D0C"/>
          <w:sz w:val="24"/>
        </w:rPr>
        <w:t>2003; Mauel y col 2007; Soto y </w:t>
      </w:r>
      <w:r>
        <w:rPr>
          <w:color w:val="0E0D0C"/>
          <w:spacing w:val="2"/>
          <w:sz w:val="24"/>
        </w:rPr>
        <w:t>col </w:t>
      </w:r>
      <w:r>
        <w:rPr>
          <w:color w:val="0E0D0C"/>
          <w:sz w:val="24"/>
        </w:rPr>
        <w:t>2009b). </w:t>
      </w:r>
      <w:r>
        <w:rPr>
          <w:color w:val="0E0D0C"/>
          <w:spacing w:val="2"/>
          <w:sz w:val="24"/>
        </w:rPr>
        <w:t>Si </w:t>
      </w:r>
      <w:r>
        <w:rPr>
          <w:color w:val="0E0D0C"/>
          <w:sz w:val="24"/>
        </w:rPr>
        <w:t>bien </w:t>
      </w:r>
      <w:r>
        <w:rPr>
          <w:color w:val="0E0D0C"/>
          <w:spacing w:val="-3"/>
          <w:sz w:val="24"/>
        </w:rPr>
        <w:t>no </w:t>
      </w:r>
      <w:r>
        <w:rPr>
          <w:color w:val="0E0D0C"/>
          <w:sz w:val="24"/>
        </w:rPr>
        <w:t>se </w:t>
      </w:r>
      <w:r>
        <w:rPr>
          <w:color w:val="0E0D0C"/>
          <w:spacing w:val="-3"/>
          <w:sz w:val="24"/>
        </w:rPr>
        <w:t>ha </w:t>
      </w:r>
      <w:r>
        <w:rPr>
          <w:color w:val="0E0D0C"/>
          <w:sz w:val="24"/>
        </w:rPr>
        <w:t>demostrado  </w:t>
      </w:r>
      <w:r>
        <w:rPr>
          <w:color w:val="0E0D0C"/>
          <w:spacing w:val="34"/>
          <w:sz w:val="24"/>
        </w:rPr>
        <w:t> </w:t>
      </w:r>
      <w:r>
        <w:rPr>
          <w:color w:val="0E0D0C"/>
          <w:sz w:val="24"/>
        </w:rPr>
        <w:t>una</w:t>
      </w:r>
    </w:p>
    <w:p>
      <w:pPr>
        <w:pStyle w:val="ListParagraph"/>
        <w:numPr>
          <w:ilvl w:val="1"/>
          <w:numId w:val="22"/>
        </w:numPr>
        <w:tabs>
          <w:tab w:pos="699" w:val="left" w:leader="none"/>
          <w:tab w:pos="700" w:val="left" w:leader="none"/>
        </w:tabs>
        <w:spacing w:line="240" w:lineRule="auto" w:before="129" w:after="0"/>
        <w:ind w:left="699" w:right="0" w:hanging="581"/>
        <w:jc w:val="left"/>
        <w:rPr>
          <w:sz w:val="24"/>
        </w:rPr>
      </w:pPr>
      <w:r>
        <w:rPr>
          <w:color w:val="0E0D0C"/>
          <w:sz w:val="24"/>
        </w:rPr>
        <w:t>transmisión vertical,  </w:t>
      </w:r>
      <w:r>
        <w:rPr>
          <w:color w:val="0E0D0C"/>
          <w:spacing w:val="-5"/>
          <w:sz w:val="24"/>
        </w:rPr>
        <w:t>la  </w:t>
      </w:r>
      <w:r>
        <w:rPr>
          <w:color w:val="0E0D0C"/>
          <w:sz w:val="24"/>
        </w:rPr>
        <w:t>enfermedad  también se ha diagnosticado  en </w:t>
      </w:r>
      <w:r>
        <w:rPr>
          <w:color w:val="0E0D0C"/>
          <w:spacing w:val="-3"/>
          <w:sz w:val="24"/>
        </w:rPr>
        <w:t>crías,  </w:t>
      </w:r>
      <w:r>
        <w:rPr>
          <w:color w:val="0E0D0C"/>
          <w:spacing w:val="17"/>
          <w:sz w:val="24"/>
        </w:rPr>
        <w:t> </w:t>
      </w:r>
      <w:r>
        <w:rPr>
          <w:color w:val="0E0D0C"/>
          <w:sz w:val="24"/>
        </w:rPr>
        <w:t>aparentemente</w:t>
      </w:r>
    </w:p>
    <w:p>
      <w:pPr>
        <w:pStyle w:val="ListParagraph"/>
        <w:numPr>
          <w:ilvl w:val="1"/>
          <w:numId w:val="22"/>
        </w:numPr>
        <w:tabs>
          <w:tab w:pos="699" w:val="left" w:leader="none"/>
          <w:tab w:pos="700" w:val="left" w:leader="none"/>
        </w:tabs>
        <w:spacing w:line="240" w:lineRule="auto" w:before="130" w:after="0"/>
        <w:ind w:left="699" w:right="0" w:hanging="581"/>
        <w:jc w:val="left"/>
        <w:rPr>
          <w:sz w:val="24"/>
        </w:rPr>
      </w:pPr>
      <w:r>
        <w:rPr>
          <w:color w:val="0E0D0C"/>
          <w:sz w:val="24"/>
        </w:rPr>
        <w:t>facilitada</w:t>
      </w:r>
      <w:r>
        <w:rPr>
          <w:color w:val="0E0D0C"/>
          <w:spacing w:val="-6"/>
          <w:sz w:val="24"/>
        </w:rPr>
        <w:t> </w:t>
      </w:r>
      <w:r>
        <w:rPr>
          <w:color w:val="0E0D0C"/>
          <w:sz w:val="24"/>
        </w:rPr>
        <w:t>por</w:t>
      </w:r>
      <w:r>
        <w:rPr>
          <w:color w:val="0E0D0C"/>
          <w:spacing w:val="-3"/>
          <w:sz w:val="24"/>
        </w:rPr>
        <w:t> </w:t>
      </w:r>
      <w:r>
        <w:rPr>
          <w:color w:val="0E0D0C"/>
          <w:sz w:val="24"/>
        </w:rPr>
        <w:t>el</w:t>
      </w:r>
      <w:r>
        <w:rPr>
          <w:color w:val="0E0D0C"/>
          <w:spacing w:val="-14"/>
          <w:sz w:val="24"/>
        </w:rPr>
        <w:t> </w:t>
      </w:r>
      <w:r>
        <w:rPr>
          <w:color w:val="0E0D0C"/>
          <w:sz w:val="24"/>
        </w:rPr>
        <w:t>sistema</w:t>
      </w:r>
      <w:r>
        <w:rPr>
          <w:color w:val="0E0D0C"/>
          <w:spacing w:val="-6"/>
          <w:sz w:val="24"/>
        </w:rPr>
        <w:t> </w:t>
      </w:r>
      <w:r>
        <w:rPr>
          <w:color w:val="0E0D0C"/>
          <w:sz w:val="24"/>
        </w:rPr>
        <w:t>de</w:t>
      </w:r>
      <w:r>
        <w:rPr>
          <w:color w:val="0E0D0C"/>
          <w:spacing w:val="-6"/>
          <w:sz w:val="24"/>
        </w:rPr>
        <w:t> </w:t>
      </w:r>
      <w:r>
        <w:rPr>
          <w:color w:val="0E0D0C"/>
          <w:sz w:val="24"/>
        </w:rPr>
        <w:t>reutilización</w:t>
      </w:r>
      <w:r>
        <w:rPr>
          <w:color w:val="0E0D0C"/>
          <w:spacing w:val="-10"/>
          <w:sz w:val="24"/>
        </w:rPr>
        <w:t> </w:t>
      </w:r>
      <w:r>
        <w:rPr>
          <w:color w:val="0E0D0C"/>
          <w:sz w:val="24"/>
        </w:rPr>
        <w:t>de</w:t>
      </w:r>
      <w:r>
        <w:rPr>
          <w:color w:val="0E0D0C"/>
          <w:spacing w:val="-6"/>
          <w:sz w:val="24"/>
        </w:rPr>
        <w:t> </w:t>
      </w:r>
      <w:r>
        <w:rPr>
          <w:color w:val="0E0D0C"/>
          <w:sz w:val="24"/>
        </w:rPr>
        <w:t>agua</w:t>
      </w:r>
      <w:r>
        <w:rPr>
          <w:color w:val="0E0D0C"/>
          <w:spacing w:val="-1"/>
          <w:sz w:val="24"/>
        </w:rPr>
        <w:t> </w:t>
      </w:r>
      <w:r>
        <w:rPr>
          <w:color w:val="0E0D0C"/>
          <w:sz w:val="24"/>
        </w:rPr>
        <w:t>y</w:t>
      </w:r>
      <w:r>
        <w:rPr>
          <w:color w:val="0E0D0C"/>
          <w:spacing w:val="-10"/>
          <w:sz w:val="24"/>
        </w:rPr>
        <w:t> </w:t>
      </w:r>
      <w:r>
        <w:rPr>
          <w:color w:val="0E0D0C"/>
          <w:sz w:val="24"/>
        </w:rPr>
        <w:t>alta</w:t>
      </w:r>
      <w:r>
        <w:rPr>
          <w:color w:val="0E0D0C"/>
          <w:spacing w:val="-6"/>
          <w:sz w:val="24"/>
        </w:rPr>
        <w:t> </w:t>
      </w:r>
      <w:r>
        <w:rPr>
          <w:color w:val="0E0D0C"/>
          <w:sz w:val="24"/>
        </w:rPr>
        <w:t>biomasa.</w:t>
      </w:r>
      <w:r>
        <w:rPr>
          <w:color w:val="0E0D0C"/>
          <w:spacing w:val="-3"/>
          <w:sz w:val="24"/>
        </w:rPr>
        <w:t> </w:t>
      </w:r>
      <w:r>
        <w:rPr>
          <w:color w:val="0E0D0C"/>
          <w:sz w:val="24"/>
        </w:rPr>
        <w:t>Sin</w:t>
      </w:r>
      <w:r>
        <w:rPr>
          <w:color w:val="0E0D0C"/>
          <w:spacing w:val="-10"/>
          <w:sz w:val="24"/>
        </w:rPr>
        <w:t> </w:t>
      </w:r>
      <w:r>
        <w:rPr>
          <w:color w:val="0E0D0C"/>
          <w:sz w:val="24"/>
        </w:rPr>
        <w:t>embargo,</w:t>
      </w:r>
      <w:r>
        <w:rPr>
          <w:color w:val="0E0D0C"/>
          <w:spacing w:val="-3"/>
          <w:sz w:val="24"/>
        </w:rPr>
        <w:t> </w:t>
      </w:r>
      <w:r>
        <w:rPr>
          <w:color w:val="0E0D0C"/>
          <w:sz w:val="24"/>
        </w:rPr>
        <w:t>el</w:t>
      </w:r>
      <w:r>
        <w:rPr>
          <w:color w:val="0E0D0C"/>
          <w:spacing w:val="-14"/>
          <w:sz w:val="24"/>
        </w:rPr>
        <w:t> </w:t>
      </w:r>
      <w:r>
        <w:rPr>
          <w:color w:val="0E0D0C"/>
          <w:sz w:val="24"/>
        </w:rPr>
        <w:t>origen</w:t>
      </w:r>
      <w:r>
        <w:rPr>
          <w:color w:val="0E0D0C"/>
          <w:spacing w:val="-10"/>
          <w:sz w:val="24"/>
        </w:rPr>
        <w:t> </w:t>
      </w:r>
      <w:r>
        <w:rPr>
          <w:color w:val="0E0D0C"/>
          <w:sz w:val="24"/>
        </w:rPr>
        <w:t>de</w:t>
      </w:r>
      <w:r>
        <w:rPr>
          <w:color w:val="0E0D0C"/>
          <w:spacing w:val="-1"/>
          <w:sz w:val="24"/>
        </w:rPr>
        <w:t> </w:t>
      </w:r>
      <w:r>
        <w:rPr>
          <w:color w:val="0E0D0C"/>
          <w:spacing w:val="-3"/>
          <w:sz w:val="24"/>
        </w:rPr>
        <w:t>la</w:t>
      </w:r>
    </w:p>
    <w:p>
      <w:pPr>
        <w:pStyle w:val="ListParagraph"/>
        <w:numPr>
          <w:ilvl w:val="1"/>
          <w:numId w:val="22"/>
        </w:numPr>
        <w:tabs>
          <w:tab w:pos="699" w:val="left" w:leader="none"/>
          <w:tab w:pos="700" w:val="left" w:leader="none"/>
        </w:tabs>
        <w:spacing w:line="240" w:lineRule="auto" w:before="129" w:after="0"/>
        <w:ind w:left="699" w:right="0" w:hanging="581"/>
        <w:jc w:val="left"/>
        <w:rPr>
          <w:sz w:val="24"/>
        </w:rPr>
      </w:pPr>
      <w:r>
        <w:rPr>
          <w:color w:val="0E0D0C"/>
          <w:sz w:val="24"/>
        </w:rPr>
        <w:t>enfermedad es desconocido; extraoficialmente, </w:t>
      </w:r>
      <w:r>
        <w:rPr>
          <w:color w:val="0E0D0C"/>
          <w:spacing w:val="-3"/>
          <w:sz w:val="24"/>
        </w:rPr>
        <w:t>meses </w:t>
      </w:r>
      <w:r>
        <w:rPr>
          <w:color w:val="0E0D0C"/>
          <w:sz w:val="24"/>
        </w:rPr>
        <w:t>atrás se introdujo a esta granja un</w:t>
      </w:r>
      <w:r>
        <w:rPr>
          <w:color w:val="0E0D0C"/>
          <w:spacing w:val="-39"/>
          <w:sz w:val="24"/>
        </w:rPr>
        <w:t> </w:t>
      </w:r>
      <w:r>
        <w:rPr>
          <w:color w:val="0E0D0C"/>
          <w:sz w:val="24"/>
        </w:rPr>
        <w:t>lote</w:t>
      </w:r>
    </w:p>
    <w:p>
      <w:pPr>
        <w:pStyle w:val="ListParagraph"/>
        <w:numPr>
          <w:ilvl w:val="1"/>
          <w:numId w:val="22"/>
        </w:numPr>
        <w:tabs>
          <w:tab w:pos="699" w:val="left" w:leader="none"/>
          <w:tab w:pos="700" w:val="left" w:leader="none"/>
        </w:tabs>
        <w:spacing w:line="240" w:lineRule="auto" w:before="134" w:after="0"/>
        <w:ind w:left="699" w:right="0" w:hanging="581"/>
        <w:jc w:val="left"/>
        <w:rPr>
          <w:sz w:val="24"/>
        </w:rPr>
      </w:pPr>
      <w:r>
        <w:rPr>
          <w:color w:val="0E0D0C"/>
          <w:sz w:val="24"/>
        </w:rPr>
        <w:t>de</w:t>
      </w:r>
      <w:r>
        <w:rPr>
          <w:color w:val="0E0D0C"/>
          <w:spacing w:val="-8"/>
          <w:sz w:val="24"/>
        </w:rPr>
        <w:t> </w:t>
      </w:r>
      <w:r>
        <w:rPr>
          <w:color w:val="0E0D0C"/>
          <w:sz w:val="24"/>
        </w:rPr>
        <w:t>tilapias</w:t>
      </w:r>
      <w:r>
        <w:rPr>
          <w:color w:val="0E0D0C"/>
          <w:spacing w:val="-9"/>
          <w:sz w:val="24"/>
        </w:rPr>
        <w:t> </w:t>
      </w:r>
      <w:r>
        <w:rPr>
          <w:color w:val="0E0D0C"/>
          <w:sz w:val="24"/>
        </w:rPr>
        <w:t>provenientes</w:t>
      </w:r>
      <w:r>
        <w:rPr>
          <w:color w:val="0E0D0C"/>
          <w:spacing w:val="-9"/>
          <w:sz w:val="24"/>
        </w:rPr>
        <w:t> </w:t>
      </w:r>
      <w:r>
        <w:rPr>
          <w:color w:val="0E0D0C"/>
          <w:sz w:val="24"/>
        </w:rPr>
        <w:t>de</w:t>
      </w:r>
      <w:r>
        <w:rPr>
          <w:color w:val="0E0D0C"/>
          <w:spacing w:val="-8"/>
          <w:sz w:val="24"/>
        </w:rPr>
        <w:t> </w:t>
      </w:r>
      <w:r>
        <w:rPr>
          <w:color w:val="0E0D0C"/>
          <w:sz w:val="24"/>
        </w:rPr>
        <w:t>Centroamérica.</w:t>
      </w:r>
      <w:r>
        <w:rPr>
          <w:color w:val="0E0D0C"/>
          <w:spacing w:val="-5"/>
          <w:sz w:val="24"/>
        </w:rPr>
        <w:t> </w:t>
      </w:r>
      <w:r>
        <w:rPr>
          <w:color w:val="0E0D0C"/>
          <w:sz w:val="24"/>
        </w:rPr>
        <w:t>La</w:t>
      </w:r>
      <w:r>
        <w:rPr>
          <w:color w:val="0E0D0C"/>
          <w:spacing w:val="-8"/>
          <w:sz w:val="24"/>
        </w:rPr>
        <w:t> </w:t>
      </w:r>
      <w:r>
        <w:rPr>
          <w:color w:val="0E0D0C"/>
          <w:sz w:val="24"/>
        </w:rPr>
        <w:t>cantidad</w:t>
      </w:r>
      <w:r>
        <w:rPr>
          <w:color w:val="0E0D0C"/>
          <w:spacing w:val="-3"/>
          <w:sz w:val="24"/>
        </w:rPr>
        <w:t> </w:t>
      </w:r>
      <w:r>
        <w:rPr>
          <w:color w:val="0E0D0C"/>
          <w:sz w:val="24"/>
        </w:rPr>
        <w:t>y</w:t>
      </w:r>
      <w:r>
        <w:rPr>
          <w:color w:val="0E0D0C"/>
          <w:spacing w:val="-12"/>
          <w:sz w:val="24"/>
        </w:rPr>
        <w:t> </w:t>
      </w:r>
      <w:r>
        <w:rPr>
          <w:color w:val="0E0D0C"/>
          <w:sz w:val="24"/>
        </w:rPr>
        <w:t>lugares</w:t>
      </w:r>
      <w:r>
        <w:rPr>
          <w:color w:val="0E0D0C"/>
          <w:spacing w:val="-3"/>
          <w:sz w:val="24"/>
        </w:rPr>
        <w:t> </w:t>
      </w:r>
      <w:r>
        <w:rPr>
          <w:color w:val="0E0D0C"/>
          <w:sz w:val="24"/>
        </w:rPr>
        <w:t>a</w:t>
      </w:r>
      <w:r>
        <w:rPr>
          <w:color w:val="0E0D0C"/>
          <w:spacing w:val="-8"/>
          <w:sz w:val="24"/>
        </w:rPr>
        <w:t> </w:t>
      </w:r>
      <w:r>
        <w:rPr>
          <w:color w:val="0E0D0C"/>
          <w:sz w:val="24"/>
        </w:rPr>
        <w:t>donde</w:t>
      </w:r>
      <w:r>
        <w:rPr>
          <w:color w:val="0E0D0C"/>
          <w:spacing w:val="-8"/>
          <w:sz w:val="24"/>
        </w:rPr>
        <w:t> </w:t>
      </w:r>
      <w:r>
        <w:rPr>
          <w:color w:val="0E0D0C"/>
          <w:sz w:val="24"/>
        </w:rPr>
        <w:t>se</w:t>
      </w:r>
      <w:r>
        <w:rPr>
          <w:color w:val="0E0D0C"/>
          <w:spacing w:val="-8"/>
          <w:sz w:val="24"/>
        </w:rPr>
        <w:t> </w:t>
      </w:r>
      <w:r>
        <w:rPr>
          <w:color w:val="0E0D0C"/>
          <w:sz w:val="24"/>
        </w:rPr>
        <w:t>sembraron</w:t>
      </w:r>
      <w:r>
        <w:rPr>
          <w:color w:val="0E0D0C"/>
          <w:spacing w:val="-7"/>
          <w:sz w:val="24"/>
        </w:rPr>
        <w:t> </w:t>
      </w:r>
      <w:r>
        <w:rPr>
          <w:color w:val="0E0D0C"/>
          <w:spacing w:val="-3"/>
          <w:sz w:val="24"/>
        </w:rPr>
        <w:t>no </w:t>
      </w:r>
      <w:r>
        <w:rPr>
          <w:color w:val="0E0D0C"/>
          <w:sz w:val="24"/>
        </w:rPr>
        <w:t>se</w:t>
      </w:r>
    </w:p>
    <w:p>
      <w:pPr>
        <w:pStyle w:val="ListParagraph"/>
        <w:numPr>
          <w:ilvl w:val="1"/>
          <w:numId w:val="22"/>
        </w:numPr>
        <w:tabs>
          <w:tab w:pos="699" w:val="left" w:leader="none"/>
          <w:tab w:pos="700" w:val="left" w:leader="none"/>
        </w:tabs>
        <w:spacing w:line="240" w:lineRule="auto" w:before="125" w:after="0"/>
        <w:ind w:left="699" w:right="0" w:hanging="581"/>
        <w:jc w:val="left"/>
        <w:rPr>
          <w:sz w:val="24"/>
        </w:rPr>
      </w:pPr>
      <w:r>
        <w:rPr>
          <w:color w:val="0E0D0C"/>
          <w:sz w:val="24"/>
        </w:rPr>
        <w:t>han</w:t>
      </w:r>
      <w:r>
        <w:rPr>
          <w:color w:val="0E0D0C"/>
          <w:spacing w:val="-5"/>
          <w:sz w:val="24"/>
        </w:rPr>
        <w:t> </w:t>
      </w:r>
      <w:r>
        <w:rPr>
          <w:color w:val="0E0D0C"/>
          <w:sz w:val="24"/>
        </w:rPr>
        <w:t>aclarado.</w:t>
      </w:r>
    </w:p>
    <w:p>
      <w:pPr>
        <w:pStyle w:val="BodyText"/>
        <w:spacing w:before="2"/>
        <w:rPr>
          <w:rFonts w:ascii="Times New Roman"/>
          <w:sz w:val="23"/>
        </w:rPr>
      </w:pPr>
    </w:p>
    <w:p>
      <w:pPr>
        <w:pStyle w:val="ListParagraph"/>
        <w:numPr>
          <w:ilvl w:val="1"/>
          <w:numId w:val="22"/>
        </w:numPr>
        <w:tabs>
          <w:tab w:pos="1405" w:val="left" w:leader="none"/>
          <w:tab w:pos="1406" w:val="left" w:leader="none"/>
        </w:tabs>
        <w:spacing w:line="240" w:lineRule="auto" w:before="70" w:after="0"/>
        <w:ind w:left="1405" w:right="0" w:hanging="1287"/>
        <w:jc w:val="left"/>
        <w:rPr>
          <w:sz w:val="24"/>
        </w:rPr>
      </w:pPr>
      <w:r>
        <w:rPr>
          <w:color w:val="0E0D0C"/>
          <w:sz w:val="24"/>
        </w:rPr>
        <w:t>La  francisellosis  está  relacionada  con  </w:t>
      </w:r>
      <w:r>
        <w:rPr>
          <w:color w:val="0E0D0C"/>
          <w:spacing w:val="-5"/>
          <w:sz w:val="24"/>
        </w:rPr>
        <w:t>la   </w:t>
      </w:r>
      <w:r>
        <w:rPr>
          <w:color w:val="0E0D0C"/>
          <w:sz w:val="24"/>
        </w:rPr>
        <w:t>formación  de  nódulos   </w:t>
      </w:r>
      <w:r>
        <w:rPr>
          <w:color w:val="0E0D0C"/>
          <w:spacing w:val="35"/>
          <w:sz w:val="24"/>
        </w:rPr>
        <w:t> </w:t>
      </w:r>
      <w:r>
        <w:rPr>
          <w:color w:val="0E0D0C"/>
          <w:sz w:val="24"/>
        </w:rPr>
        <w:t>blanquecinos,</w:t>
      </w:r>
    </w:p>
    <w:p>
      <w:pPr>
        <w:pStyle w:val="ListParagraph"/>
        <w:numPr>
          <w:ilvl w:val="1"/>
          <w:numId w:val="22"/>
        </w:numPr>
        <w:tabs>
          <w:tab w:pos="699" w:val="left" w:leader="none"/>
          <w:tab w:pos="700" w:val="left" w:leader="none"/>
        </w:tabs>
        <w:spacing w:line="240" w:lineRule="auto" w:before="129" w:after="0"/>
        <w:ind w:left="699" w:right="0" w:hanging="581"/>
        <w:jc w:val="left"/>
        <w:rPr>
          <w:sz w:val="24"/>
        </w:rPr>
      </w:pPr>
      <w:r>
        <w:rPr>
          <w:color w:val="0E0D0C"/>
          <w:sz w:val="24"/>
        </w:rPr>
        <w:t>predominantemente</w:t>
      </w:r>
      <w:r>
        <w:rPr>
          <w:color w:val="0E0D0C"/>
          <w:spacing w:val="22"/>
          <w:sz w:val="24"/>
        </w:rPr>
        <w:t> </w:t>
      </w:r>
      <w:r>
        <w:rPr>
          <w:color w:val="0E0D0C"/>
          <w:sz w:val="24"/>
        </w:rPr>
        <w:t>en</w:t>
      </w:r>
      <w:r>
        <w:rPr>
          <w:color w:val="0E0D0C"/>
          <w:spacing w:val="18"/>
          <w:sz w:val="24"/>
        </w:rPr>
        <w:t> </w:t>
      </w:r>
      <w:r>
        <w:rPr>
          <w:color w:val="0E0D0C"/>
          <w:sz w:val="24"/>
        </w:rPr>
        <w:t>bazo</w:t>
      </w:r>
      <w:r>
        <w:rPr>
          <w:color w:val="0E0D0C"/>
          <w:spacing w:val="27"/>
          <w:sz w:val="24"/>
        </w:rPr>
        <w:t> </w:t>
      </w:r>
      <w:r>
        <w:rPr>
          <w:color w:val="0E0D0C"/>
          <w:sz w:val="24"/>
        </w:rPr>
        <w:t>y</w:t>
      </w:r>
      <w:r>
        <w:rPr>
          <w:color w:val="0E0D0C"/>
          <w:spacing w:val="13"/>
          <w:sz w:val="24"/>
        </w:rPr>
        <w:t> </w:t>
      </w:r>
      <w:r>
        <w:rPr>
          <w:color w:val="0E0D0C"/>
          <w:sz w:val="24"/>
        </w:rPr>
        <w:t>riñón,</w:t>
      </w:r>
      <w:r>
        <w:rPr>
          <w:color w:val="0E0D0C"/>
          <w:spacing w:val="25"/>
          <w:sz w:val="24"/>
        </w:rPr>
        <w:t> </w:t>
      </w:r>
      <w:r>
        <w:rPr>
          <w:color w:val="0E0D0C"/>
          <w:sz w:val="24"/>
        </w:rPr>
        <w:t>pero</w:t>
      </w:r>
      <w:r>
        <w:rPr>
          <w:color w:val="0E0D0C"/>
          <w:spacing w:val="18"/>
          <w:sz w:val="24"/>
        </w:rPr>
        <w:t> </w:t>
      </w:r>
      <w:r>
        <w:rPr>
          <w:color w:val="0E0D0C"/>
          <w:sz w:val="24"/>
        </w:rPr>
        <w:t>también</w:t>
      </w:r>
      <w:r>
        <w:rPr>
          <w:color w:val="0E0D0C"/>
          <w:spacing w:val="18"/>
          <w:sz w:val="24"/>
        </w:rPr>
        <w:t> </w:t>
      </w:r>
      <w:r>
        <w:rPr>
          <w:color w:val="0E0D0C"/>
          <w:sz w:val="24"/>
        </w:rPr>
        <w:t>puede</w:t>
      </w:r>
      <w:r>
        <w:rPr>
          <w:color w:val="0E0D0C"/>
          <w:spacing w:val="22"/>
          <w:sz w:val="24"/>
        </w:rPr>
        <w:t> </w:t>
      </w:r>
      <w:r>
        <w:rPr>
          <w:color w:val="0E0D0C"/>
          <w:sz w:val="24"/>
        </w:rPr>
        <w:t>estar</w:t>
      </w:r>
      <w:r>
        <w:rPr>
          <w:color w:val="0E0D0C"/>
          <w:spacing w:val="20"/>
          <w:sz w:val="24"/>
        </w:rPr>
        <w:t> </w:t>
      </w:r>
      <w:r>
        <w:rPr>
          <w:color w:val="0E0D0C"/>
          <w:sz w:val="24"/>
        </w:rPr>
        <w:t>presentes</w:t>
      </w:r>
      <w:r>
        <w:rPr>
          <w:color w:val="0E0D0C"/>
          <w:spacing w:val="21"/>
          <w:sz w:val="24"/>
        </w:rPr>
        <w:t> </w:t>
      </w:r>
      <w:r>
        <w:rPr>
          <w:color w:val="0E0D0C"/>
          <w:sz w:val="24"/>
        </w:rPr>
        <w:t>en</w:t>
      </w:r>
      <w:r>
        <w:rPr>
          <w:color w:val="0E0D0C"/>
          <w:spacing w:val="18"/>
          <w:sz w:val="24"/>
        </w:rPr>
        <w:t> </w:t>
      </w:r>
      <w:r>
        <w:rPr>
          <w:color w:val="0E0D0C"/>
          <w:sz w:val="24"/>
        </w:rPr>
        <w:t>otros</w:t>
      </w:r>
      <w:r>
        <w:rPr>
          <w:color w:val="0E0D0C"/>
          <w:spacing w:val="11"/>
          <w:sz w:val="24"/>
        </w:rPr>
        <w:t> </w:t>
      </w:r>
      <w:r>
        <w:rPr>
          <w:color w:val="0E0D0C"/>
          <w:sz w:val="24"/>
        </w:rPr>
        <w:t>órganos</w:t>
      </w:r>
    </w:p>
    <w:p>
      <w:pPr>
        <w:pStyle w:val="ListParagraph"/>
        <w:numPr>
          <w:ilvl w:val="1"/>
          <w:numId w:val="22"/>
        </w:numPr>
        <w:tabs>
          <w:tab w:pos="699" w:val="left" w:leader="none"/>
          <w:tab w:pos="700" w:val="left" w:leader="none"/>
        </w:tabs>
        <w:spacing w:line="240" w:lineRule="auto" w:before="129" w:after="0"/>
        <w:ind w:left="699" w:right="0" w:hanging="581"/>
        <w:jc w:val="left"/>
        <w:rPr>
          <w:sz w:val="24"/>
        </w:rPr>
      </w:pPr>
      <w:r>
        <w:rPr>
          <w:color w:val="0E0D0C"/>
          <w:sz w:val="24"/>
        </w:rPr>
        <w:t>(Soto</w:t>
      </w:r>
      <w:r>
        <w:rPr>
          <w:color w:val="0E0D0C"/>
          <w:spacing w:val="25"/>
          <w:sz w:val="24"/>
        </w:rPr>
        <w:t> </w:t>
      </w:r>
      <w:r>
        <w:rPr>
          <w:color w:val="0E0D0C"/>
          <w:sz w:val="24"/>
        </w:rPr>
        <w:t>y</w:t>
      </w:r>
      <w:r>
        <w:rPr>
          <w:color w:val="0E0D0C"/>
          <w:spacing w:val="10"/>
          <w:sz w:val="24"/>
        </w:rPr>
        <w:t> </w:t>
      </w:r>
      <w:r>
        <w:rPr>
          <w:color w:val="0E0D0C"/>
          <w:spacing w:val="2"/>
          <w:sz w:val="24"/>
        </w:rPr>
        <w:t>col</w:t>
      </w:r>
      <w:r>
        <w:rPr>
          <w:color w:val="0E0D0C"/>
          <w:spacing w:val="11"/>
          <w:sz w:val="24"/>
        </w:rPr>
        <w:t> </w:t>
      </w:r>
      <w:r>
        <w:rPr>
          <w:color w:val="0E0D0C"/>
          <w:sz w:val="24"/>
        </w:rPr>
        <w:t>2011;</w:t>
      </w:r>
      <w:r>
        <w:rPr>
          <w:color w:val="0E0D0C"/>
          <w:spacing w:val="16"/>
          <w:sz w:val="24"/>
        </w:rPr>
        <w:t> </w:t>
      </w:r>
      <w:r>
        <w:rPr>
          <w:color w:val="0E0D0C"/>
          <w:sz w:val="24"/>
        </w:rPr>
        <w:t>Mauel</w:t>
      </w:r>
      <w:r>
        <w:rPr>
          <w:color w:val="0E0D0C"/>
          <w:spacing w:val="20"/>
          <w:sz w:val="24"/>
        </w:rPr>
        <w:t> </w:t>
      </w:r>
      <w:r>
        <w:rPr>
          <w:color w:val="0E0D0C"/>
          <w:sz w:val="24"/>
        </w:rPr>
        <w:t>y</w:t>
      </w:r>
      <w:r>
        <w:rPr>
          <w:color w:val="0E0D0C"/>
          <w:spacing w:val="15"/>
          <w:sz w:val="24"/>
        </w:rPr>
        <w:t> </w:t>
      </w:r>
      <w:r>
        <w:rPr>
          <w:color w:val="0E0D0C"/>
          <w:spacing w:val="2"/>
          <w:sz w:val="24"/>
        </w:rPr>
        <w:t>col</w:t>
      </w:r>
      <w:r>
        <w:rPr>
          <w:color w:val="0E0D0C"/>
          <w:spacing w:val="11"/>
          <w:sz w:val="24"/>
        </w:rPr>
        <w:t> </w:t>
      </w:r>
      <w:r>
        <w:rPr>
          <w:color w:val="0E0D0C"/>
          <w:sz w:val="24"/>
        </w:rPr>
        <w:t>2007);</w:t>
      </w:r>
      <w:r>
        <w:rPr>
          <w:color w:val="0E0D0C"/>
          <w:spacing w:val="16"/>
          <w:sz w:val="24"/>
        </w:rPr>
        <w:t> </w:t>
      </w:r>
      <w:r>
        <w:rPr>
          <w:color w:val="0E0D0C"/>
          <w:sz w:val="24"/>
        </w:rPr>
        <w:t>en</w:t>
      </w:r>
      <w:r>
        <w:rPr>
          <w:color w:val="0E0D0C"/>
          <w:spacing w:val="20"/>
          <w:sz w:val="24"/>
        </w:rPr>
        <w:t> </w:t>
      </w:r>
      <w:r>
        <w:rPr>
          <w:color w:val="0E0D0C"/>
          <w:sz w:val="24"/>
        </w:rPr>
        <w:t>nuestro</w:t>
      </w:r>
      <w:r>
        <w:rPr>
          <w:color w:val="0E0D0C"/>
          <w:spacing w:val="20"/>
          <w:sz w:val="24"/>
        </w:rPr>
        <w:t> </w:t>
      </w:r>
      <w:r>
        <w:rPr>
          <w:color w:val="0E0D0C"/>
          <w:sz w:val="24"/>
        </w:rPr>
        <w:t>caso,</w:t>
      </w:r>
      <w:r>
        <w:rPr>
          <w:color w:val="0E0D0C"/>
          <w:spacing w:val="22"/>
          <w:sz w:val="24"/>
        </w:rPr>
        <w:t> </w:t>
      </w:r>
      <w:r>
        <w:rPr>
          <w:color w:val="0E0D0C"/>
          <w:sz w:val="24"/>
        </w:rPr>
        <w:t>únicamente</w:t>
      </w:r>
      <w:r>
        <w:rPr>
          <w:color w:val="0E0D0C"/>
          <w:spacing w:val="19"/>
          <w:sz w:val="24"/>
        </w:rPr>
        <w:t> </w:t>
      </w:r>
      <w:r>
        <w:rPr>
          <w:color w:val="0E0D0C"/>
          <w:spacing w:val="-3"/>
          <w:sz w:val="24"/>
        </w:rPr>
        <w:t>no</w:t>
      </w:r>
      <w:r>
        <w:rPr>
          <w:color w:val="0E0D0C"/>
          <w:spacing w:val="24"/>
          <w:sz w:val="24"/>
        </w:rPr>
        <w:t> </w:t>
      </w:r>
      <w:r>
        <w:rPr>
          <w:color w:val="0E0D0C"/>
          <w:sz w:val="24"/>
        </w:rPr>
        <w:t>se</w:t>
      </w:r>
      <w:r>
        <w:rPr>
          <w:color w:val="0E0D0C"/>
          <w:spacing w:val="19"/>
          <w:sz w:val="24"/>
        </w:rPr>
        <w:t> </w:t>
      </w:r>
      <w:r>
        <w:rPr>
          <w:color w:val="0E0D0C"/>
          <w:sz w:val="24"/>
        </w:rPr>
        <w:t>observaron</w:t>
      </w:r>
      <w:r>
        <w:rPr>
          <w:color w:val="0E0D0C"/>
          <w:spacing w:val="15"/>
          <w:sz w:val="24"/>
        </w:rPr>
        <w:t> </w:t>
      </w:r>
      <w:r>
        <w:rPr>
          <w:color w:val="0E0D0C"/>
          <w:sz w:val="24"/>
        </w:rPr>
        <w:t>en</w:t>
      </w:r>
      <w:r>
        <w:rPr>
          <w:color w:val="0E0D0C"/>
          <w:spacing w:val="15"/>
          <w:sz w:val="24"/>
        </w:rPr>
        <w:t> </w:t>
      </w:r>
      <w:r>
        <w:rPr>
          <w:color w:val="0E0D0C"/>
          <w:sz w:val="24"/>
        </w:rPr>
        <w:t>el</w:t>
      </w:r>
    </w:p>
    <w:p>
      <w:pPr>
        <w:pStyle w:val="ListParagraph"/>
        <w:numPr>
          <w:ilvl w:val="1"/>
          <w:numId w:val="22"/>
        </w:numPr>
        <w:tabs>
          <w:tab w:pos="699" w:val="left" w:leader="none"/>
          <w:tab w:pos="700" w:val="left" w:leader="none"/>
        </w:tabs>
        <w:spacing w:line="240" w:lineRule="auto" w:before="130" w:after="0"/>
        <w:ind w:left="699" w:right="0" w:hanging="581"/>
        <w:jc w:val="left"/>
        <w:rPr>
          <w:sz w:val="24"/>
        </w:rPr>
      </w:pPr>
      <w:r>
        <w:rPr>
          <w:color w:val="0E0D0C"/>
          <w:sz w:val="24"/>
        </w:rPr>
        <w:t>cerebro.</w:t>
      </w:r>
      <w:r>
        <w:rPr>
          <w:color w:val="0E0D0C"/>
          <w:spacing w:val="-6"/>
          <w:sz w:val="24"/>
        </w:rPr>
        <w:t> </w:t>
      </w:r>
      <w:r>
        <w:rPr>
          <w:color w:val="0E0D0C"/>
          <w:sz w:val="24"/>
        </w:rPr>
        <w:t>Las</w:t>
      </w:r>
      <w:r>
        <w:rPr>
          <w:color w:val="0E0D0C"/>
          <w:spacing w:val="-9"/>
          <w:sz w:val="24"/>
        </w:rPr>
        <w:t> </w:t>
      </w:r>
      <w:r>
        <w:rPr>
          <w:color w:val="0E0D0C"/>
          <w:sz w:val="24"/>
        </w:rPr>
        <w:t>lesiones</w:t>
      </w:r>
      <w:r>
        <w:rPr>
          <w:color w:val="0E0D0C"/>
          <w:spacing w:val="-9"/>
          <w:sz w:val="24"/>
        </w:rPr>
        <w:t> </w:t>
      </w:r>
      <w:r>
        <w:rPr>
          <w:color w:val="0E0D0C"/>
          <w:sz w:val="24"/>
        </w:rPr>
        <w:t>histológicas</w:t>
      </w:r>
      <w:r>
        <w:rPr>
          <w:color w:val="0E0D0C"/>
          <w:spacing w:val="-9"/>
          <w:sz w:val="24"/>
        </w:rPr>
        <w:t> </w:t>
      </w:r>
      <w:r>
        <w:rPr>
          <w:color w:val="0E0D0C"/>
          <w:sz w:val="24"/>
        </w:rPr>
        <w:t>observadas</w:t>
      </w:r>
      <w:r>
        <w:rPr>
          <w:color w:val="0E0D0C"/>
          <w:spacing w:val="-9"/>
          <w:sz w:val="24"/>
        </w:rPr>
        <w:t> </w:t>
      </w:r>
      <w:r>
        <w:rPr>
          <w:color w:val="0E0D0C"/>
          <w:sz w:val="24"/>
        </w:rPr>
        <w:t>en</w:t>
      </w:r>
      <w:r>
        <w:rPr>
          <w:color w:val="0E0D0C"/>
          <w:spacing w:val="-8"/>
          <w:sz w:val="24"/>
        </w:rPr>
        <w:t> </w:t>
      </w:r>
      <w:r>
        <w:rPr>
          <w:color w:val="0E0D0C"/>
          <w:sz w:val="24"/>
        </w:rPr>
        <w:t>los</w:t>
      </w:r>
      <w:r>
        <w:rPr>
          <w:color w:val="0E0D0C"/>
          <w:spacing w:val="-9"/>
          <w:sz w:val="24"/>
        </w:rPr>
        <w:t> </w:t>
      </w:r>
      <w:r>
        <w:rPr>
          <w:color w:val="0E0D0C"/>
          <w:sz w:val="24"/>
        </w:rPr>
        <w:t>tejidos</w:t>
      </w:r>
      <w:r>
        <w:rPr>
          <w:color w:val="0E0D0C"/>
          <w:spacing w:val="-9"/>
          <w:sz w:val="24"/>
        </w:rPr>
        <w:t> </w:t>
      </w:r>
      <w:r>
        <w:rPr>
          <w:color w:val="0E0D0C"/>
          <w:sz w:val="24"/>
        </w:rPr>
        <w:t>afectados</w:t>
      </w:r>
      <w:r>
        <w:rPr>
          <w:color w:val="0E0D0C"/>
          <w:spacing w:val="-9"/>
          <w:sz w:val="24"/>
        </w:rPr>
        <w:t> </w:t>
      </w:r>
      <w:r>
        <w:rPr>
          <w:color w:val="0E0D0C"/>
          <w:sz w:val="24"/>
        </w:rPr>
        <w:t>son</w:t>
      </w:r>
      <w:r>
        <w:rPr>
          <w:color w:val="0E0D0C"/>
          <w:spacing w:val="-12"/>
          <w:sz w:val="24"/>
        </w:rPr>
        <w:t> </w:t>
      </w:r>
      <w:r>
        <w:rPr>
          <w:color w:val="0E0D0C"/>
          <w:sz w:val="24"/>
        </w:rPr>
        <w:t>consistentes</w:t>
      </w:r>
      <w:r>
        <w:rPr>
          <w:color w:val="0E0D0C"/>
          <w:spacing w:val="-9"/>
          <w:sz w:val="24"/>
        </w:rPr>
        <w:t> </w:t>
      </w:r>
      <w:r>
        <w:rPr>
          <w:color w:val="0E0D0C"/>
          <w:sz w:val="24"/>
        </w:rPr>
        <w:t>con</w:t>
      </w:r>
      <w:r>
        <w:rPr>
          <w:color w:val="0E0D0C"/>
          <w:spacing w:val="-12"/>
          <w:sz w:val="24"/>
        </w:rPr>
        <w:t> </w:t>
      </w:r>
      <w:r>
        <w:rPr>
          <w:color w:val="0E0D0C"/>
          <w:spacing w:val="-5"/>
          <w:sz w:val="24"/>
        </w:rPr>
        <w:t>lo</w:t>
      </w:r>
    </w:p>
    <w:p>
      <w:pPr>
        <w:pStyle w:val="ListParagraph"/>
        <w:numPr>
          <w:ilvl w:val="1"/>
          <w:numId w:val="22"/>
        </w:numPr>
        <w:tabs>
          <w:tab w:pos="699" w:val="left" w:leader="none"/>
          <w:tab w:pos="700" w:val="left" w:leader="none"/>
        </w:tabs>
        <w:spacing w:line="240" w:lineRule="auto" w:before="134" w:after="0"/>
        <w:ind w:left="699" w:right="0" w:hanging="581"/>
        <w:jc w:val="left"/>
        <w:rPr>
          <w:sz w:val="24"/>
        </w:rPr>
      </w:pPr>
      <w:r>
        <w:rPr>
          <w:color w:val="0E0D0C"/>
          <w:sz w:val="24"/>
        </w:rPr>
        <w:t>reportado  por  Mauel  y  col  2003;  Mauel  y  </w:t>
      </w:r>
      <w:r>
        <w:rPr>
          <w:color w:val="0E0D0C"/>
          <w:spacing w:val="2"/>
          <w:sz w:val="24"/>
        </w:rPr>
        <w:t>col  </w:t>
      </w:r>
      <w:r>
        <w:rPr>
          <w:color w:val="0E0D0C"/>
          <w:sz w:val="24"/>
        </w:rPr>
        <w:t>2007,  caracterizadas  por  formación</w:t>
      </w:r>
      <w:r>
        <w:rPr>
          <w:color w:val="0E0D0C"/>
          <w:spacing w:val="30"/>
          <w:sz w:val="24"/>
        </w:rPr>
        <w:t> </w:t>
      </w:r>
      <w:r>
        <w:rPr>
          <w:color w:val="0E0D0C"/>
          <w:sz w:val="24"/>
        </w:rPr>
        <w:t>de</w:t>
      </w:r>
    </w:p>
    <w:p>
      <w:pPr>
        <w:pStyle w:val="ListParagraph"/>
        <w:numPr>
          <w:ilvl w:val="1"/>
          <w:numId w:val="22"/>
        </w:numPr>
        <w:tabs>
          <w:tab w:pos="699" w:val="left" w:leader="none"/>
          <w:tab w:pos="700" w:val="left" w:leader="none"/>
        </w:tabs>
        <w:spacing w:line="240" w:lineRule="auto" w:before="129" w:after="0"/>
        <w:ind w:left="699" w:right="0" w:hanging="581"/>
        <w:jc w:val="left"/>
        <w:rPr>
          <w:sz w:val="24"/>
        </w:rPr>
      </w:pPr>
      <w:r>
        <w:rPr>
          <w:color w:val="0E0D0C"/>
          <w:sz w:val="24"/>
        </w:rPr>
        <w:t>granulomas con infiltrado  inflamatorio  mixto  con predominio  de  macrófagos de</w:t>
      </w:r>
      <w:r>
        <w:rPr>
          <w:color w:val="0E0D0C"/>
          <w:spacing w:val="57"/>
          <w:sz w:val="24"/>
        </w:rPr>
        <w:t> </w:t>
      </w:r>
      <w:r>
        <w:rPr>
          <w:color w:val="0E0D0C"/>
          <w:sz w:val="24"/>
        </w:rPr>
        <w:t>aspecto</w:t>
      </w:r>
    </w:p>
    <w:p>
      <w:pPr>
        <w:pStyle w:val="ListParagraph"/>
        <w:numPr>
          <w:ilvl w:val="1"/>
          <w:numId w:val="22"/>
        </w:numPr>
        <w:tabs>
          <w:tab w:pos="699" w:val="left" w:leader="none"/>
          <w:tab w:pos="700" w:val="left" w:leader="none"/>
        </w:tabs>
        <w:spacing w:line="240" w:lineRule="auto" w:before="129" w:after="0"/>
        <w:ind w:left="699" w:right="0" w:hanging="581"/>
        <w:jc w:val="left"/>
        <w:rPr>
          <w:sz w:val="24"/>
        </w:rPr>
      </w:pPr>
      <w:r>
        <w:rPr>
          <w:color w:val="0E0D0C"/>
          <w:sz w:val="24"/>
        </w:rPr>
        <w:t>esponjoso,</w:t>
      </w:r>
      <w:r>
        <w:rPr>
          <w:color w:val="0E0D0C"/>
          <w:spacing w:val="34"/>
          <w:sz w:val="24"/>
        </w:rPr>
        <w:t> </w:t>
      </w:r>
      <w:r>
        <w:rPr>
          <w:color w:val="0E0D0C"/>
          <w:sz w:val="24"/>
        </w:rPr>
        <w:t>linfocitos</w:t>
      </w:r>
      <w:r>
        <w:rPr>
          <w:color w:val="0E0D0C"/>
          <w:spacing w:val="34"/>
          <w:sz w:val="24"/>
        </w:rPr>
        <w:t> </w:t>
      </w:r>
      <w:r>
        <w:rPr>
          <w:color w:val="0E0D0C"/>
          <w:sz w:val="24"/>
        </w:rPr>
        <w:t>y</w:t>
      </w:r>
      <w:r>
        <w:rPr>
          <w:color w:val="0E0D0C"/>
          <w:spacing w:val="27"/>
          <w:sz w:val="24"/>
        </w:rPr>
        <w:t> </w:t>
      </w:r>
      <w:r>
        <w:rPr>
          <w:color w:val="0E0D0C"/>
          <w:sz w:val="24"/>
        </w:rPr>
        <w:t>neutrófilos</w:t>
      </w:r>
      <w:r>
        <w:rPr>
          <w:color w:val="0E0D0C"/>
          <w:spacing w:val="30"/>
          <w:sz w:val="24"/>
        </w:rPr>
        <w:t> </w:t>
      </w:r>
      <w:r>
        <w:rPr>
          <w:color w:val="0E0D0C"/>
          <w:sz w:val="24"/>
        </w:rPr>
        <w:t>rodeados</w:t>
      </w:r>
      <w:r>
        <w:rPr>
          <w:color w:val="0E0D0C"/>
          <w:spacing w:val="30"/>
          <w:sz w:val="24"/>
        </w:rPr>
        <w:t> </w:t>
      </w:r>
      <w:r>
        <w:rPr>
          <w:color w:val="0E0D0C"/>
          <w:sz w:val="24"/>
        </w:rPr>
        <w:t>por</w:t>
      </w:r>
      <w:r>
        <w:rPr>
          <w:color w:val="0E0D0C"/>
          <w:spacing w:val="24"/>
          <w:sz w:val="24"/>
        </w:rPr>
        <w:t> </w:t>
      </w:r>
      <w:r>
        <w:rPr>
          <w:color w:val="0E0D0C"/>
          <w:sz w:val="24"/>
        </w:rPr>
        <w:t>una</w:t>
      </w:r>
      <w:r>
        <w:rPr>
          <w:color w:val="0E0D0C"/>
          <w:spacing w:val="31"/>
          <w:sz w:val="24"/>
        </w:rPr>
        <w:t> </w:t>
      </w:r>
      <w:r>
        <w:rPr>
          <w:color w:val="0E0D0C"/>
          <w:sz w:val="24"/>
        </w:rPr>
        <w:t>capsula</w:t>
      </w:r>
      <w:r>
        <w:rPr>
          <w:color w:val="0E0D0C"/>
          <w:spacing w:val="35"/>
          <w:sz w:val="24"/>
        </w:rPr>
        <w:t> </w:t>
      </w:r>
      <w:r>
        <w:rPr>
          <w:color w:val="0E0D0C"/>
          <w:sz w:val="24"/>
        </w:rPr>
        <w:t>fibrosa,</w:t>
      </w:r>
      <w:r>
        <w:rPr>
          <w:color w:val="0E0D0C"/>
          <w:spacing w:val="34"/>
          <w:sz w:val="24"/>
        </w:rPr>
        <w:t> </w:t>
      </w:r>
      <w:r>
        <w:rPr>
          <w:color w:val="0E0D0C"/>
          <w:sz w:val="24"/>
        </w:rPr>
        <w:t>áreas</w:t>
      </w:r>
      <w:r>
        <w:rPr>
          <w:color w:val="0E0D0C"/>
          <w:spacing w:val="30"/>
          <w:sz w:val="24"/>
        </w:rPr>
        <w:t> </w:t>
      </w:r>
      <w:r>
        <w:rPr>
          <w:color w:val="0E0D0C"/>
          <w:sz w:val="24"/>
        </w:rPr>
        <w:t>de</w:t>
      </w:r>
      <w:r>
        <w:rPr>
          <w:color w:val="0E0D0C"/>
          <w:spacing w:val="35"/>
          <w:sz w:val="24"/>
        </w:rPr>
        <w:t> </w:t>
      </w:r>
      <w:r>
        <w:rPr>
          <w:color w:val="0E0D0C"/>
          <w:sz w:val="24"/>
        </w:rPr>
        <w:t>necrosis</w:t>
      </w:r>
      <w:r>
        <w:rPr>
          <w:color w:val="0E0D0C"/>
          <w:spacing w:val="39"/>
          <w:sz w:val="24"/>
        </w:rPr>
        <w:t> </w:t>
      </w:r>
      <w:r>
        <w:rPr>
          <w:color w:val="0E0D0C"/>
          <w:sz w:val="24"/>
        </w:rPr>
        <w:t>y</w:t>
      </w:r>
    </w:p>
    <w:p>
      <w:pPr>
        <w:pStyle w:val="ListParagraph"/>
        <w:numPr>
          <w:ilvl w:val="1"/>
          <w:numId w:val="22"/>
        </w:numPr>
        <w:tabs>
          <w:tab w:pos="699" w:val="left" w:leader="none"/>
          <w:tab w:pos="700" w:val="left" w:leader="none"/>
        </w:tabs>
        <w:spacing w:line="240" w:lineRule="auto" w:before="130" w:after="0"/>
        <w:ind w:left="699" w:right="0" w:hanging="581"/>
        <w:jc w:val="left"/>
        <w:rPr>
          <w:sz w:val="24"/>
        </w:rPr>
      </w:pPr>
      <w:r>
        <w:rPr>
          <w:color w:val="0E0D0C"/>
          <w:sz w:val="24"/>
        </w:rPr>
        <w:t>presencia  intracelular  de  bacterias  pleomórficas,  Gram  negativas;  también  se   </w:t>
      </w:r>
      <w:r>
        <w:rPr>
          <w:color w:val="0E0D0C"/>
          <w:spacing w:val="9"/>
          <w:sz w:val="24"/>
        </w:rPr>
        <w:t> </w:t>
      </w:r>
      <w:r>
        <w:rPr>
          <w:color w:val="0E0D0C"/>
          <w:sz w:val="24"/>
        </w:rPr>
        <w:t>destaca</w:t>
      </w:r>
    </w:p>
    <w:p>
      <w:pPr>
        <w:pStyle w:val="ListParagraph"/>
        <w:numPr>
          <w:ilvl w:val="1"/>
          <w:numId w:val="22"/>
        </w:numPr>
        <w:tabs>
          <w:tab w:pos="699" w:val="left" w:leader="none"/>
          <w:tab w:pos="700" w:val="left" w:leader="none"/>
        </w:tabs>
        <w:spacing w:line="240" w:lineRule="auto" w:before="134" w:after="0"/>
        <w:ind w:left="699" w:right="0" w:hanging="581"/>
        <w:jc w:val="left"/>
        <w:rPr>
          <w:sz w:val="24"/>
        </w:rPr>
      </w:pPr>
      <w:r>
        <w:rPr>
          <w:color w:val="0E0D0C"/>
          <w:sz w:val="24"/>
        </w:rPr>
        <w:t>vasculitis  necrotizante  y  trombosis;  </w:t>
      </w:r>
      <w:r>
        <w:rPr>
          <w:color w:val="0E0D0C"/>
          <w:spacing w:val="4"/>
          <w:sz w:val="24"/>
        </w:rPr>
        <w:t>en  </w:t>
      </w:r>
      <w:r>
        <w:rPr>
          <w:color w:val="0E0D0C"/>
          <w:sz w:val="24"/>
        </w:rPr>
        <w:t>hígado  una  típica  arteritis  granulomatosa   </w:t>
      </w:r>
      <w:r>
        <w:rPr>
          <w:color w:val="0E0D0C"/>
          <w:spacing w:val="4"/>
          <w:sz w:val="24"/>
        </w:rPr>
        <w:t> </w:t>
      </w:r>
      <w:r>
        <w:rPr>
          <w:color w:val="0E0D0C"/>
          <w:sz w:val="24"/>
        </w:rPr>
        <w:t>con</w:t>
      </w:r>
    </w:p>
    <w:p>
      <w:pPr>
        <w:pStyle w:val="ListParagraph"/>
        <w:numPr>
          <w:ilvl w:val="1"/>
          <w:numId w:val="22"/>
        </w:numPr>
        <w:tabs>
          <w:tab w:pos="699" w:val="left" w:leader="none"/>
          <w:tab w:pos="700" w:val="left" w:leader="none"/>
        </w:tabs>
        <w:spacing w:line="240" w:lineRule="auto" w:before="129" w:after="0"/>
        <w:ind w:left="699" w:right="0" w:hanging="581"/>
        <w:jc w:val="left"/>
        <w:rPr>
          <w:sz w:val="24"/>
        </w:rPr>
      </w:pPr>
      <w:r>
        <w:rPr>
          <w:color w:val="0E0D0C"/>
          <w:sz w:val="24"/>
        </w:rPr>
        <w:t>infiltración de  macrófagos,  linfocitos  y células  necróticas(  Mauel y col 2007; Soto  y</w:t>
      </w:r>
      <w:r>
        <w:rPr>
          <w:color w:val="0E0D0C"/>
          <w:spacing w:val="12"/>
          <w:sz w:val="24"/>
        </w:rPr>
        <w:t> </w:t>
      </w:r>
      <w:r>
        <w:rPr>
          <w:color w:val="0E0D0C"/>
          <w:spacing w:val="2"/>
          <w:sz w:val="24"/>
        </w:rPr>
        <w:t>col</w:t>
      </w:r>
    </w:p>
    <w:p>
      <w:pPr>
        <w:tabs>
          <w:tab w:pos="699" w:val="left" w:leader="none"/>
        </w:tabs>
        <w:spacing w:before="125"/>
        <w:ind w:left="118" w:right="0" w:firstLine="0"/>
        <w:jc w:val="left"/>
        <w:rPr>
          <w:rFonts w:ascii="Times New Roman"/>
          <w:sz w:val="24"/>
        </w:rPr>
      </w:pPr>
      <w:r>
        <w:rPr>
          <w:rFonts w:ascii="Calibri"/>
          <w:sz w:val="22"/>
        </w:rPr>
        <w:t>26</w:t>
        <w:tab/>
      </w:r>
      <w:r>
        <w:rPr>
          <w:rFonts w:ascii="Times New Roman"/>
          <w:color w:val="0E0D0C"/>
          <w:sz w:val="24"/>
        </w:rPr>
        <w:t>2011).</w:t>
      </w:r>
    </w:p>
    <w:p>
      <w:pPr>
        <w:pStyle w:val="BodyText"/>
        <w:spacing w:before="2"/>
        <w:rPr>
          <w:rFonts w:ascii="Times New Roman"/>
          <w:sz w:val="23"/>
        </w:rPr>
      </w:pPr>
    </w:p>
    <w:p>
      <w:pPr>
        <w:pStyle w:val="ListParagraph"/>
        <w:numPr>
          <w:ilvl w:val="0"/>
          <w:numId w:val="23"/>
        </w:numPr>
        <w:tabs>
          <w:tab w:pos="1405" w:val="left" w:leader="none"/>
          <w:tab w:pos="1406" w:val="left" w:leader="none"/>
        </w:tabs>
        <w:spacing w:line="240" w:lineRule="auto" w:before="70" w:after="0"/>
        <w:ind w:left="1405" w:right="0" w:hanging="1287"/>
        <w:jc w:val="left"/>
        <w:rPr>
          <w:sz w:val="24"/>
        </w:rPr>
      </w:pPr>
      <w:r>
        <w:rPr>
          <w:sz w:val="24"/>
        </w:rPr>
        <w:t>En una primera instancia el agente causal de </w:t>
      </w:r>
      <w:r>
        <w:rPr>
          <w:spacing w:val="-5"/>
          <w:sz w:val="24"/>
        </w:rPr>
        <w:t>la </w:t>
      </w:r>
      <w:r>
        <w:rPr>
          <w:sz w:val="24"/>
        </w:rPr>
        <w:t>enfermedad </w:t>
      </w:r>
      <w:r>
        <w:rPr>
          <w:spacing w:val="-3"/>
          <w:sz w:val="24"/>
        </w:rPr>
        <w:t>fue </w:t>
      </w:r>
      <w:r>
        <w:rPr>
          <w:sz w:val="24"/>
        </w:rPr>
        <w:t>confirmado en  </w:t>
      </w:r>
      <w:r>
        <w:rPr>
          <w:spacing w:val="38"/>
          <w:sz w:val="24"/>
        </w:rPr>
        <w:t> </w:t>
      </w:r>
      <w:r>
        <w:rPr>
          <w:sz w:val="24"/>
        </w:rPr>
        <w:t>diez</w:t>
      </w:r>
    </w:p>
    <w:p>
      <w:pPr>
        <w:pStyle w:val="ListParagraph"/>
        <w:numPr>
          <w:ilvl w:val="0"/>
          <w:numId w:val="23"/>
        </w:numPr>
        <w:tabs>
          <w:tab w:pos="699" w:val="left" w:leader="none"/>
          <w:tab w:pos="700" w:val="left" w:leader="none"/>
        </w:tabs>
        <w:spacing w:line="240" w:lineRule="auto" w:before="129" w:after="0"/>
        <w:ind w:left="699" w:right="0" w:hanging="581"/>
        <w:jc w:val="left"/>
        <w:rPr>
          <w:sz w:val="24"/>
        </w:rPr>
      </w:pPr>
      <w:r>
        <w:rPr>
          <w:sz w:val="24"/>
        </w:rPr>
        <w:t>muestras</w:t>
      </w:r>
      <w:r>
        <w:rPr>
          <w:spacing w:val="-5"/>
          <w:sz w:val="24"/>
        </w:rPr>
        <w:t> </w:t>
      </w:r>
      <w:r>
        <w:rPr>
          <w:sz w:val="24"/>
        </w:rPr>
        <w:t>estudiadas</w:t>
      </w:r>
      <w:r>
        <w:rPr>
          <w:spacing w:val="-2"/>
          <w:sz w:val="24"/>
        </w:rPr>
        <w:t> </w:t>
      </w:r>
      <w:r>
        <w:rPr>
          <w:sz w:val="24"/>
        </w:rPr>
        <w:t>mediante</w:t>
      </w:r>
      <w:r>
        <w:rPr>
          <w:spacing w:val="-1"/>
          <w:sz w:val="24"/>
        </w:rPr>
        <w:t> </w:t>
      </w:r>
      <w:r>
        <w:rPr>
          <w:sz w:val="24"/>
        </w:rPr>
        <w:t>PCR</w:t>
      </w:r>
      <w:r>
        <w:rPr>
          <w:spacing w:val="-5"/>
          <w:sz w:val="24"/>
        </w:rPr>
        <w:t> </w:t>
      </w:r>
      <w:r>
        <w:rPr>
          <w:sz w:val="24"/>
        </w:rPr>
        <w:t>usando los</w:t>
      </w:r>
      <w:r>
        <w:rPr>
          <w:spacing w:val="-5"/>
          <w:sz w:val="24"/>
        </w:rPr>
        <w:t> </w:t>
      </w:r>
      <w:r>
        <w:rPr>
          <w:sz w:val="24"/>
        </w:rPr>
        <w:t>partidores</w:t>
      </w:r>
      <w:r>
        <w:rPr>
          <w:spacing w:val="-5"/>
          <w:sz w:val="24"/>
        </w:rPr>
        <w:t> </w:t>
      </w:r>
      <w:r>
        <w:rPr>
          <w:sz w:val="24"/>
        </w:rPr>
        <w:t>F5 y</w:t>
      </w:r>
      <w:r>
        <w:rPr>
          <w:spacing w:val="-13"/>
          <w:sz w:val="24"/>
        </w:rPr>
        <w:t> </w:t>
      </w:r>
      <w:r>
        <w:rPr>
          <w:sz w:val="24"/>
        </w:rPr>
        <w:t>F11,</w:t>
      </w:r>
      <w:r>
        <w:rPr>
          <w:spacing w:val="-2"/>
          <w:sz w:val="24"/>
        </w:rPr>
        <w:t> </w:t>
      </w:r>
      <w:r>
        <w:rPr>
          <w:sz w:val="24"/>
        </w:rPr>
        <w:t>los</w:t>
      </w:r>
      <w:r>
        <w:rPr>
          <w:spacing w:val="-5"/>
          <w:sz w:val="24"/>
        </w:rPr>
        <w:t> </w:t>
      </w:r>
      <w:r>
        <w:rPr>
          <w:sz w:val="24"/>
        </w:rPr>
        <w:t>cuales</w:t>
      </w:r>
      <w:r>
        <w:rPr>
          <w:spacing w:val="-5"/>
          <w:sz w:val="24"/>
        </w:rPr>
        <w:t> </w:t>
      </w:r>
      <w:r>
        <w:rPr>
          <w:sz w:val="24"/>
        </w:rPr>
        <w:t>han</w:t>
      </w:r>
      <w:r>
        <w:rPr>
          <w:spacing w:val="-8"/>
          <w:sz w:val="24"/>
        </w:rPr>
        <w:t> </w:t>
      </w:r>
      <w:r>
        <w:rPr>
          <w:sz w:val="24"/>
        </w:rPr>
        <w:t>permitido</w:t>
      </w:r>
    </w:p>
    <w:p>
      <w:pPr>
        <w:pStyle w:val="ListParagraph"/>
        <w:numPr>
          <w:ilvl w:val="0"/>
          <w:numId w:val="23"/>
        </w:numPr>
        <w:tabs>
          <w:tab w:pos="699" w:val="left" w:leader="none"/>
          <w:tab w:pos="700" w:val="left" w:leader="none"/>
        </w:tabs>
        <w:spacing w:line="240" w:lineRule="auto" w:before="134" w:after="0"/>
        <w:ind w:left="699" w:right="0" w:hanging="581"/>
        <w:jc w:val="left"/>
        <w:rPr>
          <w:sz w:val="24"/>
        </w:rPr>
      </w:pPr>
      <w:r>
        <w:rPr>
          <w:sz w:val="24"/>
        </w:rPr>
        <w:t>identificar</w:t>
      </w:r>
      <w:r>
        <w:rPr>
          <w:spacing w:val="-13"/>
          <w:sz w:val="24"/>
        </w:rPr>
        <w:t> </w:t>
      </w:r>
      <w:r>
        <w:rPr>
          <w:sz w:val="24"/>
        </w:rPr>
        <w:t>31</w:t>
      </w:r>
      <w:r>
        <w:rPr>
          <w:spacing w:val="-15"/>
          <w:sz w:val="24"/>
        </w:rPr>
        <w:t> </w:t>
      </w:r>
      <w:r>
        <w:rPr>
          <w:sz w:val="24"/>
        </w:rPr>
        <w:t>cepas</w:t>
      </w:r>
      <w:r>
        <w:rPr>
          <w:spacing w:val="-17"/>
          <w:sz w:val="24"/>
        </w:rPr>
        <w:t> </w:t>
      </w:r>
      <w:r>
        <w:rPr>
          <w:sz w:val="24"/>
        </w:rPr>
        <w:t>del</w:t>
      </w:r>
      <w:r>
        <w:rPr>
          <w:spacing w:val="-23"/>
          <w:sz w:val="24"/>
        </w:rPr>
        <w:t> </w:t>
      </w:r>
      <w:r>
        <w:rPr>
          <w:sz w:val="24"/>
        </w:rPr>
        <w:t>genero</w:t>
      </w:r>
      <w:r>
        <w:rPr>
          <w:spacing w:val="-8"/>
          <w:sz w:val="24"/>
        </w:rPr>
        <w:t> </w:t>
      </w:r>
      <w:r>
        <w:rPr>
          <w:i/>
          <w:sz w:val="24"/>
        </w:rPr>
        <w:t>Francisella</w:t>
      </w:r>
      <w:r>
        <w:rPr>
          <w:i/>
          <w:spacing w:val="-10"/>
          <w:sz w:val="24"/>
        </w:rPr>
        <w:t> </w:t>
      </w:r>
      <w:r>
        <w:rPr>
          <w:sz w:val="24"/>
        </w:rPr>
        <w:t>mediante</w:t>
      </w:r>
      <w:r>
        <w:rPr>
          <w:spacing w:val="-16"/>
          <w:sz w:val="24"/>
        </w:rPr>
        <w:t> </w:t>
      </w:r>
      <w:r>
        <w:rPr>
          <w:sz w:val="24"/>
        </w:rPr>
        <w:t>amplificación</w:t>
      </w:r>
      <w:r>
        <w:rPr>
          <w:spacing w:val="-19"/>
          <w:sz w:val="24"/>
        </w:rPr>
        <w:t> </w:t>
      </w:r>
      <w:r>
        <w:rPr>
          <w:sz w:val="24"/>
        </w:rPr>
        <w:t>de</w:t>
      </w:r>
      <w:r>
        <w:rPr>
          <w:spacing w:val="-16"/>
          <w:sz w:val="24"/>
        </w:rPr>
        <w:t> </w:t>
      </w:r>
      <w:r>
        <w:rPr>
          <w:sz w:val="24"/>
        </w:rPr>
        <w:t>un</w:t>
      </w:r>
      <w:r>
        <w:rPr>
          <w:spacing w:val="-19"/>
          <w:sz w:val="24"/>
        </w:rPr>
        <w:t> </w:t>
      </w:r>
      <w:r>
        <w:rPr>
          <w:sz w:val="24"/>
        </w:rPr>
        <w:t>producto</w:t>
      </w:r>
      <w:r>
        <w:rPr>
          <w:spacing w:val="-11"/>
          <w:sz w:val="24"/>
        </w:rPr>
        <w:t> </w:t>
      </w:r>
      <w:r>
        <w:rPr>
          <w:sz w:val="24"/>
        </w:rPr>
        <w:t>específico</w:t>
      </w:r>
    </w:p>
    <w:p>
      <w:pPr>
        <w:pStyle w:val="ListParagraph"/>
        <w:numPr>
          <w:ilvl w:val="0"/>
          <w:numId w:val="23"/>
        </w:numPr>
        <w:tabs>
          <w:tab w:pos="699" w:val="left" w:leader="none"/>
          <w:tab w:pos="700" w:val="left" w:leader="none"/>
        </w:tabs>
        <w:spacing w:line="240" w:lineRule="auto" w:before="125" w:after="0"/>
        <w:ind w:left="699" w:right="0" w:hanging="581"/>
        <w:jc w:val="left"/>
        <w:rPr>
          <w:sz w:val="24"/>
        </w:rPr>
      </w:pPr>
      <w:r>
        <w:rPr>
          <w:sz w:val="24"/>
        </w:rPr>
        <w:t>de 1131 pb del rRNA 16S de este generó (Forsman y </w:t>
      </w:r>
      <w:r>
        <w:rPr>
          <w:spacing w:val="2"/>
          <w:sz w:val="24"/>
        </w:rPr>
        <w:t>col</w:t>
      </w:r>
      <w:r>
        <w:rPr>
          <w:spacing w:val="-27"/>
          <w:sz w:val="24"/>
        </w:rPr>
        <w:t> </w:t>
      </w:r>
      <w:r>
        <w:rPr>
          <w:sz w:val="24"/>
        </w:rPr>
        <w:t>1994).</w:t>
      </w:r>
    </w:p>
    <w:p>
      <w:pPr>
        <w:spacing w:after="0" w:line="240" w:lineRule="auto"/>
        <w:jc w:val="left"/>
        <w:rPr>
          <w:sz w:val="24"/>
        </w:rPr>
        <w:sectPr>
          <w:footerReference w:type="default" r:id="rId32"/>
          <w:pgSz w:w="12240" w:h="15840"/>
          <w:pgMar w:footer="1003" w:header="752" w:top="1000" w:bottom="1200" w:left="1000" w:right="1560"/>
        </w:sectPr>
      </w:pPr>
    </w:p>
    <w:p>
      <w:pPr>
        <w:pStyle w:val="BodyText"/>
        <w:spacing w:before="8"/>
        <w:rPr>
          <w:rFonts w:ascii="Times New Roman"/>
          <w:sz w:val="28"/>
        </w:rPr>
      </w:pPr>
    </w:p>
    <w:p>
      <w:pPr>
        <w:pStyle w:val="ListParagraph"/>
        <w:numPr>
          <w:ilvl w:val="1"/>
          <w:numId w:val="23"/>
        </w:numPr>
        <w:tabs>
          <w:tab w:pos="1405" w:val="left" w:leader="none"/>
          <w:tab w:pos="1406" w:val="left" w:leader="none"/>
        </w:tabs>
        <w:spacing w:line="240" w:lineRule="auto" w:before="70" w:after="0"/>
        <w:ind w:left="1405" w:right="0" w:hanging="1176"/>
        <w:jc w:val="left"/>
        <w:rPr>
          <w:sz w:val="24"/>
        </w:rPr>
      </w:pPr>
      <w:r>
        <w:rPr>
          <w:sz w:val="24"/>
        </w:rPr>
        <w:t>El</w:t>
      </w:r>
      <w:r>
        <w:rPr>
          <w:spacing w:val="-14"/>
          <w:sz w:val="24"/>
        </w:rPr>
        <w:t> </w:t>
      </w:r>
      <w:r>
        <w:rPr>
          <w:sz w:val="24"/>
        </w:rPr>
        <w:t>análisis</w:t>
      </w:r>
      <w:r>
        <w:rPr>
          <w:spacing w:val="-8"/>
          <w:sz w:val="24"/>
        </w:rPr>
        <w:t> </w:t>
      </w:r>
      <w:r>
        <w:rPr>
          <w:sz w:val="24"/>
        </w:rPr>
        <w:t>filogenético</w:t>
      </w:r>
      <w:r>
        <w:rPr>
          <w:spacing w:val="-6"/>
          <w:sz w:val="24"/>
        </w:rPr>
        <w:t> </w:t>
      </w:r>
      <w:r>
        <w:rPr>
          <w:sz w:val="24"/>
        </w:rPr>
        <w:t>de</w:t>
      </w:r>
      <w:r>
        <w:rPr>
          <w:spacing w:val="-7"/>
          <w:sz w:val="24"/>
        </w:rPr>
        <w:t> </w:t>
      </w:r>
      <w:r>
        <w:rPr>
          <w:spacing w:val="-3"/>
          <w:sz w:val="24"/>
        </w:rPr>
        <w:t>las</w:t>
      </w:r>
      <w:r>
        <w:rPr>
          <w:spacing w:val="-12"/>
          <w:sz w:val="24"/>
        </w:rPr>
        <w:t> </w:t>
      </w:r>
      <w:r>
        <w:rPr>
          <w:sz w:val="24"/>
        </w:rPr>
        <w:t>secuencias</w:t>
      </w:r>
      <w:r>
        <w:rPr>
          <w:spacing w:val="-12"/>
          <w:sz w:val="24"/>
        </w:rPr>
        <w:t> </w:t>
      </w:r>
      <w:r>
        <w:rPr>
          <w:sz w:val="24"/>
        </w:rPr>
        <w:t>del</w:t>
      </w:r>
      <w:r>
        <w:rPr>
          <w:spacing w:val="-14"/>
          <w:sz w:val="24"/>
        </w:rPr>
        <w:t> </w:t>
      </w:r>
      <w:r>
        <w:rPr>
          <w:sz w:val="24"/>
        </w:rPr>
        <w:t>gen</w:t>
      </w:r>
      <w:r>
        <w:rPr>
          <w:spacing w:val="-14"/>
          <w:sz w:val="24"/>
        </w:rPr>
        <w:t> </w:t>
      </w:r>
      <w:r>
        <w:rPr>
          <w:sz w:val="24"/>
        </w:rPr>
        <w:t>16S</w:t>
      </w:r>
      <w:r>
        <w:rPr>
          <w:spacing w:val="-5"/>
          <w:sz w:val="24"/>
        </w:rPr>
        <w:t> </w:t>
      </w:r>
      <w:r>
        <w:rPr>
          <w:sz w:val="24"/>
        </w:rPr>
        <w:t>identificado</w:t>
      </w:r>
      <w:r>
        <w:rPr>
          <w:spacing w:val="-6"/>
          <w:sz w:val="24"/>
        </w:rPr>
        <w:t> </w:t>
      </w:r>
      <w:r>
        <w:rPr>
          <w:sz w:val="24"/>
        </w:rPr>
        <w:t>en</w:t>
      </w:r>
      <w:r>
        <w:rPr>
          <w:spacing w:val="-11"/>
          <w:sz w:val="24"/>
        </w:rPr>
        <w:t> </w:t>
      </w:r>
      <w:r>
        <w:rPr>
          <w:sz w:val="24"/>
        </w:rPr>
        <w:t>nuestra</w:t>
      </w:r>
      <w:r>
        <w:rPr>
          <w:spacing w:val="-12"/>
          <w:sz w:val="24"/>
        </w:rPr>
        <w:t> </w:t>
      </w:r>
      <w:r>
        <w:rPr>
          <w:sz w:val="24"/>
        </w:rPr>
        <w:t>bacteria,</w:t>
      </w:r>
    </w:p>
    <w:p>
      <w:pPr>
        <w:pStyle w:val="ListParagraph"/>
        <w:numPr>
          <w:ilvl w:val="1"/>
          <w:numId w:val="23"/>
        </w:numPr>
        <w:tabs>
          <w:tab w:pos="699" w:val="left" w:leader="none"/>
          <w:tab w:pos="700" w:val="left" w:leader="none"/>
        </w:tabs>
        <w:spacing w:line="240" w:lineRule="auto" w:before="134" w:after="0"/>
        <w:ind w:left="699" w:right="0" w:hanging="470"/>
        <w:jc w:val="left"/>
        <w:rPr>
          <w:i/>
          <w:sz w:val="24"/>
        </w:rPr>
      </w:pPr>
      <w:r>
        <w:rPr>
          <w:spacing w:val="-3"/>
          <w:sz w:val="24"/>
        </w:rPr>
        <w:t>la  </w:t>
      </w:r>
      <w:r>
        <w:rPr>
          <w:sz w:val="24"/>
        </w:rPr>
        <w:t>ubica  en estrecha  relación con el gen 16S  </w:t>
      </w:r>
      <w:r>
        <w:rPr>
          <w:spacing w:val="-3"/>
          <w:sz w:val="24"/>
        </w:rPr>
        <w:t>de  </w:t>
      </w:r>
      <w:r>
        <w:rPr>
          <w:sz w:val="24"/>
        </w:rPr>
        <w:t>aislados obtenidos  de      </w:t>
      </w:r>
      <w:r>
        <w:rPr>
          <w:i/>
          <w:sz w:val="24"/>
        </w:rPr>
        <w:t>Parapristipoma</w:t>
      </w:r>
    </w:p>
    <w:p>
      <w:pPr>
        <w:pStyle w:val="ListParagraph"/>
        <w:numPr>
          <w:ilvl w:val="1"/>
          <w:numId w:val="23"/>
        </w:numPr>
        <w:tabs>
          <w:tab w:pos="699" w:val="left" w:leader="none"/>
          <w:tab w:pos="700" w:val="left" w:leader="none"/>
        </w:tabs>
        <w:spacing w:line="240" w:lineRule="auto" w:before="129" w:after="0"/>
        <w:ind w:left="699" w:right="0" w:hanging="470"/>
        <w:jc w:val="left"/>
        <w:rPr>
          <w:sz w:val="24"/>
        </w:rPr>
      </w:pPr>
      <w:r>
        <w:rPr>
          <w:i/>
          <w:sz w:val="24"/>
        </w:rPr>
        <w:t>trilineatum</w:t>
      </w:r>
      <w:r>
        <w:rPr>
          <w:sz w:val="24"/>
        </w:rPr>
        <w:t>, cepa Ehime-1, de Japón y </w:t>
      </w:r>
      <w:r>
        <w:rPr>
          <w:spacing w:val="-3"/>
          <w:sz w:val="24"/>
        </w:rPr>
        <w:t>la </w:t>
      </w:r>
      <w:r>
        <w:rPr>
          <w:sz w:val="24"/>
        </w:rPr>
        <w:t>cepa Toba04 identificada en tilapia en  </w:t>
      </w:r>
      <w:r>
        <w:rPr>
          <w:spacing w:val="22"/>
          <w:sz w:val="24"/>
        </w:rPr>
        <w:t> </w:t>
      </w:r>
      <w:r>
        <w:rPr>
          <w:sz w:val="24"/>
        </w:rPr>
        <w:t>Indonesia,</w:t>
      </w:r>
    </w:p>
    <w:p>
      <w:pPr>
        <w:pStyle w:val="ListParagraph"/>
        <w:numPr>
          <w:ilvl w:val="1"/>
          <w:numId w:val="23"/>
        </w:numPr>
        <w:tabs>
          <w:tab w:pos="699" w:val="left" w:leader="none"/>
          <w:tab w:pos="700" w:val="left" w:leader="none"/>
        </w:tabs>
        <w:spacing w:line="240" w:lineRule="auto" w:before="130" w:after="0"/>
        <w:ind w:left="699" w:right="0" w:hanging="470"/>
        <w:jc w:val="left"/>
        <w:rPr>
          <w:sz w:val="24"/>
        </w:rPr>
      </w:pPr>
      <w:r>
        <w:rPr>
          <w:sz w:val="24"/>
        </w:rPr>
        <w:t>con</w:t>
      </w:r>
      <w:r>
        <w:rPr>
          <w:spacing w:val="-11"/>
          <w:sz w:val="24"/>
        </w:rPr>
        <w:t> </w:t>
      </w:r>
      <w:r>
        <w:rPr>
          <w:sz w:val="24"/>
        </w:rPr>
        <w:t>los</w:t>
      </w:r>
      <w:r>
        <w:rPr>
          <w:spacing w:val="-13"/>
          <w:sz w:val="24"/>
        </w:rPr>
        <w:t> </w:t>
      </w:r>
      <w:r>
        <w:rPr>
          <w:sz w:val="24"/>
        </w:rPr>
        <w:t>que</w:t>
      </w:r>
      <w:r>
        <w:rPr>
          <w:spacing w:val="-12"/>
          <w:sz w:val="24"/>
        </w:rPr>
        <w:t> </w:t>
      </w:r>
      <w:r>
        <w:rPr>
          <w:sz w:val="24"/>
        </w:rPr>
        <w:t>tiene</w:t>
      </w:r>
      <w:r>
        <w:rPr>
          <w:spacing w:val="-7"/>
          <w:sz w:val="24"/>
        </w:rPr>
        <w:t> </w:t>
      </w:r>
      <w:r>
        <w:rPr>
          <w:sz w:val="24"/>
        </w:rPr>
        <w:t>más</w:t>
      </w:r>
      <w:r>
        <w:rPr>
          <w:spacing w:val="-13"/>
          <w:sz w:val="24"/>
        </w:rPr>
        <w:t> </w:t>
      </w:r>
      <w:r>
        <w:rPr>
          <w:sz w:val="24"/>
        </w:rPr>
        <w:t>de</w:t>
      </w:r>
      <w:r>
        <w:rPr>
          <w:spacing w:val="-12"/>
          <w:sz w:val="24"/>
        </w:rPr>
        <w:t> </w:t>
      </w:r>
      <w:r>
        <w:rPr>
          <w:sz w:val="24"/>
        </w:rPr>
        <w:t>99,5%</w:t>
      </w:r>
      <w:r>
        <w:rPr>
          <w:spacing w:val="-6"/>
          <w:sz w:val="24"/>
        </w:rPr>
        <w:t> </w:t>
      </w:r>
      <w:r>
        <w:rPr>
          <w:sz w:val="24"/>
        </w:rPr>
        <w:t>de</w:t>
      </w:r>
      <w:r>
        <w:rPr>
          <w:spacing w:val="-12"/>
          <w:sz w:val="24"/>
        </w:rPr>
        <w:t> </w:t>
      </w:r>
      <w:r>
        <w:rPr>
          <w:sz w:val="24"/>
        </w:rPr>
        <w:t>similitud</w:t>
      </w:r>
      <w:r>
        <w:rPr>
          <w:spacing w:val="-11"/>
          <w:sz w:val="24"/>
        </w:rPr>
        <w:t> </w:t>
      </w:r>
      <w:r>
        <w:rPr>
          <w:sz w:val="24"/>
        </w:rPr>
        <w:t>de</w:t>
      </w:r>
      <w:r>
        <w:rPr>
          <w:spacing w:val="-7"/>
          <w:sz w:val="24"/>
        </w:rPr>
        <w:t> </w:t>
      </w:r>
      <w:r>
        <w:rPr>
          <w:sz w:val="24"/>
        </w:rPr>
        <w:t>nucleótidos.</w:t>
      </w:r>
      <w:r>
        <w:rPr>
          <w:spacing w:val="-9"/>
          <w:sz w:val="24"/>
        </w:rPr>
        <w:t> </w:t>
      </w:r>
      <w:r>
        <w:rPr>
          <w:sz w:val="24"/>
        </w:rPr>
        <w:t>Desde</w:t>
      </w:r>
      <w:r>
        <w:rPr>
          <w:spacing w:val="-12"/>
          <w:sz w:val="24"/>
        </w:rPr>
        <w:t> </w:t>
      </w:r>
      <w:r>
        <w:rPr>
          <w:sz w:val="24"/>
        </w:rPr>
        <w:t>el</w:t>
      </w:r>
      <w:r>
        <w:rPr>
          <w:spacing w:val="-14"/>
          <w:sz w:val="24"/>
        </w:rPr>
        <w:t> </w:t>
      </w:r>
      <w:r>
        <w:rPr>
          <w:sz w:val="24"/>
        </w:rPr>
        <w:t>año</w:t>
      </w:r>
      <w:r>
        <w:rPr>
          <w:spacing w:val="-6"/>
          <w:sz w:val="24"/>
        </w:rPr>
        <w:t> </w:t>
      </w:r>
      <w:r>
        <w:rPr>
          <w:sz w:val="24"/>
        </w:rPr>
        <w:t>2006</w:t>
      </w:r>
      <w:r>
        <w:rPr>
          <w:spacing w:val="-11"/>
          <w:sz w:val="24"/>
        </w:rPr>
        <w:t> </w:t>
      </w:r>
      <w:r>
        <w:rPr>
          <w:sz w:val="24"/>
        </w:rPr>
        <w:t>estos</w:t>
      </w:r>
      <w:r>
        <w:rPr>
          <w:spacing w:val="-13"/>
          <w:sz w:val="24"/>
        </w:rPr>
        <w:t> </w:t>
      </w:r>
      <w:r>
        <w:rPr>
          <w:sz w:val="24"/>
        </w:rPr>
        <w:t>aislados</w:t>
      </w:r>
    </w:p>
    <w:p>
      <w:pPr>
        <w:pStyle w:val="ListParagraph"/>
        <w:numPr>
          <w:ilvl w:val="1"/>
          <w:numId w:val="23"/>
        </w:numPr>
        <w:tabs>
          <w:tab w:pos="699" w:val="left" w:leader="none"/>
          <w:tab w:pos="700" w:val="left" w:leader="none"/>
        </w:tabs>
        <w:spacing w:line="240" w:lineRule="auto" w:before="129" w:after="0"/>
        <w:ind w:left="699" w:right="0" w:hanging="470"/>
        <w:jc w:val="left"/>
        <w:rPr>
          <w:sz w:val="24"/>
        </w:rPr>
      </w:pPr>
      <w:r>
        <w:rPr>
          <w:sz w:val="24"/>
        </w:rPr>
        <w:t>se han descrito  </w:t>
      </w:r>
      <w:r>
        <w:rPr>
          <w:spacing w:val="-3"/>
          <w:sz w:val="24"/>
        </w:rPr>
        <w:t>como  </w:t>
      </w:r>
      <w:r>
        <w:rPr>
          <w:sz w:val="24"/>
        </w:rPr>
        <w:t>organismos  </w:t>
      </w:r>
      <w:r>
        <w:rPr>
          <w:i/>
          <w:sz w:val="24"/>
        </w:rPr>
        <w:t>Francisella-like</w:t>
      </w:r>
      <w:r>
        <w:rPr>
          <w:sz w:val="24"/>
        </w:rPr>
        <w:t>,  asociados a  mortalidades en </w:t>
      </w:r>
      <w:r>
        <w:rPr>
          <w:spacing w:val="14"/>
          <w:sz w:val="24"/>
        </w:rPr>
        <w:t> </w:t>
      </w:r>
      <w:r>
        <w:rPr>
          <w:sz w:val="24"/>
        </w:rPr>
        <w:t>distintas</w:t>
      </w:r>
    </w:p>
    <w:p>
      <w:pPr>
        <w:pStyle w:val="ListParagraph"/>
        <w:numPr>
          <w:ilvl w:val="1"/>
          <w:numId w:val="23"/>
        </w:numPr>
        <w:tabs>
          <w:tab w:pos="699" w:val="left" w:leader="none"/>
          <w:tab w:pos="700" w:val="left" w:leader="none"/>
        </w:tabs>
        <w:spacing w:line="240" w:lineRule="auto" w:before="134" w:after="0"/>
        <w:ind w:left="699" w:right="0" w:hanging="470"/>
        <w:jc w:val="left"/>
        <w:rPr>
          <w:sz w:val="24"/>
        </w:rPr>
      </w:pPr>
      <w:r>
        <w:rPr>
          <w:sz w:val="24"/>
        </w:rPr>
        <w:t>especies</w:t>
      </w:r>
      <w:r>
        <w:rPr>
          <w:spacing w:val="-12"/>
          <w:sz w:val="24"/>
        </w:rPr>
        <w:t> </w:t>
      </w:r>
      <w:r>
        <w:rPr>
          <w:sz w:val="24"/>
        </w:rPr>
        <w:t>de</w:t>
      </w:r>
      <w:r>
        <w:rPr>
          <w:spacing w:val="-11"/>
          <w:sz w:val="24"/>
        </w:rPr>
        <w:t> </w:t>
      </w:r>
      <w:r>
        <w:rPr>
          <w:sz w:val="24"/>
        </w:rPr>
        <w:t>peces</w:t>
      </w:r>
      <w:r>
        <w:rPr>
          <w:spacing w:val="-12"/>
          <w:sz w:val="24"/>
        </w:rPr>
        <w:t> </w:t>
      </w:r>
      <w:r>
        <w:rPr>
          <w:sz w:val="24"/>
        </w:rPr>
        <w:t>(Soto</w:t>
      </w:r>
      <w:r>
        <w:rPr>
          <w:spacing w:val="-5"/>
          <w:sz w:val="24"/>
        </w:rPr>
        <w:t> </w:t>
      </w:r>
      <w:r>
        <w:rPr>
          <w:sz w:val="24"/>
        </w:rPr>
        <w:t>y</w:t>
      </w:r>
      <w:r>
        <w:rPr>
          <w:spacing w:val="-19"/>
          <w:sz w:val="24"/>
        </w:rPr>
        <w:t> </w:t>
      </w:r>
      <w:r>
        <w:rPr>
          <w:sz w:val="24"/>
        </w:rPr>
        <w:t>col</w:t>
      </w:r>
      <w:r>
        <w:rPr>
          <w:spacing w:val="-19"/>
          <w:sz w:val="24"/>
        </w:rPr>
        <w:t> </w:t>
      </w:r>
      <w:r>
        <w:rPr>
          <w:sz w:val="24"/>
        </w:rPr>
        <w:t>2010;</w:t>
      </w:r>
      <w:r>
        <w:rPr>
          <w:spacing w:val="-14"/>
          <w:sz w:val="24"/>
        </w:rPr>
        <w:t> </w:t>
      </w:r>
      <w:r>
        <w:rPr>
          <w:sz w:val="24"/>
        </w:rPr>
        <w:t>Hsiehy</w:t>
      </w:r>
      <w:r>
        <w:rPr>
          <w:spacing w:val="-19"/>
          <w:sz w:val="24"/>
        </w:rPr>
        <w:t> </w:t>
      </w:r>
      <w:r>
        <w:rPr>
          <w:spacing w:val="2"/>
          <w:sz w:val="24"/>
        </w:rPr>
        <w:t>col</w:t>
      </w:r>
      <w:r>
        <w:rPr>
          <w:spacing w:val="-19"/>
          <w:sz w:val="24"/>
        </w:rPr>
        <w:t> </w:t>
      </w:r>
      <w:r>
        <w:rPr>
          <w:sz w:val="24"/>
        </w:rPr>
        <w:t>2006),</w:t>
      </w:r>
      <w:r>
        <w:rPr>
          <w:spacing w:val="-8"/>
          <w:sz w:val="24"/>
        </w:rPr>
        <w:t> </w:t>
      </w:r>
      <w:r>
        <w:rPr>
          <w:sz w:val="24"/>
        </w:rPr>
        <w:t>ubicándolos</w:t>
      </w:r>
      <w:r>
        <w:rPr>
          <w:spacing w:val="-12"/>
          <w:sz w:val="24"/>
        </w:rPr>
        <w:t> </w:t>
      </w:r>
      <w:r>
        <w:rPr>
          <w:sz w:val="24"/>
        </w:rPr>
        <w:t>actualmente</w:t>
      </w:r>
      <w:r>
        <w:rPr>
          <w:spacing w:val="-11"/>
          <w:sz w:val="24"/>
        </w:rPr>
        <w:t> </w:t>
      </w:r>
      <w:r>
        <w:rPr>
          <w:sz w:val="24"/>
        </w:rPr>
        <w:t>dentro</w:t>
      </w:r>
      <w:r>
        <w:rPr>
          <w:spacing w:val="-5"/>
          <w:sz w:val="24"/>
        </w:rPr>
        <w:t> </w:t>
      </w:r>
      <w:r>
        <w:rPr>
          <w:sz w:val="24"/>
        </w:rPr>
        <w:t>de</w:t>
      </w:r>
      <w:r>
        <w:rPr>
          <w:spacing w:val="-15"/>
          <w:sz w:val="24"/>
        </w:rPr>
        <w:t> </w:t>
      </w:r>
      <w:r>
        <w:rPr>
          <w:sz w:val="24"/>
        </w:rPr>
        <w:t>una</w:t>
      </w:r>
    </w:p>
    <w:p>
      <w:pPr>
        <w:pStyle w:val="ListParagraph"/>
        <w:numPr>
          <w:ilvl w:val="1"/>
          <w:numId w:val="23"/>
        </w:numPr>
        <w:tabs>
          <w:tab w:pos="699" w:val="left" w:leader="none"/>
          <w:tab w:pos="700" w:val="left" w:leader="none"/>
        </w:tabs>
        <w:spacing w:line="240" w:lineRule="auto" w:before="129" w:after="0"/>
        <w:ind w:left="699" w:right="0" w:hanging="470"/>
        <w:jc w:val="left"/>
        <w:rPr>
          <w:sz w:val="24"/>
        </w:rPr>
      </w:pPr>
      <w:r>
        <w:rPr>
          <w:sz w:val="24"/>
        </w:rPr>
        <w:t>nueva</w:t>
      </w:r>
      <w:r>
        <w:rPr>
          <w:spacing w:val="-8"/>
          <w:sz w:val="24"/>
        </w:rPr>
        <w:t> </w:t>
      </w:r>
      <w:r>
        <w:rPr>
          <w:sz w:val="24"/>
        </w:rPr>
        <w:t>subespecie</w:t>
      </w:r>
      <w:r>
        <w:rPr>
          <w:spacing w:val="-8"/>
          <w:sz w:val="24"/>
        </w:rPr>
        <w:t> </w:t>
      </w:r>
      <w:r>
        <w:rPr>
          <w:sz w:val="24"/>
        </w:rPr>
        <w:t>de</w:t>
      </w:r>
      <w:r>
        <w:rPr>
          <w:spacing w:val="-4"/>
          <w:sz w:val="24"/>
        </w:rPr>
        <w:t> </w:t>
      </w:r>
      <w:r>
        <w:rPr>
          <w:i/>
          <w:sz w:val="24"/>
        </w:rPr>
        <w:t>F.</w:t>
      </w:r>
      <w:r>
        <w:rPr>
          <w:i/>
          <w:spacing w:val="-6"/>
          <w:sz w:val="24"/>
        </w:rPr>
        <w:t> </w:t>
      </w:r>
      <w:r>
        <w:rPr>
          <w:i/>
          <w:sz w:val="24"/>
        </w:rPr>
        <w:t>noatunensis</w:t>
      </w:r>
      <w:r>
        <w:rPr>
          <w:sz w:val="24"/>
        </w:rPr>
        <w:t>,</w:t>
      </w:r>
      <w:r>
        <w:rPr>
          <w:spacing w:val="-6"/>
          <w:sz w:val="24"/>
        </w:rPr>
        <w:t> </w:t>
      </w:r>
      <w:r>
        <w:rPr>
          <w:sz w:val="24"/>
        </w:rPr>
        <w:t>denominada</w:t>
      </w:r>
      <w:r>
        <w:rPr>
          <w:spacing w:val="-8"/>
          <w:sz w:val="24"/>
        </w:rPr>
        <w:t> </w:t>
      </w:r>
      <w:r>
        <w:rPr>
          <w:i/>
          <w:sz w:val="24"/>
        </w:rPr>
        <w:t>F.</w:t>
      </w:r>
      <w:r>
        <w:rPr>
          <w:i/>
          <w:spacing w:val="-6"/>
          <w:sz w:val="24"/>
        </w:rPr>
        <w:t> </w:t>
      </w:r>
      <w:r>
        <w:rPr>
          <w:i/>
          <w:sz w:val="24"/>
        </w:rPr>
        <w:t>noatunensis</w:t>
      </w:r>
      <w:r>
        <w:rPr>
          <w:i/>
          <w:spacing w:val="-8"/>
          <w:sz w:val="24"/>
        </w:rPr>
        <w:t> </w:t>
      </w:r>
      <w:r>
        <w:rPr>
          <w:sz w:val="24"/>
        </w:rPr>
        <w:t>subsp</w:t>
      </w:r>
      <w:r>
        <w:rPr>
          <w:i/>
          <w:sz w:val="24"/>
        </w:rPr>
        <w:t>.</w:t>
      </w:r>
      <w:r>
        <w:rPr>
          <w:i/>
          <w:spacing w:val="-6"/>
          <w:sz w:val="24"/>
        </w:rPr>
        <w:t> </w:t>
      </w:r>
      <w:r>
        <w:rPr>
          <w:i/>
          <w:sz w:val="24"/>
        </w:rPr>
        <w:t>orientalis</w:t>
      </w:r>
      <w:r>
        <w:rPr>
          <w:i/>
          <w:spacing w:val="-8"/>
          <w:sz w:val="24"/>
        </w:rPr>
        <w:t> </w:t>
      </w:r>
      <w:r>
        <w:rPr>
          <w:sz w:val="24"/>
        </w:rPr>
        <w:t>(Mikalsen</w:t>
      </w:r>
    </w:p>
    <w:p>
      <w:pPr>
        <w:pStyle w:val="ListParagraph"/>
        <w:numPr>
          <w:ilvl w:val="1"/>
          <w:numId w:val="23"/>
        </w:numPr>
        <w:tabs>
          <w:tab w:pos="699" w:val="left" w:leader="none"/>
          <w:tab w:pos="700" w:val="left" w:leader="none"/>
        </w:tabs>
        <w:spacing w:line="240" w:lineRule="auto" w:before="130" w:after="0"/>
        <w:ind w:left="699" w:right="0" w:hanging="470"/>
        <w:jc w:val="left"/>
        <w:rPr>
          <w:sz w:val="24"/>
        </w:rPr>
      </w:pPr>
      <w:r>
        <w:rPr>
          <w:sz w:val="24"/>
        </w:rPr>
        <w:t>y  </w:t>
      </w:r>
      <w:r>
        <w:rPr>
          <w:spacing w:val="2"/>
          <w:sz w:val="24"/>
        </w:rPr>
        <w:t>col  </w:t>
      </w:r>
      <w:r>
        <w:rPr>
          <w:sz w:val="24"/>
        </w:rPr>
        <w:t>2007;  Mikalsen  y  Colquhoun,   2009;   Ottem  y  </w:t>
      </w:r>
      <w:r>
        <w:rPr>
          <w:spacing w:val="2"/>
          <w:sz w:val="24"/>
        </w:rPr>
        <w:t>col  </w:t>
      </w:r>
      <w:r>
        <w:rPr>
          <w:sz w:val="24"/>
        </w:rPr>
        <w:t>2007;  Ottem  y  </w:t>
      </w:r>
      <w:r>
        <w:rPr>
          <w:spacing w:val="2"/>
          <w:sz w:val="24"/>
        </w:rPr>
        <w:t>col    </w:t>
      </w:r>
      <w:r>
        <w:rPr>
          <w:spacing w:val="36"/>
          <w:sz w:val="24"/>
        </w:rPr>
        <w:t> </w:t>
      </w:r>
      <w:r>
        <w:rPr>
          <w:sz w:val="24"/>
        </w:rPr>
        <w:t>2009;</w:t>
      </w:r>
    </w:p>
    <w:p>
      <w:pPr>
        <w:pStyle w:val="ListParagraph"/>
        <w:numPr>
          <w:ilvl w:val="1"/>
          <w:numId w:val="23"/>
        </w:numPr>
        <w:tabs>
          <w:tab w:pos="699" w:val="left" w:leader="none"/>
          <w:tab w:pos="700" w:val="left" w:leader="none"/>
        </w:tabs>
        <w:spacing w:line="240" w:lineRule="auto" w:before="129" w:after="0"/>
        <w:ind w:left="699" w:right="0" w:hanging="470"/>
        <w:jc w:val="left"/>
        <w:rPr>
          <w:sz w:val="24"/>
        </w:rPr>
      </w:pPr>
      <w:r>
        <w:rPr>
          <w:sz w:val="24"/>
        </w:rPr>
        <w:t>Schrallhammer  y col 2011).  Resultados  similares  se  obtuvieron  al analizar  el </w:t>
      </w:r>
      <w:r>
        <w:rPr>
          <w:spacing w:val="3"/>
          <w:sz w:val="24"/>
        </w:rPr>
        <w:t>ITS-1 </w:t>
      </w:r>
      <w:r>
        <w:rPr>
          <w:spacing w:val="51"/>
          <w:sz w:val="24"/>
        </w:rPr>
        <w:t> </w:t>
      </w:r>
      <w:r>
        <w:rPr>
          <w:sz w:val="24"/>
        </w:rPr>
        <w:t>de</w:t>
      </w:r>
    </w:p>
    <w:p>
      <w:pPr>
        <w:pStyle w:val="ListParagraph"/>
        <w:numPr>
          <w:ilvl w:val="1"/>
          <w:numId w:val="23"/>
        </w:numPr>
        <w:tabs>
          <w:tab w:pos="699" w:val="left" w:leader="none"/>
          <w:tab w:pos="700" w:val="left" w:leader="none"/>
        </w:tabs>
        <w:spacing w:line="240" w:lineRule="auto" w:before="134" w:after="0"/>
        <w:ind w:left="699" w:right="0" w:hanging="581"/>
        <w:jc w:val="left"/>
        <w:rPr>
          <w:sz w:val="24"/>
        </w:rPr>
      </w:pPr>
      <w:r>
        <w:rPr>
          <w:sz w:val="24"/>
        </w:rPr>
        <w:t>colonias puras aisladas de  </w:t>
      </w:r>
      <w:r>
        <w:rPr>
          <w:spacing w:val="-3"/>
          <w:sz w:val="24"/>
        </w:rPr>
        <w:t>la  </w:t>
      </w:r>
      <w:r>
        <w:rPr>
          <w:sz w:val="24"/>
        </w:rPr>
        <w:t>bacteria  confirmando  su  relación  filogenéticas con  </w:t>
      </w:r>
      <w:r>
        <w:rPr>
          <w:spacing w:val="-3"/>
          <w:sz w:val="24"/>
        </w:rPr>
        <w:t>la</w:t>
      </w:r>
      <w:r>
        <w:rPr>
          <w:spacing w:val="37"/>
          <w:sz w:val="24"/>
        </w:rPr>
        <w:t> </w:t>
      </w:r>
      <w:r>
        <w:rPr>
          <w:sz w:val="24"/>
        </w:rPr>
        <w:t>cepa</w:t>
      </w:r>
    </w:p>
    <w:p>
      <w:pPr>
        <w:pStyle w:val="ListParagraph"/>
        <w:numPr>
          <w:ilvl w:val="1"/>
          <w:numId w:val="23"/>
        </w:numPr>
        <w:tabs>
          <w:tab w:pos="699" w:val="left" w:leader="none"/>
          <w:tab w:pos="700" w:val="left" w:leader="none"/>
        </w:tabs>
        <w:spacing w:line="240" w:lineRule="auto" w:before="129" w:after="0"/>
        <w:ind w:left="699" w:right="0" w:hanging="581"/>
        <w:jc w:val="left"/>
        <w:rPr>
          <w:sz w:val="24"/>
        </w:rPr>
      </w:pPr>
      <w:r>
        <w:rPr>
          <w:sz w:val="24"/>
        </w:rPr>
        <w:t>Ehime-1.  Concomitante con estos hallazgos,  es  interesante descartar que los análisis    </w:t>
      </w:r>
      <w:r>
        <w:rPr>
          <w:spacing w:val="15"/>
          <w:sz w:val="24"/>
        </w:rPr>
        <w:t> </w:t>
      </w:r>
      <w:r>
        <w:rPr>
          <w:sz w:val="24"/>
        </w:rPr>
        <w:t>de</w:t>
      </w:r>
    </w:p>
    <w:p>
      <w:pPr>
        <w:pStyle w:val="ListParagraph"/>
        <w:numPr>
          <w:ilvl w:val="1"/>
          <w:numId w:val="23"/>
        </w:numPr>
        <w:tabs>
          <w:tab w:pos="699" w:val="left" w:leader="none"/>
          <w:tab w:pos="700" w:val="left" w:leader="none"/>
        </w:tabs>
        <w:spacing w:line="240" w:lineRule="auto" w:before="130" w:after="0"/>
        <w:ind w:left="699" w:right="0" w:hanging="581"/>
        <w:jc w:val="left"/>
        <w:rPr>
          <w:sz w:val="24"/>
        </w:rPr>
      </w:pPr>
      <w:r>
        <w:rPr>
          <w:sz w:val="24"/>
        </w:rPr>
        <w:t>divergencia evolutiva respaldan </w:t>
      </w:r>
      <w:r>
        <w:rPr>
          <w:spacing w:val="-3"/>
          <w:sz w:val="24"/>
        </w:rPr>
        <w:t>la </w:t>
      </w:r>
      <w:r>
        <w:rPr>
          <w:sz w:val="24"/>
        </w:rPr>
        <w:t>identidad del aislado mexicano descrito en este   </w:t>
      </w:r>
      <w:r>
        <w:rPr>
          <w:spacing w:val="1"/>
          <w:sz w:val="24"/>
        </w:rPr>
        <w:t> </w:t>
      </w:r>
      <w:r>
        <w:rPr>
          <w:sz w:val="24"/>
        </w:rPr>
        <w:t>estudio</w:t>
      </w:r>
    </w:p>
    <w:p>
      <w:pPr>
        <w:pStyle w:val="ListParagraph"/>
        <w:numPr>
          <w:ilvl w:val="1"/>
          <w:numId w:val="23"/>
        </w:numPr>
        <w:tabs>
          <w:tab w:pos="699" w:val="left" w:leader="none"/>
          <w:tab w:pos="700" w:val="left" w:leader="none"/>
        </w:tabs>
        <w:spacing w:line="240" w:lineRule="auto" w:before="125" w:after="0"/>
        <w:ind w:left="699" w:right="0" w:hanging="581"/>
        <w:jc w:val="left"/>
        <w:rPr>
          <w:sz w:val="24"/>
        </w:rPr>
      </w:pPr>
      <w:r>
        <w:rPr>
          <w:sz w:val="24"/>
        </w:rPr>
        <w:t>con </w:t>
      </w:r>
      <w:r>
        <w:rPr>
          <w:spacing w:val="-4"/>
          <w:sz w:val="24"/>
        </w:rPr>
        <w:t>las </w:t>
      </w:r>
      <w:r>
        <w:rPr>
          <w:sz w:val="24"/>
        </w:rPr>
        <w:t>secuencias 16S e ITS-1 de </w:t>
      </w:r>
      <w:r>
        <w:rPr>
          <w:i/>
          <w:sz w:val="24"/>
        </w:rPr>
        <w:t>F</w:t>
      </w:r>
      <w:r>
        <w:rPr>
          <w:sz w:val="24"/>
        </w:rPr>
        <w:t>. </w:t>
      </w:r>
      <w:r>
        <w:rPr>
          <w:i/>
          <w:sz w:val="24"/>
        </w:rPr>
        <w:t>Noatunensis </w:t>
      </w:r>
      <w:r>
        <w:rPr>
          <w:sz w:val="24"/>
        </w:rPr>
        <w:t>subsp.</w:t>
      </w:r>
      <w:r>
        <w:rPr>
          <w:spacing w:val="-2"/>
          <w:sz w:val="24"/>
        </w:rPr>
        <w:t> </w:t>
      </w:r>
      <w:r>
        <w:rPr>
          <w:i/>
          <w:sz w:val="24"/>
        </w:rPr>
        <w:t>orientalis</w:t>
      </w:r>
      <w:r>
        <w:rPr>
          <w:sz w:val="24"/>
        </w:rPr>
        <w:t>.</w:t>
      </w:r>
    </w:p>
    <w:p>
      <w:pPr>
        <w:pStyle w:val="BodyText"/>
        <w:spacing w:before="2"/>
        <w:rPr>
          <w:rFonts w:ascii="Times New Roman"/>
          <w:sz w:val="23"/>
        </w:rPr>
      </w:pPr>
    </w:p>
    <w:p>
      <w:pPr>
        <w:pStyle w:val="ListParagraph"/>
        <w:numPr>
          <w:ilvl w:val="1"/>
          <w:numId w:val="23"/>
        </w:numPr>
        <w:tabs>
          <w:tab w:pos="1405" w:val="left" w:leader="none"/>
          <w:tab w:pos="1406" w:val="left" w:leader="none"/>
        </w:tabs>
        <w:spacing w:line="240" w:lineRule="auto" w:before="69" w:after="0"/>
        <w:ind w:left="1405" w:right="0" w:hanging="1287"/>
        <w:jc w:val="left"/>
        <w:rPr>
          <w:sz w:val="24"/>
        </w:rPr>
      </w:pPr>
      <w:r>
        <w:rPr>
          <w:sz w:val="24"/>
        </w:rPr>
        <w:t>La</w:t>
      </w:r>
      <w:r>
        <w:rPr>
          <w:spacing w:val="-12"/>
          <w:sz w:val="24"/>
        </w:rPr>
        <w:t> </w:t>
      </w:r>
      <w:r>
        <w:rPr>
          <w:sz w:val="24"/>
        </w:rPr>
        <w:t>aplicación</w:t>
      </w:r>
      <w:r>
        <w:rPr>
          <w:spacing w:val="-15"/>
          <w:sz w:val="24"/>
        </w:rPr>
        <w:t> </w:t>
      </w:r>
      <w:r>
        <w:rPr>
          <w:sz w:val="24"/>
        </w:rPr>
        <w:t>de</w:t>
      </w:r>
      <w:r>
        <w:rPr>
          <w:spacing w:val="-12"/>
          <w:sz w:val="24"/>
        </w:rPr>
        <w:t> </w:t>
      </w:r>
      <w:r>
        <w:rPr>
          <w:sz w:val="24"/>
        </w:rPr>
        <w:t>PCR</w:t>
      </w:r>
      <w:r>
        <w:rPr>
          <w:spacing w:val="-12"/>
          <w:sz w:val="24"/>
        </w:rPr>
        <w:t> </w:t>
      </w:r>
      <w:r>
        <w:rPr>
          <w:sz w:val="24"/>
        </w:rPr>
        <w:t>en</w:t>
      </w:r>
      <w:r>
        <w:rPr>
          <w:spacing w:val="-20"/>
          <w:sz w:val="24"/>
        </w:rPr>
        <w:t> </w:t>
      </w:r>
      <w:r>
        <w:rPr>
          <w:sz w:val="24"/>
        </w:rPr>
        <w:t>tiempo</w:t>
      </w:r>
      <w:r>
        <w:rPr>
          <w:spacing w:val="-7"/>
          <w:sz w:val="24"/>
        </w:rPr>
        <w:t> </w:t>
      </w:r>
      <w:r>
        <w:rPr>
          <w:sz w:val="24"/>
        </w:rPr>
        <w:t>real</w:t>
      </w:r>
      <w:r>
        <w:rPr>
          <w:spacing w:val="-20"/>
          <w:sz w:val="24"/>
        </w:rPr>
        <w:t> </w:t>
      </w:r>
      <w:r>
        <w:rPr>
          <w:sz w:val="24"/>
        </w:rPr>
        <w:t>utilizando</w:t>
      </w:r>
      <w:r>
        <w:rPr>
          <w:spacing w:val="-7"/>
          <w:sz w:val="24"/>
        </w:rPr>
        <w:t> </w:t>
      </w:r>
      <w:r>
        <w:rPr>
          <w:sz w:val="24"/>
        </w:rPr>
        <w:t>partidores</w:t>
      </w:r>
      <w:r>
        <w:rPr>
          <w:spacing w:val="-13"/>
          <w:sz w:val="24"/>
        </w:rPr>
        <w:t> </w:t>
      </w:r>
      <w:r>
        <w:rPr>
          <w:sz w:val="24"/>
        </w:rPr>
        <w:t>específicos</w:t>
      </w:r>
      <w:r>
        <w:rPr>
          <w:spacing w:val="-13"/>
          <w:sz w:val="24"/>
        </w:rPr>
        <w:t> </w:t>
      </w:r>
      <w:r>
        <w:rPr>
          <w:sz w:val="24"/>
        </w:rPr>
        <w:t>para</w:t>
      </w:r>
      <w:r>
        <w:rPr>
          <w:spacing w:val="-16"/>
          <w:sz w:val="24"/>
        </w:rPr>
        <w:t> </w:t>
      </w:r>
      <w:r>
        <w:rPr>
          <w:sz w:val="24"/>
        </w:rPr>
        <w:t>el</w:t>
      </w:r>
      <w:r>
        <w:rPr>
          <w:spacing w:val="-20"/>
          <w:sz w:val="24"/>
        </w:rPr>
        <w:t> </w:t>
      </w:r>
      <w:r>
        <w:rPr>
          <w:sz w:val="24"/>
        </w:rPr>
        <w:t>gen</w:t>
      </w:r>
      <w:r>
        <w:rPr>
          <w:spacing w:val="-12"/>
          <w:sz w:val="24"/>
        </w:rPr>
        <w:t> </w:t>
      </w:r>
      <w:r>
        <w:rPr>
          <w:spacing w:val="-3"/>
          <w:sz w:val="24"/>
        </w:rPr>
        <w:t>iglC</w:t>
      </w:r>
    </w:p>
    <w:p>
      <w:pPr>
        <w:pStyle w:val="ListParagraph"/>
        <w:numPr>
          <w:ilvl w:val="1"/>
          <w:numId w:val="23"/>
        </w:numPr>
        <w:tabs>
          <w:tab w:pos="699" w:val="left" w:leader="none"/>
          <w:tab w:pos="700" w:val="left" w:leader="none"/>
        </w:tabs>
        <w:spacing w:line="240" w:lineRule="auto" w:before="130" w:after="0"/>
        <w:ind w:left="699" w:right="0" w:hanging="581"/>
        <w:jc w:val="left"/>
        <w:rPr>
          <w:sz w:val="24"/>
        </w:rPr>
      </w:pPr>
      <w:r>
        <w:rPr>
          <w:sz w:val="24"/>
        </w:rPr>
        <w:t>de </w:t>
      </w:r>
      <w:r>
        <w:rPr>
          <w:i/>
          <w:sz w:val="24"/>
        </w:rPr>
        <w:t>Francisella noatunensis </w:t>
      </w:r>
      <w:r>
        <w:rPr>
          <w:sz w:val="24"/>
        </w:rPr>
        <w:t>subsp</w:t>
      </w:r>
      <w:r>
        <w:rPr>
          <w:i/>
          <w:sz w:val="24"/>
        </w:rPr>
        <w:t>. orientalis </w:t>
      </w:r>
      <w:r>
        <w:rPr>
          <w:sz w:val="24"/>
        </w:rPr>
        <w:t>(Soto y col 2010), confirmó  </w:t>
      </w:r>
      <w:r>
        <w:rPr>
          <w:spacing w:val="-5"/>
          <w:sz w:val="24"/>
        </w:rPr>
        <w:t>la  </w:t>
      </w:r>
      <w:r>
        <w:rPr>
          <w:sz w:val="24"/>
        </w:rPr>
        <w:t>identidad   </w:t>
      </w:r>
      <w:r>
        <w:rPr>
          <w:spacing w:val="16"/>
          <w:sz w:val="24"/>
        </w:rPr>
        <w:t> </w:t>
      </w:r>
      <w:r>
        <w:rPr>
          <w:sz w:val="24"/>
        </w:rPr>
        <w:t>del</w:t>
      </w:r>
    </w:p>
    <w:p>
      <w:pPr>
        <w:pStyle w:val="ListParagraph"/>
        <w:numPr>
          <w:ilvl w:val="1"/>
          <w:numId w:val="23"/>
        </w:numPr>
        <w:tabs>
          <w:tab w:pos="699" w:val="left" w:leader="none"/>
          <w:tab w:pos="700" w:val="left" w:leader="none"/>
        </w:tabs>
        <w:spacing w:line="240" w:lineRule="auto" w:before="134" w:after="0"/>
        <w:ind w:left="699" w:right="0" w:hanging="581"/>
        <w:jc w:val="left"/>
        <w:rPr>
          <w:i/>
          <w:sz w:val="24"/>
        </w:rPr>
      </w:pPr>
      <w:r>
        <w:rPr>
          <w:sz w:val="24"/>
        </w:rPr>
        <w:t>agente</w:t>
      </w:r>
      <w:r>
        <w:rPr>
          <w:spacing w:val="-7"/>
          <w:sz w:val="24"/>
        </w:rPr>
        <w:t> </w:t>
      </w:r>
      <w:r>
        <w:rPr>
          <w:sz w:val="24"/>
        </w:rPr>
        <w:t>etiológico</w:t>
      </w:r>
      <w:r>
        <w:rPr>
          <w:spacing w:val="-1"/>
          <w:sz w:val="24"/>
        </w:rPr>
        <w:t> </w:t>
      </w:r>
      <w:r>
        <w:rPr>
          <w:sz w:val="24"/>
        </w:rPr>
        <w:t>aislado</w:t>
      </w:r>
      <w:r>
        <w:rPr>
          <w:i/>
          <w:sz w:val="24"/>
        </w:rPr>
        <w:t>.</w:t>
      </w:r>
      <w:r>
        <w:rPr>
          <w:i/>
          <w:spacing w:val="-3"/>
          <w:sz w:val="24"/>
        </w:rPr>
        <w:t> </w:t>
      </w:r>
      <w:r>
        <w:rPr>
          <w:sz w:val="24"/>
        </w:rPr>
        <w:t>Esto</w:t>
      </w:r>
      <w:r>
        <w:rPr>
          <w:spacing w:val="-1"/>
          <w:sz w:val="24"/>
        </w:rPr>
        <w:t> </w:t>
      </w:r>
      <w:r>
        <w:rPr>
          <w:sz w:val="24"/>
        </w:rPr>
        <w:t>es</w:t>
      </w:r>
      <w:r>
        <w:rPr>
          <w:spacing w:val="-8"/>
          <w:sz w:val="24"/>
        </w:rPr>
        <w:t> </w:t>
      </w:r>
      <w:r>
        <w:rPr>
          <w:spacing w:val="-3"/>
          <w:sz w:val="24"/>
        </w:rPr>
        <w:t>más</w:t>
      </w:r>
      <w:r>
        <w:rPr>
          <w:spacing w:val="-8"/>
          <w:sz w:val="24"/>
        </w:rPr>
        <w:t> </w:t>
      </w:r>
      <w:r>
        <w:rPr>
          <w:sz w:val="24"/>
        </w:rPr>
        <w:t>real</w:t>
      </w:r>
      <w:r>
        <w:rPr>
          <w:spacing w:val="-10"/>
          <w:sz w:val="24"/>
        </w:rPr>
        <w:t> </w:t>
      </w:r>
      <w:r>
        <w:rPr>
          <w:sz w:val="24"/>
        </w:rPr>
        <w:t>dado</w:t>
      </w:r>
      <w:r>
        <w:rPr>
          <w:spacing w:val="-1"/>
          <w:sz w:val="24"/>
        </w:rPr>
        <w:t> </w:t>
      </w:r>
      <w:r>
        <w:rPr>
          <w:sz w:val="24"/>
        </w:rPr>
        <w:t>que</w:t>
      </w:r>
      <w:r>
        <w:rPr>
          <w:spacing w:val="-2"/>
          <w:sz w:val="24"/>
        </w:rPr>
        <w:t> </w:t>
      </w:r>
      <w:r>
        <w:rPr>
          <w:sz w:val="24"/>
        </w:rPr>
        <w:t>muchas</w:t>
      </w:r>
      <w:r>
        <w:rPr>
          <w:spacing w:val="-8"/>
          <w:sz w:val="24"/>
        </w:rPr>
        <w:t> </w:t>
      </w:r>
      <w:r>
        <w:rPr>
          <w:sz w:val="24"/>
        </w:rPr>
        <w:t>especies</w:t>
      </w:r>
      <w:r>
        <w:rPr>
          <w:spacing w:val="-8"/>
          <w:sz w:val="24"/>
        </w:rPr>
        <w:t> </w:t>
      </w:r>
      <w:r>
        <w:rPr>
          <w:sz w:val="24"/>
        </w:rPr>
        <w:t>del</w:t>
      </w:r>
      <w:r>
        <w:rPr>
          <w:spacing w:val="-10"/>
          <w:sz w:val="24"/>
        </w:rPr>
        <w:t> </w:t>
      </w:r>
      <w:r>
        <w:rPr>
          <w:sz w:val="24"/>
        </w:rPr>
        <w:t>genero</w:t>
      </w:r>
      <w:r>
        <w:rPr>
          <w:spacing w:val="4"/>
          <w:sz w:val="24"/>
        </w:rPr>
        <w:t> </w:t>
      </w:r>
      <w:r>
        <w:rPr>
          <w:i/>
          <w:sz w:val="24"/>
        </w:rPr>
        <w:t>Francisella</w:t>
      </w:r>
    </w:p>
    <w:p>
      <w:pPr>
        <w:pStyle w:val="ListParagraph"/>
        <w:numPr>
          <w:ilvl w:val="1"/>
          <w:numId w:val="23"/>
        </w:numPr>
        <w:tabs>
          <w:tab w:pos="699" w:val="left" w:leader="none"/>
          <w:tab w:pos="700" w:val="left" w:leader="none"/>
        </w:tabs>
        <w:spacing w:line="240" w:lineRule="auto" w:before="129" w:after="0"/>
        <w:ind w:left="699" w:right="0" w:hanging="581"/>
        <w:jc w:val="left"/>
        <w:rPr>
          <w:sz w:val="24"/>
        </w:rPr>
      </w:pPr>
      <w:r>
        <w:rPr>
          <w:sz w:val="24"/>
        </w:rPr>
        <w:t>comparten</w:t>
      </w:r>
      <w:r>
        <w:rPr>
          <w:spacing w:val="-12"/>
          <w:sz w:val="24"/>
        </w:rPr>
        <w:t> </w:t>
      </w:r>
      <w:r>
        <w:rPr>
          <w:sz w:val="24"/>
        </w:rPr>
        <w:t>alto</w:t>
      </w:r>
      <w:r>
        <w:rPr>
          <w:spacing w:val="-8"/>
          <w:sz w:val="24"/>
        </w:rPr>
        <w:t> </w:t>
      </w:r>
      <w:r>
        <w:rPr>
          <w:sz w:val="24"/>
        </w:rPr>
        <w:t>porcentaje</w:t>
      </w:r>
      <w:r>
        <w:rPr>
          <w:spacing w:val="-9"/>
          <w:sz w:val="24"/>
        </w:rPr>
        <w:t> </w:t>
      </w:r>
      <w:r>
        <w:rPr>
          <w:sz w:val="24"/>
        </w:rPr>
        <w:t>de</w:t>
      </w:r>
      <w:r>
        <w:rPr>
          <w:spacing w:val="-4"/>
          <w:sz w:val="24"/>
        </w:rPr>
        <w:t> </w:t>
      </w:r>
      <w:r>
        <w:rPr>
          <w:sz w:val="24"/>
        </w:rPr>
        <w:t>identidad</w:t>
      </w:r>
      <w:r>
        <w:rPr>
          <w:spacing w:val="-8"/>
          <w:sz w:val="24"/>
        </w:rPr>
        <w:t> </w:t>
      </w:r>
      <w:r>
        <w:rPr>
          <w:sz w:val="24"/>
        </w:rPr>
        <w:t>(&gt;95%)</w:t>
      </w:r>
      <w:r>
        <w:rPr>
          <w:spacing w:val="-10"/>
          <w:sz w:val="24"/>
        </w:rPr>
        <w:t> </w:t>
      </w:r>
      <w:r>
        <w:rPr>
          <w:sz w:val="24"/>
        </w:rPr>
        <w:t>a</w:t>
      </w:r>
      <w:r>
        <w:rPr>
          <w:spacing w:val="-13"/>
          <w:sz w:val="24"/>
        </w:rPr>
        <w:t> </w:t>
      </w:r>
      <w:r>
        <w:rPr>
          <w:sz w:val="24"/>
        </w:rPr>
        <w:t>nivel</w:t>
      </w:r>
      <w:r>
        <w:rPr>
          <w:spacing w:val="-16"/>
          <w:sz w:val="24"/>
        </w:rPr>
        <w:t> </w:t>
      </w:r>
      <w:r>
        <w:rPr>
          <w:sz w:val="24"/>
        </w:rPr>
        <w:t>del</w:t>
      </w:r>
      <w:r>
        <w:rPr>
          <w:spacing w:val="-16"/>
          <w:sz w:val="24"/>
        </w:rPr>
        <w:t> </w:t>
      </w:r>
      <w:r>
        <w:rPr>
          <w:spacing w:val="2"/>
          <w:sz w:val="24"/>
        </w:rPr>
        <w:t>gen</w:t>
      </w:r>
      <w:r>
        <w:rPr>
          <w:spacing w:val="-12"/>
          <w:sz w:val="24"/>
        </w:rPr>
        <w:t> </w:t>
      </w:r>
      <w:r>
        <w:rPr>
          <w:sz w:val="24"/>
        </w:rPr>
        <w:t>16S;</w:t>
      </w:r>
      <w:r>
        <w:rPr>
          <w:spacing w:val="-11"/>
          <w:sz w:val="24"/>
        </w:rPr>
        <w:t> </w:t>
      </w:r>
      <w:r>
        <w:rPr>
          <w:sz w:val="24"/>
        </w:rPr>
        <w:t>esto</w:t>
      </w:r>
      <w:r>
        <w:rPr>
          <w:spacing w:val="-7"/>
          <w:sz w:val="24"/>
        </w:rPr>
        <w:t> </w:t>
      </w:r>
      <w:r>
        <w:rPr>
          <w:sz w:val="24"/>
        </w:rPr>
        <w:t>se</w:t>
      </w:r>
      <w:r>
        <w:rPr>
          <w:spacing w:val="-9"/>
          <w:sz w:val="24"/>
        </w:rPr>
        <w:t> </w:t>
      </w:r>
      <w:r>
        <w:rPr>
          <w:sz w:val="24"/>
        </w:rPr>
        <w:t>puede</w:t>
      </w:r>
      <w:r>
        <w:rPr>
          <w:spacing w:val="-13"/>
          <w:sz w:val="24"/>
        </w:rPr>
        <w:t> </w:t>
      </w:r>
      <w:r>
        <w:rPr>
          <w:sz w:val="24"/>
        </w:rPr>
        <w:t>comprobar</w:t>
      </w:r>
    </w:p>
    <w:p>
      <w:pPr>
        <w:pStyle w:val="ListParagraph"/>
        <w:numPr>
          <w:ilvl w:val="1"/>
          <w:numId w:val="23"/>
        </w:numPr>
        <w:tabs>
          <w:tab w:pos="699" w:val="left" w:leader="none"/>
          <w:tab w:pos="700" w:val="left" w:leader="none"/>
        </w:tabs>
        <w:spacing w:line="240" w:lineRule="auto" w:before="129" w:after="0"/>
        <w:ind w:left="699" w:right="0" w:hanging="581"/>
        <w:jc w:val="left"/>
        <w:rPr>
          <w:i/>
          <w:sz w:val="24"/>
        </w:rPr>
      </w:pPr>
      <w:r>
        <w:rPr>
          <w:sz w:val="24"/>
        </w:rPr>
        <w:t>al realizar  el alineamiento  entre  </w:t>
      </w:r>
      <w:r>
        <w:rPr>
          <w:i/>
          <w:sz w:val="24"/>
        </w:rPr>
        <w:t>F.  noatunensis  </w:t>
      </w:r>
      <w:r>
        <w:rPr>
          <w:sz w:val="24"/>
        </w:rPr>
        <w:t>subsp.  </w:t>
      </w:r>
      <w:r>
        <w:rPr>
          <w:i/>
          <w:sz w:val="24"/>
        </w:rPr>
        <w:t>orientalis  </w:t>
      </w:r>
      <w:r>
        <w:rPr>
          <w:sz w:val="24"/>
        </w:rPr>
        <w:t>LADL  07-285A  y </w:t>
      </w:r>
      <w:r>
        <w:rPr>
          <w:spacing w:val="8"/>
          <w:sz w:val="24"/>
        </w:rPr>
        <w:t> </w:t>
      </w:r>
      <w:r>
        <w:rPr>
          <w:i/>
          <w:sz w:val="24"/>
        </w:rPr>
        <w:t>F.</w:t>
      </w:r>
    </w:p>
    <w:p>
      <w:pPr>
        <w:pStyle w:val="ListParagraph"/>
        <w:numPr>
          <w:ilvl w:val="1"/>
          <w:numId w:val="23"/>
        </w:numPr>
        <w:tabs>
          <w:tab w:pos="699" w:val="left" w:leader="none"/>
          <w:tab w:pos="700" w:val="left" w:leader="none"/>
        </w:tabs>
        <w:spacing w:line="240" w:lineRule="auto" w:before="130" w:after="0"/>
        <w:ind w:left="699" w:right="0" w:hanging="581"/>
        <w:jc w:val="left"/>
        <w:rPr>
          <w:sz w:val="24"/>
        </w:rPr>
      </w:pPr>
      <w:r>
        <w:rPr>
          <w:i/>
          <w:sz w:val="24"/>
        </w:rPr>
        <w:t>noatunensis</w:t>
      </w:r>
      <w:r>
        <w:rPr>
          <w:i/>
          <w:spacing w:val="39"/>
          <w:sz w:val="24"/>
        </w:rPr>
        <w:t> </w:t>
      </w:r>
      <w:r>
        <w:rPr>
          <w:sz w:val="24"/>
        </w:rPr>
        <w:t>subsp.</w:t>
      </w:r>
      <w:r>
        <w:rPr>
          <w:spacing w:val="43"/>
          <w:sz w:val="24"/>
        </w:rPr>
        <w:t> </w:t>
      </w:r>
      <w:r>
        <w:rPr>
          <w:i/>
          <w:sz w:val="24"/>
        </w:rPr>
        <w:t>noatunensis</w:t>
      </w:r>
      <w:r>
        <w:rPr>
          <w:sz w:val="24"/>
        </w:rPr>
        <w:t>,</w:t>
      </w:r>
      <w:r>
        <w:rPr>
          <w:spacing w:val="42"/>
          <w:sz w:val="24"/>
        </w:rPr>
        <w:t> </w:t>
      </w:r>
      <w:r>
        <w:rPr>
          <w:sz w:val="24"/>
        </w:rPr>
        <w:t>entre</w:t>
      </w:r>
      <w:r>
        <w:rPr>
          <w:spacing w:val="39"/>
          <w:sz w:val="24"/>
        </w:rPr>
        <w:t> </w:t>
      </w:r>
      <w:r>
        <w:rPr>
          <w:sz w:val="24"/>
        </w:rPr>
        <w:t>los</w:t>
      </w:r>
      <w:r>
        <w:rPr>
          <w:spacing w:val="38"/>
          <w:sz w:val="24"/>
        </w:rPr>
        <w:t> </w:t>
      </w:r>
      <w:r>
        <w:rPr>
          <w:sz w:val="24"/>
        </w:rPr>
        <w:t>que</w:t>
      </w:r>
      <w:r>
        <w:rPr>
          <w:spacing w:val="35"/>
          <w:sz w:val="24"/>
        </w:rPr>
        <w:t> </w:t>
      </w:r>
      <w:r>
        <w:rPr>
          <w:sz w:val="24"/>
        </w:rPr>
        <w:t>existe</w:t>
      </w:r>
      <w:r>
        <w:rPr>
          <w:spacing w:val="39"/>
          <w:sz w:val="24"/>
        </w:rPr>
        <w:t> </w:t>
      </w:r>
      <w:r>
        <w:rPr>
          <w:sz w:val="24"/>
        </w:rPr>
        <w:t>más</w:t>
      </w:r>
      <w:r>
        <w:rPr>
          <w:spacing w:val="38"/>
          <w:sz w:val="24"/>
        </w:rPr>
        <w:t> </w:t>
      </w:r>
      <w:r>
        <w:rPr>
          <w:sz w:val="24"/>
        </w:rPr>
        <w:t>de</w:t>
      </w:r>
      <w:r>
        <w:rPr>
          <w:spacing w:val="39"/>
          <w:sz w:val="24"/>
        </w:rPr>
        <w:t> </w:t>
      </w:r>
      <w:r>
        <w:rPr>
          <w:sz w:val="24"/>
        </w:rPr>
        <w:t>un</w:t>
      </w:r>
      <w:r>
        <w:rPr>
          <w:spacing w:val="35"/>
          <w:sz w:val="24"/>
        </w:rPr>
        <w:t> </w:t>
      </w:r>
      <w:r>
        <w:rPr>
          <w:sz w:val="24"/>
        </w:rPr>
        <w:t>99%</w:t>
      </w:r>
      <w:r>
        <w:rPr>
          <w:spacing w:val="37"/>
          <w:sz w:val="24"/>
        </w:rPr>
        <w:t> </w:t>
      </w:r>
      <w:r>
        <w:rPr>
          <w:sz w:val="24"/>
        </w:rPr>
        <w:t>de</w:t>
      </w:r>
      <w:r>
        <w:rPr>
          <w:spacing w:val="35"/>
          <w:sz w:val="24"/>
        </w:rPr>
        <w:t> </w:t>
      </w:r>
      <w:r>
        <w:rPr>
          <w:sz w:val="24"/>
        </w:rPr>
        <w:t>identidad.</w:t>
      </w:r>
      <w:r>
        <w:rPr>
          <w:spacing w:val="42"/>
          <w:sz w:val="24"/>
        </w:rPr>
        <w:t> </w:t>
      </w:r>
      <w:r>
        <w:rPr>
          <w:sz w:val="24"/>
        </w:rPr>
        <w:t>pero</w:t>
      </w:r>
    </w:p>
    <w:p>
      <w:pPr>
        <w:pStyle w:val="ListParagraph"/>
        <w:numPr>
          <w:ilvl w:val="1"/>
          <w:numId w:val="23"/>
        </w:numPr>
        <w:tabs>
          <w:tab w:pos="699" w:val="left" w:leader="none"/>
          <w:tab w:pos="700" w:val="left" w:leader="none"/>
        </w:tabs>
        <w:spacing w:line="240" w:lineRule="auto" w:before="134" w:after="0"/>
        <w:ind w:left="699" w:right="0" w:hanging="581"/>
        <w:jc w:val="left"/>
        <w:rPr>
          <w:sz w:val="24"/>
        </w:rPr>
      </w:pPr>
      <w:r>
        <w:rPr>
          <w:sz w:val="24"/>
        </w:rPr>
        <w:t>cuando se compara  el gen </w:t>
      </w:r>
      <w:r>
        <w:rPr>
          <w:spacing w:val="-3"/>
          <w:sz w:val="24"/>
        </w:rPr>
        <w:t>iglC </w:t>
      </w:r>
      <w:r>
        <w:rPr>
          <w:sz w:val="24"/>
        </w:rPr>
        <w:t>de </w:t>
      </w:r>
      <w:r>
        <w:rPr>
          <w:spacing w:val="-3"/>
          <w:sz w:val="24"/>
        </w:rPr>
        <w:t>las </w:t>
      </w:r>
      <w:r>
        <w:rPr>
          <w:sz w:val="24"/>
        </w:rPr>
        <w:t>dos cepas, el porcentaje de identidad baja a un  </w:t>
      </w:r>
      <w:r>
        <w:rPr>
          <w:spacing w:val="14"/>
          <w:sz w:val="24"/>
        </w:rPr>
        <w:t> </w:t>
      </w:r>
      <w:r>
        <w:rPr>
          <w:sz w:val="24"/>
        </w:rPr>
        <w:t>90%.</w:t>
      </w:r>
    </w:p>
    <w:p>
      <w:pPr>
        <w:pStyle w:val="ListParagraph"/>
        <w:numPr>
          <w:ilvl w:val="1"/>
          <w:numId w:val="23"/>
        </w:numPr>
        <w:tabs>
          <w:tab w:pos="699" w:val="left" w:leader="none"/>
          <w:tab w:pos="700" w:val="left" w:leader="none"/>
        </w:tabs>
        <w:spacing w:line="240" w:lineRule="auto" w:before="129" w:after="0"/>
        <w:ind w:left="699" w:right="0" w:hanging="581"/>
        <w:jc w:val="left"/>
        <w:rPr>
          <w:sz w:val="24"/>
        </w:rPr>
      </w:pPr>
      <w:r>
        <w:rPr>
          <w:sz w:val="24"/>
        </w:rPr>
        <w:t>Al alinear  </w:t>
      </w:r>
      <w:r>
        <w:rPr>
          <w:spacing w:val="-5"/>
          <w:sz w:val="24"/>
        </w:rPr>
        <w:t>la  </w:t>
      </w:r>
      <w:r>
        <w:rPr>
          <w:sz w:val="24"/>
        </w:rPr>
        <w:t>secuencia  del producto  de PCR  del gen  </w:t>
      </w:r>
      <w:r>
        <w:rPr>
          <w:i/>
          <w:sz w:val="24"/>
        </w:rPr>
        <w:t>iglC  </w:t>
      </w:r>
      <w:r>
        <w:rPr>
          <w:sz w:val="24"/>
        </w:rPr>
        <w:t>de  nuestra  bacteria  con  </w:t>
      </w:r>
      <w:r>
        <w:rPr>
          <w:spacing w:val="47"/>
          <w:sz w:val="24"/>
        </w:rPr>
        <w:t> </w:t>
      </w:r>
      <w:r>
        <w:rPr>
          <w:sz w:val="24"/>
        </w:rPr>
        <w:t>las</w:t>
      </w:r>
    </w:p>
    <w:p>
      <w:pPr>
        <w:pStyle w:val="ListParagraph"/>
        <w:numPr>
          <w:ilvl w:val="1"/>
          <w:numId w:val="23"/>
        </w:numPr>
        <w:tabs>
          <w:tab w:pos="699" w:val="left" w:leader="none"/>
          <w:tab w:pos="700" w:val="left" w:leader="none"/>
        </w:tabs>
        <w:spacing w:line="240" w:lineRule="auto" w:before="129" w:after="0"/>
        <w:ind w:left="699" w:right="0" w:hanging="581"/>
        <w:jc w:val="left"/>
        <w:rPr>
          <w:i/>
          <w:sz w:val="24"/>
        </w:rPr>
      </w:pPr>
      <w:r>
        <w:rPr>
          <w:sz w:val="24"/>
        </w:rPr>
        <w:t>secuencias  contenidas  en el GenBank  fue  100%  idéntico  a  </w:t>
      </w:r>
      <w:r>
        <w:rPr>
          <w:spacing w:val="-5"/>
          <w:sz w:val="24"/>
        </w:rPr>
        <w:t>la  </w:t>
      </w:r>
      <w:r>
        <w:rPr>
          <w:sz w:val="24"/>
        </w:rPr>
        <w:t>descrita  para</w:t>
      </w:r>
      <w:r>
        <w:rPr>
          <w:spacing w:val="27"/>
          <w:sz w:val="24"/>
        </w:rPr>
        <w:t> </w:t>
      </w:r>
      <w:r>
        <w:rPr>
          <w:i/>
          <w:sz w:val="24"/>
        </w:rPr>
        <w:t>Francisella</w:t>
      </w:r>
    </w:p>
    <w:p>
      <w:pPr>
        <w:pStyle w:val="ListParagraph"/>
        <w:numPr>
          <w:ilvl w:val="1"/>
          <w:numId w:val="23"/>
        </w:numPr>
        <w:tabs>
          <w:tab w:pos="699" w:val="left" w:leader="none"/>
          <w:tab w:pos="700" w:val="left" w:leader="none"/>
        </w:tabs>
        <w:spacing w:line="240" w:lineRule="auto" w:before="130" w:after="0"/>
        <w:ind w:left="699" w:right="0" w:hanging="581"/>
        <w:jc w:val="left"/>
        <w:rPr>
          <w:sz w:val="24"/>
        </w:rPr>
      </w:pPr>
      <w:r>
        <w:rPr>
          <w:i/>
          <w:sz w:val="24"/>
        </w:rPr>
        <w:t>noatunensis </w:t>
      </w:r>
      <w:r>
        <w:rPr>
          <w:sz w:val="24"/>
        </w:rPr>
        <w:t>subsp</w:t>
      </w:r>
      <w:r>
        <w:rPr>
          <w:i/>
          <w:sz w:val="24"/>
        </w:rPr>
        <w:t>. orientalis </w:t>
      </w:r>
      <w:r>
        <w:rPr>
          <w:sz w:val="24"/>
        </w:rPr>
        <w:t>por (Soto y </w:t>
      </w:r>
      <w:r>
        <w:rPr>
          <w:spacing w:val="2"/>
          <w:sz w:val="24"/>
        </w:rPr>
        <w:t>col </w:t>
      </w:r>
      <w:r>
        <w:rPr>
          <w:sz w:val="24"/>
        </w:rPr>
        <w:t>2010), </w:t>
      </w:r>
      <w:r>
        <w:rPr>
          <w:spacing w:val="-5"/>
          <w:sz w:val="24"/>
        </w:rPr>
        <w:t>lo </w:t>
      </w:r>
      <w:r>
        <w:rPr>
          <w:sz w:val="24"/>
        </w:rPr>
        <w:t>que permite confirmar a esta</w:t>
      </w:r>
      <w:r>
        <w:rPr>
          <w:spacing w:val="-22"/>
          <w:sz w:val="24"/>
        </w:rPr>
        <w:t> </w:t>
      </w:r>
      <w:r>
        <w:rPr>
          <w:sz w:val="24"/>
        </w:rPr>
        <w:t>bacteria</w:t>
      </w:r>
    </w:p>
    <w:p>
      <w:pPr>
        <w:pStyle w:val="ListParagraph"/>
        <w:numPr>
          <w:ilvl w:val="1"/>
          <w:numId w:val="23"/>
        </w:numPr>
        <w:tabs>
          <w:tab w:pos="699" w:val="left" w:leader="none"/>
          <w:tab w:pos="700" w:val="left" w:leader="none"/>
        </w:tabs>
        <w:spacing w:line="240" w:lineRule="auto" w:before="129" w:after="0"/>
        <w:ind w:left="699" w:right="0" w:hanging="581"/>
        <w:jc w:val="left"/>
        <w:rPr>
          <w:sz w:val="24"/>
        </w:rPr>
      </w:pPr>
      <w:r>
        <w:rPr>
          <w:sz w:val="24"/>
        </w:rPr>
        <w:t>como </w:t>
      </w:r>
      <w:r>
        <w:rPr>
          <w:spacing w:val="-3"/>
          <w:sz w:val="24"/>
        </w:rPr>
        <w:t>la </w:t>
      </w:r>
      <w:r>
        <w:rPr>
          <w:sz w:val="24"/>
        </w:rPr>
        <w:t>causante de </w:t>
      </w:r>
      <w:r>
        <w:rPr>
          <w:spacing w:val="-5"/>
          <w:sz w:val="24"/>
        </w:rPr>
        <w:t>la </w:t>
      </w:r>
      <w:r>
        <w:rPr>
          <w:sz w:val="24"/>
        </w:rPr>
        <w:t>enfermedad en </w:t>
      </w:r>
      <w:r>
        <w:rPr>
          <w:spacing w:val="-3"/>
          <w:sz w:val="24"/>
        </w:rPr>
        <w:t>las </w:t>
      </w:r>
      <w:r>
        <w:rPr>
          <w:sz w:val="24"/>
        </w:rPr>
        <w:t>tilapias de este caso informado en</w:t>
      </w:r>
      <w:r>
        <w:rPr>
          <w:spacing w:val="10"/>
          <w:sz w:val="24"/>
        </w:rPr>
        <w:t> </w:t>
      </w:r>
      <w:r>
        <w:rPr>
          <w:sz w:val="24"/>
        </w:rPr>
        <w:t>México.</w:t>
      </w:r>
    </w:p>
    <w:p>
      <w:pPr>
        <w:pStyle w:val="BodyText"/>
        <w:spacing w:before="2"/>
        <w:rPr>
          <w:rFonts w:ascii="Times New Roman"/>
          <w:sz w:val="23"/>
        </w:rPr>
      </w:pPr>
    </w:p>
    <w:p>
      <w:pPr>
        <w:pStyle w:val="Heading1"/>
        <w:numPr>
          <w:ilvl w:val="1"/>
          <w:numId w:val="23"/>
        </w:numPr>
        <w:tabs>
          <w:tab w:pos="3897" w:val="left" w:leader="none"/>
          <w:tab w:pos="3898" w:val="left" w:leader="none"/>
        </w:tabs>
        <w:spacing w:line="240" w:lineRule="auto" w:before="69" w:after="0"/>
        <w:ind w:left="3898" w:right="0" w:hanging="3780"/>
        <w:jc w:val="left"/>
        <w:rPr>
          <w:rFonts w:ascii="Times New Roman"/>
        </w:rPr>
      </w:pPr>
      <w:r>
        <w:rPr>
          <w:rFonts w:ascii="Times New Roman"/>
        </w:rPr>
        <w:t>AGRADECIMIENTOS</w:t>
      </w:r>
    </w:p>
    <w:p>
      <w:pPr>
        <w:pStyle w:val="BodyText"/>
        <w:spacing w:before="4"/>
        <w:rPr>
          <w:rFonts w:ascii="Times New Roman"/>
          <w:b/>
          <w:sz w:val="22"/>
        </w:rPr>
      </w:pPr>
    </w:p>
    <w:p>
      <w:pPr>
        <w:pStyle w:val="ListParagraph"/>
        <w:numPr>
          <w:ilvl w:val="1"/>
          <w:numId w:val="23"/>
        </w:numPr>
        <w:tabs>
          <w:tab w:pos="1405" w:val="left" w:leader="none"/>
          <w:tab w:pos="1406" w:val="left" w:leader="none"/>
        </w:tabs>
        <w:spacing w:line="240" w:lineRule="auto" w:before="70" w:after="0"/>
        <w:ind w:left="1405" w:right="0" w:hanging="1287"/>
        <w:jc w:val="left"/>
        <w:rPr>
          <w:sz w:val="24"/>
        </w:rPr>
      </w:pPr>
      <w:r>
        <w:rPr>
          <w:sz w:val="24"/>
        </w:rPr>
        <w:t>Este trabajo  </w:t>
      </w:r>
      <w:r>
        <w:rPr>
          <w:spacing w:val="-3"/>
          <w:sz w:val="24"/>
        </w:rPr>
        <w:t>fue  </w:t>
      </w:r>
      <w:r>
        <w:rPr>
          <w:sz w:val="24"/>
        </w:rPr>
        <w:t>realizado  con apoyo  y recursos de  los proyectos:  Fondo </w:t>
      </w:r>
      <w:r>
        <w:rPr>
          <w:spacing w:val="37"/>
          <w:sz w:val="24"/>
        </w:rPr>
        <w:t> </w:t>
      </w:r>
      <w:r>
        <w:rPr>
          <w:sz w:val="24"/>
        </w:rPr>
        <w:t>semilla</w:t>
      </w:r>
    </w:p>
    <w:p>
      <w:pPr>
        <w:pStyle w:val="ListParagraph"/>
        <w:numPr>
          <w:ilvl w:val="1"/>
          <w:numId w:val="23"/>
        </w:numPr>
        <w:tabs>
          <w:tab w:pos="699" w:val="left" w:leader="none"/>
          <w:tab w:pos="700" w:val="left" w:leader="none"/>
        </w:tabs>
        <w:spacing w:line="240" w:lineRule="auto" w:before="134" w:after="0"/>
        <w:ind w:left="699" w:right="0" w:hanging="581"/>
        <w:jc w:val="left"/>
        <w:rPr>
          <w:sz w:val="24"/>
        </w:rPr>
      </w:pPr>
      <w:r>
        <w:rPr>
          <w:sz w:val="24"/>
        </w:rPr>
        <w:t>UAEM-UAch:  Implementación  de  técnicas  moleculares  para  el  diagnóstico  de</w:t>
      </w:r>
      <w:r>
        <w:rPr>
          <w:spacing w:val="13"/>
          <w:sz w:val="24"/>
        </w:rPr>
        <w:t> </w:t>
      </w:r>
      <w:r>
        <w:rPr>
          <w:sz w:val="24"/>
        </w:rPr>
        <w:t>agentes</w:t>
      </w:r>
    </w:p>
    <w:p>
      <w:pPr>
        <w:pStyle w:val="ListParagraph"/>
        <w:numPr>
          <w:ilvl w:val="1"/>
          <w:numId w:val="23"/>
        </w:numPr>
        <w:tabs>
          <w:tab w:pos="699" w:val="left" w:leader="none"/>
          <w:tab w:pos="700" w:val="left" w:leader="none"/>
        </w:tabs>
        <w:spacing w:line="240" w:lineRule="auto" w:before="129" w:after="0"/>
        <w:ind w:left="699" w:right="0" w:hanging="581"/>
        <w:jc w:val="left"/>
        <w:rPr>
          <w:sz w:val="24"/>
        </w:rPr>
      </w:pPr>
      <w:r>
        <w:rPr>
          <w:sz w:val="24"/>
        </w:rPr>
        <w:t>infecciosos  de  importancia  en  peces  salmonídeos  </w:t>
      </w:r>
      <w:r>
        <w:rPr>
          <w:b/>
          <w:sz w:val="24"/>
        </w:rPr>
        <w:t>Clave  3334/2012FSChF  </w:t>
      </w:r>
      <w:r>
        <w:rPr>
          <w:sz w:val="24"/>
        </w:rPr>
        <w:t>y  Proyecto</w:t>
      </w:r>
    </w:p>
    <w:p>
      <w:pPr>
        <w:tabs>
          <w:tab w:pos="699" w:val="left" w:leader="none"/>
        </w:tabs>
        <w:spacing w:before="125"/>
        <w:ind w:left="118" w:right="0" w:firstLine="0"/>
        <w:jc w:val="left"/>
        <w:rPr>
          <w:rFonts w:ascii="Times New Roman"/>
          <w:sz w:val="24"/>
        </w:rPr>
      </w:pPr>
      <w:r>
        <w:rPr>
          <w:rFonts w:ascii="Calibri"/>
          <w:sz w:val="22"/>
        </w:rPr>
        <w:t>29</w:t>
        <w:tab/>
      </w:r>
      <w:r>
        <w:rPr>
          <w:rFonts w:ascii="Times New Roman"/>
          <w:sz w:val="24"/>
        </w:rPr>
        <w:t>FONDAP</w:t>
      </w:r>
      <w:r>
        <w:rPr>
          <w:rFonts w:ascii="Times New Roman"/>
          <w:spacing w:val="-4"/>
          <w:sz w:val="24"/>
        </w:rPr>
        <w:t> </w:t>
      </w:r>
      <w:r>
        <w:rPr>
          <w:rFonts w:ascii="Times New Roman"/>
          <w:b/>
          <w:sz w:val="24"/>
        </w:rPr>
        <w:t>15110027</w:t>
      </w:r>
      <w:r>
        <w:rPr>
          <w:rFonts w:ascii="Times New Roman"/>
          <w:sz w:val="24"/>
        </w:rPr>
        <w:t>.</w:t>
      </w:r>
    </w:p>
    <w:p>
      <w:pPr>
        <w:spacing w:after="0"/>
        <w:jc w:val="left"/>
        <w:rPr>
          <w:rFonts w:ascii="Times New Roman"/>
          <w:sz w:val="24"/>
        </w:rPr>
        <w:sectPr>
          <w:footerReference w:type="default" r:id="rId33"/>
          <w:pgSz w:w="12240" w:h="15840"/>
          <w:pgMar w:footer="998" w:header="752" w:top="1000" w:bottom="1180" w:left="1000" w:right="1560"/>
          <w:pgNumType w:start="51"/>
        </w:sectPr>
      </w:pPr>
    </w:p>
    <w:p>
      <w:pPr>
        <w:pStyle w:val="BodyText"/>
        <w:spacing w:before="8"/>
        <w:rPr>
          <w:rFonts w:ascii="Times New Roman"/>
          <w:sz w:val="28"/>
        </w:rPr>
      </w:pPr>
    </w:p>
    <w:p>
      <w:pPr>
        <w:pStyle w:val="Heading1"/>
        <w:numPr>
          <w:ilvl w:val="2"/>
          <w:numId w:val="23"/>
        </w:numPr>
        <w:tabs>
          <w:tab w:pos="4257" w:val="left" w:leader="none"/>
          <w:tab w:pos="4258" w:val="left" w:leader="none"/>
        </w:tabs>
        <w:spacing w:line="240" w:lineRule="auto" w:before="70" w:after="0"/>
        <w:ind w:left="4258" w:right="0" w:hanging="4029"/>
        <w:jc w:val="left"/>
        <w:rPr>
          <w:rFonts w:ascii="Times New Roman"/>
        </w:rPr>
      </w:pPr>
      <w:r>
        <w:rPr>
          <w:rFonts w:ascii="Times New Roman"/>
        </w:rPr>
        <w:t>REFERENCIAS</w:t>
      </w:r>
    </w:p>
    <w:p>
      <w:pPr>
        <w:pStyle w:val="BodyText"/>
        <w:spacing w:before="9"/>
        <w:rPr>
          <w:rFonts w:ascii="Times New Roman"/>
          <w:b/>
          <w:sz w:val="22"/>
        </w:rPr>
      </w:pPr>
    </w:p>
    <w:p>
      <w:pPr>
        <w:pStyle w:val="ListParagraph"/>
        <w:numPr>
          <w:ilvl w:val="2"/>
          <w:numId w:val="23"/>
        </w:numPr>
        <w:tabs>
          <w:tab w:pos="699" w:val="left" w:leader="none"/>
          <w:tab w:pos="700" w:val="left" w:leader="none"/>
        </w:tabs>
        <w:spacing w:line="240" w:lineRule="auto" w:before="69" w:after="0"/>
        <w:ind w:left="699" w:right="0" w:hanging="470"/>
        <w:jc w:val="left"/>
        <w:rPr>
          <w:sz w:val="24"/>
        </w:rPr>
      </w:pPr>
      <w:r>
        <w:rPr>
          <w:sz w:val="24"/>
        </w:rPr>
        <w:t>Anuario Estadístico de Acuacultura y Pesca. 2012. México.</w:t>
      </w:r>
      <w:r>
        <w:rPr>
          <w:spacing w:val="-27"/>
          <w:sz w:val="24"/>
        </w:rPr>
        <w:t> </w:t>
      </w:r>
      <w:hyperlink r:id="rId34">
        <w:r>
          <w:rPr>
            <w:color w:val="0000FF"/>
            <w:sz w:val="24"/>
            <w:u w:val="single" w:color="0000FF"/>
          </w:rPr>
          <w:t>http://www.conapesca.gob.mx</w:t>
        </w:r>
      </w:hyperlink>
    </w:p>
    <w:p>
      <w:pPr>
        <w:pStyle w:val="ListParagraph"/>
        <w:numPr>
          <w:ilvl w:val="2"/>
          <w:numId w:val="23"/>
        </w:numPr>
        <w:tabs>
          <w:tab w:pos="699" w:val="left" w:leader="none"/>
          <w:tab w:pos="700" w:val="left" w:leader="none"/>
        </w:tabs>
        <w:spacing w:line="240" w:lineRule="auto" w:before="130" w:after="0"/>
        <w:ind w:left="699" w:right="0" w:hanging="470"/>
        <w:jc w:val="left"/>
        <w:rPr>
          <w:sz w:val="24"/>
        </w:rPr>
      </w:pPr>
      <w:r>
        <w:rPr>
          <w:sz w:val="24"/>
        </w:rPr>
        <w:t>Anuario Estadístico de Acuacultura y Pesca. 2013. México.</w:t>
      </w:r>
      <w:r>
        <w:rPr>
          <w:spacing w:val="-27"/>
          <w:sz w:val="24"/>
        </w:rPr>
        <w:t> </w:t>
      </w:r>
      <w:hyperlink r:id="rId34">
        <w:r>
          <w:rPr>
            <w:color w:val="0000FF"/>
            <w:sz w:val="24"/>
            <w:u w:val="single" w:color="0000FF"/>
          </w:rPr>
          <w:t>http://www.conapesca.gob.mx</w:t>
        </w:r>
      </w:hyperlink>
    </w:p>
    <w:p>
      <w:pPr>
        <w:pStyle w:val="BodyText"/>
        <w:spacing w:before="9"/>
        <w:rPr>
          <w:rFonts w:ascii="Times New Roman"/>
          <w:sz w:val="22"/>
        </w:rPr>
      </w:pPr>
    </w:p>
    <w:p>
      <w:pPr>
        <w:pStyle w:val="ListParagraph"/>
        <w:numPr>
          <w:ilvl w:val="2"/>
          <w:numId w:val="23"/>
        </w:numPr>
        <w:tabs>
          <w:tab w:pos="699" w:val="left" w:leader="none"/>
          <w:tab w:pos="700" w:val="left" w:leader="none"/>
        </w:tabs>
        <w:spacing w:line="240" w:lineRule="auto" w:before="69" w:after="0"/>
        <w:ind w:left="699" w:right="0" w:hanging="470"/>
        <w:jc w:val="left"/>
        <w:rPr>
          <w:sz w:val="24"/>
        </w:rPr>
      </w:pPr>
      <w:r>
        <w:rPr>
          <w:sz w:val="24"/>
        </w:rPr>
        <w:t>Barry T.,  R Powell,  F  Gannon.  1990.  A general  method  to  generate  DNA probes </w:t>
      </w:r>
      <w:r>
        <w:rPr>
          <w:spacing w:val="25"/>
          <w:sz w:val="24"/>
        </w:rPr>
        <w:t> </w:t>
      </w:r>
      <w:r>
        <w:rPr>
          <w:sz w:val="24"/>
        </w:rPr>
        <w:t>for</w:t>
      </w:r>
    </w:p>
    <w:p>
      <w:pPr>
        <w:pStyle w:val="ListParagraph"/>
        <w:numPr>
          <w:ilvl w:val="2"/>
          <w:numId w:val="23"/>
        </w:numPr>
        <w:tabs>
          <w:tab w:pos="1405" w:val="left" w:leader="none"/>
          <w:tab w:pos="1406" w:val="left" w:leader="none"/>
        </w:tabs>
        <w:spacing w:line="240" w:lineRule="auto" w:before="129" w:after="0"/>
        <w:ind w:left="1405" w:right="0" w:hanging="1176"/>
        <w:jc w:val="left"/>
        <w:rPr>
          <w:sz w:val="24"/>
        </w:rPr>
      </w:pPr>
      <w:r>
        <w:rPr>
          <w:sz w:val="24"/>
        </w:rPr>
        <w:t>microorganisms. Biotechnology 8,</w:t>
      </w:r>
      <w:r>
        <w:rPr>
          <w:spacing w:val="-10"/>
          <w:sz w:val="24"/>
        </w:rPr>
        <w:t> </w:t>
      </w:r>
      <w:r>
        <w:rPr>
          <w:sz w:val="24"/>
        </w:rPr>
        <w:t>233-236.</w:t>
      </w:r>
    </w:p>
    <w:p>
      <w:pPr>
        <w:pStyle w:val="BodyText"/>
        <w:spacing w:before="2"/>
        <w:rPr>
          <w:rFonts w:ascii="Times New Roman"/>
          <w:sz w:val="23"/>
        </w:rPr>
      </w:pPr>
    </w:p>
    <w:p>
      <w:pPr>
        <w:pStyle w:val="ListParagraph"/>
        <w:numPr>
          <w:ilvl w:val="2"/>
          <w:numId w:val="23"/>
        </w:numPr>
        <w:tabs>
          <w:tab w:pos="699" w:val="left" w:leader="none"/>
          <w:tab w:pos="700" w:val="left" w:leader="none"/>
        </w:tabs>
        <w:spacing w:line="240" w:lineRule="auto" w:before="70" w:after="0"/>
        <w:ind w:left="699" w:right="0" w:hanging="470"/>
        <w:jc w:val="left"/>
        <w:rPr>
          <w:sz w:val="24"/>
        </w:rPr>
      </w:pPr>
      <w:r>
        <w:rPr>
          <w:sz w:val="24"/>
        </w:rPr>
        <w:t>Barry T.,  G Colleran,  M Glennon,  L Dunican,  F Gannon.  1991.  The 16s/23s</w:t>
      </w:r>
      <w:r>
        <w:rPr>
          <w:spacing w:val="7"/>
          <w:sz w:val="24"/>
        </w:rPr>
        <w:t> </w:t>
      </w:r>
      <w:r>
        <w:rPr>
          <w:sz w:val="24"/>
        </w:rPr>
        <w:t>ribosomal</w:t>
      </w:r>
    </w:p>
    <w:p>
      <w:pPr>
        <w:pStyle w:val="ListParagraph"/>
        <w:numPr>
          <w:ilvl w:val="2"/>
          <w:numId w:val="23"/>
        </w:numPr>
        <w:tabs>
          <w:tab w:pos="1405" w:val="left" w:leader="none"/>
          <w:tab w:pos="1406" w:val="left" w:leader="none"/>
        </w:tabs>
        <w:spacing w:line="240" w:lineRule="auto" w:before="129" w:after="0"/>
        <w:ind w:left="1405" w:right="0" w:hanging="1176"/>
        <w:jc w:val="left"/>
        <w:rPr>
          <w:sz w:val="24"/>
        </w:rPr>
      </w:pPr>
      <w:r>
        <w:rPr>
          <w:sz w:val="24"/>
        </w:rPr>
        <w:t>spacer</w:t>
      </w:r>
      <w:r>
        <w:rPr>
          <w:spacing w:val="-4"/>
          <w:sz w:val="24"/>
        </w:rPr>
        <w:t> </w:t>
      </w:r>
      <w:r>
        <w:rPr>
          <w:sz w:val="24"/>
        </w:rPr>
        <w:t>region</w:t>
      </w:r>
      <w:r>
        <w:rPr>
          <w:spacing w:val="-11"/>
          <w:sz w:val="24"/>
        </w:rPr>
        <w:t> </w:t>
      </w:r>
      <w:r>
        <w:rPr>
          <w:sz w:val="24"/>
        </w:rPr>
        <w:t>as</w:t>
      </w:r>
      <w:r>
        <w:rPr>
          <w:spacing w:val="-8"/>
          <w:sz w:val="24"/>
        </w:rPr>
        <w:t> </w:t>
      </w:r>
      <w:r>
        <w:rPr>
          <w:sz w:val="24"/>
        </w:rPr>
        <w:t>a</w:t>
      </w:r>
      <w:r>
        <w:rPr>
          <w:spacing w:val="-12"/>
          <w:sz w:val="24"/>
        </w:rPr>
        <w:t> </w:t>
      </w:r>
      <w:r>
        <w:rPr>
          <w:sz w:val="24"/>
        </w:rPr>
        <w:t>target</w:t>
      </w:r>
      <w:r>
        <w:rPr>
          <w:spacing w:val="-2"/>
          <w:sz w:val="24"/>
        </w:rPr>
        <w:t> </w:t>
      </w:r>
      <w:r>
        <w:rPr>
          <w:sz w:val="24"/>
        </w:rPr>
        <w:t>for</w:t>
      </w:r>
      <w:r>
        <w:rPr>
          <w:spacing w:val="-9"/>
          <w:sz w:val="24"/>
        </w:rPr>
        <w:t> </w:t>
      </w:r>
      <w:r>
        <w:rPr>
          <w:sz w:val="24"/>
        </w:rPr>
        <w:t>DNA</w:t>
      </w:r>
      <w:r>
        <w:rPr>
          <w:spacing w:val="-11"/>
          <w:sz w:val="24"/>
        </w:rPr>
        <w:t> </w:t>
      </w:r>
      <w:r>
        <w:rPr>
          <w:sz w:val="24"/>
        </w:rPr>
        <w:t>probes</w:t>
      </w:r>
      <w:r>
        <w:rPr>
          <w:spacing w:val="-8"/>
          <w:sz w:val="24"/>
        </w:rPr>
        <w:t> </w:t>
      </w:r>
      <w:r>
        <w:rPr>
          <w:sz w:val="24"/>
        </w:rPr>
        <w:t>to</w:t>
      </w:r>
      <w:r>
        <w:rPr>
          <w:spacing w:val="-2"/>
          <w:sz w:val="24"/>
        </w:rPr>
        <w:t> </w:t>
      </w:r>
      <w:r>
        <w:rPr>
          <w:sz w:val="24"/>
        </w:rPr>
        <w:t>identify</w:t>
      </w:r>
      <w:r>
        <w:rPr>
          <w:spacing w:val="-15"/>
          <w:sz w:val="24"/>
        </w:rPr>
        <w:t> </w:t>
      </w:r>
      <w:r>
        <w:rPr>
          <w:sz w:val="24"/>
        </w:rPr>
        <w:t>Eubacteria</w:t>
      </w:r>
      <w:r>
        <w:rPr>
          <w:spacing w:val="-2"/>
          <w:sz w:val="24"/>
        </w:rPr>
        <w:t> </w:t>
      </w:r>
      <w:r>
        <w:rPr>
          <w:i/>
          <w:sz w:val="24"/>
        </w:rPr>
        <w:t>PCR.</w:t>
      </w:r>
      <w:r>
        <w:rPr>
          <w:i/>
          <w:spacing w:val="-3"/>
          <w:sz w:val="24"/>
        </w:rPr>
        <w:t> </w:t>
      </w:r>
      <w:r>
        <w:rPr>
          <w:sz w:val="24"/>
        </w:rPr>
        <w:t>Methods</w:t>
      </w:r>
      <w:r>
        <w:rPr>
          <w:spacing w:val="-8"/>
          <w:sz w:val="24"/>
        </w:rPr>
        <w:t> </w:t>
      </w:r>
      <w:r>
        <w:rPr>
          <w:sz w:val="24"/>
        </w:rPr>
        <w:t>Appl</w:t>
      </w:r>
    </w:p>
    <w:p>
      <w:pPr>
        <w:pStyle w:val="BodyText"/>
        <w:tabs>
          <w:tab w:pos="1405" w:val="left" w:leader="none"/>
        </w:tabs>
        <w:spacing w:before="125"/>
        <w:ind w:left="229"/>
        <w:rPr>
          <w:rFonts w:ascii="Times New Roman"/>
        </w:rPr>
      </w:pPr>
      <w:r>
        <w:rPr>
          <w:rFonts w:ascii="Calibri"/>
          <w:sz w:val="22"/>
        </w:rPr>
        <w:t>8</w:t>
        <w:tab/>
      </w:r>
      <w:r>
        <w:rPr>
          <w:rFonts w:ascii="Times New Roman"/>
        </w:rPr>
        <w:t>1, 51-56.</w:t>
      </w:r>
    </w:p>
    <w:p>
      <w:pPr>
        <w:pStyle w:val="BodyText"/>
        <w:spacing w:before="2"/>
        <w:rPr>
          <w:rFonts w:ascii="Times New Roman"/>
          <w:sz w:val="23"/>
        </w:rPr>
      </w:pPr>
    </w:p>
    <w:p>
      <w:pPr>
        <w:pStyle w:val="BodyText"/>
        <w:tabs>
          <w:tab w:pos="699" w:val="left" w:leader="none"/>
        </w:tabs>
        <w:spacing w:before="69"/>
        <w:ind w:left="229"/>
        <w:rPr>
          <w:rFonts w:ascii="Times New Roman" w:hAnsi="Times New Roman"/>
        </w:rPr>
      </w:pPr>
      <w:r>
        <w:rPr>
          <w:rFonts w:ascii="Calibri" w:hAnsi="Calibri"/>
          <w:sz w:val="22"/>
        </w:rPr>
        <w:t>9</w:t>
        <w:tab/>
      </w:r>
      <w:r>
        <w:rPr>
          <w:rFonts w:ascii="Times New Roman" w:hAnsi="Times New Roman"/>
        </w:rPr>
        <w:t>Birkbeck</w:t>
      </w:r>
      <w:r>
        <w:rPr>
          <w:rFonts w:ascii="Times New Roman" w:hAnsi="Times New Roman"/>
          <w:spacing w:val="-15"/>
        </w:rPr>
        <w:t> </w:t>
      </w:r>
      <w:r>
        <w:rPr>
          <w:rFonts w:ascii="Times New Roman" w:hAnsi="Times New Roman"/>
        </w:rPr>
        <w:t>T,</w:t>
      </w:r>
      <w:r>
        <w:rPr>
          <w:rFonts w:ascii="Times New Roman" w:hAnsi="Times New Roman"/>
          <w:spacing w:val="-13"/>
        </w:rPr>
        <w:t> </w:t>
      </w:r>
      <w:r>
        <w:rPr>
          <w:rFonts w:ascii="Times New Roman" w:hAnsi="Times New Roman"/>
        </w:rPr>
        <w:t>M</w:t>
      </w:r>
      <w:r>
        <w:rPr>
          <w:rFonts w:ascii="Times New Roman" w:hAnsi="Times New Roman"/>
          <w:spacing w:val="-18"/>
        </w:rPr>
        <w:t> </w:t>
      </w:r>
      <w:r>
        <w:rPr>
          <w:rFonts w:ascii="Times New Roman" w:hAnsi="Times New Roman"/>
        </w:rPr>
        <w:t>Bordevik,</w:t>
      </w:r>
      <w:r>
        <w:rPr>
          <w:rFonts w:ascii="Times New Roman" w:hAnsi="Times New Roman"/>
          <w:spacing w:val="-13"/>
        </w:rPr>
        <w:t> </w:t>
      </w:r>
      <w:r>
        <w:rPr>
          <w:rFonts w:ascii="Times New Roman" w:hAnsi="Times New Roman"/>
        </w:rPr>
        <w:t>M</w:t>
      </w:r>
      <w:r>
        <w:rPr>
          <w:rFonts w:ascii="Times New Roman" w:hAnsi="Times New Roman"/>
          <w:spacing w:val="-18"/>
        </w:rPr>
        <w:t> </w:t>
      </w:r>
      <w:r>
        <w:rPr>
          <w:rFonts w:ascii="Times New Roman" w:hAnsi="Times New Roman"/>
        </w:rPr>
        <w:t>Frøystad,</w:t>
      </w:r>
      <w:r>
        <w:rPr>
          <w:rFonts w:ascii="Times New Roman" w:hAnsi="Times New Roman"/>
          <w:spacing w:val="-13"/>
        </w:rPr>
        <w:t> </w:t>
      </w:r>
      <w:r>
        <w:rPr>
          <w:rFonts w:ascii="Times New Roman" w:hAnsi="Times New Roman"/>
        </w:rPr>
        <w:t>A</w:t>
      </w:r>
      <w:r>
        <w:rPr>
          <w:rFonts w:ascii="Times New Roman" w:hAnsi="Times New Roman"/>
          <w:spacing w:val="-21"/>
        </w:rPr>
        <w:t> </w:t>
      </w:r>
      <w:r>
        <w:rPr>
          <w:rFonts w:ascii="Times New Roman" w:hAnsi="Times New Roman"/>
        </w:rPr>
        <w:t>Baklen.</w:t>
      </w:r>
      <w:r>
        <w:rPr>
          <w:rFonts w:ascii="Times New Roman" w:hAnsi="Times New Roman"/>
          <w:spacing w:val="-13"/>
        </w:rPr>
        <w:t> </w:t>
      </w:r>
      <w:r>
        <w:rPr>
          <w:rFonts w:ascii="Times New Roman" w:hAnsi="Times New Roman"/>
        </w:rPr>
        <w:t>2007.</w:t>
      </w:r>
      <w:r>
        <w:rPr>
          <w:rFonts w:ascii="Times New Roman" w:hAnsi="Times New Roman"/>
          <w:spacing w:val="-13"/>
        </w:rPr>
        <w:t> </w:t>
      </w:r>
      <w:r>
        <w:rPr>
          <w:rFonts w:ascii="Times New Roman" w:hAnsi="Times New Roman"/>
        </w:rPr>
        <w:t>Identification</w:t>
      </w:r>
      <w:r>
        <w:rPr>
          <w:rFonts w:ascii="Times New Roman" w:hAnsi="Times New Roman"/>
          <w:spacing w:val="-20"/>
        </w:rPr>
        <w:t> </w:t>
      </w:r>
      <w:r>
        <w:rPr>
          <w:rFonts w:ascii="Times New Roman" w:hAnsi="Times New Roman"/>
        </w:rPr>
        <w:t>of</w:t>
      </w:r>
      <w:r>
        <w:rPr>
          <w:rFonts w:ascii="Times New Roman" w:hAnsi="Times New Roman"/>
          <w:spacing w:val="-19"/>
        </w:rPr>
        <w:t> </w:t>
      </w:r>
      <w:r>
        <w:rPr>
          <w:rFonts w:ascii="Times New Roman" w:hAnsi="Times New Roman"/>
        </w:rPr>
        <w:t>Francisella</w:t>
      </w:r>
      <w:r>
        <w:rPr>
          <w:rFonts w:ascii="Times New Roman" w:hAnsi="Times New Roman"/>
          <w:spacing w:val="-12"/>
        </w:rPr>
        <w:t> </w:t>
      </w:r>
      <w:r>
        <w:rPr>
          <w:rFonts w:ascii="Times New Roman" w:hAnsi="Times New Roman"/>
        </w:rPr>
        <w:t>sp.</w:t>
      </w:r>
      <w:r>
        <w:rPr>
          <w:rFonts w:ascii="Times New Roman" w:hAnsi="Times New Roman"/>
          <w:spacing w:val="-9"/>
        </w:rPr>
        <w:t> </w:t>
      </w:r>
      <w:r>
        <w:rPr>
          <w:rFonts w:ascii="Times New Roman" w:hAnsi="Times New Roman"/>
        </w:rPr>
        <w:t>from</w:t>
      </w:r>
    </w:p>
    <w:p>
      <w:pPr>
        <w:pStyle w:val="ListParagraph"/>
        <w:numPr>
          <w:ilvl w:val="0"/>
          <w:numId w:val="24"/>
        </w:numPr>
        <w:tabs>
          <w:tab w:pos="1405" w:val="left" w:leader="none"/>
          <w:tab w:pos="1406" w:val="left" w:leader="none"/>
        </w:tabs>
        <w:spacing w:line="240" w:lineRule="auto" w:before="125" w:after="0"/>
        <w:ind w:left="1405" w:right="0" w:hanging="1287"/>
        <w:jc w:val="left"/>
        <w:rPr>
          <w:sz w:val="24"/>
        </w:rPr>
      </w:pPr>
      <w:r>
        <w:rPr>
          <w:sz w:val="24"/>
        </w:rPr>
        <w:t>Atlantic salmon </w:t>
      </w:r>
      <w:r>
        <w:rPr>
          <w:i/>
          <w:sz w:val="24"/>
        </w:rPr>
        <w:t>Salmo salar </w:t>
      </w:r>
      <w:r>
        <w:rPr>
          <w:sz w:val="24"/>
        </w:rPr>
        <w:t>(L.), </w:t>
      </w:r>
      <w:r>
        <w:rPr>
          <w:spacing w:val="-5"/>
          <w:sz w:val="24"/>
        </w:rPr>
        <w:t>in </w:t>
      </w:r>
      <w:r>
        <w:rPr>
          <w:sz w:val="24"/>
        </w:rPr>
        <w:t>Chile. J Fish Dis</w:t>
      </w:r>
      <w:r>
        <w:rPr>
          <w:spacing w:val="-3"/>
          <w:sz w:val="24"/>
        </w:rPr>
        <w:t> </w:t>
      </w:r>
      <w:r>
        <w:rPr>
          <w:sz w:val="24"/>
        </w:rPr>
        <w:t>30,505–507.</w:t>
      </w:r>
    </w:p>
    <w:p>
      <w:pPr>
        <w:pStyle w:val="BodyText"/>
        <w:spacing w:before="2"/>
        <w:rPr>
          <w:rFonts w:ascii="Times New Roman"/>
          <w:sz w:val="23"/>
        </w:rPr>
      </w:pPr>
    </w:p>
    <w:p>
      <w:pPr>
        <w:pStyle w:val="ListParagraph"/>
        <w:numPr>
          <w:ilvl w:val="0"/>
          <w:numId w:val="24"/>
        </w:numPr>
        <w:tabs>
          <w:tab w:pos="699" w:val="left" w:leader="none"/>
          <w:tab w:pos="700" w:val="left" w:leader="none"/>
        </w:tabs>
        <w:spacing w:line="240" w:lineRule="auto" w:before="69" w:after="0"/>
        <w:ind w:left="699" w:right="0" w:hanging="581"/>
        <w:jc w:val="left"/>
        <w:rPr>
          <w:sz w:val="24"/>
        </w:rPr>
      </w:pPr>
      <w:r>
        <w:rPr>
          <w:sz w:val="24"/>
        </w:rPr>
        <w:t>Colquhoun</w:t>
      </w:r>
      <w:r>
        <w:rPr>
          <w:spacing w:val="-13"/>
          <w:sz w:val="24"/>
        </w:rPr>
        <w:t> </w:t>
      </w:r>
      <w:r>
        <w:rPr>
          <w:sz w:val="24"/>
        </w:rPr>
        <w:t>D,</w:t>
      </w:r>
      <w:r>
        <w:rPr>
          <w:spacing w:val="-5"/>
          <w:sz w:val="24"/>
        </w:rPr>
        <w:t> </w:t>
      </w:r>
      <w:r>
        <w:rPr>
          <w:sz w:val="24"/>
        </w:rPr>
        <w:t>S</w:t>
      </w:r>
      <w:r>
        <w:rPr>
          <w:spacing w:val="-7"/>
          <w:sz w:val="24"/>
        </w:rPr>
        <w:t> </w:t>
      </w:r>
      <w:r>
        <w:rPr>
          <w:sz w:val="24"/>
        </w:rPr>
        <w:t>Duodu.</w:t>
      </w:r>
      <w:r>
        <w:rPr>
          <w:spacing w:val="-10"/>
          <w:sz w:val="24"/>
        </w:rPr>
        <w:t> </w:t>
      </w:r>
      <w:r>
        <w:rPr>
          <w:sz w:val="24"/>
        </w:rPr>
        <w:t>2011.</w:t>
      </w:r>
      <w:r>
        <w:rPr>
          <w:spacing w:val="-7"/>
          <w:sz w:val="24"/>
        </w:rPr>
        <w:t> </w:t>
      </w:r>
      <w:r>
        <w:rPr>
          <w:sz w:val="24"/>
        </w:rPr>
        <w:t>Francisella</w:t>
      </w:r>
      <w:r>
        <w:rPr>
          <w:spacing w:val="-5"/>
          <w:sz w:val="24"/>
        </w:rPr>
        <w:t> </w:t>
      </w:r>
      <w:r>
        <w:rPr>
          <w:sz w:val="24"/>
        </w:rPr>
        <w:t>infections</w:t>
      </w:r>
      <w:r>
        <w:rPr>
          <w:spacing w:val="-6"/>
          <w:sz w:val="24"/>
        </w:rPr>
        <w:t> </w:t>
      </w:r>
      <w:r>
        <w:rPr>
          <w:spacing w:val="-3"/>
          <w:sz w:val="24"/>
        </w:rPr>
        <w:t>in</w:t>
      </w:r>
      <w:r>
        <w:rPr>
          <w:spacing w:val="-8"/>
          <w:sz w:val="24"/>
        </w:rPr>
        <w:t> </w:t>
      </w:r>
      <w:r>
        <w:rPr>
          <w:sz w:val="24"/>
        </w:rPr>
        <w:t>farmed</w:t>
      </w:r>
      <w:r>
        <w:rPr>
          <w:spacing w:val="-8"/>
          <w:sz w:val="24"/>
        </w:rPr>
        <w:t> </w:t>
      </w:r>
      <w:r>
        <w:rPr>
          <w:sz w:val="24"/>
        </w:rPr>
        <w:t>and</w:t>
      </w:r>
      <w:r>
        <w:rPr>
          <w:spacing w:val="-8"/>
          <w:sz w:val="24"/>
        </w:rPr>
        <w:t> </w:t>
      </w:r>
      <w:r>
        <w:rPr>
          <w:sz w:val="24"/>
        </w:rPr>
        <w:t>wild</w:t>
      </w:r>
      <w:r>
        <w:rPr>
          <w:spacing w:val="-8"/>
          <w:sz w:val="24"/>
        </w:rPr>
        <w:t> </w:t>
      </w:r>
      <w:r>
        <w:rPr>
          <w:sz w:val="24"/>
        </w:rPr>
        <w:t>aquatic</w:t>
      </w:r>
      <w:r>
        <w:rPr>
          <w:spacing w:val="-9"/>
          <w:sz w:val="24"/>
        </w:rPr>
        <w:t> </w:t>
      </w:r>
      <w:r>
        <w:rPr>
          <w:sz w:val="24"/>
        </w:rPr>
        <w:t>organisms,</w:t>
      </w:r>
    </w:p>
    <w:p>
      <w:pPr>
        <w:pStyle w:val="ListParagraph"/>
        <w:numPr>
          <w:ilvl w:val="0"/>
          <w:numId w:val="24"/>
        </w:numPr>
        <w:tabs>
          <w:tab w:pos="1405" w:val="left" w:leader="none"/>
          <w:tab w:pos="1406" w:val="left" w:leader="none"/>
        </w:tabs>
        <w:spacing w:line="240" w:lineRule="auto" w:before="125" w:after="0"/>
        <w:ind w:left="1405" w:right="0" w:hanging="1287"/>
        <w:jc w:val="left"/>
        <w:rPr>
          <w:sz w:val="24"/>
        </w:rPr>
      </w:pPr>
      <w:r>
        <w:rPr>
          <w:sz w:val="24"/>
        </w:rPr>
        <w:t>Veterinary Research 42,</w:t>
      </w:r>
      <w:r>
        <w:rPr>
          <w:spacing w:val="-9"/>
          <w:sz w:val="24"/>
        </w:rPr>
        <w:t> </w:t>
      </w:r>
      <w:r>
        <w:rPr>
          <w:sz w:val="24"/>
        </w:rPr>
        <w:t>47.</w:t>
      </w:r>
    </w:p>
    <w:p>
      <w:pPr>
        <w:pStyle w:val="BodyText"/>
        <w:spacing w:before="2"/>
        <w:rPr>
          <w:rFonts w:ascii="Times New Roman"/>
          <w:sz w:val="23"/>
        </w:rPr>
      </w:pPr>
    </w:p>
    <w:p>
      <w:pPr>
        <w:pStyle w:val="ListParagraph"/>
        <w:numPr>
          <w:ilvl w:val="0"/>
          <w:numId w:val="24"/>
        </w:numPr>
        <w:tabs>
          <w:tab w:pos="699" w:val="left" w:leader="none"/>
          <w:tab w:pos="700" w:val="left" w:leader="none"/>
        </w:tabs>
        <w:spacing w:line="240" w:lineRule="auto" w:before="70" w:after="0"/>
        <w:ind w:left="699" w:right="0" w:hanging="581"/>
        <w:jc w:val="left"/>
        <w:rPr>
          <w:sz w:val="24"/>
        </w:rPr>
      </w:pPr>
      <w:r>
        <w:rPr>
          <w:sz w:val="24"/>
        </w:rPr>
        <w:t>Fitzsimmons</w:t>
      </w:r>
      <w:r>
        <w:rPr>
          <w:spacing w:val="24"/>
          <w:sz w:val="24"/>
        </w:rPr>
        <w:t> </w:t>
      </w:r>
      <w:r>
        <w:rPr>
          <w:spacing w:val="-3"/>
          <w:sz w:val="24"/>
        </w:rPr>
        <w:t>K.</w:t>
      </w:r>
      <w:r>
        <w:rPr>
          <w:spacing w:val="24"/>
          <w:sz w:val="24"/>
        </w:rPr>
        <w:t> </w:t>
      </w:r>
      <w:r>
        <w:rPr>
          <w:sz w:val="24"/>
        </w:rPr>
        <w:t>2000.Tilapia</w:t>
      </w:r>
      <w:r>
        <w:rPr>
          <w:spacing w:val="21"/>
          <w:sz w:val="24"/>
        </w:rPr>
        <w:t> </w:t>
      </w:r>
      <w:r>
        <w:rPr>
          <w:sz w:val="24"/>
        </w:rPr>
        <w:t>aquaculture</w:t>
      </w:r>
      <w:r>
        <w:rPr>
          <w:spacing w:val="26"/>
          <w:sz w:val="24"/>
        </w:rPr>
        <w:t> </w:t>
      </w:r>
      <w:r>
        <w:rPr>
          <w:spacing w:val="-3"/>
          <w:sz w:val="24"/>
        </w:rPr>
        <w:t>in</w:t>
      </w:r>
      <w:r>
        <w:rPr>
          <w:spacing w:val="22"/>
          <w:sz w:val="24"/>
        </w:rPr>
        <w:t> </w:t>
      </w:r>
      <w:r>
        <w:rPr>
          <w:sz w:val="24"/>
        </w:rPr>
        <w:t>México.</w:t>
      </w:r>
      <w:r>
        <w:rPr>
          <w:spacing w:val="24"/>
          <w:sz w:val="24"/>
        </w:rPr>
        <w:t> </w:t>
      </w:r>
      <w:r>
        <w:rPr>
          <w:sz w:val="24"/>
        </w:rPr>
        <w:t>The</w:t>
      </w:r>
      <w:r>
        <w:rPr>
          <w:spacing w:val="21"/>
          <w:sz w:val="24"/>
        </w:rPr>
        <w:t> </w:t>
      </w:r>
      <w:r>
        <w:rPr>
          <w:sz w:val="24"/>
        </w:rPr>
        <w:t>World</w:t>
      </w:r>
      <w:r>
        <w:rPr>
          <w:spacing w:val="26"/>
          <w:sz w:val="24"/>
        </w:rPr>
        <w:t> </w:t>
      </w:r>
      <w:r>
        <w:rPr>
          <w:sz w:val="24"/>
        </w:rPr>
        <w:t>Aquaculture</w:t>
      </w:r>
      <w:r>
        <w:rPr>
          <w:spacing w:val="21"/>
          <w:sz w:val="24"/>
        </w:rPr>
        <w:t> </w:t>
      </w:r>
      <w:r>
        <w:rPr>
          <w:sz w:val="24"/>
        </w:rPr>
        <w:t>Society</w:t>
      </w:r>
      <w:r>
        <w:rPr>
          <w:spacing w:val="13"/>
          <w:sz w:val="24"/>
        </w:rPr>
        <w:t> </w:t>
      </w:r>
      <w:r>
        <w:rPr>
          <w:sz w:val="24"/>
        </w:rPr>
        <w:t>2,</w:t>
      </w:r>
    </w:p>
    <w:p>
      <w:pPr>
        <w:pStyle w:val="BodyText"/>
        <w:tabs>
          <w:tab w:pos="1405" w:val="left" w:leader="none"/>
        </w:tabs>
        <w:spacing w:before="129"/>
        <w:ind w:left="118"/>
        <w:rPr>
          <w:rFonts w:ascii="Times New Roman"/>
        </w:rPr>
      </w:pPr>
      <w:r>
        <w:rPr>
          <w:rFonts w:ascii="Calibri"/>
          <w:sz w:val="22"/>
        </w:rPr>
        <w:t>14</w:t>
      </w:r>
      <w:r>
        <w:rPr>
          <w:rFonts w:ascii="Times New Roman"/>
        </w:rPr>
        <w:tab/>
        <w:t>171-183.</w:t>
      </w:r>
    </w:p>
    <w:p>
      <w:pPr>
        <w:pStyle w:val="BodyText"/>
        <w:spacing w:before="9"/>
        <w:rPr>
          <w:rFonts w:ascii="Times New Roman"/>
          <w:sz w:val="22"/>
        </w:rPr>
      </w:pPr>
    </w:p>
    <w:p>
      <w:pPr>
        <w:pStyle w:val="ListParagraph"/>
        <w:numPr>
          <w:ilvl w:val="0"/>
          <w:numId w:val="25"/>
        </w:numPr>
        <w:tabs>
          <w:tab w:pos="699" w:val="left" w:leader="none"/>
          <w:tab w:pos="700" w:val="left" w:leader="none"/>
        </w:tabs>
        <w:spacing w:line="240" w:lineRule="auto" w:before="69" w:after="0"/>
        <w:ind w:left="699" w:right="0" w:hanging="581"/>
        <w:jc w:val="left"/>
        <w:rPr>
          <w:sz w:val="24"/>
        </w:rPr>
      </w:pPr>
      <w:r>
        <w:rPr>
          <w:sz w:val="24"/>
        </w:rPr>
        <w:t>Forsman, M, G Sandström, A Sjöstedt. 1994. Analysis </w:t>
      </w:r>
      <w:r>
        <w:rPr>
          <w:spacing w:val="4"/>
          <w:sz w:val="24"/>
        </w:rPr>
        <w:t>of </w:t>
      </w:r>
      <w:r>
        <w:rPr>
          <w:sz w:val="24"/>
        </w:rPr>
        <w:t>16S ribosomal DNA </w:t>
      </w:r>
      <w:r>
        <w:rPr>
          <w:spacing w:val="57"/>
          <w:sz w:val="24"/>
        </w:rPr>
        <w:t> </w:t>
      </w:r>
      <w:r>
        <w:rPr>
          <w:sz w:val="24"/>
        </w:rPr>
        <w:t>sequences</w:t>
      </w:r>
    </w:p>
    <w:p>
      <w:pPr>
        <w:pStyle w:val="ListParagraph"/>
        <w:numPr>
          <w:ilvl w:val="0"/>
          <w:numId w:val="25"/>
        </w:numPr>
        <w:tabs>
          <w:tab w:pos="1405" w:val="left" w:leader="none"/>
          <w:tab w:pos="1406" w:val="left" w:leader="none"/>
        </w:tabs>
        <w:spacing w:line="240" w:lineRule="auto" w:before="135" w:after="0"/>
        <w:ind w:left="1405" w:right="0" w:hanging="1287"/>
        <w:jc w:val="left"/>
        <w:rPr>
          <w:sz w:val="24"/>
        </w:rPr>
      </w:pPr>
      <w:r>
        <w:rPr>
          <w:sz w:val="24"/>
        </w:rPr>
        <w:t>of</w:t>
      </w:r>
      <w:r>
        <w:rPr>
          <w:spacing w:val="-14"/>
          <w:sz w:val="24"/>
        </w:rPr>
        <w:t> </w:t>
      </w:r>
      <w:r>
        <w:rPr>
          <w:sz w:val="24"/>
        </w:rPr>
        <w:t>Francisella</w:t>
      </w:r>
      <w:r>
        <w:rPr>
          <w:spacing w:val="-7"/>
          <w:sz w:val="24"/>
        </w:rPr>
        <w:t> </w:t>
      </w:r>
      <w:r>
        <w:rPr>
          <w:sz w:val="24"/>
        </w:rPr>
        <w:t>strains</w:t>
      </w:r>
      <w:r>
        <w:rPr>
          <w:spacing w:val="-8"/>
          <w:sz w:val="24"/>
        </w:rPr>
        <w:t> </w:t>
      </w:r>
      <w:r>
        <w:rPr>
          <w:sz w:val="24"/>
        </w:rPr>
        <w:t>and</w:t>
      </w:r>
      <w:r>
        <w:rPr>
          <w:spacing w:val="-6"/>
          <w:sz w:val="24"/>
        </w:rPr>
        <w:t> </w:t>
      </w:r>
      <w:r>
        <w:rPr>
          <w:sz w:val="24"/>
        </w:rPr>
        <w:t>utilization</w:t>
      </w:r>
      <w:r>
        <w:rPr>
          <w:spacing w:val="-6"/>
          <w:sz w:val="24"/>
        </w:rPr>
        <w:t> </w:t>
      </w:r>
      <w:r>
        <w:rPr>
          <w:sz w:val="24"/>
        </w:rPr>
        <w:t>for</w:t>
      </w:r>
      <w:r>
        <w:rPr>
          <w:spacing w:val="-4"/>
          <w:sz w:val="24"/>
        </w:rPr>
        <w:t> </w:t>
      </w:r>
      <w:r>
        <w:rPr>
          <w:sz w:val="24"/>
        </w:rPr>
        <w:t>determination</w:t>
      </w:r>
      <w:r>
        <w:rPr>
          <w:spacing w:val="-15"/>
          <w:sz w:val="24"/>
        </w:rPr>
        <w:t> </w:t>
      </w:r>
      <w:r>
        <w:rPr>
          <w:sz w:val="24"/>
        </w:rPr>
        <w:t>of</w:t>
      </w:r>
      <w:r>
        <w:rPr>
          <w:spacing w:val="-14"/>
          <w:sz w:val="24"/>
        </w:rPr>
        <w:t> </w:t>
      </w:r>
      <w:r>
        <w:rPr>
          <w:sz w:val="24"/>
        </w:rPr>
        <w:t>the</w:t>
      </w:r>
      <w:r>
        <w:rPr>
          <w:spacing w:val="-7"/>
          <w:sz w:val="24"/>
        </w:rPr>
        <w:t> </w:t>
      </w:r>
      <w:r>
        <w:rPr>
          <w:sz w:val="24"/>
        </w:rPr>
        <w:t>phylogeny</w:t>
      </w:r>
      <w:r>
        <w:rPr>
          <w:spacing w:val="-11"/>
          <w:sz w:val="24"/>
        </w:rPr>
        <w:t> </w:t>
      </w:r>
      <w:r>
        <w:rPr>
          <w:sz w:val="24"/>
        </w:rPr>
        <w:t>of</w:t>
      </w:r>
      <w:r>
        <w:rPr>
          <w:spacing w:val="-14"/>
          <w:sz w:val="24"/>
        </w:rPr>
        <w:t> </w:t>
      </w:r>
      <w:r>
        <w:rPr>
          <w:sz w:val="24"/>
        </w:rPr>
        <w:t>the</w:t>
      </w:r>
      <w:r>
        <w:rPr>
          <w:spacing w:val="-7"/>
          <w:sz w:val="24"/>
        </w:rPr>
        <w:t> </w:t>
      </w:r>
      <w:r>
        <w:rPr>
          <w:sz w:val="24"/>
        </w:rPr>
        <w:t>genus</w:t>
      </w:r>
    </w:p>
    <w:p>
      <w:pPr>
        <w:pStyle w:val="ListParagraph"/>
        <w:numPr>
          <w:ilvl w:val="0"/>
          <w:numId w:val="25"/>
        </w:numPr>
        <w:tabs>
          <w:tab w:pos="1405" w:val="left" w:leader="none"/>
          <w:tab w:pos="1406" w:val="left" w:leader="none"/>
        </w:tabs>
        <w:spacing w:line="240" w:lineRule="auto" w:before="125" w:after="0"/>
        <w:ind w:left="1405" w:right="0" w:hanging="1287"/>
        <w:jc w:val="left"/>
        <w:rPr>
          <w:sz w:val="24"/>
        </w:rPr>
      </w:pPr>
      <w:r>
        <w:rPr>
          <w:sz w:val="24"/>
        </w:rPr>
        <w:t>and for identification of strains by PCR. Int. J. Syst. Bacteriol 44,</w:t>
      </w:r>
      <w:r>
        <w:rPr>
          <w:spacing w:val="-22"/>
          <w:sz w:val="24"/>
        </w:rPr>
        <w:t> </w:t>
      </w:r>
      <w:r>
        <w:rPr>
          <w:sz w:val="24"/>
        </w:rPr>
        <w:t>38–46.</w:t>
      </w:r>
    </w:p>
    <w:p>
      <w:pPr>
        <w:pStyle w:val="BodyText"/>
        <w:spacing w:before="2"/>
        <w:rPr>
          <w:rFonts w:ascii="Times New Roman"/>
          <w:sz w:val="23"/>
        </w:rPr>
      </w:pPr>
    </w:p>
    <w:p>
      <w:pPr>
        <w:pStyle w:val="ListParagraph"/>
        <w:numPr>
          <w:ilvl w:val="0"/>
          <w:numId w:val="25"/>
        </w:numPr>
        <w:tabs>
          <w:tab w:pos="699" w:val="left" w:leader="none"/>
          <w:tab w:pos="700" w:val="left" w:leader="none"/>
        </w:tabs>
        <w:spacing w:line="240" w:lineRule="auto" w:before="69" w:after="0"/>
        <w:ind w:left="699" w:right="0" w:hanging="581"/>
        <w:jc w:val="left"/>
        <w:rPr>
          <w:sz w:val="24"/>
        </w:rPr>
      </w:pPr>
      <w:r>
        <w:rPr>
          <w:sz w:val="24"/>
        </w:rPr>
        <w:t>Hsieh</w:t>
      </w:r>
      <w:r>
        <w:rPr>
          <w:spacing w:val="-19"/>
          <w:sz w:val="24"/>
        </w:rPr>
        <w:t> </w:t>
      </w:r>
      <w:r>
        <w:rPr>
          <w:sz w:val="24"/>
        </w:rPr>
        <w:t>C,</w:t>
      </w:r>
      <w:r>
        <w:rPr>
          <w:spacing w:val="-12"/>
          <w:sz w:val="24"/>
        </w:rPr>
        <w:t> </w:t>
      </w:r>
      <w:r>
        <w:rPr>
          <w:sz w:val="24"/>
        </w:rPr>
        <w:t>M</w:t>
      </w:r>
      <w:r>
        <w:rPr>
          <w:spacing w:val="-17"/>
          <w:sz w:val="24"/>
        </w:rPr>
        <w:t> </w:t>
      </w:r>
      <w:r>
        <w:rPr>
          <w:sz w:val="24"/>
        </w:rPr>
        <w:t>Tung,</w:t>
      </w:r>
      <w:r>
        <w:rPr>
          <w:spacing w:val="-12"/>
          <w:sz w:val="24"/>
        </w:rPr>
        <w:t> </w:t>
      </w:r>
      <w:r>
        <w:rPr>
          <w:sz w:val="24"/>
        </w:rPr>
        <w:t>C</w:t>
      </w:r>
      <w:r>
        <w:rPr>
          <w:spacing w:val="-21"/>
          <w:sz w:val="24"/>
        </w:rPr>
        <w:t> </w:t>
      </w:r>
      <w:r>
        <w:rPr>
          <w:sz w:val="24"/>
        </w:rPr>
        <w:t>Tu,</w:t>
      </w:r>
      <w:r>
        <w:rPr>
          <w:spacing w:val="-12"/>
          <w:sz w:val="24"/>
        </w:rPr>
        <w:t> </w:t>
      </w:r>
      <w:r>
        <w:rPr>
          <w:sz w:val="24"/>
        </w:rPr>
        <w:t>C</w:t>
      </w:r>
      <w:r>
        <w:rPr>
          <w:spacing w:val="-21"/>
          <w:sz w:val="24"/>
        </w:rPr>
        <w:t> </w:t>
      </w:r>
      <w:r>
        <w:rPr>
          <w:sz w:val="24"/>
        </w:rPr>
        <w:t>Chang,</w:t>
      </w:r>
      <w:r>
        <w:rPr>
          <w:spacing w:val="-12"/>
          <w:sz w:val="24"/>
        </w:rPr>
        <w:t> </w:t>
      </w:r>
      <w:r>
        <w:rPr>
          <w:sz w:val="24"/>
        </w:rPr>
        <w:t>S</w:t>
      </w:r>
      <w:r>
        <w:rPr>
          <w:spacing w:val="-14"/>
          <w:sz w:val="24"/>
        </w:rPr>
        <w:t> </w:t>
      </w:r>
      <w:r>
        <w:rPr>
          <w:spacing w:val="-3"/>
          <w:sz w:val="24"/>
        </w:rPr>
        <w:t>Tsai.</w:t>
      </w:r>
      <w:r>
        <w:rPr>
          <w:spacing w:val="-12"/>
          <w:sz w:val="24"/>
        </w:rPr>
        <w:t> </w:t>
      </w:r>
      <w:r>
        <w:rPr>
          <w:sz w:val="24"/>
        </w:rPr>
        <w:t>2006.</w:t>
      </w:r>
      <w:r>
        <w:rPr>
          <w:spacing w:val="-12"/>
          <w:sz w:val="24"/>
        </w:rPr>
        <w:t> </w:t>
      </w:r>
      <w:r>
        <w:rPr>
          <w:sz w:val="24"/>
        </w:rPr>
        <w:t>Enzootics</w:t>
      </w:r>
      <w:r>
        <w:rPr>
          <w:spacing w:val="-17"/>
          <w:sz w:val="24"/>
        </w:rPr>
        <w:t> </w:t>
      </w:r>
      <w:r>
        <w:rPr>
          <w:sz w:val="24"/>
        </w:rPr>
        <w:t>of</w:t>
      </w:r>
      <w:r>
        <w:rPr>
          <w:spacing w:val="-22"/>
          <w:sz w:val="24"/>
        </w:rPr>
        <w:t> </w:t>
      </w:r>
      <w:r>
        <w:rPr>
          <w:sz w:val="24"/>
        </w:rPr>
        <w:t>visceral</w:t>
      </w:r>
      <w:r>
        <w:rPr>
          <w:spacing w:val="-16"/>
          <w:sz w:val="24"/>
        </w:rPr>
        <w:t> </w:t>
      </w:r>
      <w:r>
        <w:rPr>
          <w:sz w:val="24"/>
        </w:rPr>
        <w:t>granulomas</w:t>
      </w:r>
      <w:r>
        <w:rPr>
          <w:spacing w:val="-17"/>
          <w:sz w:val="24"/>
        </w:rPr>
        <w:t> </w:t>
      </w:r>
      <w:r>
        <w:rPr>
          <w:sz w:val="24"/>
        </w:rPr>
        <w:t>associated</w:t>
      </w:r>
    </w:p>
    <w:p>
      <w:pPr>
        <w:pStyle w:val="ListParagraph"/>
        <w:numPr>
          <w:ilvl w:val="0"/>
          <w:numId w:val="25"/>
        </w:numPr>
        <w:tabs>
          <w:tab w:pos="1405" w:val="left" w:leader="none"/>
          <w:tab w:pos="1406" w:val="left" w:leader="none"/>
        </w:tabs>
        <w:spacing w:line="240" w:lineRule="auto" w:before="129" w:after="0"/>
        <w:ind w:left="1405" w:right="0" w:hanging="1287"/>
        <w:jc w:val="left"/>
        <w:rPr>
          <w:sz w:val="24"/>
        </w:rPr>
      </w:pPr>
      <w:r>
        <w:rPr>
          <w:sz w:val="24"/>
        </w:rPr>
        <w:t>with Francisella-like organism infection </w:t>
      </w:r>
      <w:r>
        <w:rPr>
          <w:spacing w:val="-3"/>
          <w:sz w:val="24"/>
        </w:rPr>
        <w:t>in </w:t>
      </w:r>
      <w:r>
        <w:rPr>
          <w:sz w:val="24"/>
        </w:rPr>
        <w:t>tilapia (Oreochromis spp.).</w:t>
      </w:r>
      <w:r>
        <w:rPr>
          <w:spacing w:val="5"/>
          <w:sz w:val="24"/>
        </w:rPr>
        <w:t> </w:t>
      </w:r>
      <w:r>
        <w:rPr>
          <w:sz w:val="24"/>
        </w:rPr>
        <w:t>Aquaculture</w:t>
      </w:r>
    </w:p>
    <w:p>
      <w:pPr>
        <w:pStyle w:val="BodyText"/>
        <w:tabs>
          <w:tab w:pos="1405" w:val="left" w:leader="none"/>
        </w:tabs>
        <w:spacing w:before="125"/>
        <w:ind w:left="118"/>
        <w:rPr>
          <w:rFonts w:ascii="Times New Roman" w:hAnsi="Times New Roman"/>
        </w:rPr>
      </w:pPr>
      <w:r>
        <w:rPr>
          <w:rFonts w:ascii="Calibri" w:hAnsi="Calibri"/>
          <w:sz w:val="22"/>
        </w:rPr>
        <w:t>20</w:t>
        <w:tab/>
      </w:r>
      <w:r>
        <w:rPr>
          <w:rFonts w:ascii="Times New Roman" w:hAnsi="Times New Roman"/>
        </w:rPr>
        <w:t>254,</w:t>
      </w:r>
      <w:r>
        <w:rPr>
          <w:rFonts w:ascii="Times New Roman" w:hAnsi="Times New Roman"/>
          <w:spacing w:val="-1"/>
        </w:rPr>
        <w:t> </w:t>
      </w:r>
      <w:r>
        <w:rPr>
          <w:rFonts w:ascii="Times New Roman" w:hAnsi="Times New Roman"/>
        </w:rPr>
        <w:t>129–138.</w:t>
      </w:r>
    </w:p>
    <w:p>
      <w:pPr>
        <w:pStyle w:val="BodyText"/>
        <w:spacing w:before="2"/>
        <w:rPr>
          <w:rFonts w:ascii="Times New Roman"/>
          <w:sz w:val="23"/>
        </w:rPr>
      </w:pPr>
    </w:p>
    <w:p>
      <w:pPr>
        <w:pStyle w:val="ListParagraph"/>
        <w:numPr>
          <w:ilvl w:val="0"/>
          <w:numId w:val="26"/>
        </w:numPr>
        <w:tabs>
          <w:tab w:pos="699" w:val="left" w:leader="none"/>
          <w:tab w:pos="700" w:val="left" w:leader="none"/>
        </w:tabs>
        <w:spacing w:line="240" w:lineRule="auto" w:before="69" w:after="0"/>
        <w:ind w:left="699" w:right="0" w:hanging="581"/>
        <w:jc w:val="left"/>
        <w:rPr>
          <w:sz w:val="24"/>
        </w:rPr>
      </w:pPr>
      <w:r>
        <w:rPr>
          <w:sz w:val="24"/>
        </w:rPr>
        <w:t>Jeffery</w:t>
      </w:r>
      <w:r>
        <w:rPr>
          <w:spacing w:val="19"/>
          <w:sz w:val="24"/>
        </w:rPr>
        <w:t> </w:t>
      </w:r>
      <w:r>
        <w:rPr>
          <w:spacing w:val="-3"/>
          <w:sz w:val="24"/>
        </w:rPr>
        <w:t>K,</w:t>
      </w:r>
      <w:r>
        <w:rPr>
          <w:spacing w:val="26"/>
          <w:sz w:val="24"/>
        </w:rPr>
        <w:t> </w:t>
      </w:r>
      <w:r>
        <w:rPr>
          <w:sz w:val="24"/>
        </w:rPr>
        <w:t>D</w:t>
      </w:r>
      <w:r>
        <w:rPr>
          <w:spacing w:val="23"/>
          <w:sz w:val="24"/>
        </w:rPr>
        <w:t> </w:t>
      </w:r>
      <w:r>
        <w:rPr>
          <w:sz w:val="24"/>
        </w:rPr>
        <w:t>Stone,</w:t>
      </w:r>
      <w:r>
        <w:rPr>
          <w:spacing w:val="26"/>
          <w:sz w:val="24"/>
        </w:rPr>
        <w:t> </w:t>
      </w:r>
      <w:r>
        <w:rPr>
          <w:sz w:val="24"/>
        </w:rPr>
        <w:t>S</w:t>
      </w:r>
      <w:r>
        <w:rPr>
          <w:spacing w:val="24"/>
          <w:sz w:val="24"/>
        </w:rPr>
        <w:t> </w:t>
      </w:r>
      <w:r>
        <w:rPr>
          <w:sz w:val="24"/>
        </w:rPr>
        <w:t>Feist,</w:t>
      </w:r>
      <w:r>
        <w:rPr>
          <w:spacing w:val="26"/>
          <w:sz w:val="24"/>
        </w:rPr>
        <w:t> </w:t>
      </w:r>
      <w:r>
        <w:rPr>
          <w:sz w:val="24"/>
        </w:rPr>
        <w:t>D</w:t>
      </w:r>
      <w:r>
        <w:rPr>
          <w:spacing w:val="23"/>
          <w:sz w:val="24"/>
        </w:rPr>
        <w:t> </w:t>
      </w:r>
      <w:r>
        <w:rPr>
          <w:sz w:val="24"/>
        </w:rPr>
        <w:t>Verner-Jeffreys.</w:t>
      </w:r>
      <w:r>
        <w:rPr>
          <w:spacing w:val="26"/>
          <w:sz w:val="24"/>
        </w:rPr>
        <w:t> </w:t>
      </w:r>
      <w:r>
        <w:rPr>
          <w:sz w:val="24"/>
        </w:rPr>
        <w:t>2010.</w:t>
      </w:r>
      <w:r>
        <w:rPr>
          <w:spacing w:val="26"/>
          <w:sz w:val="24"/>
        </w:rPr>
        <w:t> </w:t>
      </w:r>
      <w:r>
        <w:rPr>
          <w:spacing w:val="-3"/>
          <w:sz w:val="24"/>
        </w:rPr>
        <w:t>An</w:t>
      </w:r>
      <w:r>
        <w:rPr>
          <w:spacing w:val="19"/>
          <w:sz w:val="24"/>
        </w:rPr>
        <w:t> </w:t>
      </w:r>
      <w:r>
        <w:rPr>
          <w:sz w:val="24"/>
        </w:rPr>
        <w:t>outbreak</w:t>
      </w:r>
      <w:r>
        <w:rPr>
          <w:spacing w:val="19"/>
          <w:sz w:val="24"/>
        </w:rPr>
        <w:t> </w:t>
      </w:r>
      <w:r>
        <w:rPr>
          <w:sz w:val="24"/>
        </w:rPr>
        <w:t>of</w:t>
      </w:r>
      <w:r>
        <w:rPr>
          <w:spacing w:val="16"/>
          <w:sz w:val="24"/>
        </w:rPr>
        <w:t> </w:t>
      </w:r>
      <w:r>
        <w:rPr>
          <w:sz w:val="24"/>
        </w:rPr>
        <w:t>disease</w:t>
      </w:r>
      <w:r>
        <w:rPr>
          <w:spacing w:val="23"/>
          <w:sz w:val="24"/>
        </w:rPr>
        <w:t> </w:t>
      </w:r>
      <w:r>
        <w:rPr>
          <w:sz w:val="24"/>
        </w:rPr>
        <w:t>caused</w:t>
      </w:r>
      <w:r>
        <w:rPr>
          <w:spacing w:val="24"/>
          <w:sz w:val="24"/>
        </w:rPr>
        <w:t> </w:t>
      </w:r>
      <w:r>
        <w:rPr>
          <w:sz w:val="24"/>
        </w:rPr>
        <w:t>by</w:t>
      </w:r>
    </w:p>
    <w:p>
      <w:pPr>
        <w:pStyle w:val="ListParagraph"/>
        <w:numPr>
          <w:ilvl w:val="0"/>
          <w:numId w:val="26"/>
        </w:numPr>
        <w:tabs>
          <w:tab w:pos="1405" w:val="left" w:leader="none"/>
          <w:tab w:pos="1406" w:val="left" w:leader="none"/>
        </w:tabs>
        <w:spacing w:line="240" w:lineRule="auto" w:before="134" w:after="0"/>
        <w:ind w:left="1405" w:right="0" w:hanging="1287"/>
        <w:jc w:val="left"/>
        <w:rPr>
          <w:sz w:val="24"/>
        </w:rPr>
      </w:pPr>
      <w:r>
        <w:rPr>
          <w:sz w:val="24"/>
        </w:rPr>
        <w:t>Francisella sp. </w:t>
      </w:r>
      <w:r>
        <w:rPr>
          <w:spacing w:val="-3"/>
          <w:sz w:val="24"/>
        </w:rPr>
        <w:t>in </w:t>
      </w:r>
      <w:r>
        <w:rPr>
          <w:sz w:val="24"/>
        </w:rPr>
        <w:t>Nile tilapia Oreochromis niloticus at a recirculation fish farm  </w:t>
      </w:r>
      <w:r>
        <w:rPr>
          <w:spacing w:val="51"/>
          <w:sz w:val="24"/>
        </w:rPr>
        <w:t> </w:t>
      </w:r>
      <w:r>
        <w:rPr>
          <w:sz w:val="24"/>
        </w:rPr>
        <w:t>in</w:t>
      </w:r>
    </w:p>
    <w:p>
      <w:pPr>
        <w:pStyle w:val="ListParagraph"/>
        <w:numPr>
          <w:ilvl w:val="0"/>
          <w:numId w:val="26"/>
        </w:numPr>
        <w:tabs>
          <w:tab w:pos="1405" w:val="left" w:leader="none"/>
          <w:tab w:pos="1406" w:val="left" w:leader="none"/>
        </w:tabs>
        <w:spacing w:line="240" w:lineRule="auto" w:before="125" w:after="0"/>
        <w:ind w:left="1405" w:right="0" w:hanging="1287"/>
        <w:jc w:val="left"/>
        <w:rPr>
          <w:sz w:val="24"/>
        </w:rPr>
      </w:pPr>
      <w:r>
        <w:rPr>
          <w:sz w:val="24"/>
        </w:rPr>
        <w:t>the UK. Dis Aquat Org 91,</w:t>
      </w:r>
      <w:r>
        <w:rPr>
          <w:spacing w:val="-4"/>
          <w:sz w:val="24"/>
        </w:rPr>
        <w:t> </w:t>
      </w:r>
      <w:r>
        <w:rPr>
          <w:sz w:val="24"/>
        </w:rPr>
        <w:t>161–165.</w:t>
      </w:r>
    </w:p>
    <w:p>
      <w:pPr>
        <w:pStyle w:val="BodyText"/>
        <w:spacing w:before="2"/>
        <w:rPr>
          <w:rFonts w:ascii="Times New Roman"/>
          <w:sz w:val="23"/>
        </w:rPr>
      </w:pPr>
    </w:p>
    <w:p>
      <w:pPr>
        <w:pStyle w:val="ListParagraph"/>
        <w:numPr>
          <w:ilvl w:val="0"/>
          <w:numId w:val="26"/>
        </w:numPr>
        <w:tabs>
          <w:tab w:pos="762" w:val="left" w:leader="none"/>
          <w:tab w:pos="763" w:val="left" w:leader="none"/>
        </w:tabs>
        <w:spacing w:line="240" w:lineRule="auto" w:before="69" w:after="0"/>
        <w:ind w:left="762" w:right="0" w:hanging="644"/>
        <w:jc w:val="left"/>
        <w:rPr>
          <w:sz w:val="24"/>
        </w:rPr>
      </w:pPr>
      <w:r>
        <w:rPr>
          <w:sz w:val="24"/>
        </w:rPr>
        <w:t>Kamaishi</w:t>
      </w:r>
      <w:r>
        <w:rPr>
          <w:spacing w:val="-22"/>
          <w:sz w:val="24"/>
        </w:rPr>
        <w:t> </w:t>
      </w:r>
      <w:r>
        <w:rPr>
          <w:sz w:val="24"/>
        </w:rPr>
        <w:t>T,</w:t>
      </w:r>
      <w:r>
        <w:rPr>
          <w:spacing w:val="-15"/>
          <w:sz w:val="24"/>
        </w:rPr>
        <w:t> </w:t>
      </w:r>
      <w:r>
        <w:rPr>
          <w:sz w:val="24"/>
        </w:rPr>
        <w:t>Y</w:t>
      </w:r>
      <w:r>
        <w:rPr>
          <w:spacing w:val="-18"/>
          <w:sz w:val="24"/>
        </w:rPr>
        <w:t> </w:t>
      </w:r>
      <w:r>
        <w:rPr>
          <w:sz w:val="24"/>
        </w:rPr>
        <w:t>Fukuda,</w:t>
      </w:r>
      <w:r>
        <w:rPr>
          <w:spacing w:val="-15"/>
          <w:sz w:val="24"/>
        </w:rPr>
        <w:t> </w:t>
      </w:r>
      <w:r>
        <w:rPr>
          <w:sz w:val="24"/>
        </w:rPr>
        <w:t>M</w:t>
      </w:r>
      <w:r>
        <w:rPr>
          <w:spacing w:val="-20"/>
          <w:sz w:val="24"/>
        </w:rPr>
        <w:t> </w:t>
      </w:r>
      <w:r>
        <w:rPr>
          <w:sz w:val="24"/>
        </w:rPr>
        <w:t>Nishiyama,</w:t>
      </w:r>
      <w:r>
        <w:rPr>
          <w:spacing w:val="-15"/>
          <w:sz w:val="24"/>
        </w:rPr>
        <w:t> </w:t>
      </w:r>
      <w:r>
        <w:rPr>
          <w:sz w:val="24"/>
        </w:rPr>
        <w:t>H</w:t>
      </w:r>
      <w:r>
        <w:rPr>
          <w:spacing w:val="-18"/>
          <w:sz w:val="24"/>
        </w:rPr>
        <w:t> </w:t>
      </w:r>
      <w:r>
        <w:rPr>
          <w:sz w:val="24"/>
        </w:rPr>
        <w:t>Kawakami,</w:t>
      </w:r>
      <w:r>
        <w:rPr>
          <w:spacing w:val="-15"/>
          <w:sz w:val="24"/>
        </w:rPr>
        <w:t> </w:t>
      </w:r>
      <w:r>
        <w:rPr>
          <w:sz w:val="24"/>
        </w:rPr>
        <w:t>T</w:t>
      </w:r>
      <w:r>
        <w:rPr>
          <w:spacing w:val="-16"/>
          <w:sz w:val="24"/>
        </w:rPr>
        <w:t> </w:t>
      </w:r>
      <w:r>
        <w:rPr>
          <w:sz w:val="24"/>
        </w:rPr>
        <w:t>Matsuyama,</w:t>
      </w:r>
      <w:r>
        <w:rPr>
          <w:spacing w:val="-15"/>
          <w:sz w:val="24"/>
        </w:rPr>
        <w:t> </w:t>
      </w:r>
      <w:r>
        <w:rPr>
          <w:sz w:val="24"/>
        </w:rPr>
        <w:t>T</w:t>
      </w:r>
      <w:r>
        <w:rPr>
          <w:spacing w:val="-16"/>
          <w:sz w:val="24"/>
        </w:rPr>
        <w:t> </w:t>
      </w:r>
      <w:r>
        <w:rPr>
          <w:sz w:val="24"/>
        </w:rPr>
        <w:t>Yoshinaga,</w:t>
      </w:r>
      <w:r>
        <w:rPr>
          <w:spacing w:val="-15"/>
          <w:sz w:val="24"/>
        </w:rPr>
        <w:t> </w:t>
      </w:r>
      <w:r>
        <w:rPr>
          <w:sz w:val="24"/>
        </w:rPr>
        <w:t>N</w:t>
      </w:r>
      <w:r>
        <w:rPr>
          <w:spacing w:val="-18"/>
          <w:sz w:val="24"/>
        </w:rPr>
        <w:t> </w:t>
      </w:r>
      <w:r>
        <w:rPr>
          <w:sz w:val="24"/>
        </w:rPr>
        <w:t>Oseko.</w:t>
      </w:r>
    </w:p>
    <w:p>
      <w:pPr>
        <w:pStyle w:val="ListParagraph"/>
        <w:numPr>
          <w:ilvl w:val="0"/>
          <w:numId w:val="26"/>
        </w:numPr>
        <w:tabs>
          <w:tab w:pos="1405" w:val="left" w:leader="none"/>
          <w:tab w:pos="1406" w:val="left" w:leader="none"/>
        </w:tabs>
        <w:spacing w:line="240" w:lineRule="auto" w:before="129" w:after="0"/>
        <w:ind w:left="1405" w:right="0" w:hanging="1287"/>
        <w:jc w:val="left"/>
        <w:rPr>
          <w:sz w:val="24"/>
        </w:rPr>
      </w:pPr>
      <w:r>
        <w:rPr>
          <w:sz w:val="24"/>
        </w:rPr>
        <w:t>2005.</w:t>
      </w:r>
      <w:r>
        <w:rPr>
          <w:spacing w:val="-10"/>
          <w:sz w:val="24"/>
        </w:rPr>
        <w:t> </w:t>
      </w:r>
      <w:r>
        <w:rPr>
          <w:sz w:val="24"/>
        </w:rPr>
        <w:t>Identification</w:t>
      </w:r>
      <w:r>
        <w:rPr>
          <w:spacing w:val="-12"/>
          <w:sz w:val="24"/>
        </w:rPr>
        <w:t> </w:t>
      </w:r>
      <w:r>
        <w:rPr>
          <w:sz w:val="24"/>
        </w:rPr>
        <w:t>and</w:t>
      </w:r>
      <w:r>
        <w:rPr>
          <w:spacing w:val="-7"/>
          <w:sz w:val="24"/>
        </w:rPr>
        <w:t> </w:t>
      </w:r>
      <w:r>
        <w:rPr>
          <w:sz w:val="24"/>
        </w:rPr>
        <w:t>pathogenicity</w:t>
      </w:r>
      <w:r>
        <w:rPr>
          <w:spacing w:val="-15"/>
          <w:sz w:val="24"/>
        </w:rPr>
        <w:t> </w:t>
      </w:r>
      <w:r>
        <w:rPr>
          <w:sz w:val="24"/>
        </w:rPr>
        <w:t>of</w:t>
      </w:r>
      <w:r>
        <w:rPr>
          <w:spacing w:val="-10"/>
          <w:sz w:val="24"/>
        </w:rPr>
        <w:t> </w:t>
      </w:r>
      <w:r>
        <w:rPr>
          <w:sz w:val="24"/>
        </w:rPr>
        <w:t>intracelular</w:t>
      </w:r>
      <w:r>
        <w:rPr>
          <w:spacing w:val="-6"/>
          <w:sz w:val="24"/>
        </w:rPr>
        <w:t> </w:t>
      </w:r>
      <w:r>
        <w:rPr>
          <w:sz w:val="24"/>
        </w:rPr>
        <w:t>Francisella</w:t>
      </w:r>
      <w:r>
        <w:rPr>
          <w:spacing w:val="-8"/>
          <w:sz w:val="24"/>
        </w:rPr>
        <w:t> </w:t>
      </w:r>
      <w:r>
        <w:rPr>
          <w:sz w:val="24"/>
        </w:rPr>
        <w:t>bacterium</w:t>
      </w:r>
      <w:r>
        <w:rPr>
          <w:spacing w:val="-11"/>
          <w:sz w:val="24"/>
        </w:rPr>
        <w:t> </w:t>
      </w:r>
      <w:r>
        <w:rPr>
          <w:spacing w:val="-3"/>
          <w:sz w:val="24"/>
        </w:rPr>
        <w:t>in</w:t>
      </w:r>
      <w:r>
        <w:rPr>
          <w:spacing w:val="-12"/>
          <w:sz w:val="24"/>
        </w:rPr>
        <w:t> </w:t>
      </w:r>
      <w:r>
        <w:rPr>
          <w:sz w:val="24"/>
        </w:rPr>
        <w:t>three-</w:t>
      </w:r>
    </w:p>
    <w:p>
      <w:pPr>
        <w:pStyle w:val="ListParagraph"/>
        <w:numPr>
          <w:ilvl w:val="0"/>
          <w:numId w:val="26"/>
        </w:numPr>
        <w:tabs>
          <w:tab w:pos="1405" w:val="left" w:leader="none"/>
          <w:tab w:pos="1406" w:val="left" w:leader="none"/>
        </w:tabs>
        <w:spacing w:line="240" w:lineRule="auto" w:before="125" w:after="0"/>
        <w:ind w:left="1405" w:right="0" w:hanging="1287"/>
        <w:jc w:val="left"/>
        <w:rPr>
          <w:sz w:val="24"/>
        </w:rPr>
      </w:pPr>
      <w:r>
        <w:rPr>
          <w:sz w:val="24"/>
        </w:rPr>
        <w:t>line grunt Parapristipoma trilineatum. Fish Pathol, 40,</w:t>
      </w:r>
      <w:r>
        <w:rPr>
          <w:spacing w:val="-19"/>
          <w:sz w:val="24"/>
        </w:rPr>
        <w:t> </w:t>
      </w:r>
      <w:r>
        <w:rPr>
          <w:sz w:val="24"/>
        </w:rPr>
        <w:t>67–71.</w:t>
      </w:r>
    </w:p>
    <w:p>
      <w:pPr>
        <w:spacing w:after="0" w:line="240" w:lineRule="auto"/>
        <w:jc w:val="left"/>
        <w:rPr>
          <w:sz w:val="24"/>
        </w:rPr>
        <w:sectPr>
          <w:pgSz w:w="12240" w:h="15840"/>
          <w:pgMar w:header="752" w:footer="998" w:top="1000" w:bottom="1200" w:left="1000" w:right="1560"/>
        </w:sectPr>
      </w:pPr>
    </w:p>
    <w:p>
      <w:pPr>
        <w:pStyle w:val="BodyText"/>
        <w:spacing w:before="8"/>
        <w:rPr>
          <w:rFonts w:ascii="Times New Roman"/>
          <w:sz w:val="28"/>
        </w:rPr>
      </w:pPr>
    </w:p>
    <w:p>
      <w:pPr>
        <w:pStyle w:val="ListParagraph"/>
        <w:numPr>
          <w:ilvl w:val="1"/>
          <w:numId w:val="26"/>
        </w:numPr>
        <w:tabs>
          <w:tab w:pos="699" w:val="left" w:leader="none"/>
          <w:tab w:pos="700" w:val="left" w:leader="none"/>
        </w:tabs>
        <w:spacing w:line="240" w:lineRule="auto" w:before="70" w:after="0"/>
        <w:ind w:left="699" w:right="0" w:hanging="470"/>
        <w:jc w:val="left"/>
        <w:rPr>
          <w:sz w:val="24"/>
        </w:rPr>
      </w:pPr>
      <w:r>
        <w:rPr>
          <w:sz w:val="24"/>
        </w:rPr>
        <w:t>Mauel, M, D Miller, K Frazier, A Liggett, E Styer, D Montgomery-Brock, J Brock. </w:t>
      </w:r>
      <w:r>
        <w:rPr>
          <w:spacing w:val="30"/>
          <w:sz w:val="24"/>
        </w:rPr>
        <w:t> </w:t>
      </w:r>
      <w:r>
        <w:rPr>
          <w:sz w:val="24"/>
        </w:rPr>
        <w:t>2003.</w:t>
      </w:r>
    </w:p>
    <w:p>
      <w:pPr>
        <w:pStyle w:val="ListParagraph"/>
        <w:numPr>
          <w:ilvl w:val="1"/>
          <w:numId w:val="26"/>
        </w:numPr>
        <w:tabs>
          <w:tab w:pos="1405" w:val="left" w:leader="none"/>
          <w:tab w:pos="1406" w:val="left" w:leader="none"/>
        </w:tabs>
        <w:spacing w:line="240" w:lineRule="auto" w:before="134" w:after="0"/>
        <w:ind w:left="1405" w:right="0" w:hanging="1176"/>
        <w:jc w:val="left"/>
        <w:rPr>
          <w:sz w:val="24"/>
        </w:rPr>
      </w:pPr>
      <w:r>
        <w:rPr>
          <w:sz w:val="24"/>
        </w:rPr>
        <w:t>Characterization of a piscirickettsiosis-like disease </w:t>
      </w:r>
      <w:r>
        <w:rPr>
          <w:spacing w:val="-3"/>
          <w:sz w:val="24"/>
        </w:rPr>
        <w:t>in </w:t>
      </w:r>
      <w:r>
        <w:rPr>
          <w:sz w:val="24"/>
        </w:rPr>
        <w:t>Hawaiian tilapia. Dis  </w:t>
      </w:r>
      <w:r>
        <w:rPr>
          <w:spacing w:val="21"/>
          <w:sz w:val="24"/>
        </w:rPr>
        <w:t> </w:t>
      </w:r>
      <w:r>
        <w:rPr>
          <w:sz w:val="24"/>
        </w:rPr>
        <w:t>Aquat</w:t>
      </w:r>
    </w:p>
    <w:p>
      <w:pPr>
        <w:pStyle w:val="BodyText"/>
        <w:tabs>
          <w:tab w:pos="1405" w:val="left" w:leader="none"/>
        </w:tabs>
        <w:spacing w:before="125"/>
        <w:ind w:left="229"/>
        <w:rPr>
          <w:rFonts w:ascii="Times New Roman" w:hAnsi="Times New Roman"/>
        </w:rPr>
      </w:pPr>
      <w:r>
        <w:rPr>
          <w:rFonts w:ascii="Calibri" w:hAnsi="Calibri"/>
          <w:sz w:val="22"/>
        </w:rPr>
        <w:t>3</w:t>
        <w:tab/>
      </w:r>
      <w:r>
        <w:rPr>
          <w:rFonts w:ascii="Times New Roman" w:hAnsi="Times New Roman"/>
        </w:rPr>
        <w:t>Org 53, 249–255.</w:t>
      </w:r>
    </w:p>
    <w:p>
      <w:pPr>
        <w:pStyle w:val="BodyText"/>
        <w:spacing w:before="3"/>
        <w:rPr>
          <w:rFonts w:ascii="Times New Roman"/>
          <w:sz w:val="23"/>
        </w:rPr>
      </w:pPr>
    </w:p>
    <w:p>
      <w:pPr>
        <w:pStyle w:val="ListParagraph"/>
        <w:numPr>
          <w:ilvl w:val="0"/>
          <w:numId w:val="27"/>
        </w:numPr>
        <w:tabs>
          <w:tab w:pos="699" w:val="left" w:leader="none"/>
          <w:tab w:pos="700" w:val="left" w:leader="none"/>
        </w:tabs>
        <w:spacing w:line="240" w:lineRule="auto" w:before="69" w:after="0"/>
        <w:ind w:left="699" w:right="0" w:hanging="470"/>
        <w:jc w:val="left"/>
        <w:rPr>
          <w:sz w:val="24"/>
        </w:rPr>
      </w:pPr>
      <w:r>
        <w:rPr>
          <w:sz w:val="24"/>
        </w:rPr>
        <w:t>Mauel, M, D Miller, D Pouder, R Yanong, A Goodwin, T Schwedler. 2005. Occurrence</w:t>
      </w:r>
      <w:r>
        <w:rPr>
          <w:spacing w:val="-11"/>
          <w:sz w:val="24"/>
        </w:rPr>
        <w:t> </w:t>
      </w:r>
      <w:r>
        <w:rPr>
          <w:spacing w:val="4"/>
          <w:sz w:val="24"/>
        </w:rPr>
        <w:t>of</w:t>
      </w:r>
    </w:p>
    <w:p>
      <w:pPr>
        <w:pStyle w:val="ListParagraph"/>
        <w:numPr>
          <w:ilvl w:val="0"/>
          <w:numId w:val="27"/>
        </w:numPr>
        <w:tabs>
          <w:tab w:pos="1405" w:val="left" w:leader="none"/>
          <w:tab w:pos="1406" w:val="left" w:leader="none"/>
        </w:tabs>
        <w:spacing w:line="240" w:lineRule="auto" w:before="129" w:after="0"/>
        <w:ind w:left="1405" w:right="0" w:hanging="1176"/>
        <w:jc w:val="left"/>
        <w:rPr>
          <w:sz w:val="24"/>
        </w:rPr>
      </w:pPr>
      <w:r>
        <w:rPr>
          <w:sz w:val="24"/>
        </w:rPr>
        <w:t>piscirickettsiosis-like syndrome </w:t>
      </w:r>
      <w:r>
        <w:rPr>
          <w:spacing w:val="-3"/>
          <w:sz w:val="24"/>
        </w:rPr>
        <w:t>in </w:t>
      </w:r>
      <w:r>
        <w:rPr>
          <w:sz w:val="24"/>
        </w:rPr>
        <w:t>tilapia </w:t>
      </w:r>
      <w:r>
        <w:rPr>
          <w:spacing w:val="-3"/>
          <w:sz w:val="24"/>
        </w:rPr>
        <w:t>in </w:t>
      </w:r>
      <w:r>
        <w:rPr>
          <w:sz w:val="24"/>
        </w:rPr>
        <w:t>the continental United States.  </w:t>
      </w:r>
      <w:r>
        <w:rPr>
          <w:spacing w:val="36"/>
          <w:sz w:val="24"/>
        </w:rPr>
        <w:t> </w:t>
      </w:r>
      <w:r>
        <w:rPr>
          <w:sz w:val="24"/>
        </w:rPr>
        <w:t>Journal</w:t>
      </w:r>
    </w:p>
    <w:p>
      <w:pPr>
        <w:pStyle w:val="ListParagraph"/>
        <w:numPr>
          <w:ilvl w:val="0"/>
          <w:numId w:val="27"/>
        </w:numPr>
        <w:tabs>
          <w:tab w:pos="1405" w:val="left" w:leader="none"/>
          <w:tab w:pos="1406" w:val="left" w:leader="none"/>
        </w:tabs>
        <w:spacing w:line="240" w:lineRule="auto" w:before="125" w:after="0"/>
        <w:ind w:left="1405" w:right="0" w:hanging="1176"/>
        <w:jc w:val="left"/>
        <w:rPr>
          <w:sz w:val="24"/>
        </w:rPr>
      </w:pPr>
      <w:r>
        <w:rPr>
          <w:sz w:val="24"/>
        </w:rPr>
        <w:t>of Veterinary Diagnostic Investigation 17,</w:t>
      </w:r>
      <w:r>
        <w:rPr>
          <w:spacing w:val="-16"/>
          <w:sz w:val="24"/>
        </w:rPr>
        <w:t> </w:t>
      </w:r>
      <w:r>
        <w:rPr>
          <w:sz w:val="24"/>
        </w:rPr>
        <w:t>601–605.</w:t>
      </w:r>
    </w:p>
    <w:p>
      <w:pPr>
        <w:pStyle w:val="BodyText"/>
        <w:spacing w:before="2"/>
        <w:rPr>
          <w:rFonts w:ascii="Times New Roman"/>
          <w:sz w:val="23"/>
        </w:rPr>
      </w:pPr>
    </w:p>
    <w:p>
      <w:pPr>
        <w:pStyle w:val="ListParagraph"/>
        <w:numPr>
          <w:ilvl w:val="0"/>
          <w:numId w:val="27"/>
        </w:numPr>
        <w:tabs>
          <w:tab w:pos="699" w:val="left" w:leader="none"/>
          <w:tab w:pos="700" w:val="left" w:leader="none"/>
        </w:tabs>
        <w:spacing w:line="240" w:lineRule="auto" w:before="70" w:after="0"/>
        <w:ind w:left="699" w:right="0" w:hanging="470"/>
        <w:jc w:val="left"/>
        <w:rPr>
          <w:sz w:val="24"/>
        </w:rPr>
      </w:pPr>
      <w:r>
        <w:rPr>
          <w:sz w:val="24"/>
        </w:rPr>
        <w:t>Mauel</w:t>
      </w:r>
      <w:r>
        <w:rPr>
          <w:spacing w:val="-21"/>
          <w:sz w:val="24"/>
        </w:rPr>
        <w:t> </w:t>
      </w:r>
      <w:r>
        <w:rPr>
          <w:sz w:val="24"/>
        </w:rPr>
        <w:t>M,</w:t>
      </w:r>
      <w:r>
        <w:rPr>
          <w:spacing w:val="-11"/>
          <w:sz w:val="24"/>
        </w:rPr>
        <w:t> </w:t>
      </w:r>
      <w:r>
        <w:rPr>
          <w:sz w:val="24"/>
        </w:rPr>
        <w:t>E</w:t>
      </w:r>
      <w:r>
        <w:rPr>
          <w:spacing w:val="-11"/>
          <w:sz w:val="24"/>
        </w:rPr>
        <w:t> </w:t>
      </w:r>
      <w:r>
        <w:rPr>
          <w:sz w:val="24"/>
        </w:rPr>
        <w:t>Soto,</w:t>
      </w:r>
      <w:r>
        <w:rPr>
          <w:spacing w:val="-15"/>
          <w:sz w:val="24"/>
        </w:rPr>
        <w:t> </w:t>
      </w:r>
      <w:r>
        <w:rPr>
          <w:sz w:val="24"/>
        </w:rPr>
        <w:t>J</w:t>
      </w:r>
      <w:r>
        <w:rPr>
          <w:spacing w:val="-15"/>
          <w:sz w:val="24"/>
        </w:rPr>
        <w:t> </w:t>
      </w:r>
      <w:r>
        <w:rPr>
          <w:sz w:val="24"/>
        </w:rPr>
        <w:t>Morales,</w:t>
      </w:r>
      <w:r>
        <w:rPr>
          <w:spacing w:val="-11"/>
          <w:sz w:val="24"/>
        </w:rPr>
        <w:t> </w:t>
      </w:r>
      <w:r>
        <w:rPr>
          <w:sz w:val="24"/>
        </w:rPr>
        <w:t>J</w:t>
      </w:r>
      <w:r>
        <w:rPr>
          <w:spacing w:val="-15"/>
          <w:sz w:val="24"/>
        </w:rPr>
        <w:t> </w:t>
      </w:r>
      <w:r>
        <w:rPr>
          <w:sz w:val="24"/>
        </w:rPr>
        <w:t>Hawke.</w:t>
      </w:r>
      <w:r>
        <w:rPr>
          <w:spacing w:val="-7"/>
          <w:sz w:val="24"/>
        </w:rPr>
        <w:t> </w:t>
      </w:r>
      <w:r>
        <w:rPr>
          <w:sz w:val="24"/>
        </w:rPr>
        <w:t>2007.</w:t>
      </w:r>
      <w:r>
        <w:rPr>
          <w:spacing w:val="-15"/>
          <w:sz w:val="24"/>
        </w:rPr>
        <w:t> </w:t>
      </w:r>
      <w:r>
        <w:rPr>
          <w:sz w:val="24"/>
        </w:rPr>
        <w:t>A</w:t>
      </w:r>
      <w:r>
        <w:rPr>
          <w:spacing w:val="-17"/>
          <w:sz w:val="24"/>
        </w:rPr>
        <w:t> </w:t>
      </w:r>
      <w:r>
        <w:rPr>
          <w:sz w:val="24"/>
        </w:rPr>
        <w:t>Piscirickettsiosis-like</w:t>
      </w:r>
      <w:r>
        <w:rPr>
          <w:spacing w:val="-14"/>
          <w:sz w:val="24"/>
        </w:rPr>
        <w:t> </w:t>
      </w:r>
      <w:r>
        <w:rPr>
          <w:sz w:val="24"/>
        </w:rPr>
        <w:t>Syndrome</w:t>
      </w:r>
      <w:r>
        <w:rPr>
          <w:spacing w:val="-9"/>
          <w:sz w:val="24"/>
        </w:rPr>
        <w:t> </w:t>
      </w:r>
      <w:r>
        <w:rPr>
          <w:spacing w:val="-3"/>
          <w:sz w:val="24"/>
        </w:rPr>
        <w:t>in</w:t>
      </w:r>
      <w:r>
        <w:rPr>
          <w:spacing w:val="-16"/>
          <w:sz w:val="24"/>
        </w:rPr>
        <w:t> </w:t>
      </w:r>
      <w:r>
        <w:rPr>
          <w:sz w:val="24"/>
        </w:rPr>
        <w:t>Cultured</w:t>
      </w:r>
    </w:p>
    <w:p>
      <w:pPr>
        <w:pStyle w:val="ListParagraph"/>
        <w:numPr>
          <w:ilvl w:val="0"/>
          <w:numId w:val="27"/>
        </w:numPr>
        <w:tabs>
          <w:tab w:pos="1405" w:val="left" w:leader="none"/>
          <w:tab w:pos="1406" w:val="left" w:leader="none"/>
        </w:tabs>
        <w:spacing w:line="240" w:lineRule="auto" w:before="129" w:after="0"/>
        <w:ind w:left="1405" w:right="0" w:hanging="1176"/>
        <w:jc w:val="left"/>
        <w:rPr>
          <w:sz w:val="24"/>
        </w:rPr>
      </w:pPr>
      <w:r>
        <w:rPr>
          <w:sz w:val="24"/>
        </w:rPr>
        <w:t>Nile</w:t>
      </w:r>
      <w:r>
        <w:rPr>
          <w:spacing w:val="-17"/>
          <w:sz w:val="24"/>
        </w:rPr>
        <w:t> </w:t>
      </w:r>
      <w:r>
        <w:rPr>
          <w:sz w:val="24"/>
        </w:rPr>
        <w:t>Tilapia</w:t>
      </w:r>
      <w:r>
        <w:rPr>
          <w:spacing w:val="-13"/>
          <w:sz w:val="24"/>
        </w:rPr>
        <w:t> </w:t>
      </w:r>
      <w:r>
        <w:rPr>
          <w:spacing w:val="-3"/>
          <w:sz w:val="24"/>
        </w:rPr>
        <w:t>in</w:t>
      </w:r>
      <w:r>
        <w:rPr>
          <w:spacing w:val="-16"/>
          <w:sz w:val="24"/>
        </w:rPr>
        <w:t> </w:t>
      </w:r>
      <w:r>
        <w:rPr>
          <w:sz w:val="24"/>
        </w:rPr>
        <w:t>Latin</w:t>
      </w:r>
      <w:r>
        <w:rPr>
          <w:spacing w:val="-16"/>
          <w:sz w:val="24"/>
        </w:rPr>
        <w:t> </w:t>
      </w:r>
      <w:r>
        <w:rPr>
          <w:sz w:val="24"/>
        </w:rPr>
        <w:t>America</w:t>
      </w:r>
      <w:r>
        <w:rPr>
          <w:spacing w:val="-17"/>
          <w:sz w:val="24"/>
        </w:rPr>
        <w:t> </w:t>
      </w:r>
      <w:r>
        <w:rPr>
          <w:sz w:val="24"/>
        </w:rPr>
        <w:t>with</w:t>
      </w:r>
      <w:r>
        <w:rPr>
          <w:spacing w:val="-21"/>
          <w:sz w:val="24"/>
        </w:rPr>
        <w:t> </w:t>
      </w:r>
      <w:r>
        <w:rPr>
          <w:sz w:val="24"/>
        </w:rPr>
        <w:t>Francisella</w:t>
      </w:r>
      <w:r>
        <w:rPr>
          <w:spacing w:val="-17"/>
          <w:sz w:val="24"/>
        </w:rPr>
        <w:t> </w:t>
      </w:r>
      <w:r>
        <w:rPr>
          <w:sz w:val="24"/>
        </w:rPr>
        <w:t>spp.</w:t>
      </w:r>
      <w:r>
        <w:rPr>
          <w:spacing w:val="-14"/>
          <w:sz w:val="24"/>
        </w:rPr>
        <w:t> </w:t>
      </w:r>
      <w:r>
        <w:rPr>
          <w:sz w:val="24"/>
        </w:rPr>
        <w:t>as</w:t>
      </w:r>
      <w:r>
        <w:rPr>
          <w:spacing w:val="-19"/>
          <w:sz w:val="24"/>
        </w:rPr>
        <w:t> </w:t>
      </w:r>
      <w:r>
        <w:rPr>
          <w:sz w:val="24"/>
        </w:rPr>
        <w:t>the</w:t>
      </w:r>
      <w:r>
        <w:rPr>
          <w:spacing w:val="-17"/>
          <w:sz w:val="24"/>
        </w:rPr>
        <w:t> </w:t>
      </w:r>
      <w:r>
        <w:rPr>
          <w:sz w:val="24"/>
        </w:rPr>
        <w:t>Pathogenic</w:t>
      </w:r>
      <w:r>
        <w:rPr>
          <w:spacing w:val="-13"/>
          <w:sz w:val="24"/>
        </w:rPr>
        <w:t> </w:t>
      </w:r>
      <w:r>
        <w:rPr>
          <w:sz w:val="24"/>
        </w:rPr>
        <w:t>Agent.</w:t>
      </w:r>
      <w:r>
        <w:rPr>
          <w:spacing w:val="-14"/>
          <w:sz w:val="24"/>
        </w:rPr>
        <w:t> </w:t>
      </w:r>
      <w:r>
        <w:rPr>
          <w:sz w:val="24"/>
        </w:rPr>
        <w:t>J</w:t>
      </w:r>
      <w:r>
        <w:rPr>
          <w:spacing w:val="26"/>
          <w:sz w:val="24"/>
        </w:rPr>
        <w:t> </w:t>
      </w:r>
      <w:r>
        <w:rPr>
          <w:sz w:val="24"/>
        </w:rPr>
        <w:t>Aquat</w:t>
      </w:r>
    </w:p>
    <w:p>
      <w:pPr>
        <w:pStyle w:val="ListParagraph"/>
        <w:numPr>
          <w:ilvl w:val="0"/>
          <w:numId w:val="27"/>
        </w:numPr>
        <w:tabs>
          <w:tab w:pos="1405" w:val="left" w:leader="none"/>
          <w:tab w:pos="1406" w:val="left" w:leader="none"/>
        </w:tabs>
        <w:spacing w:line="240" w:lineRule="auto" w:before="129" w:after="0"/>
        <w:ind w:left="1405" w:right="0" w:hanging="1176"/>
        <w:jc w:val="left"/>
        <w:rPr>
          <w:sz w:val="24"/>
        </w:rPr>
      </w:pPr>
      <w:r>
        <w:rPr>
          <w:sz w:val="24"/>
        </w:rPr>
        <w:t>Anim Health. 19,</w:t>
      </w:r>
      <w:r>
        <w:rPr>
          <w:spacing w:val="-3"/>
          <w:sz w:val="24"/>
        </w:rPr>
        <w:t> </w:t>
      </w:r>
      <w:r>
        <w:rPr>
          <w:sz w:val="24"/>
        </w:rPr>
        <w:t>27–34.</w:t>
      </w:r>
    </w:p>
    <w:p>
      <w:pPr>
        <w:pStyle w:val="BodyText"/>
        <w:spacing w:before="3"/>
        <w:rPr>
          <w:rFonts w:ascii="Times New Roman"/>
          <w:sz w:val="23"/>
        </w:rPr>
      </w:pPr>
    </w:p>
    <w:p>
      <w:pPr>
        <w:pStyle w:val="ListParagraph"/>
        <w:numPr>
          <w:ilvl w:val="0"/>
          <w:numId w:val="27"/>
        </w:numPr>
        <w:tabs>
          <w:tab w:pos="699" w:val="left" w:leader="none"/>
          <w:tab w:pos="700" w:val="left" w:leader="none"/>
        </w:tabs>
        <w:spacing w:line="240" w:lineRule="auto" w:before="69" w:after="0"/>
        <w:ind w:left="699" w:right="0" w:hanging="581"/>
        <w:jc w:val="left"/>
        <w:rPr>
          <w:sz w:val="24"/>
        </w:rPr>
      </w:pPr>
      <w:r>
        <w:rPr>
          <w:sz w:val="24"/>
        </w:rPr>
        <w:t>Mikalsen  J,  A  Olsen,  T  Tengs,  D  Colquhoun.  2007.  Francisella  philomiragia  </w:t>
      </w:r>
      <w:r>
        <w:rPr>
          <w:spacing w:val="56"/>
          <w:sz w:val="24"/>
        </w:rPr>
        <w:t> </w:t>
      </w:r>
      <w:r>
        <w:rPr>
          <w:sz w:val="24"/>
        </w:rPr>
        <w:t>subsp.</w:t>
      </w:r>
    </w:p>
    <w:p>
      <w:pPr>
        <w:pStyle w:val="ListParagraph"/>
        <w:numPr>
          <w:ilvl w:val="0"/>
          <w:numId w:val="27"/>
        </w:numPr>
        <w:tabs>
          <w:tab w:pos="1405" w:val="left" w:leader="none"/>
          <w:tab w:pos="1406" w:val="left" w:leader="none"/>
        </w:tabs>
        <w:spacing w:line="240" w:lineRule="auto" w:before="129" w:after="0"/>
        <w:ind w:left="1405" w:right="0" w:hanging="1287"/>
        <w:jc w:val="left"/>
        <w:rPr>
          <w:sz w:val="24"/>
        </w:rPr>
      </w:pPr>
      <w:r>
        <w:rPr>
          <w:sz w:val="24"/>
        </w:rPr>
        <w:t>noatunensis subsp. nov., isolated from farmed Atlantic cod (Gadus morhua L.). Int</w:t>
      </w:r>
      <w:r>
        <w:rPr>
          <w:spacing w:val="16"/>
          <w:sz w:val="24"/>
        </w:rPr>
        <w:t> </w:t>
      </w:r>
      <w:r>
        <w:rPr>
          <w:sz w:val="24"/>
        </w:rPr>
        <w:t>J</w:t>
      </w:r>
    </w:p>
    <w:p>
      <w:pPr>
        <w:pStyle w:val="ListParagraph"/>
        <w:numPr>
          <w:ilvl w:val="0"/>
          <w:numId w:val="27"/>
        </w:numPr>
        <w:tabs>
          <w:tab w:pos="1405" w:val="left" w:leader="none"/>
          <w:tab w:pos="1406" w:val="left" w:leader="none"/>
        </w:tabs>
        <w:spacing w:line="240" w:lineRule="auto" w:before="125" w:after="0"/>
        <w:ind w:left="1405" w:right="0" w:hanging="1287"/>
        <w:jc w:val="left"/>
        <w:rPr>
          <w:sz w:val="24"/>
        </w:rPr>
      </w:pPr>
      <w:r>
        <w:rPr>
          <w:sz w:val="24"/>
        </w:rPr>
        <w:t>Syst Evol Microbiol 57,</w:t>
      </w:r>
      <w:r>
        <w:rPr>
          <w:spacing w:val="-9"/>
          <w:sz w:val="24"/>
        </w:rPr>
        <w:t> </w:t>
      </w:r>
      <w:r>
        <w:rPr>
          <w:sz w:val="24"/>
        </w:rPr>
        <w:t>1960–1965.</w:t>
      </w:r>
    </w:p>
    <w:p>
      <w:pPr>
        <w:pStyle w:val="BodyText"/>
        <w:spacing w:before="2"/>
        <w:rPr>
          <w:rFonts w:ascii="Times New Roman"/>
          <w:sz w:val="23"/>
        </w:rPr>
      </w:pPr>
    </w:p>
    <w:p>
      <w:pPr>
        <w:pStyle w:val="ListParagraph"/>
        <w:numPr>
          <w:ilvl w:val="0"/>
          <w:numId w:val="27"/>
        </w:numPr>
        <w:tabs>
          <w:tab w:pos="699" w:val="left" w:leader="none"/>
          <w:tab w:pos="700" w:val="left" w:leader="none"/>
        </w:tabs>
        <w:spacing w:line="240" w:lineRule="auto" w:before="69" w:after="0"/>
        <w:ind w:left="699" w:right="0" w:hanging="581"/>
        <w:jc w:val="left"/>
        <w:rPr>
          <w:sz w:val="24"/>
        </w:rPr>
      </w:pPr>
      <w:r>
        <w:rPr>
          <w:sz w:val="24"/>
        </w:rPr>
        <w:t>Mikalsen J, D Colquhoun. 2009. Francisella asiatica sp. nov. isolated from </w:t>
      </w:r>
      <w:r>
        <w:rPr>
          <w:spacing w:val="-3"/>
          <w:sz w:val="24"/>
        </w:rPr>
        <w:t>farmed  </w:t>
      </w:r>
      <w:r>
        <w:rPr>
          <w:spacing w:val="18"/>
          <w:sz w:val="24"/>
        </w:rPr>
        <w:t> </w:t>
      </w:r>
      <w:r>
        <w:rPr>
          <w:sz w:val="24"/>
        </w:rPr>
        <w:t>tilapia</w:t>
      </w:r>
    </w:p>
    <w:p>
      <w:pPr>
        <w:pStyle w:val="ListParagraph"/>
        <w:numPr>
          <w:ilvl w:val="0"/>
          <w:numId w:val="27"/>
        </w:numPr>
        <w:tabs>
          <w:tab w:pos="1405" w:val="left" w:leader="none"/>
          <w:tab w:pos="1406" w:val="left" w:leader="none"/>
        </w:tabs>
        <w:spacing w:line="240" w:lineRule="auto" w:before="130" w:after="0"/>
        <w:ind w:left="1405" w:right="0" w:hanging="1287"/>
        <w:jc w:val="left"/>
        <w:rPr>
          <w:sz w:val="24"/>
        </w:rPr>
      </w:pPr>
      <w:r>
        <w:rPr>
          <w:sz w:val="24"/>
        </w:rPr>
        <w:t>(Oreochromis sp.) and elevation </w:t>
      </w:r>
      <w:r>
        <w:rPr>
          <w:spacing w:val="4"/>
          <w:sz w:val="24"/>
        </w:rPr>
        <w:t>of </w:t>
      </w:r>
      <w:r>
        <w:rPr>
          <w:sz w:val="24"/>
        </w:rPr>
        <w:t>Francisella philomiragia subsp. Noatunensis </w:t>
      </w:r>
      <w:r>
        <w:rPr>
          <w:spacing w:val="1"/>
          <w:sz w:val="24"/>
        </w:rPr>
        <w:t> </w:t>
      </w:r>
      <w:r>
        <w:rPr>
          <w:spacing w:val="2"/>
          <w:sz w:val="24"/>
        </w:rPr>
        <w:t>to</w:t>
      </w:r>
    </w:p>
    <w:p>
      <w:pPr>
        <w:pStyle w:val="ListParagraph"/>
        <w:numPr>
          <w:ilvl w:val="0"/>
          <w:numId w:val="27"/>
        </w:numPr>
        <w:tabs>
          <w:tab w:pos="1405" w:val="left" w:leader="none"/>
          <w:tab w:pos="1406" w:val="left" w:leader="none"/>
        </w:tabs>
        <w:spacing w:line="240" w:lineRule="auto" w:before="129" w:after="0"/>
        <w:ind w:left="1405" w:right="0" w:hanging="1287"/>
        <w:jc w:val="left"/>
        <w:rPr>
          <w:sz w:val="24"/>
        </w:rPr>
      </w:pPr>
      <w:r>
        <w:rPr>
          <w:sz w:val="24"/>
        </w:rPr>
        <w:t>species  rank  as  Francisella  noatunensis  comb.  nov.,  sp.  Nov.  Int  J  Syst</w:t>
      </w:r>
      <w:r>
        <w:rPr>
          <w:spacing w:val="57"/>
          <w:sz w:val="24"/>
        </w:rPr>
        <w:t> </w:t>
      </w:r>
      <w:r>
        <w:rPr>
          <w:sz w:val="24"/>
        </w:rPr>
        <w:t>Evol</w:t>
      </w:r>
    </w:p>
    <w:p>
      <w:pPr>
        <w:pStyle w:val="BodyText"/>
        <w:tabs>
          <w:tab w:pos="1405" w:val="left" w:leader="none"/>
        </w:tabs>
        <w:spacing w:before="129"/>
        <w:ind w:left="118"/>
        <w:rPr>
          <w:rFonts w:ascii="Times New Roman"/>
        </w:rPr>
      </w:pPr>
      <w:r>
        <w:rPr>
          <w:rFonts w:ascii="Calibri"/>
          <w:sz w:val="22"/>
        </w:rPr>
        <w:t>16</w:t>
        <w:tab/>
      </w:r>
      <w:r>
        <w:rPr>
          <w:rFonts w:ascii="Times New Roman"/>
        </w:rPr>
        <w:t>Microbiol</w:t>
      </w:r>
      <w:r>
        <w:rPr>
          <w:rFonts w:ascii="Times New Roman"/>
          <w:spacing w:val="-12"/>
        </w:rPr>
        <w:t> </w:t>
      </w:r>
      <w:r>
        <w:rPr>
          <w:rFonts w:ascii="Times New Roman"/>
        </w:rPr>
        <w:t>doi:10.1099/ijs.0.002139-0.</w:t>
      </w:r>
    </w:p>
    <w:p>
      <w:pPr>
        <w:pStyle w:val="BodyText"/>
        <w:spacing w:before="2"/>
        <w:rPr>
          <w:rFonts w:ascii="Times New Roman"/>
          <w:sz w:val="23"/>
        </w:rPr>
      </w:pPr>
    </w:p>
    <w:p>
      <w:pPr>
        <w:pStyle w:val="ListParagraph"/>
        <w:numPr>
          <w:ilvl w:val="0"/>
          <w:numId w:val="28"/>
        </w:numPr>
        <w:tabs>
          <w:tab w:pos="699" w:val="left" w:leader="none"/>
          <w:tab w:pos="700" w:val="left" w:leader="none"/>
        </w:tabs>
        <w:spacing w:line="240" w:lineRule="auto" w:before="70" w:after="0"/>
        <w:ind w:left="699" w:right="0" w:hanging="581"/>
        <w:jc w:val="left"/>
        <w:rPr>
          <w:sz w:val="24"/>
        </w:rPr>
      </w:pPr>
      <w:r>
        <w:rPr>
          <w:sz w:val="24"/>
        </w:rPr>
        <w:t>Nylund </w:t>
      </w:r>
      <w:r>
        <w:rPr>
          <w:spacing w:val="-3"/>
          <w:sz w:val="24"/>
        </w:rPr>
        <w:t>A, </w:t>
      </w:r>
      <w:r>
        <w:rPr>
          <w:sz w:val="24"/>
        </w:rPr>
        <w:t>K Ottem, K Watanabe, E Karlsbakk, B Krossoy. 2006. Francisella sp. </w:t>
      </w:r>
      <w:r>
        <w:rPr>
          <w:spacing w:val="42"/>
          <w:sz w:val="24"/>
        </w:rPr>
        <w:t> </w:t>
      </w:r>
      <w:r>
        <w:rPr>
          <w:sz w:val="24"/>
        </w:rPr>
        <w:t>(Family</w:t>
      </w:r>
    </w:p>
    <w:p>
      <w:pPr>
        <w:pStyle w:val="ListParagraph"/>
        <w:numPr>
          <w:ilvl w:val="0"/>
          <w:numId w:val="28"/>
        </w:numPr>
        <w:tabs>
          <w:tab w:pos="1405" w:val="left" w:leader="none"/>
          <w:tab w:pos="1406" w:val="left" w:leader="none"/>
        </w:tabs>
        <w:spacing w:line="240" w:lineRule="auto" w:before="129" w:after="0"/>
        <w:ind w:left="1405" w:right="0" w:hanging="1287"/>
        <w:jc w:val="left"/>
        <w:rPr>
          <w:sz w:val="24"/>
        </w:rPr>
      </w:pPr>
      <w:r>
        <w:rPr>
          <w:sz w:val="24"/>
        </w:rPr>
        <w:t>Francisellaceae)</w:t>
      </w:r>
      <w:r>
        <w:rPr>
          <w:spacing w:val="-12"/>
          <w:sz w:val="24"/>
        </w:rPr>
        <w:t> </w:t>
      </w:r>
      <w:r>
        <w:rPr>
          <w:sz w:val="24"/>
        </w:rPr>
        <w:t>causing</w:t>
      </w:r>
      <w:r>
        <w:rPr>
          <w:spacing w:val="-9"/>
          <w:sz w:val="24"/>
        </w:rPr>
        <w:t> </w:t>
      </w:r>
      <w:r>
        <w:rPr>
          <w:sz w:val="24"/>
        </w:rPr>
        <w:t>mortality</w:t>
      </w:r>
      <w:r>
        <w:rPr>
          <w:spacing w:val="-17"/>
          <w:sz w:val="24"/>
        </w:rPr>
        <w:t> </w:t>
      </w:r>
      <w:r>
        <w:rPr>
          <w:spacing w:val="-3"/>
          <w:sz w:val="24"/>
        </w:rPr>
        <w:t>in</w:t>
      </w:r>
      <w:r>
        <w:rPr>
          <w:spacing w:val="-17"/>
          <w:sz w:val="24"/>
        </w:rPr>
        <w:t> </w:t>
      </w:r>
      <w:r>
        <w:rPr>
          <w:sz w:val="24"/>
        </w:rPr>
        <w:t>Norwegian</w:t>
      </w:r>
      <w:r>
        <w:rPr>
          <w:spacing w:val="-13"/>
          <w:sz w:val="24"/>
        </w:rPr>
        <w:t> </w:t>
      </w:r>
      <w:r>
        <w:rPr>
          <w:sz w:val="24"/>
        </w:rPr>
        <w:t>cod</w:t>
      </w:r>
      <w:r>
        <w:rPr>
          <w:spacing w:val="-14"/>
          <w:sz w:val="24"/>
        </w:rPr>
        <w:t> </w:t>
      </w:r>
      <w:r>
        <w:rPr>
          <w:sz w:val="24"/>
        </w:rPr>
        <w:t>(Gadus</w:t>
      </w:r>
      <w:r>
        <w:rPr>
          <w:spacing w:val="-15"/>
          <w:sz w:val="24"/>
        </w:rPr>
        <w:t> </w:t>
      </w:r>
      <w:r>
        <w:rPr>
          <w:sz w:val="24"/>
        </w:rPr>
        <w:t>morhua)</w:t>
      </w:r>
      <w:r>
        <w:rPr>
          <w:spacing w:val="-12"/>
          <w:sz w:val="24"/>
        </w:rPr>
        <w:t> </w:t>
      </w:r>
      <w:r>
        <w:rPr>
          <w:sz w:val="24"/>
        </w:rPr>
        <w:t>farming.</w:t>
      </w:r>
      <w:r>
        <w:rPr>
          <w:spacing w:val="-12"/>
          <w:sz w:val="24"/>
        </w:rPr>
        <w:t> </w:t>
      </w:r>
      <w:r>
        <w:rPr>
          <w:sz w:val="24"/>
        </w:rPr>
        <w:t>Arch</w:t>
      </w:r>
    </w:p>
    <w:p>
      <w:pPr>
        <w:pStyle w:val="BodyText"/>
        <w:tabs>
          <w:tab w:pos="1405" w:val="left" w:leader="none"/>
        </w:tabs>
        <w:spacing w:before="125"/>
        <w:ind w:left="118"/>
        <w:rPr>
          <w:rFonts w:ascii="Times New Roman"/>
        </w:rPr>
      </w:pPr>
      <w:r>
        <w:rPr>
          <w:rFonts w:ascii="Calibri"/>
          <w:sz w:val="22"/>
        </w:rPr>
        <w:t>19</w:t>
        <w:tab/>
      </w:r>
      <w:r>
        <w:rPr>
          <w:rFonts w:ascii="Times New Roman"/>
        </w:rPr>
        <w:t>Microbiol 185,</w:t>
      </w:r>
      <w:r>
        <w:rPr>
          <w:rFonts w:ascii="Times New Roman"/>
          <w:spacing w:val="-1"/>
        </w:rPr>
        <w:t> </w:t>
      </w:r>
      <w:r>
        <w:rPr>
          <w:rFonts w:ascii="Times New Roman"/>
        </w:rPr>
        <w:t>383-392.</w:t>
      </w:r>
    </w:p>
    <w:p>
      <w:pPr>
        <w:pStyle w:val="BodyText"/>
        <w:spacing w:before="2"/>
        <w:rPr>
          <w:rFonts w:ascii="Times New Roman"/>
          <w:sz w:val="23"/>
        </w:rPr>
      </w:pPr>
    </w:p>
    <w:p>
      <w:pPr>
        <w:pStyle w:val="ListParagraph"/>
        <w:numPr>
          <w:ilvl w:val="0"/>
          <w:numId w:val="29"/>
        </w:numPr>
        <w:tabs>
          <w:tab w:pos="699" w:val="left" w:leader="none"/>
          <w:tab w:pos="700" w:val="left" w:leader="none"/>
          <w:tab w:pos="6567" w:val="left" w:leader="none"/>
        </w:tabs>
        <w:spacing w:line="240" w:lineRule="auto" w:before="69" w:after="0"/>
        <w:ind w:left="699" w:right="0" w:hanging="581"/>
        <w:jc w:val="left"/>
        <w:rPr>
          <w:sz w:val="24"/>
        </w:rPr>
      </w:pPr>
      <w:r>
        <w:rPr>
          <w:sz w:val="24"/>
        </w:rPr>
        <w:t>Olsen </w:t>
      </w:r>
      <w:r>
        <w:rPr>
          <w:spacing w:val="-3"/>
          <w:sz w:val="24"/>
        </w:rPr>
        <w:t>A,  </w:t>
      </w:r>
      <w:r>
        <w:rPr>
          <w:sz w:val="24"/>
        </w:rPr>
        <w:t>J Mikalsen,  M Rode,  A Alfjorden,  E  </w:t>
      </w:r>
      <w:r>
        <w:rPr>
          <w:spacing w:val="23"/>
          <w:sz w:val="24"/>
        </w:rPr>
        <w:t> </w:t>
      </w:r>
      <w:r>
        <w:rPr>
          <w:sz w:val="24"/>
        </w:rPr>
        <w:t>Hoel,</w:t>
      </w:r>
      <w:r>
        <w:rPr>
          <w:spacing w:val="44"/>
          <w:sz w:val="24"/>
        </w:rPr>
        <w:t> </w:t>
      </w:r>
      <w:r>
        <w:rPr>
          <w:sz w:val="24"/>
        </w:rPr>
        <w:t>K</w:t>
        <w:tab/>
        <w:t>Straum-Lie,  R  Haldorsen,</w:t>
      </w:r>
      <w:r>
        <w:rPr>
          <w:spacing w:val="13"/>
          <w:sz w:val="24"/>
        </w:rPr>
        <w:t> </w:t>
      </w:r>
      <w:r>
        <w:rPr>
          <w:sz w:val="24"/>
        </w:rPr>
        <w:t>D</w:t>
      </w:r>
    </w:p>
    <w:p>
      <w:pPr>
        <w:pStyle w:val="ListParagraph"/>
        <w:numPr>
          <w:ilvl w:val="0"/>
          <w:numId w:val="29"/>
        </w:numPr>
        <w:tabs>
          <w:tab w:pos="1405" w:val="left" w:leader="none"/>
          <w:tab w:pos="1406" w:val="left" w:leader="none"/>
        </w:tabs>
        <w:spacing w:line="240" w:lineRule="auto" w:before="130" w:after="0"/>
        <w:ind w:left="1405" w:right="0" w:hanging="1287"/>
        <w:jc w:val="left"/>
        <w:rPr>
          <w:sz w:val="24"/>
        </w:rPr>
      </w:pPr>
      <w:r>
        <w:rPr>
          <w:sz w:val="24"/>
        </w:rPr>
        <w:t>Colquhoun.</w:t>
      </w:r>
      <w:r>
        <w:rPr>
          <w:spacing w:val="-4"/>
          <w:sz w:val="24"/>
        </w:rPr>
        <w:t> </w:t>
      </w:r>
      <w:r>
        <w:rPr>
          <w:sz w:val="24"/>
        </w:rPr>
        <w:t>2006.</w:t>
      </w:r>
      <w:r>
        <w:rPr>
          <w:spacing w:val="-4"/>
          <w:sz w:val="24"/>
        </w:rPr>
        <w:t> </w:t>
      </w:r>
      <w:r>
        <w:rPr>
          <w:sz w:val="24"/>
        </w:rPr>
        <w:t>A</w:t>
      </w:r>
      <w:r>
        <w:rPr>
          <w:spacing w:val="-7"/>
          <w:sz w:val="24"/>
        </w:rPr>
        <w:t> </w:t>
      </w:r>
      <w:r>
        <w:rPr>
          <w:sz w:val="24"/>
        </w:rPr>
        <w:t>novel</w:t>
      </w:r>
      <w:r>
        <w:rPr>
          <w:spacing w:val="-10"/>
          <w:sz w:val="24"/>
        </w:rPr>
        <w:t> </w:t>
      </w:r>
      <w:r>
        <w:rPr>
          <w:sz w:val="24"/>
        </w:rPr>
        <w:t>systemic</w:t>
      </w:r>
      <w:r>
        <w:rPr>
          <w:spacing w:val="-7"/>
          <w:sz w:val="24"/>
        </w:rPr>
        <w:t> </w:t>
      </w:r>
      <w:r>
        <w:rPr>
          <w:sz w:val="24"/>
        </w:rPr>
        <w:t>granulomatous</w:t>
      </w:r>
      <w:r>
        <w:rPr>
          <w:spacing w:val="-3"/>
          <w:sz w:val="24"/>
        </w:rPr>
        <w:t> </w:t>
      </w:r>
      <w:r>
        <w:rPr>
          <w:sz w:val="24"/>
        </w:rPr>
        <w:t>inflammatory</w:t>
      </w:r>
      <w:r>
        <w:rPr>
          <w:spacing w:val="-15"/>
          <w:sz w:val="24"/>
        </w:rPr>
        <w:t> </w:t>
      </w:r>
      <w:r>
        <w:rPr>
          <w:sz w:val="24"/>
        </w:rPr>
        <w:t>disease</w:t>
      </w:r>
      <w:r>
        <w:rPr>
          <w:spacing w:val="-2"/>
          <w:sz w:val="24"/>
        </w:rPr>
        <w:t> </w:t>
      </w:r>
      <w:r>
        <w:rPr>
          <w:spacing w:val="-3"/>
          <w:sz w:val="24"/>
        </w:rPr>
        <w:t>in</w:t>
      </w:r>
      <w:r>
        <w:rPr>
          <w:spacing w:val="-6"/>
          <w:sz w:val="24"/>
        </w:rPr>
        <w:t> </w:t>
      </w:r>
      <w:r>
        <w:rPr>
          <w:sz w:val="24"/>
        </w:rPr>
        <w:t>farmed</w:t>
      </w:r>
    </w:p>
    <w:p>
      <w:pPr>
        <w:pStyle w:val="ListParagraph"/>
        <w:numPr>
          <w:ilvl w:val="0"/>
          <w:numId w:val="29"/>
        </w:numPr>
        <w:tabs>
          <w:tab w:pos="1405" w:val="left" w:leader="none"/>
          <w:tab w:pos="1406" w:val="left" w:leader="none"/>
        </w:tabs>
        <w:spacing w:line="240" w:lineRule="auto" w:before="134" w:after="0"/>
        <w:ind w:left="1405" w:right="0" w:hanging="1287"/>
        <w:jc w:val="left"/>
        <w:rPr>
          <w:sz w:val="24"/>
        </w:rPr>
      </w:pPr>
      <w:r>
        <w:rPr>
          <w:sz w:val="24"/>
        </w:rPr>
        <w:t>Atlantic cod, Gadus morhua L., associated with a bacterium belonging </w:t>
      </w:r>
      <w:r>
        <w:rPr>
          <w:spacing w:val="2"/>
          <w:sz w:val="24"/>
        </w:rPr>
        <w:t>to </w:t>
      </w:r>
      <w:r>
        <w:rPr>
          <w:sz w:val="24"/>
        </w:rPr>
        <w:t>the</w:t>
      </w:r>
      <w:r>
        <w:rPr>
          <w:spacing w:val="-8"/>
          <w:sz w:val="24"/>
        </w:rPr>
        <w:t> </w:t>
      </w:r>
      <w:r>
        <w:rPr>
          <w:sz w:val="24"/>
        </w:rPr>
        <w:t>genus</w:t>
      </w:r>
    </w:p>
    <w:p>
      <w:pPr>
        <w:pStyle w:val="ListParagraph"/>
        <w:numPr>
          <w:ilvl w:val="0"/>
          <w:numId w:val="29"/>
        </w:numPr>
        <w:tabs>
          <w:tab w:pos="1405" w:val="left" w:leader="none"/>
          <w:tab w:pos="1406" w:val="left" w:leader="none"/>
        </w:tabs>
        <w:spacing w:line="240" w:lineRule="auto" w:before="125" w:after="0"/>
        <w:ind w:left="1405" w:right="0" w:hanging="1287"/>
        <w:jc w:val="left"/>
        <w:rPr>
          <w:sz w:val="24"/>
        </w:rPr>
      </w:pPr>
      <w:r>
        <w:rPr>
          <w:sz w:val="24"/>
        </w:rPr>
        <w:t>Francisella. J Fish Di</w:t>
      </w:r>
      <w:r>
        <w:rPr>
          <w:i/>
          <w:sz w:val="24"/>
        </w:rPr>
        <w:t>, </w:t>
      </w:r>
      <w:r>
        <w:rPr>
          <w:sz w:val="24"/>
        </w:rPr>
        <w:t>29,</w:t>
      </w:r>
      <w:r>
        <w:rPr>
          <w:spacing w:val="-7"/>
          <w:sz w:val="24"/>
        </w:rPr>
        <w:t> </w:t>
      </w:r>
      <w:r>
        <w:rPr>
          <w:sz w:val="24"/>
        </w:rPr>
        <w:t>307-311.</w:t>
      </w:r>
    </w:p>
    <w:p>
      <w:pPr>
        <w:pStyle w:val="BodyText"/>
        <w:spacing w:before="2"/>
        <w:rPr>
          <w:rFonts w:ascii="Times New Roman"/>
          <w:sz w:val="23"/>
        </w:rPr>
      </w:pPr>
    </w:p>
    <w:p>
      <w:pPr>
        <w:pStyle w:val="ListParagraph"/>
        <w:numPr>
          <w:ilvl w:val="0"/>
          <w:numId w:val="29"/>
        </w:numPr>
        <w:tabs>
          <w:tab w:pos="699" w:val="left" w:leader="none"/>
          <w:tab w:pos="700" w:val="left" w:leader="none"/>
        </w:tabs>
        <w:spacing w:line="240" w:lineRule="auto" w:before="70" w:after="0"/>
        <w:ind w:left="699" w:right="0" w:hanging="581"/>
        <w:jc w:val="left"/>
        <w:rPr>
          <w:sz w:val="24"/>
        </w:rPr>
      </w:pPr>
      <w:r>
        <w:rPr>
          <w:sz w:val="24"/>
        </w:rPr>
        <w:t>Ostland V, J Stannard, J Creek, R Hedrick, H Ferguson, J Carlberg, M Westerman.   2006.</w:t>
      </w:r>
    </w:p>
    <w:p>
      <w:pPr>
        <w:pStyle w:val="ListParagraph"/>
        <w:numPr>
          <w:ilvl w:val="0"/>
          <w:numId w:val="29"/>
        </w:numPr>
        <w:tabs>
          <w:tab w:pos="1405" w:val="left" w:leader="none"/>
          <w:tab w:pos="1406" w:val="left" w:leader="none"/>
        </w:tabs>
        <w:spacing w:line="240" w:lineRule="auto" w:before="129" w:after="0"/>
        <w:ind w:left="1405" w:right="0" w:hanging="1287"/>
        <w:jc w:val="left"/>
        <w:rPr>
          <w:sz w:val="24"/>
        </w:rPr>
      </w:pPr>
      <w:r>
        <w:rPr>
          <w:sz w:val="24"/>
        </w:rPr>
        <w:t>Aquatic</w:t>
      </w:r>
      <w:r>
        <w:rPr>
          <w:spacing w:val="-5"/>
          <w:sz w:val="24"/>
        </w:rPr>
        <w:t> </w:t>
      </w:r>
      <w:r>
        <w:rPr>
          <w:sz w:val="24"/>
        </w:rPr>
        <w:t>Francisella-like</w:t>
      </w:r>
      <w:r>
        <w:rPr>
          <w:spacing w:val="-5"/>
          <w:sz w:val="24"/>
        </w:rPr>
        <w:t> </w:t>
      </w:r>
      <w:r>
        <w:rPr>
          <w:sz w:val="24"/>
        </w:rPr>
        <w:t>bacterium</w:t>
      </w:r>
      <w:r>
        <w:rPr>
          <w:spacing w:val="-12"/>
          <w:sz w:val="24"/>
        </w:rPr>
        <w:t> </w:t>
      </w:r>
      <w:r>
        <w:rPr>
          <w:sz w:val="24"/>
        </w:rPr>
        <w:t>associated</w:t>
      </w:r>
      <w:r>
        <w:rPr>
          <w:spacing w:val="-4"/>
          <w:sz w:val="24"/>
        </w:rPr>
        <w:t> </w:t>
      </w:r>
      <w:r>
        <w:rPr>
          <w:sz w:val="24"/>
        </w:rPr>
        <w:t>with</w:t>
      </w:r>
      <w:r>
        <w:rPr>
          <w:spacing w:val="-4"/>
          <w:sz w:val="24"/>
        </w:rPr>
        <w:t> </w:t>
      </w:r>
      <w:r>
        <w:rPr>
          <w:sz w:val="24"/>
        </w:rPr>
        <w:t>mortality</w:t>
      </w:r>
      <w:r>
        <w:rPr>
          <w:spacing w:val="-13"/>
          <w:sz w:val="24"/>
        </w:rPr>
        <w:t> </w:t>
      </w:r>
      <w:r>
        <w:rPr>
          <w:spacing w:val="4"/>
          <w:sz w:val="24"/>
        </w:rPr>
        <w:t>of</w:t>
      </w:r>
      <w:r>
        <w:rPr>
          <w:spacing w:val="-6"/>
          <w:sz w:val="24"/>
        </w:rPr>
        <w:t> </w:t>
      </w:r>
      <w:r>
        <w:rPr>
          <w:sz w:val="24"/>
        </w:rPr>
        <w:t>intensively</w:t>
      </w:r>
      <w:r>
        <w:rPr>
          <w:spacing w:val="-8"/>
          <w:sz w:val="24"/>
        </w:rPr>
        <w:t> </w:t>
      </w:r>
      <w:r>
        <w:rPr>
          <w:sz w:val="24"/>
        </w:rPr>
        <w:t>cultured</w:t>
      </w:r>
    </w:p>
    <w:p>
      <w:pPr>
        <w:pStyle w:val="ListParagraph"/>
        <w:numPr>
          <w:ilvl w:val="0"/>
          <w:numId w:val="29"/>
        </w:numPr>
        <w:tabs>
          <w:tab w:pos="1405" w:val="left" w:leader="none"/>
          <w:tab w:pos="1406" w:val="left" w:leader="none"/>
        </w:tabs>
        <w:spacing w:line="240" w:lineRule="auto" w:before="125" w:after="0"/>
        <w:ind w:left="1405" w:right="0" w:hanging="1287"/>
        <w:jc w:val="left"/>
        <w:rPr>
          <w:sz w:val="24"/>
        </w:rPr>
      </w:pPr>
      <w:r>
        <w:rPr>
          <w:sz w:val="24"/>
        </w:rPr>
        <w:t>hybrid striped bass Morone chrysops  M. saxatilis. Dis Aquat Org 72,</w:t>
      </w:r>
      <w:r>
        <w:rPr>
          <w:spacing w:val="-19"/>
          <w:sz w:val="24"/>
        </w:rPr>
        <w:t> </w:t>
      </w:r>
      <w:r>
        <w:rPr>
          <w:sz w:val="24"/>
        </w:rPr>
        <w:t>135–145.</w:t>
      </w:r>
    </w:p>
    <w:p>
      <w:pPr>
        <w:spacing w:after="0" w:line="240" w:lineRule="auto"/>
        <w:jc w:val="left"/>
        <w:rPr>
          <w:sz w:val="24"/>
        </w:rPr>
        <w:sectPr>
          <w:pgSz w:w="12240" w:h="15840"/>
          <w:pgMar w:header="752" w:footer="998" w:top="1000" w:bottom="1200" w:left="1000" w:right="1560"/>
        </w:sectPr>
      </w:pPr>
    </w:p>
    <w:p>
      <w:pPr>
        <w:pStyle w:val="BodyText"/>
        <w:spacing w:before="8"/>
        <w:rPr>
          <w:rFonts w:ascii="Times New Roman"/>
          <w:sz w:val="28"/>
        </w:rPr>
      </w:pPr>
    </w:p>
    <w:p>
      <w:pPr>
        <w:pStyle w:val="ListParagraph"/>
        <w:numPr>
          <w:ilvl w:val="1"/>
          <w:numId w:val="29"/>
        </w:numPr>
        <w:tabs>
          <w:tab w:pos="699" w:val="left" w:leader="none"/>
          <w:tab w:pos="700" w:val="left" w:leader="none"/>
        </w:tabs>
        <w:spacing w:line="240" w:lineRule="auto" w:before="70" w:after="0"/>
        <w:ind w:left="699" w:right="0" w:hanging="470"/>
        <w:jc w:val="left"/>
        <w:rPr>
          <w:sz w:val="24"/>
        </w:rPr>
      </w:pPr>
      <w:r>
        <w:rPr>
          <w:sz w:val="24"/>
        </w:rPr>
        <w:t>Ottem </w:t>
      </w:r>
      <w:r>
        <w:rPr>
          <w:spacing w:val="-3"/>
          <w:sz w:val="24"/>
        </w:rPr>
        <w:t>K,  </w:t>
      </w:r>
      <w:r>
        <w:rPr>
          <w:sz w:val="24"/>
        </w:rPr>
        <w:t>A Nylund, E Karlsbakk,  A Friis-Moller, B Krossoy, D Knappskog. 2007.   </w:t>
      </w:r>
      <w:r>
        <w:rPr>
          <w:spacing w:val="16"/>
          <w:sz w:val="24"/>
        </w:rPr>
        <w:t> </w:t>
      </w:r>
      <w:r>
        <w:rPr>
          <w:sz w:val="24"/>
        </w:rPr>
        <w:t>New</w:t>
      </w:r>
    </w:p>
    <w:p>
      <w:pPr>
        <w:pStyle w:val="ListParagraph"/>
        <w:numPr>
          <w:ilvl w:val="1"/>
          <w:numId w:val="29"/>
        </w:numPr>
        <w:tabs>
          <w:tab w:pos="1405" w:val="left" w:leader="none"/>
          <w:tab w:pos="1406" w:val="left" w:leader="none"/>
        </w:tabs>
        <w:spacing w:line="240" w:lineRule="auto" w:before="134" w:after="0"/>
        <w:ind w:left="1405" w:right="0" w:hanging="1176"/>
        <w:jc w:val="left"/>
        <w:rPr>
          <w:sz w:val="24"/>
        </w:rPr>
      </w:pPr>
      <w:r>
        <w:rPr>
          <w:sz w:val="24"/>
        </w:rPr>
        <w:t>species</w:t>
      </w:r>
      <w:r>
        <w:rPr>
          <w:spacing w:val="-6"/>
          <w:sz w:val="24"/>
        </w:rPr>
        <w:t> </w:t>
      </w:r>
      <w:r>
        <w:rPr>
          <w:spacing w:val="-3"/>
          <w:sz w:val="24"/>
        </w:rPr>
        <w:t>in</w:t>
      </w:r>
      <w:r>
        <w:rPr>
          <w:spacing w:val="-13"/>
          <w:sz w:val="24"/>
        </w:rPr>
        <w:t> </w:t>
      </w:r>
      <w:r>
        <w:rPr>
          <w:sz w:val="24"/>
        </w:rPr>
        <w:t>the</w:t>
      </w:r>
      <w:r>
        <w:rPr>
          <w:spacing w:val="-10"/>
          <w:sz w:val="24"/>
        </w:rPr>
        <w:t> </w:t>
      </w:r>
      <w:r>
        <w:rPr>
          <w:sz w:val="24"/>
        </w:rPr>
        <w:t>genus</w:t>
      </w:r>
      <w:r>
        <w:rPr>
          <w:spacing w:val="-6"/>
          <w:sz w:val="24"/>
        </w:rPr>
        <w:t> </w:t>
      </w:r>
      <w:r>
        <w:rPr>
          <w:sz w:val="24"/>
        </w:rPr>
        <w:t>Francisella</w:t>
      </w:r>
      <w:r>
        <w:rPr>
          <w:spacing w:val="-10"/>
          <w:sz w:val="24"/>
        </w:rPr>
        <w:t> </w:t>
      </w:r>
      <w:r>
        <w:rPr>
          <w:sz w:val="24"/>
        </w:rPr>
        <w:t>(Gammaproteobacteria;</w:t>
      </w:r>
      <w:r>
        <w:rPr>
          <w:spacing w:val="-12"/>
          <w:sz w:val="24"/>
        </w:rPr>
        <w:t> </w:t>
      </w:r>
      <w:r>
        <w:rPr>
          <w:sz w:val="24"/>
        </w:rPr>
        <w:t>Francisellaceae);</w:t>
      </w:r>
      <w:r>
        <w:rPr>
          <w:spacing w:val="-12"/>
          <w:sz w:val="24"/>
        </w:rPr>
        <w:t> </w:t>
      </w:r>
      <w:r>
        <w:rPr>
          <w:sz w:val="24"/>
        </w:rPr>
        <w:t>Francisella</w:t>
      </w:r>
    </w:p>
    <w:p>
      <w:pPr>
        <w:pStyle w:val="ListParagraph"/>
        <w:numPr>
          <w:ilvl w:val="1"/>
          <w:numId w:val="29"/>
        </w:numPr>
        <w:tabs>
          <w:tab w:pos="1405" w:val="left" w:leader="none"/>
          <w:tab w:pos="1406" w:val="left" w:leader="none"/>
        </w:tabs>
        <w:spacing w:line="240" w:lineRule="auto" w:before="125" w:after="0"/>
        <w:ind w:left="1405" w:right="0" w:hanging="1176"/>
        <w:jc w:val="left"/>
        <w:rPr>
          <w:sz w:val="24"/>
        </w:rPr>
      </w:pPr>
      <w:r>
        <w:rPr>
          <w:sz w:val="24"/>
        </w:rPr>
        <w:t>piscicida sp. nov. isolated from cod (Gadus morhua). Arch Microbiol</w:t>
      </w:r>
      <w:r>
        <w:rPr>
          <w:spacing w:val="-25"/>
          <w:sz w:val="24"/>
        </w:rPr>
        <w:t> </w:t>
      </w:r>
      <w:r>
        <w:rPr>
          <w:sz w:val="24"/>
        </w:rPr>
        <w:t>188,547–550.</w:t>
      </w:r>
    </w:p>
    <w:p>
      <w:pPr>
        <w:pStyle w:val="BodyText"/>
        <w:spacing w:before="3"/>
        <w:rPr>
          <w:rFonts w:ascii="Times New Roman"/>
          <w:sz w:val="23"/>
        </w:rPr>
      </w:pPr>
    </w:p>
    <w:p>
      <w:pPr>
        <w:pStyle w:val="ListParagraph"/>
        <w:numPr>
          <w:ilvl w:val="1"/>
          <w:numId w:val="29"/>
        </w:numPr>
        <w:tabs>
          <w:tab w:pos="699" w:val="left" w:leader="none"/>
          <w:tab w:pos="700" w:val="left" w:leader="none"/>
        </w:tabs>
        <w:spacing w:line="240" w:lineRule="auto" w:before="69" w:after="0"/>
        <w:ind w:left="699" w:right="0" w:hanging="470"/>
        <w:jc w:val="left"/>
        <w:rPr>
          <w:sz w:val="24"/>
        </w:rPr>
      </w:pPr>
      <w:r>
        <w:rPr>
          <w:sz w:val="24"/>
        </w:rPr>
        <w:t>Ottem</w:t>
      </w:r>
      <w:r>
        <w:rPr>
          <w:spacing w:val="-20"/>
          <w:sz w:val="24"/>
        </w:rPr>
        <w:t> </w:t>
      </w:r>
      <w:r>
        <w:rPr>
          <w:spacing w:val="-3"/>
          <w:sz w:val="24"/>
        </w:rPr>
        <w:t>K,</w:t>
      </w:r>
      <w:r>
        <w:rPr>
          <w:spacing w:val="-13"/>
          <w:sz w:val="24"/>
        </w:rPr>
        <w:t> </w:t>
      </w:r>
      <w:r>
        <w:rPr>
          <w:sz w:val="24"/>
        </w:rPr>
        <w:t>A</w:t>
      </w:r>
      <w:r>
        <w:rPr>
          <w:spacing w:val="-21"/>
          <w:sz w:val="24"/>
        </w:rPr>
        <w:t> </w:t>
      </w:r>
      <w:r>
        <w:rPr>
          <w:sz w:val="24"/>
        </w:rPr>
        <w:t>Nylund,</w:t>
      </w:r>
      <w:r>
        <w:rPr>
          <w:spacing w:val="-13"/>
          <w:sz w:val="24"/>
        </w:rPr>
        <w:t> </w:t>
      </w:r>
      <w:r>
        <w:rPr>
          <w:sz w:val="24"/>
        </w:rPr>
        <w:t>E</w:t>
      </w:r>
      <w:r>
        <w:rPr>
          <w:spacing w:val="-14"/>
          <w:sz w:val="24"/>
        </w:rPr>
        <w:t> </w:t>
      </w:r>
      <w:r>
        <w:rPr>
          <w:sz w:val="24"/>
        </w:rPr>
        <w:t>Karlsbakk,</w:t>
      </w:r>
      <w:r>
        <w:rPr>
          <w:spacing w:val="-10"/>
          <w:sz w:val="24"/>
        </w:rPr>
        <w:t> </w:t>
      </w:r>
      <w:r>
        <w:rPr>
          <w:sz w:val="24"/>
        </w:rPr>
        <w:t>A</w:t>
      </w:r>
      <w:r>
        <w:rPr>
          <w:spacing w:val="-21"/>
          <w:sz w:val="24"/>
        </w:rPr>
        <w:t> </w:t>
      </w:r>
      <w:r>
        <w:rPr>
          <w:sz w:val="24"/>
        </w:rPr>
        <w:t>Friis-Moller,</w:t>
      </w:r>
      <w:r>
        <w:rPr>
          <w:spacing w:val="-13"/>
          <w:sz w:val="24"/>
        </w:rPr>
        <w:t> </w:t>
      </w:r>
      <w:r>
        <w:rPr>
          <w:sz w:val="24"/>
        </w:rPr>
        <w:t>T</w:t>
      </w:r>
      <w:r>
        <w:rPr>
          <w:spacing w:val="-14"/>
          <w:sz w:val="24"/>
        </w:rPr>
        <w:t> </w:t>
      </w:r>
      <w:r>
        <w:rPr>
          <w:sz w:val="24"/>
        </w:rPr>
        <w:t>Kamaishi.</w:t>
      </w:r>
      <w:r>
        <w:rPr>
          <w:spacing w:val="-13"/>
          <w:sz w:val="24"/>
        </w:rPr>
        <w:t> </w:t>
      </w:r>
      <w:r>
        <w:rPr>
          <w:sz w:val="24"/>
        </w:rPr>
        <w:t>2009.</w:t>
      </w:r>
      <w:r>
        <w:rPr>
          <w:spacing w:val="-13"/>
          <w:sz w:val="24"/>
        </w:rPr>
        <w:t> </w:t>
      </w:r>
      <w:r>
        <w:rPr>
          <w:sz w:val="24"/>
        </w:rPr>
        <w:t>Elevation</w:t>
      </w:r>
      <w:r>
        <w:rPr>
          <w:spacing w:val="-20"/>
          <w:sz w:val="24"/>
        </w:rPr>
        <w:t> </w:t>
      </w:r>
      <w:r>
        <w:rPr>
          <w:sz w:val="24"/>
        </w:rPr>
        <w:t>of</w:t>
      </w:r>
      <w:r>
        <w:rPr>
          <w:spacing w:val="-19"/>
          <w:sz w:val="24"/>
        </w:rPr>
        <w:t> </w:t>
      </w:r>
      <w:r>
        <w:rPr>
          <w:sz w:val="24"/>
        </w:rPr>
        <w:t>Francisella</w:t>
      </w:r>
    </w:p>
    <w:p>
      <w:pPr>
        <w:pStyle w:val="ListParagraph"/>
        <w:numPr>
          <w:ilvl w:val="1"/>
          <w:numId w:val="29"/>
        </w:numPr>
        <w:tabs>
          <w:tab w:pos="1405" w:val="left" w:leader="none"/>
          <w:tab w:pos="1406" w:val="left" w:leader="none"/>
        </w:tabs>
        <w:spacing w:line="240" w:lineRule="auto" w:before="129" w:after="0"/>
        <w:ind w:left="1405" w:right="0" w:hanging="1176"/>
        <w:jc w:val="left"/>
        <w:rPr>
          <w:sz w:val="24"/>
        </w:rPr>
      </w:pPr>
      <w:r>
        <w:rPr>
          <w:sz w:val="24"/>
        </w:rPr>
        <w:t>philomiragia   subsp.   Noatunensis   </w:t>
      </w:r>
      <w:r>
        <w:rPr>
          <w:spacing w:val="2"/>
          <w:sz w:val="24"/>
        </w:rPr>
        <w:t>to   </w:t>
      </w:r>
      <w:r>
        <w:rPr>
          <w:sz w:val="24"/>
        </w:rPr>
        <w:t>Francisella   noatunensis   comb.   nov.</w:t>
      </w:r>
      <w:r>
        <w:rPr>
          <w:spacing w:val="14"/>
          <w:sz w:val="24"/>
        </w:rPr>
        <w:t> </w:t>
      </w:r>
      <w:r>
        <w:rPr>
          <w:sz w:val="24"/>
        </w:rPr>
        <w:t>and</w:t>
      </w:r>
    </w:p>
    <w:p>
      <w:pPr>
        <w:pStyle w:val="ListParagraph"/>
        <w:numPr>
          <w:ilvl w:val="1"/>
          <w:numId w:val="29"/>
        </w:numPr>
        <w:tabs>
          <w:tab w:pos="1405" w:val="left" w:leader="none"/>
          <w:tab w:pos="1406" w:val="left" w:leader="none"/>
        </w:tabs>
        <w:spacing w:line="240" w:lineRule="auto" w:before="129" w:after="0"/>
        <w:ind w:left="1405" w:right="0" w:hanging="1176"/>
        <w:jc w:val="left"/>
        <w:rPr>
          <w:sz w:val="24"/>
        </w:rPr>
      </w:pPr>
      <w:r>
        <w:rPr>
          <w:sz w:val="24"/>
        </w:rPr>
        <w:t>characterization  </w:t>
      </w:r>
      <w:r>
        <w:rPr>
          <w:spacing w:val="4"/>
          <w:sz w:val="24"/>
        </w:rPr>
        <w:t>of  </w:t>
      </w:r>
      <w:r>
        <w:rPr>
          <w:sz w:val="24"/>
        </w:rPr>
        <w:t>Francisella   noatunensis   subsp.   orientalis   subsp.   nov.,</w:t>
      </w:r>
      <w:r>
        <w:rPr>
          <w:spacing w:val="16"/>
          <w:sz w:val="24"/>
        </w:rPr>
        <w:t> </w:t>
      </w:r>
      <w:r>
        <w:rPr>
          <w:sz w:val="24"/>
        </w:rPr>
        <w:t>two</w:t>
      </w:r>
    </w:p>
    <w:p>
      <w:pPr>
        <w:pStyle w:val="ListParagraph"/>
        <w:numPr>
          <w:ilvl w:val="1"/>
          <w:numId w:val="29"/>
        </w:numPr>
        <w:tabs>
          <w:tab w:pos="1405" w:val="left" w:leader="none"/>
          <w:tab w:pos="1406" w:val="left" w:leader="none"/>
        </w:tabs>
        <w:spacing w:line="240" w:lineRule="auto" w:before="130" w:after="0"/>
        <w:ind w:left="1405" w:right="0" w:hanging="1176"/>
        <w:jc w:val="left"/>
        <w:rPr>
          <w:sz w:val="24"/>
        </w:rPr>
      </w:pPr>
      <w:r>
        <w:rPr>
          <w:sz w:val="24"/>
        </w:rPr>
        <w:t>important fish pathogens. J Appl Microbiol</w:t>
      </w:r>
      <w:r>
        <w:rPr>
          <w:i/>
          <w:sz w:val="24"/>
        </w:rPr>
        <w:t>. </w:t>
      </w:r>
      <w:r>
        <w:rPr>
          <w:sz w:val="24"/>
        </w:rPr>
        <w:t>106,</w:t>
      </w:r>
      <w:r>
        <w:rPr>
          <w:spacing w:val="-17"/>
          <w:sz w:val="24"/>
        </w:rPr>
        <w:t> </w:t>
      </w:r>
      <w:r>
        <w:rPr>
          <w:sz w:val="24"/>
        </w:rPr>
        <w:t>1231–1243.</w:t>
      </w:r>
    </w:p>
    <w:p>
      <w:pPr>
        <w:pStyle w:val="BodyText"/>
        <w:spacing w:before="9"/>
        <w:rPr>
          <w:rFonts w:ascii="Times New Roman"/>
          <w:sz w:val="22"/>
        </w:rPr>
      </w:pPr>
    </w:p>
    <w:p>
      <w:pPr>
        <w:pStyle w:val="ListParagraph"/>
        <w:numPr>
          <w:ilvl w:val="1"/>
          <w:numId w:val="29"/>
        </w:numPr>
        <w:tabs>
          <w:tab w:pos="699" w:val="left" w:leader="none"/>
          <w:tab w:pos="700" w:val="left" w:leader="none"/>
        </w:tabs>
        <w:spacing w:line="240" w:lineRule="auto" w:before="69" w:after="0"/>
        <w:ind w:left="699" w:right="0" w:hanging="470"/>
        <w:jc w:val="left"/>
        <w:rPr>
          <w:sz w:val="24"/>
        </w:rPr>
      </w:pPr>
      <w:r>
        <w:rPr>
          <w:sz w:val="24"/>
        </w:rPr>
        <w:t>Schrallhammer</w:t>
      </w:r>
      <w:r>
        <w:rPr>
          <w:spacing w:val="-5"/>
          <w:sz w:val="24"/>
        </w:rPr>
        <w:t> </w:t>
      </w:r>
      <w:r>
        <w:rPr>
          <w:sz w:val="24"/>
        </w:rPr>
        <w:t>M.,</w:t>
      </w:r>
      <w:r>
        <w:rPr>
          <w:spacing w:val="-5"/>
          <w:sz w:val="24"/>
        </w:rPr>
        <w:t> </w:t>
      </w:r>
      <w:r>
        <w:rPr>
          <w:sz w:val="24"/>
        </w:rPr>
        <w:t>M</w:t>
      </w:r>
      <w:r>
        <w:rPr>
          <w:spacing w:val="-9"/>
          <w:sz w:val="24"/>
        </w:rPr>
        <w:t> </w:t>
      </w:r>
      <w:r>
        <w:rPr>
          <w:sz w:val="24"/>
        </w:rPr>
        <w:t>Schweikert,</w:t>
      </w:r>
      <w:r>
        <w:rPr>
          <w:spacing w:val="-5"/>
          <w:sz w:val="24"/>
        </w:rPr>
        <w:t> </w:t>
      </w:r>
      <w:r>
        <w:rPr>
          <w:sz w:val="24"/>
        </w:rPr>
        <w:t>A</w:t>
      </w:r>
      <w:r>
        <w:rPr>
          <w:spacing w:val="-11"/>
          <w:sz w:val="24"/>
        </w:rPr>
        <w:t> </w:t>
      </w:r>
      <w:r>
        <w:rPr>
          <w:sz w:val="24"/>
        </w:rPr>
        <w:t>Vallesi, F</w:t>
      </w:r>
      <w:r>
        <w:rPr>
          <w:spacing w:val="-10"/>
          <w:sz w:val="24"/>
        </w:rPr>
        <w:t> </w:t>
      </w:r>
      <w:r>
        <w:rPr>
          <w:sz w:val="24"/>
        </w:rPr>
        <w:t>Verni,</w:t>
      </w:r>
      <w:r>
        <w:rPr>
          <w:spacing w:val="-5"/>
          <w:sz w:val="24"/>
        </w:rPr>
        <w:t> </w:t>
      </w:r>
      <w:r>
        <w:rPr>
          <w:sz w:val="24"/>
        </w:rPr>
        <w:t>G</w:t>
      </w:r>
      <w:r>
        <w:rPr>
          <w:spacing w:val="-7"/>
          <w:sz w:val="24"/>
        </w:rPr>
        <w:t> </w:t>
      </w:r>
      <w:r>
        <w:rPr>
          <w:sz w:val="24"/>
        </w:rPr>
        <w:t>Petroni.</w:t>
      </w:r>
      <w:r>
        <w:rPr>
          <w:spacing w:val="-5"/>
          <w:sz w:val="24"/>
        </w:rPr>
        <w:t> </w:t>
      </w:r>
      <w:r>
        <w:rPr>
          <w:sz w:val="24"/>
        </w:rPr>
        <w:t>2011.</w:t>
      </w:r>
      <w:r>
        <w:rPr>
          <w:spacing w:val="-5"/>
          <w:sz w:val="24"/>
        </w:rPr>
        <w:t> </w:t>
      </w:r>
      <w:r>
        <w:rPr>
          <w:sz w:val="24"/>
        </w:rPr>
        <w:t>Detection</w:t>
      </w:r>
      <w:r>
        <w:rPr>
          <w:spacing w:val="-11"/>
          <w:sz w:val="24"/>
        </w:rPr>
        <w:t> </w:t>
      </w:r>
      <w:r>
        <w:rPr>
          <w:spacing w:val="4"/>
          <w:sz w:val="24"/>
        </w:rPr>
        <w:t>of</w:t>
      </w:r>
      <w:r>
        <w:rPr>
          <w:spacing w:val="-14"/>
          <w:sz w:val="24"/>
        </w:rPr>
        <w:t> </w:t>
      </w:r>
      <w:r>
        <w:rPr>
          <w:sz w:val="24"/>
        </w:rPr>
        <w:t>a</w:t>
      </w:r>
      <w:r>
        <w:rPr>
          <w:spacing w:val="-8"/>
          <w:sz w:val="24"/>
        </w:rPr>
        <w:t> </w:t>
      </w:r>
      <w:r>
        <w:rPr>
          <w:sz w:val="24"/>
        </w:rPr>
        <w:t>novel</w:t>
      </w:r>
    </w:p>
    <w:p>
      <w:pPr>
        <w:pStyle w:val="ListParagraph"/>
        <w:numPr>
          <w:ilvl w:val="1"/>
          <w:numId w:val="29"/>
        </w:numPr>
        <w:tabs>
          <w:tab w:pos="1405" w:val="left" w:leader="none"/>
          <w:tab w:pos="1406" w:val="left" w:leader="none"/>
        </w:tabs>
        <w:spacing w:line="240" w:lineRule="auto" w:before="134" w:after="0"/>
        <w:ind w:left="1405" w:right="0" w:hanging="1176"/>
        <w:jc w:val="left"/>
        <w:rPr>
          <w:sz w:val="24"/>
        </w:rPr>
      </w:pPr>
      <w:r>
        <w:rPr>
          <w:sz w:val="24"/>
        </w:rPr>
        <w:t>subspecies</w:t>
      </w:r>
      <w:r>
        <w:rPr>
          <w:spacing w:val="-15"/>
          <w:sz w:val="24"/>
        </w:rPr>
        <w:t> </w:t>
      </w:r>
      <w:r>
        <w:rPr>
          <w:sz w:val="24"/>
        </w:rPr>
        <w:t>of</w:t>
      </w:r>
      <w:r>
        <w:rPr>
          <w:spacing w:val="-20"/>
          <w:sz w:val="24"/>
        </w:rPr>
        <w:t> </w:t>
      </w:r>
      <w:r>
        <w:rPr>
          <w:sz w:val="24"/>
        </w:rPr>
        <w:t>Francisella</w:t>
      </w:r>
      <w:r>
        <w:rPr>
          <w:spacing w:val="-10"/>
          <w:sz w:val="24"/>
        </w:rPr>
        <w:t> </w:t>
      </w:r>
      <w:r>
        <w:rPr>
          <w:sz w:val="24"/>
        </w:rPr>
        <w:t>noatunensis</w:t>
      </w:r>
      <w:r>
        <w:rPr>
          <w:spacing w:val="-15"/>
          <w:sz w:val="24"/>
        </w:rPr>
        <w:t> </w:t>
      </w:r>
      <w:r>
        <w:rPr>
          <w:sz w:val="24"/>
        </w:rPr>
        <w:t>as</w:t>
      </w:r>
      <w:r>
        <w:rPr>
          <w:spacing w:val="-15"/>
          <w:sz w:val="24"/>
        </w:rPr>
        <w:t> </w:t>
      </w:r>
      <w:r>
        <w:rPr>
          <w:sz w:val="24"/>
        </w:rPr>
        <w:t>endosymbiont</w:t>
      </w:r>
      <w:r>
        <w:rPr>
          <w:spacing w:val="-7"/>
          <w:sz w:val="24"/>
        </w:rPr>
        <w:t> </w:t>
      </w:r>
      <w:r>
        <w:rPr>
          <w:sz w:val="24"/>
        </w:rPr>
        <w:t>of</w:t>
      </w:r>
      <w:r>
        <w:rPr>
          <w:spacing w:val="-20"/>
          <w:sz w:val="24"/>
        </w:rPr>
        <w:t> </w:t>
      </w:r>
      <w:r>
        <w:rPr>
          <w:sz w:val="24"/>
        </w:rPr>
        <w:t>the</w:t>
      </w:r>
      <w:r>
        <w:rPr>
          <w:spacing w:val="-14"/>
          <w:sz w:val="24"/>
        </w:rPr>
        <w:t> </w:t>
      </w:r>
      <w:r>
        <w:rPr>
          <w:sz w:val="24"/>
        </w:rPr>
        <w:t>ciliate</w:t>
      </w:r>
      <w:r>
        <w:rPr>
          <w:spacing w:val="-14"/>
          <w:sz w:val="24"/>
        </w:rPr>
        <w:t> </w:t>
      </w:r>
      <w:r>
        <w:rPr>
          <w:sz w:val="24"/>
        </w:rPr>
        <w:t>Euplotes</w:t>
      </w:r>
      <w:r>
        <w:rPr>
          <w:spacing w:val="-15"/>
          <w:sz w:val="24"/>
        </w:rPr>
        <w:t> </w:t>
      </w:r>
      <w:r>
        <w:rPr>
          <w:sz w:val="24"/>
        </w:rPr>
        <w:t>raikovi.</w:t>
      </w:r>
    </w:p>
    <w:p>
      <w:pPr>
        <w:pStyle w:val="BodyText"/>
        <w:tabs>
          <w:tab w:pos="1405" w:val="left" w:leader="none"/>
        </w:tabs>
        <w:spacing w:before="125"/>
        <w:ind w:left="118"/>
        <w:rPr>
          <w:rFonts w:ascii="Times New Roman"/>
        </w:rPr>
      </w:pPr>
      <w:r>
        <w:rPr>
          <w:rFonts w:ascii="Calibri"/>
          <w:sz w:val="22"/>
        </w:rPr>
        <w:t>10</w:t>
        <w:tab/>
      </w:r>
      <w:r>
        <w:rPr>
          <w:rFonts w:ascii="Times New Roman"/>
        </w:rPr>
        <w:t>Microb Ecol 61,</w:t>
      </w:r>
      <w:r>
        <w:rPr>
          <w:rFonts w:ascii="Times New Roman"/>
          <w:spacing w:val="-3"/>
        </w:rPr>
        <w:t> </w:t>
      </w:r>
      <w:r>
        <w:rPr>
          <w:rFonts w:ascii="Times New Roman"/>
        </w:rPr>
        <w:t>455-464.</w:t>
      </w:r>
    </w:p>
    <w:p>
      <w:pPr>
        <w:pStyle w:val="BodyText"/>
        <w:spacing w:before="3"/>
        <w:rPr>
          <w:rFonts w:ascii="Times New Roman"/>
          <w:sz w:val="23"/>
        </w:rPr>
      </w:pPr>
    </w:p>
    <w:p>
      <w:pPr>
        <w:pStyle w:val="ListParagraph"/>
        <w:numPr>
          <w:ilvl w:val="0"/>
          <w:numId w:val="30"/>
        </w:numPr>
        <w:tabs>
          <w:tab w:pos="699" w:val="left" w:leader="none"/>
          <w:tab w:pos="700" w:val="left" w:leader="none"/>
        </w:tabs>
        <w:spacing w:line="240" w:lineRule="auto" w:before="69" w:after="0"/>
        <w:ind w:left="699" w:right="0" w:hanging="581"/>
        <w:jc w:val="left"/>
        <w:rPr>
          <w:sz w:val="24"/>
        </w:rPr>
      </w:pPr>
      <w:r>
        <w:rPr>
          <w:sz w:val="24"/>
        </w:rPr>
        <w:t>Soto E, D Fernandez, J Hawke. 2009a. Attenuation of the fish pathogen Francisella sp.  </w:t>
      </w:r>
      <w:r>
        <w:rPr>
          <w:spacing w:val="58"/>
          <w:sz w:val="24"/>
        </w:rPr>
        <w:t> </w:t>
      </w:r>
      <w:r>
        <w:rPr>
          <w:sz w:val="24"/>
        </w:rPr>
        <w:t>by</w:t>
      </w:r>
    </w:p>
    <w:p>
      <w:pPr>
        <w:pStyle w:val="ListParagraph"/>
        <w:numPr>
          <w:ilvl w:val="0"/>
          <w:numId w:val="30"/>
        </w:numPr>
        <w:tabs>
          <w:tab w:pos="1405" w:val="left" w:leader="none"/>
          <w:tab w:pos="1406" w:val="left" w:leader="none"/>
        </w:tabs>
        <w:spacing w:line="240" w:lineRule="auto" w:before="125" w:after="0"/>
        <w:ind w:left="1405" w:right="0" w:hanging="1287"/>
        <w:jc w:val="left"/>
        <w:rPr>
          <w:sz w:val="24"/>
        </w:rPr>
      </w:pPr>
      <w:r>
        <w:rPr>
          <w:sz w:val="24"/>
        </w:rPr>
        <w:t>mutation of the </w:t>
      </w:r>
      <w:r>
        <w:rPr>
          <w:spacing w:val="-3"/>
          <w:sz w:val="24"/>
        </w:rPr>
        <w:t>iglC </w:t>
      </w:r>
      <w:r>
        <w:rPr>
          <w:sz w:val="24"/>
        </w:rPr>
        <w:t>gene. J Aquatic Animal Health 21,</w:t>
      </w:r>
      <w:r>
        <w:rPr>
          <w:spacing w:val="2"/>
          <w:sz w:val="24"/>
        </w:rPr>
        <w:t> </w:t>
      </w:r>
      <w:r>
        <w:rPr>
          <w:sz w:val="24"/>
        </w:rPr>
        <w:t>140–149.</w:t>
      </w:r>
    </w:p>
    <w:p>
      <w:pPr>
        <w:pStyle w:val="BodyText"/>
        <w:spacing w:before="2"/>
        <w:rPr>
          <w:rFonts w:ascii="Times New Roman"/>
          <w:sz w:val="23"/>
        </w:rPr>
      </w:pPr>
    </w:p>
    <w:p>
      <w:pPr>
        <w:pStyle w:val="ListParagraph"/>
        <w:numPr>
          <w:ilvl w:val="0"/>
          <w:numId w:val="30"/>
        </w:numPr>
        <w:tabs>
          <w:tab w:pos="699" w:val="left" w:leader="none"/>
          <w:tab w:pos="700" w:val="left" w:leader="none"/>
        </w:tabs>
        <w:spacing w:line="240" w:lineRule="auto" w:before="69" w:after="0"/>
        <w:ind w:left="699" w:right="0" w:hanging="581"/>
        <w:jc w:val="left"/>
        <w:rPr>
          <w:sz w:val="24"/>
        </w:rPr>
      </w:pPr>
      <w:r>
        <w:rPr>
          <w:sz w:val="24"/>
        </w:rPr>
        <w:t>Soto E, J Hawke, D Fernandez, J Morales. 2009b. Francisella sp., an emerging pathogen</w:t>
      </w:r>
      <w:r>
        <w:rPr>
          <w:spacing w:val="51"/>
          <w:sz w:val="24"/>
        </w:rPr>
        <w:t> </w:t>
      </w:r>
      <w:r>
        <w:rPr>
          <w:spacing w:val="4"/>
          <w:sz w:val="24"/>
        </w:rPr>
        <w:t>of</w:t>
      </w:r>
    </w:p>
    <w:p>
      <w:pPr>
        <w:pStyle w:val="ListParagraph"/>
        <w:numPr>
          <w:ilvl w:val="0"/>
          <w:numId w:val="30"/>
        </w:numPr>
        <w:tabs>
          <w:tab w:pos="1405" w:val="left" w:leader="none"/>
          <w:tab w:pos="1406" w:val="left" w:leader="none"/>
        </w:tabs>
        <w:spacing w:line="240" w:lineRule="auto" w:before="125" w:after="0"/>
        <w:ind w:left="1405" w:right="0" w:hanging="1287"/>
        <w:jc w:val="left"/>
        <w:rPr>
          <w:sz w:val="24"/>
        </w:rPr>
      </w:pPr>
      <w:r>
        <w:rPr>
          <w:sz w:val="24"/>
        </w:rPr>
        <w:t>tilapia (Oreochromis niloticus) </w:t>
      </w:r>
      <w:r>
        <w:rPr>
          <w:spacing w:val="-3"/>
          <w:sz w:val="24"/>
        </w:rPr>
        <w:t>in </w:t>
      </w:r>
      <w:r>
        <w:rPr>
          <w:sz w:val="24"/>
        </w:rPr>
        <w:t>Costa </w:t>
      </w:r>
      <w:r>
        <w:rPr>
          <w:spacing w:val="-3"/>
          <w:sz w:val="24"/>
        </w:rPr>
        <w:t>Rica. </w:t>
      </w:r>
      <w:r>
        <w:rPr>
          <w:sz w:val="24"/>
        </w:rPr>
        <w:t>J Fish Disease 32,</w:t>
      </w:r>
      <w:r>
        <w:rPr>
          <w:spacing w:val="3"/>
          <w:sz w:val="24"/>
        </w:rPr>
        <w:t> </w:t>
      </w:r>
      <w:r>
        <w:rPr>
          <w:sz w:val="24"/>
        </w:rPr>
        <w:t>713–722.</w:t>
      </w:r>
    </w:p>
    <w:p>
      <w:pPr>
        <w:pStyle w:val="BodyText"/>
        <w:spacing w:before="2"/>
        <w:rPr>
          <w:rFonts w:ascii="Times New Roman"/>
          <w:sz w:val="23"/>
        </w:rPr>
      </w:pPr>
    </w:p>
    <w:p>
      <w:pPr>
        <w:pStyle w:val="ListParagraph"/>
        <w:numPr>
          <w:ilvl w:val="0"/>
          <w:numId w:val="30"/>
        </w:numPr>
        <w:tabs>
          <w:tab w:pos="699" w:val="left" w:leader="none"/>
          <w:tab w:pos="700" w:val="left" w:leader="none"/>
        </w:tabs>
        <w:spacing w:line="240" w:lineRule="auto" w:before="69" w:after="0"/>
        <w:ind w:left="699" w:right="0" w:hanging="581"/>
        <w:jc w:val="left"/>
        <w:rPr>
          <w:sz w:val="24"/>
        </w:rPr>
      </w:pPr>
      <w:r>
        <w:rPr>
          <w:sz w:val="24"/>
        </w:rPr>
        <w:t>Soto  E,  D Fernandez,  R  Thune,</w:t>
      </w:r>
      <w:r>
        <w:rPr>
          <w:spacing w:val="19"/>
          <w:sz w:val="24"/>
        </w:rPr>
        <w:t> </w:t>
      </w:r>
      <w:r>
        <w:rPr>
          <w:sz w:val="24"/>
        </w:rPr>
        <w:t>J Hawke.  2010.  Interaction of Francisella  asiatica  with</w:t>
      </w:r>
    </w:p>
    <w:p>
      <w:pPr>
        <w:pStyle w:val="ListParagraph"/>
        <w:numPr>
          <w:ilvl w:val="0"/>
          <w:numId w:val="30"/>
        </w:numPr>
        <w:tabs>
          <w:tab w:pos="1405" w:val="left" w:leader="none"/>
          <w:tab w:pos="1406" w:val="left" w:leader="none"/>
          <w:tab w:pos="2321" w:val="left" w:leader="none"/>
          <w:tab w:pos="3889" w:val="left" w:leader="none"/>
          <w:tab w:pos="5031" w:val="left" w:leader="none"/>
          <w:tab w:pos="5870" w:val="left" w:leader="none"/>
          <w:tab w:pos="7112" w:val="left" w:leader="none"/>
          <w:tab w:pos="8299" w:val="left" w:leader="none"/>
          <w:tab w:pos="9259" w:val="left" w:leader="none"/>
        </w:tabs>
        <w:spacing w:line="240" w:lineRule="auto" w:before="129" w:after="0"/>
        <w:ind w:left="1405" w:right="0" w:hanging="1287"/>
        <w:jc w:val="left"/>
        <w:rPr>
          <w:sz w:val="24"/>
        </w:rPr>
      </w:pPr>
      <w:r>
        <w:rPr>
          <w:sz w:val="24"/>
        </w:rPr>
        <w:t>Tilapia</w:t>
        <w:tab/>
        <w:t>(Oreochromis</w:t>
        <w:tab/>
        <w:t>niloticus)</w:t>
        <w:tab/>
        <w:t>Innate</w:t>
        <w:tab/>
        <w:t>Immunity.</w:t>
        <w:tab/>
        <w:t>American</w:t>
        <w:tab/>
        <w:t>Society</w:t>
        <w:tab/>
        <w:t>for</w:t>
      </w:r>
    </w:p>
    <w:p>
      <w:pPr>
        <w:pStyle w:val="BodyText"/>
        <w:tabs>
          <w:tab w:pos="1405" w:val="left" w:leader="none"/>
        </w:tabs>
        <w:spacing w:before="130"/>
        <w:ind w:left="118"/>
        <w:rPr>
          <w:rFonts w:ascii="Times New Roman" w:hAnsi="Times New Roman"/>
        </w:rPr>
      </w:pPr>
      <w:r>
        <w:rPr>
          <w:rFonts w:ascii="Calibri" w:hAnsi="Calibri"/>
          <w:sz w:val="22"/>
        </w:rPr>
        <w:t>17</w:t>
        <w:tab/>
      </w:r>
      <w:r>
        <w:rPr>
          <w:rFonts w:ascii="Times New Roman" w:hAnsi="Times New Roman"/>
        </w:rPr>
        <w:t>Microbiology 78,</w:t>
      </w:r>
      <w:r>
        <w:rPr>
          <w:rFonts w:ascii="Times New Roman" w:hAnsi="Times New Roman"/>
          <w:spacing w:val="-4"/>
        </w:rPr>
        <w:t> </w:t>
      </w:r>
      <w:r>
        <w:rPr>
          <w:rFonts w:ascii="Times New Roman" w:hAnsi="Times New Roman"/>
        </w:rPr>
        <w:t>2070–2078.</w:t>
      </w:r>
    </w:p>
    <w:p>
      <w:pPr>
        <w:pStyle w:val="BodyText"/>
        <w:spacing w:before="2"/>
        <w:rPr>
          <w:rFonts w:ascii="Times New Roman"/>
          <w:sz w:val="23"/>
        </w:rPr>
      </w:pPr>
    </w:p>
    <w:p>
      <w:pPr>
        <w:pStyle w:val="ListParagraph"/>
        <w:numPr>
          <w:ilvl w:val="0"/>
          <w:numId w:val="31"/>
        </w:numPr>
        <w:tabs>
          <w:tab w:pos="699" w:val="left" w:leader="none"/>
          <w:tab w:pos="700" w:val="left" w:leader="none"/>
        </w:tabs>
        <w:spacing w:line="240" w:lineRule="auto" w:before="69" w:after="0"/>
        <w:ind w:left="699" w:right="0" w:hanging="581"/>
        <w:jc w:val="left"/>
        <w:rPr>
          <w:sz w:val="24"/>
        </w:rPr>
      </w:pPr>
      <w:r>
        <w:rPr>
          <w:sz w:val="24"/>
        </w:rPr>
        <w:t>Soto E, W Baumgartner, J </w:t>
      </w:r>
      <w:r>
        <w:rPr>
          <w:spacing w:val="-3"/>
          <w:sz w:val="24"/>
        </w:rPr>
        <w:t>Wiles, </w:t>
      </w:r>
      <w:r>
        <w:rPr>
          <w:sz w:val="24"/>
        </w:rPr>
        <w:t>J Hawke. 2011. Francisella asiatica as the causative</w:t>
      </w:r>
      <w:r>
        <w:rPr>
          <w:spacing w:val="29"/>
          <w:sz w:val="24"/>
        </w:rPr>
        <w:t> </w:t>
      </w:r>
      <w:r>
        <w:rPr>
          <w:sz w:val="24"/>
        </w:rPr>
        <w:t>agent</w:t>
      </w:r>
    </w:p>
    <w:p>
      <w:pPr>
        <w:pStyle w:val="ListParagraph"/>
        <w:numPr>
          <w:ilvl w:val="0"/>
          <w:numId w:val="31"/>
        </w:numPr>
        <w:tabs>
          <w:tab w:pos="1405" w:val="left" w:leader="none"/>
          <w:tab w:pos="1406" w:val="left" w:leader="none"/>
        </w:tabs>
        <w:spacing w:line="240" w:lineRule="auto" w:before="129" w:after="0"/>
        <w:ind w:left="1405" w:right="0" w:hanging="1287"/>
        <w:jc w:val="left"/>
        <w:rPr>
          <w:sz w:val="24"/>
        </w:rPr>
      </w:pPr>
      <w:r>
        <w:rPr>
          <w:sz w:val="24"/>
        </w:rPr>
        <w:t>of</w:t>
      </w:r>
      <w:r>
        <w:rPr>
          <w:spacing w:val="19"/>
          <w:sz w:val="24"/>
        </w:rPr>
        <w:t> </w:t>
      </w:r>
      <w:r>
        <w:rPr>
          <w:sz w:val="24"/>
        </w:rPr>
        <w:t>piscine</w:t>
      </w:r>
      <w:r>
        <w:rPr>
          <w:spacing w:val="29"/>
          <w:sz w:val="24"/>
        </w:rPr>
        <w:t> </w:t>
      </w:r>
      <w:r>
        <w:rPr>
          <w:sz w:val="24"/>
        </w:rPr>
        <w:t>francisellosis</w:t>
      </w:r>
      <w:r>
        <w:rPr>
          <w:spacing w:val="28"/>
          <w:sz w:val="24"/>
        </w:rPr>
        <w:t> </w:t>
      </w:r>
      <w:r>
        <w:rPr>
          <w:spacing w:val="-3"/>
          <w:sz w:val="24"/>
        </w:rPr>
        <w:t>in</w:t>
      </w:r>
      <w:r>
        <w:rPr>
          <w:spacing w:val="21"/>
          <w:sz w:val="24"/>
        </w:rPr>
        <w:t> </w:t>
      </w:r>
      <w:r>
        <w:rPr>
          <w:sz w:val="24"/>
        </w:rPr>
        <w:t>cultured</w:t>
      </w:r>
      <w:r>
        <w:rPr>
          <w:spacing w:val="21"/>
          <w:sz w:val="24"/>
        </w:rPr>
        <w:t> </w:t>
      </w:r>
      <w:r>
        <w:rPr>
          <w:sz w:val="24"/>
        </w:rPr>
        <w:t>tilapia</w:t>
      </w:r>
      <w:r>
        <w:rPr>
          <w:spacing w:val="25"/>
          <w:sz w:val="24"/>
        </w:rPr>
        <w:t> </w:t>
      </w:r>
      <w:r>
        <w:rPr>
          <w:sz w:val="24"/>
        </w:rPr>
        <w:t>(Oreochromis</w:t>
      </w:r>
      <w:r>
        <w:rPr>
          <w:spacing w:val="23"/>
          <w:sz w:val="24"/>
        </w:rPr>
        <w:t> </w:t>
      </w:r>
      <w:r>
        <w:rPr>
          <w:sz w:val="24"/>
        </w:rPr>
        <w:t>sp.)</w:t>
      </w:r>
      <w:r>
        <w:rPr>
          <w:spacing w:val="27"/>
          <w:sz w:val="24"/>
        </w:rPr>
        <w:t> </w:t>
      </w:r>
      <w:r>
        <w:rPr>
          <w:spacing w:val="-3"/>
          <w:sz w:val="24"/>
        </w:rPr>
        <w:t>in</w:t>
      </w:r>
      <w:r>
        <w:rPr>
          <w:spacing w:val="21"/>
          <w:sz w:val="24"/>
        </w:rPr>
        <w:t> </w:t>
      </w:r>
      <w:r>
        <w:rPr>
          <w:sz w:val="24"/>
        </w:rPr>
        <w:t>the</w:t>
      </w:r>
      <w:r>
        <w:rPr>
          <w:spacing w:val="25"/>
          <w:sz w:val="24"/>
        </w:rPr>
        <w:t> </w:t>
      </w:r>
      <w:r>
        <w:rPr>
          <w:sz w:val="24"/>
        </w:rPr>
        <w:t>United</w:t>
      </w:r>
      <w:r>
        <w:rPr>
          <w:spacing w:val="25"/>
          <w:sz w:val="24"/>
        </w:rPr>
        <w:t> </w:t>
      </w:r>
      <w:r>
        <w:rPr>
          <w:sz w:val="24"/>
        </w:rPr>
        <w:t>States.</w:t>
      </w:r>
    </w:p>
    <w:p>
      <w:pPr>
        <w:pStyle w:val="ListParagraph"/>
        <w:numPr>
          <w:ilvl w:val="0"/>
          <w:numId w:val="31"/>
        </w:numPr>
        <w:tabs>
          <w:tab w:pos="1405" w:val="left" w:leader="none"/>
          <w:tab w:pos="1406" w:val="left" w:leader="none"/>
        </w:tabs>
        <w:spacing w:line="240" w:lineRule="auto" w:before="125" w:after="0"/>
        <w:ind w:left="1405" w:right="0" w:hanging="1287"/>
        <w:jc w:val="left"/>
        <w:rPr>
          <w:sz w:val="24"/>
        </w:rPr>
      </w:pPr>
      <w:r>
        <w:rPr>
          <w:i/>
          <w:sz w:val="24"/>
        </w:rPr>
        <w:t>Journal of Veterinary Diagnostic Investigation </w:t>
      </w:r>
      <w:r>
        <w:rPr>
          <w:sz w:val="24"/>
        </w:rPr>
        <w:t>23, 821–</w:t>
      </w:r>
      <w:r>
        <w:rPr>
          <w:spacing w:val="-7"/>
          <w:sz w:val="24"/>
        </w:rPr>
        <w:t> </w:t>
      </w:r>
      <w:r>
        <w:rPr>
          <w:sz w:val="24"/>
        </w:rPr>
        <w:t>825.</w:t>
      </w:r>
    </w:p>
    <w:p>
      <w:pPr>
        <w:pStyle w:val="BodyText"/>
        <w:spacing w:before="3"/>
        <w:rPr>
          <w:rFonts w:ascii="Times New Roman"/>
          <w:sz w:val="23"/>
        </w:rPr>
      </w:pPr>
    </w:p>
    <w:p>
      <w:pPr>
        <w:pStyle w:val="ListParagraph"/>
        <w:numPr>
          <w:ilvl w:val="0"/>
          <w:numId w:val="31"/>
        </w:numPr>
        <w:tabs>
          <w:tab w:pos="699" w:val="left" w:leader="none"/>
          <w:tab w:pos="700" w:val="left" w:leader="none"/>
        </w:tabs>
        <w:spacing w:line="240" w:lineRule="auto" w:before="69" w:after="0"/>
        <w:ind w:left="699" w:right="0" w:hanging="581"/>
        <w:jc w:val="left"/>
        <w:rPr>
          <w:sz w:val="24"/>
        </w:rPr>
      </w:pPr>
      <w:r>
        <w:rPr>
          <w:sz w:val="24"/>
        </w:rPr>
        <w:t>Sridhar</w:t>
      </w:r>
      <w:r>
        <w:rPr>
          <w:spacing w:val="-4"/>
          <w:sz w:val="24"/>
        </w:rPr>
        <w:t> </w:t>
      </w:r>
      <w:r>
        <w:rPr>
          <w:sz w:val="24"/>
        </w:rPr>
        <w:t>S.,</w:t>
      </w:r>
      <w:r>
        <w:rPr>
          <w:spacing w:val="-8"/>
          <w:sz w:val="24"/>
        </w:rPr>
        <w:t> </w:t>
      </w:r>
      <w:r>
        <w:rPr>
          <w:sz w:val="24"/>
        </w:rPr>
        <w:t>A</w:t>
      </w:r>
      <w:r>
        <w:rPr>
          <w:spacing w:val="-11"/>
          <w:sz w:val="24"/>
        </w:rPr>
        <w:t> </w:t>
      </w:r>
      <w:r>
        <w:rPr>
          <w:sz w:val="24"/>
        </w:rPr>
        <w:t>Sharma,</w:t>
      </w:r>
      <w:r>
        <w:rPr>
          <w:spacing w:val="-3"/>
          <w:sz w:val="24"/>
        </w:rPr>
        <w:t> </w:t>
      </w:r>
      <w:r>
        <w:rPr>
          <w:sz w:val="24"/>
        </w:rPr>
        <w:t>H</w:t>
      </w:r>
      <w:r>
        <w:rPr>
          <w:spacing w:val="-6"/>
          <w:sz w:val="24"/>
        </w:rPr>
        <w:t> </w:t>
      </w:r>
      <w:r>
        <w:rPr>
          <w:sz w:val="24"/>
        </w:rPr>
        <w:t>Kongshaug,</w:t>
      </w:r>
      <w:r>
        <w:rPr>
          <w:spacing w:val="-3"/>
          <w:sz w:val="24"/>
        </w:rPr>
        <w:t> </w:t>
      </w:r>
      <w:r>
        <w:rPr>
          <w:sz w:val="24"/>
        </w:rPr>
        <w:t>F</w:t>
      </w:r>
      <w:r>
        <w:rPr>
          <w:spacing w:val="-9"/>
          <w:sz w:val="24"/>
        </w:rPr>
        <w:t> </w:t>
      </w:r>
      <w:r>
        <w:rPr>
          <w:sz w:val="24"/>
        </w:rPr>
        <w:t>Nilsen,</w:t>
      </w:r>
      <w:r>
        <w:rPr>
          <w:spacing w:val="-3"/>
          <w:sz w:val="24"/>
        </w:rPr>
        <w:t> </w:t>
      </w:r>
      <w:r>
        <w:rPr>
          <w:sz w:val="24"/>
        </w:rPr>
        <w:t>I</w:t>
      </w:r>
      <w:r>
        <w:rPr>
          <w:spacing w:val="-4"/>
          <w:sz w:val="24"/>
        </w:rPr>
        <w:t> </w:t>
      </w:r>
      <w:r>
        <w:rPr>
          <w:sz w:val="24"/>
        </w:rPr>
        <w:t>Jonassen.</w:t>
      </w:r>
      <w:r>
        <w:rPr>
          <w:spacing w:val="-3"/>
          <w:sz w:val="24"/>
        </w:rPr>
        <w:t> </w:t>
      </w:r>
      <w:r>
        <w:rPr>
          <w:sz w:val="24"/>
        </w:rPr>
        <w:t>2012.</w:t>
      </w:r>
      <w:r>
        <w:rPr>
          <w:spacing w:val="-8"/>
          <w:sz w:val="24"/>
        </w:rPr>
        <w:t> </w:t>
      </w:r>
      <w:r>
        <w:rPr>
          <w:sz w:val="24"/>
        </w:rPr>
        <w:t>Whole</w:t>
      </w:r>
      <w:r>
        <w:rPr>
          <w:spacing w:val="-6"/>
          <w:sz w:val="24"/>
        </w:rPr>
        <w:t> </w:t>
      </w:r>
      <w:r>
        <w:rPr>
          <w:sz w:val="24"/>
        </w:rPr>
        <w:t>genome</w:t>
      </w:r>
      <w:r>
        <w:rPr>
          <w:spacing w:val="-6"/>
          <w:sz w:val="24"/>
        </w:rPr>
        <w:t> </w:t>
      </w:r>
      <w:r>
        <w:rPr>
          <w:sz w:val="24"/>
        </w:rPr>
        <w:t>sequencing</w:t>
      </w:r>
    </w:p>
    <w:p>
      <w:pPr>
        <w:pStyle w:val="ListParagraph"/>
        <w:numPr>
          <w:ilvl w:val="0"/>
          <w:numId w:val="31"/>
        </w:numPr>
        <w:tabs>
          <w:tab w:pos="1405" w:val="left" w:leader="none"/>
          <w:tab w:pos="1406" w:val="left" w:leader="none"/>
        </w:tabs>
        <w:spacing w:line="240" w:lineRule="auto" w:before="129" w:after="0"/>
        <w:ind w:left="1405" w:right="0" w:hanging="1287"/>
        <w:jc w:val="left"/>
        <w:rPr>
          <w:sz w:val="24"/>
        </w:rPr>
      </w:pPr>
      <w:r>
        <w:rPr>
          <w:sz w:val="24"/>
        </w:rPr>
        <w:t>of the fish pathogen Francisella  noatunensis subsp. orientalis Toba04 gives    </w:t>
      </w:r>
      <w:r>
        <w:rPr>
          <w:spacing w:val="5"/>
          <w:sz w:val="24"/>
        </w:rPr>
        <w:t> </w:t>
      </w:r>
      <w:r>
        <w:rPr>
          <w:sz w:val="24"/>
        </w:rPr>
        <w:t>novel</w:t>
      </w:r>
    </w:p>
    <w:p>
      <w:pPr>
        <w:pStyle w:val="ListParagraph"/>
        <w:numPr>
          <w:ilvl w:val="0"/>
          <w:numId w:val="31"/>
        </w:numPr>
        <w:tabs>
          <w:tab w:pos="1405" w:val="left" w:leader="none"/>
          <w:tab w:pos="1406" w:val="left" w:leader="none"/>
        </w:tabs>
        <w:spacing w:line="240" w:lineRule="auto" w:before="125" w:after="0"/>
        <w:ind w:left="1405" w:right="0" w:hanging="1287"/>
        <w:jc w:val="left"/>
        <w:rPr>
          <w:sz w:val="24"/>
        </w:rPr>
      </w:pPr>
      <w:r>
        <w:rPr>
          <w:sz w:val="24"/>
        </w:rPr>
        <w:t>insights into Francisella evolution and pathogenicity. BMC Genomics 13,</w:t>
      </w:r>
      <w:r>
        <w:rPr>
          <w:spacing w:val="-28"/>
          <w:sz w:val="24"/>
        </w:rPr>
        <w:t> </w:t>
      </w:r>
      <w:r>
        <w:rPr>
          <w:sz w:val="24"/>
        </w:rPr>
        <w:t>598.</w:t>
      </w:r>
    </w:p>
    <w:p>
      <w:pPr>
        <w:pStyle w:val="BodyText"/>
        <w:spacing w:before="2"/>
        <w:rPr>
          <w:rFonts w:ascii="Times New Roman"/>
          <w:sz w:val="23"/>
        </w:rPr>
      </w:pPr>
    </w:p>
    <w:p>
      <w:pPr>
        <w:pStyle w:val="ListParagraph"/>
        <w:numPr>
          <w:ilvl w:val="0"/>
          <w:numId w:val="31"/>
        </w:numPr>
        <w:tabs>
          <w:tab w:pos="699" w:val="left" w:leader="none"/>
          <w:tab w:pos="700" w:val="left" w:leader="none"/>
        </w:tabs>
        <w:spacing w:line="240" w:lineRule="auto" w:before="70" w:after="0"/>
        <w:ind w:left="699" w:right="0" w:hanging="581"/>
        <w:jc w:val="left"/>
        <w:rPr>
          <w:sz w:val="24"/>
        </w:rPr>
      </w:pPr>
      <w:r>
        <w:rPr>
          <w:sz w:val="24"/>
        </w:rPr>
        <w:t>Tamura </w:t>
      </w:r>
      <w:r>
        <w:rPr>
          <w:spacing w:val="-3"/>
          <w:sz w:val="24"/>
        </w:rPr>
        <w:t>K, </w:t>
      </w:r>
      <w:r>
        <w:rPr>
          <w:sz w:val="24"/>
        </w:rPr>
        <w:t>D Peterson, N Peterson, G Stecher, M Nei, S Kumar. 2011. MEGA5:</w:t>
      </w:r>
      <w:r>
        <w:rPr>
          <w:spacing w:val="42"/>
          <w:sz w:val="24"/>
        </w:rPr>
        <w:t> </w:t>
      </w:r>
      <w:r>
        <w:rPr>
          <w:sz w:val="24"/>
        </w:rPr>
        <w:t>molecular</w:t>
      </w:r>
    </w:p>
    <w:p>
      <w:pPr>
        <w:pStyle w:val="ListParagraph"/>
        <w:numPr>
          <w:ilvl w:val="0"/>
          <w:numId w:val="31"/>
        </w:numPr>
        <w:tabs>
          <w:tab w:pos="1405" w:val="left" w:leader="none"/>
          <w:tab w:pos="1406" w:val="left" w:leader="none"/>
        </w:tabs>
        <w:spacing w:line="240" w:lineRule="auto" w:before="134" w:after="0"/>
        <w:ind w:left="1405" w:right="0" w:hanging="1287"/>
        <w:jc w:val="left"/>
        <w:rPr>
          <w:sz w:val="24"/>
        </w:rPr>
      </w:pPr>
      <w:r>
        <w:rPr>
          <w:sz w:val="24"/>
        </w:rPr>
        <w:t>evolutionary</w:t>
      </w:r>
      <w:r>
        <w:rPr>
          <w:spacing w:val="-17"/>
          <w:sz w:val="24"/>
        </w:rPr>
        <w:t> </w:t>
      </w:r>
      <w:r>
        <w:rPr>
          <w:sz w:val="24"/>
        </w:rPr>
        <w:t>genetics</w:t>
      </w:r>
      <w:r>
        <w:rPr>
          <w:spacing w:val="-11"/>
          <w:sz w:val="24"/>
        </w:rPr>
        <w:t> </w:t>
      </w:r>
      <w:r>
        <w:rPr>
          <w:sz w:val="24"/>
        </w:rPr>
        <w:t>analysis</w:t>
      </w:r>
      <w:r>
        <w:rPr>
          <w:spacing w:val="-11"/>
          <w:sz w:val="24"/>
        </w:rPr>
        <w:t> </w:t>
      </w:r>
      <w:r>
        <w:rPr>
          <w:sz w:val="24"/>
        </w:rPr>
        <w:t>using</w:t>
      </w:r>
      <w:r>
        <w:rPr>
          <w:spacing w:val="-5"/>
          <w:sz w:val="24"/>
        </w:rPr>
        <w:t> </w:t>
      </w:r>
      <w:r>
        <w:rPr>
          <w:sz w:val="24"/>
        </w:rPr>
        <w:t>maximum</w:t>
      </w:r>
      <w:r>
        <w:rPr>
          <w:spacing w:val="-13"/>
          <w:sz w:val="24"/>
        </w:rPr>
        <w:t> </w:t>
      </w:r>
      <w:r>
        <w:rPr>
          <w:sz w:val="24"/>
        </w:rPr>
        <w:t>likelihood,</w:t>
      </w:r>
      <w:r>
        <w:rPr>
          <w:spacing w:val="-11"/>
          <w:sz w:val="24"/>
        </w:rPr>
        <w:t> </w:t>
      </w:r>
      <w:r>
        <w:rPr>
          <w:sz w:val="24"/>
        </w:rPr>
        <w:t>evolutionary</w:t>
      </w:r>
      <w:r>
        <w:rPr>
          <w:spacing w:val="-17"/>
          <w:sz w:val="24"/>
        </w:rPr>
        <w:t> </w:t>
      </w:r>
      <w:r>
        <w:rPr>
          <w:sz w:val="24"/>
        </w:rPr>
        <w:t>distance,</w:t>
      </w:r>
      <w:r>
        <w:rPr>
          <w:spacing w:val="-8"/>
          <w:sz w:val="24"/>
        </w:rPr>
        <w:t> </w:t>
      </w:r>
      <w:r>
        <w:rPr>
          <w:sz w:val="24"/>
        </w:rPr>
        <w:t>and</w:t>
      </w:r>
    </w:p>
    <w:p>
      <w:pPr>
        <w:pStyle w:val="ListParagraph"/>
        <w:numPr>
          <w:ilvl w:val="0"/>
          <w:numId w:val="31"/>
        </w:numPr>
        <w:tabs>
          <w:tab w:pos="1405" w:val="left" w:leader="none"/>
          <w:tab w:pos="1406" w:val="left" w:leader="none"/>
        </w:tabs>
        <w:spacing w:line="240" w:lineRule="auto" w:before="125" w:after="0"/>
        <w:ind w:left="1405" w:right="0" w:hanging="1287"/>
        <w:jc w:val="left"/>
        <w:rPr>
          <w:sz w:val="24"/>
        </w:rPr>
      </w:pPr>
      <w:r>
        <w:rPr>
          <w:sz w:val="24"/>
        </w:rPr>
        <w:t>maximum parsimony methods. Mol Biol Evol 28,</w:t>
      </w:r>
      <w:r>
        <w:rPr>
          <w:spacing w:val="-11"/>
          <w:sz w:val="24"/>
        </w:rPr>
        <w:t> </w:t>
      </w:r>
      <w:r>
        <w:rPr>
          <w:sz w:val="24"/>
        </w:rPr>
        <w:t>2731–273</w:t>
      </w:r>
    </w:p>
    <w:p>
      <w:pPr>
        <w:spacing w:after="0" w:line="240" w:lineRule="auto"/>
        <w:jc w:val="left"/>
        <w:rPr>
          <w:sz w:val="24"/>
        </w:rPr>
        <w:sectPr>
          <w:pgSz w:w="12240" w:h="15840"/>
          <w:pgMar w:header="752" w:footer="998" w:top="1000" w:bottom="1200" w:left="1000" w:right="1560"/>
        </w:sectPr>
      </w:pPr>
    </w:p>
    <w:p>
      <w:pPr>
        <w:pStyle w:val="BodyText"/>
        <w:spacing w:before="8"/>
        <w:rPr>
          <w:rFonts w:ascii="Times New Roman"/>
          <w:sz w:val="28"/>
        </w:rPr>
      </w:pPr>
    </w:p>
    <w:p>
      <w:pPr>
        <w:pStyle w:val="BodyText"/>
        <w:spacing w:line="355" w:lineRule="auto" w:before="70"/>
        <w:ind w:left="219" w:firstLine="706"/>
        <w:rPr>
          <w:rFonts w:ascii="Times New Roman" w:hAnsi="Times New Roman"/>
        </w:rPr>
      </w:pPr>
      <w:r>
        <w:rPr>
          <w:rFonts w:ascii="Times New Roman" w:hAnsi="Times New Roman"/>
        </w:rPr>
        <w:t>Tabla 1. Especies y cepas bacterianas utilizadas en este estudio y los números de acceso de GenBank para su 16S rDNA y sus secuencias de ADN.</w:t>
      </w:r>
    </w:p>
    <w:p>
      <w:pPr>
        <w:pStyle w:val="BodyText"/>
        <w:spacing w:before="9"/>
        <w:rPr>
          <w:rFonts w:ascii="Times New Roman"/>
          <w:sz w:val="18"/>
        </w:rPr>
      </w:pPr>
    </w:p>
    <w:p>
      <w:pPr>
        <w:pStyle w:val="BodyText"/>
        <w:spacing w:line="360" w:lineRule="auto"/>
        <w:ind w:left="219" w:firstLine="706"/>
        <w:rPr>
          <w:rFonts w:ascii="Times New Roman"/>
        </w:rPr>
      </w:pPr>
      <w:r>
        <w:rPr>
          <w:rFonts w:ascii="Times New Roman"/>
        </w:rPr>
        <w:t>Table 1. Species and bacterial strains used in this study and the GenBank accession numbers for 16S rDNA and their DNA sequences.</w:t>
      </w:r>
    </w:p>
    <w:p>
      <w:pPr>
        <w:pStyle w:val="BodyText"/>
        <w:spacing w:before="11"/>
        <w:rPr>
          <w:rFonts w:ascii="Times New Roman"/>
          <w:sz w:val="18"/>
        </w:rPr>
      </w:pP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237"/>
        <w:gridCol w:w="1546"/>
        <w:gridCol w:w="1224"/>
        <w:gridCol w:w="1753"/>
        <w:gridCol w:w="1143"/>
      </w:tblGrid>
      <w:tr>
        <w:trPr>
          <w:trHeight w:val="1666" w:hRule="exact"/>
        </w:trPr>
        <w:tc>
          <w:tcPr>
            <w:tcW w:w="3237" w:type="dxa"/>
          </w:tcPr>
          <w:p>
            <w:pPr>
              <w:pStyle w:val="TableParagraph"/>
              <w:spacing w:line="273" w:lineRule="exact"/>
              <w:ind w:left="163" w:right="105"/>
              <w:rPr>
                <w:rFonts w:ascii="Times New Roman"/>
                <w:b/>
                <w:sz w:val="24"/>
              </w:rPr>
            </w:pPr>
            <w:r>
              <w:rPr>
                <w:rFonts w:ascii="Times New Roman"/>
                <w:b/>
                <w:sz w:val="24"/>
              </w:rPr>
              <w:t>Species / strain</w:t>
            </w:r>
          </w:p>
        </w:tc>
        <w:tc>
          <w:tcPr>
            <w:tcW w:w="1546" w:type="dxa"/>
          </w:tcPr>
          <w:p>
            <w:pPr>
              <w:pStyle w:val="TableParagraph"/>
              <w:spacing w:line="360" w:lineRule="auto"/>
              <w:ind w:right="451"/>
              <w:jc w:val="both"/>
              <w:rPr>
                <w:rFonts w:ascii="Times New Roman"/>
                <w:b/>
                <w:sz w:val="24"/>
              </w:rPr>
            </w:pPr>
            <w:r>
              <w:rPr>
                <w:rFonts w:ascii="Times New Roman"/>
                <w:b/>
                <w:sz w:val="24"/>
              </w:rPr>
              <w:t>GenBank accession number</w:t>
            </w:r>
          </w:p>
        </w:tc>
        <w:tc>
          <w:tcPr>
            <w:tcW w:w="1224" w:type="dxa"/>
          </w:tcPr>
          <w:p>
            <w:pPr>
              <w:pStyle w:val="TableParagraph"/>
              <w:spacing w:line="273" w:lineRule="exact"/>
              <w:ind w:left="101"/>
              <w:rPr>
                <w:rFonts w:ascii="Times New Roman"/>
                <w:b/>
                <w:sz w:val="24"/>
              </w:rPr>
            </w:pPr>
            <w:r>
              <w:rPr>
                <w:rFonts w:ascii="Times New Roman"/>
                <w:b/>
                <w:sz w:val="24"/>
              </w:rPr>
              <w:t>Location</w:t>
            </w:r>
          </w:p>
        </w:tc>
        <w:tc>
          <w:tcPr>
            <w:tcW w:w="1753" w:type="dxa"/>
          </w:tcPr>
          <w:p>
            <w:pPr>
              <w:pStyle w:val="TableParagraph"/>
              <w:spacing w:line="360" w:lineRule="auto"/>
              <w:ind w:left="106"/>
              <w:rPr>
                <w:rFonts w:ascii="Times New Roman"/>
                <w:b/>
                <w:sz w:val="24"/>
              </w:rPr>
            </w:pPr>
            <w:r>
              <w:rPr>
                <w:rFonts w:ascii="Times New Roman"/>
                <w:b/>
                <w:sz w:val="24"/>
              </w:rPr>
              <w:t>Original isolation source/Strain</w:t>
            </w:r>
          </w:p>
        </w:tc>
        <w:tc>
          <w:tcPr>
            <w:tcW w:w="1143" w:type="dxa"/>
          </w:tcPr>
          <w:p>
            <w:pPr>
              <w:pStyle w:val="TableParagraph"/>
              <w:spacing w:line="273" w:lineRule="exact"/>
              <w:rPr>
                <w:rFonts w:ascii="Times New Roman"/>
                <w:b/>
                <w:sz w:val="24"/>
              </w:rPr>
            </w:pPr>
            <w:r>
              <w:rPr>
                <w:rFonts w:ascii="Times New Roman"/>
                <w:b/>
                <w:sz w:val="24"/>
              </w:rPr>
              <w:t>DNA</w:t>
            </w:r>
          </w:p>
          <w:p>
            <w:pPr>
              <w:pStyle w:val="TableParagraph"/>
              <w:spacing w:line="240" w:lineRule="auto" w:before="137"/>
              <w:rPr>
                <w:rFonts w:ascii="Times New Roman"/>
                <w:b/>
                <w:sz w:val="24"/>
              </w:rPr>
            </w:pPr>
            <w:r>
              <w:rPr>
                <w:rFonts w:ascii="Times New Roman"/>
                <w:b/>
                <w:sz w:val="24"/>
              </w:rPr>
              <w:t>sequence</w:t>
            </w:r>
          </w:p>
        </w:tc>
      </w:tr>
      <w:tr>
        <w:trPr>
          <w:trHeight w:val="836" w:hRule="exact"/>
        </w:trPr>
        <w:tc>
          <w:tcPr>
            <w:tcW w:w="3237" w:type="dxa"/>
          </w:tcPr>
          <w:p>
            <w:pPr>
              <w:pStyle w:val="TableParagraph"/>
              <w:spacing w:line="360" w:lineRule="auto"/>
              <w:ind w:left="100" w:right="105"/>
              <w:rPr>
                <w:rFonts w:ascii="Times New Roman"/>
                <w:i/>
                <w:sz w:val="24"/>
              </w:rPr>
            </w:pPr>
            <w:r>
              <w:rPr>
                <w:rFonts w:ascii="Times New Roman"/>
                <w:i/>
                <w:sz w:val="24"/>
              </w:rPr>
              <w:t>Francisella tularensis subsp. </w:t>
            </w:r>
            <w:r>
              <w:rPr>
                <w:rFonts w:ascii="Times New Roman"/>
                <w:i/>
                <w:sz w:val="24"/>
              </w:rPr>
              <w:t>holarctica</w:t>
            </w:r>
          </w:p>
        </w:tc>
        <w:tc>
          <w:tcPr>
            <w:tcW w:w="1546" w:type="dxa"/>
          </w:tcPr>
          <w:p>
            <w:pPr>
              <w:pStyle w:val="TableParagraph"/>
              <w:spacing w:line="268" w:lineRule="exact"/>
              <w:rPr>
                <w:rFonts w:ascii="Times New Roman"/>
                <w:sz w:val="24"/>
              </w:rPr>
            </w:pPr>
            <w:r>
              <w:rPr>
                <w:rFonts w:ascii="Times New Roman"/>
                <w:sz w:val="24"/>
              </w:rPr>
              <w:t>AY968231.1</w:t>
            </w:r>
          </w:p>
        </w:tc>
        <w:tc>
          <w:tcPr>
            <w:tcW w:w="1224" w:type="dxa"/>
          </w:tcPr>
          <w:p>
            <w:pPr>
              <w:pStyle w:val="TableParagraph"/>
              <w:spacing w:line="268" w:lineRule="exact"/>
              <w:ind w:left="101"/>
              <w:rPr>
                <w:rFonts w:ascii="Times New Roman"/>
                <w:sz w:val="24"/>
              </w:rPr>
            </w:pPr>
            <w:r>
              <w:rPr>
                <w:rFonts w:ascii="Times New Roman"/>
                <w:sz w:val="24"/>
              </w:rPr>
              <w:t>USA</w:t>
            </w:r>
          </w:p>
        </w:tc>
        <w:tc>
          <w:tcPr>
            <w:tcW w:w="1753" w:type="dxa"/>
          </w:tcPr>
          <w:p>
            <w:pPr>
              <w:pStyle w:val="TableParagraph"/>
              <w:spacing w:line="268" w:lineRule="exact"/>
              <w:ind w:left="106"/>
              <w:rPr>
                <w:rFonts w:ascii="Times New Roman"/>
                <w:sz w:val="24"/>
              </w:rPr>
            </w:pPr>
            <w:r>
              <w:rPr>
                <w:rFonts w:ascii="Times New Roman"/>
                <w:sz w:val="24"/>
              </w:rPr>
              <w:t>FSC 257</w:t>
            </w:r>
          </w:p>
        </w:tc>
        <w:tc>
          <w:tcPr>
            <w:tcW w:w="1143" w:type="dxa"/>
          </w:tcPr>
          <w:p>
            <w:pPr>
              <w:pStyle w:val="TableParagraph"/>
              <w:spacing w:line="360" w:lineRule="auto"/>
              <w:ind w:right="408"/>
              <w:rPr>
                <w:rFonts w:ascii="Times New Roman"/>
                <w:sz w:val="24"/>
              </w:rPr>
            </w:pPr>
            <w:r>
              <w:rPr>
                <w:rFonts w:ascii="Times New Roman"/>
                <w:sz w:val="24"/>
              </w:rPr>
              <w:t>16S rDNA</w:t>
            </w:r>
          </w:p>
        </w:tc>
      </w:tr>
      <w:tr>
        <w:trPr>
          <w:trHeight w:val="840" w:hRule="exact"/>
        </w:trPr>
        <w:tc>
          <w:tcPr>
            <w:tcW w:w="3237" w:type="dxa"/>
          </w:tcPr>
          <w:p>
            <w:pPr>
              <w:pStyle w:val="TableParagraph"/>
              <w:spacing w:line="360" w:lineRule="auto"/>
              <w:ind w:left="100" w:right="105"/>
              <w:rPr>
                <w:rFonts w:ascii="Times New Roman"/>
                <w:i/>
                <w:sz w:val="24"/>
              </w:rPr>
            </w:pPr>
            <w:r>
              <w:rPr>
                <w:rFonts w:ascii="Times New Roman"/>
                <w:i/>
                <w:sz w:val="24"/>
              </w:rPr>
              <w:t>Francisella tularensis subsp. </w:t>
            </w:r>
            <w:r>
              <w:rPr>
                <w:rFonts w:ascii="Times New Roman"/>
                <w:i/>
                <w:sz w:val="24"/>
              </w:rPr>
              <w:t>tularensis</w:t>
            </w:r>
          </w:p>
        </w:tc>
        <w:tc>
          <w:tcPr>
            <w:tcW w:w="1546" w:type="dxa"/>
          </w:tcPr>
          <w:p>
            <w:pPr>
              <w:pStyle w:val="TableParagraph"/>
              <w:spacing w:line="268" w:lineRule="exact"/>
              <w:rPr>
                <w:rFonts w:ascii="Times New Roman"/>
                <w:sz w:val="24"/>
              </w:rPr>
            </w:pPr>
            <w:r>
              <w:rPr>
                <w:rFonts w:ascii="Times New Roman"/>
                <w:sz w:val="24"/>
              </w:rPr>
              <w:t>AY968225.1</w:t>
            </w:r>
          </w:p>
        </w:tc>
        <w:tc>
          <w:tcPr>
            <w:tcW w:w="1224" w:type="dxa"/>
          </w:tcPr>
          <w:p>
            <w:pPr>
              <w:pStyle w:val="TableParagraph"/>
              <w:spacing w:line="268" w:lineRule="exact"/>
              <w:ind w:left="101"/>
              <w:rPr>
                <w:rFonts w:ascii="Times New Roman"/>
                <w:sz w:val="24"/>
              </w:rPr>
            </w:pPr>
            <w:r>
              <w:rPr>
                <w:rFonts w:ascii="Times New Roman"/>
                <w:sz w:val="24"/>
              </w:rPr>
              <w:t>USA</w:t>
            </w:r>
          </w:p>
        </w:tc>
        <w:tc>
          <w:tcPr>
            <w:tcW w:w="1753" w:type="dxa"/>
          </w:tcPr>
          <w:p>
            <w:pPr>
              <w:pStyle w:val="TableParagraph"/>
              <w:spacing w:line="268" w:lineRule="exact"/>
              <w:ind w:left="106"/>
              <w:rPr>
                <w:rFonts w:ascii="Times New Roman"/>
                <w:sz w:val="24"/>
              </w:rPr>
            </w:pPr>
            <w:r>
              <w:rPr>
                <w:rFonts w:ascii="Times New Roman"/>
                <w:sz w:val="24"/>
              </w:rPr>
              <w:t>FSC 199</w:t>
            </w:r>
          </w:p>
        </w:tc>
        <w:tc>
          <w:tcPr>
            <w:tcW w:w="1143" w:type="dxa"/>
          </w:tcPr>
          <w:p>
            <w:pPr>
              <w:pStyle w:val="TableParagraph"/>
              <w:spacing w:line="268" w:lineRule="exact"/>
              <w:rPr>
                <w:rFonts w:ascii="Times New Roman" w:hAnsi="Times New Roman"/>
                <w:sz w:val="24"/>
              </w:rPr>
            </w:pPr>
            <w:r>
              <w:rPr>
                <w:rFonts w:ascii="Times New Roman" w:hAnsi="Times New Roman"/>
                <w:w w:val="100"/>
                <w:sz w:val="24"/>
              </w:rPr>
              <w:t>“</w:t>
            </w:r>
          </w:p>
        </w:tc>
      </w:tr>
      <w:tr>
        <w:trPr>
          <w:trHeight w:val="836" w:hRule="exact"/>
        </w:trPr>
        <w:tc>
          <w:tcPr>
            <w:tcW w:w="3237" w:type="dxa"/>
          </w:tcPr>
          <w:p>
            <w:pPr>
              <w:pStyle w:val="TableParagraph"/>
              <w:spacing w:line="360" w:lineRule="auto"/>
              <w:ind w:left="100" w:right="105"/>
              <w:rPr>
                <w:rFonts w:ascii="Times New Roman"/>
                <w:i/>
                <w:sz w:val="24"/>
              </w:rPr>
            </w:pPr>
            <w:r>
              <w:rPr>
                <w:rFonts w:ascii="Times New Roman"/>
                <w:i/>
                <w:sz w:val="24"/>
              </w:rPr>
              <w:t>Francisella tularensis subsp. </w:t>
            </w:r>
            <w:r>
              <w:rPr>
                <w:rFonts w:ascii="Times New Roman"/>
                <w:i/>
                <w:sz w:val="24"/>
              </w:rPr>
              <w:t>mediasiatica</w:t>
            </w:r>
          </w:p>
        </w:tc>
        <w:tc>
          <w:tcPr>
            <w:tcW w:w="1546" w:type="dxa"/>
          </w:tcPr>
          <w:p>
            <w:pPr>
              <w:pStyle w:val="TableParagraph"/>
              <w:spacing w:line="268" w:lineRule="exact"/>
              <w:rPr>
                <w:rFonts w:ascii="Times New Roman"/>
                <w:sz w:val="24"/>
              </w:rPr>
            </w:pPr>
            <w:r>
              <w:rPr>
                <w:rFonts w:ascii="Times New Roman"/>
                <w:sz w:val="24"/>
              </w:rPr>
              <w:t>AY968236.1</w:t>
            </w:r>
          </w:p>
        </w:tc>
        <w:tc>
          <w:tcPr>
            <w:tcW w:w="1224" w:type="dxa"/>
          </w:tcPr>
          <w:p>
            <w:pPr>
              <w:pStyle w:val="TableParagraph"/>
              <w:spacing w:line="268" w:lineRule="exact"/>
              <w:ind w:left="101"/>
              <w:rPr>
                <w:rFonts w:ascii="Times New Roman"/>
                <w:sz w:val="24"/>
              </w:rPr>
            </w:pPr>
            <w:r>
              <w:rPr>
                <w:rFonts w:ascii="Times New Roman"/>
                <w:sz w:val="24"/>
              </w:rPr>
              <w:t>USA</w:t>
            </w:r>
          </w:p>
        </w:tc>
        <w:tc>
          <w:tcPr>
            <w:tcW w:w="1753" w:type="dxa"/>
          </w:tcPr>
          <w:p>
            <w:pPr>
              <w:pStyle w:val="TableParagraph"/>
              <w:spacing w:line="268" w:lineRule="exact"/>
              <w:ind w:left="106"/>
              <w:rPr>
                <w:rFonts w:ascii="Times New Roman"/>
                <w:sz w:val="24"/>
              </w:rPr>
            </w:pPr>
            <w:r>
              <w:rPr>
                <w:rFonts w:ascii="Times New Roman"/>
                <w:sz w:val="24"/>
              </w:rPr>
              <w:t>FSC 149</w:t>
            </w:r>
          </w:p>
        </w:tc>
        <w:tc>
          <w:tcPr>
            <w:tcW w:w="1143" w:type="dxa"/>
          </w:tcPr>
          <w:p>
            <w:pPr>
              <w:pStyle w:val="TableParagraph"/>
              <w:spacing w:line="268" w:lineRule="exact"/>
              <w:rPr>
                <w:rFonts w:ascii="Times New Roman" w:hAnsi="Times New Roman"/>
                <w:sz w:val="24"/>
              </w:rPr>
            </w:pPr>
            <w:r>
              <w:rPr>
                <w:rFonts w:ascii="Times New Roman" w:hAnsi="Times New Roman"/>
                <w:w w:val="100"/>
                <w:sz w:val="24"/>
              </w:rPr>
              <w:t>“</w:t>
            </w:r>
          </w:p>
        </w:tc>
      </w:tr>
      <w:tr>
        <w:trPr>
          <w:trHeight w:val="427" w:hRule="exact"/>
        </w:trPr>
        <w:tc>
          <w:tcPr>
            <w:tcW w:w="3237" w:type="dxa"/>
          </w:tcPr>
          <w:p>
            <w:pPr>
              <w:pStyle w:val="TableParagraph"/>
              <w:spacing w:line="268" w:lineRule="exact"/>
              <w:ind w:left="100" w:right="105"/>
              <w:rPr>
                <w:rFonts w:ascii="Times New Roman"/>
                <w:i/>
                <w:sz w:val="24"/>
              </w:rPr>
            </w:pPr>
            <w:r>
              <w:rPr>
                <w:rFonts w:ascii="Times New Roman"/>
                <w:i/>
                <w:sz w:val="24"/>
              </w:rPr>
              <w:t>Wolbachia persica</w:t>
            </w:r>
          </w:p>
        </w:tc>
        <w:tc>
          <w:tcPr>
            <w:tcW w:w="1546" w:type="dxa"/>
          </w:tcPr>
          <w:p>
            <w:pPr>
              <w:pStyle w:val="TableParagraph"/>
              <w:spacing w:line="268" w:lineRule="exact"/>
              <w:rPr>
                <w:rFonts w:ascii="Times New Roman"/>
                <w:sz w:val="24"/>
              </w:rPr>
            </w:pPr>
            <w:r>
              <w:rPr>
                <w:rFonts w:ascii="Times New Roman"/>
                <w:sz w:val="24"/>
              </w:rPr>
              <w:t>M21292.1</w:t>
            </w:r>
          </w:p>
        </w:tc>
        <w:tc>
          <w:tcPr>
            <w:tcW w:w="1224" w:type="dxa"/>
          </w:tcPr>
          <w:p>
            <w:pPr>
              <w:pStyle w:val="TableParagraph"/>
              <w:spacing w:line="268" w:lineRule="exact"/>
              <w:ind w:left="101"/>
              <w:rPr>
                <w:rFonts w:ascii="Times New Roman"/>
                <w:sz w:val="24"/>
              </w:rPr>
            </w:pPr>
            <w:r>
              <w:rPr>
                <w:rFonts w:ascii="Times New Roman"/>
                <w:w w:val="99"/>
                <w:sz w:val="24"/>
              </w:rPr>
              <w:t>-</w:t>
            </w:r>
          </w:p>
        </w:tc>
        <w:tc>
          <w:tcPr>
            <w:tcW w:w="1753" w:type="dxa"/>
          </w:tcPr>
          <w:p>
            <w:pPr>
              <w:pStyle w:val="TableParagraph"/>
              <w:spacing w:line="268" w:lineRule="exact"/>
              <w:ind w:left="106"/>
              <w:rPr>
                <w:rFonts w:ascii="Times New Roman"/>
                <w:sz w:val="24"/>
              </w:rPr>
            </w:pPr>
            <w:r>
              <w:rPr>
                <w:rFonts w:ascii="Times New Roman"/>
                <w:sz w:val="24"/>
              </w:rPr>
              <w:t>ATCC VR 331</w:t>
            </w:r>
          </w:p>
        </w:tc>
        <w:tc>
          <w:tcPr>
            <w:tcW w:w="1143" w:type="dxa"/>
          </w:tcPr>
          <w:p>
            <w:pPr>
              <w:pStyle w:val="TableParagraph"/>
              <w:spacing w:line="268" w:lineRule="exact"/>
              <w:rPr>
                <w:rFonts w:ascii="Times New Roman" w:hAnsi="Times New Roman"/>
                <w:sz w:val="24"/>
              </w:rPr>
            </w:pPr>
            <w:r>
              <w:rPr>
                <w:rFonts w:ascii="Times New Roman" w:hAnsi="Times New Roman"/>
                <w:w w:val="100"/>
                <w:sz w:val="24"/>
              </w:rPr>
              <w:t>“</w:t>
            </w:r>
          </w:p>
        </w:tc>
      </w:tr>
      <w:tr>
        <w:trPr>
          <w:trHeight w:val="422" w:hRule="exact"/>
        </w:trPr>
        <w:tc>
          <w:tcPr>
            <w:tcW w:w="3237" w:type="dxa"/>
          </w:tcPr>
          <w:p>
            <w:pPr>
              <w:pStyle w:val="TableParagraph"/>
              <w:spacing w:line="268" w:lineRule="exact"/>
              <w:ind w:left="100" w:right="105"/>
              <w:rPr>
                <w:rFonts w:ascii="Times New Roman"/>
                <w:i/>
                <w:sz w:val="24"/>
              </w:rPr>
            </w:pPr>
            <w:r>
              <w:rPr>
                <w:rFonts w:ascii="Times New Roman"/>
                <w:i/>
                <w:sz w:val="24"/>
              </w:rPr>
              <w:t>Francisella philomiragia</w:t>
            </w:r>
          </w:p>
        </w:tc>
        <w:tc>
          <w:tcPr>
            <w:tcW w:w="1546" w:type="dxa"/>
          </w:tcPr>
          <w:p>
            <w:pPr>
              <w:pStyle w:val="TableParagraph"/>
              <w:spacing w:line="268" w:lineRule="exact"/>
              <w:rPr>
                <w:rFonts w:ascii="Times New Roman"/>
                <w:sz w:val="24"/>
              </w:rPr>
            </w:pPr>
            <w:r>
              <w:rPr>
                <w:rFonts w:ascii="Times New Roman"/>
                <w:sz w:val="24"/>
              </w:rPr>
              <w:t>Z21933.1</w:t>
            </w:r>
          </w:p>
        </w:tc>
        <w:tc>
          <w:tcPr>
            <w:tcW w:w="1224" w:type="dxa"/>
          </w:tcPr>
          <w:p>
            <w:pPr>
              <w:pStyle w:val="TableParagraph"/>
              <w:spacing w:line="268" w:lineRule="exact"/>
              <w:ind w:left="101"/>
              <w:rPr>
                <w:rFonts w:ascii="Times New Roman"/>
                <w:sz w:val="24"/>
              </w:rPr>
            </w:pPr>
            <w:r>
              <w:rPr>
                <w:rFonts w:ascii="Times New Roman"/>
                <w:sz w:val="24"/>
              </w:rPr>
              <w:t>USA</w:t>
            </w:r>
          </w:p>
        </w:tc>
        <w:tc>
          <w:tcPr>
            <w:tcW w:w="1753" w:type="dxa"/>
          </w:tcPr>
          <w:p>
            <w:pPr>
              <w:pStyle w:val="TableParagraph"/>
              <w:spacing w:line="268" w:lineRule="exact"/>
              <w:ind w:left="106"/>
              <w:rPr>
                <w:rFonts w:ascii="Times New Roman"/>
                <w:i/>
                <w:sz w:val="24"/>
              </w:rPr>
            </w:pPr>
            <w:r>
              <w:rPr>
                <w:rFonts w:ascii="Times New Roman"/>
                <w:i/>
                <w:sz w:val="24"/>
              </w:rPr>
              <w:t>Homo sapiens</w:t>
            </w:r>
          </w:p>
        </w:tc>
        <w:tc>
          <w:tcPr>
            <w:tcW w:w="1143" w:type="dxa"/>
          </w:tcPr>
          <w:p>
            <w:pPr>
              <w:pStyle w:val="TableParagraph"/>
              <w:spacing w:line="268" w:lineRule="exact"/>
              <w:rPr>
                <w:rFonts w:ascii="Times New Roman" w:hAnsi="Times New Roman"/>
                <w:sz w:val="24"/>
              </w:rPr>
            </w:pPr>
            <w:r>
              <w:rPr>
                <w:rFonts w:ascii="Times New Roman" w:hAnsi="Times New Roman"/>
                <w:w w:val="100"/>
                <w:sz w:val="24"/>
              </w:rPr>
              <w:t>“</w:t>
            </w:r>
          </w:p>
        </w:tc>
      </w:tr>
      <w:tr>
        <w:trPr>
          <w:trHeight w:val="836" w:hRule="exact"/>
        </w:trPr>
        <w:tc>
          <w:tcPr>
            <w:tcW w:w="3237" w:type="dxa"/>
          </w:tcPr>
          <w:p>
            <w:pPr>
              <w:pStyle w:val="TableParagraph"/>
              <w:spacing w:line="360" w:lineRule="auto"/>
              <w:ind w:left="100" w:right="105"/>
              <w:rPr>
                <w:rFonts w:ascii="Times New Roman"/>
                <w:i/>
                <w:sz w:val="24"/>
              </w:rPr>
            </w:pPr>
            <w:r>
              <w:rPr>
                <w:rFonts w:ascii="Times New Roman"/>
                <w:i/>
                <w:sz w:val="24"/>
              </w:rPr>
              <w:t>Francisella noatunensis subsp. </w:t>
            </w:r>
            <w:r>
              <w:rPr>
                <w:rFonts w:ascii="Times New Roman"/>
                <w:i/>
                <w:sz w:val="24"/>
              </w:rPr>
              <w:t>orientalis</w:t>
            </w:r>
          </w:p>
        </w:tc>
        <w:tc>
          <w:tcPr>
            <w:tcW w:w="1546" w:type="dxa"/>
          </w:tcPr>
          <w:p>
            <w:pPr>
              <w:pStyle w:val="TableParagraph"/>
              <w:spacing w:line="360" w:lineRule="auto"/>
              <w:ind w:right="178"/>
              <w:rPr>
                <w:rFonts w:ascii="Times New Roman"/>
                <w:sz w:val="24"/>
              </w:rPr>
            </w:pPr>
            <w:r>
              <w:rPr>
                <w:rFonts w:ascii="Times New Roman"/>
                <w:sz w:val="24"/>
              </w:rPr>
              <w:t>NR_074581. 1</w:t>
            </w:r>
          </w:p>
        </w:tc>
        <w:tc>
          <w:tcPr>
            <w:tcW w:w="1224" w:type="dxa"/>
          </w:tcPr>
          <w:p>
            <w:pPr>
              <w:pStyle w:val="TableParagraph"/>
              <w:spacing w:line="268" w:lineRule="exact"/>
              <w:ind w:left="101"/>
              <w:rPr>
                <w:rFonts w:ascii="Times New Roman"/>
                <w:sz w:val="24"/>
              </w:rPr>
            </w:pPr>
            <w:r>
              <w:rPr>
                <w:rFonts w:ascii="Times New Roman"/>
                <w:sz w:val="24"/>
              </w:rPr>
              <w:t>Indonesia</w:t>
            </w:r>
          </w:p>
        </w:tc>
        <w:tc>
          <w:tcPr>
            <w:tcW w:w="1753" w:type="dxa"/>
          </w:tcPr>
          <w:p>
            <w:pPr>
              <w:pStyle w:val="TableParagraph"/>
              <w:spacing w:line="268" w:lineRule="exact"/>
              <w:ind w:left="106"/>
              <w:rPr>
                <w:rFonts w:ascii="Times New Roman"/>
                <w:i/>
                <w:sz w:val="24"/>
              </w:rPr>
            </w:pPr>
            <w:r>
              <w:rPr>
                <w:rFonts w:ascii="Times New Roman"/>
                <w:i/>
                <w:sz w:val="24"/>
              </w:rPr>
              <w:t>Tilapia</w:t>
            </w:r>
          </w:p>
        </w:tc>
        <w:tc>
          <w:tcPr>
            <w:tcW w:w="1143" w:type="dxa"/>
          </w:tcPr>
          <w:p>
            <w:pPr>
              <w:pStyle w:val="TableParagraph"/>
              <w:spacing w:line="268" w:lineRule="exact"/>
              <w:rPr>
                <w:rFonts w:ascii="Times New Roman" w:hAnsi="Times New Roman"/>
                <w:sz w:val="24"/>
              </w:rPr>
            </w:pPr>
            <w:r>
              <w:rPr>
                <w:rFonts w:ascii="Times New Roman" w:hAnsi="Times New Roman"/>
                <w:w w:val="100"/>
                <w:sz w:val="24"/>
              </w:rPr>
              <w:t>“</w:t>
            </w:r>
          </w:p>
        </w:tc>
      </w:tr>
      <w:tr>
        <w:trPr>
          <w:trHeight w:val="840" w:hRule="exact"/>
        </w:trPr>
        <w:tc>
          <w:tcPr>
            <w:tcW w:w="3237" w:type="dxa"/>
          </w:tcPr>
          <w:p>
            <w:pPr>
              <w:pStyle w:val="TableParagraph"/>
              <w:spacing w:line="360" w:lineRule="auto"/>
              <w:ind w:left="100" w:right="105"/>
              <w:rPr>
                <w:rFonts w:ascii="Times New Roman"/>
                <w:i/>
                <w:sz w:val="24"/>
              </w:rPr>
            </w:pPr>
            <w:r>
              <w:rPr>
                <w:rFonts w:ascii="Times New Roman"/>
                <w:i/>
                <w:sz w:val="24"/>
              </w:rPr>
              <w:t>Francisella noatunensis subsp. </w:t>
            </w:r>
            <w:r>
              <w:rPr>
                <w:rFonts w:ascii="Times New Roman"/>
                <w:i/>
                <w:sz w:val="24"/>
              </w:rPr>
              <w:t>orientalis</w:t>
            </w:r>
          </w:p>
        </w:tc>
        <w:tc>
          <w:tcPr>
            <w:tcW w:w="1546" w:type="dxa"/>
          </w:tcPr>
          <w:p>
            <w:pPr>
              <w:pStyle w:val="TableParagraph"/>
              <w:spacing w:line="273" w:lineRule="exact"/>
              <w:rPr>
                <w:rFonts w:ascii="Times New Roman"/>
                <w:sz w:val="24"/>
              </w:rPr>
            </w:pPr>
            <w:r>
              <w:rPr>
                <w:rFonts w:ascii="Times New Roman"/>
                <w:sz w:val="24"/>
              </w:rPr>
              <w:t>EU683030.1</w:t>
            </w:r>
          </w:p>
        </w:tc>
        <w:tc>
          <w:tcPr>
            <w:tcW w:w="1224" w:type="dxa"/>
          </w:tcPr>
          <w:p>
            <w:pPr>
              <w:pStyle w:val="TableParagraph"/>
              <w:spacing w:line="273" w:lineRule="exact"/>
              <w:ind w:left="101"/>
              <w:rPr>
                <w:rFonts w:ascii="Times New Roman"/>
                <w:sz w:val="24"/>
              </w:rPr>
            </w:pPr>
            <w:r>
              <w:rPr>
                <w:rFonts w:ascii="Times New Roman"/>
                <w:sz w:val="24"/>
              </w:rPr>
              <w:t>Japan</w:t>
            </w:r>
          </w:p>
        </w:tc>
        <w:tc>
          <w:tcPr>
            <w:tcW w:w="1753" w:type="dxa"/>
          </w:tcPr>
          <w:p>
            <w:pPr>
              <w:pStyle w:val="TableParagraph"/>
              <w:spacing w:line="360" w:lineRule="auto"/>
              <w:ind w:left="106"/>
              <w:rPr>
                <w:rFonts w:ascii="Times New Roman"/>
                <w:i/>
                <w:sz w:val="24"/>
              </w:rPr>
            </w:pPr>
            <w:r>
              <w:rPr>
                <w:rFonts w:ascii="Times New Roman"/>
                <w:i/>
                <w:sz w:val="24"/>
              </w:rPr>
              <w:t>Parapristipoma </w:t>
            </w:r>
            <w:r>
              <w:rPr>
                <w:rFonts w:ascii="Times New Roman"/>
                <w:i/>
                <w:sz w:val="24"/>
              </w:rPr>
              <w:t>trilineatum</w:t>
            </w:r>
          </w:p>
        </w:tc>
        <w:tc>
          <w:tcPr>
            <w:tcW w:w="1143" w:type="dxa"/>
          </w:tcPr>
          <w:p>
            <w:pPr>
              <w:pStyle w:val="TableParagraph"/>
              <w:spacing w:line="273" w:lineRule="exact"/>
              <w:rPr>
                <w:rFonts w:ascii="Times New Roman" w:hAnsi="Times New Roman"/>
                <w:sz w:val="24"/>
              </w:rPr>
            </w:pPr>
            <w:r>
              <w:rPr>
                <w:rFonts w:ascii="Times New Roman" w:hAnsi="Times New Roman"/>
                <w:w w:val="100"/>
                <w:sz w:val="24"/>
              </w:rPr>
              <w:t>“</w:t>
            </w:r>
          </w:p>
        </w:tc>
      </w:tr>
      <w:tr>
        <w:trPr>
          <w:trHeight w:val="841" w:hRule="exact"/>
        </w:trPr>
        <w:tc>
          <w:tcPr>
            <w:tcW w:w="3237" w:type="dxa"/>
          </w:tcPr>
          <w:p>
            <w:pPr>
              <w:pStyle w:val="TableParagraph"/>
              <w:spacing w:line="268" w:lineRule="exact"/>
              <w:ind w:left="100" w:right="105"/>
              <w:rPr>
                <w:rFonts w:ascii="Times New Roman"/>
                <w:i/>
                <w:sz w:val="24"/>
              </w:rPr>
            </w:pPr>
            <w:r>
              <w:rPr>
                <w:rFonts w:ascii="Times New Roman"/>
                <w:i/>
                <w:sz w:val="24"/>
              </w:rPr>
              <w:t>Coxiella burnetii</w:t>
            </w:r>
          </w:p>
        </w:tc>
        <w:tc>
          <w:tcPr>
            <w:tcW w:w="1546" w:type="dxa"/>
          </w:tcPr>
          <w:p>
            <w:pPr>
              <w:pStyle w:val="TableParagraph"/>
              <w:spacing w:line="268" w:lineRule="exact"/>
              <w:rPr>
                <w:rFonts w:ascii="Times New Roman"/>
                <w:sz w:val="24"/>
              </w:rPr>
            </w:pPr>
            <w:r>
              <w:rPr>
                <w:rFonts w:ascii="Times New Roman"/>
                <w:sz w:val="24"/>
              </w:rPr>
              <w:t>AY342037.1</w:t>
            </w:r>
          </w:p>
        </w:tc>
        <w:tc>
          <w:tcPr>
            <w:tcW w:w="1224" w:type="dxa"/>
          </w:tcPr>
          <w:p>
            <w:pPr>
              <w:pStyle w:val="TableParagraph"/>
              <w:spacing w:line="268" w:lineRule="exact"/>
              <w:ind w:left="101"/>
              <w:rPr>
                <w:rFonts w:ascii="Times New Roman"/>
                <w:sz w:val="24"/>
              </w:rPr>
            </w:pPr>
            <w:r>
              <w:rPr>
                <w:rFonts w:ascii="Times New Roman"/>
                <w:sz w:val="24"/>
              </w:rPr>
              <w:t>Korea</w:t>
            </w:r>
          </w:p>
        </w:tc>
        <w:tc>
          <w:tcPr>
            <w:tcW w:w="1753" w:type="dxa"/>
          </w:tcPr>
          <w:p>
            <w:pPr>
              <w:pStyle w:val="TableParagraph"/>
              <w:spacing w:line="360" w:lineRule="auto"/>
              <w:ind w:left="106"/>
              <w:rPr>
                <w:rFonts w:ascii="Times New Roman"/>
                <w:i/>
                <w:sz w:val="24"/>
              </w:rPr>
            </w:pPr>
            <w:r>
              <w:rPr>
                <w:rFonts w:ascii="Times New Roman"/>
                <w:i/>
                <w:sz w:val="24"/>
              </w:rPr>
              <w:t>Haemaphysalis </w:t>
            </w:r>
            <w:r>
              <w:rPr>
                <w:rFonts w:ascii="Times New Roman"/>
                <w:i/>
                <w:sz w:val="24"/>
              </w:rPr>
              <w:t>longicornis</w:t>
            </w:r>
          </w:p>
        </w:tc>
        <w:tc>
          <w:tcPr>
            <w:tcW w:w="1143" w:type="dxa"/>
          </w:tcPr>
          <w:p>
            <w:pPr>
              <w:pStyle w:val="TableParagraph"/>
              <w:spacing w:line="268" w:lineRule="exact"/>
              <w:rPr>
                <w:rFonts w:ascii="Times New Roman" w:hAnsi="Times New Roman"/>
                <w:sz w:val="24"/>
              </w:rPr>
            </w:pPr>
            <w:r>
              <w:rPr>
                <w:rFonts w:ascii="Times New Roman" w:hAnsi="Times New Roman"/>
                <w:w w:val="100"/>
                <w:sz w:val="24"/>
              </w:rPr>
              <w:t>“</w:t>
            </w:r>
          </w:p>
        </w:tc>
      </w:tr>
      <w:tr>
        <w:trPr>
          <w:trHeight w:val="422" w:hRule="exact"/>
        </w:trPr>
        <w:tc>
          <w:tcPr>
            <w:tcW w:w="3237" w:type="dxa"/>
          </w:tcPr>
          <w:p>
            <w:pPr>
              <w:pStyle w:val="TableParagraph"/>
              <w:spacing w:line="268" w:lineRule="exact"/>
              <w:ind w:left="100" w:right="105"/>
              <w:rPr>
                <w:rFonts w:ascii="Times New Roman"/>
                <w:i/>
                <w:sz w:val="24"/>
              </w:rPr>
            </w:pPr>
            <w:r>
              <w:rPr>
                <w:rFonts w:ascii="Times New Roman"/>
                <w:i/>
                <w:sz w:val="24"/>
              </w:rPr>
              <w:t>Legionella pneumophila</w:t>
            </w:r>
          </w:p>
        </w:tc>
        <w:tc>
          <w:tcPr>
            <w:tcW w:w="1546" w:type="dxa"/>
          </w:tcPr>
          <w:p>
            <w:pPr>
              <w:pStyle w:val="TableParagraph"/>
              <w:spacing w:line="268" w:lineRule="exact"/>
              <w:rPr>
                <w:rFonts w:ascii="Times New Roman"/>
                <w:sz w:val="24"/>
              </w:rPr>
            </w:pPr>
            <w:r>
              <w:rPr>
                <w:rFonts w:ascii="Times New Roman"/>
                <w:sz w:val="24"/>
              </w:rPr>
              <w:t>M59157.1</w:t>
            </w:r>
          </w:p>
        </w:tc>
        <w:tc>
          <w:tcPr>
            <w:tcW w:w="1224" w:type="dxa"/>
          </w:tcPr>
          <w:p>
            <w:pPr>
              <w:pStyle w:val="TableParagraph"/>
              <w:spacing w:line="268" w:lineRule="exact"/>
              <w:ind w:left="101"/>
              <w:rPr>
                <w:rFonts w:ascii="Times New Roman"/>
                <w:sz w:val="24"/>
              </w:rPr>
            </w:pPr>
            <w:r>
              <w:rPr>
                <w:rFonts w:ascii="Times New Roman"/>
                <w:w w:val="99"/>
                <w:sz w:val="24"/>
              </w:rPr>
              <w:t>-</w:t>
            </w:r>
          </w:p>
        </w:tc>
        <w:tc>
          <w:tcPr>
            <w:tcW w:w="1753" w:type="dxa"/>
          </w:tcPr>
          <w:p>
            <w:pPr>
              <w:pStyle w:val="TableParagraph"/>
              <w:spacing w:line="268" w:lineRule="exact"/>
              <w:ind w:left="106"/>
              <w:rPr>
                <w:rFonts w:ascii="Times New Roman"/>
                <w:sz w:val="24"/>
              </w:rPr>
            </w:pPr>
            <w:r>
              <w:rPr>
                <w:rFonts w:ascii="Times New Roman"/>
                <w:sz w:val="24"/>
              </w:rPr>
              <w:t>ATCC 33152</w:t>
            </w:r>
          </w:p>
        </w:tc>
        <w:tc>
          <w:tcPr>
            <w:tcW w:w="1143" w:type="dxa"/>
          </w:tcPr>
          <w:p>
            <w:pPr>
              <w:pStyle w:val="TableParagraph"/>
              <w:spacing w:line="268" w:lineRule="exact"/>
              <w:rPr>
                <w:rFonts w:ascii="Times New Roman" w:hAnsi="Times New Roman"/>
                <w:sz w:val="24"/>
              </w:rPr>
            </w:pPr>
            <w:r>
              <w:rPr>
                <w:rFonts w:ascii="Times New Roman" w:hAnsi="Times New Roman"/>
                <w:w w:val="100"/>
                <w:sz w:val="24"/>
              </w:rPr>
              <w:t>“</w:t>
            </w:r>
          </w:p>
        </w:tc>
      </w:tr>
      <w:tr>
        <w:trPr>
          <w:trHeight w:val="840" w:hRule="exact"/>
        </w:trPr>
        <w:tc>
          <w:tcPr>
            <w:tcW w:w="3237" w:type="dxa"/>
          </w:tcPr>
          <w:p>
            <w:pPr>
              <w:pStyle w:val="TableParagraph"/>
              <w:spacing w:line="268" w:lineRule="exact"/>
              <w:ind w:left="100" w:right="105"/>
              <w:rPr>
                <w:rFonts w:ascii="Times New Roman"/>
                <w:i/>
                <w:sz w:val="24"/>
              </w:rPr>
            </w:pPr>
            <w:r>
              <w:rPr>
                <w:rFonts w:ascii="Times New Roman"/>
                <w:i/>
                <w:sz w:val="24"/>
              </w:rPr>
              <w:t>Piscirickettsia salmonis LF-89</w:t>
            </w:r>
          </w:p>
        </w:tc>
        <w:tc>
          <w:tcPr>
            <w:tcW w:w="1546" w:type="dxa"/>
          </w:tcPr>
          <w:p>
            <w:pPr>
              <w:pStyle w:val="TableParagraph"/>
              <w:spacing w:line="268" w:lineRule="exact"/>
              <w:rPr>
                <w:rFonts w:ascii="Times New Roman"/>
                <w:sz w:val="24"/>
              </w:rPr>
            </w:pPr>
            <w:r>
              <w:rPr>
                <w:rFonts w:ascii="Times New Roman"/>
                <w:sz w:val="24"/>
              </w:rPr>
              <w:t>U36941.1</w:t>
            </w:r>
          </w:p>
        </w:tc>
        <w:tc>
          <w:tcPr>
            <w:tcW w:w="1224" w:type="dxa"/>
          </w:tcPr>
          <w:p>
            <w:pPr>
              <w:pStyle w:val="TableParagraph"/>
              <w:spacing w:line="268" w:lineRule="exact"/>
              <w:ind w:left="101"/>
              <w:rPr>
                <w:rFonts w:ascii="Times New Roman"/>
                <w:sz w:val="24"/>
              </w:rPr>
            </w:pPr>
            <w:r>
              <w:rPr>
                <w:rFonts w:ascii="Times New Roman"/>
                <w:sz w:val="24"/>
              </w:rPr>
              <w:t>Chile</w:t>
            </w:r>
          </w:p>
        </w:tc>
        <w:tc>
          <w:tcPr>
            <w:tcW w:w="1753" w:type="dxa"/>
          </w:tcPr>
          <w:p>
            <w:pPr>
              <w:pStyle w:val="TableParagraph"/>
              <w:spacing w:line="360" w:lineRule="auto"/>
              <w:ind w:left="106" w:right="217"/>
              <w:rPr>
                <w:rFonts w:ascii="Times New Roman"/>
                <w:i/>
                <w:sz w:val="24"/>
              </w:rPr>
            </w:pPr>
            <w:r>
              <w:rPr>
                <w:rFonts w:ascii="Times New Roman"/>
                <w:i/>
                <w:sz w:val="24"/>
              </w:rPr>
              <w:t>Oncorhynchus</w:t>
            </w:r>
            <w:r>
              <w:rPr>
                <w:rFonts w:ascii="Times New Roman"/>
                <w:i/>
                <w:w w:val="99"/>
                <w:sz w:val="24"/>
              </w:rPr>
              <w:t> </w:t>
            </w:r>
            <w:r>
              <w:rPr>
                <w:rFonts w:ascii="Times New Roman"/>
                <w:i/>
                <w:sz w:val="24"/>
              </w:rPr>
              <w:t>kisutch</w:t>
            </w:r>
          </w:p>
        </w:tc>
        <w:tc>
          <w:tcPr>
            <w:tcW w:w="1143" w:type="dxa"/>
          </w:tcPr>
          <w:p>
            <w:pPr>
              <w:pStyle w:val="TableParagraph"/>
              <w:spacing w:line="268" w:lineRule="exact"/>
              <w:rPr>
                <w:rFonts w:ascii="Times New Roman" w:hAnsi="Times New Roman"/>
                <w:sz w:val="24"/>
              </w:rPr>
            </w:pPr>
            <w:r>
              <w:rPr>
                <w:rFonts w:ascii="Times New Roman" w:hAnsi="Times New Roman"/>
                <w:w w:val="100"/>
                <w:sz w:val="24"/>
              </w:rPr>
              <w:t>“</w:t>
            </w:r>
          </w:p>
        </w:tc>
      </w:tr>
      <w:tr>
        <w:trPr>
          <w:trHeight w:val="423" w:hRule="exact"/>
        </w:trPr>
        <w:tc>
          <w:tcPr>
            <w:tcW w:w="3237" w:type="dxa"/>
          </w:tcPr>
          <w:p>
            <w:pPr>
              <w:pStyle w:val="TableParagraph"/>
              <w:spacing w:line="268" w:lineRule="exact"/>
              <w:ind w:left="100" w:right="105"/>
              <w:rPr>
                <w:rFonts w:ascii="Times New Roman"/>
                <w:i/>
                <w:sz w:val="24"/>
              </w:rPr>
            </w:pPr>
            <w:r>
              <w:rPr>
                <w:rFonts w:ascii="Times New Roman"/>
                <w:i/>
                <w:sz w:val="24"/>
              </w:rPr>
              <w:t>Pseudomonas aeruginosa</w:t>
            </w:r>
          </w:p>
        </w:tc>
        <w:tc>
          <w:tcPr>
            <w:tcW w:w="1546" w:type="dxa"/>
          </w:tcPr>
          <w:p>
            <w:pPr>
              <w:pStyle w:val="TableParagraph"/>
              <w:spacing w:line="268" w:lineRule="exact"/>
              <w:rPr>
                <w:rFonts w:ascii="Times New Roman"/>
                <w:sz w:val="24"/>
              </w:rPr>
            </w:pPr>
            <w:r>
              <w:rPr>
                <w:rFonts w:ascii="Times New Roman"/>
                <w:sz w:val="24"/>
              </w:rPr>
              <w:t>M34133.1</w:t>
            </w:r>
          </w:p>
        </w:tc>
        <w:tc>
          <w:tcPr>
            <w:tcW w:w="1224" w:type="dxa"/>
          </w:tcPr>
          <w:p>
            <w:pPr>
              <w:pStyle w:val="TableParagraph"/>
              <w:spacing w:line="268" w:lineRule="exact"/>
              <w:ind w:left="101"/>
              <w:rPr>
                <w:rFonts w:ascii="Times New Roman"/>
                <w:sz w:val="24"/>
              </w:rPr>
            </w:pPr>
            <w:r>
              <w:rPr>
                <w:rFonts w:ascii="Times New Roman"/>
                <w:sz w:val="24"/>
              </w:rPr>
              <w:t>USA</w:t>
            </w:r>
          </w:p>
        </w:tc>
        <w:tc>
          <w:tcPr>
            <w:tcW w:w="1753" w:type="dxa"/>
          </w:tcPr>
          <w:p>
            <w:pPr>
              <w:pStyle w:val="TableParagraph"/>
              <w:spacing w:line="268" w:lineRule="exact"/>
              <w:ind w:left="106"/>
              <w:rPr>
                <w:rFonts w:ascii="Times New Roman"/>
                <w:sz w:val="24"/>
              </w:rPr>
            </w:pPr>
            <w:r>
              <w:rPr>
                <w:rFonts w:ascii="Times New Roman"/>
                <w:sz w:val="24"/>
              </w:rPr>
              <w:t>strain 25330</w:t>
            </w:r>
          </w:p>
        </w:tc>
        <w:tc>
          <w:tcPr>
            <w:tcW w:w="1143" w:type="dxa"/>
          </w:tcPr>
          <w:p>
            <w:pPr>
              <w:pStyle w:val="TableParagraph"/>
              <w:spacing w:line="268" w:lineRule="exact"/>
              <w:rPr>
                <w:rFonts w:ascii="Times New Roman" w:hAnsi="Times New Roman"/>
                <w:sz w:val="24"/>
              </w:rPr>
            </w:pPr>
            <w:r>
              <w:rPr>
                <w:rFonts w:ascii="Times New Roman" w:hAnsi="Times New Roman"/>
                <w:w w:val="100"/>
                <w:sz w:val="24"/>
              </w:rPr>
              <w:t>“</w:t>
            </w:r>
          </w:p>
        </w:tc>
      </w:tr>
      <w:tr>
        <w:trPr>
          <w:trHeight w:val="835" w:hRule="exact"/>
        </w:trPr>
        <w:tc>
          <w:tcPr>
            <w:tcW w:w="3237" w:type="dxa"/>
          </w:tcPr>
          <w:p>
            <w:pPr>
              <w:pStyle w:val="TableParagraph"/>
              <w:spacing w:line="360" w:lineRule="auto"/>
              <w:ind w:left="100" w:right="105"/>
              <w:rPr>
                <w:rFonts w:ascii="Times New Roman"/>
                <w:i/>
                <w:sz w:val="24"/>
              </w:rPr>
            </w:pPr>
            <w:r>
              <w:rPr>
                <w:rFonts w:ascii="Times New Roman"/>
                <w:i/>
                <w:sz w:val="24"/>
              </w:rPr>
              <w:t>Aeromonas salmonicida subsp. </w:t>
            </w:r>
            <w:r>
              <w:rPr>
                <w:rFonts w:ascii="Times New Roman"/>
                <w:i/>
                <w:sz w:val="24"/>
              </w:rPr>
              <w:t>salmonicida</w:t>
            </w:r>
          </w:p>
        </w:tc>
        <w:tc>
          <w:tcPr>
            <w:tcW w:w="1546" w:type="dxa"/>
          </w:tcPr>
          <w:p>
            <w:pPr>
              <w:pStyle w:val="TableParagraph"/>
              <w:spacing w:line="268" w:lineRule="exact"/>
              <w:rPr>
                <w:rFonts w:ascii="Times New Roman"/>
                <w:sz w:val="24"/>
              </w:rPr>
            </w:pPr>
            <w:r>
              <w:rPr>
                <w:rFonts w:ascii="Times New Roman"/>
                <w:sz w:val="24"/>
              </w:rPr>
              <w:t>X60405.2</w:t>
            </w:r>
          </w:p>
        </w:tc>
        <w:tc>
          <w:tcPr>
            <w:tcW w:w="1224" w:type="dxa"/>
          </w:tcPr>
          <w:p>
            <w:pPr>
              <w:pStyle w:val="TableParagraph"/>
              <w:spacing w:line="268" w:lineRule="exact"/>
              <w:ind w:left="101"/>
              <w:rPr>
                <w:rFonts w:ascii="Times New Roman"/>
                <w:sz w:val="24"/>
              </w:rPr>
            </w:pPr>
            <w:r>
              <w:rPr>
                <w:rFonts w:ascii="Times New Roman"/>
                <w:sz w:val="24"/>
              </w:rPr>
              <w:t>UK</w:t>
            </w:r>
          </w:p>
        </w:tc>
        <w:tc>
          <w:tcPr>
            <w:tcW w:w="1753" w:type="dxa"/>
          </w:tcPr>
          <w:p>
            <w:pPr>
              <w:pStyle w:val="TableParagraph"/>
              <w:spacing w:line="268" w:lineRule="exact"/>
              <w:ind w:left="106"/>
              <w:rPr>
                <w:rFonts w:ascii="Times New Roman"/>
                <w:sz w:val="24"/>
              </w:rPr>
            </w:pPr>
            <w:r>
              <w:rPr>
                <w:rFonts w:ascii="Times New Roman"/>
                <w:sz w:val="24"/>
              </w:rPr>
              <w:t>NCIMB 1102</w:t>
            </w:r>
          </w:p>
        </w:tc>
        <w:tc>
          <w:tcPr>
            <w:tcW w:w="1143" w:type="dxa"/>
          </w:tcPr>
          <w:p>
            <w:pPr>
              <w:pStyle w:val="TableParagraph"/>
              <w:spacing w:line="268" w:lineRule="exact"/>
              <w:rPr>
                <w:rFonts w:ascii="Times New Roman" w:hAnsi="Times New Roman"/>
                <w:sz w:val="24"/>
              </w:rPr>
            </w:pPr>
            <w:r>
              <w:rPr>
                <w:rFonts w:ascii="Times New Roman" w:hAnsi="Times New Roman"/>
                <w:w w:val="100"/>
                <w:sz w:val="24"/>
              </w:rPr>
              <w:t>“</w:t>
            </w:r>
          </w:p>
        </w:tc>
      </w:tr>
      <w:tr>
        <w:trPr>
          <w:trHeight w:val="427" w:hRule="exact"/>
        </w:trPr>
        <w:tc>
          <w:tcPr>
            <w:tcW w:w="3237" w:type="dxa"/>
          </w:tcPr>
          <w:p>
            <w:pPr>
              <w:pStyle w:val="TableParagraph"/>
              <w:spacing w:line="273" w:lineRule="exact"/>
              <w:ind w:left="100" w:right="105"/>
              <w:rPr>
                <w:rFonts w:ascii="Times New Roman"/>
                <w:i/>
                <w:sz w:val="24"/>
              </w:rPr>
            </w:pPr>
            <w:r>
              <w:rPr>
                <w:rFonts w:ascii="Times New Roman"/>
                <w:i/>
                <w:sz w:val="24"/>
              </w:rPr>
              <w:t>Proteus vulgaris</w:t>
            </w:r>
          </w:p>
        </w:tc>
        <w:tc>
          <w:tcPr>
            <w:tcW w:w="1546" w:type="dxa"/>
          </w:tcPr>
          <w:p>
            <w:pPr>
              <w:pStyle w:val="TableParagraph"/>
              <w:spacing w:line="273" w:lineRule="exact"/>
              <w:rPr>
                <w:rFonts w:ascii="Times New Roman"/>
                <w:sz w:val="24"/>
              </w:rPr>
            </w:pPr>
            <w:r>
              <w:rPr>
                <w:rFonts w:ascii="Times New Roman"/>
                <w:sz w:val="24"/>
              </w:rPr>
              <w:t>X07652.1</w:t>
            </w:r>
          </w:p>
        </w:tc>
        <w:tc>
          <w:tcPr>
            <w:tcW w:w="1224" w:type="dxa"/>
          </w:tcPr>
          <w:p>
            <w:pPr>
              <w:pStyle w:val="TableParagraph"/>
              <w:spacing w:line="273" w:lineRule="exact"/>
              <w:ind w:left="101"/>
              <w:rPr>
                <w:rFonts w:ascii="Times New Roman"/>
                <w:sz w:val="24"/>
              </w:rPr>
            </w:pPr>
            <w:r>
              <w:rPr>
                <w:rFonts w:ascii="Times New Roman"/>
                <w:sz w:val="24"/>
              </w:rPr>
              <w:t>Germany</w:t>
            </w:r>
          </w:p>
        </w:tc>
        <w:tc>
          <w:tcPr>
            <w:tcW w:w="1753" w:type="dxa"/>
          </w:tcPr>
          <w:p>
            <w:pPr>
              <w:pStyle w:val="TableParagraph"/>
              <w:spacing w:line="273" w:lineRule="exact"/>
              <w:ind w:left="106"/>
              <w:rPr>
                <w:rFonts w:ascii="Times New Roman"/>
                <w:sz w:val="24"/>
              </w:rPr>
            </w:pPr>
            <w:r>
              <w:rPr>
                <w:rFonts w:ascii="Times New Roman"/>
                <w:sz w:val="24"/>
              </w:rPr>
              <w:t>IFAM 1731</w:t>
            </w:r>
          </w:p>
        </w:tc>
        <w:tc>
          <w:tcPr>
            <w:tcW w:w="1143" w:type="dxa"/>
          </w:tcPr>
          <w:p>
            <w:pPr>
              <w:pStyle w:val="TableParagraph"/>
              <w:spacing w:line="273" w:lineRule="exact"/>
              <w:rPr>
                <w:rFonts w:ascii="Times New Roman" w:hAnsi="Times New Roman"/>
                <w:sz w:val="24"/>
              </w:rPr>
            </w:pPr>
            <w:r>
              <w:rPr>
                <w:rFonts w:ascii="Times New Roman" w:hAnsi="Times New Roman"/>
                <w:w w:val="100"/>
                <w:sz w:val="24"/>
              </w:rPr>
              <w:t>“</w:t>
            </w:r>
          </w:p>
        </w:tc>
      </w:tr>
      <w:tr>
        <w:trPr>
          <w:trHeight w:val="423" w:hRule="exact"/>
        </w:trPr>
        <w:tc>
          <w:tcPr>
            <w:tcW w:w="3237" w:type="dxa"/>
          </w:tcPr>
          <w:p>
            <w:pPr>
              <w:pStyle w:val="TableParagraph"/>
              <w:spacing w:line="268" w:lineRule="exact"/>
              <w:ind w:left="100" w:right="105"/>
              <w:rPr>
                <w:rFonts w:ascii="Times New Roman"/>
                <w:i/>
                <w:sz w:val="24"/>
              </w:rPr>
            </w:pPr>
            <w:r>
              <w:rPr>
                <w:rFonts w:ascii="Times New Roman"/>
                <w:i/>
                <w:sz w:val="24"/>
              </w:rPr>
              <w:t>Agrobacterium tumefaciens</w:t>
            </w:r>
          </w:p>
        </w:tc>
        <w:tc>
          <w:tcPr>
            <w:tcW w:w="1546" w:type="dxa"/>
          </w:tcPr>
          <w:p>
            <w:pPr>
              <w:pStyle w:val="TableParagraph"/>
              <w:spacing w:line="268" w:lineRule="exact"/>
              <w:rPr>
                <w:rFonts w:ascii="Times New Roman"/>
                <w:sz w:val="24"/>
              </w:rPr>
            </w:pPr>
            <w:r>
              <w:rPr>
                <w:rFonts w:ascii="Times New Roman"/>
                <w:sz w:val="24"/>
              </w:rPr>
              <w:t>AY972446.1</w:t>
            </w:r>
          </w:p>
        </w:tc>
        <w:tc>
          <w:tcPr>
            <w:tcW w:w="1224" w:type="dxa"/>
          </w:tcPr>
          <w:p>
            <w:pPr>
              <w:pStyle w:val="TableParagraph"/>
              <w:spacing w:line="268" w:lineRule="exact"/>
              <w:ind w:left="101"/>
              <w:rPr>
                <w:rFonts w:ascii="Times New Roman"/>
                <w:sz w:val="24"/>
              </w:rPr>
            </w:pPr>
            <w:r>
              <w:rPr>
                <w:rFonts w:ascii="Times New Roman"/>
                <w:sz w:val="24"/>
              </w:rPr>
              <w:t>USA</w:t>
            </w:r>
          </w:p>
        </w:tc>
        <w:tc>
          <w:tcPr>
            <w:tcW w:w="1753" w:type="dxa"/>
          </w:tcPr>
          <w:p>
            <w:pPr>
              <w:pStyle w:val="TableParagraph"/>
              <w:spacing w:line="268" w:lineRule="exact"/>
              <w:ind w:left="106"/>
              <w:rPr>
                <w:rFonts w:ascii="Times New Roman"/>
                <w:sz w:val="24"/>
              </w:rPr>
            </w:pPr>
            <w:r>
              <w:rPr>
                <w:rFonts w:ascii="Times New Roman"/>
                <w:sz w:val="24"/>
              </w:rPr>
              <w:t>Sludge</w:t>
            </w:r>
          </w:p>
        </w:tc>
        <w:tc>
          <w:tcPr>
            <w:tcW w:w="1143" w:type="dxa"/>
          </w:tcPr>
          <w:p>
            <w:pPr>
              <w:pStyle w:val="TableParagraph"/>
              <w:spacing w:line="268" w:lineRule="exact"/>
              <w:rPr>
                <w:rFonts w:ascii="Times New Roman" w:hAnsi="Times New Roman"/>
                <w:sz w:val="24"/>
              </w:rPr>
            </w:pPr>
            <w:r>
              <w:rPr>
                <w:rFonts w:ascii="Times New Roman" w:hAnsi="Times New Roman"/>
                <w:w w:val="100"/>
                <w:sz w:val="24"/>
              </w:rPr>
              <w:t>“</w:t>
            </w:r>
          </w:p>
        </w:tc>
      </w:tr>
    </w:tbl>
    <w:p>
      <w:pPr>
        <w:spacing w:after="0" w:line="268" w:lineRule="exact"/>
        <w:rPr>
          <w:rFonts w:ascii="Times New Roman" w:hAnsi="Times New Roman"/>
          <w:sz w:val="24"/>
        </w:rPr>
        <w:sectPr>
          <w:pgSz w:w="12240" w:h="15840"/>
          <w:pgMar w:header="752" w:footer="998" w:top="1000" w:bottom="1180" w:left="1480" w:right="1560"/>
        </w:sectPr>
      </w:pPr>
    </w:p>
    <w:p>
      <w:pPr>
        <w:pStyle w:val="BodyText"/>
        <w:rPr>
          <w:rFonts w:ascii="Times New Roman"/>
          <w:sz w:val="20"/>
        </w:rPr>
      </w:pPr>
    </w:p>
    <w:p>
      <w:pPr>
        <w:pStyle w:val="BodyText"/>
        <w:spacing w:before="5"/>
        <w:rPr>
          <w:rFonts w:ascii="Times New Roman"/>
          <w:sz w:val="15"/>
        </w:rPr>
      </w:pP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237"/>
        <w:gridCol w:w="1546"/>
        <w:gridCol w:w="1224"/>
        <w:gridCol w:w="1753"/>
        <w:gridCol w:w="1143"/>
      </w:tblGrid>
      <w:tr>
        <w:trPr>
          <w:trHeight w:val="427" w:hRule="exact"/>
        </w:trPr>
        <w:tc>
          <w:tcPr>
            <w:tcW w:w="8903" w:type="dxa"/>
            <w:gridSpan w:val="5"/>
          </w:tcPr>
          <w:p>
            <w:pPr>
              <w:pStyle w:val="TableParagraph"/>
              <w:spacing w:line="268" w:lineRule="exact"/>
              <w:ind w:left="100"/>
              <w:rPr>
                <w:rFonts w:ascii="Times New Roman"/>
                <w:sz w:val="24"/>
              </w:rPr>
            </w:pPr>
            <w:r>
              <w:rPr>
                <w:rFonts w:ascii="Times New Roman"/>
                <w:sz w:val="24"/>
              </w:rPr>
              <w:t>ITS-1 rDNA</w:t>
            </w:r>
          </w:p>
        </w:tc>
      </w:tr>
      <w:tr>
        <w:trPr>
          <w:trHeight w:val="836" w:hRule="exact"/>
        </w:trPr>
        <w:tc>
          <w:tcPr>
            <w:tcW w:w="3237" w:type="dxa"/>
          </w:tcPr>
          <w:p>
            <w:pPr>
              <w:pStyle w:val="TableParagraph"/>
              <w:spacing w:line="360" w:lineRule="auto"/>
              <w:ind w:left="100" w:right="105"/>
              <w:rPr>
                <w:rFonts w:ascii="Times New Roman"/>
                <w:i/>
                <w:sz w:val="24"/>
              </w:rPr>
            </w:pPr>
            <w:r>
              <w:rPr>
                <w:rFonts w:ascii="Times New Roman"/>
                <w:i/>
                <w:sz w:val="24"/>
              </w:rPr>
              <w:t>Francisella tularensis subsp. </w:t>
            </w:r>
            <w:r>
              <w:rPr>
                <w:rFonts w:ascii="Times New Roman"/>
                <w:i/>
                <w:sz w:val="24"/>
              </w:rPr>
              <w:t>holarctica</w:t>
            </w:r>
          </w:p>
        </w:tc>
        <w:tc>
          <w:tcPr>
            <w:tcW w:w="1546" w:type="dxa"/>
          </w:tcPr>
          <w:p>
            <w:pPr>
              <w:pStyle w:val="TableParagraph"/>
              <w:spacing w:line="268" w:lineRule="exact"/>
              <w:rPr>
                <w:rFonts w:ascii="Times New Roman"/>
                <w:sz w:val="24"/>
              </w:rPr>
            </w:pPr>
            <w:r>
              <w:rPr>
                <w:rFonts w:ascii="Times New Roman"/>
                <w:sz w:val="24"/>
              </w:rPr>
              <w:t>CP003862.1</w:t>
            </w:r>
          </w:p>
        </w:tc>
        <w:tc>
          <w:tcPr>
            <w:tcW w:w="1224" w:type="dxa"/>
          </w:tcPr>
          <w:p>
            <w:pPr>
              <w:pStyle w:val="TableParagraph"/>
              <w:spacing w:line="268" w:lineRule="exact"/>
              <w:ind w:left="101"/>
              <w:rPr>
                <w:rFonts w:ascii="Times New Roman"/>
                <w:sz w:val="24"/>
              </w:rPr>
            </w:pPr>
            <w:r>
              <w:rPr>
                <w:rFonts w:ascii="Times New Roman"/>
                <w:sz w:val="24"/>
              </w:rPr>
              <w:t>USA</w:t>
            </w:r>
          </w:p>
        </w:tc>
        <w:tc>
          <w:tcPr>
            <w:tcW w:w="1753" w:type="dxa"/>
          </w:tcPr>
          <w:p>
            <w:pPr>
              <w:pStyle w:val="TableParagraph"/>
              <w:spacing w:line="268" w:lineRule="exact"/>
              <w:ind w:left="106"/>
              <w:rPr>
                <w:rFonts w:ascii="Times New Roman"/>
                <w:sz w:val="24"/>
              </w:rPr>
            </w:pPr>
            <w:r>
              <w:rPr>
                <w:rFonts w:ascii="Times New Roman"/>
                <w:sz w:val="24"/>
              </w:rPr>
              <w:t>FSC200</w:t>
            </w:r>
          </w:p>
        </w:tc>
        <w:tc>
          <w:tcPr>
            <w:tcW w:w="1143" w:type="dxa"/>
          </w:tcPr>
          <w:p>
            <w:pPr>
              <w:pStyle w:val="TableParagraph"/>
              <w:spacing w:line="268" w:lineRule="exact"/>
              <w:rPr>
                <w:rFonts w:ascii="Times New Roman" w:hAnsi="Times New Roman"/>
                <w:sz w:val="24"/>
              </w:rPr>
            </w:pPr>
            <w:r>
              <w:rPr>
                <w:rFonts w:ascii="Times New Roman" w:hAnsi="Times New Roman"/>
                <w:w w:val="100"/>
                <w:sz w:val="24"/>
              </w:rPr>
              <w:t>“</w:t>
            </w:r>
          </w:p>
        </w:tc>
      </w:tr>
      <w:tr>
        <w:trPr>
          <w:trHeight w:val="840" w:hRule="exact"/>
        </w:trPr>
        <w:tc>
          <w:tcPr>
            <w:tcW w:w="3237" w:type="dxa"/>
          </w:tcPr>
          <w:p>
            <w:pPr>
              <w:pStyle w:val="TableParagraph"/>
              <w:spacing w:line="360" w:lineRule="auto"/>
              <w:ind w:left="100" w:right="105"/>
              <w:rPr>
                <w:rFonts w:ascii="Times New Roman"/>
                <w:i/>
                <w:sz w:val="24"/>
              </w:rPr>
            </w:pPr>
            <w:r>
              <w:rPr>
                <w:rFonts w:ascii="Times New Roman"/>
                <w:i/>
                <w:sz w:val="24"/>
              </w:rPr>
              <w:t>Francisella tularensis subsp. </w:t>
            </w:r>
            <w:r>
              <w:rPr>
                <w:rFonts w:ascii="Times New Roman"/>
                <w:i/>
                <w:sz w:val="24"/>
              </w:rPr>
              <w:t>novicida</w:t>
            </w:r>
          </w:p>
        </w:tc>
        <w:tc>
          <w:tcPr>
            <w:tcW w:w="1546" w:type="dxa"/>
          </w:tcPr>
          <w:p>
            <w:pPr>
              <w:pStyle w:val="TableParagraph"/>
              <w:spacing w:line="268" w:lineRule="exact"/>
              <w:rPr>
                <w:rFonts w:ascii="Times New Roman"/>
                <w:sz w:val="24"/>
              </w:rPr>
            </w:pPr>
            <w:r>
              <w:rPr>
                <w:rFonts w:ascii="Times New Roman"/>
                <w:sz w:val="24"/>
              </w:rPr>
              <w:t>CP000439.1</w:t>
            </w:r>
          </w:p>
        </w:tc>
        <w:tc>
          <w:tcPr>
            <w:tcW w:w="1224" w:type="dxa"/>
          </w:tcPr>
          <w:p>
            <w:pPr>
              <w:pStyle w:val="TableParagraph"/>
              <w:spacing w:line="268" w:lineRule="exact"/>
              <w:ind w:left="101"/>
              <w:rPr>
                <w:rFonts w:ascii="Times New Roman"/>
                <w:sz w:val="24"/>
              </w:rPr>
            </w:pPr>
            <w:r>
              <w:rPr>
                <w:rFonts w:ascii="Times New Roman"/>
                <w:sz w:val="24"/>
              </w:rPr>
              <w:t>USA</w:t>
            </w:r>
          </w:p>
        </w:tc>
        <w:tc>
          <w:tcPr>
            <w:tcW w:w="1753" w:type="dxa"/>
          </w:tcPr>
          <w:p>
            <w:pPr>
              <w:pStyle w:val="TableParagraph"/>
              <w:spacing w:line="268" w:lineRule="exact"/>
              <w:ind w:left="106"/>
              <w:rPr>
                <w:rFonts w:ascii="Times New Roman"/>
                <w:sz w:val="24"/>
              </w:rPr>
            </w:pPr>
            <w:r>
              <w:rPr>
                <w:rFonts w:ascii="Times New Roman"/>
                <w:sz w:val="24"/>
              </w:rPr>
              <w:t>U112</w:t>
            </w:r>
          </w:p>
        </w:tc>
        <w:tc>
          <w:tcPr>
            <w:tcW w:w="1143" w:type="dxa"/>
          </w:tcPr>
          <w:p>
            <w:pPr>
              <w:pStyle w:val="TableParagraph"/>
              <w:spacing w:line="268" w:lineRule="exact"/>
              <w:rPr>
                <w:rFonts w:ascii="Times New Roman" w:hAnsi="Times New Roman"/>
                <w:sz w:val="24"/>
              </w:rPr>
            </w:pPr>
            <w:r>
              <w:rPr>
                <w:rFonts w:ascii="Times New Roman" w:hAnsi="Times New Roman"/>
                <w:w w:val="100"/>
                <w:sz w:val="24"/>
              </w:rPr>
              <w:t>“</w:t>
            </w:r>
          </w:p>
        </w:tc>
      </w:tr>
      <w:tr>
        <w:trPr>
          <w:trHeight w:val="836" w:hRule="exact"/>
        </w:trPr>
        <w:tc>
          <w:tcPr>
            <w:tcW w:w="3237" w:type="dxa"/>
          </w:tcPr>
          <w:p>
            <w:pPr>
              <w:pStyle w:val="TableParagraph"/>
              <w:spacing w:line="360" w:lineRule="auto"/>
              <w:ind w:left="100" w:right="105"/>
              <w:rPr>
                <w:rFonts w:ascii="Times New Roman"/>
                <w:i/>
                <w:sz w:val="24"/>
              </w:rPr>
            </w:pPr>
            <w:r>
              <w:rPr>
                <w:rFonts w:ascii="Times New Roman"/>
                <w:i/>
                <w:sz w:val="24"/>
              </w:rPr>
              <w:t>Francisella tularensis subsp. </w:t>
            </w:r>
            <w:r>
              <w:rPr>
                <w:rFonts w:ascii="Times New Roman"/>
                <w:i/>
                <w:sz w:val="24"/>
              </w:rPr>
              <w:t>mediasiatica</w:t>
            </w:r>
          </w:p>
        </w:tc>
        <w:tc>
          <w:tcPr>
            <w:tcW w:w="1546" w:type="dxa"/>
          </w:tcPr>
          <w:p>
            <w:pPr>
              <w:pStyle w:val="TableParagraph"/>
              <w:spacing w:line="268" w:lineRule="exact"/>
              <w:rPr>
                <w:rFonts w:ascii="Times New Roman"/>
                <w:sz w:val="24"/>
              </w:rPr>
            </w:pPr>
            <w:r>
              <w:rPr>
                <w:rFonts w:ascii="Times New Roman"/>
                <w:sz w:val="24"/>
              </w:rPr>
              <w:t>CP000915.1</w:t>
            </w:r>
          </w:p>
        </w:tc>
        <w:tc>
          <w:tcPr>
            <w:tcW w:w="1224" w:type="dxa"/>
          </w:tcPr>
          <w:p>
            <w:pPr>
              <w:pStyle w:val="TableParagraph"/>
              <w:spacing w:line="268" w:lineRule="exact"/>
              <w:ind w:left="101"/>
              <w:rPr>
                <w:rFonts w:ascii="Times New Roman"/>
                <w:sz w:val="24"/>
              </w:rPr>
            </w:pPr>
            <w:r>
              <w:rPr>
                <w:rFonts w:ascii="Times New Roman"/>
                <w:sz w:val="24"/>
              </w:rPr>
              <w:t>USA</w:t>
            </w:r>
          </w:p>
        </w:tc>
        <w:tc>
          <w:tcPr>
            <w:tcW w:w="1753" w:type="dxa"/>
          </w:tcPr>
          <w:p>
            <w:pPr>
              <w:pStyle w:val="TableParagraph"/>
              <w:spacing w:line="268" w:lineRule="exact"/>
              <w:ind w:left="106"/>
              <w:rPr>
                <w:rFonts w:ascii="Times New Roman"/>
                <w:sz w:val="24"/>
              </w:rPr>
            </w:pPr>
            <w:r>
              <w:rPr>
                <w:rFonts w:ascii="Times New Roman"/>
                <w:sz w:val="24"/>
              </w:rPr>
              <w:t>FSC147</w:t>
            </w:r>
          </w:p>
        </w:tc>
        <w:tc>
          <w:tcPr>
            <w:tcW w:w="1143" w:type="dxa"/>
          </w:tcPr>
          <w:p>
            <w:pPr>
              <w:pStyle w:val="TableParagraph"/>
              <w:spacing w:line="268" w:lineRule="exact"/>
              <w:rPr>
                <w:rFonts w:ascii="Times New Roman" w:hAnsi="Times New Roman"/>
                <w:sz w:val="24"/>
              </w:rPr>
            </w:pPr>
            <w:r>
              <w:rPr>
                <w:rFonts w:ascii="Times New Roman" w:hAnsi="Times New Roman"/>
                <w:w w:val="100"/>
                <w:sz w:val="24"/>
              </w:rPr>
              <w:t>“</w:t>
            </w:r>
          </w:p>
        </w:tc>
      </w:tr>
      <w:tr>
        <w:trPr>
          <w:trHeight w:val="840" w:hRule="exact"/>
        </w:trPr>
        <w:tc>
          <w:tcPr>
            <w:tcW w:w="3237" w:type="dxa"/>
          </w:tcPr>
          <w:p>
            <w:pPr>
              <w:pStyle w:val="TableParagraph"/>
              <w:tabs>
                <w:tab w:pos="1867" w:val="left" w:leader="none"/>
              </w:tabs>
              <w:spacing w:line="362" w:lineRule="auto"/>
              <w:ind w:left="100" w:right="105"/>
              <w:rPr>
                <w:rFonts w:ascii="Times New Roman"/>
                <w:i/>
                <w:sz w:val="24"/>
              </w:rPr>
            </w:pPr>
            <w:r>
              <w:rPr>
                <w:rFonts w:ascii="Times New Roman"/>
                <w:i/>
                <w:sz w:val="24"/>
              </w:rPr>
              <w:t>Francisella</w:t>
              <w:tab/>
              <w:t>philomiragia</w:t>
            </w:r>
            <w:r>
              <w:rPr>
                <w:rFonts w:ascii="Times New Roman"/>
                <w:i/>
                <w:sz w:val="24"/>
              </w:rPr>
              <w:t> subsp.</w:t>
            </w:r>
            <w:r>
              <w:rPr>
                <w:rFonts w:ascii="Times New Roman"/>
                <w:i/>
                <w:spacing w:val="-6"/>
                <w:sz w:val="24"/>
              </w:rPr>
              <w:t> </w:t>
            </w:r>
            <w:r>
              <w:rPr>
                <w:rFonts w:ascii="Times New Roman"/>
                <w:i/>
                <w:sz w:val="24"/>
              </w:rPr>
              <w:t>philomiragia</w:t>
            </w:r>
          </w:p>
        </w:tc>
        <w:tc>
          <w:tcPr>
            <w:tcW w:w="1546" w:type="dxa"/>
          </w:tcPr>
          <w:p>
            <w:pPr>
              <w:pStyle w:val="TableParagraph"/>
              <w:spacing w:line="268" w:lineRule="exact"/>
              <w:rPr>
                <w:rFonts w:ascii="Times New Roman"/>
                <w:sz w:val="24"/>
              </w:rPr>
            </w:pPr>
            <w:r>
              <w:rPr>
                <w:rFonts w:ascii="Times New Roman"/>
                <w:sz w:val="24"/>
              </w:rPr>
              <w:t>CP000937.1</w:t>
            </w:r>
          </w:p>
        </w:tc>
        <w:tc>
          <w:tcPr>
            <w:tcW w:w="1224" w:type="dxa"/>
          </w:tcPr>
          <w:p>
            <w:pPr>
              <w:pStyle w:val="TableParagraph"/>
              <w:spacing w:line="268" w:lineRule="exact"/>
              <w:ind w:left="101"/>
              <w:rPr>
                <w:rFonts w:ascii="Times New Roman"/>
                <w:sz w:val="24"/>
              </w:rPr>
            </w:pPr>
            <w:r>
              <w:rPr>
                <w:rFonts w:ascii="Times New Roman"/>
                <w:sz w:val="24"/>
              </w:rPr>
              <w:t>USA</w:t>
            </w:r>
          </w:p>
        </w:tc>
        <w:tc>
          <w:tcPr>
            <w:tcW w:w="1753" w:type="dxa"/>
          </w:tcPr>
          <w:p>
            <w:pPr>
              <w:pStyle w:val="TableParagraph"/>
              <w:spacing w:line="268" w:lineRule="exact"/>
              <w:ind w:left="106"/>
              <w:rPr>
                <w:rFonts w:ascii="Times New Roman"/>
                <w:sz w:val="24"/>
              </w:rPr>
            </w:pPr>
            <w:r>
              <w:rPr>
                <w:rFonts w:ascii="Times New Roman"/>
                <w:sz w:val="24"/>
              </w:rPr>
              <w:t>ATCC 25017</w:t>
            </w:r>
          </w:p>
        </w:tc>
        <w:tc>
          <w:tcPr>
            <w:tcW w:w="1143" w:type="dxa"/>
          </w:tcPr>
          <w:p>
            <w:pPr>
              <w:pStyle w:val="TableParagraph"/>
              <w:spacing w:line="268" w:lineRule="exact"/>
              <w:rPr>
                <w:rFonts w:ascii="Times New Roman" w:hAnsi="Times New Roman"/>
                <w:sz w:val="24"/>
              </w:rPr>
            </w:pPr>
            <w:r>
              <w:rPr>
                <w:rFonts w:ascii="Times New Roman" w:hAnsi="Times New Roman"/>
                <w:w w:val="100"/>
                <w:sz w:val="24"/>
              </w:rPr>
              <w:t>“</w:t>
            </w:r>
          </w:p>
        </w:tc>
      </w:tr>
      <w:tr>
        <w:trPr>
          <w:trHeight w:val="836" w:hRule="exact"/>
        </w:trPr>
        <w:tc>
          <w:tcPr>
            <w:tcW w:w="3237" w:type="dxa"/>
          </w:tcPr>
          <w:p>
            <w:pPr>
              <w:pStyle w:val="TableParagraph"/>
              <w:spacing w:line="360" w:lineRule="auto"/>
              <w:ind w:left="100" w:right="105"/>
              <w:rPr>
                <w:rFonts w:ascii="Times New Roman"/>
                <w:i/>
                <w:sz w:val="24"/>
              </w:rPr>
            </w:pPr>
            <w:r>
              <w:rPr>
                <w:rFonts w:ascii="Times New Roman"/>
                <w:i/>
                <w:sz w:val="24"/>
              </w:rPr>
              <w:t>Francisella noatunensis subsp. </w:t>
            </w:r>
            <w:r>
              <w:rPr>
                <w:rFonts w:ascii="Times New Roman"/>
                <w:i/>
                <w:sz w:val="24"/>
              </w:rPr>
              <w:t>orientalis</w:t>
            </w:r>
          </w:p>
        </w:tc>
        <w:tc>
          <w:tcPr>
            <w:tcW w:w="1546" w:type="dxa"/>
          </w:tcPr>
          <w:p>
            <w:pPr>
              <w:pStyle w:val="TableParagraph"/>
              <w:spacing w:line="268" w:lineRule="exact"/>
              <w:rPr>
                <w:rFonts w:ascii="Times New Roman"/>
                <w:sz w:val="24"/>
              </w:rPr>
            </w:pPr>
            <w:r>
              <w:rPr>
                <w:rFonts w:ascii="Times New Roman"/>
                <w:sz w:val="24"/>
              </w:rPr>
              <w:t>EU683030.1</w:t>
            </w:r>
          </w:p>
        </w:tc>
        <w:tc>
          <w:tcPr>
            <w:tcW w:w="1224" w:type="dxa"/>
          </w:tcPr>
          <w:p>
            <w:pPr>
              <w:pStyle w:val="TableParagraph"/>
              <w:spacing w:line="268" w:lineRule="exact"/>
              <w:ind w:left="101"/>
              <w:rPr>
                <w:rFonts w:ascii="Times New Roman"/>
                <w:sz w:val="24"/>
              </w:rPr>
            </w:pPr>
            <w:r>
              <w:rPr>
                <w:rFonts w:ascii="Times New Roman"/>
                <w:sz w:val="24"/>
              </w:rPr>
              <w:t>Japan</w:t>
            </w:r>
          </w:p>
        </w:tc>
        <w:tc>
          <w:tcPr>
            <w:tcW w:w="1753" w:type="dxa"/>
          </w:tcPr>
          <w:p>
            <w:pPr>
              <w:pStyle w:val="TableParagraph"/>
              <w:spacing w:line="360" w:lineRule="auto"/>
              <w:ind w:left="106"/>
              <w:rPr>
                <w:rFonts w:ascii="Times New Roman"/>
                <w:i/>
                <w:sz w:val="24"/>
              </w:rPr>
            </w:pPr>
            <w:r>
              <w:rPr>
                <w:rFonts w:ascii="Times New Roman"/>
                <w:i/>
                <w:sz w:val="24"/>
              </w:rPr>
              <w:t>Parapristipoma </w:t>
            </w:r>
            <w:r>
              <w:rPr>
                <w:rFonts w:ascii="Times New Roman"/>
                <w:i/>
                <w:sz w:val="24"/>
              </w:rPr>
              <w:t>trilineatum</w:t>
            </w:r>
          </w:p>
        </w:tc>
        <w:tc>
          <w:tcPr>
            <w:tcW w:w="1143" w:type="dxa"/>
          </w:tcPr>
          <w:p>
            <w:pPr>
              <w:pStyle w:val="TableParagraph"/>
              <w:spacing w:line="268" w:lineRule="exact"/>
              <w:rPr>
                <w:rFonts w:ascii="Times New Roman" w:hAnsi="Times New Roman"/>
                <w:sz w:val="24"/>
              </w:rPr>
            </w:pPr>
            <w:r>
              <w:rPr>
                <w:rFonts w:ascii="Times New Roman" w:hAnsi="Times New Roman"/>
                <w:w w:val="100"/>
                <w:sz w:val="24"/>
              </w:rPr>
              <w:t>“</w:t>
            </w:r>
          </w:p>
        </w:tc>
      </w:tr>
      <w:tr>
        <w:trPr>
          <w:trHeight w:val="427" w:hRule="exact"/>
        </w:trPr>
        <w:tc>
          <w:tcPr>
            <w:tcW w:w="3237" w:type="dxa"/>
          </w:tcPr>
          <w:p>
            <w:pPr>
              <w:pStyle w:val="TableParagraph"/>
              <w:spacing w:line="268" w:lineRule="exact"/>
              <w:ind w:left="100" w:right="105"/>
              <w:rPr>
                <w:rFonts w:ascii="Times New Roman"/>
                <w:i/>
                <w:sz w:val="24"/>
              </w:rPr>
            </w:pPr>
            <w:r>
              <w:rPr>
                <w:rFonts w:ascii="Times New Roman"/>
                <w:i/>
                <w:sz w:val="24"/>
              </w:rPr>
              <w:t>Cf. Francisella sp.</w:t>
            </w:r>
          </w:p>
        </w:tc>
        <w:tc>
          <w:tcPr>
            <w:tcW w:w="1546" w:type="dxa"/>
          </w:tcPr>
          <w:p>
            <w:pPr>
              <w:pStyle w:val="TableParagraph"/>
              <w:spacing w:line="268" w:lineRule="exact"/>
              <w:rPr>
                <w:rFonts w:ascii="Times New Roman"/>
                <w:sz w:val="24"/>
              </w:rPr>
            </w:pPr>
            <w:r>
              <w:rPr>
                <w:rFonts w:ascii="Times New Roman"/>
                <w:sz w:val="24"/>
              </w:rPr>
              <w:t>AF385857.2</w:t>
            </w:r>
          </w:p>
        </w:tc>
        <w:tc>
          <w:tcPr>
            <w:tcW w:w="1224" w:type="dxa"/>
          </w:tcPr>
          <w:p>
            <w:pPr>
              <w:pStyle w:val="TableParagraph"/>
              <w:spacing w:line="268" w:lineRule="exact"/>
              <w:ind w:left="101"/>
              <w:rPr>
                <w:rFonts w:ascii="Times New Roman"/>
                <w:sz w:val="24"/>
              </w:rPr>
            </w:pPr>
            <w:r>
              <w:rPr>
                <w:rFonts w:ascii="Times New Roman"/>
                <w:sz w:val="24"/>
              </w:rPr>
              <w:t>Taiwan</w:t>
            </w:r>
          </w:p>
        </w:tc>
        <w:tc>
          <w:tcPr>
            <w:tcW w:w="1753" w:type="dxa"/>
          </w:tcPr>
          <w:p>
            <w:pPr>
              <w:pStyle w:val="TableParagraph"/>
              <w:spacing w:line="268" w:lineRule="exact"/>
              <w:ind w:left="106"/>
              <w:rPr>
                <w:rFonts w:ascii="Times New Roman"/>
                <w:sz w:val="24"/>
              </w:rPr>
            </w:pPr>
            <w:r>
              <w:rPr>
                <w:rFonts w:ascii="Times New Roman"/>
                <w:sz w:val="24"/>
              </w:rPr>
              <w:t>Tilapia</w:t>
            </w:r>
          </w:p>
        </w:tc>
        <w:tc>
          <w:tcPr>
            <w:tcW w:w="1143" w:type="dxa"/>
          </w:tcPr>
          <w:p>
            <w:pPr>
              <w:pStyle w:val="TableParagraph"/>
              <w:spacing w:line="268" w:lineRule="exact"/>
              <w:rPr>
                <w:rFonts w:ascii="Times New Roman" w:hAnsi="Times New Roman"/>
                <w:sz w:val="24"/>
              </w:rPr>
            </w:pPr>
            <w:r>
              <w:rPr>
                <w:rFonts w:ascii="Times New Roman" w:hAnsi="Times New Roman"/>
                <w:w w:val="100"/>
                <w:sz w:val="24"/>
              </w:rPr>
              <w:t>“</w:t>
            </w:r>
          </w:p>
        </w:tc>
      </w:tr>
      <w:tr>
        <w:trPr>
          <w:trHeight w:val="422" w:hRule="exact"/>
        </w:trPr>
        <w:tc>
          <w:tcPr>
            <w:tcW w:w="3237" w:type="dxa"/>
          </w:tcPr>
          <w:p>
            <w:pPr>
              <w:pStyle w:val="TableParagraph"/>
              <w:spacing w:line="268" w:lineRule="exact"/>
              <w:ind w:left="100" w:right="105"/>
              <w:rPr>
                <w:rFonts w:ascii="Times New Roman"/>
                <w:i/>
                <w:sz w:val="24"/>
              </w:rPr>
            </w:pPr>
            <w:r>
              <w:rPr>
                <w:rFonts w:ascii="Times New Roman"/>
                <w:i/>
                <w:sz w:val="24"/>
              </w:rPr>
              <w:t>Francisella piscicida</w:t>
            </w:r>
          </w:p>
        </w:tc>
        <w:tc>
          <w:tcPr>
            <w:tcW w:w="1546" w:type="dxa"/>
          </w:tcPr>
          <w:p>
            <w:pPr>
              <w:pStyle w:val="TableParagraph"/>
              <w:spacing w:line="268" w:lineRule="exact"/>
              <w:rPr>
                <w:rFonts w:ascii="Times New Roman"/>
                <w:sz w:val="24"/>
              </w:rPr>
            </w:pPr>
            <w:r>
              <w:rPr>
                <w:rFonts w:ascii="Times New Roman"/>
                <w:sz w:val="24"/>
              </w:rPr>
              <w:t>DQ309246.2</w:t>
            </w:r>
          </w:p>
        </w:tc>
        <w:tc>
          <w:tcPr>
            <w:tcW w:w="1224" w:type="dxa"/>
          </w:tcPr>
          <w:p>
            <w:pPr>
              <w:pStyle w:val="TableParagraph"/>
              <w:spacing w:line="268" w:lineRule="exact"/>
              <w:ind w:left="101"/>
              <w:rPr>
                <w:rFonts w:ascii="Times New Roman"/>
                <w:sz w:val="24"/>
              </w:rPr>
            </w:pPr>
            <w:r>
              <w:rPr>
                <w:rFonts w:ascii="Times New Roman"/>
                <w:sz w:val="24"/>
              </w:rPr>
              <w:t>Norway</w:t>
            </w:r>
          </w:p>
        </w:tc>
        <w:tc>
          <w:tcPr>
            <w:tcW w:w="1753" w:type="dxa"/>
          </w:tcPr>
          <w:p>
            <w:pPr>
              <w:pStyle w:val="TableParagraph"/>
              <w:spacing w:line="268" w:lineRule="exact"/>
              <w:ind w:left="106"/>
              <w:rPr>
                <w:rFonts w:ascii="Times New Roman"/>
                <w:i/>
                <w:sz w:val="24"/>
              </w:rPr>
            </w:pPr>
            <w:r>
              <w:rPr>
                <w:rFonts w:ascii="Times New Roman"/>
                <w:i/>
                <w:sz w:val="24"/>
              </w:rPr>
              <w:t>Gadus morhua</w:t>
            </w:r>
          </w:p>
        </w:tc>
        <w:tc>
          <w:tcPr>
            <w:tcW w:w="1143" w:type="dxa"/>
          </w:tcPr>
          <w:p>
            <w:pPr>
              <w:pStyle w:val="TableParagraph"/>
              <w:spacing w:line="268" w:lineRule="exact"/>
              <w:rPr>
                <w:rFonts w:ascii="Times New Roman" w:hAnsi="Times New Roman"/>
                <w:sz w:val="24"/>
              </w:rPr>
            </w:pPr>
            <w:r>
              <w:rPr>
                <w:rFonts w:ascii="Times New Roman" w:hAnsi="Times New Roman"/>
                <w:w w:val="100"/>
                <w:sz w:val="24"/>
              </w:rPr>
              <w:t>“</w:t>
            </w:r>
          </w:p>
        </w:tc>
      </w:tr>
      <w:tr>
        <w:trPr>
          <w:trHeight w:val="840" w:hRule="exact"/>
        </w:trPr>
        <w:tc>
          <w:tcPr>
            <w:tcW w:w="3237" w:type="dxa"/>
          </w:tcPr>
          <w:p>
            <w:pPr>
              <w:pStyle w:val="TableParagraph"/>
              <w:spacing w:line="268" w:lineRule="exact"/>
              <w:ind w:left="100" w:right="105"/>
              <w:rPr>
                <w:rFonts w:ascii="Times New Roman"/>
                <w:i/>
                <w:sz w:val="24"/>
              </w:rPr>
            </w:pPr>
            <w:r>
              <w:rPr>
                <w:rFonts w:ascii="Times New Roman"/>
                <w:i/>
                <w:sz w:val="24"/>
              </w:rPr>
              <w:t>Piscirickettsia salmonis LF-89</w:t>
            </w:r>
          </w:p>
        </w:tc>
        <w:tc>
          <w:tcPr>
            <w:tcW w:w="1546" w:type="dxa"/>
          </w:tcPr>
          <w:p>
            <w:pPr>
              <w:pStyle w:val="TableParagraph"/>
              <w:spacing w:line="268" w:lineRule="exact"/>
              <w:rPr>
                <w:rFonts w:ascii="Times New Roman"/>
                <w:sz w:val="24"/>
              </w:rPr>
            </w:pPr>
            <w:r>
              <w:rPr>
                <w:rFonts w:ascii="Times New Roman"/>
                <w:sz w:val="24"/>
              </w:rPr>
              <w:t>AF205383.1</w:t>
            </w:r>
          </w:p>
        </w:tc>
        <w:tc>
          <w:tcPr>
            <w:tcW w:w="1224" w:type="dxa"/>
          </w:tcPr>
          <w:p>
            <w:pPr>
              <w:pStyle w:val="TableParagraph"/>
              <w:spacing w:line="268" w:lineRule="exact"/>
              <w:ind w:left="101"/>
              <w:rPr>
                <w:rFonts w:ascii="Times New Roman"/>
                <w:sz w:val="24"/>
              </w:rPr>
            </w:pPr>
            <w:r>
              <w:rPr>
                <w:rFonts w:ascii="Times New Roman"/>
                <w:sz w:val="24"/>
              </w:rPr>
              <w:t>Chile</w:t>
            </w:r>
          </w:p>
        </w:tc>
        <w:tc>
          <w:tcPr>
            <w:tcW w:w="1753" w:type="dxa"/>
          </w:tcPr>
          <w:p>
            <w:pPr>
              <w:pStyle w:val="TableParagraph"/>
              <w:spacing w:line="360" w:lineRule="auto"/>
              <w:ind w:left="106" w:right="217"/>
              <w:rPr>
                <w:rFonts w:ascii="Times New Roman"/>
                <w:i/>
                <w:sz w:val="24"/>
              </w:rPr>
            </w:pPr>
            <w:r>
              <w:rPr>
                <w:rFonts w:ascii="Times New Roman"/>
                <w:i/>
                <w:sz w:val="24"/>
              </w:rPr>
              <w:t>Oncorhynchus</w:t>
            </w:r>
            <w:r>
              <w:rPr>
                <w:rFonts w:ascii="Times New Roman"/>
                <w:i/>
                <w:w w:val="99"/>
                <w:sz w:val="24"/>
              </w:rPr>
              <w:t> </w:t>
            </w:r>
            <w:r>
              <w:rPr>
                <w:rFonts w:ascii="Times New Roman"/>
                <w:i/>
                <w:sz w:val="24"/>
              </w:rPr>
              <w:t>kisutch</w:t>
            </w:r>
          </w:p>
        </w:tc>
        <w:tc>
          <w:tcPr>
            <w:tcW w:w="1143" w:type="dxa"/>
          </w:tcPr>
          <w:p>
            <w:pPr>
              <w:pStyle w:val="TableParagraph"/>
              <w:spacing w:line="268" w:lineRule="exact"/>
              <w:rPr>
                <w:rFonts w:ascii="Times New Roman" w:hAnsi="Times New Roman"/>
                <w:sz w:val="24"/>
              </w:rPr>
            </w:pPr>
            <w:r>
              <w:rPr>
                <w:rFonts w:ascii="Times New Roman" w:hAnsi="Times New Roman"/>
                <w:w w:val="100"/>
                <w:sz w:val="24"/>
              </w:rPr>
              <w:t>“</w:t>
            </w:r>
          </w:p>
        </w:tc>
      </w:tr>
      <w:tr>
        <w:trPr>
          <w:trHeight w:val="1248" w:hRule="exact"/>
        </w:trPr>
        <w:tc>
          <w:tcPr>
            <w:tcW w:w="3237" w:type="dxa"/>
          </w:tcPr>
          <w:p>
            <w:pPr>
              <w:pStyle w:val="TableParagraph"/>
              <w:spacing w:line="268" w:lineRule="exact"/>
              <w:ind w:left="100" w:right="105"/>
              <w:rPr>
                <w:rFonts w:ascii="Times New Roman"/>
                <w:i/>
                <w:sz w:val="24"/>
              </w:rPr>
            </w:pPr>
            <w:r>
              <w:rPr>
                <w:rFonts w:ascii="Times New Roman"/>
                <w:i/>
                <w:sz w:val="24"/>
              </w:rPr>
              <w:t>Bacillus subtilis</w:t>
            </w:r>
          </w:p>
        </w:tc>
        <w:tc>
          <w:tcPr>
            <w:tcW w:w="1546" w:type="dxa"/>
          </w:tcPr>
          <w:p>
            <w:pPr>
              <w:pStyle w:val="TableParagraph"/>
              <w:spacing w:line="268" w:lineRule="exact"/>
              <w:rPr>
                <w:rFonts w:ascii="Times New Roman"/>
                <w:sz w:val="24"/>
              </w:rPr>
            </w:pPr>
            <w:r>
              <w:rPr>
                <w:rFonts w:ascii="Times New Roman"/>
                <w:sz w:val="24"/>
              </w:rPr>
              <w:t>JQ518353.1</w:t>
            </w:r>
          </w:p>
        </w:tc>
        <w:tc>
          <w:tcPr>
            <w:tcW w:w="1224" w:type="dxa"/>
          </w:tcPr>
          <w:p>
            <w:pPr>
              <w:pStyle w:val="TableParagraph"/>
              <w:spacing w:line="268" w:lineRule="exact"/>
              <w:ind w:left="101"/>
              <w:rPr>
                <w:rFonts w:ascii="Times New Roman"/>
                <w:sz w:val="24"/>
              </w:rPr>
            </w:pPr>
            <w:r>
              <w:rPr>
                <w:rFonts w:ascii="Times New Roman"/>
                <w:sz w:val="24"/>
              </w:rPr>
              <w:t>Chine</w:t>
            </w:r>
          </w:p>
        </w:tc>
        <w:tc>
          <w:tcPr>
            <w:tcW w:w="1753" w:type="dxa"/>
          </w:tcPr>
          <w:p>
            <w:pPr>
              <w:pStyle w:val="TableParagraph"/>
              <w:spacing w:line="360" w:lineRule="auto"/>
              <w:ind w:left="106" w:right="331"/>
              <w:rPr>
                <w:rFonts w:ascii="Times New Roman"/>
                <w:sz w:val="24"/>
              </w:rPr>
            </w:pPr>
            <w:r>
              <w:rPr>
                <w:rFonts w:ascii="Times New Roman"/>
                <w:sz w:val="24"/>
              </w:rPr>
              <w:t>Chinese fermented soybean food</w:t>
            </w:r>
          </w:p>
        </w:tc>
        <w:tc>
          <w:tcPr>
            <w:tcW w:w="1143" w:type="dxa"/>
          </w:tcPr>
          <w:p>
            <w:pPr>
              <w:pStyle w:val="TableParagraph"/>
              <w:spacing w:line="268" w:lineRule="exact"/>
              <w:rPr>
                <w:rFonts w:ascii="Times New Roman" w:hAnsi="Times New Roman"/>
                <w:sz w:val="24"/>
              </w:rPr>
            </w:pPr>
            <w:r>
              <w:rPr>
                <w:rFonts w:ascii="Times New Roman" w:hAnsi="Times New Roman"/>
                <w:w w:val="100"/>
                <w:sz w:val="24"/>
              </w:rPr>
              <w:t>“</w:t>
            </w:r>
          </w:p>
        </w:tc>
      </w:tr>
      <w:tr>
        <w:trPr>
          <w:trHeight w:val="840" w:hRule="exact"/>
        </w:trPr>
        <w:tc>
          <w:tcPr>
            <w:tcW w:w="3237" w:type="dxa"/>
          </w:tcPr>
          <w:p>
            <w:pPr>
              <w:pStyle w:val="TableParagraph"/>
              <w:tabs>
                <w:tab w:pos="2212" w:val="left" w:leader="none"/>
              </w:tabs>
              <w:spacing w:line="362" w:lineRule="auto"/>
              <w:ind w:left="100" w:right="104"/>
              <w:rPr>
                <w:rFonts w:ascii="Times New Roman"/>
                <w:i/>
                <w:sz w:val="24"/>
              </w:rPr>
            </w:pPr>
            <w:r>
              <w:rPr>
                <w:rFonts w:ascii="Times New Roman"/>
                <w:i/>
                <w:sz w:val="24"/>
              </w:rPr>
              <w:t>Photobacterium</w:t>
              <w:tab/>
              <w:t>damselae </w:t>
            </w:r>
            <w:r>
              <w:rPr>
                <w:rFonts w:ascii="Times New Roman"/>
                <w:i/>
                <w:sz w:val="24"/>
              </w:rPr>
              <w:t>subsp.</w:t>
            </w:r>
            <w:r>
              <w:rPr>
                <w:rFonts w:ascii="Times New Roman"/>
                <w:i/>
                <w:spacing w:val="-6"/>
                <w:sz w:val="24"/>
              </w:rPr>
              <w:t> </w:t>
            </w:r>
            <w:r>
              <w:rPr>
                <w:rFonts w:ascii="Times New Roman"/>
                <w:i/>
                <w:sz w:val="24"/>
              </w:rPr>
              <w:t>piscicida</w:t>
            </w:r>
          </w:p>
        </w:tc>
        <w:tc>
          <w:tcPr>
            <w:tcW w:w="1546" w:type="dxa"/>
          </w:tcPr>
          <w:p>
            <w:pPr>
              <w:pStyle w:val="TableParagraph"/>
              <w:spacing w:line="268" w:lineRule="exact"/>
              <w:rPr>
                <w:rFonts w:ascii="Times New Roman"/>
                <w:sz w:val="24"/>
              </w:rPr>
            </w:pPr>
            <w:r>
              <w:rPr>
                <w:rFonts w:ascii="Times New Roman"/>
                <w:sz w:val="24"/>
              </w:rPr>
              <w:t>FN646576.1</w:t>
            </w:r>
          </w:p>
        </w:tc>
        <w:tc>
          <w:tcPr>
            <w:tcW w:w="1224" w:type="dxa"/>
          </w:tcPr>
          <w:p>
            <w:pPr>
              <w:pStyle w:val="TableParagraph"/>
              <w:spacing w:line="268" w:lineRule="exact"/>
              <w:ind w:left="101"/>
              <w:rPr>
                <w:rFonts w:ascii="Times New Roman"/>
                <w:sz w:val="24"/>
              </w:rPr>
            </w:pPr>
            <w:r>
              <w:rPr>
                <w:rFonts w:ascii="Times New Roman"/>
                <w:sz w:val="24"/>
              </w:rPr>
              <w:t>Spain</w:t>
            </w:r>
          </w:p>
        </w:tc>
        <w:tc>
          <w:tcPr>
            <w:tcW w:w="1753" w:type="dxa"/>
          </w:tcPr>
          <w:p>
            <w:pPr>
              <w:pStyle w:val="TableParagraph"/>
              <w:spacing w:line="362" w:lineRule="auto"/>
              <w:ind w:left="106"/>
              <w:rPr>
                <w:rFonts w:ascii="Times New Roman"/>
                <w:i/>
                <w:sz w:val="24"/>
              </w:rPr>
            </w:pPr>
            <w:r>
              <w:rPr>
                <w:rFonts w:ascii="Times New Roman"/>
                <w:i/>
                <w:sz w:val="24"/>
              </w:rPr>
              <w:t>Dicologoglossa </w:t>
            </w:r>
            <w:r>
              <w:rPr>
                <w:rFonts w:ascii="Times New Roman"/>
                <w:i/>
                <w:sz w:val="24"/>
              </w:rPr>
              <w:t>cuneata</w:t>
            </w:r>
          </w:p>
        </w:tc>
        <w:tc>
          <w:tcPr>
            <w:tcW w:w="1143" w:type="dxa"/>
          </w:tcPr>
          <w:p>
            <w:pPr>
              <w:pStyle w:val="TableParagraph"/>
              <w:spacing w:line="268" w:lineRule="exact"/>
              <w:rPr>
                <w:rFonts w:ascii="Times New Roman" w:hAnsi="Times New Roman"/>
                <w:sz w:val="24"/>
              </w:rPr>
            </w:pPr>
            <w:r>
              <w:rPr>
                <w:rFonts w:ascii="Times New Roman" w:hAnsi="Times New Roman"/>
                <w:w w:val="100"/>
                <w:sz w:val="24"/>
              </w:rPr>
              <w:t>“</w:t>
            </w:r>
          </w:p>
        </w:tc>
      </w:tr>
    </w:tbl>
    <w:p>
      <w:pPr>
        <w:spacing w:after="0" w:line="268" w:lineRule="exact"/>
        <w:rPr>
          <w:rFonts w:ascii="Times New Roman" w:hAnsi="Times New Roman"/>
          <w:sz w:val="24"/>
        </w:rPr>
        <w:sectPr>
          <w:pgSz w:w="12240" w:h="15840"/>
          <w:pgMar w:header="752" w:footer="998" w:top="1000" w:bottom="1180" w:left="1480" w:right="1560"/>
        </w:sectPr>
      </w:pPr>
    </w:p>
    <w:p>
      <w:pPr>
        <w:pStyle w:val="BodyText"/>
        <w:spacing w:before="8"/>
        <w:rPr>
          <w:rFonts w:ascii="Times New Roman"/>
          <w:sz w:val="28"/>
        </w:rPr>
      </w:pPr>
    </w:p>
    <w:p>
      <w:pPr>
        <w:pStyle w:val="BodyText"/>
        <w:spacing w:line="360" w:lineRule="auto" w:before="70"/>
        <w:ind w:left="219" w:right="139" w:firstLine="706"/>
        <w:jc w:val="both"/>
        <w:rPr>
          <w:rFonts w:ascii="Times New Roman" w:hAnsi="Times New Roman"/>
        </w:rPr>
      </w:pPr>
      <w:r>
        <w:rPr>
          <w:rFonts w:ascii="Times New Roman" w:hAnsi="Times New Roman"/>
        </w:rPr>
        <w:t>Tabla 2. Secuencias y especificidad de los primers utilizados para amplificar el gen 16S rRNA y el espaciador intergénico (ITS) para PCR y secuenciación. F: forward; R: reverse</w:t>
      </w:r>
    </w:p>
    <w:p>
      <w:pPr>
        <w:pStyle w:val="BodyText"/>
        <w:spacing w:line="355" w:lineRule="auto" w:before="211"/>
        <w:ind w:left="219" w:right="144" w:firstLine="706"/>
        <w:jc w:val="both"/>
        <w:rPr>
          <w:rFonts w:ascii="Times New Roman"/>
        </w:rPr>
      </w:pPr>
      <w:r>
        <w:rPr>
          <w:rFonts w:ascii="Times New Roman"/>
        </w:rPr>
        <w:t>Table 2. Sequence and specificity </w:t>
      </w:r>
      <w:r>
        <w:rPr>
          <w:rFonts w:ascii="Times New Roman"/>
          <w:spacing w:val="4"/>
        </w:rPr>
        <w:t>of </w:t>
      </w:r>
      <w:r>
        <w:rPr>
          <w:rFonts w:ascii="Times New Roman"/>
        </w:rPr>
        <w:t>the primers used to amplify the 16S rRNA</w:t>
      </w:r>
      <w:r>
        <w:rPr>
          <w:rFonts w:ascii="Times New Roman"/>
          <w:spacing w:val="-42"/>
        </w:rPr>
        <w:t> </w:t>
      </w:r>
      <w:r>
        <w:rPr>
          <w:rFonts w:ascii="Times New Roman"/>
        </w:rPr>
        <w:t>gene and intergenic spacer (ITS) for PCR and sequencing. F: forward; R:</w:t>
      </w:r>
      <w:r>
        <w:rPr>
          <w:rFonts w:ascii="Times New Roman"/>
          <w:spacing w:val="-28"/>
        </w:rPr>
        <w:t> </w:t>
      </w:r>
      <w:r>
        <w:rPr>
          <w:rFonts w:ascii="Times New Roman"/>
        </w:rPr>
        <w:t>reverse</w:t>
      </w:r>
    </w:p>
    <w:p>
      <w:pPr>
        <w:pStyle w:val="BodyText"/>
        <w:spacing w:before="5"/>
        <w:rPr>
          <w:rFonts w:ascii="Times New Roman"/>
          <w:sz w:val="19"/>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19"/>
        <w:gridCol w:w="2976"/>
        <w:gridCol w:w="1231"/>
        <w:gridCol w:w="1761"/>
        <w:gridCol w:w="1368"/>
      </w:tblGrid>
      <w:tr>
        <w:trPr>
          <w:trHeight w:val="836" w:hRule="exact"/>
        </w:trPr>
        <w:tc>
          <w:tcPr>
            <w:tcW w:w="1519" w:type="dxa"/>
            <w:tcBorders>
              <w:left w:val="nil"/>
              <w:right w:val="nil"/>
            </w:tcBorders>
          </w:tcPr>
          <w:p>
            <w:pPr>
              <w:pStyle w:val="TableParagraph"/>
              <w:spacing w:line="360" w:lineRule="auto"/>
              <w:ind w:left="110"/>
              <w:rPr>
                <w:rFonts w:ascii="Times New Roman" w:hAnsi="Times New Roman"/>
                <w:b/>
                <w:sz w:val="24"/>
              </w:rPr>
            </w:pPr>
            <w:r>
              <w:rPr>
                <w:rFonts w:ascii="Times New Roman" w:hAnsi="Times New Roman"/>
                <w:b/>
                <w:sz w:val="24"/>
              </w:rPr>
              <w:t>Localización del primer</w:t>
            </w:r>
          </w:p>
        </w:tc>
        <w:tc>
          <w:tcPr>
            <w:tcW w:w="2976" w:type="dxa"/>
            <w:tcBorders>
              <w:left w:val="nil"/>
              <w:right w:val="nil"/>
            </w:tcBorders>
          </w:tcPr>
          <w:p>
            <w:pPr>
              <w:pStyle w:val="TableParagraph"/>
              <w:spacing w:line="273" w:lineRule="exact"/>
              <w:ind w:left="119" w:right="147"/>
              <w:rPr>
                <w:rFonts w:ascii="Times New Roman" w:hAnsi="Times New Roman"/>
                <w:b/>
                <w:sz w:val="24"/>
              </w:rPr>
            </w:pPr>
            <w:r>
              <w:rPr>
                <w:rFonts w:ascii="Times New Roman" w:hAnsi="Times New Roman"/>
                <w:b/>
                <w:sz w:val="24"/>
              </w:rPr>
              <w:t>Secuencia (5’-3’)</w:t>
            </w:r>
          </w:p>
        </w:tc>
        <w:tc>
          <w:tcPr>
            <w:tcW w:w="1231" w:type="dxa"/>
            <w:tcBorders>
              <w:left w:val="nil"/>
              <w:right w:val="nil"/>
            </w:tcBorders>
          </w:tcPr>
          <w:p>
            <w:pPr>
              <w:pStyle w:val="TableParagraph"/>
              <w:spacing w:line="360" w:lineRule="auto"/>
              <w:ind w:left="120"/>
              <w:rPr>
                <w:rFonts w:ascii="Times New Roman"/>
                <w:b/>
                <w:sz w:val="24"/>
              </w:rPr>
            </w:pPr>
            <w:r>
              <w:rPr>
                <w:rFonts w:ascii="Times New Roman"/>
                <w:b/>
                <w:sz w:val="24"/>
              </w:rPr>
              <w:t>Amplicon (bp)</w:t>
            </w:r>
          </w:p>
        </w:tc>
        <w:tc>
          <w:tcPr>
            <w:tcW w:w="1761" w:type="dxa"/>
            <w:tcBorders>
              <w:left w:val="nil"/>
              <w:right w:val="nil"/>
            </w:tcBorders>
          </w:tcPr>
          <w:p>
            <w:pPr>
              <w:pStyle w:val="TableParagraph"/>
              <w:spacing w:line="273" w:lineRule="exact"/>
              <w:ind w:left="0" w:right="149"/>
              <w:jc w:val="right"/>
              <w:rPr>
                <w:rFonts w:ascii="Times New Roman"/>
                <w:b/>
                <w:sz w:val="24"/>
              </w:rPr>
            </w:pPr>
            <w:r>
              <w:rPr>
                <w:rFonts w:ascii="Times New Roman"/>
                <w:b/>
                <w:sz w:val="24"/>
              </w:rPr>
              <w:t>Especificidad</w:t>
            </w:r>
          </w:p>
        </w:tc>
        <w:tc>
          <w:tcPr>
            <w:tcW w:w="1368" w:type="dxa"/>
            <w:tcBorders>
              <w:left w:val="nil"/>
              <w:right w:val="nil"/>
            </w:tcBorders>
          </w:tcPr>
          <w:p>
            <w:pPr>
              <w:pStyle w:val="TableParagraph"/>
              <w:spacing w:line="273" w:lineRule="exact"/>
              <w:ind w:left="110"/>
              <w:rPr>
                <w:rFonts w:ascii="Times New Roman"/>
                <w:b/>
                <w:sz w:val="24"/>
              </w:rPr>
            </w:pPr>
            <w:r>
              <w:rPr>
                <w:rFonts w:ascii="Times New Roman"/>
                <w:b/>
                <w:sz w:val="24"/>
              </w:rPr>
              <w:t>Referencia</w:t>
            </w:r>
          </w:p>
        </w:tc>
      </w:tr>
      <w:tr>
        <w:trPr>
          <w:trHeight w:val="1661" w:hRule="exact"/>
        </w:trPr>
        <w:tc>
          <w:tcPr>
            <w:tcW w:w="1519" w:type="dxa"/>
            <w:tcBorders>
              <w:left w:val="nil"/>
              <w:bottom w:val="nil"/>
              <w:right w:val="nil"/>
            </w:tcBorders>
          </w:tcPr>
          <w:p>
            <w:pPr>
              <w:pStyle w:val="TableParagraph"/>
              <w:spacing w:line="362" w:lineRule="auto"/>
              <w:ind w:left="110" w:right="115"/>
              <w:rPr>
                <w:rFonts w:ascii="Times New Roman"/>
                <w:sz w:val="24"/>
              </w:rPr>
            </w:pPr>
            <w:r>
              <w:rPr>
                <w:rFonts w:ascii="Times New Roman"/>
                <w:sz w:val="24"/>
              </w:rPr>
              <w:t>UN (27F) a EB(1487R) a</w:t>
            </w:r>
          </w:p>
        </w:tc>
        <w:tc>
          <w:tcPr>
            <w:tcW w:w="2976" w:type="dxa"/>
            <w:tcBorders>
              <w:left w:val="nil"/>
              <w:bottom w:val="nil"/>
              <w:right w:val="nil"/>
            </w:tcBorders>
          </w:tcPr>
          <w:p>
            <w:pPr>
              <w:pStyle w:val="TableParagraph"/>
              <w:spacing w:line="362" w:lineRule="auto"/>
              <w:ind w:left="119" w:right="147"/>
              <w:rPr>
                <w:rFonts w:ascii="Times New Roman"/>
                <w:sz w:val="22"/>
              </w:rPr>
            </w:pPr>
            <w:r>
              <w:rPr>
                <w:rFonts w:ascii="Times New Roman"/>
                <w:sz w:val="22"/>
              </w:rPr>
              <w:t>AGAGTTTGATCCTGGCTC AG ACGGATACCTTGTTACGA GTT</w:t>
            </w:r>
          </w:p>
        </w:tc>
        <w:tc>
          <w:tcPr>
            <w:tcW w:w="1231" w:type="dxa"/>
            <w:tcBorders>
              <w:left w:val="nil"/>
              <w:bottom w:val="nil"/>
              <w:right w:val="nil"/>
            </w:tcBorders>
          </w:tcPr>
          <w:p>
            <w:pPr>
              <w:pStyle w:val="TableParagraph"/>
              <w:spacing w:line="268" w:lineRule="exact"/>
              <w:ind w:left="120"/>
              <w:rPr>
                <w:rFonts w:ascii="Times New Roman"/>
                <w:sz w:val="24"/>
              </w:rPr>
            </w:pPr>
            <w:r>
              <w:rPr>
                <w:rFonts w:ascii="Times New Roman"/>
                <w:sz w:val="24"/>
              </w:rPr>
              <w:t>1.534</w:t>
            </w:r>
          </w:p>
        </w:tc>
        <w:tc>
          <w:tcPr>
            <w:tcW w:w="1761" w:type="dxa"/>
            <w:tcBorders>
              <w:left w:val="nil"/>
              <w:bottom w:val="nil"/>
              <w:right w:val="nil"/>
            </w:tcBorders>
          </w:tcPr>
          <w:p>
            <w:pPr>
              <w:pStyle w:val="TableParagraph"/>
              <w:spacing w:line="268" w:lineRule="exact"/>
              <w:ind w:left="0" w:right="125"/>
              <w:jc w:val="right"/>
              <w:rPr>
                <w:rFonts w:ascii="Times New Roman"/>
                <w:sz w:val="24"/>
              </w:rPr>
            </w:pPr>
            <w:r>
              <w:rPr>
                <w:rFonts w:ascii="Times New Roman"/>
                <w:sz w:val="24"/>
              </w:rPr>
              <w:t>Eubacterial 16S</w:t>
            </w:r>
          </w:p>
        </w:tc>
        <w:tc>
          <w:tcPr>
            <w:tcW w:w="1368" w:type="dxa"/>
            <w:tcBorders>
              <w:left w:val="nil"/>
              <w:bottom w:val="nil"/>
              <w:right w:val="nil"/>
            </w:tcBorders>
          </w:tcPr>
          <w:p>
            <w:pPr>
              <w:pStyle w:val="TableParagraph"/>
              <w:spacing w:line="362" w:lineRule="auto"/>
              <w:ind w:left="110"/>
              <w:rPr>
                <w:rFonts w:ascii="Times New Roman"/>
                <w:sz w:val="24"/>
              </w:rPr>
            </w:pPr>
            <w:r>
              <w:rPr>
                <w:rFonts w:ascii="Times New Roman"/>
                <w:sz w:val="24"/>
              </w:rPr>
              <w:t>Barry y col 1990</w:t>
            </w:r>
          </w:p>
        </w:tc>
      </w:tr>
      <w:tr>
        <w:trPr>
          <w:trHeight w:val="1896" w:hRule="exact"/>
        </w:trPr>
        <w:tc>
          <w:tcPr>
            <w:tcW w:w="1519" w:type="dxa"/>
            <w:tcBorders>
              <w:top w:val="nil"/>
              <w:left w:val="nil"/>
              <w:bottom w:val="nil"/>
              <w:right w:val="nil"/>
            </w:tcBorders>
          </w:tcPr>
          <w:p>
            <w:pPr>
              <w:pStyle w:val="TableParagraph"/>
              <w:spacing w:line="240" w:lineRule="auto" w:before="7"/>
              <w:ind w:left="0"/>
              <w:rPr>
                <w:rFonts w:ascii="Times New Roman"/>
                <w:sz w:val="20"/>
              </w:rPr>
            </w:pPr>
          </w:p>
          <w:p>
            <w:pPr>
              <w:pStyle w:val="TableParagraph"/>
              <w:spacing w:line="360" w:lineRule="auto"/>
              <w:ind w:left="110" w:right="275"/>
              <w:rPr>
                <w:rFonts w:ascii="Times New Roman"/>
                <w:sz w:val="24"/>
              </w:rPr>
            </w:pPr>
            <w:r>
              <w:rPr>
                <w:rFonts w:ascii="Times New Roman"/>
                <w:sz w:val="24"/>
              </w:rPr>
              <w:t>A1 (1493)b B1 (23)b</w:t>
            </w:r>
          </w:p>
        </w:tc>
        <w:tc>
          <w:tcPr>
            <w:tcW w:w="2976" w:type="dxa"/>
            <w:tcBorders>
              <w:top w:val="nil"/>
              <w:left w:val="nil"/>
              <w:bottom w:val="nil"/>
              <w:right w:val="nil"/>
            </w:tcBorders>
          </w:tcPr>
          <w:p>
            <w:pPr>
              <w:pStyle w:val="TableParagraph"/>
              <w:spacing w:line="240" w:lineRule="auto"/>
              <w:ind w:left="0"/>
              <w:rPr>
                <w:rFonts w:ascii="Times New Roman"/>
                <w:sz w:val="21"/>
              </w:rPr>
            </w:pPr>
          </w:p>
          <w:p>
            <w:pPr>
              <w:pStyle w:val="TableParagraph"/>
              <w:spacing w:line="360" w:lineRule="auto"/>
              <w:ind w:left="119" w:right="16"/>
              <w:rPr>
                <w:rFonts w:ascii="Times New Roman"/>
                <w:sz w:val="22"/>
              </w:rPr>
            </w:pPr>
            <w:r>
              <w:rPr>
                <w:rFonts w:ascii="Times New Roman"/>
                <w:sz w:val="22"/>
              </w:rPr>
              <w:t>AGTCGTAACAAGGTAGCC G CCGTTGCCAAGGCATCCA CC</w:t>
            </w:r>
          </w:p>
        </w:tc>
        <w:tc>
          <w:tcPr>
            <w:tcW w:w="1231" w:type="dxa"/>
            <w:tcBorders>
              <w:top w:val="nil"/>
              <w:left w:val="nil"/>
              <w:bottom w:val="nil"/>
              <w:right w:val="nil"/>
            </w:tcBorders>
          </w:tcPr>
          <w:p>
            <w:pPr>
              <w:pStyle w:val="TableParagraph"/>
              <w:spacing w:line="240" w:lineRule="auto" w:before="7"/>
              <w:ind w:left="0"/>
              <w:rPr>
                <w:rFonts w:ascii="Times New Roman"/>
                <w:sz w:val="20"/>
              </w:rPr>
            </w:pPr>
          </w:p>
          <w:p>
            <w:pPr>
              <w:pStyle w:val="TableParagraph"/>
              <w:spacing w:line="240" w:lineRule="auto"/>
              <w:ind w:left="120"/>
              <w:rPr>
                <w:rFonts w:ascii="Times New Roman"/>
                <w:sz w:val="24"/>
              </w:rPr>
            </w:pPr>
            <w:r>
              <w:rPr>
                <w:rFonts w:ascii="Times New Roman"/>
                <w:sz w:val="24"/>
              </w:rPr>
              <w:t>300</w:t>
            </w:r>
          </w:p>
        </w:tc>
        <w:tc>
          <w:tcPr>
            <w:tcW w:w="1761" w:type="dxa"/>
            <w:tcBorders>
              <w:top w:val="nil"/>
              <w:left w:val="nil"/>
              <w:bottom w:val="nil"/>
              <w:right w:val="nil"/>
            </w:tcBorders>
          </w:tcPr>
          <w:p>
            <w:pPr>
              <w:pStyle w:val="TableParagraph"/>
              <w:spacing w:line="240" w:lineRule="auto" w:before="7"/>
              <w:ind w:left="0"/>
              <w:rPr>
                <w:rFonts w:ascii="Times New Roman"/>
                <w:sz w:val="20"/>
              </w:rPr>
            </w:pPr>
          </w:p>
          <w:p>
            <w:pPr>
              <w:pStyle w:val="TableParagraph"/>
              <w:spacing w:line="360" w:lineRule="auto"/>
              <w:ind w:left="113" w:right="535"/>
              <w:rPr>
                <w:rFonts w:ascii="Times New Roman"/>
                <w:sz w:val="24"/>
              </w:rPr>
            </w:pPr>
            <w:r>
              <w:rPr>
                <w:rFonts w:ascii="Times New Roman"/>
                <w:sz w:val="24"/>
              </w:rPr>
              <w:t>Eubacterial ITS</w:t>
            </w:r>
          </w:p>
        </w:tc>
        <w:tc>
          <w:tcPr>
            <w:tcW w:w="1368" w:type="dxa"/>
            <w:tcBorders>
              <w:top w:val="nil"/>
              <w:left w:val="nil"/>
              <w:bottom w:val="nil"/>
              <w:right w:val="nil"/>
            </w:tcBorders>
          </w:tcPr>
          <w:p>
            <w:pPr>
              <w:pStyle w:val="TableParagraph"/>
              <w:spacing w:line="240" w:lineRule="auto" w:before="7"/>
              <w:ind w:left="0"/>
              <w:rPr>
                <w:rFonts w:ascii="Times New Roman"/>
                <w:sz w:val="20"/>
              </w:rPr>
            </w:pPr>
          </w:p>
          <w:p>
            <w:pPr>
              <w:pStyle w:val="TableParagraph"/>
              <w:spacing w:line="360" w:lineRule="auto"/>
              <w:ind w:left="110"/>
              <w:rPr>
                <w:rFonts w:ascii="Times New Roman"/>
                <w:sz w:val="24"/>
              </w:rPr>
            </w:pPr>
            <w:r>
              <w:rPr>
                <w:rFonts w:ascii="Times New Roman"/>
                <w:sz w:val="24"/>
              </w:rPr>
              <w:t>Barry y col 1991</w:t>
            </w:r>
          </w:p>
        </w:tc>
      </w:tr>
      <w:tr>
        <w:trPr>
          <w:trHeight w:val="1517" w:hRule="exact"/>
        </w:trPr>
        <w:tc>
          <w:tcPr>
            <w:tcW w:w="1519" w:type="dxa"/>
            <w:tcBorders>
              <w:top w:val="nil"/>
              <w:left w:val="nil"/>
              <w:bottom w:val="nil"/>
              <w:right w:val="nil"/>
            </w:tcBorders>
          </w:tcPr>
          <w:p>
            <w:pPr>
              <w:pStyle w:val="TableParagraph"/>
              <w:spacing w:line="240" w:lineRule="auto" w:before="7"/>
              <w:ind w:left="0"/>
              <w:rPr>
                <w:rFonts w:ascii="Times New Roman"/>
                <w:sz w:val="20"/>
              </w:rPr>
            </w:pPr>
          </w:p>
          <w:p>
            <w:pPr>
              <w:pStyle w:val="TableParagraph"/>
              <w:spacing w:line="360" w:lineRule="auto"/>
              <w:ind w:left="110" w:right="388"/>
              <w:rPr>
                <w:rFonts w:ascii="Times New Roman"/>
                <w:sz w:val="24"/>
              </w:rPr>
            </w:pPr>
            <w:r>
              <w:rPr>
                <w:rFonts w:ascii="Times New Roman"/>
                <w:sz w:val="24"/>
              </w:rPr>
              <w:t>F11(149)a</w:t>
            </w:r>
            <w:r>
              <w:rPr>
                <w:rFonts w:ascii="Times New Roman"/>
                <w:w w:val="99"/>
                <w:sz w:val="24"/>
              </w:rPr>
              <w:t> </w:t>
            </w:r>
            <w:r>
              <w:rPr>
                <w:rFonts w:ascii="Times New Roman"/>
                <w:sz w:val="24"/>
              </w:rPr>
              <w:t>F5(1290)a</w:t>
            </w:r>
          </w:p>
        </w:tc>
        <w:tc>
          <w:tcPr>
            <w:tcW w:w="2976" w:type="dxa"/>
            <w:tcBorders>
              <w:top w:val="nil"/>
              <w:left w:val="nil"/>
              <w:bottom w:val="nil"/>
              <w:right w:val="nil"/>
            </w:tcBorders>
          </w:tcPr>
          <w:p>
            <w:pPr>
              <w:pStyle w:val="TableParagraph"/>
              <w:spacing w:line="240" w:lineRule="auto"/>
              <w:ind w:left="0"/>
              <w:rPr>
                <w:rFonts w:ascii="Times New Roman"/>
                <w:sz w:val="21"/>
              </w:rPr>
            </w:pPr>
          </w:p>
          <w:p>
            <w:pPr>
              <w:pStyle w:val="TableParagraph"/>
              <w:spacing w:line="360" w:lineRule="auto"/>
              <w:ind w:left="119" w:right="111"/>
              <w:rPr>
                <w:rFonts w:ascii="Times New Roman"/>
                <w:sz w:val="22"/>
              </w:rPr>
            </w:pPr>
            <w:r>
              <w:rPr>
                <w:rFonts w:ascii="Times New Roman"/>
                <w:sz w:val="22"/>
              </w:rPr>
              <w:t>TACCAGTTGGAAACGACT GT CCTTTTTGAGTTTCGCTCC</w:t>
            </w:r>
          </w:p>
        </w:tc>
        <w:tc>
          <w:tcPr>
            <w:tcW w:w="1231" w:type="dxa"/>
            <w:tcBorders>
              <w:top w:val="nil"/>
              <w:left w:val="nil"/>
              <w:bottom w:val="nil"/>
              <w:right w:val="nil"/>
            </w:tcBorders>
          </w:tcPr>
          <w:p>
            <w:pPr>
              <w:pStyle w:val="TableParagraph"/>
              <w:spacing w:line="240" w:lineRule="auto" w:before="7"/>
              <w:ind w:left="0"/>
              <w:rPr>
                <w:rFonts w:ascii="Times New Roman"/>
                <w:sz w:val="20"/>
              </w:rPr>
            </w:pPr>
          </w:p>
          <w:p>
            <w:pPr>
              <w:pStyle w:val="TableParagraph"/>
              <w:spacing w:line="240" w:lineRule="auto"/>
              <w:ind w:left="120"/>
              <w:rPr>
                <w:rFonts w:ascii="Times New Roman"/>
                <w:sz w:val="24"/>
              </w:rPr>
            </w:pPr>
            <w:r>
              <w:rPr>
                <w:rFonts w:ascii="Times New Roman"/>
                <w:sz w:val="24"/>
              </w:rPr>
              <w:t>1.100</w:t>
            </w:r>
          </w:p>
        </w:tc>
        <w:tc>
          <w:tcPr>
            <w:tcW w:w="1761" w:type="dxa"/>
            <w:tcBorders>
              <w:top w:val="nil"/>
              <w:left w:val="nil"/>
              <w:bottom w:val="nil"/>
              <w:right w:val="nil"/>
            </w:tcBorders>
          </w:tcPr>
          <w:p>
            <w:pPr>
              <w:pStyle w:val="TableParagraph"/>
              <w:spacing w:line="240" w:lineRule="auto" w:before="7"/>
              <w:ind w:left="0"/>
              <w:rPr>
                <w:rFonts w:ascii="Times New Roman"/>
                <w:sz w:val="20"/>
              </w:rPr>
            </w:pPr>
          </w:p>
          <w:p>
            <w:pPr>
              <w:pStyle w:val="TableParagraph"/>
              <w:spacing w:line="360" w:lineRule="auto"/>
              <w:ind w:left="113" w:right="535"/>
              <w:rPr>
                <w:rFonts w:ascii="Times New Roman"/>
                <w:sz w:val="24"/>
              </w:rPr>
            </w:pPr>
            <w:r>
              <w:rPr>
                <w:rFonts w:ascii="Times New Roman"/>
                <w:sz w:val="24"/>
              </w:rPr>
              <w:t>Genero Francisella</w:t>
            </w:r>
          </w:p>
        </w:tc>
        <w:tc>
          <w:tcPr>
            <w:tcW w:w="1368" w:type="dxa"/>
            <w:tcBorders>
              <w:top w:val="nil"/>
              <w:left w:val="nil"/>
              <w:bottom w:val="nil"/>
              <w:right w:val="nil"/>
            </w:tcBorders>
          </w:tcPr>
          <w:p>
            <w:pPr>
              <w:pStyle w:val="TableParagraph"/>
              <w:spacing w:line="240" w:lineRule="auto" w:before="7"/>
              <w:ind w:left="0"/>
              <w:rPr>
                <w:rFonts w:ascii="Times New Roman"/>
                <w:sz w:val="20"/>
              </w:rPr>
            </w:pPr>
          </w:p>
          <w:p>
            <w:pPr>
              <w:pStyle w:val="TableParagraph"/>
              <w:spacing w:line="360" w:lineRule="auto"/>
              <w:ind w:left="110"/>
              <w:rPr>
                <w:rFonts w:ascii="Times New Roman"/>
                <w:sz w:val="24"/>
              </w:rPr>
            </w:pPr>
            <w:r>
              <w:rPr>
                <w:rFonts w:ascii="Times New Roman"/>
                <w:sz w:val="24"/>
              </w:rPr>
              <w:t>Forsman y col</w:t>
            </w:r>
            <w:r>
              <w:rPr>
                <w:rFonts w:ascii="Times New Roman"/>
                <w:spacing w:val="58"/>
                <w:sz w:val="24"/>
              </w:rPr>
              <w:t> </w:t>
            </w:r>
            <w:r>
              <w:rPr>
                <w:rFonts w:ascii="Times New Roman"/>
                <w:sz w:val="24"/>
              </w:rPr>
              <w:t>1994</w:t>
            </w:r>
          </w:p>
        </w:tc>
      </w:tr>
      <w:tr>
        <w:trPr>
          <w:trHeight w:val="1768" w:hRule="exact"/>
        </w:trPr>
        <w:tc>
          <w:tcPr>
            <w:tcW w:w="1519" w:type="dxa"/>
            <w:tcBorders>
              <w:top w:val="nil"/>
              <w:left w:val="nil"/>
              <w:right w:val="nil"/>
            </w:tcBorders>
          </w:tcPr>
          <w:p>
            <w:pPr>
              <w:pStyle w:val="TableParagraph"/>
              <w:spacing w:line="240" w:lineRule="auto" w:before="7"/>
              <w:ind w:left="0"/>
              <w:rPr>
                <w:rFonts w:ascii="Times New Roman"/>
                <w:sz w:val="20"/>
              </w:rPr>
            </w:pPr>
          </w:p>
          <w:p>
            <w:pPr>
              <w:pStyle w:val="TableParagraph"/>
              <w:spacing w:line="360" w:lineRule="auto"/>
              <w:ind w:left="110" w:right="388"/>
              <w:rPr>
                <w:rFonts w:ascii="Times New Roman"/>
                <w:sz w:val="24"/>
              </w:rPr>
            </w:pPr>
            <w:r>
              <w:rPr>
                <w:rFonts w:ascii="Times New Roman"/>
                <w:sz w:val="24"/>
              </w:rPr>
              <w:t>iglCF iglCR</w:t>
            </w:r>
          </w:p>
        </w:tc>
        <w:tc>
          <w:tcPr>
            <w:tcW w:w="2976" w:type="dxa"/>
            <w:tcBorders>
              <w:top w:val="nil"/>
              <w:left w:val="nil"/>
              <w:right w:val="nil"/>
            </w:tcBorders>
          </w:tcPr>
          <w:p>
            <w:pPr>
              <w:pStyle w:val="TableParagraph"/>
              <w:spacing w:line="240" w:lineRule="auto"/>
              <w:ind w:left="0"/>
              <w:rPr>
                <w:rFonts w:ascii="Times New Roman"/>
                <w:sz w:val="21"/>
              </w:rPr>
            </w:pPr>
          </w:p>
          <w:p>
            <w:pPr>
              <w:pStyle w:val="TableParagraph"/>
              <w:spacing w:line="360" w:lineRule="auto"/>
              <w:ind w:left="119" w:right="99"/>
              <w:rPr>
                <w:rFonts w:ascii="Times New Roman"/>
                <w:sz w:val="22"/>
              </w:rPr>
            </w:pPr>
            <w:r>
              <w:rPr>
                <w:rFonts w:ascii="Times New Roman"/>
                <w:sz w:val="22"/>
              </w:rPr>
              <w:t>GGGCGTATCTAAGGATGG TATGAG AGCACAGCATACAGGCA AGCTA</w:t>
            </w:r>
          </w:p>
        </w:tc>
        <w:tc>
          <w:tcPr>
            <w:tcW w:w="1231" w:type="dxa"/>
            <w:tcBorders>
              <w:top w:val="nil"/>
              <w:left w:val="nil"/>
              <w:right w:val="nil"/>
            </w:tcBorders>
          </w:tcPr>
          <w:p>
            <w:pPr>
              <w:pStyle w:val="TableParagraph"/>
              <w:spacing w:line="240" w:lineRule="auto" w:before="7"/>
              <w:ind w:left="0"/>
              <w:rPr>
                <w:rFonts w:ascii="Times New Roman"/>
                <w:sz w:val="20"/>
              </w:rPr>
            </w:pPr>
          </w:p>
          <w:p>
            <w:pPr>
              <w:pStyle w:val="TableParagraph"/>
              <w:spacing w:line="240" w:lineRule="auto"/>
              <w:ind w:left="120"/>
              <w:rPr>
                <w:rFonts w:ascii="Times New Roman"/>
                <w:sz w:val="24"/>
              </w:rPr>
            </w:pPr>
            <w:r>
              <w:rPr>
                <w:rFonts w:ascii="Times New Roman"/>
                <w:sz w:val="24"/>
              </w:rPr>
              <w:t>100</w:t>
            </w:r>
          </w:p>
        </w:tc>
        <w:tc>
          <w:tcPr>
            <w:tcW w:w="1761" w:type="dxa"/>
            <w:tcBorders>
              <w:top w:val="nil"/>
              <w:left w:val="nil"/>
              <w:right w:val="nil"/>
            </w:tcBorders>
          </w:tcPr>
          <w:p>
            <w:pPr>
              <w:pStyle w:val="TableParagraph"/>
              <w:spacing w:line="240" w:lineRule="auto" w:before="7"/>
              <w:ind w:left="0"/>
              <w:rPr>
                <w:rFonts w:ascii="Times New Roman"/>
                <w:sz w:val="20"/>
              </w:rPr>
            </w:pPr>
          </w:p>
          <w:p>
            <w:pPr>
              <w:pStyle w:val="TableParagraph"/>
              <w:spacing w:line="362" w:lineRule="auto"/>
              <w:ind w:left="113" w:right="81"/>
              <w:rPr>
                <w:rFonts w:ascii="Times New Roman"/>
                <w:i/>
                <w:sz w:val="24"/>
              </w:rPr>
            </w:pPr>
            <w:r>
              <w:rPr>
                <w:rFonts w:ascii="Times New Roman"/>
                <w:i/>
                <w:sz w:val="24"/>
              </w:rPr>
              <w:t>F. noatunensis </w:t>
            </w:r>
            <w:r>
              <w:rPr>
                <w:rFonts w:ascii="Times New Roman"/>
                <w:i/>
                <w:sz w:val="24"/>
              </w:rPr>
              <w:t>subsp. orientalis.</w:t>
            </w:r>
          </w:p>
        </w:tc>
        <w:tc>
          <w:tcPr>
            <w:tcW w:w="1368" w:type="dxa"/>
            <w:tcBorders>
              <w:top w:val="nil"/>
              <w:left w:val="nil"/>
              <w:right w:val="nil"/>
            </w:tcBorders>
          </w:tcPr>
          <w:p>
            <w:pPr>
              <w:pStyle w:val="TableParagraph"/>
              <w:spacing w:line="240" w:lineRule="auto" w:before="7"/>
              <w:ind w:left="0"/>
              <w:rPr>
                <w:rFonts w:ascii="Times New Roman"/>
                <w:sz w:val="20"/>
              </w:rPr>
            </w:pPr>
          </w:p>
          <w:p>
            <w:pPr>
              <w:pStyle w:val="TableParagraph"/>
              <w:spacing w:line="360" w:lineRule="auto"/>
              <w:ind w:left="110"/>
              <w:rPr>
                <w:rFonts w:ascii="Times New Roman"/>
                <w:sz w:val="24"/>
              </w:rPr>
            </w:pPr>
            <w:r>
              <w:rPr>
                <w:rFonts w:ascii="Times New Roman"/>
                <w:sz w:val="24"/>
              </w:rPr>
              <w:t>Soto y col 2010</w:t>
            </w:r>
          </w:p>
        </w:tc>
      </w:tr>
    </w:tbl>
    <w:p>
      <w:pPr>
        <w:spacing w:line="268" w:lineRule="exact" w:before="0"/>
        <w:ind w:left="219" w:right="0" w:firstLine="0"/>
        <w:jc w:val="left"/>
        <w:rPr>
          <w:rFonts w:ascii="Times New Roman"/>
          <w:i/>
          <w:sz w:val="24"/>
        </w:rPr>
      </w:pPr>
      <w:r>
        <w:rPr>
          <w:rFonts w:ascii="Times New Roman"/>
          <w:sz w:val="24"/>
        </w:rPr>
        <w:t>a Corresponde al gen 16S rRNA de </w:t>
      </w:r>
      <w:r>
        <w:rPr>
          <w:rFonts w:ascii="Times New Roman"/>
          <w:i/>
          <w:sz w:val="24"/>
        </w:rPr>
        <w:t>Escherichia coli</w:t>
      </w:r>
    </w:p>
    <w:p>
      <w:pPr>
        <w:pStyle w:val="BodyText"/>
        <w:spacing w:line="535" w:lineRule="auto" w:before="137"/>
        <w:ind w:left="219" w:right="1429"/>
        <w:rPr>
          <w:rFonts w:ascii="Times New Roman"/>
        </w:rPr>
      </w:pPr>
      <w:r>
        <w:rPr>
          <w:rFonts w:ascii="Times New Roman"/>
        </w:rPr>
        <w:t>b A1 corresponde al gen 16S rRNA de </w:t>
      </w:r>
      <w:r>
        <w:rPr>
          <w:rFonts w:ascii="Times New Roman"/>
          <w:i/>
        </w:rPr>
        <w:t>Escherichia coli  </w:t>
      </w:r>
      <w:r>
        <w:rPr>
          <w:rFonts w:ascii="Times New Roman"/>
        </w:rPr>
        <w:t>y B1 para el gen 23S a Corresponds to the 16S rRNA of Escherichia coli</w:t>
      </w:r>
    </w:p>
    <w:p>
      <w:pPr>
        <w:pStyle w:val="BodyText"/>
        <w:spacing w:before="11"/>
        <w:ind w:left="219"/>
        <w:rPr>
          <w:rFonts w:ascii="Times New Roman"/>
        </w:rPr>
      </w:pPr>
      <w:r>
        <w:rPr>
          <w:rFonts w:ascii="Times New Roman"/>
        </w:rPr>
        <w:t>b A1 corresponds to the 16S rRNA gene of Escherichia coli and B1 gene for 23S</w:t>
      </w:r>
    </w:p>
    <w:p>
      <w:pPr>
        <w:spacing w:after="0"/>
        <w:rPr>
          <w:rFonts w:ascii="Times New Roman"/>
        </w:rPr>
        <w:sectPr>
          <w:pgSz w:w="12240" w:h="15840"/>
          <w:pgMar w:header="752" w:footer="998" w:top="1000" w:bottom="1180" w:left="1480" w:right="1560"/>
        </w:sectPr>
      </w:pPr>
    </w:p>
    <w:p>
      <w:pPr>
        <w:pStyle w:val="BodyText"/>
        <w:rPr>
          <w:rFonts w:ascii="Times New Roman"/>
          <w:sz w:val="20"/>
        </w:rPr>
      </w:pPr>
    </w:p>
    <w:p>
      <w:pPr>
        <w:pStyle w:val="BodyText"/>
        <w:spacing w:before="5"/>
        <w:rPr>
          <w:rFonts w:ascii="Times New Roman"/>
          <w:sz w:val="15"/>
        </w:rPr>
      </w:pPr>
    </w:p>
    <w:p>
      <w:pPr>
        <w:pStyle w:val="BodyText"/>
        <w:ind w:left="139"/>
        <w:rPr>
          <w:rFonts w:ascii="Times New Roman"/>
          <w:sz w:val="20"/>
        </w:rPr>
      </w:pPr>
      <w:r>
        <w:rPr>
          <w:rFonts w:ascii="Times New Roman"/>
          <w:sz w:val="20"/>
        </w:rPr>
        <w:drawing>
          <wp:inline distT="0" distB="0" distL="0" distR="0">
            <wp:extent cx="5567788" cy="3634740"/>
            <wp:effectExtent l="0" t="0" r="0" b="0"/>
            <wp:docPr id="17" name="image14.png" descr=""/>
            <wp:cNvGraphicFramePr>
              <a:graphicFrameLocks noChangeAspect="1"/>
            </wp:cNvGraphicFramePr>
            <a:graphic>
              <a:graphicData uri="http://schemas.openxmlformats.org/drawingml/2006/picture">
                <pic:pic>
                  <pic:nvPicPr>
                    <pic:cNvPr id="18" name="image14.png"/>
                    <pic:cNvPicPr/>
                  </pic:nvPicPr>
                  <pic:blipFill>
                    <a:blip r:embed="rId35" cstate="print"/>
                    <a:stretch>
                      <a:fillRect/>
                    </a:stretch>
                  </pic:blipFill>
                  <pic:spPr>
                    <a:xfrm>
                      <a:off x="0" y="0"/>
                      <a:ext cx="5567788" cy="3634740"/>
                    </a:xfrm>
                    <a:prstGeom prst="rect">
                      <a:avLst/>
                    </a:prstGeom>
                  </pic:spPr>
                </pic:pic>
              </a:graphicData>
            </a:graphic>
          </wp:inline>
        </w:drawing>
      </w:r>
      <w:r>
        <w:rPr>
          <w:rFonts w:ascii="Times New Roman"/>
          <w:sz w:val="20"/>
        </w:rPr>
      </w:r>
    </w:p>
    <w:p>
      <w:pPr>
        <w:pStyle w:val="BodyText"/>
        <w:rPr>
          <w:rFonts w:ascii="Times New Roman"/>
          <w:sz w:val="20"/>
        </w:rPr>
      </w:pPr>
    </w:p>
    <w:p>
      <w:pPr>
        <w:pStyle w:val="BodyText"/>
        <w:rPr>
          <w:rFonts w:ascii="Times New Roman"/>
          <w:sz w:val="20"/>
        </w:rPr>
      </w:pPr>
    </w:p>
    <w:p>
      <w:pPr>
        <w:pStyle w:val="BodyText"/>
        <w:spacing w:before="2"/>
        <w:rPr>
          <w:rFonts w:ascii="Times New Roman"/>
          <w:sz w:val="23"/>
        </w:rPr>
      </w:pPr>
      <w:r>
        <w:rPr/>
        <w:drawing>
          <wp:anchor distT="0" distB="0" distL="0" distR="0" allowOverlap="1" layoutInCell="1" locked="0" behindDoc="0" simplePos="0" relativeHeight="1408">
            <wp:simplePos x="0" y="0"/>
            <wp:positionH relativeFrom="page">
              <wp:posOffset>1078991</wp:posOffset>
            </wp:positionH>
            <wp:positionV relativeFrom="paragraph">
              <wp:posOffset>194080</wp:posOffset>
            </wp:positionV>
            <wp:extent cx="5525911" cy="3531870"/>
            <wp:effectExtent l="0" t="0" r="0" b="0"/>
            <wp:wrapTopAndBottom/>
            <wp:docPr id="19" name="image15.png" descr=""/>
            <wp:cNvGraphicFramePr>
              <a:graphicFrameLocks noChangeAspect="1"/>
            </wp:cNvGraphicFramePr>
            <a:graphic>
              <a:graphicData uri="http://schemas.openxmlformats.org/drawingml/2006/picture">
                <pic:pic>
                  <pic:nvPicPr>
                    <pic:cNvPr id="20" name="image15.png"/>
                    <pic:cNvPicPr/>
                  </pic:nvPicPr>
                  <pic:blipFill>
                    <a:blip r:embed="rId36" cstate="print"/>
                    <a:stretch>
                      <a:fillRect/>
                    </a:stretch>
                  </pic:blipFill>
                  <pic:spPr>
                    <a:xfrm>
                      <a:off x="0" y="0"/>
                      <a:ext cx="5525911" cy="3531870"/>
                    </a:xfrm>
                    <a:prstGeom prst="rect">
                      <a:avLst/>
                    </a:prstGeom>
                  </pic:spPr>
                </pic:pic>
              </a:graphicData>
            </a:graphic>
          </wp:anchor>
        </w:drawing>
      </w:r>
    </w:p>
    <w:p>
      <w:pPr>
        <w:spacing w:after="0"/>
        <w:rPr>
          <w:rFonts w:ascii="Times New Roman"/>
          <w:sz w:val="23"/>
        </w:rPr>
        <w:sectPr>
          <w:pgSz w:w="12240" w:h="15840"/>
          <w:pgMar w:header="752" w:footer="998" w:top="1000" w:bottom="1180" w:left="1560" w:right="1560"/>
        </w:sectPr>
      </w:pPr>
    </w:p>
    <w:p>
      <w:pPr>
        <w:pStyle w:val="BodyText"/>
        <w:rPr>
          <w:rFonts w:ascii="Times New Roman"/>
          <w:sz w:val="20"/>
        </w:rPr>
      </w:pPr>
    </w:p>
    <w:p>
      <w:pPr>
        <w:pStyle w:val="BodyText"/>
        <w:spacing w:before="5"/>
        <w:rPr>
          <w:rFonts w:ascii="Times New Roman"/>
          <w:sz w:val="15"/>
        </w:rPr>
      </w:pPr>
    </w:p>
    <w:p>
      <w:pPr>
        <w:pStyle w:val="BodyText"/>
        <w:ind w:left="139"/>
        <w:rPr>
          <w:rFonts w:ascii="Times New Roman"/>
          <w:sz w:val="20"/>
        </w:rPr>
      </w:pPr>
      <w:r>
        <w:rPr>
          <w:rFonts w:ascii="Times New Roman"/>
          <w:sz w:val="20"/>
        </w:rPr>
        <w:drawing>
          <wp:inline distT="0" distB="0" distL="0" distR="0">
            <wp:extent cx="5612773" cy="3909060"/>
            <wp:effectExtent l="0" t="0" r="0" b="0"/>
            <wp:docPr id="21" name="image16.png" descr=""/>
            <wp:cNvGraphicFramePr>
              <a:graphicFrameLocks noChangeAspect="1"/>
            </wp:cNvGraphicFramePr>
            <a:graphic>
              <a:graphicData uri="http://schemas.openxmlformats.org/drawingml/2006/picture">
                <pic:pic>
                  <pic:nvPicPr>
                    <pic:cNvPr id="22" name="image16.png"/>
                    <pic:cNvPicPr/>
                  </pic:nvPicPr>
                  <pic:blipFill>
                    <a:blip r:embed="rId37" cstate="print"/>
                    <a:stretch>
                      <a:fillRect/>
                    </a:stretch>
                  </pic:blipFill>
                  <pic:spPr>
                    <a:xfrm>
                      <a:off x="0" y="0"/>
                      <a:ext cx="5612773" cy="3909060"/>
                    </a:xfrm>
                    <a:prstGeom prst="rect">
                      <a:avLst/>
                    </a:prstGeom>
                  </pic:spPr>
                </pic:pic>
              </a:graphicData>
            </a:graphic>
          </wp:inline>
        </w:drawing>
      </w:r>
      <w:r>
        <w:rPr>
          <w:rFonts w:ascii="Times New Roman"/>
          <w:sz w:val="20"/>
        </w:rPr>
      </w:r>
    </w:p>
    <w:p>
      <w:pPr>
        <w:pStyle w:val="BodyText"/>
        <w:spacing w:before="3"/>
        <w:rPr>
          <w:rFonts w:ascii="Times New Roman"/>
          <w:sz w:val="17"/>
        </w:rPr>
      </w:pPr>
      <w:r>
        <w:rPr/>
        <w:drawing>
          <wp:anchor distT="0" distB="0" distL="0" distR="0" allowOverlap="1" layoutInCell="1" locked="0" behindDoc="0" simplePos="0" relativeHeight="1432">
            <wp:simplePos x="0" y="0"/>
            <wp:positionH relativeFrom="page">
              <wp:posOffset>1078991</wp:posOffset>
            </wp:positionH>
            <wp:positionV relativeFrom="paragraph">
              <wp:posOffset>150876</wp:posOffset>
            </wp:positionV>
            <wp:extent cx="5575086" cy="3840479"/>
            <wp:effectExtent l="0" t="0" r="0" b="0"/>
            <wp:wrapTopAndBottom/>
            <wp:docPr id="23" name="image17.png" descr=""/>
            <wp:cNvGraphicFramePr>
              <a:graphicFrameLocks noChangeAspect="1"/>
            </wp:cNvGraphicFramePr>
            <a:graphic>
              <a:graphicData uri="http://schemas.openxmlformats.org/drawingml/2006/picture">
                <pic:pic>
                  <pic:nvPicPr>
                    <pic:cNvPr id="24" name="image17.png"/>
                    <pic:cNvPicPr/>
                  </pic:nvPicPr>
                  <pic:blipFill>
                    <a:blip r:embed="rId38" cstate="print"/>
                    <a:stretch>
                      <a:fillRect/>
                    </a:stretch>
                  </pic:blipFill>
                  <pic:spPr>
                    <a:xfrm>
                      <a:off x="0" y="0"/>
                      <a:ext cx="5575086" cy="3840479"/>
                    </a:xfrm>
                    <a:prstGeom prst="rect">
                      <a:avLst/>
                    </a:prstGeom>
                  </pic:spPr>
                </pic:pic>
              </a:graphicData>
            </a:graphic>
          </wp:anchor>
        </w:drawing>
      </w:r>
    </w:p>
    <w:p>
      <w:pPr>
        <w:spacing w:after="0"/>
        <w:rPr>
          <w:rFonts w:ascii="Times New Roman"/>
          <w:sz w:val="17"/>
        </w:rPr>
        <w:sectPr>
          <w:pgSz w:w="12240" w:h="15840"/>
          <w:pgMar w:header="752" w:footer="998" w:top="1000" w:bottom="1180" w:left="1560" w:right="1560"/>
        </w:sectPr>
      </w:pPr>
    </w:p>
    <w:p>
      <w:pPr>
        <w:pStyle w:val="BodyText"/>
        <w:rPr>
          <w:rFonts w:ascii="Times New Roman"/>
          <w:sz w:val="20"/>
        </w:rPr>
      </w:pPr>
    </w:p>
    <w:p>
      <w:pPr>
        <w:pStyle w:val="BodyText"/>
        <w:spacing w:before="5"/>
        <w:rPr>
          <w:rFonts w:ascii="Times New Roman"/>
          <w:sz w:val="15"/>
        </w:rPr>
      </w:pPr>
    </w:p>
    <w:p>
      <w:pPr>
        <w:pStyle w:val="BodyText"/>
        <w:ind w:left="139"/>
        <w:rPr>
          <w:rFonts w:ascii="Times New Roman"/>
          <w:sz w:val="20"/>
        </w:rPr>
      </w:pPr>
      <w:r>
        <w:rPr>
          <w:rFonts w:ascii="Times New Roman"/>
          <w:sz w:val="20"/>
        </w:rPr>
        <w:drawing>
          <wp:inline distT="0" distB="0" distL="0" distR="0">
            <wp:extent cx="5610558" cy="3669029"/>
            <wp:effectExtent l="0" t="0" r="0" b="0"/>
            <wp:docPr id="25" name="image18.png" descr=""/>
            <wp:cNvGraphicFramePr>
              <a:graphicFrameLocks noChangeAspect="1"/>
            </wp:cNvGraphicFramePr>
            <a:graphic>
              <a:graphicData uri="http://schemas.openxmlformats.org/drawingml/2006/picture">
                <pic:pic>
                  <pic:nvPicPr>
                    <pic:cNvPr id="26" name="image18.png"/>
                    <pic:cNvPicPr/>
                  </pic:nvPicPr>
                  <pic:blipFill>
                    <a:blip r:embed="rId40" cstate="print"/>
                    <a:stretch>
                      <a:fillRect/>
                    </a:stretch>
                  </pic:blipFill>
                  <pic:spPr>
                    <a:xfrm>
                      <a:off x="0" y="0"/>
                      <a:ext cx="5610558" cy="3669029"/>
                    </a:xfrm>
                    <a:prstGeom prst="rect">
                      <a:avLst/>
                    </a:prstGeom>
                  </pic:spPr>
                </pic:pic>
              </a:graphicData>
            </a:graphic>
          </wp:inline>
        </w:drawing>
      </w:r>
      <w:r>
        <w:rPr>
          <w:rFonts w:ascii="Times New Roman"/>
          <w:sz w:val="20"/>
        </w:rPr>
      </w:r>
    </w:p>
    <w:p>
      <w:pPr>
        <w:pStyle w:val="BodyText"/>
        <w:spacing w:before="10"/>
        <w:rPr>
          <w:rFonts w:ascii="Times New Roman"/>
          <w:sz w:val="15"/>
        </w:rPr>
      </w:pPr>
      <w:r>
        <w:rPr/>
        <w:drawing>
          <wp:anchor distT="0" distB="0" distL="0" distR="0" allowOverlap="1" layoutInCell="1" locked="0" behindDoc="0" simplePos="0" relativeHeight="1456">
            <wp:simplePos x="0" y="0"/>
            <wp:positionH relativeFrom="page">
              <wp:posOffset>1078991</wp:posOffset>
            </wp:positionH>
            <wp:positionV relativeFrom="paragraph">
              <wp:posOffset>140970</wp:posOffset>
            </wp:positionV>
            <wp:extent cx="5563642" cy="4320540"/>
            <wp:effectExtent l="0" t="0" r="0" b="0"/>
            <wp:wrapTopAndBottom/>
            <wp:docPr id="27" name="image19.png" descr=""/>
            <wp:cNvGraphicFramePr>
              <a:graphicFrameLocks noChangeAspect="1"/>
            </wp:cNvGraphicFramePr>
            <a:graphic>
              <a:graphicData uri="http://schemas.openxmlformats.org/drawingml/2006/picture">
                <pic:pic>
                  <pic:nvPicPr>
                    <pic:cNvPr id="28" name="image19.png"/>
                    <pic:cNvPicPr/>
                  </pic:nvPicPr>
                  <pic:blipFill>
                    <a:blip r:embed="rId41" cstate="print"/>
                    <a:stretch>
                      <a:fillRect/>
                    </a:stretch>
                  </pic:blipFill>
                  <pic:spPr>
                    <a:xfrm>
                      <a:off x="0" y="0"/>
                      <a:ext cx="5563642" cy="4320540"/>
                    </a:xfrm>
                    <a:prstGeom prst="rect">
                      <a:avLst/>
                    </a:prstGeom>
                  </pic:spPr>
                </pic:pic>
              </a:graphicData>
            </a:graphic>
          </wp:anchor>
        </w:drawing>
      </w:r>
    </w:p>
    <w:p>
      <w:pPr>
        <w:spacing w:after="0"/>
        <w:rPr>
          <w:rFonts w:ascii="Times New Roman"/>
          <w:sz w:val="15"/>
        </w:rPr>
        <w:sectPr>
          <w:footerReference w:type="default" r:id="rId39"/>
          <w:pgSz w:w="12240" w:h="15840"/>
          <w:pgMar w:footer="998" w:header="752" w:top="1000" w:bottom="1180" w:left="1560" w:right="1560"/>
        </w:sectPr>
      </w:pPr>
    </w:p>
    <w:p>
      <w:pPr>
        <w:pStyle w:val="BodyText"/>
        <w:spacing w:before="7"/>
        <w:rPr>
          <w:rFonts w:ascii="Times New Roman"/>
          <w:sz w:val="28"/>
        </w:rPr>
      </w:pPr>
    </w:p>
    <w:p>
      <w:pPr>
        <w:pStyle w:val="Heading1"/>
        <w:numPr>
          <w:ilvl w:val="1"/>
          <w:numId w:val="8"/>
        </w:numPr>
        <w:tabs>
          <w:tab w:pos="544" w:val="left" w:leader="none"/>
        </w:tabs>
        <w:spacing w:line="240" w:lineRule="auto" w:before="70" w:after="0"/>
        <w:ind w:left="543" w:right="0" w:hanging="404"/>
        <w:jc w:val="both"/>
      </w:pPr>
      <w:bookmarkStart w:name="_bookmark54" w:id="94"/>
      <w:bookmarkEnd w:id="94"/>
      <w:r>
        <w:rPr>
          <w:b w:val="0"/>
        </w:rPr>
      </w:r>
      <w:bookmarkStart w:name="_bookmark54" w:id="95"/>
      <w:bookmarkEnd w:id="95"/>
      <w:r>
        <w:rPr>
          <w:color w:val="365F91"/>
        </w:rPr>
        <w:t>Re</w:t>
      </w:r>
      <w:r>
        <w:rPr>
          <w:color w:val="365F91"/>
        </w:rPr>
        <w:t>sultados de</w:t>
      </w:r>
      <w:r>
        <w:rPr>
          <w:color w:val="365F91"/>
          <w:spacing w:val="-13"/>
        </w:rPr>
        <w:t> </w:t>
      </w:r>
      <w:r>
        <w:rPr>
          <w:color w:val="365F91"/>
        </w:rPr>
        <w:t>investigación</w:t>
      </w:r>
    </w:p>
    <w:p>
      <w:pPr>
        <w:pStyle w:val="Heading1"/>
        <w:numPr>
          <w:ilvl w:val="2"/>
          <w:numId w:val="8"/>
        </w:numPr>
        <w:tabs>
          <w:tab w:pos="745" w:val="left" w:leader="none"/>
        </w:tabs>
        <w:spacing w:line="240" w:lineRule="auto" w:before="79" w:after="0"/>
        <w:ind w:left="745" w:right="0" w:hanging="606"/>
        <w:jc w:val="both"/>
        <w:rPr>
          <w:color w:val="233E5F"/>
        </w:rPr>
      </w:pPr>
      <w:bookmarkStart w:name="_bookmark55" w:id="96"/>
      <w:bookmarkEnd w:id="96"/>
      <w:r>
        <w:rPr>
          <w:b w:val="0"/>
        </w:rPr>
      </w:r>
      <w:bookmarkStart w:name="_bookmark55" w:id="97"/>
      <w:bookmarkEnd w:id="97"/>
      <w:r>
        <w:rPr>
          <w:color w:val="233E5F"/>
        </w:rPr>
        <w:t>Di</w:t>
      </w:r>
      <w:r>
        <w:rPr>
          <w:color w:val="233E5F"/>
        </w:rPr>
        <w:t>agnóstico clínico</w:t>
      </w:r>
      <w:r>
        <w:rPr>
          <w:color w:val="233E5F"/>
          <w:spacing w:val="-18"/>
        </w:rPr>
        <w:t> </w:t>
      </w:r>
      <w:r>
        <w:rPr>
          <w:color w:val="233E5F"/>
        </w:rPr>
        <w:t>macroscópico</w:t>
      </w:r>
    </w:p>
    <w:p>
      <w:pPr>
        <w:pStyle w:val="BodyText"/>
        <w:spacing w:line="276" w:lineRule="auto" w:before="50"/>
        <w:ind w:left="139" w:right="135"/>
        <w:jc w:val="both"/>
      </w:pPr>
      <w:r>
        <w:rPr/>
        <w:t>Al realizar la visita a la granja, los peces no presentaban signos clínicos de enfermedad, se mostraban activos y presentaban reacción normal de huida dentro del estanque, lo que denotaba un buen estado de salud; de igual manera se comportaban al sacarlos de las bolsas en que se trasladaron al laboratorio. </w:t>
      </w:r>
      <w:r>
        <w:rPr>
          <w:spacing w:val="-4"/>
        </w:rPr>
        <w:t>Al</w:t>
      </w:r>
      <w:r>
        <w:rPr>
          <w:spacing w:val="58"/>
        </w:rPr>
        <w:t> </w:t>
      </w:r>
      <w:r>
        <w:rPr/>
        <w:t>realizar la inspección externa de las muestras, estos no presentaban ningún signo clínico o lesión aparente, un 30% del total de los peces tenían presencia de mucus en exceso en piel y branquias.</w:t>
      </w:r>
    </w:p>
    <w:p>
      <w:pPr>
        <w:pStyle w:val="BodyText"/>
        <w:spacing w:line="276" w:lineRule="auto" w:before="207"/>
        <w:ind w:left="139" w:right="135"/>
        <w:jc w:val="both"/>
      </w:pPr>
      <w:r>
        <w:rPr/>
        <w:t>A la necropsia, 17 de las 30 muestras se encontraban delgados; la presencia de nódulos blanquecinos en bazo estuvo presente en 19 de las muestras, y solo </w:t>
      </w:r>
      <w:r>
        <w:rPr>
          <w:spacing w:val="-4"/>
        </w:rPr>
        <w:t>en </w:t>
      </w:r>
      <w:r>
        <w:rPr/>
        <w:t>tres casos en riñón. Otros cambios morfológicos fueron 10 peces con hígado de aspecto moteado, branquias pálidas; ocho muestras con hígado, bazo, riñón aumentados</w:t>
      </w:r>
      <w:r>
        <w:rPr>
          <w:spacing w:val="-17"/>
        </w:rPr>
        <w:t> </w:t>
      </w:r>
      <w:r>
        <w:rPr/>
        <w:t>de</w:t>
      </w:r>
      <w:r>
        <w:rPr>
          <w:spacing w:val="-17"/>
        </w:rPr>
        <w:t> </w:t>
      </w:r>
      <w:r>
        <w:rPr/>
        <w:t>tamaño;</w:t>
      </w:r>
      <w:r>
        <w:rPr>
          <w:spacing w:val="-17"/>
        </w:rPr>
        <w:t> </w:t>
      </w:r>
      <w:r>
        <w:rPr/>
        <w:t>en</w:t>
      </w:r>
      <w:r>
        <w:rPr>
          <w:spacing w:val="-17"/>
        </w:rPr>
        <w:t> </w:t>
      </w:r>
      <w:r>
        <w:rPr/>
        <w:t>cinco</w:t>
      </w:r>
      <w:r>
        <w:rPr>
          <w:spacing w:val="-20"/>
        </w:rPr>
        <w:t> </w:t>
      </w:r>
      <w:r>
        <w:rPr/>
        <w:t>muestras</w:t>
      </w:r>
      <w:r>
        <w:rPr>
          <w:spacing w:val="-17"/>
        </w:rPr>
        <w:t> </w:t>
      </w:r>
      <w:r>
        <w:rPr/>
        <w:t>se</w:t>
      </w:r>
      <w:r>
        <w:rPr>
          <w:spacing w:val="-20"/>
        </w:rPr>
        <w:t> </w:t>
      </w:r>
      <w:r>
        <w:rPr/>
        <w:t>presentó</w:t>
      </w:r>
      <w:r>
        <w:rPr>
          <w:spacing w:val="-25"/>
        </w:rPr>
        <w:t> </w:t>
      </w:r>
      <w:r>
        <w:rPr/>
        <w:t>la</w:t>
      </w:r>
      <w:r>
        <w:rPr>
          <w:spacing w:val="-17"/>
        </w:rPr>
        <w:t> </w:t>
      </w:r>
      <w:r>
        <w:rPr/>
        <w:t>formación</w:t>
      </w:r>
      <w:r>
        <w:rPr>
          <w:spacing w:val="-17"/>
        </w:rPr>
        <w:t> </w:t>
      </w:r>
      <w:r>
        <w:rPr/>
        <w:t>de</w:t>
      </w:r>
      <w:r>
        <w:rPr>
          <w:spacing w:val="-14"/>
        </w:rPr>
        <w:t> </w:t>
      </w:r>
      <w:r>
        <w:rPr/>
        <w:t>adherencias en diferentes órganos, especialmente en aquellas que presentaban formaciones nodulares </w:t>
      </w:r>
      <w:r>
        <w:rPr>
          <w:spacing w:val="-3"/>
        </w:rPr>
        <w:t>más </w:t>
      </w:r>
      <w:r>
        <w:rPr/>
        <w:t>severas; ocho muestras con aspecto irregular en bazo; el corazón  e intestinos sin cambios aparentes. Todos estos cambios se presentaron en diferente número de muestras como se observa en la Figura 9, Figura 10 y Tabla 3.</w:t>
      </w:r>
    </w:p>
    <w:p>
      <w:pPr>
        <w:pStyle w:val="BodyText"/>
        <w:spacing w:before="8"/>
        <w:rPr>
          <w:sz w:val="14"/>
        </w:rPr>
      </w:pPr>
      <w:r>
        <w:rPr/>
        <w:pict>
          <v:group style="position:absolute;margin-left:84.959991pt;margin-top:10.446087pt;width:439.55pt;height:289.45pt;mso-position-horizontal-relative:page;mso-position-vertical-relative:paragraph;z-index:1600;mso-wrap-distance-left:0;mso-wrap-distance-right:0" coordorigin="1699,209" coordsize="8791,5789">
            <v:shape style="position:absolute;left:1699;top:209;width:4379;height:5789" type="#_x0000_t75" stroked="false">
              <v:imagedata r:id="rId43" o:title=""/>
            </v:shape>
            <v:shape style="position:absolute;left:6091;top:233;width:4398;height:5765" type="#_x0000_t75" stroked="false">
              <v:imagedata r:id="rId44" o:title=""/>
            </v:shape>
            <v:shape style="position:absolute;left:3914;top:1250;width:175;height:843" coordorigin="3914,1250" coordsize="175,843" path="m3914,1956l3962,2093,4032,1989,3997,1989,3954,1983,3957,1962,3914,1956xm3957,1962l3954,1983,3997,1989,4000,1967,3957,1962xm4000,1967l3997,1989,4032,1989,4043,1972,4000,1967xm4046,1250l3957,1962,4000,1967,4089,1256,4046,1250xe" filled="true" fillcolor="#ffffff" stroked="false">
              <v:path arrowok="t"/>
              <v:fill type="solid"/>
            </v:shape>
            <v:shape style="position:absolute;left:8989;top:2146;width:689;height:557" coordorigin="8989,2146" coordsize="689,557" path="m9563,2210l8989,2669,9016,2703,9590,2244,9563,2210xm9654,2196l9580,2196,9607,2230,9590,2244,9617,2277,9654,2196xm9580,2196l9563,2210,9590,2244,9607,2230,9580,2196xm9677,2146l9536,2176,9563,2210,9580,2196,9654,2196,9677,2146xe" filled="true" fillcolor="#ffffff" stroked="false">
              <v:path arrowok="t"/>
              <v:fill type="solid"/>
            </v:shape>
            <v:shape style="position:absolute;left:8870;top:1992;width:183;height:679" coordorigin="8870,1992" coordsize="183,679" path="m8955,2116l8913,2124,9010,2671,9052,2663,8955,2116xm8911,1992l8870,2131,8913,2124,8909,2102,8951,2095,8987,2095,8911,1992xm8951,2095l8909,2102,8913,2124,8955,2116,8951,2095xm8987,2095l8951,2095,8955,2116,8998,2108,8987,2095xe" filled="true" fillcolor="#ffffff" stroked="false">
              <v:path arrowok="t"/>
              <v:fill type="solid"/>
            </v:shape>
            <v:shape style="position:absolute;left:4036;top:4229;width:868;height:663" coordorigin="4036,4229" coordsize="868,663" path="m4787,4290l4036,4857,4062,4891,4813,4324,4787,4290xm4880,4277l4805,4277,4831,4311,4813,4324,4839,4359,4880,4277xm4805,4277l4787,4290,4813,4324,4831,4311,4805,4277xm4904,4229l4761,4255,4787,4290,4805,4277,4880,4277,4904,4229xe" filled="true" fillcolor="#ffffff" stroked="false">
              <v:path arrowok="t"/>
              <v:fill type="solid"/>
            </v:shape>
            <v:shape style="position:absolute;left:4417;top:2098;width:1103;height:2655" coordorigin="4417,2098" coordsize="1103,2655" path="m5439,4641l5399,4657,5508,4753,5515,4661,5447,4661,5439,4641xm5479,4625l5439,4641,5447,4661,5487,4645,5479,4625xm5519,4608l5479,4625,5487,4645,5447,4661,5515,4661,5519,4608xm4497,2210l4457,2226,5439,4641,5479,4625,4497,2210xm4428,2098l4417,2242,4457,2226,4449,2206,4489,2190,4532,2190,4428,2098xm4489,2190l4449,2206,4457,2226,4497,2210,4489,2190xm4532,2190l4489,2190,4497,2210,4537,2193,4532,2190xe" filled="true" fillcolor="#ffffff" stroked="false">
              <v:path arrowok="t"/>
              <v:fill type="solid"/>
            </v:shape>
            <v:shape style="position:absolute;left:1964;top:361;width:260;height:360" type="#_x0000_t202" filled="false" stroked="false">
              <v:textbox inset="0,0,0,0">
                <w:txbxContent>
                  <w:p>
                    <w:pPr>
                      <w:spacing w:line="360" w:lineRule="exact" w:before="0"/>
                      <w:ind w:left="0" w:right="0" w:firstLine="0"/>
                      <w:jc w:val="left"/>
                      <w:rPr>
                        <w:b/>
                        <w:sz w:val="36"/>
                      </w:rPr>
                    </w:pPr>
                    <w:r>
                      <w:rPr>
                        <w:b/>
                        <w:w w:val="99"/>
                        <w:sz w:val="36"/>
                      </w:rPr>
                      <w:t>A</w:t>
                    </w:r>
                  </w:p>
                </w:txbxContent>
              </v:textbox>
              <w10:wrap type="none"/>
            </v:shape>
            <v:shape style="position:absolute;left:4005;top:896;width:197;height:322" type="#_x0000_t202" filled="false" stroked="false">
              <v:textbox inset="0,0,0,0">
                <w:txbxContent>
                  <w:p>
                    <w:pPr>
                      <w:spacing w:line="322" w:lineRule="exact" w:before="0"/>
                      <w:ind w:left="0" w:right="0" w:firstLine="0"/>
                      <w:jc w:val="left"/>
                      <w:rPr>
                        <w:b/>
                        <w:sz w:val="32"/>
                      </w:rPr>
                    </w:pPr>
                    <w:r>
                      <w:rPr>
                        <w:b/>
                        <w:w w:val="100"/>
                        <w:sz w:val="32"/>
                      </w:rPr>
                      <w:t>b</w:t>
                    </w:r>
                  </w:p>
                </w:txbxContent>
              </v:textbox>
              <w10:wrap type="none"/>
            </v:shape>
            <v:shape style="position:absolute;left:8701;top:2682;width:155;height:399" type="#_x0000_t202" filled="false" stroked="false">
              <v:textbox inset="0,0,0,0">
                <w:txbxContent>
                  <w:p>
                    <w:pPr>
                      <w:spacing w:line="398" w:lineRule="exact" w:before="0"/>
                      <w:ind w:left="0" w:right="0" w:firstLine="0"/>
                      <w:jc w:val="left"/>
                      <w:rPr>
                        <w:b/>
                        <w:sz w:val="40"/>
                      </w:rPr>
                    </w:pPr>
                    <w:r>
                      <w:rPr>
                        <w:b/>
                        <w:color w:val="FFFFFF"/>
                        <w:w w:val="99"/>
                        <w:sz w:val="40"/>
                      </w:rPr>
                      <w:t>r</w:t>
                    </w:r>
                  </w:p>
                </w:txbxContent>
              </v:textbox>
              <w10:wrap type="none"/>
            </v:shape>
            <v:shape style="position:absolute;left:3841;top:4843;width:197;height:322" type="#_x0000_t202" filled="false" stroked="false">
              <v:textbox inset="0,0,0,0">
                <w:txbxContent>
                  <w:p>
                    <w:pPr>
                      <w:spacing w:line="322" w:lineRule="exact" w:before="0"/>
                      <w:ind w:left="0" w:right="0" w:firstLine="0"/>
                      <w:jc w:val="left"/>
                      <w:rPr>
                        <w:b/>
                        <w:sz w:val="32"/>
                      </w:rPr>
                    </w:pPr>
                    <w:r>
                      <w:rPr>
                        <w:b/>
                        <w:color w:val="FFFFFF"/>
                        <w:w w:val="100"/>
                        <w:sz w:val="32"/>
                      </w:rPr>
                      <w:t>h</w:t>
                    </w:r>
                  </w:p>
                </w:txbxContent>
              </v:textbox>
              <w10:wrap type="none"/>
            </v:shape>
            <v:shape style="position:absolute;left:9873;top:4695;width:233;height:322" type="#_x0000_t202" filled="false" stroked="false">
              <v:textbox inset="0,0,0,0">
                <w:txbxContent>
                  <w:p>
                    <w:pPr>
                      <w:spacing w:line="322" w:lineRule="exact" w:before="0"/>
                      <w:ind w:left="0" w:right="0" w:firstLine="0"/>
                      <w:jc w:val="left"/>
                      <w:rPr>
                        <w:b/>
                        <w:sz w:val="32"/>
                      </w:rPr>
                    </w:pPr>
                    <w:r>
                      <w:rPr>
                        <w:b/>
                        <w:w w:val="100"/>
                        <w:sz w:val="32"/>
                      </w:rPr>
                      <w:t>B</w:t>
                    </w:r>
                  </w:p>
                </w:txbxContent>
              </v:textbox>
              <w10:wrap type="none"/>
            </v:shape>
            <w10:wrap type="topAndBottom"/>
          </v:group>
        </w:pict>
      </w:r>
    </w:p>
    <w:p>
      <w:pPr>
        <w:spacing w:after="0"/>
        <w:rPr>
          <w:sz w:val="14"/>
        </w:rPr>
        <w:sectPr>
          <w:footerReference w:type="default" r:id="rId42"/>
          <w:pgSz w:w="12240" w:h="15840"/>
          <w:pgMar w:footer="998" w:header="752" w:top="1000" w:bottom="1180" w:left="1560" w:right="1560"/>
          <w:pgNumType w:start="61"/>
        </w:sectPr>
      </w:pPr>
    </w:p>
    <w:p>
      <w:pPr>
        <w:pStyle w:val="BodyText"/>
        <w:rPr>
          <w:sz w:val="20"/>
        </w:rPr>
      </w:pPr>
    </w:p>
    <w:p>
      <w:pPr>
        <w:pStyle w:val="BodyText"/>
        <w:spacing w:before="5"/>
        <w:rPr>
          <w:sz w:val="15"/>
        </w:rPr>
      </w:pPr>
    </w:p>
    <w:p>
      <w:pPr>
        <w:pStyle w:val="BodyText"/>
        <w:ind w:left="139"/>
        <w:rPr>
          <w:sz w:val="20"/>
        </w:rPr>
      </w:pPr>
      <w:r>
        <w:rPr>
          <w:sz w:val="20"/>
        </w:rPr>
        <w:pict>
          <v:group style="width:439.95pt;height:249.15pt;mso-position-horizontal-relative:char;mso-position-vertical-relative:line" coordorigin="0,0" coordsize="8799,4983">
            <v:shape style="position:absolute;left:0;top:0;width:8798;height:4982" type="#_x0000_t75" stroked="false">
              <v:imagedata r:id="rId45" o:title=""/>
            </v:shape>
            <v:shape style="position:absolute;left:6673;top:1653;width:153;height:1696" coordorigin="6673,1653" coordsize="153,1696" path="m6673,3216l6732,3349,6791,3242,6758,3242,6715,3240,6716,3218,6673,3216xm6716,3218l6715,3240,6758,3242,6759,3220,6716,3218xm6759,3220l6758,3242,6791,3242,6802,3222,6759,3220xm6782,1653l6716,3218,6759,3220,6826,1655,6782,1653xe" filled="true" fillcolor="#ffffff" stroked="false">
              <v:path arrowok="t"/>
              <v:fill type="solid"/>
            </v:shape>
            <v:shape style="position:absolute;left:2850;top:2873;width:794;height:632" coordorigin="2850,2873" coordsize="794,632" path="m3528,2936l2850,3471,2877,3505,3555,2970,3528,2936xm3620,2923l3545,2923,3572,2957,3555,2970,3582,3004,3620,2923xm3545,2923l3528,2936,3555,2970,3572,2957,3545,2923xm3643,2873l3501,2902,3528,2936,3545,2923,3620,2923,3643,2873xe" filled="true" fillcolor="#ffffff" stroked="false">
              <v:path arrowok="t"/>
              <v:fill type="solid"/>
            </v:shape>
            <v:shape style="position:absolute;left:3794;top:225;width:233;height:322" type="#_x0000_t202" filled="false" stroked="false">
              <v:textbox inset="0,0,0,0">
                <w:txbxContent>
                  <w:p>
                    <w:pPr>
                      <w:spacing w:line="322" w:lineRule="exact" w:before="0"/>
                      <w:ind w:left="0" w:right="0" w:firstLine="0"/>
                      <w:jc w:val="left"/>
                      <w:rPr>
                        <w:b/>
                        <w:sz w:val="32"/>
                      </w:rPr>
                    </w:pPr>
                    <w:r>
                      <w:rPr>
                        <w:b/>
                        <w:w w:val="100"/>
                        <w:sz w:val="32"/>
                      </w:rPr>
                      <w:t>C</w:t>
                    </w:r>
                  </w:p>
                </w:txbxContent>
              </v:textbox>
              <w10:wrap type="none"/>
            </v:shape>
            <v:shape style="position:absolute;left:8443;top:210;width:233;height:322" type="#_x0000_t202" filled="false" stroked="false">
              <v:textbox inset="0,0,0,0">
                <w:txbxContent>
                  <w:p>
                    <w:pPr>
                      <w:spacing w:line="322" w:lineRule="exact" w:before="0"/>
                      <w:ind w:left="0" w:right="0" w:firstLine="0"/>
                      <w:jc w:val="left"/>
                      <w:rPr>
                        <w:b/>
                        <w:sz w:val="32"/>
                      </w:rPr>
                    </w:pPr>
                    <w:r>
                      <w:rPr>
                        <w:b/>
                        <w:w w:val="100"/>
                        <w:sz w:val="32"/>
                      </w:rPr>
                      <w:t>D</w:t>
                    </w:r>
                  </w:p>
                </w:txbxContent>
              </v:textbox>
              <w10:wrap type="none"/>
            </v:shape>
            <v:shape style="position:absolute;left:6704;top:1209;width:197;height:322" type="#_x0000_t202" filled="false" stroked="false">
              <v:textbox inset="0,0,0,0">
                <w:txbxContent>
                  <w:p>
                    <w:pPr>
                      <w:spacing w:line="322" w:lineRule="exact" w:before="0"/>
                      <w:ind w:left="0" w:right="0" w:firstLine="0"/>
                      <w:jc w:val="left"/>
                      <w:rPr>
                        <w:b/>
                        <w:sz w:val="32"/>
                      </w:rPr>
                    </w:pPr>
                    <w:r>
                      <w:rPr>
                        <w:b/>
                        <w:color w:val="FFFFFF"/>
                        <w:w w:val="100"/>
                        <w:sz w:val="32"/>
                      </w:rPr>
                      <w:t>b</w:t>
                    </w:r>
                  </w:p>
                </w:txbxContent>
              </v:textbox>
              <w10:wrap type="none"/>
            </v:shape>
            <v:shape style="position:absolute;left:2618;top:3432;width:155;height:399" type="#_x0000_t202" filled="false" stroked="false">
              <v:textbox inset="0,0,0,0">
                <w:txbxContent>
                  <w:p>
                    <w:pPr>
                      <w:spacing w:line="398" w:lineRule="exact" w:before="0"/>
                      <w:ind w:left="0" w:right="0" w:firstLine="0"/>
                      <w:jc w:val="left"/>
                      <w:rPr>
                        <w:b/>
                        <w:sz w:val="40"/>
                      </w:rPr>
                    </w:pPr>
                    <w:r>
                      <w:rPr>
                        <w:b/>
                        <w:color w:val="FFFFFF"/>
                        <w:w w:val="99"/>
                        <w:sz w:val="40"/>
                      </w:rPr>
                      <w:t>r</w:t>
                    </w:r>
                  </w:p>
                </w:txbxContent>
              </v:textbox>
              <w10:wrap type="none"/>
            </v:shape>
          </v:group>
        </w:pict>
      </w:r>
      <w:r>
        <w:rPr>
          <w:sz w:val="20"/>
        </w:rPr>
      </w:r>
    </w:p>
    <w:p>
      <w:pPr>
        <w:pStyle w:val="BodyText"/>
        <w:spacing w:before="4"/>
        <w:rPr>
          <w:sz w:val="11"/>
        </w:rPr>
      </w:pPr>
    </w:p>
    <w:p>
      <w:pPr>
        <w:pStyle w:val="BodyText"/>
        <w:spacing w:line="273" w:lineRule="auto" w:before="69"/>
        <w:ind w:left="139" w:right="134"/>
        <w:jc w:val="both"/>
      </w:pPr>
      <w:r>
        <w:rPr/>
        <w:t>Figura 9 A, B, C y D. A) Tilapias con lesiones en diferentes órganos </w:t>
      </w:r>
      <w:r>
        <w:rPr>
          <w:spacing w:val="2"/>
        </w:rPr>
        <w:t>las </w:t>
      </w:r>
      <w:r>
        <w:rPr/>
        <w:t>flechas indican; una formación nodular ocupando </w:t>
      </w:r>
      <w:r>
        <w:rPr>
          <w:spacing w:val="-3"/>
        </w:rPr>
        <w:t>más </w:t>
      </w:r>
      <w:r>
        <w:rPr/>
        <w:t>del 50%</w:t>
      </w:r>
      <w:r>
        <w:rPr>
          <w:spacing w:val="-48"/>
        </w:rPr>
        <w:t> </w:t>
      </w:r>
      <w:r>
        <w:rPr/>
        <w:t>del bazo (b), hígado (h) con aspecto moteado y aumentado de </w:t>
      </w:r>
      <w:r>
        <w:rPr>
          <w:spacing w:val="-3"/>
        </w:rPr>
        <w:t>tamaño </w:t>
      </w:r>
      <w:r>
        <w:rPr/>
        <w:t>en tilapia; B y C Múltiples formaciones nodulares de diferente tamaño en riñón (r); D) Múltiples formaciones nodulares de diferentes tamaños en bazo (b) de</w:t>
      </w:r>
      <w:r>
        <w:rPr>
          <w:spacing w:val="52"/>
        </w:rPr>
        <w:t> </w:t>
      </w:r>
      <w:r>
        <w:rPr/>
        <w:t>tilapia.</w:t>
      </w:r>
    </w:p>
    <w:p>
      <w:pPr>
        <w:pStyle w:val="BodyText"/>
        <w:rPr>
          <w:sz w:val="20"/>
        </w:rPr>
      </w:pPr>
    </w:p>
    <w:p>
      <w:pPr>
        <w:pStyle w:val="BodyText"/>
        <w:spacing w:before="1"/>
        <w:rPr>
          <w:sz w:val="22"/>
        </w:rPr>
      </w:pPr>
      <w:r>
        <w:rPr/>
        <w:pict>
          <v:group style="position:absolute;margin-left:84.705002pt;margin-top:14.666121pt;width:440.3pt;height:252.05pt;mso-position-horizontal-relative:page;mso-position-vertical-relative:paragraph;z-index:2032;mso-wrap-distance-left:0;mso-wrap-distance-right:0" coordorigin="1694,293" coordsize="8806,5041">
            <v:shape style="position:absolute;left:8169;top:323;width:2315;height:2317" coordorigin="8169,323" coordsize="2315,2317" path="m8169,323l8169,2640,10483,2536,10479,2461,10472,2386,10463,2312,10451,2239,10437,2166,10421,2095,10403,2024,10382,1954,10360,1885,10335,1817,10309,1750,10280,1685,10249,1620,10217,1556,10183,1494,10146,1433,10108,1373,10069,1314,10027,1256,9984,1200,9939,1146,9893,1092,9845,1041,9795,990,9744,941,9692,894,9638,849,9583,805,9526,762,9468,722,9409,683,9348,646,9287,611,9224,577,9160,546,9095,516,9029,488,8962,463,8894,439,8825,418,8755,398,8684,381,8613,366,8541,353,8467,343,8394,334,8319,328,8244,325,8169,323xe" filled="true" fillcolor="#5b9bd4" stroked="false">
              <v:path arrowok="t"/>
              <v:fill type="solid"/>
            </v:shape>
            <v:shape style="position:absolute;left:7961;top:2536;width:2525;height:2421" coordorigin="7961,2536" coordsize="2525,2421" path="m10483,2536l8169,2640,7961,4948,8037,4953,8113,4957,8189,4957,8264,4955,8338,4951,8412,4945,8485,4936,8558,4925,8630,4911,8701,4896,8772,4878,8841,4858,8910,4836,8978,4812,9045,4786,9111,4757,9176,4727,9240,4695,9302,4661,9364,4625,9424,4587,9484,4548,9542,4507,9598,4464,9654,4419,9708,4372,9760,4324,9811,4275,9861,4223,9908,4171,9955,4116,10000,4061,10043,4004,10084,3945,10123,3885,10161,3824,10197,3762,10231,3698,10263,3633,10293,3567,10321,3499,10347,3431,10371,3362,10393,3291,10412,3220,10430,3147,10445,3074,10458,2999,10468,2924,10476,2848,10482,2770,10485,2692,10486,2614,10483,2536xe" filled="true" fillcolor="#ec7c30" stroked="false">
              <v:path arrowok="t"/>
              <v:fill type="solid"/>
            </v:shape>
            <v:shape style="position:absolute;left:7961;top:2536;width:2525;height:2421" coordorigin="7961,2536" coordsize="2525,2421" path="m8169,2640l7961,4948,8037,4953,8113,4957,8189,4957,8264,4955,8338,4951,8412,4945,8485,4936,8558,4925,8630,4911,8701,4896,8772,4878,8841,4858,8910,4836,8978,4812,9045,4786,9111,4757,9176,4727,9240,4695,9302,4661,9364,4625,9424,4587,9484,4548,9542,4507,9598,4464,9654,4419,9708,4372,9760,4324,9811,4275,9861,4223,9908,4171,9955,4116,10000,4061,10043,4004,10084,3945,10123,3885,10161,3824,10197,3762,10231,3698,10263,3633,10293,3567,10321,3499,10347,3431,10371,3362,10393,3291,10412,3220,10430,3147,10445,3074,10458,2999,10468,2924,10476,2848,10482,2770,10485,2692,10486,2614,10483,2536,8169,2640xe" filled="false" stroked="true" strokeweight="1.44pt" strokecolor="#ffffff">
              <v:path arrowok="t"/>
            </v:shape>
            <v:shape style="position:absolute;left:6494;top:2640;width:1675;height:2308" coordorigin="6494,2640" coordsize="1675,2308" path="m8169,2640l6494,4241,6550,4298,6608,4353,6668,4406,6729,4456,6792,4504,6857,4550,6923,4593,6990,4635,7058,4674,7128,4710,7199,4745,7271,4776,7345,4806,7419,4832,7494,4857,7570,4878,7647,4898,7724,4914,7803,4928,7882,4939,7961,4948,8169,2640xe" filled="true" fillcolor="#a4a4a4" stroked="false">
              <v:path arrowok="t"/>
              <v:fill type="solid"/>
            </v:shape>
            <v:shape style="position:absolute;left:6494;top:2640;width:1675;height:2308" coordorigin="6494,2640" coordsize="1675,2308" path="m8169,2640l6494,4241,6550,4298,6608,4353,6668,4406,6729,4456,6792,4504,6857,4550,6923,4593,6990,4635,7058,4674,7128,4710,7199,4745,7271,4776,7345,4806,7419,4832,7494,4857,7570,4878,7647,4898,7724,4914,7803,4928,7882,4939,7961,4948,8169,2640xe" filled="false" stroked="true" strokeweight="1.44pt" strokecolor="#ffffff">
              <v:path arrowok="t"/>
            </v:shape>
            <v:shape style="position:absolute;left:6129;top:2640;width:2041;height:1601" coordorigin="6129,2640" coordsize="2041,1601" path="m8169,2640l6129,3738,6167,3806,6207,3873,6250,3938,6295,4002,6341,4064,6390,4125,6441,4184,6494,4241,8169,2640xe" filled="true" fillcolor="#ffc000" stroked="false">
              <v:path arrowok="t"/>
              <v:fill type="solid"/>
            </v:shape>
            <v:shape style="position:absolute;left:6129;top:2640;width:2041;height:1601" coordorigin="6129,2640" coordsize="2041,1601" path="m8169,2640l6129,3738,6167,3806,6207,3873,6250,3938,6295,4002,6341,4064,6390,4125,6441,4184,6494,4241,8169,2640xe" filled="false" stroked="true" strokeweight="1.44pt" strokecolor="#ffffff">
              <v:path arrowok="t"/>
            </v:shape>
            <v:shape style="position:absolute;left:5852;top:1730;width:2317;height:2009" coordorigin="5852,1730" coordsize="2317,2009" path="m6038,1730l6009,1802,5982,1875,5958,1949,5936,2023,5916,2098,5900,2173,5885,2249,5874,2325,5864,2401,5858,2477,5854,2553,5852,2630,5853,2706,5856,2782,5862,2859,5871,2935,5882,3010,5895,3086,5911,3161,5930,3235,5951,3309,5974,3382,6000,3455,6028,3527,6059,3598,6093,3669,6129,3738,8169,2640,6038,1730xe" filled="true" fillcolor="#4471c4" stroked="false">
              <v:path arrowok="t"/>
              <v:fill type="solid"/>
            </v:shape>
            <v:shape style="position:absolute;left:5852;top:1730;width:2317;height:2009" coordorigin="5852,1730" coordsize="2317,2009" path="m8169,2640l6038,1730,6009,1802,5982,1875,5958,1949,5936,2023,5916,2098,5900,2173,5885,2249,5874,2325,5864,2401,5858,2477,5854,2553,5852,2630,5853,2706,5856,2782,5862,2859,5871,2935,5882,3010,5895,3086,5911,3161,5930,3235,5951,3309,5974,3382,6000,3455,6028,3527,6059,3598,6093,3669,6129,3738,8169,2640xe" filled="false" stroked="true" strokeweight="1.44pt" strokecolor="#ffffff">
              <v:path arrowok="t"/>
            </v:shape>
            <v:shape style="position:absolute;left:6038;top:553;width:2131;height:2088" coordorigin="6038,553" coordsize="2131,2088" path="m7164,553l7092,589,7022,627,6954,668,6887,710,6822,755,6758,802,6696,852,6636,903,6578,956,6522,1011,6467,1068,6415,1127,6364,1187,6316,1250,6270,1314,6225,1379,6183,1446,6144,1515,6106,1585,6071,1657,6038,1730,8169,2640,7164,553xe" filled="true" fillcolor="#6fac46" stroked="false">
              <v:path arrowok="t"/>
              <v:fill type="solid"/>
            </v:shape>
            <v:shape style="position:absolute;left:6038;top:553;width:2131;height:2088" coordorigin="6038,553" coordsize="2131,2088" path="m8169,2640l7164,553,7092,589,7022,627,6954,668,6887,710,6822,755,6758,802,6696,852,6636,903,6578,956,6522,1011,6467,1068,6415,1127,6364,1187,6316,1250,6270,1314,6225,1379,6183,1446,6144,1515,6106,1585,6071,1657,6038,1730,8169,2640xe" filled="false" stroked="true" strokeweight="1.44pt" strokecolor="#ffffff">
              <v:path arrowok="t"/>
            </v:shape>
            <v:shape style="position:absolute;left:7164;top:323;width:1006;height:2317" coordorigin="7164,323" coordsize="1006,2317" path="m8169,323l8089,325,8009,329,7929,336,7850,346,7771,358,7692,373,7614,391,7537,411,7461,434,7385,460,7310,488,7236,519,7164,553,8169,2640,8169,323xe" filled="true" fillcolor="#245e91" stroked="false">
              <v:path arrowok="t"/>
              <v:fill type="solid"/>
            </v:shape>
            <v:shape style="position:absolute;left:7164;top:323;width:1006;height:2317" coordorigin="7164,323" coordsize="1006,2317" path="m8169,2640l8169,323,8089,325,8009,329,7929,336,7850,346,7771,358,7692,373,7614,391,7537,411,7461,434,7385,460,7310,488,7236,519,7164,553,8169,2640xe" filled="false" stroked="true" strokeweight="1.44pt" strokecolor="#ffffff">
              <v:path arrowok="t"/>
            </v:shape>
            <v:rect style="position:absolute;left:1987;top:582;width:125;height:125" filled="true" fillcolor="#5b9bd4" stroked="false">
              <v:fill type="solid"/>
            </v:rect>
            <v:rect style="position:absolute;left:1987;top:1268;width:125;height:125" filled="true" fillcolor="#ec7c30" stroked="false">
              <v:fill type="solid"/>
            </v:rect>
            <v:rect style="position:absolute;left:1987;top:1950;width:125;height:125" filled="true" fillcolor="#a4a4a4" stroked="false">
              <v:fill type="solid"/>
            </v:rect>
            <v:rect style="position:absolute;left:1987;top:2636;width:125;height:125" filled="true" fillcolor="#ffc000" stroked="false">
              <v:fill type="solid"/>
            </v:rect>
            <v:rect style="position:absolute;left:1987;top:3318;width:125;height:130" filled="true" fillcolor="#4471c4" stroked="false">
              <v:fill type="solid"/>
            </v:rect>
            <v:rect style="position:absolute;left:1987;top:4004;width:125;height:125" filled="true" fillcolor="#6fac46" stroked="false">
              <v:fill type="solid"/>
            </v:rect>
            <v:rect style="position:absolute;left:1987;top:4690;width:125;height:125" filled="true" fillcolor="#245e91" stroked="false">
              <v:fill type="solid"/>
            </v:rect>
            <v:rect style="position:absolute;left:1702;top:301;width:8789;height:5026" filled="false" stroked="true" strokeweight=".72pt" strokecolor="#d9d9d9"/>
            <v:shape style="position:absolute;left:2167;top:523;width:1889;height:250" type="#_x0000_t202" filled="false" stroked="false">
              <v:textbox inset="0,0,0,0">
                <w:txbxContent>
                  <w:p>
                    <w:pPr>
                      <w:spacing w:line="250" w:lineRule="exact" w:before="0"/>
                      <w:ind w:left="0" w:right="-15" w:firstLine="0"/>
                      <w:jc w:val="left"/>
                      <w:rPr>
                        <w:b/>
                        <w:sz w:val="25"/>
                      </w:rPr>
                    </w:pPr>
                    <w:r>
                      <w:rPr>
                        <w:b/>
                        <w:color w:val="585858"/>
                        <w:sz w:val="25"/>
                      </w:rPr>
                      <w:t>Peces</w:t>
                    </w:r>
                    <w:r>
                      <w:rPr>
                        <w:b/>
                        <w:color w:val="585858"/>
                        <w:spacing w:val="-6"/>
                        <w:sz w:val="25"/>
                      </w:rPr>
                      <w:t> </w:t>
                    </w:r>
                    <w:r>
                      <w:rPr>
                        <w:b/>
                        <w:color w:val="585858"/>
                        <w:sz w:val="25"/>
                      </w:rPr>
                      <w:t>delgados</w:t>
                    </w:r>
                  </w:p>
                </w:txbxContent>
              </v:textbox>
              <w10:wrap type="none"/>
            </v:shape>
            <v:shape style="position:absolute;left:2167;top:1208;width:1998;height:250" type="#_x0000_t202" filled="false" stroked="false">
              <v:textbox inset="0,0,0,0">
                <w:txbxContent>
                  <w:p>
                    <w:pPr>
                      <w:spacing w:line="250" w:lineRule="exact" w:before="0"/>
                      <w:ind w:left="0" w:right="-14" w:firstLine="0"/>
                      <w:jc w:val="left"/>
                      <w:rPr>
                        <w:b/>
                        <w:sz w:val="25"/>
                      </w:rPr>
                    </w:pPr>
                    <w:r>
                      <w:rPr>
                        <w:b/>
                        <w:color w:val="585858"/>
                        <w:sz w:val="25"/>
                      </w:rPr>
                      <w:t>Nódulos en</w:t>
                    </w:r>
                    <w:r>
                      <w:rPr>
                        <w:b/>
                        <w:color w:val="585858"/>
                        <w:spacing w:val="-8"/>
                        <w:sz w:val="25"/>
                      </w:rPr>
                      <w:t> </w:t>
                    </w:r>
                    <w:r>
                      <w:rPr>
                        <w:b/>
                        <w:color w:val="585858"/>
                        <w:sz w:val="25"/>
                      </w:rPr>
                      <w:t>bazo</w:t>
                    </w:r>
                  </w:p>
                </w:txbxContent>
              </v:textbox>
              <w10:wrap type="none"/>
            </v:shape>
            <v:shape style="position:absolute;left:7803;top:1028;width:134;height:240" type="#_x0000_t202" filled="false" stroked="false">
              <v:textbox inset="0,0,0,0">
                <w:txbxContent>
                  <w:p>
                    <w:pPr>
                      <w:spacing w:line="240" w:lineRule="exact" w:before="0"/>
                      <w:ind w:left="0" w:right="0" w:firstLine="0"/>
                      <w:jc w:val="left"/>
                      <w:rPr>
                        <w:b/>
                        <w:sz w:val="24"/>
                      </w:rPr>
                    </w:pPr>
                    <w:r>
                      <w:rPr>
                        <w:b/>
                        <w:w w:val="99"/>
                        <w:sz w:val="24"/>
                      </w:rPr>
                      <w:t>5</w:t>
                    </w:r>
                  </w:p>
                </w:txbxContent>
              </v:textbox>
              <w10:wrap type="none"/>
            </v:shape>
            <v:shape style="position:absolute;left:7054;top:1451;width:134;height:240" type="#_x0000_t202" filled="false" stroked="false">
              <v:textbox inset="0,0,0,0">
                <w:txbxContent>
                  <w:p>
                    <w:pPr>
                      <w:spacing w:line="240" w:lineRule="exact" w:before="0"/>
                      <w:ind w:left="0" w:right="0" w:firstLine="0"/>
                      <w:jc w:val="left"/>
                      <w:rPr>
                        <w:b/>
                        <w:sz w:val="24"/>
                      </w:rPr>
                    </w:pPr>
                    <w:r>
                      <w:rPr>
                        <w:b/>
                        <w:w w:val="99"/>
                        <w:sz w:val="24"/>
                      </w:rPr>
                      <w:t>8</w:t>
                    </w:r>
                  </w:p>
                </w:txbxContent>
              </v:textbox>
              <w10:wrap type="none"/>
            </v:shape>
            <v:shape style="position:absolute;left:8944;top:1336;width:269;height:240" type="#_x0000_t202" filled="false" stroked="false">
              <v:textbox inset="0,0,0,0">
                <w:txbxContent>
                  <w:p>
                    <w:pPr>
                      <w:spacing w:line="240" w:lineRule="exact" w:before="0"/>
                      <w:ind w:left="0" w:right="-18" w:firstLine="0"/>
                      <w:jc w:val="left"/>
                      <w:rPr>
                        <w:b/>
                        <w:sz w:val="24"/>
                      </w:rPr>
                    </w:pPr>
                    <w:r>
                      <w:rPr>
                        <w:b/>
                        <w:sz w:val="24"/>
                      </w:rPr>
                      <w:t>17</w:t>
                    </w:r>
                  </w:p>
                </w:txbxContent>
              </v:textbox>
              <w10:wrap type="none"/>
            </v:shape>
            <v:shape style="position:absolute;left:2167;top:1892;width:2360;height:935" type="#_x0000_t202" filled="false" stroked="false">
              <v:textbox inset="0,0,0,0">
                <w:txbxContent>
                  <w:p>
                    <w:pPr>
                      <w:spacing w:line="256" w:lineRule="exact" w:before="0"/>
                      <w:ind w:left="0" w:right="-13" w:firstLine="0"/>
                      <w:jc w:val="left"/>
                      <w:rPr>
                        <w:b/>
                        <w:sz w:val="25"/>
                      </w:rPr>
                    </w:pPr>
                    <w:r>
                      <w:rPr>
                        <w:b/>
                        <w:color w:val="585858"/>
                        <w:sz w:val="25"/>
                      </w:rPr>
                      <w:t>Bazo con</w:t>
                    </w:r>
                    <w:r>
                      <w:rPr>
                        <w:b/>
                        <w:color w:val="585858"/>
                        <w:spacing w:val="-9"/>
                        <w:sz w:val="25"/>
                      </w:rPr>
                      <w:t> </w:t>
                    </w:r>
                    <w:r>
                      <w:rPr>
                        <w:b/>
                        <w:color w:val="585858"/>
                        <w:sz w:val="25"/>
                      </w:rPr>
                      <w:t>superficie</w:t>
                    </w:r>
                  </w:p>
                  <w:p>
                    <w:pPr>
                      <w:spacing w:before="0"/>
                      <w:ind w:left="0" w:right="-13" w:firstLine="0"/>
                      <w:jc w:val="left"/>
                      <w:rPr>
                        <w:b/>
                        <w:sz w:val="25"/>
                      </w:rPr>
                    </w:pPr>
                    <w:r>
                      <w:rPr>
                        <w:b/>
                        <w:color w:val="585858"/>
                        <w:sz w:val="25"/>
                      </w:rPr>
                      <w:t>irregular</w:t>
                    </w:r>
                  </w:p>
                  <w:p>
                    <w:pPr>
                      <w:spacing w:line="282" w:lineRule="exact" w:before="109"/>
                      <w:ind w:left="0" w:right="-13" w:firstLine="0"/>
                      <w:jc w:val="left"/>
                      <w:rPr>
                        <w:b/>
                        <w:sz w:val="25"/>
                      </w:rPr>
                    </w:pPr>
                    <w:r>
                      <w:rPr>
                        <w:b/>
                        <w:color w:val="585858"/>
                        <w:sz w:val="25"/>
                      </w:rPr>
                      <w:t>Nódulos en riñón</w:t>
                    </w:r>
                  </w:p>
                </w:txbxContent>
              </v:textbox>
              <w10:wrap type="none"/>
            </v:shape>
            <v:shape style="position:absolute;left:6648;top:2492;width:270;height:240" type="#_x0000_t202" filled="false" stroked="false">
              <v:textbox inset="0,0,0,0">
                <w:txbxContent>
                  <w:p>
                    <w:pPr>
                      <w:spacing w:line="240" w:lineRule="exact" w:before="0"/>
                      <w:ind w:left="0" w:right="-17" w:firstLine="0"/>
                      <w:jc w:val="left"/>
                      <w:rPr>
                        <w:b/>
                        <w:sz w:val="24"/>
                      </w:rPr>
                    </w:pPr>
                    <w:r>
                      <w:rPr>
                        <w:b/>
                        <w:sz w:val="24"/>
                      </w:rPr>
                      <w:t>10</w:t>
                    </w:r>
                  </w:p>
                </w:txbxContent>
              </v:textbox>
              <w10:wrap type="none"/>
            </v:shape>
            <v:shape style="position:absolute;left:2167;top:3262;width:1956;height:250" type="#_x0000_t202" filled="false" stroked="false">
              <v:textbox inset="0,0,0,0">
                <w:txbxContent>
                  <w:p>
                    <w:pPr>
                      <w:spacing w:line="250" w:lineRule="exact" w:before="0"/>
                      <w:ind w:left="0" w:right="-14" w:firstLine="0"/>
                      <w:jc w:val="left"/>
                      <w:rPr>
                        <w:b/>
                        <w:sz w:val="25"/>
                      </w:rPr>
                    </w:pPr>
                    <w:r>
                      <w:rPr>
                        <w:b/>
                        <w:color w:val="585858"/>
                        <w:sz w:val="25"/>
                      </w:rPr>
                      <w:t>Hígado</w:t>
                    </w:r>
                    <w:r>
                      <w:rPr>
                        <w:b/>
                        <w:color w:val="585858"/>
                        <w:spacing w:val="-9"/>
                        <w:sz w:val="25"/>
                      </w:rPr>
                      <w:t> </w:t>
                    </w:r>
                    <w:r>
                      <w:rPr>
                        <w:b/>
                        <w:color w:val="585858"/>
                        <w:sz w:val="25"/>
                      </w:rPr>
                      <w:t>moteado</w:t>
                    </w:r>
                  </w:p>
                </w:txbxContent>
              </v:textbox>
              <w10:wrap type="none"/>
            </v:shape>
            <v:shape style="position:absolute;left:6993;top:3332;width:134;height:240" type="#_x0000_t202" filled="false" stroked="false">
              <v:textbox inset="0,0,0,0">
                <w:txbxContent>
                  <w:p>
                    <w:pPr>
                      <w:spacing w:line="240" w:lineRule="exact" w:before="0"/>
                      <w:ind w:left="0" w:right="0" w:firstLine="0"/>
                      <w:jc w:val="left"/>
                      <w:rPr>
                        <w:b/>
                        <w:sz w:val="24"/>
                      </w:rPr>
                    </w:pPr>
                    <w:r>
                      <w:rPr>
                        <w:b/>
                        <w:w w:val="99"/>
                        <w:sz w:val="24"/>
                      </w:rPr>
                      <w:t>3</w:t>
                    </w:r>
                  </w:p>
                </w:txbxContent>
              </v:textbox>
              <w10:wrap type="none"/>
            </v:shape>
            <v:shape style="position:absolute;left:9079;top:3182;width:269;height:240" type="#_x0000_t202" filled="false" stroked="false">
              <v:textbox inset="0,0,0,0">
                <w:txbxContent>
                  <w:p>
                    <w:pPr>
                      <w:spacing w:line="240" w:lineRule="exact" w:before="0"/>
                      <w:ind w:left="0" w:right="-18" w:firstLine="0"/>
                      <w:jc w:val="left"/>
                      <w:rPr>
                        <w:b/>
                        <w:sz w:val="24"/>
                      </w:rPr>
                    </w:pPr>
                    <w:r>
                      <w:rPr>
                        <w:b/>
                        <w:sz w:val="24"/>
                      </w:rPr>
                      <w:t>19</w:t>
                    </w:r>
                  </w:p>
                </w:txbxContent>
              </v:textbox>
              <w10:wrap type="none"/>
            </v:shape>
            <v:shape style="position:absolute;left:7698;top:3587;width:134;height:240" type="#_x0000_t202" filled="false" stroked="false">
              <v:textbox inset="0,0,0,0">
                <w:txbxContent>
                  <w:p>
                    <w:pPr>
                      <w:spacing w:line="240" w:lineRule="exact" w:before="0"/>
                      <w:ind w:left="0" w:right="0" w:firstLine="0"/>
                      <w:jc w:val="left"/>
                      <w:rPr>
                        <w:b/>
                        <w:sz w:val="24"/>
                      </w:rPr>
                    </w:pPr>
                    <w:r>
                      <w:rPr>
                        <w:b/>
                        <w:w w:val="99"/>
                        <w:sz w:val="24"/>
                      </w:rPr>
                      <w:t>8</w:t>
                    </w:r>
                  </w:p>
                </w:txbxContent>
              </v:textbox>
              <w10:wrap type="none"/>
            </v:shape>
            <v:shape style="position:absolute;left:2167;top:3947;width:2930;height:935" type="#_x0000_t202" filled="false" stroked="false">
              <v:textbox inset="0,0,0,0">
                <w:txbxContent>
                  <w:p>
                    <w:pPr>
                      <w:spacing w:line="255" w:lineRule="exact" w:before="0"/>
                      <w:ind w:left="0" w:right="-13" w:firstLine="0"/>
                      <w:jc w:val="left"/>
                      <w:rPr>
                        <w:b/>
                        <w:sz w:val="25"/>
                      </w:rPr>
                    </w:pPr>
                    <w:r>
                      <w:rPr>
                        <w:b/>
                        <w:color w:val="585858"/>
                        <w:sz w:val="25"/>
                      </w:rPr>
                      <w:t>Órganos aumentados</w:t>
                    </w:r>
                    <w:r>
                      <w:rPr>
                        <w:b/>
                        <w:color w:val="585858"/>
                        <w:spacing w:val="-9"/>
                        <w:sz w:val="25"/>
                      </w:rPr>
                      <w:t> </w:t>
                    </w:r>
                    <w:r>
                      <w:rPr>
                        <w:b/>
                        <w:color w:val="585858"/>
                        <w:sz w:val="25"/>
                      </w:rPr>
                      <w:t>de</w:t>
                    </w:r>
                  </w:p>
                  <w:p>
                    <w:pPr>
                      <w:spacing w:before="0"/>
                      <w:ind w:left="0" w:right="-13" w:firstLine="0"/>
                      <w:jc w:val="left"/>
                      <w:rPr>
                        <w:b/>
                        <w:sz w:val="25"/>
                      </w:rPr>
                    </w:pPr>
                    <w:r>
                      <w:rPr>
                        <w:b/>
                        <w:color w:val="585858"/>
                        <w:sz w:val="25"/>
                      </w:rPr>
                      <w:t>tamaño</w:t>
                    </w:r>
                  </w:p>
                  <w:p>
                    <w:pPr>
                      <w:spacing w:line="282" w:lineRule="exact" w:before="109"/>
                      <w:ind w:left="0" w:right="-13" w:firstLine="0"/>
                      <w:jc w:val="left"/>
                      <w:rPr>
                        <w:b/>
                        <w:sz w:val="25"/>
                      </w:rPr>
                    </w:pPr>
                    <w:r>
                      <w:rPr>
                        <w:b/>
                        <w:color w:val="585858"/>
                        <w:sz w:val="25"/>
                      </w:rPr>
                      <w:t>Adherencias</w:t>
                    </w:r>
                  </w:p>
                </w:txbxContent>
              </v:textbox>
              <w10:wrap type="none"/>
            </v:shape>
            <w10:wrap type="topAndBottom"/>
          </v:group>
        </w:pict>
      </w:r>
    </w:p>
    <w:p>
      <w:pPr>
        <w:pStyle w:val="BodyText"/>
        <w:spacing w:before="210"/>
        <w:ind w:left="139"/>
        <w:jc w:val="both"/>
      </w:pPr>
      <w:r>
        <w:rPr/>
        <w:t>Figura 10: Muestras con distintos cambios morfológicos en diferentes órganos.</w:t>
      </w:r>
    </w:p>
    <w:p>
      <w:pPr>
        <w:spacing w:after="0"/>
        <w:jc w:val="both"/>
        <w:sectPr>
          <w:pgSz w:w="12240" w:h="15840"/>
          <w:pgMar w:header="752" w:footer="998" w:top="1000" w:bottom="1180" w:left="1560" w:right="1560"/>
        </w:sectPr>
      </w:pPr>
    </w:p>
    <w:p>
      <w:pPr>
        <w:pStyle w:val="BodyText"/>
        <w:spacing w:before="7"/>
        <w:rPr>
          <w:sz w:val="28"/>
        </w:rPr>
      </w:pPr>
    </w:p>
    <w:p>
      <w:pPr>
        <w:pStyle w:val="BodyText"/>
        <w:spacing w:before="70"/>
        <w:ind w:left="139"/>
      </w:pPr>
      <w:r>
        <w:rPr/>
        <w:t>Tabla 3: Resultados de análisis clínico macroscópico.</w:t>
      </w:r>
    </w:p>
    <w:p>
      <w:pPr>
        <w:pStyle w:val="BodyText"/>
        <w:spacing w:before="10"/>
        <w:rPr>
          <w:sz w:val="21"/>
        </w:rPr>
      </w:pPr>
    </w:p>
    <w:tbl>
      <w:tblPr>
        <w:tblW w:w="0" w:type="auto"/>
        <w:jc w:val="left"/>
        <w:tblInd w:w="1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63"/>
        <w:gridCol w:w="7592"/>
      </w:tblGrid>
      <w:tr>
        <w:trPr>
          <w:trHeight w:val="893" w:hRule="exact"/>
        </w:trPr>
        <w:tc>
          <w:tcPr>
            <w:tcW w:w="1263" w:type="dxa"/>
          </w:tcPr>
          <w:p>
            <w:pPr>
              <w:pStyle w:val="TableParagraph"/>
              <w:spacing w:line="240" w:lineRule="auto"/>
              <w:ind w:left="106" w:right="47"/>
              <w:rPr>
                <w:sz w:val="24"/>
              </w:rPr>
            </w:pPr>
            <w:r>
              <w:rPr>
                <w:sz w:val="24"/>
              </w:rPr>
              <w:t>Número de muestras</w:t>
            </w:r>
          </w:p>
        </w:tc>
        <w:tc>
          <w:tcPr>
            <w:tcW w:w="7592" w:type="dxa"/>
          </w:tcPr>
          <w:p>
            <w:pPr>
              <w:pStyle w:val="TableParagraph"/>
              <w:ind w:left="2401" w:right="108"/>
              <w:rPr>
                <w:sz w:val="24"/>
              </w:rPr>
            </w:pPr>
            <w:r>
              <w:rPr>
                <w:sz w:val="24"/>
              </w:rPr>
              <w:t>Dx clínico y macroscópico</w:t>
            </w:r>
          </w:p>
        </w:tc>
      </w:tr>
      <w:tr>
        <w:trPr>
          <w:trHeight w:val="590" w:hRule="exact"/>
        </w:trPr>
        <w:tc>
          <w:tcPr>
            <w:tcW w:w="1263" w:type="dxa"/>
          </w:tcPr>
          <w:p>
            <w:pPr>
              <w:pStyle w:val="TableParagraph"/>
              <w:ind w:left="624" w:right="47"/>
              <w:rPr>
                <w:sz w:val="24"/>
              </w:rPr>
            </w:pPr>
            <w:r>
              <w:rPr>
                <w:sz w:val="24"/>
              </w:rPr>
              <w:t>1.</w:t>
            </w:r>
          </w:p>
        </w:tc>
        <w:tc>
          <w:tcPr>
            <w:tcW w:w="7592" w:type="dxa"/>
          </w:tcPr>
          <w:p>
            <w:pPr>
              <w:pStyle w:val="TableParagraph"/>
              <w:spacing w:line="242" w:lineRule="auto"/>
              <w:ind w:left="100" w:right="108"/>
              <w:rPr>
                <w:sz w:val="24"/>
              </w:rPr>
            </w:pPr>
            <w:r>
              <w:rPr>
                <w:sz w:val="24"/>
              </w:rPr>
              <w:t>delgado, nódulos en bazo +++ y riñón ++,adherencias, hígado moteado y aumentado de tamaño</w:t>
            </w:r>
          </w:p>
        </w:tc>
      </w:tr>
      <w:tr>
        <w:trPr>
          <w:trHeight w:val="600" w:hRule="exact"/>
        </w:trPr>
        <w:tc>
          <w:tcPr>
            <w:tcW w:w="1263" w:type="dxa"/>
          </w:tcPr>
          <w:p>
            <w:pPr>
              <w:pStyle w:val="TableParagraph"/>
              <w:ind w:left="624" w:right="47"/>
              <w:rPr>
                <w:sz w:val="24"/>
              </w:rPr>
            </w:pPr>
            <w:r>
              <w:rPr>
                <w:sz w:val="24"/>
              </w:rPr>
              <w:t>2.</w:t>
            </w:r>
          </w:p>
        </w:tc>
        <w:tc>
          <w:tcPr>
            <w:tcW w:w="7592" w:type="dxa"/>
          </w:tcPr>
          <w:p>
            <w:pPr>
              <w:pStyle w:val="TableParagraph"/>
              <w:spacing w:line="274" w:lineRule="exact" w:before="1"/>
              <w:ind w:left="100" w:right="108"/>
              <w:rPr>
                <w:sz w:val="24"/>
              </w:rPr>
            </w:pPr>
            <w:r>
              <w:rPr>
                <w:sz w:val="24"/>
              </w:rPr>
              <w:t>delgado, nódulos en bazo +++, hígado moteado y aumentado de tamaño y otros órganos aparentemente normales</w:t>
            </w:r>
          </w:p>
        </w:tc>
      </w:tr>
      <w:tr>
        <w:trPr>
          <w:trHeight w:val="591" w:hRule="exact"/>
        </w:trPr>
        <w:tc>
          <w:tcPr>
            <w:tcW w:w="1263" w:type="dxa"/>
          </w:tcPr>
          <w:p>
            <w:pPr>
              <w:pStyle w:val="TableParagraph"/>
              <w:ind w:left="624" w:right="47"/>
              <w:rPr>
                <w:sz w:val="24"/>
              </w:rPr>
            </w:pPr>
            <w:r>
              <w:rPr>
                <w:sz w:val="24"/>
              </w:rPr>
              <w:t>3.</w:t>
            </w:r>
          </w:p>
        </w:tc>
        <w:tc>
          <w:tcPr>
            <w:tcW w:w="7592" w:type="dxa"/>
          </w:tcPr>
          <w:p>
            <w:pPr>
              <w:pStyle w:val="TableParagraph"/>
              <w:spacing w:line="242" w:lineRule="auto"/>
              <w:ind w:left="100" w:right="108"/>
              <w:rPr>
                <w:sz w:val="24"/>
              </w:rPr>
            </w:pPr>
            <w:r>
              <w:rPr>
                <w:sz w:val="24"/>
              </w:rPr>
              <w:t>delgado, nódulos en bazo ++, y otros órganos aparentemente normales</w:t>
            </w:r>
          </w:p>
        </w:tc>
      </w:tr>
      <w:tr>
        <w:trPr>
          <w:trHeight w:val="298" w:hRule="exact"/>
        </w:trPr>
        <w:tc>
          <w:tcPr>
            <w:tcW w:w="1263" w:type="dxa"/>
          </w:tcPr>
          <w:p>
            <w:pPr>
              <w:pStyle w:val="TableParagraph"/>
              <w:ind w:left="624" w:right="47"/>
              <w:rPr>
                <w:sz w:val="24"/>
              </w:rPr>
            </w:pPr>
            <w:r>
              <w:rPr>
                <w:sz w:val="24"/>
              </w:rPr>
              <w:t>4.</w:t>
            </w:r>
          </w:p>
        </w:tc>
        <w:tc>
          <w:tcPr>
            <w:tcW w:w="7592" w:type="dxa"/>
          </w:tcPr>
          <w:p>
            <w:pPr>
              <w:pStyle w:val="TableParagraph"/>
              <w:ind w:left="100" w:right="108"/>
              <w:rPr>
                <w:sz w:val="24"/>
              </w:rPr>
            </w:pPr>
            <w:r>
              <w:rPr>
                <w:sz w:val="24"/>
              </w:rPr>
              <w:t>normal, nódulos en bazo + y otros órganos aparentemente normales</w:t>
            </w:r>
          </w:p>
        </w:tc>
      </w:tr>
      <w:tr>
        <w:trPr>
          <w:trHeight w:val="298" w:hRule="exact"/>
        </w:trPr>
        <w:tc>
          <w:tcPr>
            <w:tcW w:w="1263" w:type="dxa"/>
          </w:tcPr>
          <w:p>
            <w:pPr>
              <w:pStyle w:val="TableParagraph"/>
              <w:ind w:left="624" w:right="47"/>
              <w:rPr>
                <w:sz w:val="24"/>
              </w:rPr>
            </w:pPr>
            <w:r>
              <w:rPr>
                <w:sz w:val="24"/>
              </w:rPr>
              <w:t>5.</w:t>
            </w:r>
          </w:p>
        </w:tc>
        <w:tc>
          <w:tcPr>
            <w:tcW w:w="7592" w:type="dxa"/>
          </w:tcPr>
          <w:p>
            <w:pPr>
              <w:pStyle w:val="TableParagraph"/>
              <w:ind w:left="100" w:right="108"/>
              <w:rPr>
                <w:sz w:val="24"/>
              </w:rPr>
            </w:pPr>
            <w:r>
              <w:rPr>
                <w:sz w:val="24"/>
              </w:rPr>
              <w:t>normal, nódulos en bazo + y otros órganos aparentemente normales</w:t>
            </w:r>
          </w:p>
        </w:tc>
      </w:tr>
      <w:tr>
        <w:trPr>
          <w:trHeight w:val="302" w:hRule="exact"/>
        </w:trPr>
        <w:tc>
          <w:tcPr>
            <w:tcW w:w="1263" w:type="dxa"/>
          </w:tcPr>
          <w:p>
            <w:pPr>
              <w:pStyle w:val="TableParagraph"/>
              <w:spacing w:line="240" w:lineRule="auto"/>
              <w:ind w:left="624" w:right="47"/>
              <w:rPr>
                <w:sz w:val="24"/>
              </w:rPr>
            </w:pPr>
            <w:r>
              <w:rPr>
                <w:sz w:val="24"/>
              </w:rPr>
              <w:t>6.</w:t>
            </w:r>
          </w:p>
        </w:tc>
        <w:tc>
          <w:tcPr>
            <w:tcW w:w="7592" w:type="dxa"/>
          </w:tcPr>
          <w:p>
            <w:pPr>
              <w:pStyle w:val="TableParagraph"/>
              <w:spacing w:line="240" w:lineRule="auto"/>
              <w:ind w:left="100" w:right="108"/>
              <w:rPr>
                <w:sz w:val="24"/>
              </w:rPr>
            </w:pPr>
            <w:r>
              <w:rPr>
                <w:sz w:val="24"/>
              </w:rPr>
              <w:t>normal, nódulos en bazo + y otros órganos aparentemente normales</w:t>
            </w:r>
          </w:p>
        </w:tc>
      </w:tr>
      <w:tr>
        <w:trPr>
          <w:trHeight w:val="312" w:hRule="exact"/>
        </w:trPr>
        <w:tc>
          <w:tcPr>
            <w:tcW w:w="1263" w:type="dxa"/>
            <w:tcBorders>
              <w:bottom w:val="single" w:sz="4" w:space="0" w:color="000000"/>
            </w:tcBorders>
          </w:tcPr>
          <w:p>
            <w:pPr>
              <w:pStyle w:val="TableParagraph"/>
              <w:ind w:left="624" w:right="47"/>
              <w:rPr>
                <w:sz w:val="24"/>
              </w:rPr>
            </w:pPr>
            <w:r>
              <w:rPr>
                <w:sz w:val="24"/>
              </w:rPr>
              <w:t>7.</w:t>
            </w:r>
          </w:p>
        </w:tc>
        <w:tc>
          <w:tcPr>
            <w:tcW w:w="7592" w:type="dxa"/>
            <w:tcBorders>
              <w:bottom w:val="single" w:sz="4" w:space="0" w:color="000000"/>
            </w:tcBorders>
          </w:tcPr>
          <w:p>
            <w:pPr>
              <w:pStyle w:val="TableParagraph"/>
              <w:ind w:left="100" w:right="108"/>
              <w:rPr>
                <w:sz w:val="24"/>
              </w:rPr>
            </w:pPr>
            <w:r>
              <w:rPr>
                <w:sz w:val="24"/>
              </w:rPr>
              <w:t>normal, nódulos en bazo + y otros órganos aparentemente normales</w:t>
            </w:r>
          </w:p>
        </w:tc>
      </w:tr>
      <w:tr>
        <w:trPr>
          <w:trHeight w:val="562" w:hRule="exact"/>
        </w:trPr>
        <w:tc>
          <w:tcPr>
            <w:tcW w:w="1263" w:type="dxa"/>
            <w:tcBorders>
              <w:top w:val="single" w:sz="4" w:space="0" w:color="000000"/>
            </w:tcBorders>
          </w:tcPr>
          <w:p>
            <w:pPr>
              <w:pStyle w:val="TableParagraph"/>
              <w:ind w:left="624" w:right="47"/>
              <w:rPr>
                <w:sz w:val="24"/>
              </w:rPr>
            </w:pPr>
            <w:r>
              <w:rPr>
                <w:sz w:val="24"/>
              </w:rPr>
              <w:t>8.</w:t>
            </w:r>
          </w:p>
        </w:tc>
        <w:tc>
          <w:tcPr>
            <w:tcW w:w="7592" w:type="dxa"/>
            <w:tcBorders>
              <w:top w:val="single" w:sz="4" w:space="0" w:color="000000"/>
            </w:tcBorders>
          </w:tcPr>
          <w:p>
            <w:pPr>
              <w:pStyle w:val="TableParagraph"/>
              <w:spacing w:line="242" w:lineRule="auto"/>
              <w:ind w:left="100" w:right="108"/>
              <w:rPr>
                <w:sz w:val="24"/>
              </w:rPr>
            </w:pPr>
            <w:r>
              <w:rPr>
                <w:sz w:val="24"/>
              </w:rPr>
              <w:t>delgado, nódulos en bazo ++ y otros órganos aparentemente normales</w:t>
            </w:r>
          </w:p>
        </w:tc>
      </w:tr>
      <w:tr>
        <w:trPr>
          <w:trHeight w:val="590" w:hRule="exact"/>
        </w:trPr>
        <w:tc>
          <w:tcPr>
            <w:tcW w:w="1263" w:type="dxa"/>
          </w:tcPr>
          <w:p>
            <w:pPr>
              <w:pStyle w:val="TableParagraph"/>
              <w:spacing w:line="240" w:lineRule="auto"/>
              <w:ind w:left="624" w:right="47"/>
              <w:rPr>
                <w:sz w:val="24"/>
              </w:rPr>
            </w:pPr>
            <w:r>
              <w:rPr>
                <w:sz w:val="24"/>
              </w:rPr>
              <w:t>9.</w:t>
            </w:r>
          </w:p>
        </w:tc>
        <w:tc>
          <w:tcPr>
            <w:tcW w:w="7592" w:type="dxa"/>
          </w:tcPr>
          <w:p>
            <w:pPr>
              <w:pStyle w:val="TableParagraph"/>
              <w:spacing w:line="274" w:lineRule="exact" w:before="6"/>
              <w:ind w:left="100" w:right="108"/>
              <w:rPr>
                <w:sz w:val="24"/>
              </w:rPr>
            </w:pPr>
            <w:r>
              <w:rPr>
                <w:sz w:val="24"/>
              </w:rPr>
              <w:t>delgado, adherencias, nódulos en bazo y riñón +++, adherencias y otros órganos aparentemente normales</w:t>
            </w:r>
          </w:p>
        </w:tc>
      </w:tr>
      <w:tr>
        <w:trPr>
          <w:trHeight w:val="317" w:hRule="exact"/>
        </w:trPr>
        <w:tc>
          <w:tcPr>
            <w:tcW w:w="1263" w:type="dxa"/>
          </w:tcPr>
          <w:p>
            <w:pPr>
              <w:pStyle w:val="TableParagraph"/>
              <w:ind w:left="624" w:right="47"/>
              <w:rPr>
                <w:sz w:val="24"/>
              </w:rPr>
            </w:pPr>
            <w:r>
              <w:rPr>
                <w:sz w:val="24"/>
              </w:rPr>
              <w:t>10.</w:t>
            </w:r>
          </w:p>
        </w:tc>
        <w:tc>
          <w:tcPr>
            <w:tcW w:w="7592" w:type="dxa"/>
          </w:tcPr>
          <w:p>
            <w:pPr>
              <w:pStyle w:val="TableParagraph"/>
              <w:ind w:left="100" w:right="108"/>
              <w:rPr>
                <w:sz w:val="24"/>
              </w:rPr>
            </w:pPr>
            <w:r>
              <w:rPr>
                <w:sz w:val="24"/>
              </w:rPr>
              <w:t>normal, órganos internos aparentemente normales</w:t>
            </w:r>
          </w:p>
        </w:tc>
      </w:tr>
      <w:tr>
        <w:trPr>
          <w:trHeight w:val="586" w:hRule="exact"/>
        </w:trPr>
        <w:tc>
          <w:tcPr>
            <w:tcW w:w="1263" w:type="dxa"/>
          </w:tcPr>
          <w:p>
            <w:pPr>
              <w:pStyle w:val="TableParagraph"/>
              <w:ind w:left="624" w:right="47"/>
              <w:rPr>
                <w:sz w:val="24"/>
              </w:rPr>
            </w:pPr>
            <w:r>
              <w:rPr>
                <w:sz w:val="24"/>
              </w:rPr>
              <w:t>11.</w:t>
            </w:r>
          </w:p>
        </w:tc>
        <w:tc>
          <w:tcPr>
            <w:tcW w:w="7592" w:type="dxa"/>
          </w:tcPr>
          <w:p>
            <w:pPr>
              <w:pStyle w:val="TableParagraph"/>
              <w:spacing w:line="274" w:lineRule="exact" w:before="2"/>
              <w:ind w:left="100" w:right="108"/>
              <w:rPr>
                <w:sz w:val="24"/>
              </w:rPr>
            </w:pPr>
            <w:r>
              <w:rPr>
                <w:sz w:val="24"/>
              </w:rPr>
              <w:t>normal, bazo con superficie irregular y otros órganos aparentemente normales</w:t>
            </w:r>
          </w:p>
        </w:tc>
      </w:tr>
      <w:tr>
        <w:trPr>
          <w:trHeight w:val="590" w:hRule="exact"/>
        </w:trPr>
        <w:tc>
          <w:tcPr>
            <w:tcW w:w="1263" w:type="dxa"/>
          </w:tcPr>
          <w:p>
            <w:pPr>
              <w:pStyle w:val="TableParagraph"/>
              <w:ind w:left="624" w:right="47"/>
              <w:rPr>
                <w:sz w:val="24"/>
              </w:rPr>
            </w:pPr>
            <w:r>
              <w:rPr>
                <w:sz w:val="24"/>
              </w:rPr>
              <w:t>12.</w:t>
            </w:r>
          </w:p>
        </w:tc>
        <w:tc>
          <w:tcPr>
            <w:tcW w:w="7592" w:type="dxa"/>
          </w:tcPr>
          <w:p>
            <w:pPr>
              <w:pStyle w:val="TableParagraph"/>
              <w:spacing w:line="242" w:lineRule="auto"/>
              <w:ind w:left="100" w:right="108"/>
              <w:rPr>
                <w:sz w:val="24"/>
              </w:rPr>
            </w:pPr>
            <w:r>
              <w:rPr>
                <w:sz w:val="24"/>
              </w:rPr>
              <w:t>normal, bazo superficie irregular y otros órganos aparentemente normales</w:t>
            </w:r>
          </w:p>
        </w:tc>
      </w:tr>
      <w:tr>
        <w:trPr>
          <w:trHeight w:val="312" w:hRule="exact"/>
        </w:trPr>
        <w:tc>
          <w:tcPr>
            <w:tcW w:w="1263" w:type="dxa"/>
          </w:tcPr>
          <w:p>
            <w:pPr>
              <w:pStyle w:val="TableParagraph"/>
              <w:ind w:left="624" w:right="47"/>
              <w:rPr>
                <w:sz w:val="24"/>
              </w:rPr>
            </w:pPr>
            <w:r>
              <w:rPr>
                <w:sz w:val="24"/>
              </w:rPr>
              <w:t>13.</w:t>
            </w:r>
          </w:p>
        </w:tc>
        <w:tc>
          <w:tcPr>
            <w:tcW w:w="7592" w:type="dxa"/>
          </w:tcPr>
          <w:p>
            <w:pPr>
              <w:pStyle w:val="TableParagraph"/>
              <w:ind w:left="100"/>
              <w:rPr>
                <w:sz w:val="24"/>
              </w:rPr>
            </w:pPr>
            <w:r>
              <w:rPr>
                <w:sz w:val="24"/>
              </w:rPr>
              <w:t>normal, nódulos en bazo ++ y otros órganos aparentemente normales</w:t>
            </w:r>
          </w:p>
        </w:tc>
      </w:tr>
      <w:tr>
        <w:trPr>
          <w:trHeight w:val="298" w:hRule="exact"/>
        </w:trPr>
        <w:tc>
          <w:tcPr>
            <w:tcW w:w="1263" w:type="dxa"/>
          </w:tcPr>
          <w:p>
            <w:pPr>
              <w:pStyle w:val="TableParagraph"/>
              <w:ind w:left="624" w:right="47"/>
              <w:rPr>
                <w:sz w:val="24"/>
              </w:rPr>
            </w:pPr>
            <w:r>
              <w:rPr>
                <w:sz w:val="24"/>
              </w:rPr>
              <w:t>14.</w:t>
            </w:r>
          </w:p>
        </w:tc>
        <w:tc>
          <w:tcPr>
            <w:tcW w:w="7592" w:type="dxa"/>
          </w:tcPr>
          <w:p>
            <w:pPr>
              <w:pStyle w:val="TableParagraph"/>
              <w:ind w:left="100"/>
              <w:rPr>
                <w:sz w:val="24"/>
              </w:rPr>
            </w:pPr>
            <w:r>
              <w:rPr>
                <w:sz w:val="24"/>
              </w:rPr>
              <w:t>normal, nódulos en bazo ++ y otros órganos aparentemente normales</w:t>
            </w:r>
          </w:p>
        </w:tc>
      </w:tr>
      <w:tr>
        <w:trPr>
          <w:trHeight w:val="567" w:hRule="exact"/>
        </w:trPr>
        <w:tc>
          <w:tcPr>
            <w:tcW w:w="1263" w:type="dxa"/>
          </w:tcPr>
          <w:p>
            <w:pPr>
              <w:pStyle w:val="TableParagraph"/>
              <w:spacing w:line="240" w:lineRule="auto" w:before="1"/>
              <w:ind w:left="624" w:right="47"/>
              <w:rPr>
                <w:sz w:val="24"/>
              </w:rPr>
            </w:pPr>
            <w:r>
              <w:rPr>
                <w:sz w:val="24"/>
              </w:rPr>
              <w:t>15.</w:t>
            </w:r>
          </w:p>
        </w:tc>
        <w:tc>
          <w:tcPr>
            <w:tcW w:w="7592" w:type="dxa"/>
          </w:tcPr>
          <w:p>
            <w:pPr>
              <w:pStyle w:val="TableParagraph"/>
              <w:spacing w:line="274" w:lineRule="exact" w:before="7"/>
              <w:ind w:left="100" w:right="108"/>
              <w:rPr>
                <w:sz w:val="24"/>
              </w:rPr>
            </w:pPr>
            <w:r>
              <w:rPr>
                <w:sz w:val="24"/>
              </w:rPr>
              <w:t>delgado, nódulos en bazo ++ y otros órganos aparentemente normales</w:t>
            </w:r>
          </w:p>
        </w:tc>
      </w:tr>
      <w:tr>
        <w:trPr>
          <w:trHeight w:val="562" w:hRule="exact"/>
        </w:trPr>
        <w:tc>
          <w:tcPr>
            <w:tcW w:w="1263" w:type="dxa"/>
          </w:tcPr>
          <w:p>
            <w:pPr>
              <w:pStyle w:val="TableParagraph"/>
              <w:ind w:left="624" w:right="47"/>
              <w:rPr>
                <w:sz w:val="24"/>
              </w:rPr>
            </w:pPr>
            <w:r>
              <w:rPr>
                <w:sz w:val="24"/>
              </w:rPr>
              <w:t>16.</w:t>
            </w:r>
          </w:p>
        </w:tc>
        <w:tc>
          <w:tcPr>
            <w:tcW w:w="7592" w:type="dxa"/>
          </w:tcPr>
          <w:p>
            <w:pPr>
              <w:pStyle w:val="TableParagraph"/>
              <w:spacing w:line="274" w:lineRule="exact" w:before="1"/>
              <w:ind w:left="100" w:right="108"/>
              <w:rPr>
                <w:sz w:val="24"/>
              </w:rPr>
            </w:pPr>
            <w:r>
              <w:rPr>
                <w:sz w:val="24"/>
              </w:rPr>
              <w:t>delgado, nódulos en bazo ++ y otros órganos aparentemente normales</w:t>
            </w:r>
          </w:p>
        </w:tc>
      </w:tr>
      <w:tr>
        <w:trPr>
          <w:trHeight w:val="586" w:hRule="exact"/>
        </w:trPr>
        <w:tc>
          <w:tcPr>
            <w:tcW w:w="1263" w:type="dxa"/>
          </w:tcPr>
          <w:p>
            <w:pPr>
              <w:pStyle w:val="TableParagraph"/>
              <w:ind w:left="624" w:right="47"/>
              <w:rPr>
                <w:sz w:val="24"/>
              </w:rPr>
            </w:pPr>
            <w:r>
              <w:rPr>
                <w:sz w:val="24"/>
              </w:rPr>
              <w:t>17.</w:t>
            </w:r>
          </w:p>
        </w:tc>
        <w:tc>
          <w:tcPr>
            <w:tcW w:w="7592" w:type="dxa"/>
          </w:tcPr>
          <w:p>
            <w:pPr>
              <w:pStyle w:val="TableParagraph"/>
              <w:spacing w:line="274" w:lineRule="exact" w:before="1"/>
              <w:ind w:left="100" w:right="108"/>
              <w:rPr>
                <w:sz w:val="24"/>
              </w:rPr>
            </w:pPr>
            <w:r>
              <w:rPr>
                <w:sz w:val="24"/>
              </w:rPr>
              <w:t>normal,</w:t>
            </w:r>
            <w:r>
              <w:rPr>
                <w:spacing w:val="-18"/>
                <w:sz w:val="24"/>
              </w:rPr>
              <w:t> </w:t>
            </w:r>
            <w:r>
              <w:rPr>
                <w:sz w:val="24"/>
              </w:rPr>
              <w:t>nódulos</w:t>
            </w:r>
            <w:r>
              <w:rPr>
                <w:spacing w:val="-18"/>
                <w:sz w:val="24"/>
              </w:rPr>
              <w:t> </w:t>
            </w:r>
            <w:r>
              <w:rPr>
                <w:sz w:val="24"/>
              </w:rPr>
              <w:t>en</w:t>
            </w:r>
            <w:r>
              <w:rPr>
                <w:spacing w:val="-18"/>
                <w:sz w:val="24"/>
              </w:rPr>
              <w:t> </w:t>
            </w:r>
            <w:r>
              <w:rPr>
                <w:sz w:val="24"/>
              </w:rPr>
              <w:t>bazo</w:t>
            </w:r>
            <w:r>
              <w:rPr>
                <w:spacing w:val="-18"/>
                <w:sz w:val="24"/>
              </w:rPr>
              <w:t> </w:t>
            </w:r>
            <w:r>
              <w:rPr>
                <w:sz w:val="24"/>
              </w:rPr>
              <w:t>++,</w:t>
            </w:r>
            <w:r>
              <w:rPr>
                <w:spacing w:val="-23"/>
                <w:sz w:val="24"/>
              </w:rPr>
              <w:t> </w:t>
            </w:r>
            <w:r>
              <w:rPr>
                <w:sz w:val="24"/>
              </w:rPr>
              <w:t>Hígado</w:t>
            </w:r>
            <w:r>
              <w:rPr>
                <w:spacing w:val="-22"/>
                <w:sz w:val="24"/>
              </w:rPr>
              <w:t> </w:t>
            </w:r>
            <w:r>
              <w:rPr>
                <w:sz w:val="24"/>
              </w:rPr>
              <w:t>aumentado</w:t>
            </w:r>
            <w:r>
              <w:rPr>
                <w:spacing w:val="-18"/>
                <w:sz w:val="24"/>
              </w:rPr>
              <w:t> </w:t>
            </w:r>
            <w:r>
              <w:rPr>
                <w:sz w:val="24"/>
              </w:rPr>
              <w:t>de</w:t>
            </w:r>
            <w:r>
              <w:rPr>
                <w:spacing w:val="-22"/>
                <w:sz w:val="24"/>
              </w:rPr>
              <w:t> </w:t>
            </w:r>
            <w:r>
              <w:rPr>
                <w:sz w:val="24"/>
              </w:rPr>
              <w:t>tamaño</w:t>
            </w:r>
            <w:r>
              <w:rPr>
                <w:spacing w:val="-18"/>
                <w:sz w:val="24"/>
              </w:rPr>
              <w:t> </w:t>
            </w:r>
            <w:r>
              <w:rPr>
                <w:sz w:val="24"/>
              </w:rPr>
              <w:t>y</w:t>
            </w:r>
            <w:r>
              <w:rPr>
                <w:spacing w:val="-18"/>
                <w:sz w:val="24"/>
              </w:rPr>
              <w:t> </w:t>
            </w:r>
            <w:r>
              <w:rPr>
                <w:sz w:val="24"/>
              </w:rPr>
              <w:t>moteado y otros órganos aparentemente</w:t>
            </w:r>
            <w:r>
              <w:rPr>
                <w:spacing w:val="-18"/>
                <w:sz w:val="24"/>
              </w:rPr>
              <w:t> </w:t>
            </w:r>
            <w:r>
              <w:rPr>
                <w:sz w:val="24"/>
              </w:rPr>
              <w:t>normales</w:t>
            </w:r>
          </w:p>
        </w:tc>
      </w:tr>
      <w:tr>
        <w:trPr>
          <w:trHeight w:val="298" w:hRule="exact"/>
        </w:trPr>
        <w:tc>
          <w:tcPr>
            <w:tcW w:w="1263" w:type="dxa"/>
          </w:tcPr>
          <w:p>
            <w:pPr>
              <w:pStyle w:val="TableParagraph"/>
              <w:ind w:left="624" w:right="47"/>
              <w:rPr>
                <w:sz w:val="24"/>
              </w:rPr>
            </w:pPr>
            <w:r>
              <w:rPr>
                <w:sz w:val="24"/>
              </w:rPr>
              <w:t>18.</w:t>
            </w:r>
          </w:p>
        </w:tc>
        <w:tc>
          <w:tcPr>
            <w:tcW w:w="7592" w:type="dxa"/>
          </w:tcPr>
          <w:p>
            <w:pPr>
              <w:pStyle w:val="TableParagraph"/>
              <w:ind w:left="100" w:right="108"/>
              <w:rPr>
                <w:sz w:val="24"/>
              </w:rPr>
            </w:pPr>
            <w:r>
              <w:rPr>
                <w:sz w:val="24"/>
              </w:rPr>
              <w:t>normal, órganos internos aparentemente normales</w:t>
            </w:r>
          </w:p>
        </w:tc>
      </w:tr>
      <w:tr>
        <w:trPr>
          <w:trHeight w:val="605" w:hRule="exact"/>
        </w:trPr>
        <w:tc>
          <w:tcPr>
            <w:tcW w:w="1263" w:type="dxa"/>
          </w:tcPr>
          <w:p>
            <w:pPr>
              <w:pStyle w:val="TableParagraph"/>
              <w:spacing w:line="240" w:lineRule="auto"/>
              <w:ind w:left="624" w:right="47"/>
              <w:rPr>
                <w:sz w:val="24"/>
              </w:rPr>
            </w:pPr>
            <w:r>
              <w:rPr>
                <w:sz w:val="24"/>
              </w:rPr>
              <w:t>19.</w:t>
            </w:r>
          </w:p>
        </w:tc>
        <w:tc>
          <w:tcPr>
            <w:tcW w:w="7592" w:type="dxa"/>
          </w:tcPr>
          <w:p>
            <w:pPr>
              <w:pStyle w:val="TableParagraph"/>
              <w:tabs>
                <w:tab w:pos="1231" w:val="left" w:leader="none"/>
                <w:tab w:pos="1963" w:val="left" w:leader="none"/>
                <w:tab w:pos="2553" w:val="left" w:leader="none"/>
                <w:tab w:pos="3789" w:val="left" w:leader="none"/>
                <w:tab w:pos="4441" w:val="left" w:leader="none"/>
                <w:tab w:pos="5534" w:val="left" w:leader="none"/>
                <w:tab w:pos="5860" w:val="left" w:leader="none"/>
                <w:tab w:pos="6603" w:val="left" w:leader="none"/>
              </w:tabs>
              <w:spacing w:line="274" w:lineRule="exact" w:before="6"/>
              <w:ind w:left="100" w:right="108"/>
              <w:rPr>
                <w:sz w:val="24"/>
              </w:rPr>
            </w:pPr>
            <w:r>
              <w:rPr>
                <w:sz w:val="24"/>
              </w:rPr>
              <w:t>delgado,</w:t>
              <w:tab/>
              <w:t>bazo</w:t>
              <w:tab/>
              <w:t>con</w:t>
              <w:tab/>
              <w:t>superficie</w:t>
              <w:tab/>
            </w:r>
            <w:r>
              <w:rPr>
                <w:spacing w:val="-3"/>
                <w:sz w:val="24"/>
              </w:rPr>
              <w:t>muy</w:t>
              <w:tab/>
            </w:r>
            <w:r>
              <w:rPr>
                <w:sz w:val="24"/>
              </w:rPr>
              <w:t>irregular</w:t>
              <w:tab/>
              <w:t>y</w:t>
              <w:tab/>
              <w:t>otros</w:t>
              <w:tab/>
              <w:t>órganos aparentemente</w:t>
            </w:r>
            <w:r>
              <w:rPr>
                <w:spacing w:val="-14"/>
                <w:sz w:val="24"/>
              </w:rPr>
              <w:t> </w:t>
            </w:r>
            <w:r>
              <w:rPr>
                <w:sz w:val="24"/>
              </w:rPr>
              <w:t>normales</w:t>
            </w:r>
          </w:p>
        </w:tc>
      </w:tr>
      <w:tr>
        <w:trPr>
          <w:trHeight w:val="590" w:hRule="exact"/>
        </w:trPr>
        <w:tc>
          <w:tcPr>
            <w:tcW w:w="1263" w:type="dxa"/>
          </w:tcPr>
          <w:p>
            <w:pPr>
              <w:pStyle w:val="TableParagraph"/>
              <w:ind w:left="624" w:right="47"/>
              <w:rPr>
                <w:sz w:val="24"/>
              </w:rPr>
            </w:pPr>
            <w:r>
              <w:rPr>
                <w:sz w:val="24"/>
              </w:rPr>
              <w:t>20.</w:t>
            </w:r>
          </w:p>
        </w:tc>
        <w:tc>
          <w:tcPr>
            <w:tcW w:w="7592" w:type="dxa"/>
          </w:tcPr>
          <w:p>
            <w:pPr>
              <w:pStyle w:val="TableParagraph"/>
              <w:spacing w:line="242" w:lineRule="auto"/>
              <w:ind w:left="100" w:right="108"/>
              <w:rPr>
                <w:sz w:val="24"/>
              </w:rPr>
            </w:pPr>
            <w:r>
              <w:rPr>
                <w:sz w:val="24"/>
              </w:rPr>
              <w:t>normal, bazo y riñón aumentados de tamaño y bazo con superficie irregular, hígado moteado y corazón  con hematoma</w:t>
            </w:r>
          </w:p>
        </w:tc>
      </w:tr>
      <w:tr>
        <w:trPr>
          <w:trHeight w:val="605" w:hRule="exact"/>
        </w:trPr>
        <w:tc>
          <w:tcPr>
            <w:tcW w:w="1263" w:type="dxa"/>
          </w:tcPr>
          <w:p>
            <w:pPr>
              <w:pStyle w:val="TableParagraph"/>
              <w:ind w:left="624" w:right="47"/>
              <w:rPr>
                <w:sz w:val="24"/>
              </w:rPr>
            </w:pPr>
            <w:r>
              <w:rPr>
                <w:sz w:val="24"/>
              </w:rPr>
              <w:t>21.</w:t>
            </w:r>
          </w:p>
        </w:tc>
        <w:tc>
          <w:tcPr>
            <w:tcW w:w="7592" w:type="dxa"/>
          </w:tcPr>
          <w:p>
            <w:pPr>
              <w:pStyle w:val="TableParagraph"/>
              <w:spacing w:line="274" w:lineRule="exact" w:before="1"/>
              <w:ind w:left="100" w:right="108"/>
              <w:rPr>
                <w:sz w:val="24"/>
              </w:rPr>
            </w:pPr>
            <w:r>
              <w:rPr>
                <w:sz w:val="24"/>
              </w:rPr>
              <w:t>normal, bazo con superficie irregular y otros órganos aparentemente normales</w:t>
            </w:r>
          </w:p>
        </w:tc>
      </w:tr>
      <w:tr>
        <w:trPr>
          <w:trHeight w:val="586" w:hRule="exact"/>
        </w:trPr>
        <w:tc>
          <w:tcPr>
            <w:tcW w:w="1263" w:type="dxa"/>
          </w:tcPr>
          <w:p>
            <w:pPr>
              <w:pStyle w:val="TableParagraph"/>
              <w:ind w:left="624" w:right="47"/>
              <w:rPr>
                <w:sz w:val="24"/>
              </w:rPr>
            </w:pPr>
            <w:r>
              <w:rPr>
                <w:sz w:val="24"/>
              </w:rPr>
              <w:t>22.</w:t>
            </w:r>
          </w:p>
        </w:tc>
        <w:tc>
          <w:tcPr>
            <w:tcW w:w="7592" w:type="dxa"/>
          </w:tcPr>
          <w:p>
            <w:pPr>
              <w:pStyle w:val="TableParagraph"/>
              <w:spacing w:line="274" w:lineRule="exact" w:before="1"/>
              <w:ind w:left="100" w:right="108"/>
              <w:rPr>
                <w:sz w:val="24"/>
              </w:rPr>
            </w:pPr>
            <w:r>
              <w:rPr>
                <w:sz w:val="24"/>
              </w:rPr>
              <w:t>delgado, bazo con superficie muy irregular, hígado moteado y otros órganos aparentemente normales</w:t>
            </w:r>
          </w:p>
        </w:tc>
      </w:tr>
      <w:tr>
        <w:trPr>
          <w:trHeight w:val="562" w:hRule="exact"/>
        </w:trPr>
        <w:tc>
          <w:tcPr>
            <w:tcW w:w="1263" w:type="dxa"/>
          </w:tcPr>
          <w:p>
            <w:pPr>
              <w:pStyle w:val="TableParagraph"/>
              <w:ind w:left="624" w:right="47"/>
              <w:rPr>
                <w:sz w:val="24"/>
              </w:rPr>
            </w:pPr>
            <w:r>
              <w:rPr>
                <w:sz w:val="24"/>
              </w:rPr>
              <w:t>23.</w:t>
            </w:r>
          </w:p>
        </w:tc>
        <w:tc>
          <w:tcPr>
            <w:tcW w:w="7592" w:type="dxa"/>
          </w:tcPr>
          <w:p>
            <w:pPr>
              <w:pStyle w:val="TableParagraph"/>
              <w:spacing w:line="242" w:lineRule="auto"/>
              <w:ind w:left="100" w:right="108"/>
              <w:rPr>
                <w:sz w:val="24"/>
              </w:rPr>
            </w:pPr>
            <w:r>
              <w:rPr>
                <w:sz w:val="24"/>
              </w:rPr>
              <w:t>delgado, nódulos en bazo ++ y otros órganos aparentemente normales</w:t>
            </w:r>
          </w:p>
        </w:tc>
      </w:tr>
    </w:tbl>
    <w:p>
      <w:pPr>
        <w:spacing w:after="0" w:line="242" w:lineRule="auto"/>
        <w:rPr>
          <w:sz w:val="24"/>
        </w:rPr>
        <w:sectPr>
          <w:pgSz w:w="12240" w:h="15840"/>
          <w:pgMar w:header="752" w:footer="998" w:top="1000" w:bottom="1180" w:left="1560" w:right="1560"/>
        </w:sectPr>
      </w:pPr>
    </w:p>
    <w:p>
      <w:pPr>
        <w:pStyle w:val="BodyText"/>
        <w:rPr>
          <w:sz w:val="20"/>
        </w:rPr>
      </w:pPr>
    </w:p>
    <w:p>
      <w:pPr>
        <w:pStyle w:val="BodyText"/>
        <w:spacing w:before="5"/>
        <w:rPr>
          <w:sz w:val="15"/>
        </w:rPr>
      </w:pPr>
    </w:p>
    <w:tbl>
      <w:tblPr>
        <w:tblW w:w="0" w:type="auto"/>
        <w:jc w:val="left"/>
        <w:tblInd w:w="1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63"/>
        <w:gridCol w:w="7592"/>
      </w:tblGrid>
      <w:tr>
        <w:trPr>
          <w:trHeight w:val="605" w:hRule="exact"/>
        </w:trPr>
        <w:tc>
          <w:tcPr>
            <w:tcW w:w="1263" w:type="dxa"/>
          </w:tcPr>
          <w:p>
            <w:pPr>
              <w:pStyle w:val="TableParagraph"/>
              <w:ind w:left="0" w:right="290"/>
              <w:jc w:val="right"/>
              <w:rPr>
                <w:sz w:val="24"/>
              </w:rPr>
            </w:pPr>
            <w:r>
              <w:rPr>
                <w:w w:val="95"/>
                <w:sz w:val="24"/>
              </w:rPr>
              <w:t>24.</w:t>
            </w:r>
          </w:p>
        </w:tc>
        <w:tc>
          <w:tcPr>
            <w:tcW w:w="7592" w:type="dxa"/>
          </w:tcPr>
          <w:p>
            <w:pPr>
              <w:pStyle w:val="TableParagraph"/>
              <w:spacing w:line="242" w:lineRule="auto"/>
              <w:ind w:left="100" w:right="108"/>
              <w:rPr>
                <w:sz w:val="24"/>
              </w:rPr>
            </w:pPr>
            <w:r>
              <w:rPr>
                <w:sz w:val="24"/>
              </w:rPr>
              <w:t>delgado, bazo con superficie irregular, hígado moteado y otros órganos aparentemente normales</w:t>
            </w:r>
          </w:p>
        </w:tc>
      </w:tr>
      <w:tr>
        <w:trPr>
          <w:trHeight w:val="591" w:hRule="exact"/>
        </w:trPr>
        <w:tc>
          <w:tcPr>
            <w:tcW w:w="1263" w:type="dxa"/>
          </w:tcPr>
          <w:p>
            <w:pPr>
              <w:pStyle w:val="TableParagraph"/>
              <w:ind w:left="0" w:right="290"/>
              <w:jc w:val="right"/>
              <w:rPr>
                <w:sz w:val="24"/>
              </w:rPr>
            </w:pPr>
            <w:r>
              <w:rPr>
                <w:w w:val="95"/>
                <w:sz w:val="24"/>
              </w:rPr>
              <w:t>25.</w:t>
            </w:r>
          </w:p>
        </w:tc>
        <w:tc>
          <w:tcPr>
            <w:tcW w:w="7592" w:type="dxa"/>
          </w:tcPr>
          <w:p>
            <w:pPr>
              <w:pStyle w:val="TableParagraph"/>
              <w:spacing w:line="242" w:lineRule="auto"/>
              <w:ind w:left="100" w:right="108"/>
              <w:rPr>
                <w:sz w:val="24"/>
              </w:rPr>
            </w:pPr>
            <w:r>
              <w:rPr>
                <w:sz w:val="24"/>
              </w:rPr>
              <w:t>delgado, bazo e hígado aumentado de tamaño y otros órganos internos aparentemente normales.</w:t>
            </w:r>
          </w:p>
        </w:tc>
      </w:tr>
      <w:tr>
        <w:trPr>
          <w:trHeight w:val="600" w:hRule="exact"/>
        </w:trPr>
        <w:tc>
          <w:tcPr>
            <w:tcW w:w="1263" w:type="dxa"/>
          </w:tcPr>
          <w:p>
            <w:pPr>
              <w:pStyle w:val="TableParagraph"/>
              <w:ind w:left="0" w:right="290"/>
              <w:jc w:val="right"/>
              <w:rPr>
                <w:sz w:val="24"/>
              </w:rPr>
            </w:pPr>
            <w:r>
              <w:rPr>
                <w:w w:val="95"/>
                <w:sz w:val="24"/>
              </w:rPr>
              <w:t>26.</w:t>
            </w:r>
          </w:p>
        </w:tc>
        <w:tc>
          <w:tcPr>
            <w:tcW w:w="7592" w:type="dxa"/>
          </w:tcPr>
          <w:p>
            <w:pPr>
              <w:pStyle w:val="TableParagraph"/>
              <w:spacing w:line="274" w:lineRule="exact" w:before="1"/>
              <w:ind w:left="100" w:right="108"/>
              <w:rPr>
                <w:sz w:val="24"/>
              </w:rPr>
            </w:pPr>
            <w:r>
              <w:rPr>
                <w:sz w:val="24"/>
              </w:rPr>
              <w:t>delgado, bazo con superficie irregular, hígado moteado y otros órganos aparentemente normales</w:t>
            </w:r>
          </w:p>
        </w:tc>
      </w:tr>
      <w:tr>
        <w:trPr>
          <w:trHeight w:val="590" w:hRule="exact"/>
        </w:trPr>
        <w:tc>
          <w:tcPr>
            <w:tcW w:w="1263" w:type="dxa"/>
          </w:tcPr>
          <w:p>
            <w:pPr>
              <w:pStyle w:val="TableParagraph"/>
              <w:ind w:left="0" w:right="290"/>
              <w:jc w:val="right"/>
              <w:rPr>
                <w:sz w:val="24"/>
              </w:rPr>
            </w:pPr>
            <w:r>
              <w:rPr>
                <w:w w:val="95"/>
                <w:sz w:val="24"/>
              </w:rPr>
              <w:t>27.</w:t>
            </w:r>
          </w:p>
        </w:tc>
        <w:tc>
          <w:tcPr>
            <w:tcW w:w="7592" w:type="dxa"/>
          </w:tcPr>
          <w:p>
            <w:pPr>
              <w:pStyle w:val="TableParagraph"/>
              <w:spacing w:line="242" w:lineRule="auto"/>
              <w:ind w:left="100" w:right="108"/>
              <w:rPr>
                <w:sz w:val="24"/>
              </w:rPr>
            </w:pPr>
            <w:r>
              <w:rPr>
                <w:sz w:val="24"/>
              </w:rPr>
              <w:t>delgado, nódulos en bazo ++ y riñón +,adherencias, hígado moteado y otros órganos aparentemente normales</w:t>
            </w:r>
          </w:p>
        </w:tc>
      </w:tr>
      <w:tr>
        <w:trPr>
          <w:trHeight w:val="893" w:hRule="exact"/>
        </w:trPr>
        <w:tc>
          <w:tcPr>
            <w:tcW w:w="1263" w:type="dxa"/>
          </w:tcPr>
          <w:p>
            <w:pPr>
              <w:pStyle w:val="TableParagraph"/>
              <w:ind w:left="0" w:right="290"/>
              <w:jc w:val="right"/>
              <w:rPr>
                <w:sz w:val="24"/>
              </w:rPr>
            </w:pPr>
            <w:r>
              <w:rPr>
                <w:w w:val="95"/>
                <w:sz w:val="24"/>
              </w:rPr>
              <w:t>28.</w:t>
            </w:r>
          </w:p>
        </w:tc>
        <w:tc>
          <w:tcPr>
            <w:tcW w:w="7592" w:type="dxa"/>
          </w:tcPr>
          <w:p>
            <w:pPr>
              <w:pStyle w:val="TableParagraph"/>
              <w:spacing w:line="240" w:lineRule="auto"/>
              <w:ind w:left="100" w:right="113"/>
              <w:jc w:val="both"/>
              <w:rPr>
                <w:sz w:val="24"/>
              </w:rPr>
            </w:pPr>
            <w:r>
              <w:rPr>
                <w:sz w:val="24"/>
              </w:rPr>
              <w:t>delgado, nódulo en bazo ocupando un 80% de la superficie, hígado aumentado de tamaño, adherencias y otros órganos aparentemente normales</w:t>
            </w:r>
          </w:p>
        </w:tc>
      </w:tr>
      <w:tr>
        <w:trPr>
          <w:trHeight w:val="893" w:hRule="exact"/>
        </w:trPr>
        <w:tc>
          <w:tcPr>
            <w:tcW w:w="1263" w:type="dxa"/>
          </w:tcPr>
          <w:p>
            <w:pPr>
              <w:pStyle w:val="TableParagraph"/>
              <w:ind w:left="0" w:right="290"/>
              <w:jc w:val="right"/>
              <w:rPr>
                <w:sz w:val="24"/>
              </w:rPr>
            </w:pPr>
            <w:r>
              <w:rPr>
                <w:w w:val="95"/>
                <w:sz w:val="24"/>
              </w:rPr>
              <w:t>29.</w:t>
            </w:r>
          </w:p>
        </w:tc>
        <w:tc>
          <w:tcPr>
            <w:tcW w:w="7592" w:type="dxa"/>
          </w:tcPr>
          <w:p>
            <w:pPr>
              <w:pStyle w:val="TableParagraph"/>
              <w:spacing w:line="274" w:lineRule="exact" w:before="1"/>
              <w:ind w:left="100" w:right="108"/>
              <w:rPr>
                <w:sz w:val="24"/>
              </w:rPr>
            </w:pPr>
            <w:r>
              <w:rPr>
                <w:sz w:val="24"/>
              </w:rPr>
              <w:t>delgado, nódulos en bazo ++, riñón aumentado de tamaño, hígado moteado</w:t>
            </w:r>
          </w:p>
        </w:tc>
      </w:tr>
      <w:tr>
        <w:trPr>
          <w:trHeight w:val="591" w:hRule="exact"/>
        </w:trPr>
        <w:tc>
          <w:tcPr>
            <w:tcW w:w="1263" w:type="dxa"/>
          </w:tcPr>
          <w:p>
            <w:pPr>
              <w:pStyle w:val="TableParagraph"/>
              <w:ind w:left="0" w:right="290"/>
              <w:jc w:val="right"/>
              <w:rPr>
                <w:sz w:val="24"/>
              </w:rPr>
            </w:pPr>
            <w:r>
              <w:rPr>
                <w:w w:val="95"/>
                <w:sz w:val="24"/>
              </w:rPr>
              <w:t>30.</w:t>
            </w:r>
          </w:p>
        </w:tc>
        <w:tc>
          <w:tcPr>
            <w:tcW w:w="7592" w:type="dxa"/>
          </w:tcPr>
          <w:p>
            <w:pPr>
              <w:pStyle w:val="TableParagraph"/>
              <w:spacing w:line="242" w:lineRule="auto"/>
              <w:ind w:left="100" w:right="108"/>
              <w:rPr>
                <w:sz w:val="24"/>
              </w:rPr>
            </w:pPr>
            <w:r>
              <w:rPr>
                <w:sz w:val="24"/>
              </w:rPr>
              <w:t>delgado, nódulo en bazo +++, adherencias, hígado moteado y aumentado de tamaño</w:t>
            </w:r>
          </w:p>
        </w:tc>
      </w:tr>
    </w:tbl>
    <w:p>
      <w:pPr>
        <w:pStyle w:val="BodyText"/>
        <w:spacing w:before="4"/>
        <w:rPr>
          <w:sz w:val="27"/>
        </w:rPr>
      </w:pPr>
    </w:p>
    <w:p>
      <w:pPr>
        <w:pStyle w:val="Heading1"/>
        <w:numPr>
          <w:ilvl w:val="2"/>
          <w:numId w:val="8"/>
        </w:numPr>
        <w:tabs>
          <w:tab w:pos="745" w:val="left" w:leader="none"/>
        </w:tabs>
        <w:spacing w:line="240" w:lineRule="auto" w:before="70" w:after="0"/>
        <w:ind w:left="745" w:right="0" w:hanging="606"/>
        <w:jc w:val="both"/>
        <w:rPr>
          <w:color w:val="365F91"/>
        </w:rPr>
      </w:pPr>
      <w:bookmarkStart w:name="_bookmark56" w:id="98"/>
      <w:bookmarkEnd w:id="98"/>
      <w:r>
        <w:rPr>
          <w:b w:val="0"/>
        </w:rPr>
      </w:r>
      <w:bookmarkStart w:name="_bookmark56" w:id="99"/>
      <w:bookmarkEnd w:id="99"/>
      <w:r>
        <w:rPr>
          <w:color w:val="365F91"/>
        </w:rPr>
        <w:t>Di</w:t>
      </w:r>
      <w:r>
        <w:rPr>
          <w:color w:val="365F91"/>
        </w:rPr>
        <w:t>agnostico</w:t>
      </w:r>
      <w:r>
        <w:rPr>
          <w:color w:val="365F91"/>
          <w:spacing w:val="-14"/>
        </w:rPr>
        <w:t> </w:t>
      </w:r>
      <w:r>
        <w:rPr>
          <w:color w:val="365F91"/>
        </w:rPr>
        <w:t>histopatológico</w:t>
      </w:r>
    </w:p>
    <w:p>
      <w:pPr>
        <w:pStyle w:val="BodyText"/>
        <w:spacing w:line="276" w:lineRule="auto" w:before="45"/>
        <w:ind w:left="139" w:right="133"/>
        <w:jc w:val="both"/>
      </w:pPr>
      <w:r>
        <w:rPr/>
        <w:t>Al análisis histopatológico se pudo constatar la formación de múltiples granulomas de diferente grado de evolución en órganos como bazo, hígado y riñón (Figura 11). En los casos más severos se encontraron áreas extensas de necrosis, predominantemente en hígado; también se observó la presencia de células mononucleares y células tipo macrófagos en la periferia de los granulomas. En algunos casos se observó la presencia de bacterias cocobacilares pleomórficas Gram negativas dentro de los granulomas y zonas de necrosis en el centro de los granulomas (Figura 12).</w:t>
      </w:r>
    </w:p>
    <w:p>
      <w:pPr>
        <w:pStyle w:val="BodyText"/>
        <w:spacing w:before="8"/>
        <w:rPr>
          <w:sz w:val="14"/>
        </w:rPr>
      </w:pPr>
      <w:r>
        <w:rPr/>
        <w:drawing>
          <wp:anchor distT="0" distB="0" distL="0" distR="0" allowOverlap="1" layoutInCell="1" locked="0" behindDoc="0" simplePos="0" relativeHeight="2056">
            <wp:simplePos x="0" y="0"/>
            <wp:positionH relativeFrom="page">
              <wp:posOffset>1078991</wp:posOffset>
            </wp:positionH>
            <wp:positionV relativeFrom="paragraph">
              <wp:posOffset>132411</wp:posOffset>
            </wp:positionV>
            <wp:extent cx="5557344" cy="2501265"/>
            <wp:effectExtent l="0" t="0" r="0" b="0"/>
            <wp:wrapTopAndBottom/>
            <wp:docPr id="29" name="image23.jpeg" descr=""/>
            <wp:cNvGraphicFramePr>
              <a:graphicFrameLocks noChangeAspect="1"/>
            </wp:cNvGraphicFramePr>
            <a:graphic>
              <a:graphicData uri="http://schemas.openxmlformats.org/drawingml/2006/picture">
                <pic:pic>
                  <pic:nvPicPr>
                    <pic:cNvPr id="30" name="image23.jpeg"/>
                    <pic:cNvPicPr/>
                  </pic:nvPicPr>
                  <pic:blipFill>
                    <a:blip r:embed="rId46" cstate="print"/>
                    <a:stretch>
                      <a:fillRect/>
                    </a:stretch>
                  </pic:blipFill>
                  <pic:spPr>
                    <a:xfrm>
                      <a:off x="0" y="0"/>
                      <a:ext cx="5557344" cy="2501265"/>
                    </a:xfrm>
                    <a:prstGeom prst="rect">
                      <a:avLst/>
                    </a:prstGeom>
                  </pic:spPr>
                </pic:pic>
              </a:graphicData>
            </a:graphic>
          </wp:anchor>
        </w:drawing>
      </w:r>
    </w:p>
    <w:p>
      <w:pPr>
        <w:pStyle w:val="BodyText"/>
        <w:spacing w:line="271" w:lineRule="auto" w:before="188"/>
        <w:ind w:left="139" w:right="135"/>
        <w:jc w:val="both"/>
      </w:pPr>
      <w:r>
        <w:rPr/>
        <w:t>Figura 11: Múltiples granulomas en bazo de tilapia (</w:t>
      </w:r>
      <w:r>
        <w:rPr>
          <w:i/>
        </w:rPr>
        <w:t>Oreochromis </w:t>
      </w:r>
      <w:r>
        <w:rPr/>
        <w:t>sp.) asociado a francisellosis tinción de H&amp;E 100x.</w:t>
      </w:r>
    </w:p>
    <w:p>
      <w:pPr>
        <w:spacing w:after="0" w:line="271" w:lineRule="auto"/>
        <w:jc w:val="both"/>
        <w:sectPr>
          <w:pgSz w:w="12240" w:h="15840"/>
          <w:pgMar w:header="752" w:footer="998" w:top="1000" w:bottom="1180" w:left="1560" w:right="1560"/>
        </w:sectPr>
      </w:pPr>
    </w:p>
    <w:p>
      <w:pPr>
        <w:pStyle w:val="BodyText"/>
        <w:rPr>
          <w:sz w:val="20"/>
        </w:rPr>
      </w:pPr>
    </w:p>
    <w:p>
      <w:pPr>
        <w:pStyle w:val="BodyText"/>
        <w:spacing w:before="5"/>
        <w:rPr>
          <w:sz w:val="15"/>
        </w:rPr>
      </w:pPr>
    </w:p>
    <w:p>
      <w:pPr>
        <w:pStyle w:val="BodyText"/>
        <w:ind w:left="139"/>
        <w:rPr>
          <w:sz w:val="20"/>
        </w:rPr>
      </w:pPr>
      <w:r>
        <w:rPr>
          <w:sz w:val="20"/>
        </w:rPr>
        <w:pict>
          <v:group style="width:441.85pt;height:214.6pt;mso-position-horizontal-relative:char;mso-position-vertical-relative:line" coordorigin="0,0" coordsize="8837,4292">
            <v:shape style="position:absolute;left:0;top:0;width:8837;height:4291" type="#_x0000_t75" stroked="false">
              <v:imagedata r:id="rId47" o:title=""/>
            </v:shape>
            <v:shape style="position:absolute;left:5969;top:2398;width:1325;height:856" coordorigin="5969,2398" coordsize="1325,856" path="m6171,2483l6132,2543,7255,3253,7293,3192,6171,2483xm5969,2398l6094,2604,6132,2543,6102,2524,6140,2463,6183,2463,6209,2422,5969,2398xm6140,2463l6102,2524,6132,2543,6171,2483,6140,2463xm6183,2463l6140,2463,6171,2483,6183,2463xe" filled="true" fillcolor="#000000" stroked="false">
              <v:path arrowok="t"/>
              <v:fill type="solid"/>
            </v:shape>
            <v:shape style="position:absolute;left:462;top:222;width:260;height:360" type="#_x0000_t202" filled="false" stroked="false">
              <v:textbox inset="0,0,0,0">
                <w:txbxContent>
                  <w:p>
                    <w:pPr>
                      <w:spacing w:line="360" w:lineRule="exact" w:before="0"/>
                      <w:ind w:left="0" w:right="0" w:firstLine="0"/>
                      <w:jc w:val="left"/>
                      <w:rPr>
                        <w:b/>
                        <w:sz w:val="36"/>
                      </w:rPr>
                    </w:pPr>
                    <w:r>
                      <w:rPr>
                        <w:b/>
                        <w:w w:val="99"/>
                        <w:sz w:val="36"/>
                      </w:rPr>
                      <w:t>A</w:t>
                    </w:r>
                  </w:p>
                </w:txbxContent>
              </v:textbox>
              <w10:wrap type="none"/>
            </v:shape>
            <v:shape style="position:absolute;left:4827;top:193;width:260;height:360" type="#_x0000_t202" filled="false" stroked="false">
              <v:textbox inset="0,0,0,0">
                <w:txbxContent>
                  <w:p>
                    <w:pPr>
                      <w:spacing w:line="360" w:lineRule="exact" w:before="0"/>
                      <w:ind w:left="0" w:right="0" w:firstLine="0"/>
                      <w:jc w:val="left"/>
                      <w:rPr>
                        <w:b/>
                        <w:sz w:val="36"/>
                      </w:rPr>
                    </w:pPr>
                    <w:r>
                      <w:rPr>
                        <w:b/>
                        <w:w w:val="99"/>
                        <w:sz w:val="36"/>
                      </w:rPr>
                      <w:t>B</w:t>
                    </w:r>
                  </w:p>
                </w:txbxContent>
              </v:textbox>
              <w10:wrap type="none"/>
            </v:shape>
            <v:shape style="position:absolute;left:2834;top:718;width:187;height:240" type="#_x0000_t202" filled="false" stroked="false">
              <v:textbox inset="0,0,0,0">
                <w:txbxContent>
                  <w:p>
                    <w:pPr>
                      <w:spacing w:line="240" w:lineRule="exact" w:before="0"/>
                      <w:ind w:left="0" w:right="0" w:firstLine="0"/>
                      <w:jc w:val="left"/>
                      <w:rPr>
                        <w:b/>
                        <w:sz w:val="24"/>
                      </w:rPr>
                    </w:pPr>
                    <w:r>
                      <w:rPr>
                        <w:b/>
                        <w:sz w:val="24"/>
                      </w:rPr>
                      <w:t>G</w:t>
                    </w:r>
                  </w:p>
                </w:txbxContent>
              </v:textbox>
              <w10:wrap type="none"/>
            </v:shape>
            <v:shape style="position:absolute;left:332;top:1693;width:187;height:240" type="#_x0000_t202" filled="false" stroked="false">
              <v:textbox inset="0,0,0,0">
                <w:txbxContent>
                  <w:p>
                    <w:pPr>
                      <w:spacing w:line="240" w:lineRule="exact" w:before="0"/>
                      <w:ind w:left="0" w:right="0" w:firstLine="0"/>
                      <w:jc w:val="left"/>
                      <w:rPr>
                        <w:b/>
                        <w:sz w:val="24"/>
                      </w:rPr>
                    </w:pPr>
                    <w:r>
                      <w:rPr>
                        <w:b/>
                        <w:sz w:val="24"/>
                      </w:rPr>
                      <w:t>G</w:t>
                    </w:r>
                  </w:p>
                </w:txbxContent>
              </v:textbox>
              <w10:wrap type="none"/>
            </v:shape>
            <v:shape style="position:absolute;left:1840;top:2250;width:187;height:240" type="#_x0000_t202" filled="false" stroked="false">
              <v:textbox inset="0,0,0,0">
                <w:txbxContent>
                  <w:p>
                    <w:pPr>
                      <w:spacing w:line="240" w:lineRule="exact" w:before="0"/>
                      <w:ind w:left="0" w:right="0" w:firstLine="0"/>
                      <w:jc w:val="left"/>
                      <w:rPr>
                        <w:b/>
                        <w:sz w:val="24"/>
                      </w:rPr>
                    </w:pPr>
                    <w:r>
                      <w:rPr>
                        <w:b/>
                        <w:sz w:val="24"/>
                      </w:rPr>
                      <w:t>G</w:t>
                    </w:r>
                  </w:p>
                </w:txbxContent>
              </v:textbox>
              <w10:wrap type="none"/>
            </v:shape>
            <v:shape style="position:absolute;left:3448;top:2399;width:187;height:240" type="#_x0000_t202" filled="false" stroked="false">
              <v:textbox inset="0,0,0,0">
                <w:txbxContent>
                  <w:p>
                    <w:pPr>
                      <w:spacing w:line="240" w:lineRule="exact" w:before="0"/>
                      <w:ind w:left="0" w:right="0" w:firstLine="0"/>
                      <w:jc w:val="left"/>
                      <w:rPr>
                        <w:b/>
                        <w:sz w:val="24"/>
                      </w:rPr>
                    </w:pPr>
                    <w:r>
                      <w:rPr>
                        <w:b/>
                        <w:sz w:val="24"/>
                      </w:rPr>
                      <w:t>G</w:t>
                    </w:r>
                  </w:p>
                </w:txbxContent>
              </v:textbox>
              <w10:wrap type="none"/>
            </v:shape>
            <v:shape style="position:absolute;left:7290;top:3180;width:260;height:360" type="#_x0000_t202" filled="false" stroked="false">
              <v:textbox inset="0,0,0,0">
                <w:txbxContent>
                  <w:p>
                    <w:pPr>
                      <w:spacing w:line="360" w:lineRule="exact" w:before="0"/>
                      <w:ind w:left="0" w:right="0" w:firstLine="0"/>
                      <w:jc w:val="left"/>
                      <w:rPr>
                        <w:b/>
                        <w:sz w:val="36"/>
                      </w:rPr>
                    </w:pPr>
                    <w:r>
                      <w:rPr>
                        <w:b/>
                        <w:w w:val="99"/>
                        <w:sz w:val="36"/>
                      </w:rPr>
                      <w:t>N</w:t>
                    </w:r>
                  </w:p>
                </w:txbxContent>
              </v:textbox>
              <w10:wrap type="none"/>
            </v:shape>
          </v:group>
        </w:pict>
      </w:r>
      <w:r>
        <w:rPr>
          <w:sz w:val="20"/>
        </w:rPr>
      </w:r>
    </w:p>
    <w:p>
      <w:pPr>
        <w:pStyle w:val="BodyText"/>
        <w:spacing w:before="3"/>
        <w:rPr>
          <w:sz w:val="11"/>
        </w:rPr>
      </w:pPr>
    </w:p>
    <w:p>
      <w:pPr>
        <w:pStyle w:val="BodyText"/>
        <w:spacing w:before="69"/>
        <w:ind w:left="139"/>
        <w:jc w:val="both"/>
      </w:pPr>
      <w:r>
        <w:rPr/>
        <w:t>Figura 12 A y B: A) Formación de multiples granulomas (G) en Hígado H&amp;E  100x.</w:t>
      </w:r>
    </w:p>
    <w:p>
      <w:pPr>
        <w:pStyle w:val="BodyText"/>
        <w:spacing w:line="271" w:lineRule="auto" w:before="41"/>
        <w:ind w:left="139" w:right="134"/>
        <w:jc w:val="both"/>
      </w:pPr>
      <w:r>
        <w:rPr/>
        <w:t>B)</w:t>
      </w:r>
      <w:r>
        <w:rPr>
          <w:spacing w:val="-10"/>
        </w:rPr>
        <w:t> </w:t>
      </w:r>
      <w:r>
        <w:rPr/>
        <w:t>Granuloma</w:t>
      </w:r>
      <w:r>
        <w:rPr>
          <w:spacing w:val="-9"/>
        </w:rPr>
        <w:t> </w:t>
      </w:r>
      <w:r>
        <w:rPr/>
        <w:t>de</w:t>
      </w:r>
      <w:r>
        <w:rPr>
          <w:spacing w:val="-11"/>
        </w:rPr>
        <w:t> </w:t>
      </w:r>
      <w:r>
        <w:rPr/>
        <w:t>gran</w:t>
      </w:r>
      <w:r>
        <w:rPr>
          <w:spacing w:val="-11"/>
        </w:rPr>
        <w:t> </w:t>
      </w:r>
      <w:r>
        <w:rPr/>
        <w:t>tamaño,</w:t>
      </w:r>
      <w:r>
        <w:rPr>
          <w:spacing w:val="-11"/>
        </w:rPr>
        <w:t> </w:t>
      </w:r>
      <w:r>
        <w:rPr/>
        <w:t>en</w:t>
      </w:r>
      <w:r>
        <w:rPr>
          <w:spacing w:val="-10"/>
        </w:rPr>
        <w:t> </w:t>
      </w:r>
      <w:r>
        <w:rPr/>
        <w:t>su</w:t>
      </w:r>
      <w:r>
        <w:rPr>
          <w:spacing w:val="-16"/>
        </w:rPr>
        <w:t> </w:t>
      </w:r>
      <w:r>
        <w:rPr/>
        <w:t>interior</w:t>
      </w:r>
      <w:r>
        <w:rPr>
          <w:spacing w:val="-10"/>
        </w:rPr>
        <w:t> </w:t>
      </w:r>
      <w:r>
        <w:rPr>
          <w:spacing w:val="-3"/>
        </w:rPr>
        <w:t>se</w:t>
      </w:r>
      <w:r>
        <w:rPr>
          <w:spacing w:val="-11"/>
        </w:rPr>
        <w:t> </w:t>
      </w:r>
      <w:r>
        <w:rPr/>
        <w:t>puede</w:t>
      </w:r>
      <w:r>
        <w:rPr>
          <w:spacing w:val="-15"/>
        </w:rPr>
        <w:t> </w:t>
      </w:r>
      <w:r>
        <w:rPr/>
        <w:t>observar</w:t>
      </w:r>
      <w:r>
        <w:rPr>
          <w:spacing w:val="-15"/>
        </w:rPr>
        <w:t> </w:t>
      </w:r>
      <w:r>
        <w:rPr/>
        <w:t>la</w:t>
      </w:r>
      <w:r>
        <w:rPr>
          <w:spacing w:val="-15"/>
        </w:rPr>
        <w:t> </w:t>
      </w:r>
      <w:r>
        <w:rPr/>
        <w:t>presencia</w:t>
      </w:r>
      <w:r>
        <w:rPr>
          <w:spacing w:val="-11"/>
        </w:rPr>
        <w:t> </w:t>
      </w:r>
      <w:r>
        <w:rPr/>
        <w:t>de</w:t>
      </w:r>
      <w:r>
        <w:rPr>
          <w:spacing w:val="-8"/>
        </w:rPr>
        <w:t> </w:t>
      </w:r>
      <w:r>
        <w:rPr/>
        <w:t>una extensa área de necrosis tinción de H&amp;E</w:t>
      </w:r>
      <w:r>
        <w:rPr>
          <w:spacing w:val="-22"/>
        </w:rPr>
        <w:t> </w:t>
      </w:r>
      <w:r>
        <w:rPr/>
        <w:t>400x.</w:t>
      </w:r>
    </w:p>
    <w:p>
      <w:pPr>
        <w:pStyle w:val="Heading1"/>
        <w:numPr>
          <w:ilvl w:val="2"/>
          <w:numId w:val="8"/>
        </w:numPr>
        <w:tabs>
          <w:tab w:pos="745" w:val="left" w:leader="none"/>
        </w:tabs>
        <w:spacing w:line="240" w:lineRule="auto" w:before="207" w:after="0"/>
        <w:ind w:left="745" w:right="0" w:hanging="606"/>
        <w:jc w:val="both"/>
        <w:rPr>
          <w:color w:val="365F91"/>
        </w:rPr>
      </w:pPr>
      <w:bookmarkStart w:name="_bookmark57" w:id="100"/>
      <w:bookmarkEnd w:id="100"/>
      <w:r>
        <w:rPr>
          <w:b w:val="0"/>
        </w:rPr>
      </w:r>
      <w:bookmarkStart w:name="_bookmark57" w:id="101"/>
      <w:bookmarkEnd w:id="101"/>
      <w:r>
        <w:rPr>
          <w:color w:val="365F91"/>
        </w:rPr>
        <w:t>P</w:t>
      </w:r>
      <w:r>
        <w:rPr>
          <w:color w:val="365F91"/>
        </w:rPr>
        <w:t>CR Punto</w:t>
      </w:r>
      <w:r>
        <w:rPr>
          <w:color w:val="365F91"/>
          <w:spacing w:val="-11"/>
        </w:rPr>
        <w:t> </w:t>
      </w:r>
      <w:r>
        <w:rPr>
          <w:color w:val="365F91"/>
        </w:rPr>
        <w:t>final</w:t>
      </w:r>
    </w:p>
    <w:p>
      <w:pPr>
        <w:pStyle w:val="BodyText"/>
        <w:spacing w:line="276" w:lineRule="auto" w:before="46"/>
        <w:ind w:left="139" w:right="140"/>
        <w:jc w:val="both"/>
      </w:pPr>
      <w:r>
        <w:rPr/>
        <w:t>De las muestras analizadas por medio de la técnica de PCR Punto final </w:t>
      </w:r>
      <w:r>
        <w:rPr>
          <w:spacing w:val="-3"/>
        </w:rPr>
        <w:t>se </w:t>
      </w:r>
      <w:r>
        <w:rPr/>
        <w:t>obtuvieron productos de amplificación de 1131 pb que corresponden a las amplificaciones esperadas para el gen 16s específico de </w:t>
      </w:r>
      <w:r>
        <w:rPr>
          <w:i/>
        </w:rPr>
        <w:t>Francisella </w:t>
      </w:r>
      <w:r>
        <w:rPr/>
        <w:t>sp. utilizando los</w:t>
      </w:r>
      <w:r>
        <w:rPr>
          <w:spacing w:val="-7"/>
        </w:rPr>
        <w:t> </w:t>
      </w:r>
      <w:r>
        <w:rPr/>
        <w:t>iniciadores</w:t>
      </w:r>
      <w:r>
        <w:rPr>
          <w:spacing w:val="-2"/>
        </w:rPr>
        <w:t> </w:t>
      </w:r>
      <w:r>
        <w:rPr/>
        <w:t>F5</w:t>
      </w:r>
      <w:r>
        <w:rPr>
          <w:spacing w:val="-3"/>
        </w:rPr>
        <w:t> </w:t>
      </w:r>
      <w:r>
        <w:rPr/>
        <w:t>y</w:t>
      </w:r>
      <w:r>
        <w:rPr>
          <w:spacing w:val="-8"/>
        </w:rPr>
        <w:t> </w:t>
      </w:r>
      <w:r>
        <w:rPr/>
        <w:t>F11,</w:t>
      </w:r>
      <w:r>
        <w:rPr>
          <w:spacing w:val="-7"/>
        </w:rPr>
        <w:t> </w:t>
      </w:r>
      <w:r>
        <w:rPr/>
        <w:t>obteniéndo</w:t>
      </w:r>
      <w:r>
        <w:rPr>
          <w:spacing w:val="-7"/>
        </w:rPr>
        <w:t> </w:t>
      </w:r>
      <w:r>
        <w:rPr/>
        <w:t>un</w:t>
      </w:r>
      <w:r>
        <w:rPr>
          <w:spacing w:val="-7"/>
        </w:rPr>
        <w:t> </w:t>
      </w:r>
      <w:r>
        <w:rPr/>
        <w:t>total</w:t>
      </w:r>
      <w:r>
        <w:rPr>
          <w:spacing w:val="-3"/>
        </w:rPr>
        <w:t> </w:t>
      </w:r>
      <w:r>
        <w:rPr/>
        <w:t>de</w:t>
      </w:r>
      <w:r>
        <w:rPr>
          <w:spacing w:val="-3"/>
        </w:rPr>
        <w:t> </w:t>
      </w:r>
      <w:r>
        <w:rPr/>
        <w:t>25</w:t>
      </w:r>
      <w:r>
        <w:rPr>
          <w:spacing w:val="-3"/>
        </w:rPr>
        <w:t> </w:t>
      </w:r>
      <w:r>
        <w:rPr/>
        <w:t>muestras</w:t>
      </w:r>
      <w:r>
        <w:rPr>
          <w:spacing w:val="-8"/>
        </w:rPr>
        <w:t> </w:t>
      </w:r>
      <w:r>
        <w:rPr/>
        <w:t>positivas</w:t>
      </w:r>
      <w:r>
        <w:rPr>
          <w:spacing w:val="-3"/>
        </w:rPr>
        <w:t> </w:t>
      </w:r>
      <w:r>
        <w:rPr/>
        <w:t>a</w:t>
      </w:r>
      <w:r>
        <w:rPr>
          <w:spacing w:val="1"/>
        </w:rPr>
        <w:t> </w:t>
      </w:r>
      <w:r>
        <w:rPr>
          <w:i/>
        </w:rPr>
        <w:t>Francisella </w:t>
      </w:r>
      <w:r>
        <w:rPr/>
        <w:t>(Tabla 4 y Figura</w:t>
      </w:r>
      <w:r>
        <w:rPr>
          <w:spacing w:val="-2"/>
        </w:rPr>
        <w:t> </w:t>
      </w:r>
      <w:r>
        <w:rPr/>
        <w:t>13).</w:t>
      </w:r>
    </w:p>
    <w:p>
      <w:pPr>
        <w:pStyle w:val="BodyText"/>
        <w:spacing w:line="271" w:lineRule="auto" w:before="207"/>
        <w:ind w:left="139" w:right="135"/>
        <w:jc w:val="both"/>
      </w:pPr>
      <w:r>
        <w:rPr/>
        <w:t>Tabla 4: Número de muestra y resultado positivo o negativo por muestra para la técnica de PCR Punto final.</w:t>
      </w:r>
    </w:p>
    <w:p>
      <w:pPr>
        <w:pStyle w:val="BodyText"/>
        <w:spacing w:before="9"/>
        <w:rPr>
          <w:sz w:val="18"/>
        </w:rPr>
      </w:pPr>
    </w:p>
    <w:tbl>
      <w:tblPr>
        <w:tblW w:w="0" w:type="auto"/>
        <w:jc w:val="left"/>
        <w:tblInd w:w="1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75"/>
        <w:gridCol w:w="1469"/>
        <w:gridCol w:w="1469"/>
        <w:gridCol w:w="1474"/>
        <w:gridCol w:w="1475"/>
        <w:gridCol w:w="1469"/>
      </w:tblGrid>
      <w:tr>
        <w:trPr>
          <w:trHeight w:val="562" w:hRule="exact"/>
        </w:trPr>
        <w:tc>
          <w:tcPr>
            <w:tcW w:w="1475" w:type="dxa"/>
          </w:tcPr>
          <w:p>
            <w:pPr>
              <w:pStyle w:val="TableParagraph"/>
              <w:spacing w:line="274" w:lineRule="exact" w:before="1"/>
              <w:ind w:left="106"/>
              <w:rPr>
                <w:sz w:val="24"/>
              </w:rPr>
            </w:pPr>
            <w:r>
              <w:rPr>
                <w:sz w:val="24"/>
              </w:rPr>
              <w:t>Número de muestra</w:t>
            </w:r>
          </w:p>
        </w:tc>
        <w:tc>
          <w:tcPr>
            <w:tcW w:w="1469" w:type="dxa"/>
          </w:tcPr>
          <w:p>
            <w:pPr>
              <w:pStyle w:val="TableParagraph"/>
              <w:ind w:left="100"/>
              <w:rPr>
                <w:sz w:val="24"/>
              </w:rPr>
            </w:pPr>
            <w:r>
              <w:rPr>
                <w:sz w:val="24"/>
              </w:rPr>
              <w:t>Resultado</w:t>
            </w:r>
          </w:p>
        </w:tc>
        <w:tc>
          <w:tcPr>
            <w:tcW w:w="1469" w:type="dxa"/>
          </w:tcPr>
          <w:p>
            <w:pPr>
              <w:pStyle w:val="TableParagraph"/>
              <w:spacing w:line="274" w:lineRule="exact" w:before="1"/>
              <w:rPr>
                <w:sz w:val="24"/>
              </w:rPr>
            </w:pPr>
            <w:r>
              <w:rPr>
                <w:sz w:val="24"/>
              </w:rPr>
              <w:t>Número de muestra</w:t>
            </w:r>
          </w:p>
        </w:tc>
        <w:tc>
          <w:tcPr>
            <w:tcW w:w="1474" w:type="dxa"/>
          </w:tcPr>
          <w:p>
            <w:pPr>
              <w:pStyle w:val="TableParagraph"/>
              <w:rPr>
                <w:sz w:val="24"/>
              </w:rPr>
            </w:pPr>
            <w:r>
              <w:rPr>
                <w:sz w:val="24"/>
              </w:rPr>
              <w:t>Resultado</w:t>
            </w:r>
          </w:p>
        </w:tc>
        <w:tc>
          <w:tcPr>
            <w:tcW w:w="1475" w:type="dxa"/>
          </w:tcPr>
          <w:p>
            <w:pPr>
              <w:pStyle w:val="TableParagraph"/>
              <w:spacing w:line="274" w:lineRule="exact" w:before="1"/>
              <w:ind w:left="106"/>
              <w:rPr>
                <w:sz w:val="24"/>
              </w:rPr>
            </w:pPr>
            <w:r>
              <w:rPr>
                <w:sz w:val="24"/>
              </w:rPr>
              <w:t>Número de muestra</w:t>
            </w:r>
          </w:p>
        </w:tc>
        <w:tc>
          <w:tcPr>
            <w:tcW w:w="1469" w:type="dxa"/>
          </w:tcPr>
          <w:p>
            <w:pPr>
              <w:pStyle w:val="TableParagraph"/>
              <w:ind w:left="100"/>
              <w:rPr>
                <w:sz w:val="24"/>
              </w:rPr>
            </w:pPr>
            <w:r>
              <w:rPr>
                <w:sz w:val="24"/>
              </w:rPr>
              <w:t>Resultado</w:t>
            </w:r>
          </w:p>
        </w:tc>
      </w:tr>
      <w:tr>
        <w:trPr>
          <w:trHeight w:val="284" w:hRule="exact"/>
        </w:trPr>
        <w:tc>
          <w:tcPr>
            <w:tcW w:w="1475" w:type="dxa"/>
          </w:tcPr>
          <w:p>
            <w:pPr>
              <w:pStyle w:val="TableParagraph"/>
              <w:ind w:left="106"/>
              <w:rPr>
                <w:sz w:val="24"/>
              </w:rPr>
            </w:pPr>
            <w:r>
              <w:rPr>
                <w:w w:val="99"/>
                <w:sz w:val="24"/>
              </w:rPr>
              <w:t>1</w:t>
            </w:r>
          </w:p>
        </w:tc>
        <w:tc>
          <w:tcPr>
            <w:tcW w:w="1469" w:type="dxa"/>
          </w:tcPr>
          <w:p>
            <w:pPr>
              <w:pStyle w:val="TableParagraph"/>
              <w:ind w:left="100"/>
              <w:rPr>
                <w:sz w:val="24"/>
              </w:rPr>
            </w:pPr>
            <w:r>
              <w:rPr>
                <w:w w:val="100"/>
                <w:sz w:val="24"/>
              </w:rPr>
              <w:t>+</w:t>
            </w:r>
          </w:p>
        </w:tc>
        <w:tc>
          <w:tcPr>
            <w:tcW w:w="1469" w:type="dxa"/>
          </w:tcPr>
          <w:p>
            <w:pPr>
              <w:pStyle w:val="TableParagraph"/>
              <w:rPr>
                <w:sz w:val="24"/>
              </w:rPr>
            </w:pPr>
            <w:r>
              <w:rPr>
                <w:sz w:val="24"/>
              </w:rPr>
              <w:t>11</w:t>
            </w:r>
          </w:p>
        </w:tc>
        <w:tc>
          <w:tcPr>
            <w:tcW w:w="1474" w:type="dxa"/>
          </w:tcPr>
          <w:p>
            <w:pPr>
              <w:pStyle w:val="TableParagraph"/>
              <w:rPr>
                <w:sz w:val="24"/>
              </w:rPr>
            </w:pPr>
            <w:r>
              <w:rPr>
                <w:w w:val="100"/>
                <w:sz w:val="24"/>
              </w:rPr>
              <w:t>+</w:t>
            </w:r>
          </w:p>
        </w:tc>
        <w:tc>
          <w:tcPr>
            <w:tcW w:w="1475" w:type="dxa"/>
          </w:tcPr>
          <w:p>
            <w:pPr>
              <w:pStyle w:val="TableParagraph"/>
              <w:ind w:left="106"/>
              <w:rPr>
                <w:sz w:val="24"/>
              </w:rPr>
            </w:pPr>
            <w:r>
              <w:rPr>
                <w:sz w:val="24"/>
              </w:rPr>
              <w:t>21</w:t>
            </w:r>
          </w:p>
        </w:tc>
        <w:tc>
          <w:tcPr>
            <w:tcW w:w="1469" w:type="dxa"/>
          </w:tcPr>
          <w:p>
            <w:pPr>
              <w:pStyle w:val="TableParagraph"/>
              <w:ind w:left="100"/>
              <w:rPr>
                <w:sz w:val="24"/>
              </w:rPr>
            </w:pPr>
            <w:r>
              <w:rPr>
                <w:w w:val="100"/>
                <w:sz w:val="24"/>
              </w:rPr>
              <w:t>+</w:t>
            </w:r>
          </w:p>
        </w:tc>
      </w:tr>
      <w:tr>
        <w:trPr>
          <w:trHeight w:val="288" w:hRule="exact"/>
        </w:trPr>
        <w:tc>
          <w:tcPr>
            <w:tcW w:w="1475" w:type="dxa"/>
          </w:tcPr>
          <w:p>
            <w:pPr>
              <w:pStyle w:val="TableParagraph"/>
              <w:ind w:left="106"/>
              <w:rPr>
                <w:sz w:val="24"/>
              </w:rPr>
            </w:pPr>
            <w:r>
              <w:rPr>
                <w:w w:val="99"/>
                <w:sz w:val="24"/>
              </w:rPr>
              <w:t>2</w:t>
            </w:r>
          </w:p>
        </w:tc>
        <w:tc>
          <w:tcPr>
            <w:tcW w:w="1469" w:type="dxa"/>
          </w:tcPr>
          <w:p>
            <w:pPr>
              <w:pStyle w:val="TableParagraph"/>
              <w:ind w:left="100"/>
              <w:rPr>
                <w:sz w:val="24"/>
              </w:rPr>
            </w:pPr>
            <w:r>
              <w:rPr>
                <w:w w:val="100"/>
                <w:sz w:val="24"/>
              </w:rPr>
              <w:t>+</w:t>
            </w:r>
          </w:p>
        </w:tc>
        <w:tc>
          <w:tcPr>
            <w:tcW w:w="1469" w:type="dxa"/>
          </w:tcPr>
          <w:p>
            <w:pPr>
              <w:pStyle w:val="TableParagraph"/>
              <w:rPr>
                <w:sz w:val="24"/>
              </w:rPr>
            </w:pPr>
            <w:r>
              <w:rPr>
                <w:sz w:val="24"/>
              </w:rPr>
              <w:t>12</w:t>
            </w:r>
          </w:p>
        </w:tc>
        <w:tc>
          <w:tcPr>
            <w:tcW w:w="1474" w:type="dxa"/>
          </w:tcPr>
          <w:p>
            <w:pPr>
              <w:pStyle w:val="TableParagraph"/>
              <w:rPr>
                <w:sz w:val="24"/>
              </w:rPr>
            </w:pPr>
            <w:r>
              <w:rPr>
                <w:w w:val="100"/>
                <w:sz w:val="24"/>
              </w:rPr>
              <w:t>+</w:t>
            </w:r>
          </w:p>
        </w:tc>
        <w:tc>
          <w:tcPr>
            <w:tcW w:w="1475" w:type="dxa"/>
          </w:tcPr>
          <w:p>
            <w:pPr>
              <w:pStyle w:val="TableParagraph"/>
              <w:ind w:left="106"/>
              <w:rPr>
                <w:sz w:val="24"/>
              </w:rPr>
            </w:pPr>
            <w:r>
              <w:rPr>
                <w:sz w:val="24"/>
              </w:rPr>
              <w:t>22</w:t>
            </w:r>
          </w:p>
        </w:tc>
        <w:tc>
          <w:tcPr>
            <w:tcW w:w="1469" w:type="dxa"/>
          </w:tcPr>
          <w:p>
            <w:pPr>
              <w:pStyle w:val="TableParagraph"/>
              <w:ind w:left="100"/>
              <w:rPr>
                <w:sz w:val="24"/>
              </w:rPr>
            </w:pPr>
            <w:r>
              <w:rPr>
                <w:w w:val="100"/>
                <w:sz w:val="24"/>
              </w:rPr>
              <w:t>+</w:t>
            </w:r>
          </w:p>
        </w:tc>
      </w:tr>
      <w:tr>
        <w:trPr>
          <w:trHeight w:val="283" w:hRule="exact"/>
        </w:trPr>
        <w:tc>
          <w:tcPr>
            <w:tcW w:w="1475" w:type="dxa"/>
          </w:tcPr>
          <w:p>
            <w:pPr>
              <w:pStyle w:val="TableParagraph"/>
              <w:ind w:left="106"/>
              <w:rPr>
                <w:sz w:val="24"/>
              </w:rPr>
            </w:pPr>
            <w:r>
              <w:rPr>
                <w:w w:val="99"/>
                <w:sz w:val="24"/>
              </w:rPr>
              <w:t>3</w:t>
            </w:r>
          </w:p>
        </w:tc>
        <w:tc>
          <w:tcPr>
            <w:tcW w:w="1469" w:type="dxa"/>
          </w:tcPr>
          <w:p>
            <w:pPr>
              <w:pStyle w:val="TableParagraph"/>
              <w:ind w:left="100"/>
              <w:rPr>
                <w:sz w:val="24"/>
              </w:rPr>
            </w:pPr>
            <w:r>
              <w:rPr>
                <w:w w:val="100"/>
                <w:sz w:val="24"/>
              </w:rPr>
              <w:t>+</w:t>
            </w:r>
          </w:p>
        </w:tc>
        <w:tc>
          <w:tcPr>
            <w:tcW w:w="1469" w:type="dxa"/>
          </w:tcPr>
          <w:p>
            <w:pPr>
              <w:pStyle w:val="TableParagraph"/>
              <w:rPr>
                <w:sz w:val="24"/>
              </w:rPr>
            </w:pPr>
            <w:r>
              <w:rPr>
                <w:sz w:val="24"/>
              </w:rPr>
              <w:t>13</w:t>
            </w:r>
          </w:p>
        </w:tc>
        <w:tc>
          <w:tcPr>
            <w:tcW w:w="1474" w:type="dxa"/>
          </w:tcPr>
          <w:p>
            <w:pPr>
              <w:pStyle w:val="TableParagraph"/>
              <w:rPr>
                <w:sz w:val="24"/>
              </w:rPr>
            </w:pPr>
            <w:r>
              <w:rPr>
                <w:w w:val="100"/>
                <w:sz w:val="24"/>
              </w:rPr>
              <w:t>+</w:t>
            </w:r>
          </w:p>
        </w:tc>
        <w:tc>
          <w:tcPr>
            <w:tcW w:w="1475" w:type="dxa"/>
          </w:tcPr>
          <w:p>
            <w:pPr>
              <w:pStyle w:val="TableParagraph"/>
              <w:ind w:left="106"/>
              <w:rPr>
                <w:sz w:val="24"/>
              </w:rPr>
            </w:pPr>
            <w:r>
              <w:rPr>
                <w:sz w:val="24"/>
              </w:rPr>
              <w:t>23</w:t>
            </w:r>
          </w:p>
        </w:tc>
        <w:tc>
          <w:tcPr>
            <w:tcW w:w="1469" w:type="dxa"/>
          </w:tcPr>
          <w:p>
            <w:pPr>
              <w:pStyle w:val="TableParagraph"/>
              <w:ind w:left="100"/>
              <w:rPr>
                <w:sz w:val="24"/>
              </w:rPr>
            </w:pPr>
            <w:r>
              <w:rPr>
                <w:w w:val="100"/>
                <w:sz w:val="24"/>
              </w:rPr>
              <w:t>+</w:t>
            </w:r>
          </w:p>
        </w:tc>
      </w:tr>
      <w:tr>
        <w:trPr>
          <w:trHeight w:val="288" w:hRule="exact"/>
        </w:trPr>
        <w:tc>
          <w:tcPr>
            <w:tcW w:w="1475" w:type="dxa"/>
          </w:tcPr>
          <w:p>
            <w:pPr>
              <w:pStyle w:val="TableParagraph"/>
              <w:ind w:left="106"/>
              <w:rPr>
                <w:sz w:val="24"/>
              </w:rPr>
            </w:pPr>
            <w:r>
              <w:rPr>
                <w:w w:val="99"/>
                <w:sz w:val="24"/>
              </w:rPr>
              <w:t>4</w:t>
            </w:r>
          </w:p>
        </w:tc>
        <w:tc>
          <w:tcPr>
            <w:tcW w:w="1469" w:type="dxa"/>
          </w:tcPr>
          <w:p>
            <w:pPr>
              <w:pStyle w:val="TableParagraph"/>
              <w:ind w:left="100"/>
              <w:rPr>
                <w:sz w:val="24"/>
              </w:rPr>
            </w:pPr>
            <w:r>
              <w:rPr>
                <w:w w:val="100"/>
                <w:sz w:val="24"/>
              </w:rPr>
              <w:t>+</w:t>
            </w:r>
          </w:p>
        </w:tc>
        <w:tc>
          <w:tcPr>
            <w:tcW w:w="1469" w:type="dxa"/>
          </w:tcPr>
          <w:p>
            <w:pPr>
              <w:pStyle w:val="TableParagraph"/>
              <w:rPr>
                <w:sz w:val="24"/>
              </w:rPr>
            </w:pPr>
            <w:r>
              <w:rPr>
                <w:sz w:val="24"/>
              </w:rPr>
              <w:t>14</w:t>
            </w:r>
          </w:p>
        </w:tc>
        <w:tc>
          <w:tcPr>
            <w:tcW w:w="1474" w:type="dxa"/>
          </w:tcPr>
          <w:p>
            <w:pPr>
              <w:pStyle w:val="TableParagraph"/>
              <w:rPr>
                <w:sz w:val="24"/>
              </w:rPr>
            </w:pPr>
            <w:r>
              <w:rPr>
                <w:w w:val="100"/>
                <w:sz w:val="24"/>
              </w:rPr>
              <w:t>+</w:t>
            </w:r>
          </w:p>
        </w:tc>
        <w:tc>
          <w:tcPr>
            <w:tcW w:w="1475" w:type="dxa"/>
          </w:tcPr>
          <w:p>
            <w:pPr>
              <w:pStyle w:val="TableParagraph"/>
              <w:ind w:left="106"/>
              <w:rPr>
                <w:sz w:val="24"/>
              </w:rPr>
            </w:pPr>
            <w:r>
              <w:rPr>
                <w:sz w:val="24"/>
              </w:rPr>
              <w:t>24</w:t>
            </w:r>
          </w:p>
        </w:tc>
        <w:tc>
          <w:tcPr>
            <w:tcW w:w="1469" w:type="dxa"/>
          </w:tcPr>
          <w:p>
            <w:pPr>
              <w:pStyle w:val="TableParagraph"/>
              <w:ind w:left="100"/>
              <w:rPr>
                <w:sz w:val="24"/>
              </w:rPr>
            </w:pPr>
            <w:r>
              <w:rPr>
                <w:w w:val="99"/>
                <w:sz w:val="24"/>
              </w:rPr>
              <w:t>-</w:t>
            </w:r>
          </w:p>
        </w:tc>
      </w:tr>
      <w:tr>
        <w:trPr>
          <w:trHeight w:val="288" w:hRule="exact"/>
        </w:trPr>
        <w:tc>
          <w:tcPr>
            <w:tcW w:w="1475" w:type="dxa"/>
          </w:tcPr>
          <w:p>
            <w:pPr>
              <w:pStyle w:val="TableParagraph"/>
              <w:ind w:left="106"/>
              <w:rPr>
                <w:sz w:val="24"/>
              </w:rPr>
            </w:pPr>
            <w:r>
              <w:rPr>
                <w:w w:val="99"/>
                <w:sz w:val="24"/>
              </w:rPr>
              <w:t>5</w:t>
            </w:r>
          </w:p>
        </w:tc>
        <w:tc>
          <w:tcPr>
            <w:tcW w:w="1469" w:type="dxa"/>
          </w:tcPr>
          <w:p>
            <w:pPr>
              <w:pStyle w:val="TableParagraph"/>
              <w:ind w:left="100"/>
              <w:rPr>
                <w:sz w:val="24"/>
              </w:rPr>
            </w:pPr>
            <w:r>
              <w:rPr>
                <w:w w:val="100"/>
                <w:sz w:val="24"/>
              </w:rPr>
              <w:t>+</w:t>
            </w:r>
          </w:p>
        </w:tc>
        <w:tc>
          <w:tcPr>
            <w:tcW w:w="1469" w:type="dxa"/>
          </w:tcPr>
          <w:p>
            <w:pPr>
              <w:pStyle w:val="TableParagraph"/>
              <w:rPr>
                <w:sz w:val="24"/>
              </w:rPr>
            </w:pPr>
            <w:r>
              <w:rPr>
                <w:sz w:val="24"/>
              </w:rPr>
              <w:t>15</w:t>
            </w:r>
          </w:p>
        </w:tc>
        <w:tc>
          <w:tcPr>
            <w:tcW w:w="1474" w:type="dxa"/>
          </w:tcPr>
          <w:p>
            <w:pPr>
              <w:pStyle w:val="TableParagraph"/>
              <w:rPr>
                <w:sz w:val="24"/>
              </w:rPr>
            </w:pPr>
            <w:r>
              <w:rPr>
                <w:w w:val="100"/>
                <w:sz w:val="24"/>
              </w:rPr>
              <w:t>+</w:t>
            </w:r>
          </w:p>
        </w:tc>
        <w:tc>
          <w:tcPr>
            <w:tcW w:w="1475" w:type="dxa"/>
          </w:tcPr>
          <w:p>
            <w:pPr>
              <w:pStyle w:val="TableParagraph"/>
              <w:ind w:left="106"/>
              <w:rPr>
                <w:sz w:val="24"/>
              </w:rPr>
            </w:pPr>
            <w:r>
              <w:rPr>
                <w:sz w:val="24"/>
              </w:rPr>
              <w:t>25</w:t>
            </w:r>
          </w:p>
        </w:tc>
        <w:tc>
          <w:tcPr>
            <w:tcW w:w="1469" w:type="dxa"/>
          </w:tcPr>
          <w:p>
            <w:pPr>
              <w:pStyle w:val="TableParagraph"/>
              <w:ind w:left="100"/>
              <w:rPr>
                <w:sz w:val="24"/>
              </w:rPr>
            </w:pPr>
            <w:r>
              <w:rPr>
                <w:w w:val="99"/>
                <w:sz w:val="24"/>
              </w:rPr>
              <w:t>-</w:t>
            </w:r>
          </w:p>
        </w:tc>
      </w:tr>
      <w:tr>
        <w:trPr>
          <w:trHeight w:val="283" w:hRule="exact"/>
        </w:trPr>
        <w:tc>
          <w:tcPr>
            <w:tcW w:w="1475" w:type="dxa"/>
          </w:tcPr>
          <w:p>
            <w:pPr>
              <w:pStyle w:val="TableParagraph"/>
              <w:ind w:left="106"/>
              <w:rPr>
                <w:sz w:val="24"/>
              </w:rPr>
            </w:pPr>
            <w:r>
              <w:rPr>
                <w:w w:val="99"/>
                <w:sz w:val="24"/>
              </w:rPr>
              <w:t>6</w:t>
            </w:r>
          </w:p>
        </w:tc>
        <w:tc>
          <w:tcPr>
            <w:tcW w:w="1469" w:type="dxa"/>
          </w:tcPr>
          <w:p>
            <w:pPr>
              <w:pStyle w:val="TableParagraph"/>
              <w:ind w:left="100"/>
              <w:rPr>
                <w:sz w:val="24"/>
              </w:rPr>
            </w:pPr>
            <w:r>
              <w:rPr>
                <w:w w:val="100"/>
                <w:sz w:val="24"/>
              </w:rPr>
              <w:t>+</w:t>
            </w:r>
          </w:p>
        </w:tc>
        <w:tc>
          <w:tcPr>
            <w:tcW w:w="1469" w:type="dxa"/>
          </w:tcPr>
          <w:p>
            <w:pPr>
              <w:pStyle w:val="TableParagraph"/>
              <w:rPr>
                <w:sz w:val="24"/>
              </w:rPr>
            </w:pPr>
            <w:r>
              <w:rPr>
                <w:sz w:val="24"/>
              </w:rPr>
              <w:t>16</w:t>
            </w:r>
          </w:p>
        </w:tc>
        <w:tc>
          <w:tcPr>
            <w:tcW w:w="1474" w:type="dxa"/>
          </w:tcPr>
          <w:p>
            <w:pPr>
              <w:pStyle w:val="TableParagraph"/>
              <w:rPr>
                <w:sz w:val="24"/>
              </w:rPr>
            </w:pPr>
            <w:r>
              <w:rPr>
                <w:w w:val="100"/>
                <w:sz w:val="24"/>
              </w:rPr>
              <w:t>+</w:t>
            </w:r>
          </w:p>
        </w:tc>
        <w:tc>
          <w:tcPr>
            <w:tcW w:w="1475" w:type="dxa"/>
          </w:tcPr>
          <w:p>
            <w:pPr>
              <w:pStyle w:val="TableParagraph"/>
              <w:ind w:left="106"/>
              <w:rPr>
                <w:sz w:val="24"/>
              </w:rPr>
            </w:pPr>
            <w:r>
              <w:rPr>
                <w:sz w:val="24"/>
              </w:rPr>
              <w:t>26</w:t>
            </w:r>
          </w:p>
        </w:tc>
        <w:tc>
          <w:tcPr>
            <w:tcW w:w="1469" w:type="dxa"/>
          </w:tcPr>
          <w:p>
            <w:pPr>
              <w:pStyle w:val="TableParagraph"/>
              <w:ind w:left="100"/>
              <w:rPr>
                <w:sz w:val="24"/>
              </w:rPr>
            </w:pPr>
            <w:r>
              <w:rPr>
                <w:w w:val="99"/>
                <w:sz w:val="24"/>
              </w:rPr>
              <w:t>-</w:t>
            </w:r>
          </w:p>
        </w:tc>
      </w:tr>
      <w:tr>
        <w:trPr>
          <w:trHeight w:val="288" w:hRule="exact"/>
        </w:trPr>
        <w:tc>
          <w:tcPr>
            <w:tcW w:w="1475" w:type="dxa"/>
          </w:tcPr>
          <w:p>
            <w:pPr>
              <w:pStyle w:val="TableParagraph"/>
              <w:ind w:left="106"/>
              <w:rPr>
                <w:sz w:val="24"/>
              </w:rPr>
            </w:pPr>
            <w:r>
              <w:rPr>
                <w:w w:val="99"/>
                <w:sz w:val="24"/>
              </w:rPr>
              <w:t>7</w:t>
            </w:r>
          </w:p>
        </w:tc>
        <w:tc>
          <w:tcPr>
            <w:tcW w:w="1469" w:type="dxa"/>
          </w:tcPr>
          <w:p>
            <w:pPr>
              <w:pStyle w:val="TableParagraph"/>
              <w:ind w:left="100"/>
              <w:rPr>
                <w:sz w:val="24"/>
              </w:rPr>
            </w:pPr>
            <w:r>
              <w:rPr>
                <w:w w:val="100"/>
                <w:sz w:val="24"/>
              </w:rPr>
              <w:t>+</w:t>
            </w:r>
          </w:p>
        </w:tc>
        <w:tc>
          <w:tcPr>
            <w:tcW w:w="1469" w:type="dxa"/>
          </w:tcPr>
          <w:p>
            <w:pPr>
              <w:pStyle w:val="TableParagraph"/>
              <w:rPr>
                <w:sz w:val="24"/>
              </w:rPr>
            </w:pPr>
            <w:r>
              <w:rPr>
                <w:sz w:val="24"/>
              </w:rPr>
              <w:t>17</w:t>
            </w:r>
          </w:p>
        </w:tc>
        <w:tc>
          <w:tcPr>
            <w:tcW w:w="1474" w:type="dxa"/>
          </w:tcPr>
          <w:p>
            <w:pPr>
              <w:pStyle w:val="TableParagraph"/>
              <w:rPr>
                <w:sz w:val="24"/>
              </w:rPr>
            </w:pPr>
            <w:r>
              <w:rPr>
                <w:w w:val="100"/>
                <w:sz w:val="24"/>
              </w:rPr>
              <w:t>+</w:t>
            </w:r>
          </w:p>
        </w:tc>
        <w:tc>
          <w:tcPr>
            <w:tcW w:w="1475" w:type="dxa"/>
          </w:tcPr>
          <w:p>
            <w:pPr>
              <w:pStyle w:val="TableParagraph"/>
              <w:ind w:left="106"/>
              <w:rPr>
                <w:sz w:val="24"/>
              </w:rPr>
            </w:pPr>
            <w:r>
              <w:rPr>
                <w:sz w:val="24"/>
              </w:rPr>
              <w:t>27</w:t>
            </w:r>
          </w:p>
        </w:tc>
        <w:tc>
          <w:tcPr>
            <w:tcW w:w="1469" w:type="dxa"/>
          </w:tcPr>
          <w:p>
            <w:pPr>
              <w:pStyle w:val="TableParagraph"/>
              <w:ind w:left="100"/>
              <w:rPr>
                <w:sz w:val="24"/>
              </w:rPr>
            </w:pPr>
            <w:r>
              <w:rPr>
                <w:w w:val="100"/>
                <w:sz w:val="24"/>
              </w:rPr>
              <w:t>+</w:t>
            </w:r>
          </w:p>
        </w:tc>
      </w:tr>
      <w:tr>
        <w:trPr>
          <w:trHeight w:val="283" w:hRule="exact"/>
        </w:trPr>
        <w:tc>
          <w:tcPr>
            <w:tcW w:w="1475" w:type="dxa"/>
          </w:tcPr>
          <w:p>
            <w:pPr>
              <w:pStyle w:val="TableParagraph"/>
              <w:ind w:left="106"/>
              <w:rPr>
                <w:sz w:val="24"/>
              </w:rPr>
            </w:pPr>
            <w:r>
              <w:rPr>
                <w:w w:val="99"/>
                <w:sz w:val="24"/>
              </w:rPr>
              <w:t>8</w:t>
            </w:r>
          </w:p>
        </w:tc>
        <w:tc>
          <w:tcPr>
            <w:tcW w:w="1469" w:type="dxa"/>
          </w:tcPr>
          <w:p>
            <w:pPr>
              <w:pStyle w:val="TableParagraph"/>
              <w:ind w:left="100"/>
              <w:rPr>
                <w:sz w:val="24"/>
              </w:rPr>
            </w:pPr>
            <w:r>
              <w:rPr>
                <w:w w:val="99"/>
                <w:sz w:val="24"/>
              </w:rPr>
              <w:t>-</w:t>
            </w:r>
          </w:p>
        </w:tc>
        <w:tc>
          <w:tcPr>
            <w:tcW w:w="1469" w:type="dxa"/>
          </w:tcPr>
          <w:p>
            <w:pPr>
              <w:pStyle w:val="TableParagraph"/>
              <w:rPr>
                <w:sz w:val="24"/>
              </w:rPr>
            </w:pPr>
            <w:r>
              <w:rPr>
                <w:sz w:val="24"/>
              </w:rPr>
              <w:t>18</w:t>
            </w:r>
          </w:p>
        </w:tc>
        <w:tc>
          <w:tcPr>
            <w:tcW w:w="1474" w:type="dxa"/>
          </w:tcPr>
          <w:p>
            <w:pPr>
              <w:pStyle w:val="TableParagraph"/>
              <w:rPr>
                <w:sz w:val="24"/>
              </w:rPr>
            </w:pPr>
            <w:r>
              <w:rPr>
                <w:w w:val="100"/>
                <w:sz w:val="24"/>
              </w:rPr>
              <w:t>+</w:t>
            </w:r>
          </w:p>
        </w:tc>
        <w:tc>
          <w:tcPr>
            <w:tcW w:w="1475" w:type="dxa"/>
          </w:tcPr>
          <w:p>
            <w:pPr>
              <w:pStyle w:val="TableParagraph"/>
              <w:ind w:left="106"/>
              <w:rPr>
                <w:sz w:val="24"/>
              </w:rPr>
            </w:pPr>
            <w:r>
              <w:rPr>
                <w:sz w:val="24"/>
              </w:rPr>
              <w:t>28</w:t>
            </w:r>
          </w:p>
        </w:tc>
        <w:tc>
          <w:tcPr>
            <w:tcW w:w="1469" w:type="dxa"/>
          </w:tcPr>
          <w:p>
            <w:pPr>
              <w:pStyle w:val="TableParagraph"/>
              <w:ind w:left="100"/>
              <w:rPr>
                <w:sz w:val="24"/>
              </w:rPr>
            </w:pPr>
            <w:r>
              <w:rPr>
                <w:w w:val="100"/>
                <w:sz w:val="24"/>
              </w:rPr>
              <w:t>+</w:t>
            </w:r>
          </w:p>
        </w:tc>
      </w:tr>
      <w:tr>
        <w:trPr>
          <w:trHeight w:val="288" w:hRule="exact"/>
        </w:trPr>
        <w:tc>
          <w:tcPr>
            <w:tcW w:w="1475" w:type="dxa"/>
          </w:tcPr>
          <w:p>
            <w:pPr>
              <w:pStyle w:val="TableParagraph"/>
              <w:ind w:left="106"/>
              <w:rPr>
                <w:sz w:val="24"/>
              </w:rPr>
            </w:pPr>
            <w:r>
              <w:rPr>
                <w:w w:val="99"/>
                <w:sz w:val="24"/>
              </w:rPr>
              <w:t>9</w:t>
            </w:r>
          </w:p>
        </w:tc>
        <w:tc>
          <w:tcPr>
            <w:tcW w:w="1469" w:type="dxa"/>
          </w:tcPr>
          <w:p>
            <w:pPr>
              <w:pStyle w:val="TableParagraph"/>
              <w:ind w:left="100"/>
              <w:rPr>
                <w:sz w:val="24"/>
              </w:rPr>
            </w:pPr>
            <w:r>
              <w:rPr>
                <w:w w:val="100"/>
                <w:sz w:val="24"/>
              </w:rPr>
              <w:t>+</w:t>
            </w:r>
          </w:p>
        </w:tc>
        <w:tc>
          <w:tcPr>
            <w:tcW w:w="1469" w:type="dxa"/>
          </w:tcPr>
          <w:p>
            <w:pPr>
              <w:pStyle w:val="TableParagraph"/>
              <w:rPr>
                <w:sz w:val="24"/>
              </w:rPr>
            </w:pPr>
            <w:r>
              <w:rPr>
                <w:sz w:val="24"/>
              </w:rPr>
              <w:t>19</w:t>
            </w:r>
          </w:p>
        </w:tc>
        <w:tc>
          <w:tcPr>
            <w:tcW w:w="1474" w:type="dxa"/>
          </w:tcPr>
          <w:p>
            <w:pPr>
              <w:pStyle w:val="TableParagraph"/>
              <w:rPr>
                <w:sz w:val="24"/>
              </w:rPr>
            </w:pPr>
            <w:r>
              <w:rPr>
                <w:w w:val="100"/>
                <w:sz w:val="24"/>
              </w:rPr>
              <w:t>+</w:t>
            </w:r>
          </w:p>
        </w:tc>
        <w:tc>
          <w:tcPr>
            <w:tcW w:w="1475" w:type="dxa"/>
          </w:tcPr>
          <w:p>
            <w:pPr>
              <w:pStyle w:val="TableParagraph"/>
              <w:ind w:left="106"/>
              <w:rPr>
                <w:sz w:val="24"/>
              </w:rPr>
            </w:pPr>
            <w:r>
              <w:rPr>
                <w:sz w:val="24"/>
              </w:rPr>
              <w:t>29</w:t>
            </w:r>
          </w:p>
        </w:tc>
        <w:tc>
          <w:tcPr>
            <w:tcW w:w="1469" w:type="dxa"/>
          </w:tcPr>
          <w:p>
            <w:pPr>
              <w:pStyle w:val="TableParagraph"/>
              <w:ind w:left="100"/>
              <w:rPr>
                <w:sz w:val="24"/>
              </w:rPr>
            </w:pPr>
            <w:r>
              <w:rPr>
                <w:w w:val="100"/>
                <w:sz w:val="24"/>
              </w:rPr>
              <w:t>+</w:t>
            </w:r>
          </w:p>
        </w:tc>
      </w:tr>
      <w:tr>
        <w:trPr>
          <w:trHeight w:val="288" w:hRule="exact"/>
        </w:trPr>
        <w:tc>
          <w:tcPr>
            <w:tcW w:w="1475" w:type="dxa"/>
          </w:tcPr>
          <w:p>
            <w:pPr>
              <w:pStyle w:val="TableParagraph"/>
              <w:ind w:left="106"/>
              <w:rPr>
                <w:sz w:val="24"/>
              </w:rPr>
            </w:pPr>
            <w:r>
              <w:rPr>
                <w:sz w:val="24"/>
              </w:rPr>
              <w:t>10</w:t>
            </w:r>
          </w:p>
        </w:tc>
        <w:tc>
          <w:tcPr>
            <w:tcW w:w="1469" w:type="dxa"/>
          </w:tcPr>
          <w:p>
            <w:pPr>
              <w:pStyle w:val="TableParagraph"/>
              <w:ind w:left="100"/>
              <w:rPr>
                <w:sz w:val="24"/>
              </w:rPr>
            </w:pPr>
            <w:r>
              <w:rPr>
                <w:w w:val="99"/>
                <w:sz w:val="24"/>
              </w:rPr>
              <w:t>-</w:t>
            </w:r>
          </w:p>
        </w:tc>
        <w:tc>
          <w:tcPr>
            <w:tcW w:w="1469" w:type="dxa"/>
          </w:tcPr>
          <w:p>
            <w:pPr>
              <w:pStyle w:val="TableParagraph"/>
              <w:rPr>
                <w:sz w:val="24"/>
              </w:rPr>
            </w:pPr>
            <w:r>
              <w:rPr>
                <w:sz w:val="24"/>
              </w:rPr>
              <w:t>20</w:t>
            </w:r>
          </w:p>
        </w:tc>
        <w:tc>
          <w:tcPr>
            <w:tcW w:w="1474" w:type="dxa"/>
          </w:tcPr>
          <w:p>
            <w:pPr>
              <w:pStyle w:val="TableParagraph"/>
              <w:rPr>
                <w:sz w:val="24"/>
              </w:rPr>
            </w:pPr>
            <w:r>
              <w:rPr>
                <w:w w:val="100"/>
                <w:sz w:val="24"/>
              </w:rPr>
              <w:t>+</w:t>
            </w:r>
          </w:p>
        </w:tc>
        <w:tc>
          <w:tcPr>
            <w:tcW w:w="1475" w:type="dxa"/>
          </w:tcPr>
          <w:p>
            <w:pPr>
              <w:pStyle w:val="TableParagraph"/>
              <w:ind w:left="106"/>
              <w:rPr>
                <w:sz w:val="24"/>
              </w:rPr>
            </w:pPr>
            <w:r>
              <w:rPr>
                <w:sz w:val="24"/>
              </w:rPr>
              <w:t>30</w:t>
            </w:r>
          </w:p>
        </w:tc>
        <w:tc>
          <w:tcPr>
            <w:tcW w:w="1469" w:type="dxa"/>
          </w:tcPr>
          <w:p>
            <w:pPr>
              <w:pStyle w:val="TableParagraph"/>
              <w:ind w:left="100"/>
              <w:rPr>
                <w:sz w:val="24"/>
              </w:rPr>
            </w:pPr>
            <w:r>
              <w:rPr>
                <w:w w:val="100"/>
                <w:sz w:val="24"/>
              </w:rPr>
              <w:t>+</w:t>
            </w:r>
          </w:p>
        </w:tc>
      </w:tr>
    </w:tbl>
    <w:p>
      <w:pPr>
        <w:spacing w:after="0"/>
        <w:rPr>
          <w:sz w:val="24"/>
        </w:rPr>
        <w:sectPr>
          <w:pgSz w:w="12240" w:h="15840"/>
          <w:pgMar w:header="752" w:footer="998" w:top="1000" w:bottom="1180" w:left="1560" w:right="1560"/>
        </w:sectPr>
      </w:pPr>
    </w:p>
    <w:p>
      <w:pPr>
        <w:pStyle w:val="BodyText"/>
        <w:rPr>
          <w:sz w:val="20"/>
        </w:rPr>
      </w:pPr>
    </w:p>
    <w:p>
      <w:pPr>
        <w:pStyle w:val="BodyText"/>
        <w:spacing w:before="10"/>
        <w:rPr>
          <w:sz w:val="15"/>
        </w:rPr>
      </w:pPr>
    </w:p>
    <w:p>
      <w:pPr>
        <w:tabs>
          <w:tab w:pos="2390" w:val="left" w:leader="none"/>
          <w:tab w:pos="2927" w:val="left" w:leader="none"/>
          <w:tab w:pos="3529" w:val="left" w:leader="none"/>
          <w:tab w:pos="4033" w:val="left" w:leader="none"/>
          <w:tab w:pos="4584" w:val="left" w:leader="none"/>
          <w:tab w:pos="5198" w:val="left" w:leader="none"/>
          <w:tab w:pos="5696" w:val="left" w:leader="none"/>
          <w:tab w:pos="6195" w:val="left" w:leader="none"/>
          <w:tab w:pos="6751" w:val="left" w:leader="none"/>
          <w:tab w:pos="7308" w:val="left" w:leader="none"/>
          <w:tab w:pos="7864" w:val="left" w:leader="none"/>
          <w:tab w:pos="8305" w:val="left" w:leader="none"/>
        </w:tabs>
        <w:spacing w:before="76"/>
        <w:ind w:left="1825" w:right="0" w:firstLine="0"/>
        <w:jc w:val="left"/>
        <w:rPr>
          <w:b/>
          <w:sz w:val="20"/>
        </w:rPr>
      </w:pPr>
      <w:r>
        <w:rPr/>
        <w:pict>
          <v:group style="position:absolute;margin-left:135.240005pt;margin-top:-.280127pt;width:386.8pt;height:173.3pt;mso-position-horizontal-relative:page;mso-position-vertical-relative:paragraph;z-index:-93472" coordorigin="2705,-6" coordsize="7736,3466">
            <v:shape style="position:absolute;left:2966;top:-6;width:7474;height:3466" type="#_x0000_t75" stroked="false">
              <v:imagedata r:id="rId48" o:title=""/>
            </v:shape>
            <v:shape style="position:absolute;left:2705;top:649;width:645;height:1372" coordorigin="2705,649" coordsize="645,1372" path="m3265,1189l3189,1189,3169,1189,3166,1231,3265,1189m3275,726l3204,726,3184,726,3182,769,3275,726m3290,1179l3174,1111,3171,1154,2826,1132,2824,1166,3169,1188,3189,1188,3268,1188,3290,1179m3304,713l3186,649,3185,692,2840,681,2839,714,3184,726,3204,726,3276,726,3304,713m3350,1960l3316,1943,3230,1900,3230,1943,2705,1943,2705,1977,3230,1977,3230,2020,3316,1977,3350,1960e" filled="true" fillcolor="#000000" stroked="false">
              <v:path arrowok="t"/>
              <v:fill type="solid"/>
            </v:shape>
            <w10:wrap type="none"/>
          </v:group>
        </w:pict>
      </w:r>
      <w:r>
        <w:rPr>
          <w:b/>
          <w:color w:val="FFFFFF"/>
          <w:sz w:val="20"/>
        </w:rPr>
        <w:t>M</w:t>
        <w:tab/>
        <w:t>C+</w:t>
        <w:tab/>
        <w:t>C-</w:t>
        <w:tab/>
        <w:t>1</w:t>
        <w:tab/>
        <w:t>2</w:t>
        <w:tab/>
        <w:t>3</w:t>
        <w:tab/>
        <w:t>4</w:t>
        <w:tab/>
        <w:t>5</w:t>
        <w:tab/>
        <w:t>6</w:t>
        <w:tab/>
        <w:t>7</w:t>
        <w:tab/>
        <w:t>8</w:t>
        <w:tab/>
        <w:t>9</w:t>
        <w:tab/>
        <w:t>10</w:t>
      </w:r>
    </w:p>
    <w:p>
      <w:pPr>
        <w:pStyle w:val="BodyText"/>
        <w:spacing w:before="10"/>
        <w:rPr>
          <w:b/>
          <w:sz w:val="13"/>
        </w:rPr>
      </w:pPr>
    </w:p>
    <w:p>
      <w:pPr>
        <w:spacing w:before="76"/>
        <w:ind w:left="480" w:right="0" w:firstLine="0"/>
        <w:jc w:val="left"/>
        <w:rPr>
          <w:b/>
          <w:sz w:val="20"/>
        </w:rPr>
      </w:pPr>
      <w:r>
        <w:rPr>
          <w:b/>
          <w:sz w:val="20"/>
        </w:rPr>
        <w:t>1500 pb</w:t>
      </w:r>
    </w:p>
    <w:p>
      <w:pPr>
        <w:pStyle w:val="BodyText"/>
        <w:spacing w:before="2"/>
        <w:rPr>
          <w:b/>
          <w:sz w:val="17"/>
        </w:rPr>
      </w:pPr>
    </w:p>
    <w:p>
      <w:pPr>
        <w:spacing w:before="0"/>
        <w:ind w:left="480" w:right="0" w:firstLine="0"/>
        <w:jc w:val="left"/>
        <w:rPr>
          <w:b/>
          <w:sz w:val="20"/>
        </w:rPr>
      </w:pPr>
      <w:r>
        <w:rPr>
          <w:b/>
          <w:sz w:val="20"/>
        </w:rPr>
        <w:t>1000 pb</w:t>
      </w:r>
    </w:p>
    <w:p>
      <w:pPr>
        <w:pStyle w:val="BodyText"/>
        <w:rPr>
          <w:b/>
          <w:sz w:val="20"/>
        </w:rPr>
      </w:pPr>
    </w:p>
    <w:p>
      <w:pPr>
        <w:pStyle w:val="BodyText"/>
        <w:rPr>
          <w:b/>
          <w:sz w:val="20"/>
        </w:rPr>
      </w:pPr>
    </w:p>
    <w:p>
      <w:pPr>
        <w:spacing w:before="169"/>
        <w:ind w:left="480" w:right="0" w:firstLine="0"/>
        <w:jc w:val="left"/>
        <w:rPr>
          <w:b/>
          <w:sz w:val="20"/>
        </w:rPr>
      </w:pPr>
      <w:r>
        <w:rPr>
          <w:b/>
          <w:sz w:val="20"/>
        </w:rPr>
        <w:t>500 pb</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8"/>
        <w:rPr>
          <w:b/>
          <w:sz w:val="17"/>
        </w:rPr>
      </w:pPr>
    </w:p>
    <w:p>
      <w:pPr>
        <w:pStyle w:val="BodyText"/>
        <w:spacing w:line="276" w:lineRule="auto" w:before="69"/>
        <w:ind w:left="139" w:right="133"/>
        <w:jc w:val="both"/>
      </w:pPr>
      <w:r>
        <w:rPr/>
        <w:t>Figura 13: Detección de </w:t>
      </w:r>
      <w:r>
        <w:rPr>
          <w:i/>
        </w:rPr>
        <w:t>Francisella </w:t>
      </w:r>
      <w:r>
        <w:rPr/>
        <w:t>sp. de tejidos de tilapia por PCR Punto Final, utilizando los iniciadores F5 y F11 para amplificar el gen 16s, producto final de 1131pb. M: marcador, C+: control positivo, C-: control negativo, 1-10: muestras analizadas, en gel de agarosa al 1.5%.</w:t>
      </w:r>
    </w:p>
    <w:p>
      <w:pPr>
        <w:pStyle w:val="Heading1"/>
        <w:numPr>
          <w:ilvl w:val="2"/>
          <w:numId w:val="8"/>
        </w:numPr>
        <w:tabs>
          <w:tab w:pos="745" w:val="left" w:leader="none"/>
        </w:tabs>
        <w:spacing w:line="240" w:lineRule="auto" w:before="202" w:after="0"/>
        <w:ind w:left="745" w:right="0" w:hanging="606"/>
        <w:jc w:val="both"/>
        <w:rPr>
          <w:color w:val="365F91"/>
        </w:rPr>
      </w:pPr>
      <w:bookmarkStart w:name="_bookmark58" w:id="102"/>
      <w:bookmarkEnd w:id="102"/>
      <w:r>
        <w:rPr>
          <w:b w:val="0"/>
        </w:rPr>
      </w:r>
      <w:bookmarkStart w:name="_bookmark58" w:id="103"/>
      <w:bookmarkEnd w:id="103"/>
      <w:r>
        <w:rPr>
          <w:color w:val="365F91"/>
        </w:rPr>
        <w:t>P</w:t>
      </w:r>
      <w:r>
        <w:rPr>
          <w:color w:val="365F91"/>
        </w:rPr>
        <w:t>CR</w:t>
      </w:r>
      <w:r>
        <w:rPr>
          <w:color w:val="365F91"/>
          <w:spacing w:val="-9"/>
        </w:rPr>
        <w:t> </w:t>
      </w:r>
      <w:r>
        <w:rPr>
          <w:color w:val="365F91"/>
        </w:rPr>
        <w:t>Anidado</w:t>
      </w:r>
    </w:p>
    <w:p>
      <w:pPr>
        <w:pStyle w:val="BodyText"/>
        <w:spacing w:line="273" w:lineRule="auto" w:before="45"/>
        <w:ind w:left="139" w:right="135"/>
        <w:jc w:val="both"/>
      </w:pPr>
      <w:r>
        <w:rPr/>
        <w:t>En el PCR Anidado se obtuvo un primer producto de amplificación de 1500 pb que corresponde</w:t>
      </w:r>
      <w:r>
        <w:rPr>
          <w:spacing w:val="-12"/>
        </w:rPr>
        <w:t> </w:t>
      </w:r>
      <w:r>
        <w:rPr/>
        <w:t>al</w:t>
      </w:r>
      <w:r>
        <w:rPr>
          <w:spacing w:val="-8"/>
        </w:rPr>
        <w:t> </w:t>
      </w:r>
      <w:r>
        <w:rPr/>
        <w:t>gen</w:t>
      </w:r>
      <w:r>
        <w:rPr>
          <w:spacing w:val="-12"/>
        </w:rPr>
        <w:t> </w:t>
      </w:r>
      <w:r>
        <w:rPr/>
        <w:t>16s</w:t>
      </w:r>
      <w:r>
        <w:rPr>
          <w:spacing w:val="-13"/>
        </w:rPr>
        <w:t> </w:t>
      </w:r>
      <w:r>
        <w:rPr/>
        <w:t>de</w:t>
      </w:r>
      <w:r>
        <w:rPr>
          <w:spacing w:val="-12"/>
        </w:rPr>
        <w:t> </w:t>
      </w:r>
      <w:r>
        <w:rPr/>
        <w:t>Eubacterias</w:t>
      </w:r>
      <w:r>
        <w:rPr>
          <w:spacing w:val="-6"/>
        </w:rPr>
        <w:t> </w:t>
      </w:r>
      <w:r>
        <w:rPr/>
        <w:t>y</w:t>
      </w:r>
      <w:r>
        <w:rPr>
          <w:spacing w:val="-13"/>
        </w:rPr>
        <w:t> </w:t>
      </w:r>
      <w:r>
        <w:rPr/>
        <w:t>una</w:t>
      </w:r>
      <w:r>
        <w:rPr>
          <w:spacing w:val="-17"/>
        </w:rPr>
        <w:t> </w:t>
      </w:r>
      <w:r>
        <w:rPr/>
        <w:t>segunda</w:t>
      </w:r>
      <w:r>
        <w:rPr>
          <w:spacing w:val="-12"/>
        </w:rPr>
        <w:t> </w:t>
      </w:r>
      <w:r>
        <w:rPr/>
        <w:t>amplificación</w:t>
      </w:r>
      <w:r>
        <w:rPr>
          <w:spacing w:val="-6"/>
        </w:rPr>
        <w:t> </w:t>
      </w:r>
      <w:r>
        <w:rPr/>
        <w:t>con</w:t>
      </w:r>
      <w:r>
        <w:rPr>
          <w:spacing w:val="-16"/>
        </w:rPr>
        <w:t> </w:t>
      </w:r>
      <w:r>
        <w:rPr/>
        <w:t>iniciadores internos (iglCR E iglCF) obteniéndose un producto final de 101 pb correspondiente al gen iglC (intracellular growth locus C) de la especie FNO obteniéndose un total de 29 muestras positivas (Tabla 5 y Figura</w:t>
      </w:r>
      <w:r>
        <w:rPr>
          <w:spacing w:val="-14"/>
        </w:rPr>
        <w:t> </w:t>
      </w:r>
      <w:r>
        <w:rPr/>
        <w:t>14).</w:t>
      </w:r>
    </w:p>
    <w:p>
      <w:pPr>
        <w:pStyle w:val="BodyText"/>
        <w:spacing w:line="271" w:lineRule="auto" w:before="209"/>
        <w:ind w:left="139" w:right="135"/>
        <w:jc w:val="both"/>
      </w:pPr>
      <w:r>
        <w:rPr/>
        <w:t>Tabla 5: Número de muestra y resultado positivo o negativo por muestra para la técnica de PCR Anidado.</w:t>
      </w:r>
    </w:p>
    <w:p>
      <w:pPr>
        <w:pStyle w:val="BodyText"/>
        <w:spacing w:before="9"/>
        <w:rPr>
          <w:sz w:val="18"/>
        </w:rPr>
      </w:pPr>
    </w:p>
    <w:tbl>
      <w:tblPr>
        <w:tblW w:w="0" w:type="auto"/>
        <w:jc w:val="left"/>
        <w:tblInd w:w="1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75"/>
        <w:gridCol w:w="1469"/>
        <w:gridCol w:w="1469"/>
        <w:gridCol w:w="1474"/>
        <w:gridCol w:w="1475"/>
        <w:gridCol w:w="1469"/>
      </w:tblGrid>
      <w:tr>
        <w:trPr>
          <w:trHeight w:val="562" w:hRule="exact"/>
        </w:trPr>
        <w:tc>
          <w:tcPr>
            <w:tcW w:w="1475" w:type="dxa"/>
          </w:tcPr>
          <w:p>
            <w:pPr>
              <w:pStyle w:val="TableParagraph"/>
              <w:spacing w:line="242" w:lineRule="auto"/>
              <w:ind w:left="106"/>
              <w:rPr>
                <w:sz w:val="24"/>
              </w:rPr>
            </w:pPr>
            <w:r>
              <w:rPr>
                <w:sz w:val="24"/>
              </w:rPr>
              <w:t>Número de muestra</w:t>
            </w:r>
          </w:p>
        </w:tc>
        <w:tc>
          <w:tcPr>
            <w:tcW w:w="1469" w:type="dxa"/>
          </w:tcPr>
          <w:p>
            <w:pPr>
              <w:pStyle w:val="TableParagraph"/>
              <w:ind w:left="100"/>
              <w:rPr>
                <w:sz w:val="24"/>
              </w:rPr>
            </w:pPr>
            <w:r>
              <w:rPr>
                <w:sz w:val="24"/>
              </w:rPr>
              <w:t>Resultado</w:t>
            </w:r>
          </w:p>
        </w:tc>
        <w:tc>
          <w:tcPr>
            <w:tcW w:w="1469" w:type="dxa"/>
          </w:tcPr>
          <w:p>
            <w:pPr>
              <w:pStyle w:val="TableParagraph"/>
              <w:spacing w:line="242" w:lineRule="auto"/>
              <w:rPr>
                <w:sz w:val="24"/>
              </w:rPr>
            </w:pPr>
            <w:r>
              <w:rPr>
                <w:sz w:val="24"/>
              </w:rPr>
              <w:t>Número de muestra</w:t>
            </w:r>
          </w:p>
        </w:tc>
        <w:tc>
          <w:tcPr>
            <w:tcW w:w="1474" w:type="dxa"/>
          </w:tcPr>
          <w:p>
            <w:pPr>
              <w:pStyle w:val="TableParagraph"/>
              <w:rPr>
                <w:sz w:val="24"/>
              </w:rPr>
            </w:pPr>
            <w:r>
              <w:rPr>
                <w:sz w:val="24"/>
              </w:rPr>
              <w:t>Resultado</w:t>
            </w:r>
          </w:p>
        </w:tc>
        <w:tc>
          <w:tcPr>
            <w:tcW w:w="1475" w:type="dxa"/>
          </w:tcPr>
          <w:p>
            <w:pPr>
              <w:pStyle w:val="TableParagraph"/>
              <w:spacing w:line="242" w:lineRule="auto"/>
              <w:ind w:left="106"/>
              <w:rPr>
                <w:sz w:val="24"/>
              </w:rPr>
            </w:pPr>
            <w:r>
              <w:rPr>
                <w:sz w:val="24"/>
              </w:rPr>
              <w:t>Número de muestra</w:t>
            </w:r>
          </w:p>
        </w:tc>
        <w:tc>
          <w:tcPr>
            <w:tcW w:w="1469" w:type="dxa"/>
          </w:tcPr>
          <w:p>
            <w:pPr>
              <w:pStyle w:val="TableParagraph"/>
              <w:ind w:left="100"/>
              <w:rPr>
                <w:sz w:val="24"/>
              </w:rPr>
            </w:pPr>
            <w:r>
              <w:rPr>
                <w:sz w:val="24"/>
              </w:rPr>
              <w:t>Resultado</w:t>
            </w:r>
          </w:p>
        </w:tc>
      </w:tr>
      <w:tr>
        <w:trPr>
          <w:trHeight w:val="288" w:hRule="exact"/>
        </w:trPr>
        <w:tc>
          <w:tcPr>
            <w:tcW w:w="1475" w:type="dxa"/>
          </w:tcPr>
          <w:p>
            <w:pPr>
              <w:pStyle w:val="TableParagraph"/>
              <w:ind w:left="106"/>
              <w:rPr>
                <w:sz w:val="24"/>
              </w:rPr>
            </w:pPr>
            <w:r>
              <w:rPr>
                <w:w w:val="99"/>
                <w:sz w:val="24"/>
              </w:rPr>
              <w:t>1</w:t>
            </w:r>
          </w:p>
        </w:tc>
        <w:tc>
          <w:tcPr>
            <w:tcW w:w="1469" w:type="dxa"/>
          </w:tcPr>
          <w:p>
            <w:pPr>
              <w:pStyle w:val="TableParagraph"/>
              <w:ind w:left="100"/>
              <w:rPr>
                <w:sz w:val="24"/>
              </w:rPr>
            </w:pPr>
            <w:r>
              <w:rPr>
                <w:w w:val="100"/>
                <w:sz w:val="24"/>
              </w:rPr>
              <w:t>+</w:t>
            </w:r>
          </w:p>
        </w:tc>
        <w:tc>
          <w:tcPr>
            <w:tcW w:w="1469" w:type="dxa"/>
          </w:tcPr>
          <w:p>
            <w:pPr>
              <w:pStyle w:val="TableParagraph"/>
              <w:rPr>
                <w:sz w:val="24"/>
              </w:rPr>
            </w:pPr>
            <w:r>
              <w:rPr>
                <w:sz w:val="24"/>
              </w:rPr>
              <w:t>11</w:t>
            </w:r>
          </w:p>
        </w:tc>
        <w:tc>
          <w:tcPr>
            <w:tcW w:w="1474" w:type="dxa"/>
          </w:tcPr>
          <w:p>
            <w:pPr>
              <w:pStyle w:val="TableParagraph"/>
              <w:rPr>
                <w:sz w:val="24"/>
              </w:rPr>
            </w:pPr>
            <w:r>
              <w:rPr>
                <w:w w:val="100"/>
                <w:sz w:val="24"/>
              </w:rPr>
              <w:t>+</w:t>
            </w:r>
          </w:p>
        </w:tc>
        <w:tc>
          <w:tcPr>
            <w:tcW w:w="1475" w:type="dxa"/>
          </w:tcPr>
          <w:p>
            <w:pPr>
              <w:pStyle w:val="TableParagraph"/>
              <w:ind w:left="106"/>
              <w:rPr>
                <w:sz w:val="24"/>
              </w:rPr>
            </w:pPr>
            <w:r>
              <w:rPr>
                <w:sz w:val="24"/>
              </w:rPr>
              <w:t>21</w:t>
            </w:r>
          </w:p>
        </w:tc>
        <w:tc>
          <w:tcPr>
            <w:tcW w:w="1469" w:type="dxa"/>
          </w:tcPr>
          <w:p>
            <w:pPr>
              <w:pStyle w:val="TableParagraph"/>
              <w:ind w:left="100"/>
              <w:rPr>
                <w:sz w:val="24"/>
              </w:rPr>
            </w:pPr>
            <w:r>
              <w:rPr>
                <w:w w:val="100"/>
                <w:sz w:val="24"/>
              </w:rPr>
              <w:t>+</w:t>
            </w:r>
          </w:p>
        </w:tc>
      </w:tr>
      <w:tr>
        <w:trPr>
          <w:trHeight w:val="283" w:hRule="exact"/>
        </w:trPr>
        <w:tc>
          <w:tcPr>
            <w:tcW w:w="1475" w:type="dxa"/>
          </w:tcPr>
          <w:p>
            <w:pPr>
              <w:pStyle w:val="TableParagraph"/>
              <w:ind w:left="106"/>
              <w:rPr>
                <w:sz w:val="24"/>
              </w:rPr>
            </w:pPr>
            <w:r>
              <w:rPr>
                <w:w w:val="99"/>
                <w:sz w:val="24"/>
              </w:rPr>
              <w:t>2</w:t>
            </w:r>
          </w:p>
        </w:tc>
        <w:tc>
          <w:tcPr>
            <w:tcW w:w="1469" w:type="dxa"/>
          </w:tcPr>
          <w:p>
            <w:pPr>
              <w:pStyle w:val="TableParagraph"/>
              <w:ind w:left="100"/>
              <w:rPr>
                <w:sz w:val="24"/>
              </w:rPr>
            </w:pPr>
            <w:r>
              <w:rPr>
                <w:w w:val="100"/>
                <w:sz w:val="24"/>
              </w:rPr>
              <w:t>+</w:t>
            </w:r>
          </w:p>
        </w:tc>
        <w:tc>
          <w:tcPr>
            <w:tcW w:w="1469" w:type="dxa"/>
          </w:tcPr>
          <w:p>
            <w:pPr>
              <w:pStyle w:val="TableParagraph"/>
              <w:rPr>
                <w:sz w:val="24"/>
              </w:rPr>
            </w:pPr>
            <w:r>
              <w:rPr>
                <w:sz w:val="24"/>
              </w:rPr>
              <w:t>12</w:t>
            </w:r>
          </w:p>
        </w:tc>
        <w:tc>
          <w:tcPr>
            <w:tcW w:w="1474" w:type="dxa"/>
          </w:tcPr>
          <w:p>
            <w:pPr>
              <w:pStyle w:val="TableParagraph"/>
              <w:rPr>
                <w:sz w:val="24"/>
              </w:rPr>
            </w:pPr>
            <w:r>
              <w:rPr>
                <w:w w:val="100"/>
                <w:sz w:val="24"/>
              </w:rPr>
              <w:t>+</w:t>
            </w:r>
          </w:p>
        </w:tc>
        <w:tc>
          <w:tcPr>
            <w:tcW w:w="1475" w:type="dxa"/>
          </w:tcPr>
          <w:p>
            <w:pPr>
              <w:pStyle w:val="TableParagraph"/>
              <w:ind w:left="106"/>
              <w:rPr>
                <w:sz w:val="24"/>
              </w:rPr>
            </w:pPr>
            <w:r>
              <w:rPr>
                <w:sz w:val="24"/>
              </w:rPr>
              <w:t>22</w:t>
            </w:r>
          </w:p>
        </w:tc>
        <w:tc>
          <w:tcPr>
            <w:tcW w:w="1469" w:type="dxa"/>
          </w:tcPr>
          <w:p>
            <w:pPr>
              <w:pStyle w:val="TableParagraph"/>
              <w:ind w:left="100"/>
              <w:rPr>
                <w:sz w:val="24"/>
              </w:rPr>
            </w:pPr>
            <w:r>
              <w:rPr>
                <w:w w:val="100"/>
                <w:sz w:val="24"/>
              </w:rPr>
              <w:t>+</w:t>
            </w:r>
          </w:p>
        </w:tc>
      </w:tr>
      <w:tr>
        <w:trPr>
          <w:trHeight w:val="289" w:hRule="exact"/>
        </w:trPr>
        <w:tc>
          <w:tcPr>
            <w:tcW w:w="1475" w:type="dxa"/>
          </w:tcPr>
          <w:p>
            <w:pPr>
              <w:pStyle w:val="TableParagraph"/>
              <w:ind w:left="106"/>
              <w:rPr>
                <w:sz w:val="24"/>
              </w:rPr>
            </w:pPr>
            <w:r>
              <w:rPr>
                <w:w w:val="99"/>
                <w:sz w:val="24"/>
              </w:rPr>
              <w:t>3</w:t>
            </w:r>
          </w:p>
        </w:tc>
        <w:tc>
          <w:tcPr>
            <w:tcW w:w="1469" w:type="dxa"/>
          </w:tcPr>
          <w:p>
            <w:pPr>
              <w:pStyle w:val="TableParagraph"/>
              <w:ind w:left="100"/>
              <w:rPr>
                <w:sz w:val="24"/>
              </w:rPr>
            </w:pPr>
            <w:r>
              <w:rPr>
                <w:w w:val="100"/>
                <w:sz w:val="24"/>
              </w:rPr>
              <w:t>+</w:t>
            </w:r>
          </w:p>
        </w:tc>
        <w:tc>
          <w:tcPr>
            <w:tcW w:w="1469" w:type="dxa"/>
          </w:tcPr>
          <w:p>
            <w:pPr>
              <w:pStyle w:val="TableParagraph"/>
              <w:rPr>
                <w:sz w:val="24"/>
              </w:rPr>
            </w:pPr>
            <w:r>
              <w:rPr>
                <w:sz w:val="24"/>
              </w:rPr>
              <w:t>13</w:t>
            </w:r>
          </w:p>
        </w:tc>
        <w:tc>
          <w:tcPr>
            <w:tcW w:w="1474" w:type="dxa"/>
          </w:tcPr>
          <w:p>
            <w:pPr>
              <w:pStyle w:val="TableParagraph"/>
              <w:rPr>
                <w:sz w:val="24"/>
              </w:rPr>
            </w:pPr>
            <w:r>
              <w:rPr>
                <w:w w:val="100"/>
                <w:sz w:val="24"/>
              </w:rPr>
              <w:t>+</w:t>
            </w:r>
          </w:p>
        </w:tc>
        <w:tc>
          <w:tcPr>
            <w:tcW w:w="1475" w:type="dxa"/>
          </w:tcPr>
          <w:p>
            <w:pPr>
              <w:pStyle w:val="TableParagraph"/>
              <w:ind w:left="106"/>
              <w:rPr>
                <w:sz w:val="24"/>
              </w:rPr>
            </w:pPr>
            <w:r>
              <w:rPr>
                <w:sz w:val="24"/>
              </w:rPr>
              <w:t>23</w:t>
            </w:r>
          </w:p>
        </w:tc>
        <w:tc>
          <w:tcPr>
            <w:tcW w:w="1469" w:type="dxa"/>
          </w:tcPr>
          <w:p>
            <w:pPr>
              <w:pStyle w:val="TableParagraph"/>
              <w:ind w:left="100"/>
              <w:rPr>
                <w:sz w:val="24"/>
              </w:rPr>
            </w:pPr>
            <w:r>
              <w:rPr>
                <w:w w:val="100"/>
                <w:sz w:val="24"/>
              </w:rPr>
              <w:t>+</w:t>
            </w:r>
          </w:p>
        </w:tc>
      </w:tr>
      <w:tr>
        <w:trPr>
          <w:trHeight w:val="283" w:hRule="exact"/>
        </w:trPr>
        <w:tc>
          <w:tcPr>
            <w:tcW w:w="1475" w:type="dxa"/>
          </w:tcPr>
          <w:p>
            <w:pPr>
              <w:pStyle w:val="TableParagraph"/>
              <w:ind w:left="106"/>
              <w:rPr>
                <w:sz w:val="24"/>
              </w:rPr>
            </w:pPr>
            <w:r>
              <w:rPr>
                <w:w w:val="99"/>
                <w:sz w:val="24"/>
              </w:rPr>
              <w:t>4</w:t>
            </w:r>
          </w:p>
        </w:tc>
        <w:tc>
          <w:tcPr>
            <w:tcW w:w="1469" w:type="dxa"/>
          </w:tcPr>
          <w:p>
            <w:pPr>
              <w:pStyle w:val="TableParagraph"/>
              <w:ind w:left="100"/>
              <w:rPr>
                <w:sz w:val="24"/>
              </w:rPr>
            </w:pPr>
            <w:r>
              <w:rPr>
                <w:w w:val="100"/>
                <w:sz w:val="24"/>
              </w:rPr>
              <w:t>+</w:t>
            </w:r>
          </w:p>
        </w:tc>
        <w:tc>
          <w:tcPr>
            <w:tcW w:w="1469" w:type="dxa"/>
          </w:tcPr>
          <w:p>
            <w:pPr>
              <w:pStyle w:val="TableParagraph"/>
              <w:rPr>
                <w:sz w:val="24"/>
              </w:rPr>
            </w:pPr>
            <w:r>
              <w:rPr>
                <w:sz w:val="24"/>
              </w:rPr>
              <w:t>14</w:t>
            </w:r>
          </w:p>
        </w:tc>
        <w:tc>
          <w:tcPr>
            <w:tcW w:w="1474" w:type="dxa"/>
          </w:tcPr>
          <w:p>
            <w:pPr>
              <w:pStyle w:val="TableParagraph"/>
              <w:rPr>
                <w:sz w:val="24"/>
              </w:rPr>
            </w:pPr>
            <w:r>
              <w:rPr>
                <w:w w:val="100"/>
                <w:sz w:val="24"/>
              </w:rPr>
              <w:t>+</w:t>
            </w:r>
          </w:p>
        </w:tc>
        <w:tc>
          <w:tcPr>
            <w:tcW w:w="1475" w:type="dxa"/>
          </w:tcPr>
          <w:p>
            <w:pPr>
              <w:pStyle w:val="TableParagraph"/>
              <w:ind w:left="106"/>
              <w:rPr>
                <w:sz w:val="24"/>
              </w:rPr>
            </w:pPr>
            <w:r>
              <w:rPr>
                <w:sz w:val="24"/>
              </w:rPr>
              <w:t>24</w:t>
            </w:r>
          </w:p>
        </w:tc>
        <w:tc>
          <w:tcPr>
            <w:tcW w:w="1469" w:type="dxa"/>
          </w:tcPr>
          <w:p>
            <w:pPr>
              <w:pStyle w:val="TableParagraph"/>
              <w:ind w:left="100"/>
              <w:rPr>
                <w:sz w:val="24"/>
              </w:rPr>
            </w:pPr>
            <w:r>
              <w:rPr>
                <w:w w:val="100"/>
                <w:sz w:val="24"/>
              </w:rPr>
              <w:t>+</w:t>
            </w:r>
          </w:p>
        </w:tc>
      </w:tr>
      <w:tr>
        <w:trPr>
          <w:trHeight w:val="288" w:hRule="exact"/>
        </w:trPr>
        <w:tc>
          <w:tcPr>
            <w:tcW w:w="1475" w:type="dxa"/>
          </w:tcPr>
          <w:p>
            <w:pPr>
              <w:pStyle w:val="TableParagraph"/>
              <w:ind w:left="106"/>
              <w:rPr>
                <w:sz w:val="24"/>
              </w:rPr>
            </w:pPr>
            <w:r>
              <w:rPr>
                <w:w w:val="99"/>
                <w:sz w:val="24"/>
              </w:rPr>
              <w:t>5</w:t>
            </w:r>
          </w:p>
        </w:tc>
        <w:tc>
          <w:tcPr>
            <w:tcW w:w="1469" w:type="dxa"/>
          </w:tcPr>
          <w:p>
            <w:pPr>
              <w:pStyle w:val="TableParagraph"/>
              <w:ind w:left="100"/>
              <w:rPr>
                <w:sz w:val="24"/>
              </w:rPr>
            </w:pPr>
            <w:r>
              <w:rPr>
                <w:w w:val="100"/>
                <w:sz w:val="24"/>
              </w:rPr>
              <w:t>+</w:t>
            </w:r>
          </w:p>
        </w:tc>
        <w:tc>
          <w:tcPr>
            <w:tcW w:w="1469" w:type="dxa"/>
          </w:tcPr>
          <w:p>
            <w:pPr>
              <w:pStyle w:val="TableParagraph"/>
              <w:rPr>
                <w:sz w:val="24"/>
              </w:rPr>
            </w:pPr>
            <w:r>
              <w:rPr>
                <w:sz w:val="24"/>
              </w:rPr>
              <w:t>15</w:t>
            </w:r>
          </w:p>
        </w:tc>
        <w:tc>
          <w:tcPr>
            <w:tcW w:w="1474" w:type="dxa"/>
          </w:tcPr>
          <w:p>
            <w:pPr>
              <w:pStyle w:val="TableParagraph"/>
              <w:rPr>
                <w:sz w:val="24"/>
              </w:rPr>
            </w:pPr>
            <w:r>
              <w:rPr>
                <w:w w:val="100"/>
                <w:sz w:val="24"/>
              </w:rPr>
              <w:t>+</w:t>
            </w:r>
          </w:p>
        </w:tc>
        <w:tc>
          <w:tcPr>
            <w:tcW w:w="1475" w:type="dxa"/>
          </w:tcPr>
          <w:p>
            <w:pPr>
              <w:pStyle w:val="TableParagraph"/>
              <w:ind w:left="106"/>
              <w:rPr>
                <w:sz w:val="24"/>
              </w:rPr>
            </w:pPr>
            <w:r>
              <w:rPr>
                <w:sz w:val="24"/>
              </w:rPr>
              <w:t>25</w:t>
            </w:r>
          </w:p>
        </w:tc>
        <w:tc>
          <w:tcPr>
            <w:tcW w:w="1469" w:type="dxa"/>
          </w:tcPr>
          <w:p>
            <w:pPr>
              <w:pStyle w:val="TableParagraph"/>
              <w:ind w:left="100"/>
              <w:rPr>
                <w:sz w:val="24"/>
              </w:rPr>
            </w:pPr>
            <w:r>
              <w:rPr>
                <w:w w:val="100"/>
                <w:sz w:val="24"/>
              </w:rPr>
              <w:t>+</w:t>
            </w:r>
          </w:p>
        </w:tc>
      </w:tr>
      <w:tr>
        <w:trPr>
          <w:trHeight w:val="283" w:hRule="exact"/>
        </w:trPr>
        <w:tc>
          <w:tcPr>
            <w:tcW w:w="1475" w:type="dxa"/>
          </w:tcPr>
          <w:p>
            <w:pPr>
              <w:pStyle w:val="TableParagraph"/>
              <w:ind w:left="106"/>
              <w:rPr>
                <w:sz w:val="24"/>
              </w:rPr>
            </w:pPr>
            <w:r>
              <w:rPr>
                <w:w w:val="99"/>
                <w:sz w:val="24"/>
              </w:rPr>
              <w:t>6</w:t>
            </w:r>
          </w:p>
        </w:tc>
        <w:tc>
          <w:tcPr>
            <w:tcW w:w="1469" w:type="dxa"/>
          </w:tcPr>
          <w:p>
            <w:pPr>
              <w:pStyle w:val="TableParagraph"/>
              <w:ind w:left="100"/>
              <w:rPr>
                <w:sz w:val="24"/>
              </w:rPr>
            </w:pPr>
            <w:r>
              <w:rPr>
                <w:w w:val="100"/>
                <w:sz w:val="24"/>
              </w:rPr>
              <w:t>+</w:t>
            </w:r>
          </w:p>
        </w:tc>
        <w:tc>
          <w:tcPr>
            <w:tcW w:w="1469" w:type="dxa"/>
          </w:tcPr>
          <w:p>
            <w:pPr>
              <w:pStyle w:val="TableParagraph"/>
              <w:rPr>
                <w:sz w:val="24"/>
              </w:rPr>
            </w:pPr>
            <w:r>
              <w:rPr>
                <w:sz w:val="24"/>
              </w:rPr>
              <w:t>16</w:t>
            </w:r>
          </w:p>
        </w:tc>
        <w:tc>
          <w:tcPr>
            <w:tcW w:w="1474" w:type="dxa"/>
          </w:tcPr>
          <w:p>
            <w:pPr>
              <w:pStyle w:val="TableParagraph"/>
              <w:rPr>
                <w:sz w:val="24"/>
              </w:rPr>
            </w:pPr>
            <w:r>
              <w:rPr>
                <w:w w:val="100"/>
                <w:sz w:val="24"/>
              </w:rPr>
              <w:t>+</w:t>
            </w:r>
          </w:p>
        </w:tc>
        <w:tc>
          <w:tcPr>
            <w:tcW w:w="1475" w:type="dxa"/>
          </w:tcPr>
          <w:p>
            <w:pPr>
              <w:pStyle w:val="TableParagraph"/>
              <w:ind w:left="106"/>
              <w:rPr>
                <w:sz w:val="24"/>
              </w:rPr>
            </w:pPr>
            <w:r>
              <w:rPr>
                <w:sz w:val="24"/>
              </w:rPr>
              <w:t>26</w:t>
            </w:r>
          </w:p>
        </w:tc>
        <w:tc>
          <w:tcPr>
            <w:tcW w:w="1469" w:type="dxa"/>
          </w:tcPr>
          <w:p>
            <w:pPr>
              <w:pStyle w:val="TableParagraph"/>
              <w:ind w:left="100"/>
              <w:rPr>
                <w:sz w:val="24"/>
              </w:rPr>
            </w:pPr>
            <w:r>
              <w:rPr>
                <w:w w:val="100"/>
                <w:sz w:val="24"/>
              </w:rPr>
              <w:t>+</w:t>
            </w:r>
          </w:p>
        </w:tc>
      </w:tr>
      <w:tr>
        <w:trPr>
          <w:trHeight w:val="288" w:hRule="exact"/>
        </w:trPr>
        <w:tc>
          <w:tcPr>
            <w:tcW w:w="1475" w:type="dxa"/>
          </w:tcPr>
          <w:p>
            <w:pPr>
              <w:pStyle w:val="TableParagraph"/>
              <w:spacing w:line="240" w:lineRule="auto"/>
              <w:ind w:left="106"/>
              <w:rPr>
                <w:sz w:val="24"/>
              </w:rPr>
            </w:pPr>
            <w:r>
              <w:rPr>
                <w:w w:val="99"/>
                <w:sz w:val="24"/>
              </w:rPr>
              <w:t>7</w:t>
            </w:r>
          </w:p>
        </w:tc>
        <w:tc>
          <w:tcPr>
            <w:tcW w:w="1469" w:type="dxa"/>
          </w:tcPr>
          <w:p>
            <w:pPr>
              <w:pStyle w:val="TableParagraph"/>
              <w:spacing w:line="240" w:lineRule="auto"/>
              <w:ind w:left="100"/>
              <w:rPr>
                <w:sz w:val="24"/>
              </w:rPr>
            </w:pPr>
            <w:r>
              <w:rPr>
                <w:w w:val="100"/>
                <w:sz w:val="24"/>
              </w:rPr>
              <w:t>+</w:t>
            </w:r>
          </w:p>
        </w:tc>
        <w:tc>
          <w:tcPr>
            <w:tcW w:w="1469" w:type="dxa"/>
          </w:tcPr>
          <w:p>
            <w:pPr>
              <w:pStyle w:val="TableParagraph"/>
              <w:spacing w:line="240" w:lineRule="auto"/>
              <w:rPr>
                <w:sz w:val="24"/>
              </w:rPr>
            </w:pPr>
            <w:r>
              <w:rPr>
                <w:sz w:val="24"/>
              </w:rPr>
              <w:t>17</w:t>
            </w:r>
          </w:p>
        </w:tc>
        <w:tc>
          <w:tcPr>
            <w:tcW w:w="1474" w:type="dxa"/>
          </w:tcPr>
          <w:p>
            <w:pPr>
              <w:pStyle w:val="TableParagraph"/>
              <w:spacing w:line="240" w:lineRule="auto"/>
              <w:rPr>
                <w:sz w:val="24"/>
              </w:rPr>
            </w:pPr>
            <w:r>
              <w:rPr>
                <w:w w:val="100"/>
                <w:sz w:val="24"/>
              </w:rPr>
              <w:t>+</w:t>
            </w:r>
          </w:p>
        </w:tc>
        <w:tc>
          <w:tcPr>
            <w:tcW w:w="1475" w:type="dxa"/>
          </w:tcPr>
          <w:p>
            <w:pPr>
              <w:pStyle w:val="TableParagraph"/>
              <w:spacing w:line="240" w:lineRule="auto"/>
              <w:ind w:left="106"/>
              <w:rPr>
                <w:sz w:val="24"/>
              </w:rPr>
            </w:pPr>
            <w:r>
              <w:rPr>
                <w:sz w:val="24"/>
              </w:rPr>
              <w:t>27</w:t>
            </w:r>
          </w:p>
        </w:tc>
        <w:tc>
          <w:tcPr>
            <w:tcW w:w="1469" w:type="dxa"/>
          </w:tcPr>
          <w:p>
            <w:pPr>
              <w:pStyle w:val="TableParagraph"/>
              <w:spacing w:line="240" w:lineRule="auto"/>
              <w:ind w:left="100"/>
              <w:rPr>
                <w:sz w:val="24"/>
              </w:rPr>
            </w:pPr>
            <w:r>
              <w:rPr>
                <w:w w:val="100"/>
                <w:sz w:val="24"/>
              </w:rPr>
              <w:t>+</w:t>
            </w:r>
          </w:p>
        </w:tc>
      </w:tr>
      <w:tr>
        <w:trPr>
          <w:trHeight w:val="288" w:hRule="exact"/>
        </w:trPr>
        <w:tc>
          <w:tcPr>
            <w:tcW w:w="1475" w:type="dxa"/>
          </w:tcPr>
          <w:p>
            <w:pPr>
              <w:pStyle w:val="TableParagraph"/>
              <w:ind w:left="106"/>
              <w:rPr>
                <w:sz w:val="24"/>
              </w:rPr>
            </w:pPr>
            <w:r>
              <w:rPr>
                <w:w w:val="99"/>
                <w:sz w:val="24"/>
              </w:rPr>
              <w:t>8</w:t>
            </w:r>
          </w:p>
        </w:tc>
        <w:tc>
          <w:tcPr>
            <w:tcW w:w="1469" w:type="dxa"/>
          </w:tcPr>
          <w:p>
            <w:pPr>
              <w:pStyle w:val="TableParagraph"/>
              <w:ind w:left="100"/>
              <w:rPr>
                <w:sz w:val="24"/>
              </w:rPr>
            </w:pPr>
            <w:r>
              <w:rPr>
                <w:w w:val="100"/>
                <w:sz w:val="24"/>
              </w:rPr>
              <w:t>+</w:t>
            </w:r>
          </w:p>
        </w:tc>
        <w:tc>
          <w:tcPr>
            <w:tcW w:w="1469" w:type="dxa"/>
          </w:tcPr>
          <w:p>
            <w:pPr>
              <w:pStyle w:val="TableParagraph"/>
              <w:rPr>
                <w:sz w:val="24"/>
              </w:rPr>
            </w:pPr>
            <w:r>
              <w:rPr>
                <w:sz w:val="24"/>
              </w:rPr>
              <w:t>18</w:t>
            </w:r>
          </w:p>
        </w:tc>
        <w:tc>
          <w:tcPr>
            <w:tcW w:w="1474" w:type="dxa"/>
          </w:tcPr>
          <w:p>
            <w:pPr>
              <w:pStyle w:val="TableParagraph"/>
              <w:rPr>
                <w:sz w:val="24"/>
              </w:rPr>
            </w:pPr>
            <w:r>
              <w:rPr>
                <w:w w:val="100"/>
                <w:sz w:val="24"/>
              </w:rPr>
              <w:t>+</w:t>
            </w:r>
          </w:p>
        </w:tc>
        <w:tc>
          <w:tcPr>
            <w:tcW w:w="1475" w:type="dxa"/>
          </w:tcPr>
          <w:p>
            <w:pPr>
              <w:pStyle w:val="TableParagraph"/>
              <w:ind w:left="106"/>
              <w:rPr>
                <w:sz w:val="24"/>
              </w:rPr>
            </w:pPr>
            <w:r>
              <w:rPr>
                <w:sz w:val="24"/>
              </w:rPr>
              <w:t>28</w:t>
            </w:r>
          </w:p>
        </w:tc>
        <w:tc>
          <w:tcPr>
            <w:tcW w:w="1469" w:type="dxa"/>
          </w:tcPr>
          <w:p>
            <w:pPr>
              <w:pStyle w:val="TableParagraph"/>
              <w:ind w:left="100"/>
              <w:rPr>
                <w:sz w:val="24"/>
              </w:rPr>
            </w:pPr>
            <w:r>
              <w:rPr>
                <w:w w:val="100"/>
                <w:sz w:val="24"/>
              </w:rPr>
              <w:t>+</w:t>
            </w:r>
          </w:p>
        </w:tc>
      </w:tr>
      <w:tr>
        <w:trPr>
          <w:trHeight w:val="284" w:hRule="exact"/>
        </w:trPr>
        <w:tc>
          <w:tcPr>
            <w:tcW w:w="1475" w:type="dxa"/>
          </w:tcPr>
          <w:p>
            <w:pPr>
              <w:pStyle w:val="TableParagraph"/>
              <w:ind w:left="106"/>
              <w:rPr>
                <w:sz w:val="24"/>
              </w:rPr>
            </w:pPr>
            <w:r>
              <w:rPr>
                <w:w w:val="99"/>
                <w:sz w:val="24"/>
              </w:rPr>
              <w:t>9</w:t>
            </w:r>
          </w:p>
        </w:tc>
        <w:tc>
          <w:tcPr>
            <w:tcW w:w="1469" w:type="dxa"/>
          </w:tcPr>
          <w:p>
            <w:pPr>
              <w:pStyle w:val="TableParagraph"/>
              <w:ind w:left="100"/>
              <w:rPr>
                <w:sz w:val="24"/>
              </w:rPr>
            </w:pPr>
            <w:r>
              <w:rPr>
                <w:w w:val="100"/>
                <w:sz w:val="24"/>
              </w:rPr>
              <w:t>+</w:t>
            </w:r>
          </w:p>
        </w:tc>
        <w:tc>
          <w:tcPr>
            <w:tcW w:w="1469" w:type="dxa"/>
          </w:tcPr>
          <w:p>
            <w:pPr>
              <w:pStyle w:val="TableParagraph"/>
              <w:rPr>
                <w:sz w:val="24"/>
              </w:rPr>
            </w:pPr>
            <w:r>
              <w:rPr>
                <w:sz w:val="24"/>
              </w:rPr>
              <w:t>19</w:t>
            </w:r>
          </w:p>
        </w:tc>
        <w:tc>
          <w:tcPr>
            <w:tcW w:w="1474" w:type="dxa"/>
          </w:tcPr>
          <w:p>
            <w:pPr>
              <w:pStyle w:val="TableParagraph"/>
              <w:rPr>
                <w:sz w:val="24"/>
              </w:rPr>
            </w:pPr>
            <w:r>
              <w:rPr>
                <w:w w:val="100"/>
                <w:sz w:val="24"/>
              </w:rPr>
              <w:t>+</w:t>
            </w:r>
          </w:p>
        </w:tc>
        <w:tc>
          <w:tcPr>
            <w:tcW w:w="1475" w:type="dxa"/>
          </w:tcPr>
          <w:p>
            <w:pPr>
              <w:pStyle w:val="TableParagraph"/>
              <w:ind w:left="106"/>
              <w:rPr>
                <w:sz w:val="24"/>
              </w:rPr>
            </w:pPr>
            <w:r>
              <w:rPr>
                <w:sz w:val="24"/>
              </w:rPr>
              <w:t>29</w:t>
            </w:r>
          </w:p>
        </w:tc>
        <w:tc>
          <w:tcPr>
            <w:tcW w:w="1469" w:type="dxa"/>
          </w:tcPr>
          <w:p>
            <w:pPr>
              <w:pStyle w:val="TableParagraph"/>
              <w:ind w:left="100"/>
              <w:rPr>
                <w:sz w:val="24"/>
              </w:rPr>
            </w:pPr>
            <w:r>
              <w:rPr>
                <w:w w:val="100"/>
                <w:sz w:val="24"/>
              </w:rPr>
              <w:t>+</w:t>
            </w:r>
          </w:p>
        </w:tc>
      </w:tr>
      <w:tr>
        <w:trPr>
          <w:trHeight w:val="288" w:hRule="exact"/>
        </w:trPr>
        <w:tc>
          <w:tcPr>
            <w:tcW w:w="1475" w:type="dxa"/>
          </w:tcPr>
          <w:p>
            <w:pPr>
              <w:pStyle w:val="TableParagraph"/>
              <w:ind w:left="106"/>
              <w:rPr>
                <w:sz w:val="24"/>
              </w:rPr>
            </w:pPr>
            <w:r>
              <w:rPr>
                <w:sz w:val="24"/>
              </w:rPr>
              <w:t>10</w:t>
            </w:r>
          </w:p>
        </w:tc>
        <w:tc>
          <w:tcPr>
            <w:tcW w:w="1469" w:type="dxa"/>
          </w:tcPr>
          <w:p>
            <w:pPr>
              <w:pStyle w:val="TableParagraph"/>
              <w:ind w:left="100"/>
              <w:rPr>
                <w:sz w:val="24"/>
              </w:rPr>
            </w:pPr>
            <w:r>
              <w:rPr>
                <w:w w:val="99"/>
                <w:sz w:val="24"/>
              </w:rPr>
              <w:t>-</w:t>
            </w:r>
          </w:p>
        </w:tc>
        <w:tc>
          <w:tcPr>
            <w:tcW w:w="1469" w:type="dxa"/>
          </w:tcPr>
          <w:p>
            <w:pPr>
              <w:pStyle w:val="TableParagraph"/>
              <w:rPr>
                <w:sz w:val="24"/>
              </w:rPr>
            </w:pPr>
            <w:r>
              <w:rPr>
                <w:sz w:val="24"/>
              </w:rPr>
              <w:t>20</w:t>
            </w:r>
          </w:p>
        </w:tc>
        <w:tc>
          <w:tcPr>
            <w:tcW w:w="1474" w:type="dxa"/>
          </w:tcPr>
          <w:p>
            <w:pPr>
              <w:pStyle w:val="TableParagraph"/>
              <w:rPr>
                <w:sz w:val="24"/>
              </w:rPr>
            </w:pPr>
            <w:r>
              <w:rPr>
                <w:w w:val="100"/>
                <w:sz w:val="24"/>
              </w:rPr>
              <w:t>+</w:t>
            </w:r>
          </w:p>
        </w:tc>
        <w:tc>
          <w:tcPr>
            <w:tcW w:w="1475" w:type="dxa"/>
          </w:tcPr>
          <w:p>
            <w:pPr>
              <w:pStyle w:val="TableParagraph"/>
              <w:ind w:left="106"/>
              <w:rPr>
                <w:sz w:val="24"/>
              </w:rPr>
            </w:pPr>
            <w:r>
              <w:rPr>
                <w:sz w:val="24"/>
              </w:rPr>
              <w:t>30</w:t>
            </w:r>
          </w:p>
        </w:tc>
        <w:tc>
          <w:tcPr>
            <w:tcW w:w="1469" w:type="dxa"/>
          </w:tcPr>
          <w:p>
            <w:pPr>
              <w:pStyle w:val="TableParagraph"/>
              <w:ind w:left="100"/>
              <w:rPr>
                <w:sz w:val="24"/>
              </w:rPr>
            </w:pPr>
            <w:r>
              <w:rPr>
                <w:w w:val="100"/>
                <w:sz w:val="24"/>
              </w:rPr>
              <w:t>+</w:t>
            </w:r>
          </w:p>
        </w:tc>
      </w:tr>
    </w:tbl>
    <w:p>
      <w:pPr>
        <w:spacing w:after="0"/>
        <w:rPr>
          <w:sz w:val="24"/>
        </w:rPr>
        <w:sectPr>
          <w:pgSz w:w="12240" w:h="15840"/>
          <w:pgMar w:header="752" w:footer="998" w:top="1000" w:bottom="1180" w:left="1560" w:right="1560"/>
        </w:sectPr>
      </w:pPr>
    </w:p>
    <w:p>
      <w:pPr>
        <w:pStyle w:val="BodyText"/>
        <w:rPr>
          <w:sz w:val="20"/>
        </w:rPr>
      </w:pPr>
    </w:p>
    <w:p>
      <w:pPr>
        <w:pStyle w:val="BodyText"/>
        <w:spacing w:before="6"/>
        <w:rPr>
          <w:sz w:val="16"/>
        </w:rPr>
      </w:pPr>
    </w:p>
    <w:p>
      <w:pPr>
        <w:tabs>
          <w:tab w:pos="2228" w:val="left" w:leader="none"/>
          <w:tab w:pos="2707" w:val="left" w:leader="none"/>
          <w:tab w:pos="3241" w:val="left" w:leader="none"/>
          <w:tab w:pos="3813" w:val="left" w:leader="none"/>
          <w:tab w:pos="4259" w:val="left" w:leader="none"/>
          <w:tab w:pos="4758" w:val="left" w:leader="none"/>
          <w:tab w:pos="5256" w:val="left" w:leader="none"/>
          <w:tab w:pos="5812" w:val="left" w:leader="none"/>
          <w:tab w:pos="6369" w:val="left" w:leader="none"/>
          <w:tab w:pos="6920" w:val="left" w:leader="none"/>
          <w:tab w:pos="7419" w:val="left" w:leader="none"/>
          <w:tab w:pos="7922" w:val="left" w:leader="none"/>
          <w:tab w:pos="8421" w:val="left" w:leader="none"/>
        </w:tabs>
        <w:spacing w:before="57"/>
        <w:ind w:left="855" w:right="0" w:firstLine="0"/>
        <w:jc w:val="left"/>
        <w:rPr>
          <w:b/>
          <w:sz w:val="20"/>
        </w:rPr>
      </w:pPr>
      <w:r>
        <w:rPr/>
        <w:pict>
          <v:group style="position:absolute;margin-left:153.220001pt;margin-top:-.616357pt;width:372.15pt;height:208.6pt;mso-position-horizontal-relative:page;mso-position-vertical-relative:paragraph;z-index:-93448" coordorigin="3064,-12" coordsize="7443,4172">
            <v:shape style="position:absolute;left:3370;top:-12;width:7138;height:4171" type="#_x0000_t75" stroked="false">
              <v:imagedata r:id="rId49" o:title=""/>
            </v:shape>
            <v:shape style="position:absolute;left:3064;top:273;width:615;height:2388" coordorigin="3064,273" coordsize="615,2388" path="m3590,2596l3560,2582,3468,2540,3469,2583,3064,2595,3065,2628,3470,2617,3472,2660,3590,2596m3631,350l3560,350,3540,350,3539,393,3631,350m3661,336l3542,273,3541,316,3166,304,3165,338,3540,349,3560,349,3632,349,3661,336m3679,1147l3646,1130,3559,1087,3559,1130,3079,1130,3079,1164,3559,1164,3559,1207,3646,1164,3679,1147e" filled="true" fillcolor="#000000" stroked="false">
              <v:path arrowok="t"/>
              <v:fill type="solid"/>
            </v:shape>
            <w10:wrap type="none"/>
          </v:group>
        </w:pict>
      </w:r>
      <w:r>
        <w:rPr>
          <w:rFonts w:ascii="Calibri"/>
          <w:b/>
          <w:position w:val="-10"/>
          <w:sz w:val="22"/>
        </w:rPr>
        <w:t>1000</w:t>
      </w:r>
      <w:r>
        <w:rPr>
          <w:rFonts w:ascii="Calibri"/>
          <w:b/>
          <w:spacing w:val="-5"/>
          <w:position w:val="-10"/>
          <w:sz w:val="22"/>
        </w:rPr>
        <w:t> </w:t>
      </w:r>
      <w:r>
        <w:rPr>
          <w:rFonts w:ascii="Calibri"/>
          <w:b/>
          <w:position w:val="-10"/>
          <w:sz w:val="22"/>
        </w:rPr>
        <w:t>pb</w:t>
        <w:tab/>
      </w:r>
      <w:r>
        <w:rPr>
          <w:rFonts w:ascii="Calibri"/>
          <w:color w:val="FFFFFF"/>
          <w:sz w:val="22"/>
        </w:rPr>
        <w:t>M</w:t>
        <w:tab/>
        <w:t>C-</w:t>
        <w:tab/>
        <w:t>C+</w:t>
        <w:tab/>
      </w:r>
      <w:r>
        <w:rPr>
          <w:b/>
          <w:color w:val="FFFFFF"/>
          <w:sz w:val="20"/>
        </w:rPr>
        <w:t>1</w:t>
        <w:tab/>
        <w:t>2</w:t>
        <w:tab/>
        <w:t>3</w:t>
        <w:tab/>
        <w:t>4</w:t>
        <w:tab/>
        <w:t>5</w:t>
        <w:tab/>
        <w:t>6</w:t>
        <w:tab/>
        <w:t>7</w:t>
        <w:tab/>
        <w:t>8</w:t>
        <w:tab/>
        <w:t>9</w:t>
        <w:tab/>
        <w:t>10</w:t>
      </w:r>
    </w:p>
    <w:p>
      <w:pPr>
        <w:pStyle w:val="BodyText"/>
        <w:spacing w:before="6"/>
        <w:rPr>
          <w:b/>
          <w:sz w:val="40"/>
        </w:rPr>
      </w:pPr>
    </w:p>
    <w:p>
      <w:pPr>
        <w:spacing w:before="1"/>
        <w:ind w:left="855" w:right="0" w:firstLine="0"/>
        <w:jc w:val="left"/>
        <w:rPr>
          <w:rFonts w:ascii="Calibri"/>
          <w:b/>
          <w:sz w:val="22"/>
        </w:rPr>
      </w:pPr>
      <w:r>
        <w:rPr>
          <w:rFonts w:ascii="Calibri"/>
          <w:b/>
          <w:sz w:val="22"/>
        </w:rPr>
        <w:t>500 pb</w:t>
      </w:r>
    </w:p>
    <w:p>
      <w:pPr>
        <w:pStyle w:val="BodyText"/>
        <w:rPr>
          <w:rFonts w:ascii="Calibri"/>
          <w:b/>
          <w:sz w:val="22"/>
        </w:rPr>
      </w:pPr>
    </w:p>
    <w:p>
      <w:pPr>
        <w:pStyle w:val="BodyText"/>
        <w:rPr>
          <w:rFonts w:ascii="Calibri"/>
          <w:b/>
          <w:sz w:val="22"/>
        </w:rPr>
      </w:pPr>
    </w:p>
    <w:p>
      <w:pPr>
        <w:pStyle w:val="BodyText"/>
        <w:rPr>
          <w:rFonts w:ascii="Calibri"/>
          <w:b/>
          <w:sz w:val="22"/>
        </w:rPr>
      </w:pPr>
    </w:p>
    <w:p>
      <w:pPr>
        <w:pStyle w:val="BodyText"/>
        <w:rPr>
          <w:rFonts w:ascii="Calibri"/>
          <w:b/>
          <w:sz w:val="22"/>
        </w:rPr>
      </w:pPr>
    </w:p>
    <w:p>
      <w:pPr>
        <w:spacing w:before="135"/>
        <w:ind w:left="855" w:right="0" w:firstLine="0"/>
        <w:jc w:val="left"/>
        <w:rPr>
          <w:rFonts w:ascii="Calibri"/>
          <w:b/>
          <w:sz w:val="22"/>
        </w:rPr>
      </w:pPr>
      <w:r>
        <w:rPr>
          <w:rFonts w:ascii="Calibri"/>
          <w:b/>
          <w:sz w:val="22"/>
        </w:rPr>
        <w:t>100 pb</w:t>
      </w: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spacing w:before="5"/>
        <w:rPr>
          <w:rFonts w:ascii="Calibri"/>
          <w:b/>
          <w:sz w:val="17"/>
        </w:rPr>
      </w:pPr>
    </w:p>
    <w:p>
      <w:pPr>
        <w:pStyle w:val="BodyText"/>
        <w:spacing w:line="276" w:lineRule="auto" w:before="70"/>
        <w:ind w:left="139" w:right="137"/>
        <w:jc w:val="both"/>
      </w:pPr>
      <w:r>
        <w:rPr/>
        <w:t>Figura 14: PCR anidado para la detección de FNO, utilizando los iniciadores iglCR e iglCF, para amplificar el gen iglC (intracellular growth locus C), especifico de la subespecie que afecta a tilapia. M: marcador, C-: control negativo, C+: control positivo, 1-10: muestras analizadas en gel de agarosa al 3%.</w:t>
      </w:r>
    </w:p>
    <w:p>
      <w:pPr>
        <w:pStyle w:val="BodyText"/>
        <w:spacing w:before="6"/>
        <w:rPr>
          <w:sz w:val="20"/>
        </w:rPr>
      </w:pPr>
    </w:p>
    <w:p>
      <w:pPr>
        <w:pStyle w:val="Heading1"/>
        <w:numPr>
          <w:ilvl w:val="0"/>
          <w:numId w:val="8"/>
        </w:numPr>
        <w:tabs>
          <w:tab w:pos="408" w:val="left" w:leader="none"/>
        </w:tabs>
        <w:spacing w:line="240" w:lineRule="auto" w:before="0" w:after="0"/>
        <w:ind w:left="408" w:right="0" w:hanging="269"/>
        <w:jc w:val="both"/>
      </w:pPr>
      <w:bookmarkStart w:name="_bookmark59" w:id="104"/>
      <w:bookmarkEnd w:id="104"/>
      <w:r>
        <w:rPr>
          <w:b w:val="0"/>
        </w:rPr>
      </w:r>
      <w:bookmarkStart w:name="_bookmark59" w:id="105"/>
      <w:bookmarkEnd w:id="105"/>
      <w:r>
        <w:rPr>
          <w:color w:val="365F91"/>
        </w:rPr>
        <w:t>A</w:t>
      </w:r>
      <w:r>
        <w:rPr>
          <w:color w:val="365F91"/>
        </w:rPr>
        <w:t>NALISIS DE LOS</w:t>
      </w:r>
      <w:r>
        <w:rPr>
          <w:color w:val="365F91"/>
          <w:spacing w:val="-10"/>
        </w:rPr>
        <w:t> </w:t>
      </w:r>
      <w:r>
        <w:rPr>
          <w:color w:val="365F91"/>
        </w:rPr>
        <w:t>DATOS</w:t>
      </w:r>
    </w:p>
    <w:p>
      <w:pPr>
        <w:pStyle w:val="BodyText"/>
        <w:spacing w:line="271" w:lineRule="auto" w:before="50"/>
        <w:ind w:left="139" w:right="135"/>
        <w:jc w:val="both"/>
      </w:pPr>
      <w:r>
        <w:rPr/>
        <w:t>Los</w:t>
      </w:r>
      <w:r>
        <w:rPr>
          <w:spacing w:val="-7"/>
        </w:rPr>
        <w:t> </w:t>
      </w:r>
      <w:r>
        <w:rPr/>
        <w:t>datos</w:t>
      </w:r>
      <w:r>
        <w:rPr>
          <w:spacing w:val="-12"/>
        </w:rPr>
        <w:t> </w:t>
      </w:r>
      <w:r>
        <w:rPr/>
        <w:t>obtenidos</w:t>
      </w:r>
      <w:r>
        <w:rPr>
          <w:spacing w:val="-7"/>
        </w:rPr>
        <w:t> </w:t>
      </w:r>
      <w:r>
        <w:rPr/>
        <w:t>se</w:t>
      </w:r>
      <w:r>
        <w:rPr>
          <w:spacing w:val="-7"/>
        </w:rPr>
        <w:t> </w:t>
      </w:r>
      <w:r>
        <w:rPr/>
        <w:t>ordenaron</w:t>
      </w:r>
      <w:r>
        <w:rPr>
          <w:spacing w:val="-9"/>
        </w:rPr>
        <w:t> </w:t>
      </w:r>
      <w:r>
        <w:rPr/>
        <w:t>en</w:t>
      </w:r>
      <w:r>
        <w:rPr>
          <w:spacing w:val="-6"/>
        </w:rPr>
        <w:t> </w:t>
      </w:r>
      <w:r>
        <w:rPr/>
        <w:t>una</w:t>
      </w:r>
      <w:r>
        <w:rPr>
          <w:spacing w:val="-6"/>
        </w:rPr>
        <w:t> </w:t>
      </w:r>
      <w:r>
        <w:rPr/>
        <w:t>tabla</w:t>
      </w:r>
      <w:r>
        <w:rPr>
          <w:spacing w:val="-5"/>
        </w:rPr>
        <w:t> </w:t>
      </w:r>
      <w:r>
        <w:rPr/>
        <w:t>(Tabla</w:t>
      </w:r>
      <w:r>
        <w:rPr>
          <w:spacing w:val="-6"/>
        </w:rPr>
        <w:t> </w:t>
      </w:r>
      <w:r>
        <w:rPr/>
        <w:t>6)</w:t>
      </w:r>
      <w:r>
        <w:rPr>
          <w:spacing w:val="-9"/>
        </w:rPr>
        <w:t> </w:t>
      </w:r>
      <w:r>
        <w:rPr/>
        <w:t>y</w:t>
      </w:r>
      <w:r>
        <w:rPr>
          <w:spacing w:val="-7"/>
        </w:rPr>
        <w:t> </w:t>
      </w:r>
      <w:r>
        <w:rPr/>
        <w:t>se</w:t>
      </w:r>
      <w:r>
        <w:rPr>
          <w:spacing w:val="-11"/>
        </w:rPr>
        <w:t> </w:t>
      </w:r>
      <w:r>
        <w:rPr/>
        <w:t>determinó</w:t>
      </w:r>
      <w:r>
        <w:rPr>
          <w:spacing w:val="-9"/>
        </w:rPr>
        <w:t> </w:t>
      </w:r>
      <w:r>
        <w:rPr/>
        <w:t>la</w:t>
      </w:r>
      <w:r>
        <w:rPr>
          <w:spacing w:val="-11"/>
        </w:rPr>
        <w:t> </w:t>
      </w:r>
      <w:r>
        <w:rPr/>
        <w:t>cantidad de muestras positivas y negativas según la técnica</w:t>
      </w:r>
      <w:r>
        <w:rPr>
          <w:spacing w:val="-16"/>
        </w:rPr>
        <w:t> </w:t>
      </w:r>
      <w:r>
        <w:rPr/>
        <w:t>utilizada.</w:t>
      </w:r>
    </w:p>
    <w:p>
      <w:pPr>
        <w:pStyle w:val="BodyText"/>
        <w:spacing w:line="266" w:lineRule="auto" w:before="212"/>
        <w:ind w:left="139" w:right="137"/>
        <w:jc w:val="both"/>
      </w:pPr>
      <w:r>
        <w:rPr/>
        <w:t>Tabla 6: Número total de muestras analizadas por diferentes técnicas de diagnóstico,</w:t>
      </w:r>
      <w:r>
        <w:rPr>
          <w:spacing w:val="-20"/>
        </w:rPr>
        <w:t> </w:t>
      </w:r>
      <w:r>
        <w:rPr/>
        <w:t>los</w:t>
      </w:r>
      <w:r>
        <w:rPr>
          <w:spacing w:val="-16"/>
        </w:rPr>
        <w:t> </w:t>
      </w:r>
      <w:r>
        <w:rPr/>
        <w:t>números</w:t>
      </w:r>
      <w:r>
        <w:rPr>
          <w:spacing w:val="-16"/>
        </w:rPr>
        <w:t> </w:t>
      </w:r>
      <w:r>
        <w:rPr/>
        <w:t>refieren</w:t>
      </w:r>
      <w:r>
        <w:rPr>
          <w:spacing w:val="-19"/>
        </w:rPr>
        <w:t> </w:t>
      </w:r>
      <w:r>
        <w:rPr/>
        <w:t>las</w:t>
      </w:r>
      <w:r>
        <w:rPr>
          <w:spacing w:val="-16"/>
        </w:rPr>
        <w:t> </w:t>
      </w:r>
      <w:r>
        <w:rPr/>
        <w:t>muestras</w:t>
      </w:r>
      <w:r>
        <w:rPr>
          <w:spacing w:val="-10"/>
        </w:rPr>
        <w:t> </w:t>
      </w:r>
      <w:r>
        <w:rPr>
          <w:b/>
        </w:rPr>
        <w:t>+</w:t>
      </w:r>
      <w:r>
        <w:rPr>
          <w:b/>
          <w:spacing w:val="-17"/>
        </w:rPr>
        <w:t> </w:t>
      </w:r>
      <w:r>
        <w:rPr/>
        <w:t>y</w:t>
      </w:r>
      <w:r>
        <w:rPr>
          <w:spacing w:val="-16"/>
        </w:rPr>
        <w:t> </w:t>
      </w:r>
      <w:r>
        <w:rPr>
          <w:b/>
        </w:rPr>
        <w:t>-</w:t>
      </w:r>
      <w:r>
        <w:rPr>
          <w:b/>
          <w:spacing w:val="-15"/>
        </w:rPr>
        <w:t> </w:t>
      </w:r>
      <w:r>
        <w:rPr/>
        <w:t>por</w:t>
      </w:r>
      <w:r>
        <w:rPr>
          <w:spacing w:val="-15"/>
        </w:rPr>
        <w:t> </w:t>
      </w:r>
      <w:r>
        <w:rPr/>
        <w:t>cada</w:t>
      </w:r>
      <w:r>
        <w:rPr>
          <w:spacing w:val="-14"/>
        </w:rPr>
        <w:t> </w:t>
      </w:r>
      <w:r>
        <w:rPr/>
        <w:t>técnica</w:t>
      </w:r>
      <w:r>
        <w:rPr>
          <w:spacing w:val="-19"/>
        </w:rPr>
        <w:t> </w:t>
      </w:r>
      <w:r>
        <w:rPr/>
        <w:t>de</w:t>
      </w:r>
      <w:r>
        <w:rPr>
          <w:spacing w:val="-16"/>
        </w:rPr>
        <w:t> </w:t>
      </w:r>
      <w:r>
        <w:rPr/>
        <w:t>diagnóstico.</w:t>
      </w:r>
    </w:p>
    <w:p>
      <w:pPr>
        <w:pStyle w:val="BodyText"/>
        <w:spacing w:before="8"/>
        <w:rPr>
          <w:sz w:val="19"/>
        </w:rPr>
      </w:pPr>
    </w:p>
    <w:tbl>
      <w:tblPr>
        <w:tblW w:w="0" w:type="auto"/>
        <w:jc w:val="left"/>
        <w:tblInd w:w="1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67"/>
        <w:gridCol w:w="1762"/>
        <w:gridCol w:w="1767"/>
        <w:gridCol w:w="1767"/>
        <w:gridCol w:w="1767"/>
      </w:tblGrid>
      <w:tr>
        <w:trPr>
          <w:trHeight w:val="562" w:hRule="exact"/>
        </w:trPr>
        <w:tc>
          <w:tcPr>
            <w:tcW w:w="1767" w:type="dxa"/>
          </w:tcPr>
          <w:p>
            <w:pPr>
              <w:pStyle w:val="TableParagraph"/>
              <w:spacing w:line="274" w:lineRule="exact" w:before="1"/>
              <w:ind w:left="106" w:right="444"/>
              <w:rPr>
                <w:sz w:val="24"/>
              </w:rPr>
            </w:pPr>
            <w:r>
              <w:rPr>
                <w:sz w:val="24"/>
              </w:rPr>
              <w:t>Numero de Muestras</w:t>
            </w:r>
          </w:p>
        </w:tc>
        <w:tc>
          <w:tcPr>
            <w:tcW w:w="1762" w:type="dxa"/>
          </w:tcPr>
          <w:p>
            <w:pPr>
              <w:pStyle w:val="TableParagraph"/>
              <w:spacing w:line="274" w:lineRule="exact" w:before="1"/>
              <w:ind w:right="147"/>
              <w:rPr>
                <w:sz w:val="24"/>
              </w:rPr>
            </w:pPr>
            <w:r>
              <w:rPr>
                <w:sz w:val="24"/>
              </w:rPr>
              <w:t>Dx Clínico y Macroscópico</w:t>
            </w:r>
          </w:p>
        </w:tc>
        <w:tc>
          <w:tcPr>
            <w:tcW w:w="1767" w:type="dxa"/>
          </w:tcPr>
          <w:p>
            <w:pPr>
              <w:pStyle w:val="TableParagraph"/>
              <w:rPr>
                <w:sz w:val="24"/>
              </w:rPr>
            </w:pPr>
            <w:r>
              <w:rPr>
                <w:sz w:val="24"/>
              </w:rPr>
              <w:t>Histopatología</w:t>
            </w:r>
          </w:p>
        </w:tc>
        <w:tc>
          <w:tcPr>
            <w:tcW w:w="1767" w:type="dxa"/>
          </w:tcPr>
          <w:p>
            <w:pPr>
              <w:pStyle w:val="TableParagraph"/>
              <w:spacing w:line="274" w:lineRule="exact" w:before="1"/>
              <w:ind w:right="458"/>
              <w:rPr>
                <w:sz w:val="24"/>
              </w:rPr>
            </w:pPr>
            <w:r>
              <w:rPr>
                <w:sz w:val="24"/>
              </w:rPr>
              <w:t>PCR punto final</w:t>
            </w:r>
          </w:p>
        </w:tc>
        <w:tc>
          <w:tcPr>
            <w:tcW w:w="1767" w:type="dxa"/>
          </w:tcPr>
          <w:p>
            <w:pPr>
              <w:pStyle w:val="TableParagraph"/>
              <w:rPr>
                <w:sz w:val="24"/>
              </w:rPr>
            </w:pPr>
            <w:r>
              <w:rPr>
                <w:sz w:val="24"/>
              </w:rPr>
              <w:t>PCR Anidada</w:t>
            </w:r>
          </w:p>
        </w:tc>
      </w:tr>
      <w:tr>
        <w:trPr>
          <w:trHeight w:val="283" w:hRule="exact"/>
        </w:trPr>
        <w:tc>
          <w:tcPr>
            <w:tcW w:w="1767" w:type="dxa"/>
          </w:tcPr>
          <w:p>
            <w:pPr>
              <w:pStyle w:val="TableParagraph"/>
              <w:ind w:left="106"/>
              <w:rPr>
                <w:sz w:val="24"/>
              </w:rPr>
            </w:pPr>
            <w:r>
              <w:rPr>
                <w:w w:val="99"/>
                <w:sz w:val="24"/>
              </w:rPr>
              <w:t>1</w:t>
            </w:r>
          </w:p>
        </w:tc>
        <w:tc>
          <w:tcPr>
            <w:tcW w:w="1762" w:type="dxa"/>
          </w:tcPr>
          <w:p>
            <w:pPr>
              <w:pStyle w:val="TableParagraph"/>
              <w:rPr>
                <w:sz w:val="24"/>
              </w:rPr>
            </w:pPr>
            <w:r>
              <w:rPr>
                <w:w w:val="99"/>
                <w:sz w:val="24"/>
              </w:rPr>
              <w:t>1</w:t>
            </w:r>
          </w:p>
        </w:tc>
        <w:tc>
          <w:tcPr>
            <w:tcW w:w="1767" w:type="dxa"/>
          </w:tcPr>
          <w:p>
            <w:pPr>
              <w:pStyle w:val="TableParagraph"/>
              <w:rPr>
                <w:sz w:val="24"/>
              </w:rPr>
            </w:pPr>
            <w:r>
              <w:rPr>
                <w:w w:val="99"/>
                <w:sz w:val="24"/>
              </w:rPr>
              <w:t>1</w:t>
            </w:r>
          </w:p>
        </w:tc>
        <w:tc>
          <w:tcPr>
            <w:tcW w:w="1767" w:type="dxa"/>
          </w:tcPr>
          <w:p>
            <w:pPr>
              <w:pStyle w:val="TableParagraph"/>
              <w:rPr>
                <w:sz w:val="24"/>
              </w:rPr>
            </w:pPr>
            <w:r>
              <w:rPr>
                <w:w w:val="99"/>
                <w:sz w:val="24"/>
              </w:rPr>
              <w:t>1</w:t>
            </w:r>
          </w:p>
        </w:tc>
        <w:tc>
          <w:tcPr>
            <w:tcW w:w="1767" w:type="dxa"/>
          </w:tcPr>
          <w:p>
            <w:pPr>
              <w:pStyle w:val="TableParagraph"/>
              <w:rPr>
                <w:sz w:val="24"/>
              </w:rPr>
            </w:pPr>
            <w:r>
              <w:rPr>
                <w:w w:val="99"/>
                <w:sz w:val="24"/>
              </w:rPr>
              <w:t>1</w:t>
            </w:r>
          </w:p>
        </w:tc>
      </w:tr>
      <w:tr>
        <w:trPr>
          <w:trHeight w:val="288" w:hRule="exact"/>
        </w:trPr>
        <w:tc>
          <w:tcPr>
            <w:tcW w:w="1767" w:type="dxa"/>
          </w:tcPr>
          <w:p>
            <w:pPr>
              <w:pStyle w:val="TableParagraph"/>
              <w:ind w:left="106"/>
              <w:rPr>
                <w:sz w:val="24"/>
              </w:rPr>
            </w:pPr>
            <w:r>
              <w:rPr>
                <w:w w:val="99"/>
                <w:sz w:val="24"/>
              </w:rPr>
              <w:t>2</w:t>
            </w:r>
          </w:p>
        </w:tc>
        <w:tc>
          <w:tcPr>
            <w:tcW w:w="1762" w:type="dxa"/>
          </w:tcPr>
          <w:p>
            <w:pPr>
              <w:pStyle w:val="TableParagraph"/>
              <w:rPr>
                <w:sz w:val="24"/>
              </w:rPr>
            </w:pPr>
            <w:r>
              <w:rPr>
                <w:w w:val="99"/>
                <w:sz w:val="24"/>
              </w:rPr>
              <w:t>1</w:t>
            </w:r>
          </w:p>
        </w:tc>
        <w:tc>
          <w:tcPr>
            <w:tcW w:w="1767" w:type="dxa"/>
          </w:tcPr>
          <w:p>
            <w:pPr>
              <w:pStyle w:val="TableParagraph"/>
              <w:rPr>
                <w:sz w:val="24"/>
              </w:rPr>
            </w:pPr>
            <w:r>
              <w:rPr>
                <w:w w:val="99"/>
                <w:sz w:val="24"/>
              </w:rPr>
              <w:t>1</w:t>
            </w:r>
          </w:p>
        </w:tc>
        <w:tc>
          <w:tcPr>
            <w:tcW w:w="1767" w:type="dxa"/>
          </w:tcPr>
          <w:p>
            <w:pPr>
              <w:pStyle w:val="TableParagraph"/>
              <w:rPr>
                <w:sz w:val="24"/>
              </w:rPr>
            </w:pPr>
            <w:r>
              <w:rPr>
                <w:w w:val="99"/>
                <w:sz w:val="24"/>
              </w:rPr>
              <w:t>1</w:t>
            </w:r>
          </w:p>
        </w:tc>
        <w:tc>
          <w:tcPr>
            <w:tcW w:w="1767" w:type="dxa"/>
          </w:tcPr>
          <w:p>
            <w:pPr>
              <w:pStyle w:val="TableParagraph"/>
              <w:rPr>
                <w:sz w:val="24"/>
              </w:rPr>
            </w:pPr>
            <w:r>
              <w:rPr>
                <w:w w:val="99"/>
                <w:sz w:val="24"/>
              </w:rPr>
              <w:t>1</w:t>
            </w:r>
          </w:p>
        </w:tc>
      </w:tr>
      <w:tr>
        <w:trPr>
          <w:trHeight w:val="283" w:hRule="exact"/>
        </w:trPr>
        <w:tc>
          <w:tcPr>
            <w:tcW w:w="1767" w:type="dxa"/>
          </w:tcPr>
          <w:p>
            <w:pPr>
              <w:pStyle w:val="TableParagraph"/>
              <w:ind w:left="106"/>
              <w:rPr>
                <w:sz w:val="24"/>
              </w:rPr>
            </w:pPr>
            <w:r>
              <w:rPr>
                <w:w w:val="99"/>
                <w:sz w:val="24"/>
              </w:rPr>
              <w:t>3</w:t>
            </w:r>
          </w:p>
        </w:tc>
        <w:tc>
          <w:tcPr>
            <w:tcW w:w="1762" w:type="dxa"/>
          </w:tcPr>
          <w:p>
            <w:pPr>
              <w:pStyle w:val="TableParagraph"/>
              <w:rPr>
                <w:sz w:val="24"/>
              </w:rPr>
            </w:pPr>
            <w:r>
              <w:rPr>
                <w:w w:val="99"/>
                <w:sz w:val="24"/>
              </w:rPr>
              <w:t>1</w:t>
            </w:r>
          </w:p>
        </w:tc>
        <w:tc>
          <w:tcPr>
            <w:tcW w:w="1767" w:type="dxa"/>
          </w:tcPr>
          <w:p>
            <w:pPr>
              <w:pStyle w:val="TableParagraph"/>
              <w:rPr>
                <w:sz w:val="24"/>
              </w:rPr>
            </w:pPr>
            <w:r>
              <w:rPr>
                <w:w w:val="99"/>
                <w:sz w:val="24"/>
              </w:rPr>
              <w:t>1</w:t>
            </w:r>
          </w:p>
        </w:tc>
        <w:tc>
          <w:tcPr>
            <w:tcW w:w="1767" w:type="dxa"/>
          </w:tcPr>
          <w:p>
            <w:pPr>
              <w:pStyle w:val="TableParagraph"/>
              <w:rPr>
                <w:sz w:val="24"/>
              </w:rPr>
            </w:pPr>
            <w:r>
              <w:rPr>
                <w:w w:val="99"/>
                <w:sz w:val="24"/>
              </w:rPr>
              <w:t>1</w:t>
            </w:r>
          </w:p>
        </w:tc>
        <w:tc>
          <w:tcPr>
            <w:tcW w:w="1767" w:type="dxa"/>
          </w:tcPr>
          <w:p>
            <w:pPr>
              <w:pStyle w:val="TableParagraph"/>
              <w:rPr>
                <w:sz w:val="24"/>
              </w:rPr>
            </w:pPr>
            <w:r>
              <w:rPr>
                <w:w w:val="99"/>
                <w:sz w:val="24"/>
              </w:rPr>
              <w:t>1</w:t>
            </w:r>
          </w:p>
        </w:tc>
      </w:tr>
      <w:tr>
        <w:trPr>
          <w:trHeight w:val="289" w:hRule="exact"/>
        </w:trPr>
        <w:tc>
          <w:tcPr>
            <w:tcW w:w="1767" w:type="dxa"/>
          </w:tcPr>
          <w:p>
            <w:pPr>
              <w:pStyle w:val="TableParagraph"/>
              <w:spacing w:line="240" w:lineRule="auto" w:before="1"/>
              <w:ind w:left="106"/>
              <w:rPr>
                <w:sz w:val="24"/>
              </w:rPr>
            </w:pPr>
            <w:r>
              <w:rPr>
                <w:w w:val="99"/>
                <w:sz w:val="24"/>
              </w:rPr>
              <w:t>4</w:t>
            </w:r>
          </w:p>
        </w:tc>
        <w:tc>
          <w:tcPr>
            <w:tcW w:w="1762" w:type="dxa"/>
          </w:tcPr>
          <w:p>
            <w:pPr>
              <w:pStyle w:val="TableParagraph"/>
              <w:spacing w:line="240" w:lineRule="auto" w:before="1"/>
              <w:rPr>
                <w:sz w:val="24"/>
              </w:rPr>
            </w:pPr>
            <w:r>
              <w:rPr>
                <w:w w:val="99"/>
                <w:sz w:val="24"/>
              </w:rPr>
              <w:t>1</w:t>
            </w:r>
          </w:p>
        </w:tc>
        <w:tc>
          <w:tcPr>
            <w:tcW w:w="1767" w:type="dxa"/>
          </w:tcPr>
          <w:p>
            <w:pPr>
              <w:pStyle w:val="TableParagraph"/>
              <w:spacing w:line="240" w:lineRule="auto" w:before="1"/>
              <w:rPr>
                <w:sz w:val="24"/>
              </w:rPr>
            </w:pPr>
            <w:r>
              <w:rPr>
                <w:w w:val="99"/>
                <w:sz w:val="24"/>
              </w:rPr>
              <w:t>1</w:t>
            </w:r>
          </w:p>
        </w:tc>
        <w:tc>
          <w:tcPr>
            <w:tcW w:w="1767" w:type="dxa"/>
          </w:tcPr>
          <w:p>
            <w:pPr>
              <w:pStyle w:val="TableParagraph"/>
              <w:spacing w:line="240" w:lineRule="auto" w:before="1"/>
              <w:rPr>
                <w:sz w:val="24"/>
              </w:rPr>
            </w:pPr>
            <w:r>
              <w:rPr>
                <w:w w:val="99"/>
                <w:sz w:val="24"/>
              </w:rPr>
              <w:t>1</w:t>
            </w:r>
          </w:p>
        </w:tc>
        <w:tc>
          <w:tcPr>
            <w:tcW w:w="1767" w:type="dxa"/>
          </w:tcPr>
          <w:p>
            <w:pPr>
              <w:pStyle w:val="TableParagraph"/>
              <w:spacing w:line="240" w:lineRule="auto" w:before="1"/>
              <w:rPr>
                <w:sz w:val="24"/>
              </w:rPr>
            </w:pPr>
            <w:r>
              <w:rPr>
                <w:w w:val="99"/>
                <w:sz w:val="24"/>
              </w:rPr>
              <w:t>1</w:t>
            </w:r>
          </w:p>
        </w:tc>
      </w:tr>
      <w:tr>
        <w:trPr>
          <w:trHeight w:val="288" w:hRule="exact"/>
        </w:trPr>
        <w:tc>
          <w:tcPr>
            <w:tcW w:w="1767" w:type="dxa"/>
          </w:tcPr>
          <w:p>
            <w:pPr>
              <w:pStyle w:val="TableParagraph"/>
              <w:ind w:left="106"/>
              <w:rPr>
                <w:sz w:val="24"/>
              </w:rPr>
            </w:pPr>
            <w:r>
              <w:rPr>
                <w:w w:val="99"/>
                <w:sz w:val="24"/>
              </w:rPr>
              <w:t>5</w:t>
            </w:r>
          </w:p>
        </w:tc>
        <w:tc>
          <w:tcPr>
            <w:tcW w:w="1762" w:type="dxa"/>
          </w:tcPr>
          <w:p>
            <w:pPr>
              <w:pStyle w:val="TableParagraph"/>
              <w:rPr>
                <w:sz w:val="24"/>
              </w:rPr>
            </w:pPr>
            <w:r>
              <w:rPr>
                <w:w w:val="99"/>
                <w:sz w:val="24"/>
              </w:rPr>
              <w:t>1</w:t>
            </w:r>
          </w:p>
        </w:tc>
        <w:tc>
          <w:tcPr>
            <w:tcW w:w="1767" w:type="dxa"/>
          </w:tcPr>
          <w:p>
            <w:pPr>
              <w:pStyle w:val="TableParagraph"/>
              <w:rPr>
                <w:sz w:val="24"/>
              </w:rPr>
            </w:pPr>
            <w:r>
              <w:rPr>
                <w:w w:val="99"/>
                <w:sz w:val="24"/>
              </w:rPr>
              <w:t>2</w:t>
            </w:r>
          </w:p>
        </w:tc>
        <w:tc>
          <w:tcPr>
            <w:tcW w:w="1767" w:type="dxa"/>
          </w:tcPr>
          <w:p>
            <w:pPr>
              <w:pStyle w:val="TableParagraph"/>
              <w:rPr>
                <w:sz w:val="24"/>
              </w:rPr>
            </w:pPr>
            <w:r>
              <w:rPr>
                <w:w w:val="99"/>
                <w:sz w:val="24"/>
              </w:rPr>
              <w:t>1</w:t>
            </w:r>
          </w:p>
        </w:tc>
        <w:tc>
          <w:tcPr>
            <w:tcW w:w="1767" w:type="dxa"/>
          </w:tcPr>
          <w:p>
            <w:pPr>
              <w:pStyle w:val="TableParagraph"/>
              <w:rPr>
                <w:sz w:val="24"/>
              </w:rPr>
            </w:pPr>
            <w:r>
              <w:rPr>
                <w:w w:val="99"/>
                <w:sz w:val="24"/>
              </w:rPr>
              <w:t>1</w:t>
            </w:r>
          </w:p>
        </w:tc>
      </w:tr>
      <w:tr>
        <w:trPr>
          <w:trHeight w:val="283" w:hRule="exact"/>
        </w:trPr>
        <w:tc>
          <w:tcPr>
            <w:tcW w:w="1767" w:type="dxa"/>
          </w:tcPr>
          <w:p>
            <w:pPr>
              <w:pStyle w:val="TableParagraph"/>
              <w:ind w:left="106"/>
              <w:rPr>
                <w:sz w:val="24"/>
              </w:rPr>
            </w:pPr>
            <w:r>
              <w:rPr>
                <w:w w:val="99"/>
                <w:sz w:val="24"/>
              </w:rPr>
              <w:t>6</w:t>
            </w:r>
          </w:p>
        </w:tc>
        <w:tc>
          <w:tcPr>
            <w:tcW w:w="1762" w:type="dxa"/>
          </w:tcPr>
          <w:p>
            <w:pPr>
              <w:pStyle w:val="TableParagraph"/>
              <w:rPr>
                <w:sz w:val="24"/>
              </w:rPr>
            </w:pPr>
            <w:r>
              <w:rPr>
                <w:w w:val="99"/>
                <w:sz w:val="24"/>
              </w:rPr>
              <w:t>1</w:t>
            </w:r>
          </w:p>
        </w:tc>
        <w:tc>
          <w:tcPr>
            <w:tcW w:w="1767" w:type="dxa"/>
          </w:tcPr>
          <w:p>
            <w:pPr>
              <w:pStyle w:val="TableParagraph"/>
              <w:rPr>
                <w:sz w:val="24"/>
              </w:rPr>
            </w:pPr>
            <w:r>
              <w:rPr>
                <w:w w:val="99"/>
                <w:sz w:val="24"/>
              </w:rPr>
              <w:t>1</w:t>
            </w:r>
          </w:p>
        </w:tc>
        <w:tc>
          <w:tcPr>
            <w:tcW w:w="1767" w:type="dxa"/>
          </w:tcPr>
          <w:p>
            <w:pPr>
              <w:pStyle w:val="TableParagraph"/>
              <w:rPr>
                <w:sz w:val="24"/>
              </w:rPr>
            </w:pPr>
            <w:r>
              <w:rPr>
                <w:w w:val="99"/>
                <w:sz w:val="24"/>
              </w:rPr>
              <w:t>1</w:t>
            </w:r>
          </w:p>
        </w:tc>
        <w:tc>
          <w:tcPr>
            <w:tcW w:w="1767" w:type="dxa"/>
          </w:tcPr>
          <w:p>
            <w:pPr>
              <w:pStyle w:val="TableParagraph"/>
              <w:rPr>
                <w:sz w:val="24"/>
              </w:rPr>
            </w:pPr>
            <w:r>
              <w:rPr>
                <w:w w:val="99"/>
                <w:sz w:val="24"/>
              </w:rPr>
              <w:t>1</w:t>
            </w:r>
          </w:p>
        </w:tc>
      </w:tr>
      <w:tr>
        <w:trPr>
          <w:trHeight w:val="288" w:hRule="exact"/>
        </w:trPr>
        <w:tc>
          <w:tcPr>
            <w:tcW w:w="1767" w:type="dxa"/>
          </w:tcPr>
          <w:p>
            <w:pPr>
              <w:pStyle w:val="TableParagraph"/>
              <w:ind w:left="106"/>
              <w:rPr>
                <w:sz w:val="24"/>
              </w:rPr>
            </w:pPr>
            <w:r>
              <w:rPr>
                <w:w w:val="99"/>
                <w:sz w:val="24"/>
              </w:rPr>
              <w:t>7</w:t>
            </w:r>
          </w:p>
        </w:tc>
        <w:tc>
          <w:tcPr>
            <w:tcW w:w="1762" w:type="dxa"/>
          </w:tcPr>
          <w:p>
            <w:pPr>
              <w:pStyle w:val="TableParagraph"/>
              <w:rPr>
                <w:sz w:val="24"/>
              </w:rPr>
            </w:pPr>
            <w:r>
              <w:rPr>
                <w:w w:val="99"/>
                <w:sz w:val="24"/>
              </w:rPr>
              <w:t>1</w:t>
            </w:r>
          </w:p>
        </w:tc>
        <w:tc>
          <w:tcPr>
            <w:tcW w:w="1767" w:type="dxa"/>
          </w:tcPr>
          <w:p>
            <w:pPr>
              <w:pStyle w:val="TableParagraph"/>
              <w:rPr>
                <w:sz w:val="24"/>
              </w:rPr>
            </w:pPr>
            <w:r>
              <w:rPr>
                <w:w w:val="99"/>
                <w:sz w:val="24"/>
              </w:rPr>
              <w:t>1</w:t>
            </w:r>
          </w:p>
        </w:tc>
        <w:tc>
          <w:tcPr>
            <w:tcW w:w="1767" w:type="dxa"/>
          </w:tcPr>
          <w:p>
            <w:pPr>
              <w:pStyle w:val="TableParagraph"/>
              <w:rPr>
                <w:sz w:val="24"/>
              </w:rPr>
            </w:pPr>
            <w:r>
              <w:rPr>
                <w:w w:val="99"/>
                <w:sz w:val="24"/>
              </w:rPr>
              <w:t>1</w:t>
            </w:r>
          </w:p>
        </w:tc>
        <w:tc>
          <w:tcPr>
            <w:tcW w:w="1767" w:type="dxa"/>
          </w:tcPr>
          <w:p>
            <w:pPr>
              <w:pStyle w:val="TableParagraph"/>
              <w:rPr>
                <w:sz w:val="24"/>
              </w:rPr>
            </w:pPr>
            <w:r>
              <w:rPr>
                <w:w w:val="99"/>
                <w:sz w:val="24"/>
              </w:rPr>
              <w:t>1</w:t>
            </w:r>
          </w:p>
        </w:tc>
      </w:tr>
      <w:tr>
        <w:trPr>
          <w:trHeight w:val="283" w:hRule="exact"/>
        </w:trPr>
        <w:tc>
          <w:tcPr>
            <w:tcW w:w="1767" w:type="dxa"/>
          </w:tcPr>
          <w:p>
            <w:pPr>
              <w:pStyle w:val="TableParagraph"/>
              <w:ind w:left="106"/>
              <w:rPr>
                <w:sz w:val="24"/>
              </w:rPr>
            </w:pPr>
            <w:r>
              <w:rPr>
                <w:w w:val="99"/>
                <w:sz w:val="24"/>
              </w:rPr>
              <w:t>8</w:t>
            </w:r>
          </w:p>
        </w:tc>
        <w:tc>
          <w:tcPr>
            <w:tcW w:w="1762" w:type="dxa"/>
          </w:tcPr>
          <w:p>
            <w:pPr>
              <w:pStyle w:val="TableParagraph"/>
              <w:rPr>
                <w:sz w:val="24"/>
              </w:rPr>
            </w:pPr>
            <w:r>
              <w:rPr>
                <w:w w:val="99"/>
                <w:sz w:val="24"/>
              </w:rPr>
              <w:t>1</w:t>
            </w:r>
          </w:p>
        </w:tc>
        <w:tc>
          <w:tcPr>
            <w:tcW w:w="1767" w:type="dxa"/>
          </w:tcPr>
          <w:p>
            <w:pPr>
              <w:pStyle w:val="TableParagraph"/>
              <w:rPr>
                <w:sz w:val="24"/>
              </w:rPr>
            </w:pPr>
            <w:r>
              <w:rPr>
                <w:w w:val="99"/>
                <w:sz w:val="24"/>
              </w:rPr>
              <w:t>1</w:t>
            </w:r>
          </w:p>
        </w:tc>
        <w:tc>
          <w:tcPr>
            <w:tcW w:w="1767" w:type="dxa"/>
          </w:tcPr>
          <w:p>
            <w:pPr>
              <w:pStyle w:val="TableParagraph"/>
              <w:rPr>
                <w:sz w:val="24"/>
              </w:rPr>
            </w:pPr>
            <w:r>
              <w:rPr>
                <w:w w:val="99"/>
                <w:sz w:val="24"/>
              </w:rPr>
              <w:t>2</w:t>
            </w:r>
          </w:p>
        </w:tc>
        <w:tc>
          <w:tcPr>
            <w:tcW w:w="1767" w:type="dxa"/>
          </w:tcPr>
          <w:p>
            <w:pPr>
              <w:pStyle w:val="TableParagraph"/>
              <w:rPr>
                <w:sz w:val="24"/>
              </w:rPr>
            </w:pPr>
            <w:r>
              <w:rPr>
                <w:w w:val="99"/>
                <w:sz w:val="24"/>
              </w:rPr>
              <w:t>1</w:t>
            </w:r>
          </w:p>
        </w:tc>
      </w:tr>
      <w:tr>
        <w:trPr>
          <w:trHeight w:val="288" w:hRule="exact"/>
        </w:trPr>
        <w:tc>
          <w:tcPr>
            <w:tcW w:w="1767" w:type="dxa"/>
          </w:tcPr>
          <w:p>
            <w:pPr>
              <w:pStyle w:val="TableParagraph"/>
              <w:ind w:left="106"/>
              <w:rPr>
                <w:sz w:val="24"/>
              </w:rPr>
            </w:pPr>
            <w:r>
              <w:rPr>
                <w:w w:val="99"/>
                <w:sz w:val="24"/>
              </w:rPr>
              <w:t>9</w:t>
            </w:r>
          </w:p>
        </w:tc>
        <w:tc>
          <w:tcPr>
            <w:tcW w:w="1762" w:type="dxa"/>
          </w:tcPr>
          <w:p>
            <w:pPr>
              <w:pStyle w:val="TableParagraph"/>
              <w:rPr>
                <w:sz w:val="24"/>
              </w:rPr>
            </w:pPr>
            <w:r>
              <w:rPr>
                <w:w w:val="99"/>
                <w:sz w:val="24"/>
              </w:rPr>
              <w:t>1</w:t>
            </w:r>
          </w:p>
        </w:tc>
        <w:tc>
          <w:tcPr>
            <w:tcW w:w="1767" w:type="dxa"/>
          </w:tcPr>
          <w:p>
            <w:pPr>
              <w:pStyle w:val="TableParagraph"/>
              <w:rPr>
                <w:sz w:val="24"/>
              </w:rPr>
            </w:pPr>
            <w:r>
              <w:rPr>
                <w:w w:val="99"/>
                <w:sz w:val="24"/>
              </w:rPr>
              <w:t>1</w:t>
            </w:r>
          </w:p>
        </w:tc>
        <w:tc>
          <w:tcPr>
            <w:tcW w:w="1767" w:type="dxa"/>
          </w:tcPr>
          <w:p>
            <w:pPr>
              <w:pStyle w:val="TableParagraph"/>
              <w:rPr>
                <w:sz w:val="24"/>
              </w:rPr>
            </w:pPr>
            <w:r>
              <w:rPr>
                <w:w w:val="99"/>
                <w:sz w:val="24"/>
              </w:rPr>
              <w:t>1</w:t>
            </w:r>
          </w:p>
        </w:tc>
        <w:tc>
          <w:tcPr>
            <w:tcW w:w="1767" w:type="dxa"/>
          </w:tcPr>
          <w:p>
            <w:pPr>
              <w:pStyle w:val="TableParagraph"/>
              <w:rPr>
                <w:sz w:val="24"/>
              </w:rPr>
            </w:pPr>
            <w:r>
              <w:rPr>
                <w:w w:val="99"/>
                <w:sz w:val="24"/>
              </w:rPr>
              <w:t>1</w:t>
            </w:r>
          </w:p>
        </w:tc>
      </w:tr>
      <w:tr>
        <w:trPr>
          <w:trHeight w:val="288" w:hRule="exact"/>
        </w:trPr>
        <w:tc>
          <w:tcPr>
            <w:tcW w:w="1767" w:type="dxa"/>
          </w:tcPr>
          <w:p>
            <w:pPr>
              <w:pStyle w:val="TableParagraph"/>
              <w:ind w:left="106" w:right="444"/>
              <w:rPr>
                <w:sz w:val="24"/>
              </w:rPr>
            </w:pPr>
            <w:r>
              <w:rPr>
                <w:sz w:val="24"/>
              </w:rPr>
              <w:t>10</w:t>
            </w:r>
          </w:p>
        </w:tc>
        <w:tc>
          <w:tcPr>
            <w:tcW w:w="1762" w:type="dxa"/>
          </w:tcPr>
          <w:p>
            <w:pPr>
              <w:pStyle w:val="TableParagraph"/>
              <w:rPr>
                <w:sz w:val="24"/>
              </w:rPr>
            </w:pPr>
            <w:r>
              <w:rPr>
                <w:w w:val="99"/>
                <w:sz w:val="24"/>
              </w:rPr>
              <w:t>2</w:t>
            </w:r>
          </w:p>
        </w:tc>
        <w:tc>
          <w:tcPr>
            <w:tcW w:w="1767" w:type="dxa"/>
          </w:tcPr>
          <w:p>
            <w:pPr>
              <w:pStyle w:val="TableParagraph"/>
              <w:rPr>
                <w:sz w:val="24"/>
              </w:rPr>
            </w:pPr>
            <w:r>
              <w:rPr>
                <w:w w:val="99"/>
                <w:sz w:val="24"/>
              </w:rPr>
              <w:t>2</w:t>
            </w:r>
          </w:p>
        </w:tc>
        <w:tc>
          <w:tcPr>
            <w:tcW w:w="1767" w:type="dxa"/>
          </w:tcPr>
          <w:p>
            <w:pPr>
              <w:pStyle w:val="TableParagraph"/>
              <w:rPr>
                <w:sz w:val="24"/>
              </w:rPr>
            </w:pPr>
            <w:r>
              <w:rPr>
                <w:w w:val="99"/>
                <w:sz w:val="24"/>
              </w:rPr>
              <w:t>2</w:t>
            </w:r>
          </w:p>
        </w:tc>
        <w:tc>
          <w:tcPr>
            <w:tcW w:w="1767" w:type="dxa"/>
          </w:tcPr>
          <w:p>
            <w:pPr>
              <w:pStyle w:val="TableParagraph"/>
              <w:rPr>
                <w:sz w:val="24"/>
              </w:rPr>
            </w:pPr>
            <w:r>
              <w:rPr>
                <w:w w:val="99"/>
                <w:sz w:val="24"/>
              </w:rPr>
              <w:t>2</w:t>
            </w:r>
          </w:p>
        </w:tc>
      </w:tr>
      <w:tr>
        <w:trPr>
          <w:trHeight w:val="283" w:hRule="exact"/>
        </w:trPr>
        <w:tc>
          <w:tcPr>
            <w:tcW w:w="1767" w:type="dxa"/>
          </w:tcPr>
          <w:p>
            <w:pPr>
              <w:pStyle w:val="TableParagraph"/>
              <w:ind w:left="106" w:right="444"/>
              <w:rPr>
                <w:sz w:val="24"/>
              </w:rPr>
            </w:pPr>
            <w:r>
              <w:rPr>
                <w:sz w:val="24"/>
              </w:rPr>
              <w:t>11</w:t>
            </w:r>
          </w:p>
        </w:tc>
        <w:tc>
          <w:tcPr>
            <w:tcW w:w="1762" w:type="dxa"/>
          </w:tcPr>
          <w:p>
            <w:pPr>
              <w:pStyle w:val="TableParagraph"/>
              <w:rPr>
                <w:sz w:val="24"/>
              </w:rPr>
            </w:pPr>
            <w:r>
              <w:rPr>
                <w:w w:val="99"/>
                <w:sz w:val="24"/>
              </w:rPr>
              <w:t>2</w:t>
            </w:r>
          </w:p>
        </w:tc>
        <w:tc>
          <w:tcPr>
            <w:tcW w:w="1767" w:type="dxa"/>
          </w:tcPr>
          <w:p>
            <w:pPr>
              <w:pStyle w:val="TableParagraph"/>
              <w:rPr>
                <w:sz w:val="24"/>
              </w:rPr>
            </w:pPr>
            <w:r>
              <w:rPr>
                <w:w w:val="99"/>
                <w:sz w:val="24"/>
              </w:rPr>
              <w:t>1</w:t>
            </w:r>
          </w:p>
        </w:tc>
        <w:tc>
          <w:tcPr>
            <w:tcW w:w="1767" w:type="dxa"/>
          </w:tcPr>
          <w:p>
            <w:pPr>
              <w:pStyle w:val="TableParagraph"/>
              <w:rPr>
                <w:sz w:val="24"/>
              </w:rPr>
            </w:pPr>
            <w:r>
              <w:rPr>
                <w:w w:val="99"/>
                <w:sz w:val="24"/>
              </w:rPr>
              <w:t>1</w:t>
            </w:r>
          </w:p>
        </w:tc>
        <w:tc>
          <w:tcPr>
            <w:tcW w:w="1767" w:type="dxa"/>
          </w:tcPr>
          <w:p>
            <w:pPr>
              <w:pStyle w:val="TableParagraph"/>
              <w:rPr>
                <w:sz w:val="24"/>
              </w:rPr>
            </w:pPr>
            <w:r>
              <w:rPr>
                <w:w w:val="99"/>
                <w:sz w:val="24"/>
              </w:rPr>
              <w:t>1</w:t>
            </w:r>
          </w:p>
        </w:tc>
      </w:tr>
      <w:tr>
        <w:trPr>
          <w:trHeight w:val="288" w:hRule="exact"/>
        </w:trPr>
        <w:tc>
          <w:tcPr>
            <w:tcW w:w="1767" w:type="dxa"/>
          </w:tcPr>
          <w:p>
            <w:pPr>
              <w:pStyle w:val="TableParagraph"/>
              <w:ind w:left="106" w:right="444"/>
              <w:rPr>
                <w:sz w:val="24"/>
              </w:rPr>
            </w:pPr>
            <w:r>
              <w:rPr>
                <w:sz w:val="24"/>
              </w:rPr>
              <w:t>12</w:t>
            </w:r>
          </w:p>
        </w:tc>
        <w:tc>
          <w:tcPr>
            <w:tcW w:w="1762" w:type="dxa"/>
          </w:tcPr>
          <w:p>
            <w:pPr>
              <w:pStyle w:val="TableParagraph"/>
              <w:rPr>
                <w:sz w:val="24"/>
              </w:rPr>
            </w:pPr>
            <w:r>
              <w:rPr>
                <w:w w:val="99"/>
                <w:sz w:val="24"/>
              </w:rPr>
              <w:t>2</w:t>
            </w:r>
          </w:p>
        </w:tc>
        <w:tc>
          <w:tcPr>
            <w:tcW w:w="1767" w:type="dxa"/>
          </w:tcPr>
          <w:p>
            <w:pPr>
              <w:pStyle w:val="TableParagraph"/>
              <w:rPr>
                <w:sz w:val="24"/>
              </w:rPr>
            </w:pPr>
            <w:r>
              <w:rPr>
                <w:w w:val="99"/>
                <w:sz w:val="24"/>
              </w:rPr>
              <w:t>1</w:t>
            </w:r>
          </w:p>
        </w:tc>
        <w:tc>
          <w:tcPr>
            <w:tcW w:w="1767" w:type="dxa"/>
          </w:tcPr>
          <w:p>
            <w:pPr>
              <w:pStyle w:val="TableParagraph"/>
              <w:rPr>
                <w:sz w:val="24"/>
              </w:rPr>
            </w:pPr>
            <w:r>
              <w:rPr>
                <w:w w:val="99"/>
                <w:sz w:val="24"/>
              </w:rPr>
              <w:t>1</w:t>
            </w:r>
          </w:p>
        </w:tc>
        <w:tc>
          <w:tcPr>
            <w:tcW w:w="1767" w:type="dxa"/>
          </w:tcPr>
          <w:p>
            <w:pPr>
              <w:pStyle w:val="TableParagraph"/>
              <w:rPr>
                <w:sz w:val="24"/>
              </w:rPr>
            </w:pPr>
            <w:r>
              <w:rPr>
                <w:w w:val="99"/>
                <w:sz w:val="24"/>
              </w:rPr>
              <w:t>1</w:t>
            </w:r>
          </w:p>
        </w:tc>
      </w:tr>
      <w:tr>
        <w:trPr>
          <w:trHeight w:val="283" w:hRule="exact"/>
        </w:trPr>
        <w:tc>
          <w:tcPr>
            <w:tcW w:w="1767" w:type="dxa"/>
          </w:tcPr>
          <w:p>
            <w:pPr>
              <w:pStyle w:val="TableParagraph"/>
              <w:ind w:left="106" w:right="444"/>
              <w:rPr>
                <w:sz w:val="24"/>
              </w:rPr>
            </w:pPr>
            <w:r>
              <w:rPr>
                <w:sz w:val="24"/>
              </w:rPr>
              <w:t>13</w:t>
            </w:r>
          </w:p>
        </w:tc>
        <w:tc>
          <w:tcPr>
            <w:tcW w:w="1762" w:type="dxa"/>
          </w:tcPr>
          <w:p>
            <w:pPr>
              <w:pStyle w:val="TableParagraph"/>
              <w:rPr>
                <w:sz w:val="24"/>
              </w:rPr>
            </w:pPr>
            <w:r>
              <w:rPr>
                <w:w w:val="99"/>
                <w:sz w:val="24"/>
              </w:rPr>
              <w:t>1</w:t>
            </w:r>
          </w:p>
        </w:tc>
        <w:tc>
          <w:tcPr>
            <w:tcW w:w="1767" w:type="dxa"/>
          </w:tcPr>
          <w:p>
            <w:pPr>
              <w:pStyle w:val="TableParagraph"/>
              <w:rPr>
                <w:sz w:val="24"/>
              </w:rPr>
            </w:pPr>
            <w:r>
              <w:rPr>
                <w:w w:val="99"/>
                <w:sz w:val="24"/>
              </w:rPr>
              <w:t>1</w:t>
            </w:r>
          </w:p>
        </w:tc>
        <w:tc>
          <w:tcPr>
            <w:tcW w:w="1767" w:type="dxa"/>
          </w:tcPr>
          <w:p>
            <w:pPr>
              <w:pStyle w:val="TableParagraph"/>
              <w:rPr>
                <w:sz w:val="24"/>
              </w:rPr>
            </w:pPr>
            <w:r>
              <w:rPr>
                <w:w w:val="99"/>
                <w:sz w:val="24"/>
              </w:rPr>
              <w:t>1</w:t>
            </w:r>
          </w:p>
        </w:tc>
        <w:tc>
          <w:tcPr>
            <w:tcW w:w="1767" w:type="dxa"/>
          </w:tcPr>
          <w:p>
            <w:pPr>
              <w:pStyle w:val="TableParagraph"/>
              <w:rPr>
                <w:sz w:val="24"/>
              </w:rPr>
            </w:pPr>
            <w:r>
              <w:rPr>
                <w:w w:val="99"/>
                <w:sz w:val="24"/>
              </w:rPr>
              <w:t>1</w:t>
            </w:r>
          </w:p>
        </w:tc>
      </w:tr>
      <w:tr>
        <w:trPr>
          <w:trHeight w:val="288" w:hRule="exact"/>
        </w:trPr>
        <w:tc>
          <w:tcPr>
            <w:tcW w:w="1767" w:type="dxa"/>
          </w:tcPr>
          <w:p>
            <w:pPr>
              <w:pStyle w:val="TableParagraph"/>
              <w:ind w:left="106" w:right="444"/>
              <w:rPr>
                <w:sz w:val="24"/>
              </w:rPr>
            </w:pPr>
            <w:r>
              <w:rPr>
                <w:sz w:val="24"/>
              </w:rPr>
              <w:t>14</w:t>
            </w:r>
          </w:p>
        </w:tc>
        <w:tc>
          <w:tcPr>
            <w:tcW w:w="1762" w:type="dxa"/>
          </w:tcPr>
          <w:p>
            <w:pPr>
              <w:pStyle w:val="TableParagraph"/>
              <w:rPr>
                <w:sz w:val="24"/>
              </w:rPr>
            </w:pPr>
            <w:r>
              <w:rPr>
                <w:w w:val="99"/>
                <w:sz w:val="24"/>
              </w:rPr>
              <w:t>1</w:t>
            </w:r>
          </w:p>
        </w:tc>
        <w:tc>
          <w:tcPr>
            <w:tcW w:w="1767" w:type="dxa"/>
          </w:tcPr>
          <w:p>
            <w:pPr>
              <w:pStyle w:val="TableParagraph"/>
              <w:rPr>
                <w:sz w:val="24"/>
              </w:rPr>
            </w:pPr>
            <w:r>
              <w:rPr>
                <w:w w:val="99"/>
                <w:sz w:val="24"/>
              </w:rPr>
              <w:t>1</w:t>
            </w:r>
          </w:p>
        </w:tc>
        <w:tc>
          <w:tcPr>
            <w:tcW w:w="1767" w:type="dxa"/>
          </w:tcPr>
          <w:p>
            <w:pPr>
              <w:pStyle w:val="TableParagraph"/>
              <w:rPr>
                <w:sz w:val="24"/>
              </w:rPr>
            </w:pPr>
            <w:r>
              <w:rPr>
                <w:w w:val="99"/>
                <w:sz w:val="24"/>
              </w:rPr>
              <w:t>1</w:t>
            </w:r>
          </w:p>
        </w:tc>
        <w:tc>
          <w:tcPr>
            <w:tcW w:w="1767" w:type="dxa"/>
          </w:tcPr>
          <w:p>
            <w:pPr>
              <w:pStyle w:val="TableParagraph"/>
              <w:rPr>
                <w:sz w:val="24"/>
              </w:rPr>
            </w:pPr>
            <w:r>
              <w:rPr>
                <w:w w:val="99"/>
                <w:sz w:val="24"/>
              </w:rPr>
              <w:t>1</w:t>
            </w:r>
          </w:p>
        </w:tc>
      </w:tr>
      <w:tr>
        <w:trPr>
          <w:trHeight w:val="283" w:hRule="exact"/>
        </w:trPr>
        <w:tc>
          <w:tcPr>
            <w:tcW w:w="1767" w:type="dxa"/>
          </w:tcPr>
          <w:p>
            <w:pPr>
              <w:pStyle w:val="TableParagraph"/>
              <w:ind w:left="106" w:right="444"/>
              <w:rPr>
                <w:sz w:val="24"/>
              </w:rPr>
            </w:pPr>
            <w:r>
              <w:rPr>
                <w:sz w:val="24"/>
              </w:rPr>
              <w:t>15</w:t>
            </w:r>
          </w:p>
        </w:tc>
        <w:tc>
          <w:tcPr>
            <w:tcW w:w="1762" w:type="dxa"/>
          </w:tcPr>
          <w:p>
            <w:pPr>
              <w:pStyle w:val="TableParagraph"/>
              <w:rPr>
                <w:sz w:val="24"/>
              </w:rPr>
            </w:pPr>
            <w:r>
              <w:rPr>
                <w:w w:val="99"/>
                <w:sz w:val="24"/>
              </w:rPr>
              <w:t>1</w:t>
            </w:r>
          </w:p>
        </w:tc>
        <w:tc>
          <w:tcPr>
            <w:tcW w:w="1767" w:type="dxa"/>
          </w:tcPr>
          <w:p>
            <w:pPr>
              <w:pStyle w:val="TableParagraph"/>
              <w:rPr>
                <w:sz w:val="24"/>
              </w:rPr>
            </w:pPr>
            <w:r>
              <w:rPr>
                <w:w w:val="99"/>
                <w:sz w:val="24"/>
              </w:rPr>
              <w:t>1</w:t>
            </w:r>
          </w:p>
        </w:tc>
        <w:tc>
          <w:tcPr>
            <w:tcW w:w="1767" w:type="dxa"/>
          </w:tcPr>
          <w:p>
            <w:pPr>
              <w:pStyle w:val="TableParagraph"/>
              <w:rPr>
                <w:sz w:val="24"/>
              </w:rPr>
            </w:pPr>
            <w:r>
              <w:rPr>
                <w:w w:val="99"/>
                <w:sz w:val="24"/>
              </w:rPr>
              <w:t>1</w:t>
            </w:r>
          </w:p>
        </w:tc>
        <w:tc>
          <w:tcPr>
            <w:tcW w:w="1767" w:type="dxa"/>
          </w:tcPr>
          <w:p>
            <w:pPr>
              <w:pStyle w:val="TableParagraph"/>
              <w:rPr>
                <w:sz w:val="24"/>
              </w:rPr>
            </w:pPr>
            <w:r>
              <w:rPr>
                <w:w w:val="99"/>
                <w:sz w:val="24"/>
              </w:rPr>
              <w:t>1</w:t>
            </w:r>
          </w:p>
        </w:tc>
      </w:tr>
    </w:tbl>
    <w:p>
      <w:pPr>
        <w:spacing w:after="0"/>
        <w:rPr>
          <w:sz w:val="24"/>
        </w:rPr>
        <w:sectPr>
          <w:pgSz w:w="12240" w:h="15840"/>
          <w:pgMar w:header="752" w:footer="998" w:top="1000" w:bottom="1180" w:left="1560" w:right="1560"/>
        </w:sectPr>
      </w:pPr>
    </w:p>
    <w:p>
      <w:pPr>
        <w:pStyle w:val="BodyText"/>
        <w:rPr>
          <w:sz w:val="20"/>
        </w:rPr>
      </w:pPr>
    </w:p>
    <w:p>
      <w:pPr>
        <w:pStyle w:val="BodyText"/>
        <w:spacing w:before="5"/>
        <w:rPr>
          <w:sz w:val="15"/>
        </w:rPr>
      </w:pPr>
    </w:p>
    <w:tbl>
      <w:tblPr>
        <w:tblW w:w="0" w:type="auto"/>
        <w:jc w:val="left"/>
        <w:tblInd w:w="1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67"/>
        <w:gridCol w:w="1762"/>
        <w:gridCol w:w="1767"/>
        <w:gridCol w:w="1767"/>
        <w:gridCol w:w="1767"/>
      </w:tblGrid>
      <w:tr>
        <w:trPr>
          <w:trHeight w:val="288" w:hRule="exact"/>
        </w:trPr>
        <w:tc>
          <w:tcPr>
            <w:tcW w:w="1767" w:type="dxa"/>
          </w:tcPr>
          <w:p>
            <w:pPr>
              <w:pStyle w:val="TableParagraph"/>
              <w:ind w:left="106" w:right="444"/>
              <w:rPr>
                <w:sz w:val="24"/>
              </w:rPr>
            </w:pPr>
            <w:r>
              <w:rPr>
                <w:sz w:val="24"/>
              </w:rPr>
              <w:t>16</w:t>
            </w:r>
          </w:p>
        </w:tc>
        <w:tc>
          <w:tcPr>
            <w:tcW w:w="1762" w:type="dxa"/>
          </w:tcPr>
          <w:p>
            <w:pPr>
              <w:pStyle w:val="TableParagraph"/>
              <w:rPr>
                <w:sz w:val="24"/>
              </w:rPr>
            </w:pPr>
            <w:r>
              <w:rPr>
                <w:w w:val="99"/>
                <w:sz w:val="24"/>
              </w:rPr>
              <w:t>1</w:t>
            </w:r>
          </w:p>
        </w:tc>
        <w:tc>
          <w:tcPr>
            <w:tcW w:w="1767" w:type="dxa"/>
          </w:tcPr>
          <w:p>
            <w:pPr>
              <w:pStyle w:val="TableParagraph"/>
              <w:rPr>
                <w:sz w:val="24"/>
              </w:rPr>
            </w:pPr>
            <w:r>
              <w:rPr>
                <w:w w:val="99"/>
                <w:sz w:val="24"/>
              </w:rPr>
              <w:t>1</w:t>
            </w:r>
          </w:p>
        </w:tc>
        <w:tc>
          <w:tcPr>
            <w:tcW w:w="1767" w:type="dxa"/>
          </w:tcPr>
          <w:p>
            <w:pPr>
              <w:pStyle w:val="TableParagraph"/>
              <w:rPr>
                <w:sz w:val="24"/>
              </w:rPr>
            </w:pPr>
            <w:r>
              <w:rPr>
                <w:w w:val="99"/>
                <w:sz w:val="24"/>
              </w:rPr>
              <w:t>1</w:t>
            </w:r>
          </w:p>
        </w:tc>
        <w:tc>
          <w:tcPr>
            <w:tcW w:w="1767" w:type="dxa"/>
          </w:tcPr>
          <w:p>
            <w:pPr>
              <w:pStyle w:val="TableParagraph"/>
              <w:rPr>
                <w:sz w:val="24"/>
              </w:rPr>
            </w:pPr>
            <w:r>
              <w:rPr>
                <w:w w:val="99"/>
                <w:sz w:val="24"/>
              </w:rPr>
              <w:t>1</w:t>
            </w:r>
          </w:p>
        </w:tc>
      </w:tr>
      <w:tr>
        <w:trPr>
          <w:trHeight w:val="283" w:hRule="exact"/>
        </w:trPr>
        <w:tc>
          <w:tcPr>
            <w:tcW w:w="1767" w:type="dxa"/>
          </w:tcPr>
          <w:p>
            <w:pPr>
              <w:pStyle w:val="TableParagraph"/>
              <w:ind w:left="106" w:right="444"/>
              <w:rPr>
                <w:sz w:val="24"/>
              </w:rPr>
            </w:pPr>
            <w:r>
              <w:rPr>
                <w:sz w:val="24"/>
              </w:rPr>
              <w:t>17</w:t>
            </w:r>
          </w:p>
        </w:tc>
        <w:tc>
          <w:tcPr>
            <w:tcW w:w="1762" w:type="dxa"/>
          </w:tcPr>
          <w:p>
            <w:pPr>
              <w:pStyle w:val="TableParagraph"/>
              <w:rPr>
                <w:sz w:val="24"/>
              </w:rPr>
            </w:pPr>
            <w:r>
              <w:rPr>
                <w:w w:val="99"/>
                <w:sz w:val="24"/>
              </w:rPr>
              <w:t>1</w:t>
            </w:r>
          </w:p>
        </w:tc>
        <w:tc>
          <w:tcPr>
            <w:tcW w:w="1767" w:type="dxa"/>
          </w:tcPr>
          <w:p>
            <w:pPr>
              <w:pStyle w:val="TableParagraph"/>
              <w:rPr>
                <w:sz w:val="24"/>
              </w:rPr>
            </w:pPr>
            <w:r>
              <w:rPr>
                <w:w w:val="99"/>
                <w:sz w:val="24"/>
              </w:rPr>
              <w:t>1</w:t>
            </w:r>
          </w:p>
        </w:tc>
        <w:tc>
          <w:tcPr>
            <w:tcW w:w="1767" w:type="dxa"/>
          </w:tcPr>
          <w:p>
            <w:pPr>
              <w:pStyle w:val="TableParagraph"/>
              <w:rPr>
                <w:sz w:val="24"/>
              </w:rPr>
            </w:pPr>
            <w:r>
              <w:rPr>
                <w:w w:val="99"/>
                <w:sz w:val="24"/>
              </w:rPr>
              <w:t>1</w:t>
            </w:r>
          </w:p>
        </w:tc>
        <w:tc>
          <w:tcPr>
            <w:tcW w:w="1767" w:type="dxa"/>
          </w:tcPr>
          <w:p>
            <w:pPr>
              <w:pStyle w:val="TableParagraph"/>
              <w:rPr>
                <w:sz w:val="24"/>
              </w:rPr>
            </w:pPr>
            <w:r>
              <w:rPr>
                <w:w w:val="99"/>
                <w:sz w:val="24"/>
              </w:rPr>
              <w:t>1</w:t>
            </w:r>
          </w:p>
        </w:tc>
      </w:tr>
      <w:tr>
        <w:trPr>
          <w:trHeight w:val="288" w:hRule="exact"/>
        </w:trPr>
        <w:tc>
          <w:tcPr>
            <w:tcW w:w="1767" w:type="dxa"/>
          </w:tcPr>
          <w:p>
            <w:pPr>
              <w:pStyle w:val="TableParagraph"/>
              <w:ind w:left="106" w:right="444"/>
              <w:rPr>
                <w:sz w:val="24"/>
              </w:rPr>
            </w:pPr>
            <w:r>
              <w:rPr>
                <w:sz w:val="24"/>
              </w:rPr>
              <w:t>18</w:t>
            </w:r>
          </w:p>
        </w:tc>
        <w:tc>
          <w:tcPr>
            <w:tcW w:w="1762" w:type="dxa"/>
          </w:tcPr>
          <w:p>
            <w:pPr>
              <w:pStyle w:val="TableParagraph"/>
              <w:rPr>
                <w:sz w:val="24"/>
              </w:rPr>
            </w:pPr>
            <w:r>
              <w:rPr>
                <w:w w:val="99"/>
                <w:sz w:val="24"/>
              </w:rPr>
              <w:t>2</w:t>
            </w:r>
          </w:p>
        </w:tc>
        <w:tc>
          <w:tcPr>
            <w:tcW w:w="1767" w:type="dxa"/>
          </w:tcPr>
          <w:p>
            <w:pPr>
              <w:pStyle w:val="TableParagraph"/>
              <w:rPr>
                <w:sz w:val="24"/>
              </w:rPr>
            </w:pPr>
            <w:r>
              <w:rPr>
                <w:w w:val="99"/>
                <w:sz w:val="24"/>
              </w:rPr>
              <w:t>2</w:t>
            </w:r>
          </w:p>
        </w:tc>
        <w:tc>
          <w:tcPr>
            <w:tcW w:w="1767" w:type="dxa"/>
          </w:tcPr>
          <w:p>
            <w:pPr>
              <w:pStyle w:val="TableParagraph"/>
              <w:rPr>
                <w:sz w:val="24"/>
              </w:rPr>
            </w:pPr>
            <w:r>
              <w:rPr>
                <w:w w:val="99"/>
                <w:sz w:val="24"/>
              </w:rPr>
              <w:t>1</w:t>
            </w:r>
          </w:p>
        </w:tc>
        <w:tc>
          <w:tcPr>
            <w:tcW w:w="1767" w:type="dxa"/>
          </w:tcPr>
          <w:p>
            <w:pPr>
              <w:pStyle w:val="TableParagraph"/>
              <w:rPr>
                <w:sz w:val="24"/>
              </w:rPr>
            </w:pPr>
            <w:r>
              <w:rPr>
                <w:w w:val="99"/>
                <w:sz w:val="24"/>
              </w:rPr>
              <w:t>1</w:t>
            </w:r>
          </w:p>
        </w:tc>
      </w:tr>
      <w:tr>
        <w:trPr>
          <w:trHeight w:val="289" w:hRule="exact"/>
        </w:trPr>
        <w:tc>
          <w:tcPr>
            <w:tcW w:w="1767" w:type="dxa"/>
          </w:tcPr>
          <w:p>
            <w:pPr>
              <w:pStyle w:val="TableParagraph"/>
              <w:ind w:left="106" w:right="444"/>
              <w:rPr>
                <w:sz w:val="24"/>
              </w:rPr>
            </w:pPr>
            <w:r>
              <w:rPr>
                <w:sz w:val="24"/>
              </w:rPr>
              <w:t>19</w:t>
            </w:r>
          </w:p>
        </w:tc>
        <w:tc>
          <w:tcPr>
            <w:tcW w:w="1762" w:type="dxa"/>
          </w:tcPr>
          <w:p>
            <w:pPr>
              <w:pStyle w:val="TableParagraph"/>
              <w:rPr>
                <w:sz w:val="24"/>
              </w:rPr>
            </w:pPr>
            <w:r>
              <w:rPr>
                <w:w w:val="99"/>
                <w:sz w:val="24"/>
              </w:rPr>
              <w:t>2</w:t>
            </w:r>
          </w:p>
        </w:tc>
        <w:tc>
          <w:tcPr>
            <w:tcW w:w="1767" w:type="dxa"/>
          </w:tcPr>
          <w:p>
            <w:pPr>
              <w:pStyle w:val="TableParagraph"/>
              <w:rPr>
                <w:sz w:val="24"/>
              </w:rPr>
            </w:pPr>
            <w:r>
              <w:rPr>
                <w:w w:val="99"/>
                <w:sz w:val="24"/>
              </w:rPr>
              <w:t>2</w:t>
            </w:r>
          </w:p>
        </w:tc>
        <w:tc>
          <w:tcPr>
            <w:tcW w:w="1767" w:type="dxa"/>
          </w:tcPr>
          <w:p>
            <w:pPr>
              <w:pStyle w:val="TableParagraph"/>
              <w:rPr>
                <w:sz w:val="24"/>
              </w:rPr>
            </w:pPr>
            <w:r>
              <w:rPr>
                <w:w w:val="99"/>
                <w:sz w:val="24"/>
              </w:rPr>
              <w:t>1</w:t>
            </w:r>
          </w:p>
        </w:tc>
        <w:tc>
          <w:tcPr>
            <w:tcW w:w="1767" w:type="dxa"/>
          </w:tcPr>
          <w:p>
            <w:pPr>
              <w:pStyle w:val="TableParagraph"/>
              <w:rPr>
                <w:sz w:val="24"/>
              </w:rPr>
            </w:pPr>
            <w:r>
              <w:rPr>
                <w:w w:val="99"/>
                <w:sz w:val="24"/>
              </w:rPr>
              <w:t>1</w:t>
            </w:r>
          </w:p>
        </w:tc>
      </w:tr>
      <w:tr>
        <w:trPr>
          <w:trHeight w:val="283" w:hRule="exact"/>
        </w:trPr>
        <w:tc>
          <w:tcPr>
            <w:tcW w:w="1767" w:type="dxa"/>
          </w:tcPr>
          <w:p>
            <w:pPr>
              <w:pStyle w:val="TableParagraph"/>
              <w:ind w:left="106" w:right="444"/>
              <w:rPr>
                <w:sz w:val="24"/>
              </w:rPr>
            </w:pPr>
            <w:r>
              <w:rPr>
                <w:sz w:val="24"/>
              </w:rPr>
              <w:t>20</w:t>
            </w:r>
          </w:p>
        </w:tc>
        <w:tc>
          <w:tcPr>
            <w:tcW w:w="1762" w:type="dxa"/>
          </w:tcPr>
          <w:p>
            <w:pPr>
              <w:pStyle w:val="TableParagraph"/>
              <w:rPr>
                <w:sz w:val="24"/>
              </w:rPr>
            </w:pPr>
            <w:r>
              <w:rPr>
                <w:w w:val="99"/>
                <w:sz w:val="24"/>
              </w:rPr>
              <w:t>2</w:t>
            </w:r>
          </w:p>
        </w:tc>
        <w:tc>
          <w:tcPr>
            <w:tcW w:w="1767" w:type="dxa"/>
          </w:tcPr>
          <w:p>
            <w:pPr>
              <w:pStyle w:val="TableParagraph"/>
              <w:rPr>
                <w:sz w:val="24"/>
              </w:rPr>
            </w:pPr>
            <w:r>
              <w:rPr>
                <w:w w:val="99"/>
                <w:sz w:val="24"/>
              </w:rPr>
              <w:t>2</w:t>
            </w:r>
          </w:p>
        </w:tc>
        <w:tc>
          <w:tcPr>
            <w:tcW w:w="1767" w:type="dxa"/>
          </w:tcPr>
          <w:p>
            <w:pPr>
              <w:pStyle w:val="TableParagraph"/>
              <w:rPr>
                <w:sz w:val="24"/>
              </w:rPr>
            </w:pPr>
            <w:r>
              <w:rPr>
                <w:w w:val="99"/>
                <w:sz w:val="24"/>
              </w:rPr>
              <w:t>1</w:t>
            </w:r>
          </w:p>
        </w:tc>
        <w:tc>
          <w:tcPr>
            <w:tcW w:w="1767" w:type="dxa"/>
          </w:tcPr>
          <w:p>
            <w:pPr>
              <w:pStyle w:val="TableParagraph"/>
              <w:rPr>
                <w:sz w:val="24"/>
              </w:rPr>
            </w:pPr>
            <w:r>
              <w:rPr>
                <w:w w:val="99"/>
                <w:sz w:val="24"/>
              </w:rPr>
              <w:t>1</w:t>
            </w:r>
          </w:p>
        </w:tc>
      </w:tr>
      <w:tr>
        <w:trPr>
          <w:trHeight w:val="288" w:hRule="exact"/>
        </w:trPr>
        <w:tc>
          <w:tcPr>
            <w:tcW w:w="1767" w:type="dxa"/>
          </w:tcPr>
          <w:p>
            <w:pPr>
              <w:pStyle w:val="TableParagraph"/>
              <w:ind w:left="106" w:right="444"/>
              <w:rPr>
                <w:sz w:val="24"/>
              </w:rPr>
            </w:pPr>
            <w:r>
              <w:rPr>
                <w:sz w:val="24"/>
              </w:rPr>
              <w:t>21</w:t>
            </w:r>
          </w:p>
        </w:tc>
        <w:tc>
          <w:tcPr>
            <w:tcW w:w="1762" w:type="dxa"/>
          </w:tcPr>
          <w:p>
            <w:pPr>
              <w:pStyle w:val="TableParagraph"/>
              <w:rPr>
                <w:sz w:val="24"/>
              </w:rPr>
            </w:pPr>
            <w:r>
              <w:rPr>
                <w:w w:val="99"/>
                <w:sz w:val="24"/>
              </w:rPr>
              <w:t>2</w:t>
            </w:r>
          </w:p>
        </w:tc>
        <w:tc>
          <w:tcPr>
            <w:tcW w:w="1767" w:type="dxa"/>
          </w:tcPr>
          <w:p>
            <w:pPr>
              <w:pStyle w:val="TableParagraph"/>
              <w:rPr>
                <w:sz w:val="24"/>
              </w:rPr>
            </w:pPr>
            <w:r>
              <w:rPr>
                <w:w w:val="99"/>
                <w:sz w:val="24"/>
              </w:rPr>
              <w:t>1</w:t>
            </w:r>
          </w:p>
        </w:tc>
        <w:tc>
          <w:tcPr>
            <w:tcW w:w="1767" w:type="dxa"/>
          </w:tcPr>
          <w:p>
            <w:pPr>
              <w:pStyle w:val="TableParagraph"/>
              <w:rPr>
                <w:sz w:val="24"/>
              </w:rPr>
            </w:pPr>
            <w:r>
              <w:rPr>
                <w:w w:val="99"/>
                <w:sz w:val="24"/>
              </w:rPr>
              <w:t>1</w:t>
            </w:r>
          </w:p>
        </w:tc>
        <w:tc>
          <w:tcPr>
            <w:tcW w:w="1767" w:type="dxa"/>
          </w:tcPr>
          <w:p>
            <w:pPr>
              <w:pStyle w:val="TableParagraph"/>
              <w:rPr>
                <w:sz w:val="24"/>
              </w:rPr>
            </w:pPr>
            <w:r>
              <w:rPr>
                <w:w w:val="99"/>
                <w:sz w:val="24"/>
              </w:rPr>
              <w:t>1</w:t>
            </w:r>
          </w:p>
        </w:tc>
      </w:tr>
      <w:tr>
        <w:trPr>
          <w:trHeight w:val="283" w:hRule="exact"/>
        </w:trPr>
        <w:tc>
          <w:tcPr>
            <w:tcW w:w="1767" w:type="dxa"/>
          </w:tcPr>
          <w:p>
            <w:pPr>
              <w:pStyle w:val="TableParagraph"/>
              <w:ind w:left="106" w:right="444"/>
              <w:rPr>
                <w:sz w:val="24"/>
              </w:rPr>
            </w:pPr>
            <w:r>
              <w:rPr>
                <w:sz w:val="24"/>
              </w:rPr>
              <w:t>22</w:t>
            </w:r>
          </w:p>
        </w:tc>
        <w:tc>
          <w:tcPr>
            <w:tcW w:w="1762" w:type="dxa"/>
          </w:tcPr>
          <w:p>
            <w:pPr>
              <w:pStyle w:val="TableParagraph"/>
              <w:rPr>
                <w:sz w:val="24"/>
              </w:rPr>
            </w:pPr>
            <w:r>
              <w:rPr>
                <w:w w:val="99"/>
                <w:sz w:val="24"/>
              </w:rPr>
              <w:t>2</w:t>
            </w:r>
          </w:p>
        </w:tc>
        <w:tc>
          <w:tcPr>
            <w:tcW w:w="1767" w:type="dxa"/>
          </w:tcPr>
          <w:p>
            <w:pPr>
              <w:pStyle w:val="TableParagraph"/>
              <w:rPr>
                <w:sz w:val="24"/>
              </w:rPr>
            </w:pPr>
            <w:r>
              <w:rPr>
                <w:w w:val="99"/>
                <w:sz w:val="24"/>
              </w:rPr>
              <w:t>1</w:t>
            </w:r>
          </w:p>
        </w:tc>
        <w:tc>
          <w:tcPr>
            <w:tcW w:w="1767" w:type="dxa"/>
          </w:tcPr>
          <w:p>
            <w:pPr>
              <w:pStyle w:val="TableParagraph"/>
              <w:rPr>
                <w:sz w:val="24"/>
              </w:rPr>
            </w:pPr>
            <w:r>
              <w:rPr>
                <w:w w:val="99"/>
                <w:sz w:val="24"/>
              </w:rPr>
              <w:t>1</w:t>
            </w:r>
          </w:p>
        </w:tc>
        <w:tc>
          <w:tcPr>
            <w:tcW w:w="1767" w:type="dxa"/>
          </w:tcPr>
          <w:p>
            <w:pPr>
              <w:pStyle w:val="TableParagraph"/>
              <w:rPr>
                <w:sz w:val="24"/>
              </w:rPr>
            </w:pPr>
            <w:r>
              <w:rPr>
                <w:w w:val="99"/>
                <w:sz w:val="24"/>
              </w:rPr>
              <w:t>1</w:t>
            </w:r>
          </w:p>
        </w:tc>
      </w:tr>
      <w:tr>
        <w:trPr>
          <w:trHeight w:val="288" w:hRule="exact"/>
        </w:trPr>
        <w:tc>
          <w:tcPr>
            <w:tcW w:w="1767" w:type="dxa"/>
          </w:tcPr>
          <w:p>
            <w:pPr>
              <w:pStyle w:val="TableParagraph"/>
              <w:ind w:left="106" w:right="444"/>
              <w:rPr>
                <w:sz w:val="24"/>
              </w:rPr>
            </w:pPr>
            <w:r>
              <w:rPr>
                <w:sz w:val="24"/>
              </w:rPr>
              <w:t>23</w:t>
            </w:r>
          </w:p>
        </w:tc>
        <w:tc>
          <w:tcPr>
            <w:tcW w:w="1762" w:type="dxa"/>
          </w:tcPr>
          <w:p>
            <w:pPr>
              <w:pStyle w:val="TableParagraph"/>
              <w:rPr>
                <w:sz w:val="24"/>
              </w:rPr>
            </w:pPr>
            <w:r>
              <w:rPr>
                <w:w w:val="99"/>
                <w:sz w:val="24"/>
              </w:rPr>
              <w:t>1</w:t>
            </w:r>
          </w:p>
        </w:tc>
        <w:tc>
          <w:tcPr>
            <w:tcW w:w="1767" w:type="dxa"/>
          </w:tcPr>
          <w:p>
            <w:pPr>
              <w:pStyle w:val="TableParagraph"/>
              <w:rPr>
                <w:sz w:val="24"/>
              </w:rPr>
            </w:pPr>
            <w:r>
              <w:rPr>
                <w:w w:val="99"/>
                <w:sz w:val="24"/>
              </w:rPr>
              <w:t>1</w:t>
            </w:r>
          </w:p>
        </w:tc>
        <w:tc>
          <w:tcPr>
            <w:tcW w:w="1767" w:type="dxa"/>
          </w:tcPr>
          <w:p>
            <w:pPr>
              <w:pStyle w:val="TableParagraph"/>
              <w:rPr>
                <w:sz w:val="24"/>
              </w:rPr>
            </w:pPr>
            <w:r>
              <w:rPr>
                <w:w w:val="99"/>
                <w:sz w:val="24"/>
              </w:rPr>
              <w:t>1</w:t>
            </w:r>
          </w:p>
        </w:tc>
        <w:tc>
          <w:tcPr>
            <w:tcW w:w="1767" w:type="dxa"/>
          </w:tcPr>
          <w:p>
            <w:pPr>
              <w:pStyle w:val="TableParagraph"/>
              <w:rPr>
                <w:sz w:val="24"/>
              </w:rPr>
            </w:pPr>
            <w:r>
              <w:rPr>
                <w:w w:val="99"/>
                <w:sz w:val="24"/>
              </w:rPr>
              <w:t>1</w:t>
            </w:r>
          </w:p>
        </w:tc>
      </w:tr>
      <w:tr>
        <w:trPr>
          <w:trHeight w:val="283" w:hRule="exact"/>
        </w:trPr>
        <w:tc>
          <w:tcPr>
            <w:tcW w:w="1767" w:type="dxa"/>
          </w:tcPr>
          <w:p>
            <w:pPr>
              <w:pStyle w:val="TableParagraph"/>
              <w:ind w:left="106" w:right="444"/>
              <w:rPr>
                <w:sz w:val="24"/>
              </w:rPr>
            </w:pPr>
            <w:r>
              <w:rPr>
                <w:sz w:val="24"/>
              </w:rPr>
              <w:t>24</w:t>
            </w:r>
          </w:p>
        </w:tc>
        <w:tc>
          <w:tcPr>
            <w:tcW w:w="1762" w:type="dxa"/>
          </w:tcPr>
          <w:p>
            <w:pPr>
              <w:pStyle w:val="TableParagraph"/>
              <w:rPr>
                <w:sz w:val="24"/>
              </w:rPr>
            </w:pPr>
            <w:r>
              <w:rPr>
                <w:w w:val="99"/>
                <w:sz w:val="24"/>
              </w:rPr>
              <w:t>2</w:t>
            </w:r>
          </w:p>
        </w:tc>
        <w:tc>
          <w:tcPr>
            <w:tcW w:w="1767" w:type="dxa"/>
          </w:tcPr>
          <w:p>
            <w:pPr>
              <w:pStyle w:val="TableParagraph"/>
              <w:rPr>
                <w:sz w:val="24"/>
              </w:rPr>
            </w:pPr>
            <w:r>
              <w:rPr>
                <w:w w:val="99"/>
                <w:sz w:val="24"/>
              </w:rPr>
              <w:t>2</w:t>
            </w:r>
          </w:p>
        </w:tc>
        <w:tc>
          <w:tcPr>
            <w:tcW w:w="1767" w:type="dxa"/>
          </w:tcPr>
          <w:p>
            <w:pPr>
              <w:pStyle w:val="TableParagraph"/>
              <w:rPr>
                <w:sz w:val="24"/>
              </w:rPr>
            </w:pPr>
            <w:r>
              <w:rPr>
                <w:w w:val="99"/>
                <w:sz w:val="24"/>
              </w:rPr>
              <w:t>2</w:t>
            </w:r>
          </w:p>
        </w:tc>
        <w:tc>
          <w:tcPr>
            <w:tcW w:w="1767" w:type="dxa"/>
          </w:tcPr>
          <w:p>
            <w:pPr>
              <w:pStyle w:val="TableParagraph"/>
              <w:rPr>
                <w:sz w:val="24"/>
              </w:rPr>
            </w:pPr>
            <w:r>
              <w:rPr>
                <w:w w:val="99"/>
                <w:sz w:val="24"/>
              </w:rPr>
              <w:t>1</w:t>
            </w:r>
          </w:p>
        </w:tc>
      </w:tr>
      <w:tr>
        <w:trPr>
          <w:trHeight w:val="288" w:hRule="exact"/>
        </w:trPr>
        <w:tc>
          <w:tcPr>
            <w:tcW w:w="1767" w:type="dxa"/>
          </w:tcPr>
          <w:p>
            <w:pPr>
              <w:pStyle w:val="TableParagraph"/>
              <w:ind w:left="106" w:right="444"/>
              <w:rPr>
                <w:sz w:val="24"/>
              </w:rPr>
            </w:pPr>
            <w:r>
              <w:rPr>
                <w:sz w:val="24"/>
              </w:rPr>
              <w:t>25</w:t>
            </w:r>
          </w:p>
        </w:tc>
        <w:tc>
          <w:tcPr>
            <w:tcW w:w="1762" w:type="dxa"/>
          </w:tcPr>
          <w:p>
            <w:pPr>
              <w:pStyle w:val="TableParagraph"/>
              <w:rPr>
                <w:sz w:val="24"/>
              </w:rPr>
            </w:pPr>
            <w:r>
              <w:rPr>
                <w:w w:val="99"/>
                <w:sz w:val="24"/>
              </w:rPr>
              <w:t>2</w:t>
            </w:r>
          </w:p>
        </w:tc>
        <w:tc>
          <w:tcPr>
            <w:tcW w:w="1767" w:type="dxa"/>
          </w:tcPr>
          <w:p>
            <w:pPr>
              <w:pStyle w:val="TableParagraph"/>
              <w:rPr>
                <w:sz w:val="24"/>
              </w:rPr>
            </w:pPr>
            <w:r>
              <w:rPr>
                <w:w w:val="99"/>
                <w:sz w:val="24"/>
              </w:rPr>
              <w:t>2</w:t>
            </w:r>
          </w:p>
        </w:tc>
        <w:tc>
          <w:tcPr>
            <w:tcW w:w="1767" w:type="dxa"/>
          </w:tcPr>
          <w:p>
            <w:pPr>
              <w:pStyle w:val="TableParagraph"/>
              <w:rPr>
                <w:sz w:val="24"/>
              </w:rPr>
            </w:pPr>
            <w:r>
              <w:rPr>
                <w:w w:val="99"/>
                <w:sz w:val="24"/>
              </w:rPr>
              <w:t>2</w:t>
            </w:r>
          </w:p>
        </w:tc>
        <w:tc>
          <w:tcPr>
            <w:tcW w:w="1767" w:type="dxa"/>
          </w:tcPr>
          <w:p>
            <w:pPr>
              <w:pStyle w:val="TableParagraph"/>
              <w:rPr>
                <w:sz w:val="24"/>
              </w:rPr>
            </w:pPr>
            <w:r>
              <w:rPr>
                <w:w w:val="99"/>
                <w:sz w:val="24"/>
              </w:rPr>
              <w:t>1</w:t>
            </w:r>
          </w:p>
        </w:tc>
      </w:tr>
      <w:tr>
        <w:trPr>
          <w:trHeight w:val="288" w:hRule="exact"/>
        </w:trPr>
        <w:tc>
          <w:tcPr>
            <w:tcW w:w="1767" w:type="dxa"/>
          </w:tcPr>
          <w:p>
            <w:pPr>
              <w:pStyle w:val="TableParagraph"/>
              <w:ind w:left="106" w:right="444"/>
              <w:rPr>
                <w:sz w:val="24"/>
              </w:rPr>
            </w:pPr>
            <w:r>
              <w:rPr>
                <w:sz w:val="24"/>
              </w:rPr>
              <w:t>26</w:t>
            </w:r>
          </w:p>
        </w:tc>
        <w:tc>
          <w:tcPr>
            <w:tcW w:w="1762" w:type="dxa"/>
          </w:tcPr>
          <w:p>
            <w:pPr>
              <w:pStyle w:val="TableParagraph"/>
              <w:rPr>
                <w:sz w:val="24"/>
              </w:rPr>
            </w:pPr>
            <w:r>
              <w:rPr>
                <w:w w:val="99"/>
                <w:sz w:val="24"/>
              </w:rPr>
              <w:t>2</w:t>
            </w:r>
          </w:p>
        </w:tc>
        <w:tc>
          <w:tcPr>
            <w:tcW w:w="1767" w:type="dxa"/>
          </w:tcPr>
          <w:p>
            <w:pPr>
              <w:pStyle w:val="TableParagraph"/>
              <w:rPr>
                <w:sz w:val="24"/>
              </w:rPr>
            </w:pPr>
            <w:r>
              <w:rPr>
                <w:w w:val="99"/>
                <w:sz w:val="24"/>
              </w:rPr>
              <w:t>1</w:t>
            </w:r>
          </w:p>
        </w:tc>
        <w:tc>
          <w:tcPr>
            <w:tcW w:w="1767" w:type="dxa"/>
          </w:tcPr>
          <w:p>
            <w:pPr>
              <w:pStyle w:val="TableParagraph"/>
              <w:rPr>
                <w:sz w:val="24"/>
              </w:rPr>
            </w:pPr>
            <w:r>
              <w:rPr>
                <w:w w:val="99"/>
                <w:sz w:val="24"/>
              </w:rPr>
              <w:t>2</w:t>
            </w:r>
          </w:p>
        </w:tc>
        <w:tc>
          <w:tcPr>
            <w:tcW w:w="1767" w:type="dxa"/>
          </w:tcPr>
          <w:p>
            <w:pPr>
              <w:pStyle w:val="TableParagraph"/>
              <w:rPr>
                <w:sz w:val="24"/>
              </w:rPr>
            </w:pPr>
            <w:r>
              <w:rPr>
                <w:w w:val="99"/>
                <w:sz w:val="24"/>
              </w:rPr>
              <w:t>1</w:t>
            </w:r>
          </w:p>
        </w:tc>
      </w:tr>
      <w:tr>
        <w:trPr>
          <w:trHeight w:val="283" w:hRule="exact"/>
        </w:trPr>
        <w:tc>
          <w:tcPr>
            <w:tcW w:w="1767" w:type="dxa"/>
          </w:tcPr>
          <w:p>
            <w:pPr>
              <w:pStyle w:val="TableParagraph"/>
              <w:ind w:left="106" w:right="444"/>
              <w:rPr>
                <w:sz w:val="24"/>
              </w:rPr>
            </w:pPr>
            <w:r>
              <w:rPr>
                <w:sz w:val="24"/>
              </w:rPr>
              <w:t>27</w:t>
            </w:r>
          </w:p>
        </w:tc>
        <w:tc>
          <w:tcPr>
            <w:tcW w:w="1762" w:type="dxa"/>
          </w:tcPr>
          <w:p>
            <w:pPr>
              <w:pStyle w:val="TableParagraph"/>
              <w:rPr>
                <w:sz w:val="24"/>
              </w:rPr>
            </w:pPr>
            <w:r>
              <w:rPr>
                <w:w w:val="99"/>
                <w:sz w:val="24"/>
              </w:rPr>
              <w:t>1</w:t>
            </w:r>
          </w:p>
        </w:tc>
        <w:tc>
          <w:tcPr>
            <w:tcW w:w="1767" w:type="dxa"/>
          </w:tcPr>
          <w:p>
            <w:pPr>
              <w:pStyle w:val="TableParagraph"/>
              <w:rPr>
                <w:sz w:val="24"/>
              </w:rPr>
            </w:pPr>
            <w:r>
              <w:rPr>
                <w:w w:val="99"/>
                <w:sz w:val="24"/>
              </w:rPr>
              <w:t>1</w:t>
            </w:r>
          </w:p>
        </w:tc>
        <w:tc>
          <w:tcPr>
            <w:tcW w:w="1767" w:type="dxa"/>
          </w:tcPr>
          <w:p>
            <w:pPr>
              <w:pStyle w:val="TableParagraph"/>
              <w:rPr>
                <w:sz w:val="24"/>
              </w:rPr>
            </w:pPr>
            <w:r>
              <w:rPr>
                <w:w w:val="99"/>
                <w:sz w:val="24"/>
              </w:rPr>
              <w:t>1</w:t>
            </w:r>
          </w:p>
        </w:tc>
        <w:tc>
          <w:tcPr>
            <w:tcW w:w="1767" w:type="dxa"/>
          </w:tcPr>
          <w:p>
            <w:pPr>
              <w:pStyle w:val="TableParagraph"/>
              <w:rPr>
                <w:sz w:val="24"/>
              </w:rPr>
            </w:pPr>
            <w:r>
              <w:rPr>
                <w:w w:val="99"/>
                <w:sz w:val="24"/>
              </w:rPr>
              <w:t>1</w:t>
            </w:r>
          </w:p>
        </w:tc>
      </w:tr>
      <w:tr>
        <w:trPr>
          <w:trHeight w:val="288" w:hRule="exact"/>
        </w:trPr>
        <w:tc>
          <w:tcPr>
            <w:tcW w:w="1767" w:type="dxa"/>
          </w:tcPr>
          <w:p>
            <w:pPr>
              <w:pStyle w:val="TableParagraph"/>
              <w:ind w:left="106" w:right="444"/>
              <w:rPr>
                <w:sz w:val="24"/>
              </w:rPr>
            </w:pPr>
            <w:r>
              <w:rPr>
                <w:sz w:val="24"/>
              </w:rPr>
              <w:t>28</w:t>
            </w:r>
          </w:p>
        </w:tc>
        <w:tc>
          <w:tcPr>
            <w:tcW w:w="1762" w:type="dxa"/>
          </w:tcPr>
          <w:p>
            <w:pPr>
              <w:pStyle w:val="TableParagraph"/>
              <w:rPr>
                <w:sz w:val="24"/>
              </w:rPr>
            </w:pPr>
            <w:r>
              <w:rPr>
                <w:w w:val="99"/>
                <w:sz w:val="24"/>
              </w:rPr>
              <w:t>1</w:t>
            </w:r>
          </w:p>
        </w:tc>
        <w:tc>
          <w:tcPr>
            <w:tcW w:w="1767" w:type="dxa"/>
          </w:tcPr>
          <w:p>
            <w:pPr>
              <w:pStyle w:val="TableParagraph"/>
              <w:rPr>
                <w:sz w:val="24"/>
              </w:rPr>
            </w:pPr>
            <w:r>
              <w:rPr>
                <w:w w:val="99"/>
                <w:sz w:val="24"/>
              </w:rPr>
              <w:t>1</w:t>
            </w:r>
          </w:p>
        </w:tc>
        <w:tc>
          <w:tcPr>
            <w:tcW w:w="1767" w:type="dxa"/>
          </w:tcPr>
          <w:p>
            <w:pPr>
              <w:pStyle w:val="TableParagraph"/>
              <w:rPr>
                <w:sz w:val="24"/>
              </w:rPr>
            </w:pPr>
            <w:r>
              <w:rPr>
                <w:w w:val="99"/>
                <w:sz w:val="24"/>
              </w:rPr>
              <w:t>1</w:t>
            </w:r>
          </w:p>
        </w:tc>
        <w:tc>
          <w:tcPr>
            <w:tcW w:w="1767" w:type="dxa"/>
          </w:tcPr>
          <w:p>
            <w:pPr>
              <w:pStyle w:val="TableParagraph"/>
              <w:rPr>
                <w:sz w:val="24"/>
              </w:rPr>
            </w:pPr>
            <w:r>
              <w:rPr>
                <w:w w:val="99"/>
                <w:sz w:val="24"/>
              </w:rPr>
              <w:t>1</w:t>
            </w:r>
          </w:p>
        </w:tc>
      </w:tr>
      <w:tr>
        <w:trPr>
          <w:trHeight w:val="283" w:hRule="exact"/>
        </w:trPr>
        <w:tc>
          <w:tcPr>
            <w:tcW w:w="1767" w:type="dxa"/>
          </w:tcPr>
          <w:p>
            <w:pPr>
              <w:pStyle w:val="TableParagraph"/>
              <w:ind w:left="106" w:right="444"/>
              <w:rPr>
                <w:sz w:val="24"/>
              </w:rPr>
            </w:pPr>
            <w:r>
              <w:rPr>
                <w:sz w:val="24"/>
              </w:rPr>
              <w:t>29</w:t>
            </w:r>
          </w:p>
        </w:tc>
        <w:tc>
          <w:tcPr>
            <w:tcW w:w="1762" w:type="dxa"/>
          </w:tcPr>
          <w:p>
            <w:pPr>
              <w:pStyle w:val="TableParagraph"/>
              <w:rPr>
                <w:sz w:val="24"/>
              </w:rPr>
            </w:pPr>
            <w:r>
              <w:rPr>
                <w:w w:val="99"/>
                <w:sz w:val="24"/>
              </w:rPr>
              <w:t>1</w:t>
            </w:r>
          </w:p>
        </w:tc>
        <w:tc>
          <w:tcPr>
            <w:tcW w:w="1767" w:type="dxa"/>
          </w:tcPr>
          <w:p>
            <w:pPr>
              <w:pStyle w:val="TableParagraph"/>
              <w:rPr>
                <w:sz w:val="24"/>
              </w:rPr>
            </w:pPr>
            <w:r>
              <w:rPr>
                <w:w w:val="99"/>
                <w:sz w:val="24"/>
              </w:rPr>
              <w:t>1</w:t>
            </w:r>
          </w:p>
        </w:tc>
        <w:tc>
          <w:tcPr>
            <w:tcW w:w="1767" w:type="dxa"/>
          </w:tcPr>
          <w:p>
            <w:pPr>
              <w:pStyle w:val="TableParagraph"/>
              <w:rPr>
                <w:sz w:val="24"/>
              </w:rPr>
            </w:pPr>
            <w:r>
              <w:rPr>
                <w:w w:val="99"/>
                <w:sz w:val="24"/>
              </w:rPr>
              <w:t>1</w:t>
            </w:r>
          </w:p>
        </w:tc>
        <w:tc>
          <w:tcPr>
            <w:tcW w:w="1767" w:type="dxa"/>
          </w:tcPr>
          <w:p>
            <w:pPr>
              <w:pStyle w:val="TableParagraph"/>
              <w:rPr>
                <w:sz w:val="24"/>
              </w:rPr>
            </w:pPr>
            <w:r>
              <w:rPr>
                <w:w w:val="99"/>
                <w:sz w:val="24"/>
              </w:rPr>
              <w:t>1</w:t>
            </w:r>
          </w:p>
        </w:tc>
      </w:tr>
      <w:tr>
        <w:trPr>
          <w:trHeight w:val="288" w:hRule="exact"/>
        </w:trPr>
        <w:tc>
          <w:tcPr>
            <w:tcW w:w="1767" w:type="dxa"/>
          </w:tcPr>
          <w:p>
            <w:pPr>
              <w:pStyle w:val="TableParagraph"/>
              <w:ind w:left="106" w:right="444"/>
              <w:rPr>
                <w:sz w:val="24"/>
              </w:rPr>
            </w:pPr>
            <w:r>
              <w:rPr>
                <w:sz w:val="24"/>
              </w:rPr>
              <w:t>30</w:t>
            </w:r>
          </w:p>
        </w:tc>
        <w:tc>
          <w:tcPr>
            <w:tcW w:w="1762" w:type="dxa"/>
          </w:tcPr>
          <w:p>
            <w:pPr>
              <w:pStyle w:val="TableParagraph"/>
              <w:rPr>
                <w:sz w:val="24"/>
              </w:rPr>
            </w:pPr>
            <w:r>
              <w:rPr>
                <w:w w:val="99"/>
                <w:sz w:val="24"/>
              </w:rPr>
              <w:t>1</w:t>
            </w:r>
          </w:p>
        </w:tc>
        <w:tc>
          <w:tcPr>
            <w:tcW w:w="1767" w:type="dxa"/>
          </w:tcPr>
          <w:p>
            <w:pPr>
              <w:pStyle w:val="TableParagraph"/>
              <w:rPr>
                <w:sz w:val="24"/>
              </w:rPr>
            </w:pPr>
            <w:r>
              <w:rPr>
                <w:w w:val="99"/>
                <w:sz w:val="24"/>
              </w:rPr>
              <w:t>1</w:t>
            </w:r>
          </w:p>
        </w:tc>
        <w:tc>
          <w:tcPr>
            <w:tcW w:w="1767" w:type="dxa"/>
          </w:tcPr>
          <w:p>
            <w:pPr>
              <w:pStyle w:val="TableParagraph"/>
              <w:rPr>
                <w:sz w:val="24"/>
              </w:rPr>
            </w:pPr>
            <w:r>
              <w:rPr>
                <w:w w:val="99"/>
                <w:sz w:val="24"/>
              </w:rPr>
              <w:t>1</w:t>
            </w:r>
          </w:p>
        </w:tc>
        <w:tc>
          <w:tcPr>
            <w:tcW w:w="1767" w:type="dxa"/>
          </w:tcPr>
          <w:p>
            <w:pPr>
              <w:pStyle w:val="TableParagraph"/>
              <w:rPr>
                <w:sz w:val="24"/>
              </w:rPr>
            </w:pPr>
            <w:r>
              <w:rPr>
                <w:w w:val="99"/>
                <w:sz w:val="24"/>
              </w:rPr>
              <w:t>1</w:t>
            </w:r>
          </w:p>
        </w:tc>
      </w:tr>
      <w:tr>
        <w:trPr>
          <w:trHeight w:val="841" w:hRule="exact"/>
        </w:trPr>
        <w:tc>
          <w:tcPr>
            <w:tcW w:w="1767" w:type="dxa"/>
          </w:tcPr>
          <w:p>
            <w:pPr>
              <w:pStyle w:val="TableParagraph"/>
              <w:ind w:left="106" w:right="444"/>
              <w:rPr>
                <w:sz w:val="24"/>
              </w:rPr>
            </w:pPr>
            <w:r>
              <w:rPr>
                <w:sz w:val="24"/>
              </w:rPr>
              <w:t>Total (30)</w:t>
            </w:r>
          </w:p>
          <w:p>
            <w:pPr>
              <w:pStyle w:val="TableParagraph"/>
              <w:spacing w:line="240" w:lineRule="auto"/>
              <w:ind w:left="0"/>
              <w:rPr>
                <w:sz w:val="24"/>
              </w:rPr>
            </w:pPr>
          </w:p>
          <w:p>
            <w:pPr>
              <w:pStyle w:val="TableParagraph"/>
              <w:spacing w:line="240" w:lineRule="auto"/>
              <w:ind w:left="106"/>
              <w:rPr>
                <w:sz w:val="24"/>
              </w:rPr>
            </w:pPr>
            <w:r>
              <w:rPr>
                <w:sz w:val="24"/>
              </w:rPr>
              <w:t>% de positivos</w:t>
            </w:r>
          </w:p>
        </w:tc>
        <w:tc>
          <w:tcPr>
            <w:tcW w:w="1762" w:type="dxa"/>
          </w:tcPr>
          <w:p>
            <w:pPr>
              <w:pStyle w:val="TableParagraph"/>
              <w:ind w:right="147"/>
              <w:rPr>
                <w:sz w:val="24"/>
              </w:rPr>
            </w:pPr>
            <w:r>
              <w:rPr>
                <w:sz w:val="24"/>
              </w:rPr>
              <w:t>19/30</w:t>
            </w:r>
          </w:p>
          <w:p>
            <w:pPr>
              <w:pStyle w:val="TableParagraph"/>
              <w:spacing w:line="240" w:lineRule="auto"/>
              <w:ind w:left="0"/>
              <w:rPr>
                <w:sz w:val="24"/>
              </w:rPr>
            </w:pPr>
          </w:p>
          <w:p>
            <w:pPr>
              <w:pStyle w:val="TableParagraph"/>
              <w:spacing w:line="240" w:lineRule="auto"/>
              <w:ind w:right="147"/>
              <w:rPr>
                <w:sz w:val="24"/>
              </w:rPr>
            </w:pPr>
            <w:r>
              <w:rPr>
                <w:sz w:val="24"/>
              </w:rPr>
              <w:t>63%</w:t>
            </w:r>
          </w:p>
        </w:tc>
        <w:tc>
          <w:tcPr>
            <w:tcW w:w="1767" w:type="dxa"/>
          </w:tcPr>
          <w:p>
            <w:pPr>
              <w:pStyle w:val="TableParagraph"/>
              <w:rPr>
                <w:sz w:val="24"/>
              </w:rPr>
            </w:pPr>
            <w:r>
              <w:rPr>
                <w:sz w:val="24"/>
              </w:rPr>
              <w:t>23/30</w:t>
            </w:r>
          </w:p>
          <w:p>
            <w:pPr>
              <w:pStyle w:val="TableParagraph"/>
              <w:spacing w:line="240" w:lineRule="auto"/>
              <w:ind w:left="0"/>
              <w:rPr>
                <w:sz w:val="24"/>
              </w:rPr>
            </w:pPr>
          </w:p>
          <w:p>
            <w:pPr>
              <w:pStyle w:val="TableParagraph"/>
              <w:spacing w:line="240" w:lineRule="auto"/>
              <w:rPr>
                <w:sz w:val="24"/>
              </w:rPr>
            </w:pPr>
            <w:r>
              <w:rPr>
                <w:sz w:val="24"/>
              </w:rPr>
              <w:t>76%</w:t>
            </w:r>
          </w:p>
        </w:tc>
        <w:tc>
          <w:tcPr>
            <w:tcW w:w="1767" w:type="dxa"/>
          </w:tcPr>
          <w:p>
            <w:pPr>
              <w:pStyle w:val="TableParagraph"/>
              <w:ind w:right="458"/>
              <w:rPr>
                <w:sz w:val="24"/>
              </w:rPr>
            </w:pPr>
            <w:r>
              <w:rPr>
                <w:sz w:val="24"/>
              </w:rPr>
              <w:t>25/30</w:t>
            </w:r>
          </w:p>
          <w:p>
            <w:pPr>
              <w:pStyle w:val="TableParagraph"/>
              <w:spacing w:line="240" w:lineRule="auto"/>
              <w:ind w:left="0"/>
              <w:rPr>
                <w:sz w:val="24"/>
              </w:rPr>
            </w:pPr>
          </w:p>
          <w:p>
            <w:pPr>
              <w:pStyle w:val="TableParagraph"/>
              <w:spacing w:line="240" w:lineRule="auto"/>
              <w:ind w:right="458"/>
              <w:rPr>
                <w:sz w:val="24"/>
              </w:rPr>
            </w:pPr>
            <w:r>
              <w:rPr>
                <w:sz w:val="24"/>
              </w:rPr>
              <w:t>83 a 86%</w:t>
            </w:r>
          </w:p>
        </w:tc>
        <w:tc>
          <w:tcPr>
            <w:tcW w:w="1767" w:type="dxa"/>
          </w:tcPr>
          <w:p>
            <w:pPr>
              <w:pStyle w:val="TableParagraph"/>
              <w:rPr>
                <w:sz w:val="24"/>
              </w:rPr>
            </w:pPr>
            <w:r>
              <w:rPr>
                <w:sz w:val="24"/>
              </w:rPr>
              <w:t>29/30</w:t>
            </w:r>
          </w:p>
          <w:p>
            <w:pPr>
              <w:pStyle w:val="TableParagraph"/>
              <w:spacing w:line="240" w:lineRule="auto"/>
              <w:ind w:left="0"/>
              <w:rPr>
                <w:sz w:val="24"/>
              </w:rPr>
            </w:pPr>
          </w:p>
          <w:p>
            <w:pPr>
              <w:pStyle w:val="TableParagraph"/>
              <w:spacing w:line="240" w:lineRule="auto"/>
              <w:rPr>
                <w:sz w:val="24"/>
              </w:rPr>
            </w:pPr>
            <w:r>
              <w:rPr>
                <w:sz w:val="24"/>
              </w:rPr>
              <w:t>97 a 100%</w:t>
            </w:r>
          </w:p>
        </w:tc>
      </w:tr>
    </w:tbl>
    <w:p>
      <w:pPr>
        <w:pStyle w:val="BodyText"/>
        <w:spacing w:line="267" w:lineRule="exact"/>
        <w:ind w:left="139"/>
        <w:jc w:val="both"/>
      </w:pPr>
      <w:r>
        <w:rPr/>
        <w:t>1.- Positivo    2.- Negativo</w:t>
      </w:r>
    </w:p>
    <w:p>
      <w:pPr>
        <w:pStyle w:val="BodyText"/>
        <w:rPr>
          <w:sz w:val="21"/>
        </w:rPr>
      </w:pPr>
    </w:p>
    <w:p>
      <w:pPr>
        <w:pStyle w:val="BodyText"/>
        <w:spacing w:line="276" w:lineRule="auto" w:before="1"/>
        <w:ind w:left="139" w:right="136"/>
        <w:jc w:val="both"/>
      </w:pPr>
      <w:r>
        <w:rPr/>
        <w:t>Los datos obtenidos se analizaron para comparar la sensibilidad y especificidad de las</w:t>
      </w:r>
      <w:r>
        <w:rPr>
          <w:spacing w:val="-16"/>
        </w:rPr>
        <w:t> </w:t>
      </w:r>
      <w:r>
        <w:rPr/>
        <w:t>técnicas</w:t>
      </w:r>
      <w:r>
        <w:rPr>
          <w:spacing w:val="-17"/>
        </w:rPr>
        <w:t> </w:t>
      </w:r>
      <w:r>
        <w:rPr/>
        <w:t>de</w:t>
      </w:r>
      <w:r>
        <w:rPr>
          <w:spacing w:val="-15"/>
        </w:rPr>
        <w:t> </w:t>
      </w:r>
      <w:r>
        <w:rPr/>
        <w:t>PCR</w:t>
      </w:r>
      <w:r>
        <w:rPr>
          <w:spacing w:val="-14"/>
        </w:rPr>
        <w:t> </w:t>
      </w:r>
      <w:r>
        <w:rPr/>
        <w:t>Punto</w:t>
      </w:r>
      <w:r>
        <w:rPr>
          <w:spacing w:val="-16"/>
        </w:rPr>
        <w:t> </w:t>
      </w:r>
      <w:r>
        <w:rPr/>
        <w:t>final</w:t>
      </w:r>
      <w:r>
        <w:rPr>
          <w:spacing w:val="-13"/>
        </w:rPr>
        <w:t> </w:t>
      </w:r>
      <w:r>
        <w:rPr/>
        <w:t>y</w:t>
      </w:r>
      <w:r>
        <w:rPr>
          <w:spacing w:val="-13"/>
        </w:rPr>
        <w:t> </w:t>
      </w:r>
      <w:r>
        <w:rPr/>
        <w:t>PCR</w:t>
      </w:r>
      <w:r>
        <w:rPr>
          <w:spacing w:val="-14"/>
        </w:rPr>
        <w:t> </w:t>
      </w:r>
      <w:r>
        <w:rPr/>
        <w:t>Anidada</w:t>
      </w:r>
      <w:r>
        <w:rPr>
          <w:spacing w:val="-12"/>
        </w:rPr>
        <w:t> </w:t>
      </w:r>
      <w:r>
        <w:rPr/>
        <w:t>para</w:t>
      </w:r>
      <w:r>
        <w:rPr>
          <w:spacing w:val="-12"/>
        </w:rPr>
        <w:t> </w:t>
      </w:r>
      <w:r>
        <w:rPr/>
        <w:t>el</w:t>
      </w:r>
      <w:r>
        <w:rPr>
          <w:spacing w:val="-13"/>
        </w:rPr>
        <w:t> </w:t>
      </w:r>
      <w:r>
        <w:rPr/>
        <w:t>diagnóstico</w:t>
      </w:r>
      <w:r>
        <w:rPr>
          <w:spacing w:val="-16"/>
        </w:rPr>
        <w:t> </w:t>
      </w:r>
      <w:r>
        <w:rPr/>
        <w:t>de</w:t>
      </w:r>
      <w:r>
        <w:rPr>
          <w:spacing w:val="-16"/>
        </w:rPr>
        <w:t> </w:t>
      </w:r>
      <w:r>
        <w:rPr/>
        <w:t>francisellosis, obteniéndose los resultados que se muestran en la Figura</w:t>
      </w:r>
      <w:r>
        <w:rPr>
          <w:spacing w:val="-18"/>
        </w:rPr>
        <w:t> </w:t>
      </w:r>
      <w:r>
        <w:rPr/>
        <w:t>15.</w:t>
      </w:r>
    </w:p>
    <w:p>
      <w:pPr>
        <w:pStyle w:val="BodyText"/>
        <w:rPr>
          <w:sz w:val="20"/>
        </w:rPr>
      </w:pPr>
    </w:p>
    <w:p>
      <w:pPr>
        <w:pStyle w:val="BodyText"/>
        <w:rPr>
          <w:sz w:val="20"/>
        </w:rPr>
      </w:pPr>
    </w:p>
    <w:p>
      <w:pPr>
        <w:pStyle w:val="BodyText"/>
        <w:spacing w:before="5"/>
        <w:rPr>
          <w:sz w:val="19"/>
        </w:rPr>
      </w:pPr>
      <w:r>
        <w:rPr/>
        <w:drawing>
          <wp:anchor distT="0" distB="0" distL="0" distR="0" allowOverlap="1" layoutInCell="1" locked="0" behindDoc="0" simplePos="0" relativeHeight="2320">
            <wp:simplePos x="0" y="0"/>
            <wp:positionH relativeFrom="page">
              <wp:posOffset>1078991</wp:posOffset>
            </wp:positionH>
            <wp:positionV relativeFrom="paragraph">
              <wp:posOffset>166726</wp:posOffset>
            </wp:positionV>
            <wp:extent cx="5547941" cy="2548890"/>
            <wp:effectExtent l="0" t="0" r="0" b="0"/>
            <wp:wrapTopAndBottom/>
            <wp:docPr id="31" name="image27.png" descr=""/>
            <wp:cNvGraphicFramePr>
              <a:graphicFrameLocks noChangeAspect="1"/>
            </wp:cNvGraphicFramePr>
            <a:graphic>
              <a:graphicData uri="http://schemas.openxmlformats.org/drawingml/2006/picture">
                <pic:pic>
                  <pic:nvPicPr>
                    <pic:cNvPr id="32" name="image27.png"/>
                    <pic:cNvPicPr/>
                  </pic:nvPicPr>
                  <pic:blipFill>
                    <a:blip r:embed="rId50" cstate="print"/>
                    <a:stretch>
                      <a:fillRect/>
                    </a:stretch>
                  </pic:blipFill>
                  <pic:spPr>
                    <a:xfrm>
                      <a:off x="0" y="0"/>
                      <a:ext cx="5547941" cy="2548890"/>
                    </a:xfrm>
                    <a:prstGeom prst="rect">
                      <a:avLst/>
                    </a:prstGeom>
                  </pic:spPr>
                </pic:pic>
              </a:graphicData>
            </a:graphic>
          </wp:anchor>
        </w:drawing>
      </w:r>
    </w:p>
    <w:p>
      <w:pPr>
        <w:pStyle w:val="BodyText"/>
      </w:pPr>
    </w:p>
    <w:p>
      <w:pPr>
        <w:pStyle w:val="BodyText"/>
      </w:pPr>
    </w:p>
    <w:p>
      <w:pPr>
        <w:pStyle w:val="BodyText"/>
        <w:tabs>
          <w:tab w:pos="5253" w:val="left" w:leader="none"/>
        </w:tabs>
        <w:spacing w:before="180"/>
        <w:ind w:left="139"/>
        <w:jc w:val="both"/>
      </w:pPr>
      <w:r>
        <w:rPr/>
        <w:t>Sensibilidad 86% </w:t>
      </w:r>
      <w:r>
        <w:rPr>
          <w:spacing w:val="63"/>
        </w:rPr>
        <w:t> </w:t>
      </w:r>
      <w:r>
        <w:rPr/>
        <w:t>IC</w:t>
      </w:r>
      <w:r>
        <w:rPr>
          <w:spacing w:val="-1"/>
        </w:rPr>
        <w:t> </w:t>
      </w:r>
      <w:r>
        <w:rPr/>
        <w:t>(71-97%)</w:t>
        <w:tab/>
        <w:t>Especificidad 100%   IC</w:t>
      </w:r>
      <w:r>
        <w:rPr>
          <w:spacing w:val="-10"/>
        </w:rPr>
        <w:t> </w:t>
      </w:r>
      <w:r>
        <w:rPr/>
        <w:t>(73-100%)</w:t>
      </w:r>
    </w:p>
    <w:p>
      <w:pPr>
        <w:spacing w:after="0"/>
        <w:jc w:val="both"/>
        <w:sectPr>
          <w:pgSz w:w="12240" w:h="15840"/>
          <w:pgMar w:header="752" w:footer="998" w:top="1000" w:bottom="1180" w:left="1560" w:right="1560"/>
        </w:sectPr>
      </w:pPr>
    </w:p>
    <w:p>
      <w:pPr>
        <w:pStyle w:val="BodyText"/>
        <w:rPr>
          <w:sz w:val="29"/>
        </w:rPr>
      </w:pPr>
    </w:p>
    <w:p>
      <w:pPr>
        <w:pStyle w:val="BodyText"/>
        <w:spacing w:line="276" w:lineRule="auto" w:before="70"/>
        <w:ind w:left="139" w:right="135"/>
        <w:jc w:val="both"/>
      </w:pPr>
      <w:r>
        <w:rPr/>
        <w:t>Figura</w:t>
      </w:r>
      <w:r>
        <w:rPr>
          <w:spacing w:val="-12"/>
        </w:rPr>
        <w:t> </w:t>
      </w:r>
      <w:r>
        <w:rPr/>
        <w:t>15:</w:t>
      </w:r>
      <w:r>
        <w:rPr>
          <w:spacing w:val="-10"/>
        </w:rPr>
        <w:t> </w:t>
      </w:r>
      <w:r>
        <w:rPr/>
        <w:t>Cuadro</w:t>
      </w:r>
      <w:r>
        <w:rPr>
          <w:spacing w:val="-12"/>
        </w:rPr>
        <w:t> </w:t>
      </w:r>
      <w:r>
        <w:rPr/>
        <w:t>de</w:t>
      </w:r>
      <w:r>
        <w:rPr>
          <w:spacing w:val="-7"/>
        </w:rPr>
        <w:t> </w:t>
      </w:r>
      <w:r>
        <w:rPr/>
        <w:t>contingencia</w:t>
      </w:r>
      <w:r>
        <w:rPr>
          <w:spacing w:val="-7"/>
        </w:rPr>
        <w:t> </w:t>
      </w:r>
      <w:r>
        <w:rPr/>
        <w:t>para</w:t>
      </w:r>
      <w:r>
        <w:rPr>
          <w:spacing w:val="-12"/>
        </w:rPr>
        <w:t> </w:t>
      </w:r>
      <w:r>
        <w:rPr/>
        <w:t>comparar</w:t>
      </w:r>
      <w:r>
        <w:rPr>
          <w:spacing w:val="-15"/>
        </w:rPr>
        <w:t> </w:t>
      </w:r>
      <w:r>
        <w:rPr/>
        <w:t>la</w:t>
      </w:r>
      <w:r>
        <w:rPr>
          <w:spacing w:val="-7"/>
        </w:rPr>
        <w:t> </w:t>
      </w:r>
      <w:r>
        <w:rPr/>
        <w:t>sensibilidad</w:t>
      </w:r>
      <w:r>
        <w:rPr>
          <w:spacing w:val="2"/>
        </w:rPr>
        <w:t> </w:t>
      </w:r>
      <w:r>
        <w:rPr/>
        <w:t>y</w:t>
      </w:r>
      <w:r>
        <w:rPr>
          <w:spacing w:val="-13"/>
        </w:rPr>
        <w:t> </w:t>
      </w:r>
      <w:r>
        <w:rPr/>
        <w:t>especificidad</w:t>
      </w:r>
      <w:r>
        <w:rPr>
          <w:spacing w:val="-10"/>
        </w:rPr>
        <w:t> </w:t>
      </w:r>
      <w:r>
        <w:rPr/>
        <w:t>del diagnóstico</w:t>
      </w:r>
      <w:r>
        <w:rPr>
          <w:spacing w:val="-13"/>
        </w:rPr>
        <w:t> </w:t>
      </w:r>
      <w:r>
        <w:rPr/>
        <w:t>de</w:t>
      </w:r>
      <w:r>
        <w:rPr>
          <w:spacing w:val="-20"/>
        </w:rPr>
        <w:t> </w:t>
      </w:r>
      <w:r>
        <w:rPr/>
        <w:t>francisellosis</w:t>
      </w:r>
      <w:r>
        <w:rPr>
          <w:spacing w:val="-16"/>
        </w:rPr>
        <w:t> </w:t>
      </w:r>
      <w:r>
        <w:rPr/>
        <w:t>por</w:t>
      </w:r>
      <w:r>
        <w:rPr>
          <w:spacing w:val="-20"/>
        </w:rPr>
        <w:t> </w:t>
      </w:r>
      <w:r>
        <w:rPr/>
        <w:t>la</w:t>
      </w:r>
      <w:r>
        <w:rPr>
          <w:spacing w:val="-16"/>
        </w:rPr>
        <w:t> </w:t>
      </w:r>
      <w:r>
        <w:rPr/>
        <w:t>técnica</w:t>
      </w:r>
      <w:r>
        <w:rPr>
          <w:spacing w:val="-16"/>
        </w:rPr>
        <w:t> </w:t>
      </w:r>
      <w:r>
        <w:rPr/>
        <w:t>de</w:t>
      </w:r>
      <w:r>
        <w:rPr>
          <w:spacing w:val="-20"/>
        </w:rPr>
        <w:t> </w:t>
      </w:r>
      <w:r>
        <w:rPr/>
        <w:t>PCR</w:t>
      </w:r>
      <w:r>
        <w:rPr>
          <w:spacing w:val="-17"/>
        </w:rPr>
        <w:t> </w:t>
      </w:r>
      <w:r>
        <w:rPr/>
        <w:t>Punto</w:t>
      </w:r>
      <w:r>
        <w:rPr>
          <w:spacing w:val="-15"/>
        </w:rPr>
        <w:t> </w:t>
      </w:r>
      <w:r>
        <w:rPr/>
        <w:t>final</w:t>
      </w:r>
      <w:r>
        <w:rPr>
          <w:spacing w:val="-12"/>
        </w:rPr>
        <w:t> </w:t>
      </w:r>
      <w:r>
        <w:rPr/>
        <w:t>con</w:t>
      </w:r>
      <w:r>
        <w:rPr>
          <w:spacing w:val="-20"/>
        </w:rPr>
        <w:t> </w:t>
      </w:r>
      <w:r>
        <w:rPr/>
        <w:t>la</w:t>
      </w:r>
      <w:r>
        <w:rPr>
          <w:spacing w:val="-16"/>
        </w:rPr>
        <w:t> </w:t>
      </w:r>
      <w:r>
        <w:rPr/>
        <w:t>técnica</w:t>
      </w:r>
      <w:r>
        <w:rPr>
          <w:spacing w:val="-16"/>
        </w:rPr>
        <w:t> </w:t>
      </w:r>
      <w:r>
        <w:rPr/>
        <w:t>de</w:t>
      </w:r>
      <w:r>
        <w:rPr>
          <w:spacing w:val="-16"/>
        </w:rPr>
        <w:t> </w:t>
      </w:r>
      <w:r>
        <w:rPr/>
        <w:t>PCR Anidada; los números representan las muestras positivas (+) y negativas </w:t>
      </w:r>
      <w:r>
        <w:rPr>
          <w:spacing w:val="3"/>
        </w:rPr>
        <w:t>(-) </w:t>
      </w:r>
      <w:r>
        <w:rPr/>
        <w:t>por cada una de las diferentes pruebas de</w:t>
      </w:r>
      <w:r>
        <w:rPr>
          <w:spacing w:val="-23"/>
        </w:rPr>
        <w:t> </w:t>
      </w:r>
      <w:r>
        <w:rPr/>
        <w:t>diagnóstico.</w:t>
      </w:r>
    </w:p>
    <w:p>
      <w:pPr>
        <w:pStyle w:val="BodyText"/>
        <w:spacing w:line="276" w:lineRule="auto" w:before="202"/>
        <w:ind w:left="139" w:right="135"/>
        <w:jc w:val="both"/>
      </w:pPr>
      <w:r>
        <w:rPr/>
        <w:t>Los resultados obtenidos indican que la técnica de PCR Anidada ofreció mayor sensibilidad</w:t>
      </w:r>
      <w:r>
        <w:rPr>
          <w:spacing w:val="-15"/>
        </w:rPr>
        <w:t> </w:t>
      </w:r>
      <w:r>
        <w:rPr/>
        <w:t>en</w:t>
      </w:r>
      <w:r>
        <w:rPr>
          <w:spacing w:val="-15"/>
        </w:rPr>
        <w:t> </w:t>
      </w:r>
      <w:r>
        <w:rPr/>
        <w:t>comparación</w:t>
      </w:r>
      <w:r>
        <w:rPr>
          <w:spacing w:val="-15"/>
        </w:rPr>
        <w:t> </w:t>
      </w:r>
      <w:r>
        <w:rPr/>
        <w:t>con</w:t>
      </w:r>
      <w:r>
        <w:rPr>
          <w:spacing w:val="-19"/>
        </w:rPr>
        <w:t> </w:t>
      </w:r>
      <w:r>
        <w:rPr/>
        <w:t>la</w:t>
      </w:r>
      <w:r>
        <w:rPr>
          <w:spacing w:val="-14"/>
        </w:rPr>
        <w:t> </w:t>
      </w:r>
      <w:r>
        <w:rPr/>
        <w:t>técnicas</w:t>
      </w:r>
      <w:r>
        <w:rPr>
          <w:spacing w:val="-15"/>
        </w:rPr>
        <w:t> </w:t>
      </w:r>
      <w:r>
        <w:rPr/>
        <w:t>de</w:t>
      </w:r>
      <w:r>
        <w:rPr>
          <w:spacing w:val="-13"/>
        </w:rPr>
        <w:t> </w:t>
      </w:r>
      <w:r>
        <w:rPr/>
        <w:t>PCR</w:t>
      </w:r>
      <w:r>
        <w:rPr>
          <w:spacing w:val="-16"/>
        </w:rPr>
        <w:t> </w:t>
      </w:r>
      <w:r>
        <w:rPr/>
        <w:t>Punto</w:t>
      </w:r>
      <w:r>
        <w:rPr>
          <w:spacing w:val="-14"/>
        </w:rPr>
        <w:t> </w:t>
      </w:r>
      <w:r>
        <w:rPr/>
        <w:t>final,</w:t>
      </w:r>
      <w:r>
        <w:rPr>
          <w:spacing w:val="-18"/>
        </w:rPr>
        <w:t> </w:t>
      </w:r>
      <w:r>
        <w:rPr/>
        <w:t>por</w:t>
      </w:r>
      <w:r>
        <w:rPr>
          <w:spacing w:val="-19"/>
        </w:rPr>
        <w:t> </w:t>
      </w:r>
      <w:r>
        <w:rPr/>
        <w:t>lo</w:t>
      </w:r>
      <w:r>
        <w:rPr>
          <w:spacing w:val="-15"/>
        </w:rPr>
        <w:t> </w:t>
      </w:r>
      <w:r>
        <w:rPr/>
        <w:t>que</w:t>
      </w:r>
      <w:r>
        <w:rPr>
          <w:spacing w:val="-15"/>
        </w:rPr>
        <w:t> </w:t>
      </w:r>
      <w:r>
        <w:rPr/>
        <w:t>se</w:t>
      </w:r>
      <w:r>
        <w:rPr>
          <w:spacing w:val="-19"/>
        </w:rPr>
        <w:t> </w:t>
      </w:r>
      <w:r>
        <w:rPr/>
        <w:t>infiere que de cada 100 muestras analizadas y diagnosticadas como positivas por PCR Anidada, se obtendrían 86 muestras positivas por PCR Punto Final; asi mismo, se observa también que el diagnóstico clínico macroscópico e histopatológico son menos sensibles </w:t>
      </w:r>
      <w:r>
        <w:rPr>
          <w:spacing w:val="-3"/>
        </w:rPr>
        <w:t>ya </w:t>
      </w:r>
      <w:r>
        <w:rPr/>
        <w:t>que solo se pudieron detectar 63% y 76% de peces enfermos, respectivamente utilizando estas técnicas, en comparación con las técnicas de PCR, al menos para el presente trabajo y tamaño de muestra</w:t>
      </w:r>
      <w:r>
        <w:rPr>
          <w:spacing w:val="-30"/>
        </w:rPr>
        <w:t> </w:t>
      </w:r>
      <w:r>
        <w:rPr/>
        <w:t>utilizados.</w:t>
      </w:r>
    </w:p>
    <w:p>
      <w:pPr>
        <w:pStyle w:val="BodyText"/>
        <w:spacing w:before="11"/>
        <w:rPr>
          <w:sz w:val="20"/>
        </w:rPr>
      </w:pPr>
    </w:p>
    <w:p>
      <w:pPr>
        <w:pStyle w:val="Heading1"/>
        <w:numPr>
          <w:ilvl w:val="0"/>
          <w:numId w:val="8"/>
        </w:numPr>
        <w:tabs>
          <w:tab w:pos="408" w:val="left" w:leader="none"/>
        </w:tabs>
        <w:spacing w:line="240" w:lineRule="auto" w:before="0" w:after="0"/>
        <w:ind w:left="408" w:right="0" w:hanging="269"/>
        <w:jc w:val="both"/>
      </w:pPr>
      <w:bookmarkStart w:name="_bookmark60" w:id="106"/>
      <w:bookmarkEnd w:id="106"/>
      <w:r>
        <w:rPr>
          <w:b w:val="0"/>
        </w:rPr>
      </w:r>
      <w:bookmarkStart w:name="_bookmark60" w:id="107"/>
      <w:bookmarkEnd w:id="107"/>
      <w:r>
        <w:rPr>
          <w:color w:val="365F91"/>
        </w:rPr>
        <w:t>D</w:t>
      </w:r>
      <w:r>
        <w:rPr>
          <w:color w:val="365F91"/>
        </w:rPr>
        <w:t>ISCUSIÓN</w:t>
      </w:r>
      <w:r>
        <w:rPr>
          <w:color w:val="365F91"/>
          <w:spacing w:val="-13"/>
        </w:rPr>
        <w:t> </w:t>
      </w:r>
      <w:r>
        <w:rPr>
          <w:color w:val="365F91"/>
        </w:rPr>
        <w:t>GENERAL</w:t>
      </w:r>
    </w:p>
    <w:p>
      <w:pPr>
        <w:pStyle w:val="BodyText"/>
        <w:spacing w:line="276" w:lineRule="auto" w:before="45"/>
        <w:ind w:left="139" w:right="135"/>
        <w:jc w:val="both"/>
      </w:pPr>
      <w:r>
        <w:rPr/>
        <w:t>Durante las últimas tres décadas las bacterias del género </w:t>
      </w:r>
      <w:r>
        <w:rPr>
          <w:i/>
        </w:rPr>
        <w:t>Francisella </w:t>
      </w:r>
      <w:r>
        <w:rPr/>
        <w:t>sp. han causado epizootias de curso agudo o crónico en peces silvestres y de cultivo, afectando entre otras especies a la tilapia (</w:t>
      </w:r>
      <w:r>
        <w:rPr>
          <w:i/>
        </w:rPr>
        <w:t>Oreochromis </w:t>
      </w:r>
      <w:r>
        <w:rPr/>
        <w:t>sp.) (Colquhoun y Duodu, 2011). La presentación clínica de francisellosis depende de distintos factores que puede influir en el equilibrio de la triada epidemiológica. En casos agudos, la enfermedad se caracteriza por la ausencia de signos clínicos y altas mortalidades, a la necropsia de los peces se observa formación de nódulos blanquecinos en diferentes órganos; en cambio, en la presentación crónica, si bien no hay signos clínicos o son inaparentes, la mortalidad es muy baja o de poca significancia (Soto </w:t>
      </w:r>
      <w:r>
        <w:rPr>
          <w:i/>
        </w:rPr>
        <w:t>et al</w:t>
      </w:r>
      <w:r>
        <w:rPr/>
        <w:t>., 2009a, b).</w:t>
      </w:r>
    </w:p>
    <w:p>
      <w:pPr>
        <w:pStyle w:val="BodyText"/>
        <w:spacing w:line="276" w:lineRule="auto" w:before="202"/>
        <w:ind w:left="139" w:right="133"/>
        <w:jc w:val="both"/>
      </w:pPr>
      <w:r>
        <w:rPr/>
        <w:t>Los</w:t>
      </w:r>
      <w:r>
        <w:rPr>
          <w:spacing w:val="-4"/>
        </w:rPr>
        <w:t> </w:t>
      </w:r>
      <w:r>
        <w:rPr/>
        <w:t>hallazgos</w:t>
      </w:r>
      <w:r>
        <w:rPr>
          <w:spacing w:val="-4"/>
        </w:rPr>
        <w:t> </w:t>
      </w:r>
      <w:r>
        <w:rPr/>
        <w:t>observados</w:t>
      </w:r>
      <w:r>
        <w:rPr>
          <w:spacing w:val="-9"/>
        </w:rPr>
        <w:t> </w:t>
      </w:r>
      <w:r>
        <w:rPr/>
        <w:t>en</w:t>
      </w:r>
      <w:r>
        <w:rPr>
          <w:spacing w:val="-8"/>
        </w:rPr>
        <w:t> </w:t>
      </w:r>
      <w:r>
        <w:rPr/>
        <w:t>este</w:t>
      </w:r>
      <w:r>
        <w:rPr>
          <w:spacing w:val="-8"/>
        </w:rPr>
        <w:t> </w:t>
      </w:r>
      <w:r>
        <w:rPr/>
        <w:t>estudio,</w:t>
      </w:r>
      <w:r>
        <w:rPr>
          <w:spacing w:val="-9"/>
        </w:rPr>
        <w:t> </w:t>
      </w:r>
      <w:r>
        <w:rPr/>
        <w:t>son</w:t>
      </w:r>
      <w:r>
        <w:rPr>
          <w:spacing w:val="-4"/>
        </w:rPr>
        <w:t> </w:t>
      </w:r>
      <w:r>
        <w:rPr/>
        <w:t>concordantes</w:t>
      </w:r>
      <w:r>
        <w:rPr>
          <w:spacing w:val="-4"/>
        </w:rPr>
        <w:t> </w:t>
      </w:r>
      <w:r>
        <w:rPr/>
        <w:t>con</w:t>
      </w:r>
      <w:r>
        <w:rPr>
          <w:spacing w:val="-4"/>
        </w:rPr>
        <w:t> </w:t>
      </w:r>
      <w:r>
        <w:rPr/>
        <w:t>una</w:t>
      </w:r>
      <w:r>
        <w:rPr>
          <w:spacing w:val="-4"/>
        </w:rPr>
        <w:t> </w:t>
      </w:r>
      <w:r>
        <w:rPr/>
        <w:t>presentación crónica</w:t>
      </w:r>
      <w:r>
        <w:rPr>
          <w:spacing w:val="-6"/>
        </w:rPr>
        <w:t> </w:t>
      </w:r>
      <w:r>
        <w:rPr/>
        <w:t>de</w:t>
      </w:r>
      <w:r>
        <w:rPr>
          <w:spacing w:val="-11"/>
        </w:rPr>
        <w:t> </w:t>
      </w:r>
      <w:r>
        <w:rPr/>
        <w:t>la</w:t>
      </w:r>
      <w:r>
        <w:rPr>
          <w:spacing w:val="-4"/>
        </w:rPr>
        <w:t> </w:t>
      </w:r>
      <w:r>
        <w:rPr/>
        <w:t>enfermedad,</w:t>
      </w:r>
      <w:r>
        <w:rPr>
          <w:spacing w:val="-6"/>
        </w:rPr>
        <w:t> </w:t>
      </w:r>
      <w:r>
        <w:rPr/>
        <w:t>ya</w:t>
      </w:r>
      <w:r>
        <w:rPr>
          <w:spacing w:val="-6"/>
        </w:rPr>
        <w:t> </w:t>
      </w:r>
      <w:r>
        <w:rPr/>
        <w:t>que</w:t>
      </w:r>
      <w:r>
        <w:rPr>
          <w:spacing w:val="-6"/>
        </w:rPr>
        <w:t> </w:t>
      </w:r>
      <w:r>
        <w:rPr>
          <w:spacing w:val="-3"/>
        </w:rPr>
        <w:t>si</w:t>
      </w:r>
      <w:r>
        <w:rPr>
          <w:spacing w:val="-7"/>
        </w:rPr>
        <w:t> </w:t>
      </w:r>
      <w:r>
        <w:rPr/>
        <w:t>bien</w:t>
      </w:r>
      <w:r>
        <w:rPr>
          <w:spacing w:val="-6"/>
        </w:rPr>
        <w:t> </w:t>
      </w:r>
      <w:r>
        <w:rPr/>
        <w:t>se</w:t>
      </w:r>
      <w:r>
        <w:rPr>
          <w:spacing w:val="-6"/>
        </w:rPr>
        <w:t> </w:t>
      </w:r>
      <w:r>
        <w:rPr>
          <w:spacing w:val="-3"/>
        </w:rPr>
        <w:t>trabajó</w:t>
      </w:r>
      <w:r>
        <w:rPr>
          <w:spacing w:val="-6"/>
        </w:rPr>
        <w:t> </w:t>
      </w:r>
      <w:r>
        <w:rPr/>
        <w:t>con</w:t>
      </w:r>
      <w:r>
        <w:rPr>
          <w:spacing w:val="-6"/>
        </w:rPr>
        <w:t> </w:t>
      </w:r>
      <w:r>
        <w:rPr/>
        <w:t>animales</w:t>
      </w:r>
      <w:r>
        <w:rPr>
          <w:spacing w:val="-7"/>
        </w:rPr>
        <w:t> </w:t>
      </w:r>
      <w:r>
        <w:rPr/>
        <w:t>de</w:t>
      </w:r>
      <w:r>
        <w:rPr>
          <w:spacing w:val="-6"/>
        </w:rPr>
        <w:t> </w:t>
      </w:r>
      <w:r>
        <w:rPr/>
        <w:t>una</w:t>
      </w:r>
      <w:r>
        <w:rPr>
          <w:spacing w:val="-6"/>
        </w:rPr>
        <w:t> </w:t>
      </w:r>
      <w:r>
        <w:rPr/>
        <w:t>granja</w:t>
      </w:r>
      <w:r>
        <w:rPr>
          <w:spacing w:val="-6"/>
        </w:rPr>
        <w:t> </w:t>
      </w:r>
      <w:r>
        <w:rPr/>
        <w:t>con antecedentes</w:t>
      </w:r>
      <w:r>
        <w:rPr>
          <w:spacing w:val="-15"/>
        </w:rPr>
        <w:t> </w:t>
      </w:r>
      <w:r>
        <w:rPr/>
        <w:t>de</w:t>
      </w:r>
      <w:r>
        <w:rPr>
          <w:spacing w:val="-14"/>
        </w:rPr>
        <w:t> </w:t>
      </w:r>
      <w:r>
        <w:rPr/>
        <w:t>francisellosis;</w:t>
      </w:r>
      <w:r>
        <w:rPr>
          <w:spacing w:val="-19"/>
        </w:rPr>
        <w:t> </w:t>
      </w:r>
      <w:r>
        <w:rPr/>
        <w:t>los</w:t>
      </w:r>
      <w:r>
        <w:rPr>
          <w:spacing w:val="-14"/>
        </w:rPr>
        <w:t> </w:t>
      </w:r>
      <w:r>
        <w:rPr/>
        <w:t>peces</w:t>
      </w:r>
      <w:r>
        <w:rPr>
          <w:spacing w:val="-15"/>
        </w:rPr>
        <w:t> </w:t>
      </w:r>
      <w:r>
        <w:rPr/>
        <w:t>analizados</w:t>
      </w:r>
      <w:r>
        <w:rPr>
          <w:spacing w:val="-15"/>
        </w:rPr>
        <w:t> </w:t>
      </w:r>
      <w:r>
        <w:rPr/>
        <w:t>no</w:t>
      </w:r>
      <w:r>
        <w:rPr>
          <w:spacing w:val="-18"/>
        </w:rPr>
        <w:t> </w:t>
      </w:r>
      <w:r>
        <w:rPr/>
        <w:t>presentaban</w:t>
      </w:r>
      <w:r>
        <w:rPr>
          <w:spacing w:val="-14"/>
        </w:rPr>
        <w:t> </w:t>
      </w:r>
      <w:r>
        <w:rPr/>
        <w:t>signos</w:t>
      </w:r>
      <w:r>
        <w:rPr>
          <w:spacing w:val="-15"/>
        </w:rPr>
        <w:t> </w:t>
      </w:r>
      <w:r>
        <w:rPr/>
        <w:t>clínicos de</w:t>
      </w:r>
      <w:r>
        <w:rPr>
          <w:spacing w:val="-7"/>
        </w:rPr>
        <w:t> </w:t>
      </w:r>
      <w:r>
        <w:rPr/>
        <w:t>enfermedad</w:t>
      </w:r>
      <w:r>
        <w:rPr>
          <w:spacing w:val="-7"/>
        </w:rPr>
        <w:t> </w:t>
      </w:r>
      <w:r>
        <w:rPr/>
        <w:t>y</w:t>
      </w:r>
      <w:r>
        <w:rPr>
          <w:spacing w:val="-13"/>
        </w:rPr>
        <w:t> </w:t>
      </w:r>
      <w:r>
        <w:rPr/>
        <w:t>la</w:t>
      </w:r>
      <w:r>
        <w:rPr>
          <w:spacing w:val="-7"/>
        </w:rPr>
        <w:t> </w:t>
      </w:r>
      <w:r>
        <w:rPr/>
        <w:t>mortalidad</w:t>
      </w:r>
      <w:r>
        <w:rPr>
          <w:spacing w:val="-12"/>
        </w:rPr>
        <w:t> </w:t>
      </w:r>
      <w:r>
        <w:rPr/>
        <w:t>en</w:t>
      </w:r>
      <w:r>
        <w:rPr>
          <w:spacing w:val="-12"/>
        </w:rPr>
        <w:t> </w:t>
      </w:r>
      <w:r>
        <w:rPr/>
        <w:t>la</w:t>
      </w:r>
      <w:r>
        <w:rPr>
          <w:spacing w:val="-12"/>
        </w:rPr>
        <w:t> </w:t>
      </w:r>
      <w:r>
        <w:rPr/>
        <w:t>granja</w:t>
      </w:r>
      <w:r>
        <w:rPr>
          <w:spacing w:val="-7"/>
        </w:rPr>
        <w:t> </w:t>
      </w:r>
      <w:r>
        <w:rPr/>
        <w:t>era</w:t>
      </w:r>
      <w:r>
        <w:rPr>
          <w:spacing w:val="-7"/>
        </w:rPr>
        <w:t> </w:t>
      </w:r>
      <w:r>
        <w:rPr/>
        <w:t>baja,</w:t>
      </w:r>
      <w:r>
        <w:rPr>
          <w:spacing w:val="-12"/>
        </w:rPr>
        <w:t> </w:t>
      </w:r>
      <w:r>
        <w:rPr/>
        <w:t>lo</w:t>
      </w:r>
      <w:r>
        <w:rPr>
          <w:spacing w:val="-7"/>
        </w:rPr>
        <w:t> </w:t>
      </w:r>
      <w:r>
        <w:rPr/>
        <w:t>que</w:t>
      </w:r>
      <w:r>
        <w:rPr>
          <w:spacing w:val="-7"/>
        </w:rPr>
        <w:t> </w:t>
      </w:r>
      <w:r>
        <w:rPr/>
        <w:t>puede</w:t>
      </w:r>
      <w:r>
        <w:rPr>
          <w:spacing w:val="-12"/>
        </w:rPr>
        <w:t> </w:t>
      </w:r>
      <w:r>
        <w:rPr/>
        <w:t>estar</w:t>
      </w:r>
      <w:r>
        <w:rPr>
          <w:spacing w:val="-11"/>
        </w:rPr>
        <w:t> </w:t>
      </w:r>
      <w:r>
        <w:rPr/>
        <w:t>relacionado con las características genéticas y antigénicas del agente que le permite el vivir y replicarse intracelularmente; gracia a que contienen dentro de su estructura, proteínas que le confieren la capacidad de evadir la respuesta inmune (Soto </w:t>
      </w:r>
      <w:r>
        <w:rPr>
          <w:i/>
        </w:rPr>
        <w:t>et al</w:t>
      </w:r>
      <w:r>
        <w:rPr/>
        <w:t>., 2010), favoreciendo la presentación de enfermedad de curso</w:t>
      </w:r>
      <w:r>
        <w:rPr>
          <w:spacing w:val="-30"/>
        </w:rPr>
        <w:t> </w:t>
      </w:r>
      <w:r>
        <w:rPr/>
        <w:t>crónico.</w:t>
      </w:r>
    </w:p>
    <w:p>
      <w:pPr>
        <w:pStyle w:val="BodyText"/>
        <w:spacing w:line="276" w:lineRule="auto" w:before="207"/>
        <w:ind w:left="139" w:right="135"/>
        <w:jc w:val="both"/>
      </w:pPr>
      <w:r>
        <w:rPr/>
        <w:t>Los agentes bacterianos intracelulares han desarrollado mecanismos que les permiten estar presentes en los tejidos sin desencadenar respuesta inmune (Soto </w:t>
      </w:r>
      <w:r>
        <w:rPr>
          <w:i/>
        </w:rPr>
        <w:t>et</w:t>
      </w:r>
      <w:r>
        <w:rPr>
          <w:i/>
          <w:spacing w:val="-12"/>
        </w:rPr>
        <w:t> </w:t>
      </w:r>
      <w:r>
        <w:rPr>
          <w:i/>
        </w:rPr>
        <w:t>al</w:t>
      </w:r>
      <w:r>
        <w:rPr/>
        <w:t>.,</w:t>
      </w:r>
      <w:r>
        <w:rPr>
          <w:spacing w:val="-12"/>
        </w:rPr>
        <w:t> </w:t>
      </w:r>
      <w:r>
        <w:rPr/>
        <w:t>2010),</w:t>
      </w:r>
      <w:r>
        <w:rPr>
          <w:spacing w:val="-16"/>
        </w:rPr>
        <w:t> </w:t>
      </w:r>
      <w:r>
        <w:rPr/>
        <w:t>esta</w:t>
      </w:r>
      <w:r>
        <w:rPr>
          <w:spacing w:val="-11"/>
        </w:rPr>
        <w:t> </w:t>
      </w:r>
      <w:r>
        <w:rPr/>
        <w:t>característica</w:t>
      </w:r>
      <w:r>
        <w:rPr>
          <w:spacing w:val="-16"/>
        </w:rPr>
        <w:t> </w:t>
      </w:r>
      <w:r>
        <w:rPr/>
        <w:t>ha</w:t>
      </w:r>
      <w:r>
        <w:rPr>
          <w:spacing w:val="-12"/>
        </w:rPr>
        <w:t> </w:t>
      </w:r>
      <w:r>
        <w:rPr/>
        <w:t>hecho</w:t>
      </w:r>
      <w:r>
        <w:rPr>
          <w:spacing w:val="-12"/>
        </w:rPr>
        <w:t> </w:t>
      </w:r>
      <w:r>
        <w:rPr/>
        <w:t>que</w:t>
      </w:r>
      <w:r>
        <w:rPr>
          <w:spacing w:val="-16"/>
        </w:rPr>
        <w:t> </w:t>
      </w:r>
      <w:r>
        <w:rPr/>
        <w:t>estos</w:t>
      </w:r>
      <w:r>
        <w:rPr>
          <w:spacing w:val="-13"/>
        </w:rPr>
        <w:t> </w:t>
      </w:r>
      <w:r>
        <w:rPr/>
        <w:t>microorganismos</w:t>
      </w:r>
      <w:r>
        <w:rPr>
          <w:spacing w:val="-13"/>
        </w:rPr>
        <w:t> </w:t>
      </w:r>
      <w:r>
        <w:rPr/>
        <w:t>sean</w:t>
      </w:r>
      <w:r>
        <w:rPr>
          <w:spacing w:val="-12"/>
        </w:rPr>
        <w:t> </w:t>
      </w:r>
      <w:r>
        <w:rPr/>
        <w:t>capaces de replicarse y destruir a la célula huésped de manera controlada ocasionando la formación de granulomas, que causan lesiones extensas; que al transcurrir el tiempo hacen que la función de los órganos vitales sea incompatibles con la vida; aun</w:t>
      </w:r>
      <w:r>
        <w:rPr>
          <w:spacing w:val="18"/>
        </w:rPr>
        <w:t> </w:t>
      </w:r>
      <w:r>
        <w:rPr/>
        <w:t>cuando</w:t>
      </w:r>
      <w:r>
        <w:rPr>
          <w:spacing w:val="18"/>
        </w:rPr>
        <w:t> </w:t>
      </w:r>
      <w:r>
        <w:rPr/>
        <w:t>el</w:t>
      </w:r>
      <w:r>
        <w:rPr>
          <w:spacing w:val="21"/>
        </w:rPr>
        <w:t> </w:t>
      </w:r>
      <w:r>
        <w:rPr/>
        <w:t>bazo</w:t>
      </w:r>
      <w:r>
        <w:rPr>
          <w:spacing w:val="18"/>
        </w:rPr>
        <w:t> </w:t>
      </w:r>
      <w:r>
        <w:rPr/>
        <w:t>y</w:t>
      </w:r>
      <w:r>
        <w:rPr>
          <w:spacing w:val="17"/>
        </w:rPr>
        <w:t> </w:t>
      </w:r>
      <w:r>
        <w:rPr/>
        <w:t>riñón</w:t>
      </w:r>
      <w:r>
        <w:rPr>
          <w:spacing w:val="18"/>
        </w:rPr>
        <w:t> </w:t>
      </w:r>
      <w:r>
        <w:rPr/>
        <w:t>tienen</w:t>
      </w:r>
      <w:r>
        <w:rPr>
          <w:spacing w:val="18"/>
        </w:rPr>
        <w:t> </w:t>
      </w:r>
      <w:r>
        <w:rPr/>
        <w:t>una</w:t>
      </w:r>
      <w:r>
        <w:rPr>
          <w:spacing w:val="18"/>
        </w:rPr>
        <w:t> </w:t>
      </w:r>
      <w:r>
        <w:rPr/>
        <w:t>capacidad</w:t>
      </w:r>
      <w:r>
        <w:rPr>
          <w:spacing w:val="13"/>
        </w:rPr>
        <w:t> </w:t>
      </w:r>
      <w:r>
        <w:rPr/>
        <w:t>de</w:t>
      </w:r>
      <w:r>
        <w:rPr>
          <w:spacing w:val="18"/>
        </w:rPr>
        <w:t> </w:t>
      </w:r>
      <w:r>
        <w:rPr/>
        <w:t>compensación</w:t>
      </w:r>
      <w:r>
        <w:rPr>
          <w:spacing w:val="18"/>
        </w:rPr>
        <w:t> </w:t>
      </w:r>
      <w:r>
        <w:rPr>
          <w:spacing w:val="-3"/>
        </w:rPr>
        <w:t>muy</w:t>
      </w:r>
      <w:r>
        <w:rPr>
          <w:spacing w:val="17"/>
        </w:rPr>
        <w:t> </w:t>
      </w:r>
      <w:r>
        <w:rPr/>
        <w:t>alta.</w:t>
      </w:r>
      <w:r>
        <w:rPr>
          <w:spacing w:val="17"/>
        </w:rPr>
        <w:t> </w:t>
      </w:r>
      <w:r>
        <w:rPr/>
        <w:t>En</w:t>
      </w:r>
    </w:p>
    <w:p>
      <w:pPr>
        <w:spacing w:after="0" w:line="276" w:lineRule="auto"/>
        <w:jc w:val="both"/>
        <w:sectPr>
          <w:pgSz w:w="12240" w:h="15840"/>
          <w:pgMar w:header="752" w:footer="998" w:top="1000" w:bottom="1180" w:left="1560" w:right="1560"/>
        </w:sectPr>
      </w:pPr>
    </w:p>
    <w:p>
      <w:pPr>
        <w:pStyle w:val="BodyText"/>
        <w:rPr>
          <w:sz w:val="29"/>
        </w:rPr>
      </w:pPr>
    </w:p>
    <w:p>
      <w:pPr>
        <w:pStyle w:val="BodyText"/>
        <w:spacing w:line="271" w:lineRule="auto" w:before="70"/>
        <w:ind w:left="139" w:right="150"/>
        <w:jc w:val="both"/>
      </w:pPr>
      <w:r>
        <w:rPr/>
        <w:t>este estudio, la mortalidad observada se asoció a un daño mayor del bazo, riñón u otros órganos vitales.</w:t>
      </w:r>
    </w:p>
    <w:p>
      <w:pPr>
        <w:pStyle w:val="BodyText"/>
        <w:spacing w:line="276" w:lineRule="auto" w:before="213"/>
        <w:ind w:left="139" w:right="133"/>
        <w:jc w:val="both"/>
      </w:pPr>
      <w:r>
        <w:rPr/>
        <w:t>Algunos</w:t>
      </w:r>
      <w:r>
        <w:rPr>
          <w:spacing w:val="-21"/>
        </w:rPr>
        <w:t> </w:t>
      </w:r>
      <w:r>
        <w:rPr/>
        <w:t>daños</w:t>
      </w:r>
      <w:r>
        <w:rPr>
          <w:spacing w:val="-16"/>
        </w:rPr>
        <w:t> </w:t>
      </w:r>
      <w:r>
        <w:rPr/>
        <w:t>como</w:t>
      </w:r>
      <w:r>
        <w:rPr>
          <w:spacing w:val="-16"/>
        </w:rPr>
        <w:t> </w:t>
      </w:r>
      <w:r>
        <w:rPr/>
        <w:t>la</w:t>
      </w:r>
      <w:r>
        <w:rPr>
          <w:spacing w:val="-16"/>
        </w:rPr>
        <w:t> </w:t>
      </w:r>
      <w:r>
        <w:rPr/>
        <w:t>caquexia</w:t>
      </w:r>
      <w:r>
        <w:rPr>
          <w:spacing w:val="-16"/>
        </w:rPr>
        <w:t> </w:t>
      </w:r>
      <w:r>
        <w:rPr/>
        <w:t>presentada</w:t>
      </w:r>
      <w:r>
        <w:rPr>
          <w:spacing w:val="-16"/>
        </w:rPr>
        <w:t> </w:t>
      </w:r>
      <w:r>
        <w:rPr/>
        <w:t>en</w:t>
      </w:r>
      <w:r>
        <w:rPr>
          <w:spacing w:val="-16"/>
        </w:rPr>
        <w:t> </w:t>
      </w:r>
      <w:r>
        <w:rPr/>
        <w:t>casos</w:t>
      </w:r>
      <w:r>
        <w:rPr>
          <w:spacing w:val="-16"/>
        </w:rPr>
        <w:t> </w:t>
      </w:r>
      <w:r>
        <w:rPr/>
        <w:t>de</w:t>
      </w:r>
      <w:r>
        <w:rPr>
          <w:spacing w:val="-16"/>
        </w:rPr>
        <w:t> </w:t>
      </w:r>
      <w:r>
        <w:rPr/>
        <w:t>francisellosis,</w:t>
      </w:r>
      <w:r>
        <w:rPr>
          <w:spacing w:val="-16"/>
        </w:rPr>
        <w:t> </w:t>
      </w:r>
      <w:r>
        <w:rPr/>
        <w:t>puede</w:t>
      </w:r>
      <w:r>
        <w:rPr>
          <w:spacing w:val="-16"/>
        </w:rPr>
        <w:t> </w:t>
      </w:r>
      <w:r>
        <w:rPr/>
        <w:t>estar asociada</w:t>
      </w:r>
      <w:r>
        <w:rPr>
          <w:spacing w:val="-6"/>
        </w:rPr>
        <w:t> </w:t>
      </w:r>
      <w:r>
        <w:rPr/>
        <w:t>a</w:t>
      </w:r>
      <w:r>
        <w:rPr>
          <w:spacing w:val="-6"/>
        </w:rPr>
        <w:t> </w:t>
      </w:r>
      <w:r>
        <w:rPr/>
        <w:t>la</w:t>
      </w:r>
      <w:r>
        <w:rPr>
          <w:spacing w:val="-6"/>
        </w:rPr>
        <w:t> </w:t>
      </w:r>
      <w:r>
        <w:rPr/>
        <w:t>anorexia</w:t>
      </w:r>
      <w:r>
        <w:rPr>
          <w:spacing w:val="-6"/>
        </w:rPr>
        <w:t> </w:t>
      </w:r>
      <w:r>
        <w:rPr/>
        <w:t>producida</w:t>
      </w:r>
      <w:r>
        <w:rPr>
          <w:spacing w:val="-6"/>
        </w:rPr>
        <w:t> </w:t>
      </w:r>
      <w:r>
        <w:rPr/>
        <w:t>por</w:t>
      </w:r>
      <w:r>
        <w:rPr>
          <w:spacing w:val="-5"/>
        </w:rPr>
        <w:t> </w:t>
      </w:r>
      <w:r>
        <w:rPr/>
        <w:t>la</w:t>
      </w:r>
      <w:r>
        <w:rPr>
          <w:spacing w:val="-6"/>
        </w:rPr>
        <w:t> </w:t>
      </w:r>
      <w:r>
        <w:rPr/>
        <w:t>infección,</w:t>
      </w:r>
      <w:r>
        <w:rPr>
          <w:spacing w:val="-6"/>
        </w:rPr>
        <w:t> </w:t>
      </w:r>
      <w:r>
        <w:rPr/>
        <w:t>aunque</w:t>
      </w:r>
      <w:r>
        <w:rPr>
          <w:spacing w:val="-6"/>
        </w:rPr>
        <w:t> </w:t>
      </w:r>
      <w:r>
        <w:rPr/>
        <w:t>no</w:t>
      </w:r>
      <w:r>
        <w:rPr>
          <w:spacing w:val="-6"/>
        </w:rPr>
        <w:t> </w:t>
      </w:r>
      <w:r>
        <w:rPr/>
        <w:t>se</w:t>
      </w:r>
      <w:r>
        <w:rPr>
          <w:spacing w:val="-6"/>
        </w:rPr>
        <w:t> </w:t>
      </w:r>
      <w:r>
        <w:rPr/>
        <w:t>considera</w:t>
      </w:r>
      <w:r>
        <w:rPr>
          <w:spacing w:val="-6"/>
        </w:rPr>
        <w:t> </w:t>
      </w:r>
      <w:r>
        <w:rPr/>
        <w:t>un</w:t>
      </w:r>
      <w:r>
        <w:rPr>
          <w:spacing w:val="-6"/>
        </w:rPr>
        <w:t> </w:t>
      </w:r>
      <w:r>
        <w:rPr/>
        <w:t>signo exclusivo de esta enfermedad puede estar asociada. Sin embargo otros factores que pueden favorecer la mala condición progresiva de los peces pueden ser las malas prácticas de alimentación, aportes de alimentos de baja calidad o la existencia de otras enfermedades septicémicas o concomitantes que casi siempre se encuentran presentes en los sistemas de producción (Hsieh </w:t>
      </w:r>
      <w:r>
        <w:rPr>
          <w:i/>
        </w:rPr>
        <w:t>et al</w:t>
      </w:r>
      <w:r>
        <w:rPr/>
        <w:t>., 2007; Soto </w:t>
      </w:r>
      <w:r>
        <w:rPr>
          <w:i/>
        </w:rPr>
        <w:t>et </w:t>
      </w:r>
      <w:r>
        <w:rPr>
          <w:i/>
        </w:rPr>
        <w:t>al</w:t>
      </w:r>
      <w:r>
        <w:rPr/>
        <w:t>.,</w:t>
      </w:r>
      <w:r>
        <w:rPr>
          <w:spacing w:val="-4"/>
        </w:rPr>
        <w:t> </w:t>
      </w:r>
      <w:r>
        <w:rPr/>
        <w:t>2009a)</w:t>
      </w:r>
    </w:p>
    <w:p>
      <w:pPr>
        <w:pStyle w:val="BodyText"/>
        <w:spacing w:line="276" w:lineRule="auto" w:before="207"/>
        <w:ind w:left="139" w:right="135"/>
        <w:jc w:val="both"/>
      </w:pPr>
      <w:r>
        <w:rPr/>
        <w:t>Típicamente, la fransicellosis se caracteriza por la formación de nódulos en diferentes órganos, principalmente en el bazo, riñón e hígado (Mauel </w:t>
      </w:r>
      <w:r>
        <w:rPr>
          <w:i/>
        </w:rPr>
        <w:t>et al</w:t>
      </w:r>
      <w:r>
        <w:rPr/>
        <w:t>., 2007); sin embargo, los nodulos se pueden encontrar diseminados a otros tejidos </w:t>
      </w:r>
      <w:r>
        <w:rPr>
          <w:spacing w:val="-3"/>
        </w:rPr>
        <w:t>como; </w:t>
      </w:r>
      <w:r>
        <w:rPr/>
        <w:t>intestino, corazón, testículos, branquias e incluso cerebro en casos crónicos (Soto </w:t>
      </w:r>
      <w:r>
        <w:rPr>
          <w:i/>
        </w:rPr>
        <w:t>et al</w:t>
      </w:r>
      <w:r>
        <w:rPr/>
        <w:t>., 2009a, b). En este estudio, los nódulos únicamente estuvieron presentes en bazo y riñón; la literatura sobre el </w:t>
      </w:r>
      <w:r>
        <w:rPr>
          <w:spacing w:val="-4"/>
        </w:rPr>
        <w:t>tema </w:t>
      </w:r>
      <w:r>
        <w:rPr/>
        <w:t>refiere que el bazo es el órgano blanco de esta enfermedad, por lo que generalmente se ve afectado cuando existe la infección; esto es concordante con nuestro estudio, ya que el bazo presento estos nódulos en la mayoría de las muestras, mientras que en el riñón solamente se encontraron en tres peces. Esta manifestación podría ser debido a que se trató de una</w:t>
      </w:r>
      <w:r>
        <w:rPr>
          <w:spacing w:val="-6"/>
        </w:rPr>
        <w:t> </w:t>
      </w:r>
      <w:r>
        <w:rPr/>
        <w:t>enfermedad</w:t>
      </w:r>
      <w:r>
        <w:rPr>
          <w:spacing w:val="-6"/>
        </w:rPr>
        <w:t> </w:t>
      </w:r>
      <w:r>
        <w:rPr/>
        <w:t>de</w:t>
      </w:r>
      <w:r>
        <w:rPr>
          <w:spacing w:val="-6"/>
        </w:rPr>
        <w:t> </w:t>
      </w:r>
      <w:r>
        <w:rPr/>
        <w:t>curso</w:t>
      </w:r>
      <w:r>
        <w:rPr>
          <w:spacing w:val="-6"/>
        </w:rPr>
        <w:t> </w:t>
      </w:r>
      <w:r>
        <w:rPr/>
        <w:t>crónico;</w:t>
      </w:r>
      <w:r>
        <w:rPr>
          <w:spacing w:val="-6"/>
        </w:rPr>
        <w:t> </w:t>
      </w:r>
      <w:r>
        <w:rPr/>
        <w:t>ya</w:t>
      </w:r>
      <w:r>
        <w:rPr>
          <w:spacing w:val="-6"/>
        </w:rPr>
        <w:t> </w:t>
      </w:r>
      <w:r>
        <w:rPr/>
        <w:t>que</w:t>
      </w:r>
      <w:r>
        <w:rPr>
          <w:spacing w:val="-6"/>
        </w:rPr>
        <w:t> </w:t>
      </w:r>
      <w:r>
        <w:rPr/>
        <w:t>se</w:t>
      </w:r>
      <w:r>
        <w:rPr>
          <w:spacing w:val="-6"/>
        </w:rPr>
        <w:t> </w:t>
      </w:r>
      <w:r>
        <w:rPr/>
        <w:t>ha</w:t>
      </w:r>
      <w:r>
        <w:rPr>
          <w:spacing w:val="-6"/>
        </w:rPr>
        <w:t> </w:t>
      </w:r>
      <w:r>
        <w:rPr/>
        <w:t>informado</w:t>
      </w:r>
      <w:r>
        <w:rPr>
          <w:spacing w:val="-6"/>
        </w:rPr>
        <w:t> </w:t>
      </w:r>
      <w:r>
        <w:rPr/>
        <w:t>que</w:t>
      </w:r>
      <w:r>
        <w:rPr>
          <w:spacing w:val="-6"/>
        </w:rPr>
        <w:t> </w:t>
      </w:r>
      <w:r>
        <w:rPr/>
        <w:t>en</w:t>
      </w:r>
      <w:r>
        <w:rPr>
          <w:spacing w:val="-6"/>
        </w:rPr>
        <w:t> </w:t>
      </w:r>
      <w:r>
        <w:rPr/>
        <w:t>casos</w:t>
      </w:r>
      <w:r>
        <w:rPr>
          <w:spacing w:val="-7"/>
        </w:rPr>
        <w:t> </w:t>
      </w:r>
      <w:r>
        <w:rPr/>
        <w:t>agudos</w:t>
      </w:r>
      <w:r>
        <w:rPr>
          <w:spacing w:val="-7"/>
        </w:rPr>
        <w:t> </w:t>
      </w:r>
      <w:r>
        <w:rPr/>
        <w:t>se presenta una mayor afectación que involucra a otros órganos (Maeul </w:t>
      </w:r>
      <w:r>
        <w:rPr>
          <w:i/>
        </w:rPr>
        <w:t>et al</w:t>
      </w:r>
      <w:r>
        <w:rPr/>
        <w:t>., 2007; Soto</w:t>
      </w:r>
      <w:r>
        <w:rPr>
          <w:spacing w:val="-5"/>
        </w:rPr>
        <w:t> </w:t>
      </w:r>
      <w:r>
        <w:rPr>
          <w:i/>
        </w:rPr>
        <w:t>et</w:t>
      </w:r>
      <w:r>
        <w:rPr>
          <w:i/>
          <w:spacing w:val="-6"/>
        </w:rPr>
        <w:t> </w:t>
      </w:r>
      <w:r>
        <w:rPr>
          <w:i/>
        </w:rPr>
        <w:t>al</w:t>
      </w:r>
      <w:r>
        <w:rPr/>
        <w:t>.,</w:t>
      </w:r>
      <w:r>
        <w:rPr>
          <w:spacing w:val="-6"/>
        </w:rPr>
        <w:t> </w:t>
      </w:r>
      <w:r>
        <w:rPr/>
        <w:t>2009a,</w:t>
      </w:r>
      <w:r>
        <w:rPr>
          <w:spacing w:val="-6"/>
        </w:rPr>
        <w:t> </w:t>
      </w:r>
      <w:r>
        <w:rPr/>
        <w:t>b).</w:t>
      </w:r>
      <w:r>
        <w:rPr>
          <w:spacing w:val="-6"/>
        </w:rPr>
        <w:t> </w:t>
      </w:r>
      <w:r>
        <w:rPr/>
        <w:t>Además</w:t>
      </w:r>
      <w:r>
        <w:rPr>
          <w:spacing w:val="-7"/>
        </w:rPr>
        <w:t> </w:t>
      </w:r>
      <w:r>
        <w:rPr/>
        <w:t>de</w:t>
      </w:r>
      <w:r>
        <w:rPr>
          <w:spacing w:val="-6"/>
        </w:rPr>
        <w:t> </w:t>
      </w:r>
      <w:r>
        <w:rPr/>
        <w:t>los</w:t>
      </w:r>
      <w:r>
        <w:rPr>
          <w:spacing w:val="-12"/>
        </w:rPr>
        <w:t> </w:t>
      </w:r>
      <w:r>
        <w:rPr/>
        <w:t>nódulos</w:t>
      </w:r>
      <w:r>
        <w:rPr>
          <w:spacing w:val="-12"/>
        </w:rPr>
        <w:t> </w:t>
      </w:r>
      <w:r>
        <w:rPr/>
        <w:t>también</w:t>
      </w:r>
      <w:r>
        <w:rPr>
          <w:spacing w:val="-6"/>
        </w:rPr>
        <w:t> </w:t>
      </w:r>
      <w:r>
        <w:rPr/>
        <w:t>se</w:t>
      </w:r>
      <w:r>
        <w:rPr>
          <w:spacing w:val="-6"/>
        </w:rPr>
        <w:t> </w:t>
      </w:r>
      <w:r>
        <w:rPr/>
        <w:t>pudo</w:t>
      </w:r>
      <w:r>
        <w:rPr>
          <w:spacing w:val="-6"/>
        </w:rPr>
        <w:t> </w:t>
      </w:r>
      <w:r>
        <w:rPr/>
        <w:t>notar</w:t>
      </w:r>
      <w:r>
        <w:rPr>
          <w:spacing w:val="-5"/>
        </w:rPr>
        <w:t> </w:t>
      </w:r>
      <w:r>
        <w:rPr/>
        <w:t>el</w:t>
      </w:r>
      <w:r>
        <w:rPr>
          <w:spacing w:val="-3"/>
        </w:rPr>
        <w:t> </w:t>
      </w:r>
      <w:r>
        <w:rPr/>
        <w:t>aumento</w:t>
      </w:r>
      <w:r>
        <w:rPr>
          <w:spacing w:val="-6"/>
        </w:rPr>
        <w:t> </w:t>
      </w:r>
      <w:r>
        <w:rPr/>
        <w:t>de tamaño en riñón, bazo e hígado; asociado a la intensa inflamación que se produjo por la replicación de la bacteria dentro de la célula en los diferentes</w:t>
      </w:r>
      <w:r>
        <w:rPr>
          <w:spacing w:val="-37"/>
        </w:rPr>
        <w:t> </w:t>
      </w:r>
      <w:r>
        <w:rPr/>
        <w:t>órganos.</w:t>
      </w:r>
    </w:p>
    <w:p>
      <w:pPr>
        <w:pStyle w:val="BodyText"/>
        <w:spacing w:line="276" w:lineRule="auto" w:before="207"/>
        <w:ind w:left="139" w:right="133"/>
        <w:jc w:val="both"/>
      </w:pPr>
      <w:r>
        <w:rPr/>
        <w:t>Los miembros del genero </w:t>
      </w:r>
      <w:r>
        <w:rPr>
          <w:i/>
        </w:rPr>
        <w:t>Francisella </w:t>
      </w:r>
      <w:r>
        <w:rPr/>
        <w:t>son bacterias exigentes para su aislamiento por</w:t>
      </w:r>
      <w:r>
        <w:rPr>
          <w:spacing w:val="-7"/>
        </w:rPr>
        <w:t> </w:t>
      </w:r>
      <w:r>
        <w:rPr/>
        <w:t>ser</w:t>
      </w:r>
      <w:r>
        <w:rPr>
          <w:spacing w:val="-12"/>
        </w:rPr>
        <w:t> </w:t>
      </w:r>
      <w:r>
        <w:rPr/>
        <w:t>microorganismos</w:t>
      </w:r>
      <w:r>
        <w:rPr>
          <w:spacing w:val="-9"/>
        </w:rPr>
        <w:t> </w:t>
      </w:r>
      <w:r>
        <w:rPr/>
        <w:t>dependientes</w:t>
      </w:r>
      <w:r>
        <w:rPr>
          <w:spacing w:val="-9"/>
        </w:rPr>
        <w:t> </w:t>
      </w:r>
      <w:r>
        <w:rPr>
          <w:spacing w:val="-3"/>
        </w:rPr>
        <w:t>del</w:t>
      </w:r>
      <w:r>
        <w:rPr>
          <w:spacing w:val="-5"/>
        </w:rPr>
        <w:t> </w:t>
      </w:r>
      <w:r>
        <w:rPr/>
        <w:t>aminoácido</w:t>
      </w:r>
      <w:r>
        <w:rPr>
          <w:spacing w:val="-8"/>
        </w:rPr>
        <w:t> </w:t>
      </w:r>
      <w:r>
        <w:rPr/>
        <w:t>cisteína</w:t>
      </w:r>
      <w:r>
        <w:rPr>
          <w:spacing w:val="-8"/>
        </w:rPr>
        <w:t> </w:t>
      </w:r>
      <w:r>
        <w:rPr/>
        <w:t>para</w:t>
      </w:r>
      <w:r>
        <w:rPr>
          <w:spacing w:val="-8"/>
        </w:rPr>
        <w:t> </w:t>
      </w:r>
      <w:r>
        <w:rPr/>
        <w:t>su</w:t>
      </w:r>
      <w:r>
        <w:rPr>
          <w:spacing w:val="-8"/>
        </w:rPr>
        <w:t> </w:t>
      </w:r>
      <w:r>
        <w:rPr/>
        <w:t>crecimiento lo que dificulta su aislamiento en medios de cultivo de uso común en el laboratorio (Soto </w:t>
      </w:r>
      <w:r>
        <w:rPr>
          <w:i/>
        </w:rPr>
        <w:t>et al</w:t>
      </w:r>
      <w:r>
        <w:rPr/>
        <w:t>., 2009a, b; Mauel </w:t>
      </w:r>
      <w:r>
        <w:rPr>
          <w:i/>
        </w:rPr>
        <w:t>et al</w:t>
      </w:r>
      <w:r>
        <w:rPr/>
        <w:t>., 2007). Esto ha hecho que se busquen otros procedimientos que permitan el diagnóstico oportuno de la enfermedad o la identificación del agente (Hsieh </w:t>
      </w:r>
      <w:r>
        <w:rPr>
          <w:i/>
        </w:rPr>
        <w:t>et al</w:t>
      </w:r>
      <w:r>
        <w:rPr/>
        <w:t>., 2007; Soto </w:t>
      </w:r>
      <w:r>
        <w:rPr>
          <w:i/>
        </w:rPr>
        <w:t>et al</w:t>
      </w:r>
      <w:r>
        <w:rPr/>
        <w:t>., 2011; Mauel </w:t>
      </w:r>
      <w:r>
        <w:rPr>
          <w:i/>
        </w:rPr>
        <w:t>et al</w:t>
      </w:r>
      <w:r>
        <w:rPr/>
        <w:t>., 2007). Actualmente el diagnóstico de francisellosis </w:t>
      </w:r>
      <w:r>
        <w:rPr>
          <w:spacing w:val="-3"/>
        </w:rPr>
        <w:t>se </w:t>
      </w:r>
      <w:r>
        <w:rPr/>
        <w:t>puede realizar utilizando diferentes técnicas o procedimientos entre las que se incluyen histopatología, hibridación </w:t>
      </w:r>
      <w:r>
        <w:rPr>
          <w:i/>
          <w:spacing w:val="-3"/>
        </w:rPr>
        <w:t>in </w:t>
      </w:r>
      <w:r>
        <w:rPr>
          <w:i/>
        </w:rPr>
        <w:t>situ </w:t>
      </w:r>
      <w:r>
        <w:rPr/>
        <w:t>(Hsieh </w:t>
      </w:r>
      <w:r>
        <w:rPr>
          <w:i/>
        </w:rPr>
        <w:t>et al</w:t>
      </w:r>
      <w:r>
        <w:rPr/>
        <w:t>., 2007), ELISA, inmunohistoquímica (Soto </w:t>
      </w:r>
      <w:r>
        <w:rPr>
          <w:i/>
        </w:rPr>
        <w:t>et al</w:t>
      </w:r>
      <w:r>
        <w:rPr/>
        <w:t>., 2012) y PCR en diferentes modalidades (Forsman </w:t>
      </w:r>
      <w:r>
        <w:rPr>
          <w:i/>
        </w:rPr>
        <w:t>et al</w:t>
      </w:r>
      <w:r>
        <w:rPr/>
        <w:t>., 1994, Soto </w:t>
      </w:r>
      <w:r>
        <w:rPr>
          <w:i/>
        </w:rPr>
        <w:t>et al</w:t>
      </w:r>
      <w:r>
        <w:rPr/>
        <w:t>., 2009a,</w:t>
      </w:r>
      <w:r>
        <w:rPr>
          <w:spacing w:val="-25"/>
        </w:rPr>
        <w:t> </w:t>
      </w:r>
      <w:r>
        <w:rPr/>
        <w:t>b).</w:t>
      </w:r>
    </w:p>
    <w:p>
      <w:pPr>
        <w:pStyle w:val="BodyText"/>
        <w:spacing w:line="276" w:lineRule="auto" w:before="207"/>
        <w:ind w:left="139" w:right="141"/>
        <w:jc w:val="both"/>
      </w:pPr>
      <w:r>
        <w:rPr/>
        <w:t>La facilidad de realizar estas técnicas de diagnóstico depende de las propias características de cada laboratorio; sin embargo, en los últimos años se ha enfatizado  el  uso  de  técnicas  moleculares  para  realizar  el  diagnóstico        de</w:t>
      </w:r>
    </w:p>
    <w:p>
      <w:pPr>
        <w:spacing w:after="0" w:line="276" w:lineRule="auto"/>
        <w:jc w:val="both"/>
        <w:sectPr>
          <w:footerReference w:type="default" r:id="rId51"/>
          <w:pgSz w:w="12240" w:h="15840"/>
          <w:pgMar w:footer="998" w:header="752" w:top="1000" w:bottom="1180" w:left="1560" w:right="1560"/>
        </w:sectPr>
      </w:pPr>
    </w:p>
    <w:p>
      <w:pPr>
        <w:pStyle w:val="BodyText"/>
        <w:rPr>
          <w:sz w:val="29"/>
        </w:rPr>
      </w:pPr>
    </w:p>
    <w:p>
      <w:pPr>
        <w:pStyle w:val="BodyText"/>
        <w:spacing w:line="271" w:lineRule="auto" w:before="70"/>
        <w:ind w:left="139" w:right="141"/>
        <w:jc w:val="both"/>
      </w:pPr>
      <w:r>
        <w:rPr/>
        <w:t>prácticamente todas las enfermedades, conocer la relación entre los miembros de diferentes generos y para muchos otros usos  (Forsman </w:t>
      </w:r>
      <w:r>
        <w:rPr>
          <w:i/>
        </w:rPr>
        <w:t>et al</w:t>
      </w:r>
      <w:r>
        <w:rPr/>
        <w:t>., 1994).</w:t>
      </w:r>
    </w:p>
    <w:p>
      <w:pPr>
        <w:pStyle w:val="BodyText"/>
        <w:spacing w:line="276" w:lineRule="auto" w:before="213"/>
        <w:ind w:left="139" w:right="137"/>
        <w:jc w:val="both"/>
      </w:pPr>
      <w:r>
        <w:rPr/>
        <w:t>Las</w:t>
      </w:r>
      <w:r>
        <w:rPr>
          <w:spacing w:val="-13"/>
        </w:rPr>
        <w:t> </w:t>
      </w:r>
      <w:r>
        <w:rPr/>
        <w:t>técnicas</w:t>
      </w:r>
      <w:r>
        <w:rPr>
          <w:spacing w:val="-13"/>
        </w:rPr>
        <w:t> </w:t>
      </w:r>
      <w:r>
        <w:rPr/>
        <w:t>moleculares</w:t>
      </w:r>
      <w:r>
        <w:rPr>
          <w:spacing w:val="-13"/>
        </w:rPr>
        <w:t> </w:t>
      </w:r>
      <w:r>
        <w:rPr/>
        <w:t>como</w:t>
      </w:r>
      <w:r>
        <w:rPr>
          <w:spacing w:val="-12"/>
        </w:rPr>
        <w:t> </w:t>
      </w:r>
      <w:r>
        <w:rPr/>
        <w:t>la</w:t>
      </w:r>
      <w:r>
        <w:rPr>
          <w:spacing w:val="-12"/>
        </w:rPr>
        <w:t> </w:t>
      </w:r>
      <w:r>
        <w:rPr/>
        <w:t>PCR</w:t>
      </w:r>
      <w:r>
        <w:rPr>
          <w:spacing w:val="-14"/>
        </w:rPr>
        <w:t> </w:t>
      </w:r>
      <w:r>
        <w:rPr/>
        <w:t>se</w:t>
      </w:r>
      <w:r>
        <w:rPr>
          <w:spacing w:val="-16"/>
        </w:rPr>
        <w:t> </w:t>
      </w:r>
      <w:r>
        <w:rPr/>
        <w:t>considera</w:t>
      </w:r>
      <w:r>
        <w:rPr>
          <w:spacing w:val="-17"/>
        </w:rPr>
        <w:t> </w:t>
      </w:r>
      <w:r>
        <w:rPr/>
        <w:t>una</w:t>
      </w:r>
      <w:r>
        <w:rPr>
          <w:spacing w:val="-16"/>
        </w:rPr>
        <w:t> </w:t>
      </w:r>
      <w:r>
        <w:rPr/>
        <w:t>prueba</w:t>
      </w:r>
      <w:r>
        <w:rPr>
          <w:spacing w:val="-11"/>
        </w:rPr>
        <w:t> </w:t>
      </w:r>
      <w:r>
        <w:rPr/>
        <w:t>de</w:t>
      </w:r>
      <w:r>
        <w:rPr>
          <w:spacing w:val="-17"/>
        </w:rPr>
        <w:t> </w:t>
      </w:r>
      <w:r>
        <w:rPr/>
        <w:t>elección</w:t>
      </w:r>
      <w:r>
        <w:rPr>
          <w:spacing w:val="-17"/>
        </w:rPr>
        <w:t> </w:t>
      </w:r>
      <w:r>
        <w:rPr/>
        <w:t>porque pueden</w:t>
      </w:r>
      <w:r>
        <w:rPr>
          <w:spacing w:val="-11"/>
        </w:rPr>
        <w:t> </w:t>
      </w:r>
      <w:r>
        <w:rPr/>
        <w:t>hacerse</w:t>
      </w:r>
      <w:r>
        <w:rPr>
          <w:spacing w:val="-11"/>
        </w:rPr>
        <w:t> </w:t>
      </w:r>
      <w:r>
        <w:rPr/>
        <w:t>en</w:t>
      </w:r>
      <w:r>
        <w:rPr>
          <w:spacing w:val="-11"/>
        </w:rPr>
        <w:t> </w:t>
      </w:r>
      <w:r>
        <w:rPr/>
        <w:t>menos</w:t>
      </w:r>
      <w:r>
        <w:rPr>
          <w:spacing w:val="-12"/>
        </w:rPr>
        <w:t> </w:t>
      </w:r>
      <w:r>
        <w:rPr/>
        <w:t>de</w:t>
      </w:r>
      <w:r>
        <w:rPr>
          <w:spacing w:val="-11"/>
        </w:rPr>
        <w:t> </w:t>
      </w:r>
      <w:r>
        <w:rPr/>
        <w:t>24</w:t>
      </w:r>
      <w:r>
        <w:rPr>
          <w:spacing w:val="-11"/>
        </w:rPr>
        <w:t> </w:t>
      </w:r>
      <w:r>
        <w:rPr/>
        <w:t>horas</w:t>
      </w:r>
      <w:r>
        <w:rPr>
          <w:spacing w:val="-12"/>
        </w:rPr>
        <w:t> </w:t>
      </w:r>
      <w:r>
        <w:rPr/>
        <w:t>y</w:t>
      </w:r>
      <w:r>
        <w:rPr>
          <w:spacing w:val="-12"/>
        </w:rPr>
        <w:t> </w:t>
      </w:r>
      <w:r>
        <w:rPr/>
        <w:t>una</w:t>
      </w:r>
      <w:r>
        <w:rPr>
          <w:spacing w:val="-11"/>
        </w:rPr>
        <w:t> </w:t>
      </w:r>
      <w:r>
        <w:rPr/>
        <w:t>vez</w:t>
      </w:r>
      <w:r>
        <w:rPr>
          <w:spacing w:val="-12"/>
        </w:rPr>
        <w:t> </w:t>
      </w:r>
      <w:r>
        <w:rPr/>
        <w:t>estandarizadas</w:t>
      </w:r>
      <w:r>
        <w:rPr>
          <w:spacing w:val="-12"/>
        </w:rPr>
        <w:t> </w:t>
      </w:r>
      <w:r>
        <w:rPr/>
        <w:t>son</w:t>
      </w:r>
      <w:r>
        <w:rPr>
          <w:spacing w:val="-11"/>
        </w:rPr>
        <w:t> </w:t>
      </w:r>
      <w:r>
        <w:rPr/>
        <w:t>relativamente fáciles</w:t>
      </w:r>
      <w:r>
        <w:rPr>
          <w:spacing w:val="-21"/>
        </w:rPr>
        <w:t> </w:t>
      </w:r>
      <w:r>
        <w:rPr/>
        <w:t>y</w:t>
      </w:r>
      <w:r>
        <w:rPr>
          <w:spacing w:val="-16"/>
        </w:rPr>
        <w:t> </w:t>
      </w:r>
      <w:r>
        <w:rPr/>
        <w:t>baratas;</w:t>
      </w:r>
      <w:r>
        <w:rPr>
          <w:spacing w:val="-16"/>
        </w:rPr>
        <w:t> </w:t>
      </w:r>
      <w:r>
        <w:rPr/>
        <w:t>se</w:t>
      </w:r>
      <w:r>
        <w:rPr>
          <w:spacing w:val="-20"/>
        </w:rPr>
        <w:t> </w:t>
      </w:r>
      <w:r>
        <w:rPr/>
        <w:t>caracterizan</w:t>
      </w:r>
      <w:r>
        <w:rPr>
          <w:spacing w:val="-20"/>
        </w:rPr>
        <w:t> </w:t>
      </w:r>
      <w:r>
        <w:rPr/>
        <w:t>por</w:t>
      </w:r>
      <w:r>
        <w:rPr>
          <w:spacing w:val="-15"/>
        </w:rPr>
        <w:t> </w:t>
      </w:r>
      <w:r>
        <w:rPr/>
        <w:t>realizar</w:t>
      </w:r>
      <w:r>
        <w:rPr>
          <w:spacing w:val="-24"/>
        </w:rPr>
        <w:t> </w:t>
      </w:r>
      <w:r>
        <w:rPr/>
        <w:t>la</w:t>
      </w:r>
      <w:r>
        <w:rPr>
          <w:spacing w:val="-20"/>
        </w:rPr>
        <w:t> </w:t>
      </w:r>
      <w:r>
        <w:rPr/>
        <w:t>amplificación</w:t>
      </w:r>
      <w:r>
        <w:rPr>
          <w:spacing w:val="-20"/>
        </w:rPr>
        <w:t> </w:t>
      </w:r>
      <w:r>
        <w:rPr/>
        <w:t>de</w:t>
      </w:r>
      <w:r>
        <w:rPr>
          <w:spacing w:val="-20"/>
        </w:rPr>
        <w:t> </w:t>
      </w:r>
      <w:r>
        <w:rPr/>
        <w:t>un</w:t>
      </w:r>
      <w:r>
        <w:rPr>
          <w:spacing w:val="-20"/>
        </w:rPr>
        <w:t> </w:t>
      </w:r>
      <w:r>
        <w:rPr/>
        <w:t>segmento</w:t>
      </w:r>
      <w:r>
        <w:rPr>
          <w:spacing w:val="-15"/>
        </w:rPr>
        <w:t> </w:t>
      </w:r>
      <w:r>
        <w:rPr/>
        <w:t>génico característico y exclusivo del agente causal, para lo cual se utilizan iniciadores específicos.</w:t>
      </w:r>
    </w:p>
    <w:p>
      <w:pPr>
        <w:pStyle w:val="BodyText"/>
        <w:spacing w:line="276" w:lineRule="auto" w:before="202"/>
        <w:ind w:left="139" w:right="133"/>
        <w:jc w:val="both"/>
      </w:pPr>
      <w:r>
        <w:rPr/>
        <w:t>En el campo sanitario, la PCR es una herramienta </w:t>
      </w:r>
      <w:r>
        <w:rPr>
          <w:spacing w:val="-3"/>
        </w:rPr>
        <w:t>muy </w:t>
      </w:r>
      <w:r>
        <w:rPr/>
        <w:t>sensible, utilizada para identificar diferentes agentes patógenos, incluyendo aquellos de difícil aislamiento (Chen </w:t>
      </w:r>
      <w:r>
        <w:rPr>
          <w:i/>
        </w:rPr>
        <w:t>et al</w:t>
      </w:r>
      <w:r>
        <w:rPr/>
        <w:t>., 1994; Berrada y Telford, 2010). Debido a lo anterior, se ha convertido en un método </w:t>
      </w:r>
      <w:r>
        <w:rPr>
          <w:spacing w:val="-3"/>
        </w:rPr>
        <w:t>muy </w:t>
      </w:r>
      <w:r>
        <w:rPr/>
        <w:t>importante para el diagnóstico de las epizootias causadas por </w:t>
      </w:r>
      <w:r>
        <w:rPr>
          <w:i/>
        </w:rPr>
        <w:t>Francisella</w:t>
      </w:r>
      <w:r>
        <w:rPr>
          <w:i/>
          <w:spacing w:val="-10"/>
        </w:rPr>
        <w:t> </w:t>
      </w:r>
      <w:r>
        <w:rPr/>
        <w:t>sp.</w:t>
      </w:r>
      <w:r>
        <w:rPr>
          <w:spacing w:val="-11"/>
        </w:rPr>
        <w:t> </w:t>
      </w:r>
      <w:r>
        <w:rPr/>
        <w:t>en</w:t>
      </w:r>
      <w:r>
        <w:rPr>
          <w:spacing w:val="-12"/>
        </w:rPr>
        <w:t> </w:t>
      </w:r>
      <w:r>
        <w:rPr/>
        <w:t>tilapias.</w:t>
      </w:r>
      <w:r>
        <w:rPr>
          <w:spacing w:val="-12"/>
        </w:rPr>
        <w:t> </w:t>
      </w:r>
      <w:r>
        <w:rPr/>
        <w:t>En</w:t>
      </w:r>
      <w:r>
        <w:rPr>
          <w:spacing w:val="-12"/>
        </w:rPr>
        <w:t> </w:t>
      </w:r>
      <w:r>
        <w:rPr/>
        <w:t>este</w:t>
      </w:r>
      <w:r>
        <w:rPr>
          <w:spacing w:val="-11"/>
        </w:rPr>
        <w:t> </w:t>
      </w:r>
      <w:r>
        <w:rPr/>
        <w:t>caso</w:t>
      </w:r>
      <w:r>
        <w:rPr>
          <w:spacing w:val="-12"/>
        </w:rPr>
        <w:t> </w:t>
      </w:r>
      <w:r>
        <w:rPr/>
        <w:t>el</w:t>
      </w:r>
      <w:r>
        <w:rPr>
          <w:spacing w:val="-8"/>
        </w:rPr>
        <w:t> </w:t>
      </w:r>
      <w:r>
        <w:rPr/>
        <w:t>proceso</w:t>
      </w:r>
      <w:r>
        <w:rPr>
          <w:spacing w:val="-12"/>
        </w:rPr>
        <w:t> </w:t>
      </w:r>
      <w:r>
        <w:rPr/>
        <w:t>se</w:t>
      </w:r>
      <w:r>
        <w:rPr>
          <w:spacing w:val="-12"/>
        </w:rPr>
        <w:t> </w:t>
      </w:r>
      <w:r>
        <w:rPr/>
        <w:t>realiza</w:t>
      </w:r>
      <w:r>
        <w:rPr>
          <w:spacing w:val="-12"/>
        </w:rPr>
        <w:t> </w:t>
      </w:r>
      <w:r>
        <w:rPr/>
        <w:t>complementariamente con iniciadores que amplifican el gen 16s (Forsman </w:t>
      </w:r>
      <w:r>
        <w:rPr>
          <w:i/>
        </w:rPr>
        <w:t>et al</w:t>
      </w:r>
      <w:r>
        <w:rPr/>
        <w:t>., 1994) y el gen iglC (Intracellular grown locus C) de Francisella noatunensis subsp. Orientalis (Soto </w:t>
      </w:r>
      <w:r>
        <w:rPr>
          <w:i/>
        </w:rPr>
        <w:t>et </w:t>
      </w:r>
      <w:r>
        <w:rPr>
          <w:i/>
        </w:rPr>
        <w:t>al</w:t>
      </w:r>
      <w:r>
        <w:rPr/>
        <w:t>., 2009a,</w:t>
      </w:r>
      <w:r>
        <w:rPr>
          <w:spacing w:val="-3"/>
        </w:rPr>
        <w:t> </w:t>
      </w:r>
      <w:r>
        <w:rPr/>
        <w:t>b).</w:t>
      </w:r>
    </w:p>
    <w:p>
      <w:pPr>
        <w:pStyle w:val="BodyText"/>
        <w:spacing w:line="276" w:lineRule="auto" w:before="207"/>
        <w:ind w:left="139" w:right="135"/>
        <w:jc w:val="both"/>
      </w:pPr>
      <w:r>
        <w:rPr/>
        <w:t>Actualmente se han desarrollado diferentes protocolos, aunque hasta ahora no se ha</w:t>
      </w:r>
      <w:r>
        <w:rPr>
          <w:spacing w:val="-16"/>
        </w:rPr>
        <w:t> </w:t>
      </w:r>
      <w:r>
        <w:rPr/>
        <w:t>realizado</w:t>
      </w:r>
      <w:r>
        <w:rPr>
          <w:spacing w:val="-20"/>
        </w:rPr>
        <w:t> </w:t>
      </w:r>
      <w:r>
        <w:rPr/>
        <w:t>la</w:t>
      </w:r>
      <w:r>
        <w:rPr>
          <w:spacing w:val="-20"/>
        </w:rPr>
        <w:t> </w:t>
      </w:r>
      <w:r>
        <w:rPr/>
        <w:t>comparación</w:t>
      </w:r>
      <w:r>
        <w:rPr>
          <w:spacing w:val="-16"/>
        </w:rPr>
        <w:t> </w:t>
      </w:r>
      <w:r>
        <w:rPr/>
        <w:t>de</w:t>
      </w:r>
      <w:r>
        <w:rPr>
          <w:spacing w:val="-20"/>
        </w:rPr>
        <w:t> </w:t>
      </w:r>
      <w:r>
        <w:rPr/>
        <w:t>la</w:t>
      </w:r>
      <w:r>
        <w:rPr>
          <w:spacing w:val="-20"/>
        </w:rPr>
        <w:t> </w:t>
      </w:r>
      <w:r>
        <w:rPr/>
        <w:t>efectividad</w:t>
      </w:r>
      <w:r>
        <w:rPr>
          <w:spacing w:val="-20"/>
        </w:rPr>
        <w:t> </w:t>
      </w:r>
      <w:r>
        <w:rPr/>
        <w:t>entre</w:t>
      </w:r>
      <w:r>
        <w:rPr>
          <w:spacing w:val="-16"/>
        </w:rPr>
        <w:t> </w:t>
      </w:r>
      <w:r>
        <w:rPr/>
        <w:t>PCR</w:t>
      </w:r>
      <w:r>
        <w:rPr>
          <w:spacing w:val="-17"/>
        </w:rPr>
        <w:t> </w:t>
      </w:r>
      <w:r>
        <w:rPr/>
        <w:t>Anidada</w:t>
      </w:r>
      <w:r>
        <w:rPr>
          <w:spacing w:val="-16"/>
        </w:rPr>
        <w:t> </w:t>
      </w:r>
      <w:r>
        <w:rPr/>
        <w:t>y</w:t>
      </w:r>
      <w:r>
        <w:rPr>
          <w:spacing w:val="-21"/>
        </w:rPr>
        <w:t> </w:t>
      </w:r>
      <w:r>
        <w:rPr/>
        <w:t>PCR</w:t>
      </w:r>
      <w:r>
        <w:rPr>
          <w:spacing w:val="-17"/>
        </w:rPr>
        <w:t> </w:t>
      </w:r>
      <w:r>
        <w:rPr/>
        <w:t>Punto</w:t>
      </w:r>
      <w:r>
        <w:rPr>
          <w:spacing w:val="-20"/>
        </w:rPr>
        <w:t> </w:t>
      </w:r>
      <w:r>
        <w:rPr/>
        <w:t>Final. Se ha informado que esta última es eficaz para la detección de distintas enfermedades, teniendo mayor eficacia cuando existen un gran número de partículas bacterianas (Hsieh </w:t>
      </w:r>
      <w:r>
        <w:rPr>
          <w:i/>
        </w:rPr>
        <w:t>et al</w:t>
      </w:r>
      <w:r>
        <w:rPr/>
        <w:t>., 2007), en este caso fue </w:t>
      </w:r>
      <w:r>
        <w:rPr>
          <w:spacing w:val="-3"/>
        </w:rPr>
        <w:t>muy </w:t>
      </w:r>
      <w:r>
        <w:rPr/>
        <w:t>sensible para el diagnóstico de </w:t>
      </w:r>
      <w:r>
        <w:rPr>
          <w:i/>
        </w:rPr>
        <w:t>Francisella </w:t>
      </w:r>
      <w:r>
        <w:rPr/>
        <w:t>de curso crónico en donde se presentan granulomas, ya que amplifica en </w:t>
      </w:r>
      <w:r>
        <w:rPr>
          <w:spacing w:val="-3"/>
        </w:rPr>
        <w:t>forma </w:t>
      </w:r>
      <w:r>
        <w:rPr/>
        <w:t>exponencial el ADN de la bacteria presente dentro de las lesiones. En el presente estudio se obtuvieron 25 muestras positivas a PCR Punto Final, lo que representa el 86% de sensibilidad. Sin embargo la literatura reporta que la PCR Anidada es un método que ofrece mayor eficiencia y efectividad a diferencia del PCR punto final, sobre todo en casos agudos en los cuales aún no hay formación de granulomas aparentes o donde la replicación de la bacteria aun no es lo suficientemente alta para ser detectada por PCR Punto Final. En este sentido, en el presente estudio se obtuvo una diferencia de 14% entre las dos modalidades de PCR, ya que en algunas muestras en el producto de PCR Punto Final</w:t>
      </w:r>
      <w:r>
        <w:rPr>
          <w:spacing w:val="-10"/>
        </w:rPr>
        <w:t> </w:t>
      </w:r>
      <w:r>
        <w:rPr/>
        <w:t>no</w:t>
      </w:r>
      <w:r>
        <w:rPr>
          <w:spacing w:val="-14"/>
        </w:rPr>
        <w:t> </w:t>
      </w:r>
      <w:r>
        <w:rPr/>
        <w:t>se</w:t>
      </w:r>
      <w:r>
        <w:rPr>
          <w:spacing w:val="-18"/>
        </w:rPr>
        <w:t> </w:t>
      </w:r>
      <w:r>
        <w:rPr/>
        <w:t>observó</w:t>
      </w:r>
      <w:r>
        <w:rPr>
          <w:spacing w:val="-18"/>
        </w:rPr>
        <w:t> </w:t>
      </w:r>
      <w:r>
        <w:rPr/>
        <w:t>ningún</w:t>
      </w:r>
      <w:r>
        <w:rPr>
          <w:spacing w:val="-18"/>
        </w:rPr>
        <w:t> </w:t>
      </w:r>
      <w:r>
        <w:rPr/>
        <w:t>fragmento</w:t>
      </w:r>
      <w:r>
        <w:rPr>
          <w:spacing w:val="-13"/>
        </w:rPr>
        <w:t> </w:t>
      </w:r>
      <w:r>
        <w:rPr/>
        <w:t>amplificado</w:t>
      </w:r>
      <w:r>
        <w:rPr>
          <w:spacing w:val="-14"/>
        </w:rPr>
        <w:t> </w:t>
      </w:r>
      <w:r>
        <w:rPr/>
        <w:t>en</w:t>
      </w:r>
      <w:r>
        <w:rPr>
          <w:spacing w:val="-14"/>
        </w:rPr>
        <w:t> </w:t>
      </w:r>
      <w:r>
        <w:rPr/>
        <w:t>gel</w:t>
      </w:r>
      <w:r>
        <w:rPr>
          <w:spacing w:val="-15"/>
        </w:rPr>
        <w:t> </w:t>
      </w:r>
      <w:r>
        <w:rPr/>
        <w:t>de</w:t>
      </w:r>
      <w:r>
        <w:rPr>
          <w:spacing w:val="-18"/>
        </w:rPr>
        <w:t> </w:t>
      </w:r>
      <w:r>
        <w:rPr/>
        <w:t>agarosa</w:t>
      </w:r>
      <w:r>
        <w:rPr>
          <w:spacing w:val="-18"/>
        </w:rPr>
        <w:t> </w:t>
      </w:r>
      <w:r>
        <w:rPr/>
        <w:t>probablemente porque la carga bacteriana en los peces era baja; en cambio, estas muestras negativas resultaron positivas por PCR Anidada. Estos resultados concuerdan con lo</w:t>
      </w:r>
      <w:r>
        <w:rPr>
          <w:spacing w:val="-17"/>
        </w:rPr>
        <w:t> </w:t>
      </w:r>
      <w:r>
        <w:rPr/>
        <w:t>reportado</w:t>
      </w:r>
      <w:r>
        <w:rPr>
          <w:spacing w:val="-17"/>
        </w:rPr>
        <w:t> </w:t>
      </w:r>
      <w:r>
        <w:rPr/>
        <w:t>por</w:t>
      </w:r>
      <w:r>
        <w:rPr>
          <w:spacing w:val="-16"/>
        </w:rPr>
        <w:t> </w:t>
      </w:r>
      <w:r>
        <w:rPr/>
        <w:t>Tavares</w:t>
      </w:r>
      <w:r>
        <w:rPr>
          <w:spacing w:val="-17"/>
        </w:rPr>
        <w:t> </w:t>
      </w:r>
      <w:r>
        <w:rPr>
          <w:i/>
        </w:rPr>
        <w:t>et</w:t>
      </w:r>
      <w:r>
        <w:rPr>
          <w:i/>
          <w:spacing w:val="-17"/>
        </w:rPr>
        <w:t> </w:t>
      </w:r>
      <w:r>
        <w:rPr>
          <w:i/>
        </w:rPr>
        <w:t>al</w:t>
      </w:r>
      <w:r>
        <w:rPr/>
        <w:t>.,</w:t>
      </w:r>
      <w:r>
        <w:rPr>
          <w:spacing w:val="-17"/>
        </w:rPr>
        <w:t> </w:t>
      </w:r>
      <w:r>
        <w:rPr/>
        <w:t>(2014),</w:t>
      </w:r>
      <w:r>
        <w:rPr>
          <w:spacing w:val="-17"/>
        </w:rPr>
        <w:t> </w:t>
      </w:r>
      <w:r>
        <w:rPr/>
        <w:t>quien</w:t>
      </w:r>
      <w:r>
        <w:rPr>
          <w:spacing w:val="-21"/>
        </w:rPr>
        <w:t> </w:t>
      </w:r>
      <w:r>
        <w:rPr/>
        <w:t>realizó</w:t>
      </w:r>
      <w:r>
        <w:rPr>
          <w:spacing w:val="-21"/>
        </w:rPr>
        <w:t> </w:t>
      </w:r>
      <w:r>
        <w:rPr/>
        <w:t>el</w:t>
      </w:r>
      <w:r>
        <w:rPr>
          <w:spacing w:val="-18"/>
        </w:rPr>
        <w:t> </w:t>
      </w:r>
      <w:r>
        <w:rPr/>
        <w:t>diagnóstico</w:t>
      </w:r>
      <w:r>
        <w:rPr>
          <w:spacing w:val="-17"/>
        </w:rPr>
        <w:t> </w:t>
      </w:r>
      <w:r>
        <w:rPr/>
        <w:t>de</w:t>
      </w:r>
      <w:r>
        <w:rPr>
          <w:spacing w:val="-17"/>
        </w:rPr>
        <w:t> </w:t>
      </w:r>
      <w:r>
        <w:rPr/>
        <w:t>enfermedades virales por medio de PCR Punto Final y PCR Anidada y al comparar los</w:t>
      </w:r>
      <w:r>
        <w:rPr>
          <w:spacing w:val="-46"/>
        </w:rPr>
        <w:t> </w:t>
      </w:r>
      <w:r>
        <w:rPr/>
        <w:t>resultados, obtuvo mayores resultados positivos por PCR Anidada y atribuye los resultados a las características propias del agente y la cantidad de partículas infectivas excretadas,</w:t>
      </w:r>
      <w:r>
        <w:rPr>
          <w:spacing w:val="51"/>
        </w:rPr>
        <w:t> </w:t>
      </w:r>
      <w:r>
        <w:rPr/>
        <w:t>lo</w:t>
      </w:r>
      <w:r>
        <w:rPr>
          <w:spacing w:val="51"/>
        </w:rPr>
        <w:t> </w:t>
      </w:r>
      <w:r>
        <w:rPr/>
        <w:t>que</w:t>
      </w:r>
      <w:r>
        <w:rPr>
          <w:spacing w:val="52"/>
        </w:rPr>
        <w:t> </w:t>
      </w:r>
      <w:r>
        <w:rPr/>
        <w:t>hace</w:t>
      </w:r>
      <w:r>
        <w:rPr>
          <w:spacing w:val="52"/>
        </w:rPr>
        <w:t> </w:t>
      </w:r>
      <w:r>
        <w:rPr/>
        <w:t>que</w:t>
      </w:r>
      <w:r>
        <w:rPr>
          <w:spacing w:val="47"/>
        </w:rPr>
        <w:t> </w:t>
      </w:r>
      <w:r>
        <w:rPr/>
        <w:t>la</w:t>
      </w:r>
      <w:r>
        <w:rPr>
          <w:spacing w:val="52"/>
        </w:rPr>
        <w:t> </w:t>
      </w:r>
      <w:r>
        <w:rPr/>
        <w:t>extracción</w:t>
      </w:r>
      <w:r>
        <w:rPr>
          <w:spacing w:val="47"/>
        </w:rPr>
        <w:t> </w:t>
      </w:r>
      <w:r>
        <w:rPr/>
        <w:t>de</w:t>
      </w:r>
      <w:r>
        <w:rPr>
          <w:spacing w:val="52"/>
        </w:rPr>
        <w:t> </w:t>
      </w:r>
      <w:r>
        <w:rPr/>
        <w:t>ADN</w:t>
      </w:r>
      <w:r>
        <w:rPr>
          <w:spacing w:val="50"/>
        </w:rPr>
        <w:t> </w:t>
      </w:r>
      <w:r>
        <w:rPr/>
        <w:t>de</w:t>
      </w:r>
      <w:r>
        <w:rPr>
          <w:spacing w:val="52"/>
        </w:rPr>
        <w:t> </w:t>
      </w:r>
      <w:r>
        <w:rPr/>
        <w:t>las</w:t>
      </w:r>
      <w:r>
        <w:rPr>
          <w:spacing w:val="62"/>
        </w:rPr>
        <w:t> </w:t>
      </w:r>
      <w:r>
        <w:rPr/>
        <w:t>muestras</w:t>
      </w:r>
      <w:r>
        <w:rPr>
          <w:spacing w:val="51"/>
        </w:rPr>
        <w:t> </w:t>
      </w:r>
      <w:r>
        <w:rPr/>
        <w:t>sea</w:t>
      </w:r>
      <w:r>
        <w:rPr>
          <w:spacing w:val="52"/>
        </w:rPr>
        <w:t> </w:t>
      </w:r>
      <w:r>
        <w:rPr/>
        <w:t>baja,</w:t>
      </w:r>
    </w:p>
    <w:p>
      <w:pPr>
        <w:spacing w:after="0" w:line="276" w:lineRule="auto"/>
        <w:jc w:val="both"/>
        <w:sectPr>
          <w:footerReference w:type="default" r:id="rId52"/>
          <w:pgSz w:w="12240" w:h="15840"/>
          <w:pgMar w:footer="998" w:header="752" w:top="1000" w:bottom="1180" w:left="1560" w:right="1560"/>
          <w:pgNumType w:start="71"/>
        </w:sectPr>
      </w:pPr>
    </w:p>
    <w:p>
      <w:pPr>
        <w:pStyle w:val="BodyText"/>
        <w:rPr>
          <w:sz w:val="29"/>
        </w:rPr>
      </w:pPr>
    </w:p>
    <w:p>
      <w:pPr>
        <w:pStyle w:val="BodyText"/>
        <w:spacing w:line="271" w:lineRule="auto" w:before="70"/>
        <w:ind w:left="139" w:right="153"/>
        <w:jc w:val="both"/>
      </w:pPr>
      <w:r>
        <w:rPr/>
        <w:t>representando una desventaja al realizar el diagnóstico de los agentes por PCR Punto Final.</w:t>
      </w:r>
    </w:p>
    <w:p>
      <w:pPr>
        <w:pStyle w:val="BodyText"/>
        <w:spacing w:line="276" w:lineRule="auto" w:before="213"/>
        <w:ind w:left="139" w:right="138"/>
        <w:jc w:val="both"/>
      </w:pPr>
      <w:r>
        <w:rPr/>
        <w:t>Como ya sea expuesto hasta ahora no existen antecedentes de comparación</w:t>
      </w:r>
      <w:r>
        <w:rPr>
          <w:spacing w:val="-40"/>
        </w:rPr>
        <w:t> </w:t>
      </w:r>
      <w:r>
        <w:rPr/>
        <w:t>entre protocolos de PCR como lo realizado en el presente trabajo. Al evaluar solo el desempeño de un PCR punto final en peces de ornato afectados por una enfermedad similar a la producida por </w:t>
      </w:r>
      <w:r>
        <w:rPr>
          <w:i/>
        </w:rPr>
        <w:t>Francisella </w:t>
      </w:r>
      <w:r>
        <w:rPr/>
        <w:t>en tilapia y utilizando muestras previamente evaluadas por histopatología Hsieh </w:t>
      </w:r>
      <w:r>
        <w:rPr>
          <w:i/>
        </w:rPr>
        <w:t>et al</w:t>
      </w:r>
      <w:r>
        <w:rPr/>
        <w:t>., (2007) reportaron un porcentaje de sensibilidad por PCR de 39%, histopatología 86% y 100% de hibridación in situ a lo que los autores comentan que estos resultados </w:t>
      </w:r>
      <w:r>
        <w:rPr>
          <w:spacing w:val="-3"/>
        </w:rPr>
        <w:t>se </w:t>
      </w:r>
      <w:r>
        <w:rPr/>
        <w:t>atribuyen a la degradación del ADN bacteriano dentro del tejido causado por el contacto con formaldehido y alcoholes utilizados durante el proceso histológico. El mayor porcentaje de sensibilidad obtenido en el presente trabajo, tiene relación con el hecho de que se utilizaron muestras frescas obtenidas de peces infectados y en diferente curso de la enfermedad, lo que hace </w:t>
      </w:r>
      <w:r>
        <w:rPr>
          <w:spacing w:val="-3"/>
        </w:rPr>
        <w:t>más </w:t>
      </w:r>
      <w:r>
        <w:rPr>
          <w:spacing w:val="2"/>
        </w:rPr>
        <w:t>eficiente </w:t>
      </w:r>
      <w:r>
        <w:rPr/>
        <w:t>el diagnóstico por la técnica de PCR Punto Final; ya que al momento de tomar las muestras el proceso de replicación bacteriana aún estaba activo y no hubo nada que pudiera degradar el ADN de la</w:t>
      </w:r>
      <w:r>
        <w:rPr>
          <w:spacing w:val="-6"/>
        </w:rPr>
        <w:t> </w:t>
      </w:r>
      <w:r>
        <w:rPr/>
        <w:t>bacteria.</w:t>
      </w:r>
    </w:p>
    <w:p>
      <w:pPr>
        <w:pStyle w:val="BodyText"/>
        <w:spacing w:line="276" w:lineRule="auto" w:before="207"/>
        <w:ind w:left="139" w:right="135"/>
        <w:jc w:val="both"/>
      </w:pPr>
      <w:r>
        <w:rPr/>
        <w:t>Los resultados obtenidos en esta investigación concuerdan con lo reportado por diferentes autores, quienes comentan que la PCR Anidada ofrece mayor ventaja para realizar el diagnóstico de distintos agentes, y que han demostrado que esta técnica es capaz de amplificar un número </w:t>
      </w:r>
      <w:r>
        <w:rPr>
          <w:spacing w:val="-3"/>
        </w:rPr>
        <w:t>muy </w:t>
      </w:r>
      <w:r>
        <w:rPr/>
        <w:t>bajo de ADN blanco, y es </w:t>
      </w:r>
      <w:r>
        <w:rPr>
          <w:spacing w:val="-3"/>
        </w:rPr>
        <w:t>muy </w:t>
      </w:r>
      <w:r>
        <w:rPr/>
        <w:t>eficiente aun en casos en los que la carga bacteriana y viral es </w:t>
      </w:r>
      <w:r>
        <w:rPr>
          <w:spacing w:val="-3"/>
        </w:rPr>
        <w:t>muy </w:t>
      </w:r>
      <w:r>
        <w:rPr/>
        <w:t>baja dentro de las muestras obtenidas para su análisis (Tavares </w:t>
      </w:r>
      <w:r>
        <w:rPr>
          <w:i/>
        </w:rPr>
        <w:t>et al</w:t>
      </w:r>
      <w:r>
        <w:rPr/>
        <w:t>., 2014; Osorio </w:t>
      </w:r>
      <w:r>
        <w:rPr>
          <w:i/>
        </w:rPr>
        <w:t>et al</w:t>
      </w:r>
      <w:r>
        <w:rPr/>
        <w:t>., 1999). Así mismo, se ha reportado que es un método capaz de detectar un gran número de peces que albergan la bacteria en un estado de portador asintomático, y en peces</w:t>
      </w:r>
      <w:r>
        <w:rPr>
          <w:spacing w:val="-12"/>
        </w:rPr>
        <w:t> </w:t>
      </w:r>
      <w:r>
        <w:rPr/>
        <w:t>que</w:t>
      </w:r>
      <w:r>
        <w:rPr>
          <w:spacing w:val="-15"/>
        </w:rPr>
        <w:t> </w:t>
      </w:r>
      <w:r>
        <w:rPr/>
        <w:t>han</w:t>
      </w:r>
      <w:r>
        <w:rPr>
          <w:spacing w:val="-11"/>
        </w:rPr>
        <w:t> </w:t>
      </w:r>
      <w:r>
        <w:rPr/>
        <w:t>sido</w:t>
      </w:r>
      <w:r>
        <w:rPr>
          <w:spacing w:val="-10"/>
        </w:rPr>
        <w:t> </w:t>
      </w:r>
      <w:r>
        <w:rPr/>
        <w:t>capaces</w:t>
      </w:r>
      <w:r>
        <w:rPr>
          <w:spacing w:val="-12"/>
        </w:rPr>
        <w:t> </w:t>
      </w:r>
      <w:r>
        <w:rPr/>
        <w:t>de</w:t>
      </w:r>
      <w:r>
        <w:rPr>
          <w:spacing w:val="-15"/>
        </w:rPr>
        <w:t> </w:t>
      </w:r>
      <w:r>
        <w:rPr/>
        <w:t>sobrevivir</w:t>
      </w:r>
      <w:r>
        <w:rPr>
          <w:spacing w:val="-11"/>
        </w:rPr>
        <w:t> </w:t>
      </w:r>
      <w:r>
        <w:rPr/>
        <w:t>a</w:t>
      </w:r>
      <w:r>
        <w:rPr>
          <w:spacing w:val="-16"/>
        </w:rPr>
        <w:t> </w:t>
      </w:r>
      <w:r>
        <w:rPr/>
        <w:t>los</w:t>
      </w:r>
      <w:r>
        <w:rPr>
          <w:spacing w:val="-12"/>
        </w:rPr>
        <w:t> </w:t>
      </w:r>
      <w:r>
        <w:rPr/>
        <w:t>brotes</w:t>
      </w:r>
      <w:r>
        <w:rPr>
          <w:spacing w:val="-16"/>
        </w:rPr>
        <w:t> </w:t>
      </w:r>
      <w:r>
        <w:rPr/>
        <w:t>de</w:t>
      </w:r>
      <w:r>
        <w:rPr>
          <w:spacing w:val="-11"/>
        </w:rPr>
        <w:t> </w:t>
      </w:r>
      <w:r>
        <w:rPr/>
        <w:t>enfermedad</w:t>
      </w:r>
      <w:r>
        <w:rPr>
          <w:spacing w:val="-11"/>
        </w:rPr>
        <w:t> </w:t>
      </w:r>
      <w:r>
        <w:rPr/>
        <w:t>y</w:t>
      </w:r>
      <w:r>
        <w:rPr>
          <w:spacing w:val="-12"/>
        </w:rPr>
        <w:t> </w:t>
      </w:r>
      <w:r>
        <w:rPr/>
        <w:t>que</w:t>
      </w:r>
      <w:r>
        <w:rPr>
          <w:spacing w:val="-15"/>
        </w:rPr>
        <w:t> </w:t>
      </w:r>
      <w:r>
        <w:rPr/>
        <w:t>pueden permanecen</w:t>
      </w:r>
      <w:r>
        <w:rPr>
          <w:spacing w:val="-6"/>
        </w:rPr>
        <w:t> </w:t>
      </w:r>
      <w:r>
        <w:rPr/>
        <w:t>secretamente</w:t>
      </w:r>
      <w:r>
        <w:rPr>
          <w:spacing w:val="-6"/>
        </w:rPr>
        <w:t> </w:t>
      </w:r>
      <w:r>
        <w:rPr/>
        <w:t>infectados</w:t>
      </w:r>
      <w:r>
        <w:rPr>
          <w:spacing w:val="-7"/>
        </w:rPr>
        <w:t> </w:t>
      </w:r>
      <w:r>
        <w:rPr/>
        <w:t>(Osorio</w:t>
      </w:r>
      <w:r>
        <w:rPr>
          <w:spacing w:val="-3"/>
        </w:rPr>
        <w:t> </w:t>
      </w:r>
      <w:r>
        <w:rPr>
          <w:i/>
        </w:rPr>
        <w:t>et</w:t>
      </w:r>
      <w:r>
        <w:rPr>
          <w:i/>
          <w:spacing w:val="-6"/>
        </w:rPr>
        <w:t> </w:t>
      </w:r>
      <w:r>
        <w:rPr>
          <w:i/>
        </w:rPr>
        <w:t>al</w:t>
      </w:r>
      <w:r>
        <w:rPr/>
        <w:t>.,</w:t>
      </w:r>
      <w:r>
        <w:rPr>
          <w:spacing w:val="-6"/>
        </w:rPr>
        <w:t> </w:t>
      </w:r>
      <w:r>
        <w:rPr/>
        <w:t>1999).</w:t>
      </w:r>
      <w:r>
        <w:rPr>
          <w:spacing w:val="-6"/>
        </w:rPr>
        <w:t> </w:t>
      </w:r>
      <w:r>
        <w:rPr/>
        <w:t>En</w:t>
      </w:r>
      <w:r>
        <w:rPr>
          <w:spacing w:val="-6"/>
        </w:rPr>
        <w:t> </w:t>
      </w:r>
      <w:r>
        <w:rPr/>
        <w:t>este</w:t>
      </w:r>
      <w:r>
        <w:rPr>
          <w:spacing w:val="-6"/>
        </w:rPr>
        <w:t> </w:t>
      </w:r>
      <w:r>
        <w:rPr/>
        <w:t>trabajo</w:t>
      </w:r>
      <w:r>
        <w:rPr>
          <w:spacing w:val="-6"/>
        </w:rPr>
        <w:t> </w:t>
      </w:r>
      <w:r>
        <w:rPr/>
        <w:t>se</w:t>
      </w:r>
      <w:r>
        <w:rPr>
          <w:spacing w:val="-6"/>
        </w:rPr>
        <w:t> </w:t>
      </w:r>
      <w:r>
        <w:rPr/>
        <w:t>logró el diagnóstico de 29 muestras de tilapia; obteniéndose el 97% de casos positivos y una sensibilidad del 97 al 100%. Siendo detectadas incluso algunas muestras con lesiones que no eran presuntivas de la</w:t>
      </w:r>
      <w:r>
        <w:rPr>
          <w:spacing w:val="-33"/>
        </w:rPr>
        <w:t> </w:t>
      </w:r>
      <w:r>
        <w:rPr/>
        <w:t>enfermedad.</w:t>
      </w:r>
    </w:p>
    <w:p>
      <w:pPr>
        <w:pStyle w:val="BodyText"/>
        <w:spacing w:line="273" w:lineRule="auto" w:before="207"/>
        <w:ind w:left="139" w:right="142"/>
        <w:jc w:val="both"/>
      </w:pPr>
      <w:r>
        <w:rPr/>
        <w:t>De</w:t>
      </w:r>
      <w:r>
        <w:rPr>
          <w:spacing w:val="-5"/>
        </w:rPr>
        <w:t> </w:t>
      </w:r>
      <w:r>
        <w:rPr/>
        <w:t>acuerdo</w:t>
      </w:r>
      <w:r>
        <w:rPr>
          <w:spacing w:val="-5"/>
        </w:rPr>
        <w:t> </w:t>
      </w:r>
      <w:r>
        <w:rPr/>
        <w:t>a</w:t>
      </w:r>
      <w:r>
        <w:rPr>
          <w:spacing w:val="-10"/>
        </w:rPr>
        <w:t> </w:t>
      </w:r>
      <w:r>
        <w:rPr/>
        <w:t>lo</w:t>
      </w:r>
      <w:r>
        <w:rPr>
          <w:spacing w:val="-5"/>
        </w:rPr>
        <w:t> </w:t>
      </w:r>
      <w:r>
        <w:rPr/>
        <w:t>anterior,</w:t>
      </w:r>
      <w:r>
        <w:rPr>
          <w:spacing w:val="-5"/>
        </w:rPr>
        <w:t> </w:t>
      </w:r>
      <w:r>
        <w:rPr/>
        <w:t>la</w:t>
      </w:r>
      <w:r>
        <w:rPr>
          <w:spacing w:val="-10"/>
        </w:rPr>
        <w:t> </w:t>
      </w:r>
      <w:r>
        <w:rPr/>
        <w:t>utilización</w:t>
      </w:r>
      <w:r>
        <w:rPr>
          <w:spacing w:val="-5"/>
        </w:rPr>
        <w:t> </w:t>
      </w:r>
      <w:r>
        <w:rPr/>
        <w:t>de</w:t>
      </w:r>
      <w:r>
        <w:rPr>
          <w:spacing w:val="-5"/>
        </w:rPr>
        <w:t> </w:t>
      </w:r>
      <w:r>
        <w:rPr/>
        <w:t>esta</w:t>
      </w:r>
      <w:r>
        <w:rPr>
          <w:spacing w:val="-9"/>
        </w:rPr>
        <w:t> </w:t>
      </w:r>
      <w:r>
        <w:rPr/>
        <w:t>técnica</w:t>
      </w:r>
      <w:r>
        <w:rPr>
          <w:spacing w:val="-5"/>
        </w:rPr>
        <w:t> </w:t>
      </w:r>
      <w:r>
        <w:rPr/>
        <w:t>representa</w:t>
      </w:r>
      <w:r>
        <w:rPr>
          <w:spacing w:val="-5"/>
        </w:rPr>
        <w:t> </w:t>
      </w:r>
      <w:r>
        <w:rPr/>
        <w:t>un</w:t>
      </w:r>
      <w:r>
        <w:rPr>
          <w:spacing w:val="-5"/>
        </w:rPr>
        <w:t> </w:t>
      </w:r>
      <w:r>
        <w:rPr/>
        <w:t>ventaja</w:t>
      </w:r>
      <w:r>
        <w:rPr>
          <w:spacing w:val="-5"/>
        </w:rPr>
        <w:t> </w:t>
      </w:r>
      <w:r>
        <w:rPr/>
        <w:t>para</w:t>
      </w:r>
      <w:r>
        <w:rPr>
          <w:spacing w:val="-5"/>
        </w:rPr>
        <w:t> </w:t>
      </w:r>
      <w:r>
        <w:rPr/>
        <w:t>el diagnóstico</w:t>
      </w:r>
      <w:r>
        <w:rPr>
          <w:spacing w:val="-13"/>
        </w:rPr>
        <w:t> </w:t>
      </w:r>
      <w:r>
        <w:rPr/>
        <w:t>oportuno</w:t>
      </w:r>
      <w:r>
        <w:rPr>
          <w:spacing w:val="-13"/>
        </w:rPr>
        <w:t> </w:t>
      </w:r>
      <w:r>
        <w:rPr/>
        <w:t>de</w:t>
      </w:r>
      <w:r>
        <w:rPr>
          <w:spacing w:val="-13"/>
        </w:rPr>
        <w:t> </w:t>
      </w:r>
      <w:r>
        <w:rPr/>
        <w:t>distintas</w:t>
      </w:r>
      <w:r>
        <w:rPr>
          <w:spacing w:val="-14"/>
        </w:rPr>
        <w:t> </w:t>
      </w:r>
      <w:r>
        <w:rPr/>
        <w:t>enfermedades</w:t>
      </w:r>
      <w:r>
        <w:rPr>
          <w:spacing w:val="-14"/>
        </w:rPr>
        <w:t> </w:t>
      </w:r>
      <w:r>
        <w:rPr/>
        <w:t>de</w:t>
      </w:r>
      <w:r>
        <w:rPr>
          <w:spacing w:val="-13"/>
        </w:rPr>
        <w:t> </w:t>
      </w:r>
      <w:r>
        <w:rPr/>
        <w:t>curso</w:t>
      </w:r>
      <w:r>
        <w:rPr>
          <w:spacing w:val="-17"/>
        </w:rPr>
        <w:t> </w:t>
      </w:r>
      <w:r>
        <w:rPr/>
        <w:t>agudo</w:t>
      </w:r>
      <w:r>
        <w:rPr>
          <w:spacing w:val="-17"/>
        </w:rPr>
        <w:t> </w:t>
      </w:r>
      <w:r>
        <w:rPr/>
        <w:t>o</w:t>
      </w:r>
      <w:r>
        <w:rPr>
          <w:spacing w:val="-13"/>
        </w:rPr>
        <w:t> </w:t>
      </w:r>
      <w:r>
        <w:rPr/>
        <w:t>cuando</w:t>
      </w:r>
      <w:r>
        <w:rPr>
          <w:spacing w:val="-13"/>
        </w:rPr>
        <w:t> </w:t>
      </w:r>
      <w:r>
        <w:rPr/>
        <w:t>el</w:t>
      </w:r>
      <w:r>
        <w:rPr>
          <w:spacing w:val="-9"/>
        </w:rPr>
        <w:t> </w:t>
      </w:r>
      <w:r>
        <w:rPr/>
        <w:t>agente causal es de difícil</w:t>
      </w:r>
      <w:r>
        <w:rPr>
          <w:spacing w:val="-10"/>
        </w:rPr>
        <w:t> </w:t>
      </w:r>
      <w:r>
        <w:rPr/>
        <w:t>aislamiento.</w:t>
      </w:r>
    </w:p>
    <w:p>
      <w:pPr>
        <w:pStyle w:val="BodyText"/>
        <w:spacing w:line="276" w:lineRule="auto" w:before="210"/>
        <w:ind w:left="139" w:right="140"/>
        <w:jc w:val="both"/>
      </w:pPr>
      <w:r>
        <w:rPr/>
        <w:t>El examen histopatológico es uno de los métodos comúnmente utilizado en laboratorios donde se realiza el servicio de diagnóstico veterinario; aunque es una técnica de mucha ayuda en ocasiones requiere otros recursos para la</w:t>
      </w:r>
      <w:r>
        <w:rPr>
          <w:spacing w:val="-41"/>
        </w:rPr>
        <w:t> </w:t>
      </w:r>
      <w:r>
        <w:rPr/>
        <w:t>confirmación o identificación del agente causal. En el caso de francisellosis, la inflamación y la formación de granulomas en los órganos internos no son lesiones</w:t>
      </w:r>
      <w:r>
        <w:rPr>
          <w:spacing w:val="-24"/>
        </w:rPr>
        <w:t> </w:t>
      </w:r>
      <w:r>
        <w:rPr/>
        <w:t>patognomónicas</w:t>
      </w:r>
    </w:p>
    <w:p>
      <w:pPr>
        <w:spacing w:after="0" w:line="276" w:lineRule="auto"/>
        <w:jc w:val="both"/>
        <w:sectPr>
          <w:pgSz w:w="12240" w:h="15840"/>
          <w:pgMar w:header="752" w:footer="998" w:top="1000" w:bottom="1180" w:left="1560" w:right="1560"/>
        </w:sectPr>
      </w:pPr>
    </w:p>
    <w:p>
      <w:pPr>
        <w:pStyle w:val="BodyText"/>
        <w:rPr>
          <w:sz w:val="29"/>
        </w:rPr>
      </w:pPr>
    </w:p>
    <w:p>
      <w:pPr>
        <w:spacing w:line="276" w:lineRule="auto" w:before="70"/>
        <w:ind w:left="139" w:right="133" w:firstLine="0"/>
        <w:jc w:val="both"/>
        <w:rPr>
          <w:sz w:val="24"/>
        </w:rPr>
      </w:pPr>
      <w:r>
        <w:rPr>
          <w:sz w:val="24"/>
        </w:rPr>
        <w:t>de esta enfermedad (Hsieh </w:t>
      </w:r>
      <w:r>
        <w:rPr>
          <w:i/>
          <w:sz w:val="24"/>
        </w:rPr>
        <w:t>et al</w:t>
      </w:r>
      <w:r>
        <w:rPr>
          <w:sz w:val="24"/>
        </w:rPr>
        <w:t>., 2007); los miembros de los géneros </w:t>
      </w:r>
      <w:r>
        <w:rPr>
          <w:i/>
          <w:sz w:val="24"/>
        </w:rPr>
        <w:t>Mycobacterium</w:t>
      </w:r>
      <w:r>
        <w:rPr>
          <w:sz w:val="24"/>
        </w:rPr>
        <w:t>, </w:t>
      </w:r>
      <w:r>
        <w:rPr>
          <w:i/>
          <w:sz w:val="24"/>
        </w:rPr>
        <w:t>Nocardia</w:t>
      </w:r>
      <w:r>
        <w:rPr>
          <w:sz w:val="24"/>
        </w:rPr>
        <w:t>, </w:t>
      </w:r>
      <w:r>
        <w:rPr>
          <w:i/>
          <w:sz w:val="24"/>
        </w:rPr>
        <w:t>Francisella</w:t>
      </w:r>
      <w:r>
        <w:rPr>
          <w:sz w:val="24"/>
        </w:rPr>
        <w:t>, </w:t>
      </w:r>
      <w:r>
        <w:rPr>
          <w:i/>
          <w:sz w:val="24"/>
        </w:rPr>
        <w:t>Edwardsiella</w:t>
      </w:r>
      <w:r>
        <w:rPr>
          <w:sz w:val="24"/>
        </w:rPr>
        <w:t>, </w:t>
      </w:r>
      <w:r>
        <w:rPr>
          <w:i/>
          <w:sz w:val="24"/>
        </w:rPr>
        <w:t>Photobacterium</w:t>
      </w:r>
      <w:r>
        <w:rPr>
          <w:sz w:val="24"/>
        </w:rPr>
        <w:t>, </w:t>
      </w:r>
      <w:r>
        <w:rPr>
          <w:i/>
          <w:sz w:val="24"/>
        </w:rPr>
        <w:t>Piscirickettsia</w:t>
      </w:r>
      <w:r>
        <w:rPr>
          <w:sz w:val="24"/>
        </w:rPr>
        <w:t>, </w:t>
      </w:r>
      <w:r>
        <w:rPr>
          <w:i/>
          <w:sz w:val="24"/>
        </w:rPr>
        <w:t>Renibacterium </w:t>
      </w:r>
      <w:r>
        <w:rPr>
          <w:sz w:val="24"/>
        </w:rPr>
        <w:t>y </w:t>
      </w:r>
      <w:r>
        <w:rPr>
          <w:i/>
          <w:sz w:val="24"/>
        </w:rPr>
        <w:t>Streptococcus </w:t>
      </w:r>
      <w:r>
        <w:rPr>
          <w:sz w:val="24"/>
        </w:rPr>
        <w:t>también han sido descritos como agentes etiológicos capaces de inducir enfermedad granulomatosa en diferentes especies peces silvestre y cultivados (Soto </w:t>
      </w:r>
      <w:r>
        <w:rPr>
          <w:i/>
          <w:sz w:val="24"/>
        </w:rPr>
        <w:t>et al</w:t>
      </w:r>
      <w:r>
        <w:rPr>
          <w:sz w:val="24"/>
        </w:rPr>
        <w:t>., 2010). Por lo que las lesiones encontradas en este estudio podrían ser fácil de confundir con otros agentes (Soto </w:t>
      </w:r>
      <w:r>
        <w:rPr>
          <w:i/>
          <w:sz w:val="24"/>
        </w:rPr>
        <w:t>et al</w:t>
      </w:r>
      <w:r>
        <w:rPr>
          <w:sz w:val="24"/>
        </w:rPr>
        <w:t>., 2010; Hsieh </w:t>
      </w:r>
      <w:r>
        <w:rPr>
          <w:i/>
          <w:sz w:val="24"/>
        </w:rPr>
        <w:t>et al</w:t>
      </w:r>
      <w:r>
        <w:rPr>
          <w:sz w:val="24"/>
        </w:rPr>
        <w:t>., 2007). De hecho, en un principio las infecciones por Francisella sp. fueron atribuidas a organismos </w:t>
      </w:r>
      <w:r>
        <w:rPr>
          <w:i/>
          <w:sz w:val="24"/>
        </w:rPr>
        <w:t>Piscirickettsia-like </w:t>
      </w:r>
      <w:r>
        <w:rPr>
          <w:sz w:val="24"/>
        </w:rPr>
        <w:t>que habían sido reportadas afectando a diferentes especies de tilapia y otros peces (Chen </w:t>
      </w:r>
      <w:r>
        <w:rPr>
          <w:i/>
          <w:sz w:val="24"/>
        </w:rPr>
        <w:t>et al</w:t>
      </w:r>
      <w:r>
        <w:rPr>
          <w:sz w:val="24"/>
        </w:rPr>
        <w:t>., 1994; Chern </w:t>
      </w:r>
      <w:r>
        <w:rPr>
          <w:i/>
          <w:sz w:val="24"/>
        </w:rPr>
        <w:t>et al</w:t>
      </w:r>
      <w:r>
        <w:rPr>
          <w:sz w:val="24"/>
        </w:rPr>
        <w:t>., 1994; Mauel </w:t>
      </w:r>
      <w:r>
        <w:rPr>
          <w:i/>
          <w:sz w:val="24"/>
        </w:rPr>
        <w:t>et al</w:t>
      </w:r>
      <w:r>
        <w:rPr>
          <w:sz w:val="24"/>
        </w:rPr>
        <w:t>., 2003; 2005).</w:t>
      </w:r>
    </w:p>
    <w:p>
      <w:pPr>
        <w:pStyle w:val="BodyText"/>
        <w:spacing w:line="276" w:lineRule="auto" w:before="207"/>
        <w:ind w:left="139" w:right="139"/>
        <w:jc w:val="both"/>
      </w:pPr>
      <w:r>
        <w:rPr/>
        <w:t>Chen </w:t>
      </w:r>
      <w:r>
        <w:rPr>
          <w:i/>
        </w:rPr>
        <w:t>et al</w:t>
      </w:r>
      <w:r>
        <w:rPr/>
        <w:t>., (1994); Mauel </w:t>
      </w:r>
      <w:r>
        <w:rPr>
          <w:i/>
        </w:rPr>
        <w:t>et al</w:t>
      </w:r>
      <w:r>
        <w:rPr/>
        <w:t>., (2007); Soto </w:t>
      </w:r>
      <w:r>
        <w:rPr>
          <w:i/>
        </w:rPr>
        <w:t>et al</w:t>
      </w:r>
      <w:r>
        <w:rPr/>
        <w:t>., (2009a, b); describen la presencia de bacterias intracelulares Gram negativas, de </w:t>
      </w:r>
      <w:r>
        <w:rPr>
          <w:spacing w:val="-3"/>
        </w:rPr>
        <w:t>forma </w:t>
      </w:r>
      <w:r>
        <w:rPr/>
        <w:t>pleomórfica en macrófagos encontrados en las formaciones granulomatosas. En este estudio la observación de bacterias semejantes fue sugerida al realizar la tinción de Gram a las muestras analizadas; de la </w:t>
      </w:r>
      <w:r>
        <w:rPr>
          <w:spacing w:val="-3"/>
        </w:rPr>
        <w:t>misma </w:t>
      </w:r>
      <w:r>
        <w:rPr/>
        <w:t>forma se observaron células inflamatorias en la periferia de los granulomas y zonas de extensa necrosis. Una lesión que se ha reportado en casos severos de francisellosis es una poliarteritis granulomatosa en hígado; esta lesión no fue encontrada en las muestras de este estudio, lo que sugiere que el curso de la enfermedad en los peces analizados se encontraba en proceso avanzado de la infección, encontrando únicamente la lesión granulomatosa.</w:t>
      </w:r>
    </w:p>
    <w:p>
      <w:pPr>
        <w:pStyle w:val="BodyText"/>
        <w:spacing w:line="276" w:lineRule="auto" w:before="207"/>
        <w:ind w:left="139" w:right="140"/>
        <w:jc w:val="both"/>
      </w:pPr>
      <w:r>
        <w:rPr/>
        <w:t>En resumen, en el presente trabajo se comprobó la utilidad de las técnicas de</w:t>
      </w:r>
      <w:r>
        <w:rPr>
          <w:spacing w:val="-40"/>
        </w:rPr>
        <w:t> </w:t>
      </w:r>
      <w:r>
        <w:rPr/>
        <w:t>PCR para identificar peces afectados por </w:t>
      </w:r>
      <w:r>
        <w:rPr>
          <w:i/>
        </w:rPr>
        <w:t>Francisella </w:t>
      </w:r>
      <w:r>
        <w:rPr/>
        <w:t>sp. aún en etapas en las que los signos</w:t>
      </w:r>
      <w:r>
        <w:rPr>
          <w:spacing w:val="-15"/>
        </w:rPr>
        <w:t> </w:t>
      </w:r>
      <w:r>
        <w:rPr/>
        <w:t>clínicos</w:t>
      </w:r>
      <w:r>
        <w:rPr>
          <w:spacing w:val="-11"/>
        </w:rPr>
        <w:t> </w:t>
      </w:r>
      <w:r>
        <w:rPr/>
        <w:t>no</w:t>
      </w:r>
      <w:r>
        <w:rPr>
          <w:spacing w:val="-10"/>
        </w:rPr>
        <w:t> </w:t>
      </w:r>
      <w:r>
        <w:rPr/>
        <w:t>son</w:t>
      </w:r>
      <w:r>
        <w:rPr>
          <w:spacing w:val="-14"/>
        </w:rPr>
        <w:t> </w:t>
      </w:r>
      <w:r>
        <w:rPr/>
        <w:t>evidentes</w:t>
      </w:r>
      <w:r>
        <w:rPr>
          <w:spacing w:val="-11"/>
        </w:rPr>
        <w:t> </w:t>
      </w:r>
      <w:r>
        <w:rPr/>
        <w:t>y</w:t>
      </w:r>
      <w:r>
        <w:rPr>
          <w:spacing w:val="-11"/>
        </w:rPr>
        <w:t> </w:t>
      </w:r>
      <w:r>
        <w:rPr/>
        <w:t>donde</w:t>
      </w:r>
      <w:r>
        <w:rPr>
          <w:spacing w:val="-15"/>
        </w:rPr>
        <w:t> </w:t>
      </w:r>
      <w:r>
        <w:rPr/>
        <w:t>la</w:t>
      </w:r>
      <w:r>
        <w:rPr>
          <w:spacing w:val="-14"/>
        </w:rPr>
        <w:t> </w:t>
      </w:r>
      <w:r>
        <w:rPr/>
        <w:t>mortalidad</w:t>
      </w:r>
      <w:r>
        <w:rPr>
          <w:spacing w:val="-15"/>
        </w:rPr>
        <w:t> </w:t>
      </w:r>
      <w:r>
        <w:rPr/>
        <w:t>es</w:t>
      </w:r>
      <w:r>
        <w:rPr>
          <w:spacing w:val="-11"/>
        </w:rPr>
        <w:t> </w:t>
      </w:r>
      <w:r>
        <w:rPr/>
        <w:t>baja.</w:t>
      </w:r>
      <w:r>
        <w:rPr>
          <w:spacing w:val="-10"/>
        </w:rPr>
        <w:t> </w:t>
      </w:r>
      <w:r>
        <w:rPr/>
        <w:t>En</w:t>
      </w:r>
      <w:r>
        <w:rPr>
          <w:spacing w:val="-10"/>
        </w:rPr>
        <w:t> </w:t>
      </w:r>
      <w:r>
        <w:rPr/>
        <w:t>este</w:t>
      </w:r>
      <w:r>
        <w:rPr>
          <w:spacing w:val="-14"/>
        </w:rPr>
        <w:t> </w:t>
      </w:r>
      <w:r>
        <w:rPr/>
        <w:t>caso</w:t>
      </w:r>
      <w:r>
        <w:rPr>
          <w:spacing w:val="-15"/>
        </w:rPr>
        <w:t> </w:t>
      </w:r>
      <w:r>
        <w:rPr/>
        <w:t>la</w:t>
      </w:r>
      <w:r>
        <w:rPr>
          <w:spacing w:val="-14"/>
        </w:rPr>
        <w:t> </w:t>
      </w:r>
      <w:r>
        <w:rPr/>
        <w:t>PCR Anidada</w:t>
      </w:r>
      <w:r>
        <w:rPr>
          <w:spacing w:val="-6"/>
        </w:rPr>
        <w:t> </w:t>
      </w:r>
      <w:r>
        <w:rPr/>
        <w:t>fue</w:t>
      </w:r>
      <w:r>
        <w:rPr>
          <w:spacing w:val="-11"/>
        </w:rPr>
        <w:t> </w:t>
      </w:r>
      <w:r>
        <w:rPr>
          <w:spacing w:val="-3"/>
        </w:rPr>
        <w:t>más</w:t>
      </w:r>
      <w:r>
        <w:rPr>
          <w:spacing w:val="-7"/>
        </w:rPr>
        <w:t> </w:t>
      </w:r>
      <w:r>
        <w:rPr/>
        <w:t>sensible.</w:t>
      </w:r>
      <w:r>
        <w:rPr>
          <w:spacing w:val="-11"/>
        </w:rPr>
        <w:t> </w:t>
      </w:r>
      <w:r>
        <w:rPr/>
        <w:t>Sin</w:t>
      </w:r>
      <w:r>
        <w:rPr>
          <w:spacing w:val="-11"/>
        </w:rPr>
        <w:t> </w:t>
      </w:r>
      <w:r>
        <w:rPr/>
        <w:t>embargo,</w:t>
      </w:r>
      <w:r>
        <w:rPr>
          <w:spacing w:val="-6"/>
        </w:rPr>
        <w:t> </w:t>
      </w:r>
      <w:r>
        <w:rPr/>
        <w:t>es</w:t>
      </w:r>
      <w:r>
        <w:rPr>
          <w:spacing w:val="-12"/>
        </w:rPr>
        <w:t> </w:t>
      </w:r>
      <w:r>
        <w:rPr/>
        <w:t>necesario</w:t>
      </w:r>
      <w:r>
        <w:rPr>
          <w:spacing w:val="-11"/>
        </w:rPr>
        <w:t> </w:t>
      </w:r>
      <w:r>
        <w:rPr/>
        <w:t>realizar</w:t>
      </w:r>
      <w:r>
        <w:rPr>
          <w:spacing w:val="-10"/>
        </w:rPr>
        <w:t> </w:t>
      </w:r>
      <w:r>
        <w:rPr/>
        <w:t>otras</w:t>
      </w:r>
      <w:r>
        <w:rPr>
          <w:spacing w:val="-12"/>
        </w:rPr>
        <w:t> </w:t>
      </w:r>
      <w:r>
        <w:rPr/>
        <w:t>investigaciones en las que se involucre PCR en Tiempo Real y otras técnicas moleculares como: hibridación </w:t>
      </w:r>
      <w:r>
        <w:rPr>
          <w:i/>
          <w:spacing w:val="-3"/>
        </w:rPr>
        <w:t>in </w:t>
      </w:r>
      <w:r>
        <w:rPr>
          <w:i/>
        </w:rPr>
        <w:t>situ</w:t>
      </w:r>
      <w:r>
        <w:rPr/>
        <w:t>, inmunohistoquímica y ELISA; para determinar </w:t>
      </w:r>
      <w:r>
        <w:rPr>
          <w:spacing w:val="-3"/>
        </w:rPr>
        <w:t>cuál </w:t>
      </w:r>
      <w:r>
        <w:rPr/>
        <w:t>ofrece mayor sensibilidad para diagnosticar animales con características similares a las presentadas por los peces analizados en este</w:t>
      </w:r>
      <w:r>
        <w:rPr>
          <w:spacing w:val="-14"/>
        </w:rPr>
        <w:t> </w:t>
      </w:r>
      <w:r>
        <w:rPr/>
        <w:t>estudio.</w:t>
      </w:r>
    </w:p>
    <w:p>
      <w:pPr>
        <w:pStyle w:val="BodyText"/>
        <w:spacing w:before="10"/>
        <w:rPr>
          <w:sz w:val="20"/>
        </w:rPr>
      </w:pPr>
    </w:p>
    <w:p>
      <w:pPr>
        <w:pStyle w:val="Heading1"/>
        <w:numPr>
          <w:ilvl w:val="0"/>
          <w:numId w:val="8"/>
        </w:numPr>
        <w:tabs>
          <w:tab w:pos="543" w:val="left" w:leader="none"/>
        </w:tabs>
        <w:spacing w:line="240" w:lineRule="auto" w:before="0" w:after="0"/>
        <w:ind w:left="542" w:right="0" w:hanging="403"/>
        <w:jc w:val="both"/>
      </w:pPr>
      <w:bookmarkStart w:name="_bookmark61" w:id="108"/>
      <w:bookmarkEnd w:id="108"/>
      <w:r>
        <w:rPr>
          <w:b w:val="0"/>
        </w:rPr>
      </w:r>
      <w:bookmarkStart w:name="_bookmark61" w:id="109"/>
      <w:bookmarkEnd w:id="109"/>
      <w:r>
        <w:rPr>
          <w:color w:val="365F91"/>
        </w:rPr>
        <w:t>CON</w:t>
      </w:r>
      <w:r>
        <w:rPr>
          <w:color w:val="365F91"/>
        </w:rPr>
        <w:t>CLUSIONES</w:t>
      </w:r>
    </w:p>
    <w:p>
      <w:pPr>
        <w:pStyle w:val="BodyText"/>
        <w:spacing w:line="276" w:lineRule="auto" w:before="45"/>
        <w:ind w:left="139" w:right="135"/>
        <w:jc w:val="both"/>
      </w:pPr>
      <w:r>
        <w:rPr/>
        <w:t>El</w:t>
      </w:r>
      <w:r>
        <w:rPr>
          <w:spacing w:val="-14"/>
        </w:rPr>
        <w:t> </w:t>
      </w:r>
      <w:r>
        <w:rPr/>
        <w:t>presente</w:t>
      </w:r>
      <w:r>
        <w:rPr>
          <w:spacing w:val="-21"/>
        </w:rPr>
        <w:t> </w:t>
      </w:r>
      <w:r>
        <w:rPr/>
        <w:t>trabajo</w:t>
      </w:r>
      <w:r>
        <w:rPr>
          <w:spacing w:val="-17"/>
        </w:rPr>
        <w:t> </w:t>
      </w:r>
      <w:r>
        <w:rPr/>
        <w:t>permitió</w:t>
      </w:r>
      <w:r>
        <w:rPr>
          <w:spacing w:val="-13"/>
        </w:rPr>
        <w:t> </w:t>
      </w:r>
      <w:r>
        <w:rPr/>
        <w:t>conocer</w:t>
      </w:r>
      <w:r>
        <w:rPr>
          <w:spacing w:val="-19"/>
        </w:rPr>
        <w:t> </w:t>
      </w:r>
      <w:r>
        <w:rPr/>
        <w:t>la</w:t>
      </w:r>
      <w:r>
        <w:rPr>
          <w:spacing w:val="-17"/>
        </w:rPr>
        <w:t> </w:t>
      </w:r>
      <w:r>
        <w:rPr/>
        <w:t>sensibilidad</w:t>
      </w:r>
      <w:r>
        <w:rPr>
          <w:spacing w:val="-21"/>
        </w:rPr>
        <w:t> </w:t>
      </w:r>
      <w:r>
        <w:rPr/>
        <w:t>de</w:t>
      </w:r>
      <w:r>
        <w:rPr>
          <w:spacing w:val="-19"/>
        </w:rPr>
        <w:t> </w:t>
      </w:r>
      <w:r>
        <w:rPr/>
        <w:t>las</w:t>
      </w:r>
      <w:r>
        <w:rPr>
          <w:spacing w:val="-16"/>
        </w:rPr>
        <w:t> </w:t>
      </w:r>
      <w:r>
        <w:rPr/>
        <w:t>técnicas</w:t>
      </w:r>
      <w:r>
        <w:rPr>
          <w:spacing w:val="-22"/>
        </w:rPr>
        <w:t> </w:t>
      </w:r>
      <w:r>
        <w:rPr/>
        <w:t>que</w:t>
      </w:r>
      <w:r>
        <w:rPr>
          <w:spacing w:val="-21"/>
        </w:rPr>
        <w:t> </w:t>
      </w:r>
      <w:r>
        <w:rPr/>
        <w:t>comúnmente se utilizan para el realizar el diagnóstico de francisellosis en muestras de tilapia (</w:t>
      </w:r>
      <w:r>
        <w:rPr>
          <w:i/>
        </w:rPr>
        <w:t>Oreochromis </w:t>
      </w:r>
      <w:r>
        <w:rPr/>
        <w:t>sp.), así </w:t>
      </w:r>
      <w:r>
        <w:rPr>
          <w:spacing w:val="-3"/>
        </w:rPr>
        <w:t>mismo </w:t>
      </w:r>
      <w:r>
        <w:rPr/>
        <w:t>se realizó el diagnóstico de pece enfermos por PCR Anidado, técnica que hasta ahora no había sido utilizada para diagnóstico de francisellosis.</w:t>
      </w:r>
    </w:p>
    <w:p>
      <w:pPr>
        <w:pStyle w:val="BodyText"/>
        <w:spacing w:line="278" w:lineRule="auto" w:before="202"/>
        <w:ind w:left="139" w:right="133"/>
        <w:jc w:val="both"/>
      </w:pPr>
      <w:r>
        <w:rPr/>
        <w:t>En este trabajo se demostró que las técnicas </w:t>
      </w:r>
      <w:r>
        <w:rPr>
          <w:spacing w:val="-3"/>
        </w:rPr>
        <w:t>más </w:t>
      </w:r>
      <w:r>
        <w:rPr/>
        <w:t>sensibles para el diagnóstico de esta enfermedad son las moleculares ya que tienen la capacidad de detectar hasta el</w:t>
      </w:r>
      <w:r>
        <w:rPr>
          <w:spacing w:val="-2"/>
        </w:rPr>
        <w:t> </w:t>
      </w:r>
      <w:r>
        <w:rPr/>
        <w:t>100%</w:t>
      </w:r>
      <w:r>
        <w:rPr>
          <w:spacing w:val="-8"/>
        </w:rPr>
        <w:t> </w:t>
      </w:r>
      <w:r>
        <w:rPr/>
        <w:t>de</w:t>
      </w:r>
      <w:r>
        <w:rPr>
          <w:spacing w:val="-5"/>
        </w:rPr>
        <w:t> </w:t>
      </w:r>
      <w:r>
        <w:rPr/>
        <w:t>los</w:t>
      </w:r>
      <w:r>
        <w:rPr>
          <w:spacing w:val="-6"/>
        </w:rPr>
        <w:t> </w:t>
      </w:r>
      <w:r>
        <w:rPr/>
        <w:t>pacientes</w:t>
      </w:r>
      <w:r>
        <w:rPr>
          <w:spacing w:val="-6"/>
        </w:rPr>
        <w:t> </w:t>
      </w:r>
      <w:r>
        <w:rPr/>
        <w:t>infectados</w:t>
      </w:r>
      <w:r>
        <w:rPr>
          <w:spacing w:val="-4"/>
        </w:rPr>
        <w:t> </w:t>
      </w:r>
      <w:r>
        <w:rPr/>
        <w:t>y</w:t>
      </w:r>
      <w:r>
        <w:rPr>
          <w:spacing w:val="-6"/>
        </w:rPr>
        <w:t> </w:t>
      </w:r>
      <w:r>
        <w:rPr/>
        <w:t>con</w:t>
      </w:r>
      <w:r>
        <w:rPr>
          <w:spacing w:val="-5"/>
        </w:rPr>
        <w:t> </w:t>
      </w:r>
      <w:r>
        <w:rPr/>
        <w:t>curso</w:t>
      </w:r>
      <w:r>
        <w:rPr>
          <w:spacing w:val="-5"/>
        </w:rPr>
        <w:t> </w:t>
      </w:r>
      <w:r>
        <w:rPr/>
        <w:t>agudo</w:t>
      </w:r>
      <w:r>
        <w:rPr>
          <w:spacing w:val="-5"/>
        </w:rPr>
        <w:t> </w:t>
      </w:r>
      <w:r>
        <w:rPr/>
        <w:t>de</w:t>
      </w:r>
      <w:r>
        <w:rPr>
          <w:spacing w:val="-10"/>
        </w:rPr>
        <w:t> </w:t>
      </w:r>
      <w:r>
        <w:rPr/>
        <w:t>la</w:t>
      </w:r>
      <w:r>
        <w:rPr>
          <w:spacing w:val="-5"/>
        </w:rPr>
        <w:t> </w:t>
      </w:r>
      <w:r>
        <w:rPr/>
        <w:t>enfermedad,</w:t>
      </w:r>
      <w:r>
        <w:rPr>
          <w:spacing w:val="-5"/>
        </w:rPr>
        <w:t> </w:t>
      </w:r>
      <w:r>
        <w:rPr/>
        <w:t>siendo</w:t>
      </w:r>
      <w:r>
        <w:rPr>
          <w:spacing w:val="-3"/>
        </w:rPr>
        <w:t> </w:t>
      </w:r>
      <w:r>
        <w:rPr/>
        <w:t>la</w:t>
      </w:r>
    </w:p>
    <w:p>
      <w:pPr>
        <w:spacing w:after="0" w:line="278" w:lineRule="auto"/>
        <w:jc w:val="both"/>
        <w:sectPr>
          <w:pgSz w:w="12240" w:h="15840"/>
          <w:pgMar w:header="752" w:footer="998" w:top="1000" w:bottom="1180" w:left="1560" w:right="1560"/>
        </w:sectPr>
      </w:pPr>
    </w:p>
    <w:p>
      <w:pPr>
        <w:pStyle w:val="BodyText"/>
        <w:rPr>
          <w:sz w:val="29"/>
        </w:rPr>
      </w:pPr>
    </w:p>
    <w:p>
      <w:pPr>
        <w:pStyle w:val="BodyText"/>
        <w:spacing w:line="273" w:lineRule="auto" w:before="70"/>
        <w:ind w:left="139" w:right="149"/>
        <w:jc w:val="both"/>
      </w:pPr>
      <w:r>
        <w:rPr/>
        <w:t>mejor opción para el diagnóstico de francisellosis aun en etapas tempranas de la enfermedad en las que los signos clínicos de la enfermedad aun no son perceptibles.</w:t>
      </w:r>
    </w:p>
    <w:p>
      <w:pPr>
        <w:pStyle w:val="BodyText"/>
        <w:spacing w:line="273" w:lineRule="auto" w:before="210"/>
        <w:ind w:left="139" w:right="137"/>
        <w:jc w:val="both"/>
      </w:pPr>
      <w:r>
        <w:rPr/>
        <w:t>Se comprobó que la técnica de PCR Anidado por si sola es la mejor opción para </w:t>
      </w:r>
      <w:r>
        <w:rPr>
          <w:spacing w:val="2"/>
        </w:rPr>
        <w:t>el </w:t>
      </w:r>
      <w:r>
        <w:rPr/>
        <w:t>diagnóstico</w:t>
      </w:r>
      <w:r>
        <w:rPr>
          <w:spacing w:val="-6"/>
        </w:rPr>
        <w:t> </w:t>
      </w:r>
      <w:r>
        <w:rPr/>
        <w:t>de</w:t>
      </w:r>
      <w:r>
        <w:rPr>
          <w:spacing w:val="-8"/>
        </w:rPr>
        <w:t> </w:t>
      </w:r>
      <w:r>
        <w:rPr/>
        <w:t>francisellosis</w:t>
      </w:r>
      <w:r>
        <w:rPr>
          <w:spacing w:val="-7"/>
        </w:rPr>
        <w:t> </w:t>
      </w:r>
      <w:r>
        <w:rPr/>
        <w:t>cuando</w:t>
      </w:r>
      <w:r>
        <w:rPr>
          <w:spacing w:val="-11"/>
        </w:rPr>
        <w:t> </w:t>
      </w:r>
      <w:r>
        <w:rPr/>
        <w:t>no</w:t>
      </w:r>
      <w:r>
        <w:rPr>
          <w:spacing w:val="-2"/>
        </w:rPr>
        <w:t> </w:t>
      </w:r>
      <w:r>
        <w:rPr/>
        <w:t>existen</w:t>
      </w:r>
      <w:r>
        <w:rPr>
          <w:spacing w:val="-6"/>
        </w:rPr>
        <w:t> </w:t>
      </w:r>
      <w:r>
        <w:rPr/>
        <w:t>signos</w:t>
      </w:r>
      <w:r>
        <w:rPr>
          <w:spacing w:val="-7"/>
        </w:rPr>
        <w:t> </w:t>
      </w:r>
      <w:r>
        <w:rPr/>
        <w:t>clínicos</w:t>
      </w:r>
      <w:r>
        <w:rPr>
          <w:spacing w:val="-7"/>
        </w:rPr>
        <w:t> </w:t>
      </w:r>
      <w:r>
        <w:rPr/>
        <w:t>o</w:t>
      </w:r>
      <w:r>
        <w:rPr>
          <w:spacing w:val="-11"/>
        </w:rPr>
        <w:t> </w:t>
      </w:r>
      <w:r>
        <w:rPr/>
        <w:t>lesiones,</w:t>
      </w:r>
      <w:r>
        <w:rPr>
          <w:spacing w:val="-6"/>
        </w:rPr>
        <w:t> </w:t>
      </w:r>
      <w:r>
        <w:rPr/>
        <w:t>y</w:t>
      </w:r>
      <w:r>
        <w:rPr>
          <w:spacing w:val="-7"/>
        </w:rPr>
        <w:t> </w:t>
      </w:r>
      <w:r>
        <w:rPr/>
        <w:t>cuando no se ha podido aislar el agente</w:t>
      </w:r>
      <w:r>
        <w:rPr>
          <w:spacing w:val="-14"/>
        </w:rPr>
        <w:t> </w:t>
      </w:r>
      <w:r>
        <w:rPr/>
        <w:t>causal.</w:t>
      </w:r>
    </w:p>
    <w:p>
      <w:pPr>
        <w:pStyle w:val="BodyText"/>
      </w:pPr>
    </w:p>
    <w:p>
      <w:pPr>
        <w:pStyle w:val="BodyText"/>
      </w:pPr>
    </w:p>
    <w:p>
      <w:pPr>
        <w:pStyle w:val="Heading1"/>
        <w:numPr>
          <w:ilvl w:val="0"/>
          <w:numId w:val="8"/>
        </w:numPr>
        <w:tabs>
          <w:tab w:pos="544" w:val="left" w:leader="none"/>
        </w:tabs>
        <w:spacing w:line="240" w:lineRule="auto" w:before="210" w:after="0"/>
        <w:ind w:left="543" w:right="0" w:hanging="404"/>
        <w:jc w:val="both"/>
      </w:pPr>
      <w:bookmarkStart w:name="_bookmark62" w:id="110"/>
      <w:bookmarkEnd w:id="110"/>
      <w:r>
        <w:rPr>
          <w:b w:val="0"/>
        </w:rPr>
      </w:r>
      <w:bookmarkStart w:name="_bookmark62" w:id="111"/>
      <w:bookmarkEnd w:id="111"/>
      <w:r>
        <w:rPr>
          <w:color w:val="365F91"/>
        </w:rPr>
        <w:t>R</w:t>
      </w:r>
      <w:r>
        <w:rPr>
          <w:color w:val="365F91"/>
        </w:rPr>
        <w:t>EFERENCIAS</w:t>
      </w:r>
    </w:p>
    <w:p>
      <w:pPr>
        <w:pStyle w:val="BodyText"/>
        <w:spacing w:line="276" w:lineRule="auto" w:before="45"/>
        <w:ind w:left="139" w:right="144"/>
        <w:jc w:val="both"/>
      </w:pPr>
      <w:r>
        <w:rPr/>
        <w:t>1.- Alston DE. (2009). Global outlook for tilapia culture with emphasis in Latin America. World Aqua.; 40:36–40.</w:t>
      </w:r>
    </w:p>
    <w:p>
      <w:pPr>
        <w:pStyle w:val="BodyText"/>
        <w:spacing w:line="276" w:lineRule="auto" w:before="202"/>
        <w:ind w:left="139" w:right="139"/>
        <w:jc w:val="both"/>
      </w:pPr>
      <w:r>
        <w:rPr/>
        <w:t>2.- Anuario Estadístico de Acuacultura y Pesca Edición. (2011). México. </w:t>
      </w:r>
      <w:hyperlink r:id="rId53">
        <w:r>
          <w:rPr>
            <w:color w:val="0000FF"/>
            <w:u w:val="single" w:color="0000FF"/>
          </w:rPr>
          <w:t>http://www.conapesca.sagarpa.gob.mx</w:t>
        </w:r>
        <w:r>
          <w:rPr/>
          <w:t>.</w:t>
        </w:r>
      </w:hyperlink>
    </w:p>
    <w:p>
      <w:pPr>
        <w:pStyle w:val="BodyText"/>
        <w:spacing w:before="6"/>
        <w:rPr>
          <w:sz w:val="11"/>
        </w:rPr>
      </w:pPr>
    </w:p>
    <w:p>
      <w:pPr>
        <w:pStyle w:val="BodyText"/>
        <w:tabs>
          <w:tab w:pos="624" w:val="left" w:leader="none"/>
          <w:tab w:pos="1650" w:val="left" w:leader="none"/>
          <w:tab w:pos="3022" w:val="left" w:leader="none"/>
          <w:tab w:pos="3487" w:val="left" w:leader="none"/>
          <w:tab w:pos="5271" w:val="left" w:leader="none"/>
          <w:tab w:pos="6139" w:val="left" w:leader="none"/>
        </w:tabs>
        <w:spacing w:line="271" w:lineRule="auto" w:before="69"/>
        <w:ind w:left="139" w:right="139"/>
      </w:pPr>
      <w:r>
        <w:rPr/>
        <w:t>3.-</w:t>
        <w:tab/>
        <w:t>Anuario</w:t>
        <w:tab/>
        <w:t>Estadístico</w:t>
        <w:tab/>
        <w:t>de</w:t>
        <w:tab/>
        <w:t>Acuacultura </w:t>
      </w:r>
      <w:r>
        <w:rPr>
          <w:spacing w:val="57"/>
        </w:rPr>
        <w:t> </w:t>
      </w:r>
      <w:r>
        <w:rPr/>
        <w:t>y</w:t>
        <w:tab/>
        <w:t>Pesca</w:t>
        <w:tab/>
        <w:t>Edición. </w:t>
      </w:r>
      <w:r>
        <w:rPr>
          <w:spacing w:val="61"/>
        </w:rPr>
        <w:t> </w:t>
      </w:r>
      <w:r>
        <w:rPr/>
        <w:t>(2013). </w:t>
      </w:r>
      <w:r>
        <w:rPr>
          <w:spacing w:val="61"/>
        </w:rPr>
        <w:t> </w:t>
      </w:r>
      <w:r>
        <w:rPr/>
        <w:t>México.</w:t>
      </w:r>
      <w:r>
        <w:rPr>
          <w:w w:val="100"/>
        </w:rPr>
        <w:t> </w:t>
      </w:r>
      <w:hyperlink r:id="rId53">
        <w:r>
          <w:rPr>
            <w:color w:val="0000FF"/>
            <w:u w:val="single" w:color="0000FF"/>
          </w:rPr>
          <w:t>http://www.conapesca.sagarpa.gob.mx</w:t>
        </w:r>
        <w:r>
          <w:rPr/>
          <w:t>.</w:t>
        </w:r>
      </w:hyperlink>
    </w:p>
    <w:p>
      <w:pPr>
        <w:pStyle w:val="BodyText"/>
        <w:spacing w:before="5"/>
        <w:rPr>
          <w:sz w:val="12"/>
        </w:rPr>
      </w:pPr>
    </w:p>
    <w:p>
      <w:pPr>
        <w:pStyle w:val="BodyText"/>
        <w:spacing w:line="276" w:lineRule="auto" w:before="69"/>
        <w:ind w:left="139" w:right="141"/>
        <w:jc w:val="both"/>
      </w:pPr>
      <w:r>
        <w:rPr/>
        <w:t>4.- Arkush KD, McBride AM, Mendonca HL, Okihiro MS, Andree KB, Marshall S, Henriquez V, Hedrick RP. (2005). Genetic characterization and experimental pathogenesis of </w:t>
      </w:r>
      <w:r>
        <w:rPr>
          <w:i/>
        </w:rPr>
        <w:t>Piscirickettsia salmonis </w:t>
      </w:r>
      <w:r>
        <w:rPr/>
        <w:t>isolated from white seabass Atractoscion nobilis. Dis Aquat Organ.; 63:139–149.</w:t>
      </w:r>
    </w:p>
    <w:p>
      <w:pPr>
        <w:pStyle w:val="BodyText"/>
        <w:spacing w:line="271" w:lineRule="auto" w:before="202"/>
        <w:ind w:left="139" w:right="143"/>
        <w:jc w:val="both"/>
      </w:pPr>
      <w:r>
        <w:rPr/>
        <w:t>5.- Avilés A. (2000). Cultivo de Peces Marinos. Cap. XV. Estado de Salud de la Acuacultura.</w:t>
      </w:r>
    </w:p>
    <w:p>
      <w:pPr>
        <w:pStyle w:val="BodyText"/>
        <w:spacing w:line="271" w:lineRule="auto" w:before="212"/>
        <w:ind w:left="139" w:right="134"/>
        <w:jc w:val="both"/>
      </w:pPr>
      <w:r>
        <w:rPr/>
        <w:t>6.- Awal A, Kuri AC, Sarker S. (2011). Effect of salinity on the oxygen consumption of tilapia fingerlings. Institute of Marine Sciences and Fisheries 41:15–16.</w:t>
      </w:r>
    </w:p>
    <w:p>
      <w:pPr>
        <w:pStyle w:val="BodyText"/>
        <w:spacing w:line="273" w:lineRule="auto" w:before="212"/>
        <w:ind w:left="139" w:right="135"/>
        <w:jc w:val="both"/>
      </w:pPr>
      <w:r>
        <w:rPr/>
        <w:t>7.- Barns, SM, Grow, CC, Okinaka, RT, Keim, P, Kuske, CR. (2005). Detection of diverse new </w:t>
      </w:r>
      <w:r>
        <w:rPr>
          <w:i/>
        </w:rPr>
        <w:t>Francisella</w:t>
      </w:r>
      <w:r>
        <w:rPr/>
        <w:t>-</w:t>
      </w:r>
      <w:r>
        <w:rPr>
          <w:i/>
        </w:rPr>
        <w:t>like </w:t>
      </w:r>
      <w:r>
        <w:rPr/>
        <w:t>bacteria in environmental samples. Appl Environ Microbiol.; 71:5494–5500.</w:t>
      </w:r>
    </w:p>
    <w:p>
      <w:pPr>
        <w:pStyle w:val="BodyText"/>
        <w:spacing w:line="273" w:lineRule="auto" w:before="209"/>
        <w:ind w:left="139" w:right="131"/>
        <w:jc w:val="both"/>
      </w:pPr>
      <w:r>
        <w:rPr/>
        <w:t>8.- Barry T, Colleran G, Glennon M, Dunican LK, Gannon F. (1991). The 16s/23s ribosomal spacer region as a target for DNA probes to identify eubacteria. PCR Methods Appl.; 1:51-56.</w:t>
      </w:r>
    </w:p>
    <w:p>
      <w:pPr>
        <w:pStyle w:val="BodyText"/>
        <w:spacing w:line="271" w:lineRule="auto" w:before="210"/>
        <w:ind w:left="139" w:right="140"/>
        <w:jc w:val="both"/>
      </w:pPr>
      <w:r>
        <w:rPr/>
        <w:t>9.-</w:t>
      </w:r>
      <w:r>
        <w:rPr>
          <w:spacing w:val="-15"/>
        </w:rPr>
        <w:t> </w:t>
      </w:r>
      <w:r>
        <w:rPr/>
        <w:t>Berrada</w:t>
      </w:r>
      <w:r>
        <w:rPr>
          <w:spacing w:val="-16"/>
        </w:rPr>
        <w:t> </w:t>
      </w:r>
      <w:r>
        <w:rPr/>
        <w:t>ZL,</w:t>
      </w:r>
      <w:r>
        <w:rPr>
          <w:spacing w:val="-16"/>
        </w:rPr>
        <w:t> </w:t>
      </w:r>
      <w:r>
        <w:rPr/>
        <w:t>Telford</w:t>
      </w:r>
      <w:r>
        <w:rPr>
          <w:spacing w:val="-16"/>
        </w:rPr>
        <w:t> </w:t>
      </w:r>
      <w:r>
        <w:rPr/>
        <w:t>SR.</w:t>
      </w:r>
      <w:r>
        <w:rPr>
          <w:spacing w:val="-16"/>
        </w:rPr>
        <w:t> </w:t>
      </w:r>
      <w:r>
        <w:rPr/>
        <w:t>(2010).</w:t>
      </w:r>
      <w:r>
        <w:rPr>
          <w:spacing w:val="-14"/>
        </w:rPr>
        <w:t> </w:t>
      </w:r>
      <w:r>
        <w:rPr/>
        <w:t>Diversity</w:t>
      </w:r>
      <w:r>
        <w:rPr>
          <w:spacing w:val="-16"/>
        </w:rPr>
        <w:t> </w:t>
      </w:r>
      <w:r>
        <w:rPr/>
        <w:t>of</w:t>
      </w:r>
      <w:r>
        <w:rPr>
          <w:spacing w:val="-19"/>
        </w:rPr>
        <w:t> </w:t>
      </w:r>
      <w:r>
        <w:rPr>
          <w:i/>
        </w:rPr>
        <w:t>Francisella</w:t>
      </w:r>
      <w:r>
        <w:rPr>
          <w:i/>
          <w:spacing w:val="-14"/>
        </w:rPr>
        <w:t> </w:t>
      </w:r>
      <w:r>
        <w:rPr/>
        <w:t>Species</w:t>
      </w:r>
      <w:r>
        <w:rPr>
          <w:spacing w:val="-21"/>
        </w:rPr>
        <w:t> </w:t>
      </w:r>
      <w:r>
        <w:rPr/>
        <w:t>in</w:t>
      </w:r>
      <w:r>
        <w:rPr>
          <w:spacing w:val="-16"/>
        </w:rPr>
        <w:t> </w:t>
      </w:r>
      <w:r>
        <w:rPr/>
        <w:t>Environmental Samples from Martha's Vineyard, Massachusetts. Microb Ecol.;</w:t>
      </w:r>
      <w:r>
        <w:rPr>
          <w:spacing w:val="-26"/>
        </w:rPr>
        <w:t> </w:t>
      </w:r>
      <w:r>
        <w:rPr/>
        <w:t>59:277–283.</w:t>
      </w:r>
    </w:p>
    <w:p>
      <w:pPr>
        <w:pStyle w:val="BodyText"/>
        <w:spacing w:line="273" w:lineRule="auto" w:before="212"/>
        <w:ind w:left="139" w:right="133"/>
        <w:jc w:val="both"/>
      </w:pPr>
      <w:r>
        <w:rPr/>
        <w:t>10.- Birkbeck TH, Bordevik M, Frøystad MK, Baklien A. (2007). Identification of </w:t>
      </w:r>
      <w:r>
        <w:rPr>
          <w:i/>
        </w:rPr>
        <w:t>Francisella </w:t>
      </w:r>
      <w:r>
        <w:rPr/>
        <w:t>sp. from Atlantic salmon, </w:t>
      </w:r>
      <w:r>
        <w:rPr>
          <w:i/>
        </w:rPr>
        <w:t>Salmo salar </w:t>
      </w:r>
      <w:r>
        <w:rPr/>
        <w:t>L., in Chile. J Fish Dis.; 30:505– 507.</w:t>
      </w:r>
    </w:p>
    <w:p>
      <w:pPr>
        <w:spacing w:after="0" w:line="273" w:lineRule="auto"/>
        <w:jc w:val="both"/>
        <w:sectPr>
          <w:pgSz w:w="12240" w:h="15840"/>
          <w:pgMar w:header="752" w:footer="998" w:top="1000" w:bottom="1180" w:left="1560" w:right="1560"/>
        </w:sectPr>
      </w:pPr>
    </w:p>
    <w:p>
      <w:pPr>
        <w:pStyle w:val="BodyText"/>
        <w:rPr>
          <w:sz w:val="29"/>
        </w:rPr>
      </w:pPr>
    </w:p>
    <w:p>
      <w:pPr>
        <w:pStyle w:val="BodyText"/>
        <w:spacing w:line="271" w:lineRule="auto" w:before="70"/>
        <w:ind w:left="139" w:right="136"/>
        <w:jc w:val="both"/>
      </w:pPr>
      <w:r>
        <w:rPr/>
        <w:t>11.- Birkbeck TH, Feist SW, Verner-Jeffreys DW. (2011). </w:t>
      </w:r>
      <w:r>
        <w:rPr>
          <w:i/>
        </w:rPr>
        <w:t>Francisella </w:t>
      </w:r>
      <w:r>
        <w:rPr/>
        <w:t>infections in fish and shellfish. J Fish Dis.; 34:173–187.</w:t>
      </w:r>
    </w:p>
    <w:p>
      <w:pPr>
        <w:pStyle w:val="BodyText"/>
        <w:spacing w:line="273" w:lineRule="auto" w:before="213"/>
        <w:ind w:left="139" w:right="133"/>
        <w:jc w:val="both"/>
      </w:pPr>
      <w:r>
        <w:rPr/>
        <w:t>12.- Bohle H, Tapia E, Martínez A, Rozas M, Figueroa A, Bustos P. (2009). </w:t>
      </w:r>
      <w:r>
        <w:rPr>
          <w:i/>
        </w:rPr>
        <w:t>Francisella philomiragia</w:t>
      </w:r>
      <w:r>
        <w:rPr/>
        <w:t>, a bacteria associated with high mortalities in Atlantic salmon (</w:t>
      </w:r>
      <w:r>
        <w:rPr>
          <w:i/>
        </w:rPr>
        <w:t>Salmo salar</w:t>
      </w:r>
      <w:r>
        <w:rPr/>
        <w:t>) cage-farmed in Llanquihue lake. Arch Med Vet.; 41:237–244.</w:t>
      </w:r>
    </w:p>
    <w:p>
      <w:pPr>
        <w:pStyle w:val="BodyText"/>
        <w:spacing w:line="273" w:lineRule="auto" w:before="209"/>
        <w:ind w:left="139" w:right="135"/>
        <w:jc w:val="both"/>
      </w:pPr>
      <w:r>
        <w:rPr/>
        <w:t>13.- Caipang CMA, Kulkarni A, Brinchmann MF, Korsnes K, Kiron K.(2010). Detection of </w:t>
      </w:r>
      <w:r>
        <w:rPr>
          <w:i/>
        </w:rPr>
        <w:t>Francisella piscicida </w:t>
      </w:r>
      <w:r>
        <w:rPr/>
        <w:t>in Atlantic cod (</w:t>
      </w:r>
      <w:r>
        <w:rPr>
          <w:i/>
        </w:rPr>
        <w:t>Gadus morhua L</w:t>
      </w:r>
      <w:r>
        <w:rPr/>
        <w:t>) by the loopmediated isothermal amplification (LAMP) reaction. J Vet.; 184:357-336.</w:t>
      </w:r>
    </w:p>
    <w:p>
      <w:pPr>
        <w:pStyle w:val="BodyText"/>
        <w:spacing w:line="271" w:lineRule="auto" w:before="209"/>
        <w:ind w:left="139" w:right="136"/>
        <w:jc w:val="both"/>
      </w:pPr>
      <w:r>
        <w:rPr/>
        <w:t>14.- Chen SC, Lee JL, Lai CC, Gu YW, Wang CT, Chang HY, Tsai KH. (2001). Nocardiosis in seabass </w:t>
      </w:r>
      <w:r>
        <w:rPr>
          <w:i/>
        </w:rPr>
        <w:t>Lateolabrax japonicus</w:t>
      </w:r>
      <w:r>
        <w:rPr/>
        <w:t>, in Taiwan. J Fish Dis.; 23:299–307.</w:t>
      </w:r>
    </w:p>
    <w:p>
      <w:pPr>
        <w:pStyle w:val="BodyText"/>
        <w:spacing w:line="273" w:lineRule="auto" w:before="212"/>
        <w:ind w:left="139" w:right="139"/>
        <w:jc w:val="both"/>
      </w:pPr>
      <w:r>
        <w:rPr/>
        <w:t>15.-</w:t>
      </w:r>
      <w:r>
        <w:rPr>
          <w:spacing w:val="-4"/>
        </w:rPr>
        <w:t> </w:t>
      </w:r>
      <w:r>
        <w:rPr/>
        <w:t>Chen</w:t>
      </w:r>
      <w:r>
        <w:rPr>
          <w:spacing w:val="-5"/>
        </w:rPr>
        <w:t> </w:t>
      </w:r>
      <w:r>
        <w:rPr/>
        <w:t>SC,</w:t>
      </w:r>
      <w:r>
        <w:rPr>
          <w:spacing w:val="-6"/>
        </w:rPr>
        <w:t> </w:t>
      </w:r>
      <w:r>
        <w:rPr/>
        <w:t>Tung</w:t>
      </w:r>
      <w:r>
        <w:rPr>
          <w:spacing w:val="-5"/>
        </w:rPr>
        <w:t> </w:t>
      </w:r>
      <w:r>
        <w:rPr/>
        <w:t>MC,</w:t>
      </w:r>
      <w:r>
        <w:rPr>
          <w:spacing w:val="-3"/>
        </w:rPr>
        <w:t> </w:t>
      </w:r>
      <w:r>
        <w:rPr/>
        <w:t>Chen</w:t>
      </w:r>
      <w:r>
        <w:rPr>
          <w:spacing w:val="-5"/>
        </w:rPr>
        <w:t> </w:t>
      </w:r>
      <w:r>
        <w:rPr/>
        <w:t>SP,</w:t>
      </w:r>
      <w:r>
        <w:rPr>
          <w:spacing w:val="-5"/>
        </w:rPr>
        <w:t> </w:t>
      </w:r>
      <w:r>
        <w:rPr/>
        <w:t>Tsai</w:t>
      </w:r>
      <w:r>
        <w:rPr>
          <w:spacing w:val="-2"/>
        </w:rPr>
        <w:t> </w:t>
      </w:r>
      <w:r>
        <w:rPr/>
        <w:t>JF,</w:t>
      </w:r>
      <w:r>
        <w:rPr>
          <w:spacing w:val="-10"/>
        </w:rPr>
        <w:t> </w:t>
      </w:r>
      <w:r>
        <w:rPr/>
        <w:t>Wang</w:t>
      </w:r>
      <w:r>
        <w:rPr>
          <w:spacing w:val="-5"/>
        </w:rPr>
        <w:t> </w:t>
      </w:r>
      <w:r>
        <w:rPr/>
        <w:t>PC,</w:t>
      </w:r>
      <w:r>
        <w:rPr>
          <w:spacing w:val="-6"/>
        </w:rPr>
        <w:t> </w:t>
      </w:r>
      <w:r>
        <w:rPr/>
        <w:t>Chen</w:t>
      </w:r>
      <w:r>
        <w:rPr>
          <w:spacing w:val="-5"/>
        </w:rPr>
        <w:t> </w:t>
      </w:r>
      <w:r>
        <w:rPr/>
        <w:t>RS,</w:t>
      </w:r>
      <w:r>
        <w:rPr>
          <w:spacing w:val="-5"/>
        </w:rPr>
        <w:t> </w:t>
      </w:r>
      <w:r>
        <w:rPr/>
        <w:t>Lin</w:t>
      </w:r>
      <w:r>
        <w:rPr>
          <w:spacing w:val="-5"/>
        </w:rPr>
        <w:t> </w:t>
      </w:r>
      <w:r>
        <w:rPr/>
        <w:t>SC,</w:t>
      </w:r>
      <w:r>
        <w:rPr>
          <w:spacing w:val="-6"/>
        </w:rPr>
        <w:t> </w:t>
      </w:r>
      <w:r>
        <w:rPr/>
        <w:t>Adams</w:t>
      </w:r>
      <w:r>
        <w:rPr>
          <w:spacing w:val="-1"/>
        </w:rPr>
        <w:t> </w:t>
      </w:r>
      <w:r>
        <w:rPr/>
        <w:t>A. (1994), Systemic granulomas caused by a rickettsia-like organism in Nile tilapia, </w:t>
      </w:r>
      <w:r>
        <w:rPr>
          <w:i/>
        </w:rPr>
        <w:t>Oreochromis niloticus </w:t>
      </w:r>
      <w:r>
        <w:rPr/>
        <w:t>(L.), from southern Taiwan. J Fish Dis.;</w:t>
      </w:r>
      <w:r>
        <w:rPr>
          <w:spacing w:val="-21"/>
        </w:rPr>
        <w:t> </w:t>
      </w:r>
      <w:r>
        <w:rPr/>
        <w:t>17:591–599.</w:t>
      </w:r>
    </w:p>
    <w:p>
      <w:pPr>
        <w:spacing w:line="273" w:lineRule="auto" w:before="209"/>
        <w:ind w:left="139" w:right="131" w:firstLine="0"/>
        <w:jc w:val="both"/>
        <w:rPr>
          <w:sz w:val="24"/>
        </w:rPr>
      </w:pPr>
      <w:r>
        <w:rPr>
          <w:sz w:val="24"/>
        </w:rPr>
        <w:t>16.- Chen SC, Wang PC, Tung MC, Thompson KD, Adams A. (2000). A </w:t>
      </w:r>
      <w:r>
        <w:rPr>
          <w:i/>
          <w:sz w:val="24"/>
        </w:rPr>
        <w:t>Piscirickettsia salmonis</w:t>
      </w:r>
      <w:r>
        <w:rPr>
          <w:sz w:val="24"/>
        </w:rPr>
        <w:t>-</w:t>
      </w:r>
      <w:r>
        <w:rPr>
          <w:i/>
          <w:sz w:val="24"/>
        </w:rPr>
        <w:t>like </w:t>
      </w:r>
      <w:r>
        <w:rPr>
          <w:sz w:val="24"/>
        </w:rPr>
        <w:t>organism in grouper, </w:t>
      </w:r>
      <w:r>
        <w:rPr>
          <w:i/>
          <w:sz w:val="24"/>
        </w:rPr>
        <w:t>Epinephelus melanostigma</w:t>
      </w:r>
      <w:r>
        <w:rPr>
          <w:sz w:val="24"/>
        </w:rPr>
        <w:t>, in Taiwan. J Fish Dis.; 23:415–418.</w:t>
      </w:r>
    </w:p>
    <w:p>
      <w:pPr>
        <w:pStyle w:val="BodyText"/>
        <w:spacing w:before="210"/>
        <w:ind w:left="139"/>
        <w:jc w:val="both"/>
        <w:rPr>
          <w:i/>
        </w:rPr>
      </w:pPr>
      <w:r>
        <w:rPr/>
        <w:t>17.- Chern RS, Chao CB. (1994). Outbreaks of a disease caused by a </w:t>
      </w:r>
      <w:r>
        <w:rPr>
          <w:i/>
        </w:rPr>
        <w:t>rickettsia-like</w:t>
      </w:r>
    </w:p>
    <w:p>
      <w:pPr>
        <w:pStyle w:val="BodyText"/>
        <w:spacing w:before="36"/>
        <w:ind w:left="139"/>
        <w:jc w:val="both"/>
      </w:pPr>
      <w:r>
        <w:rPr/>
        <w:t>organism in cultured tilapias in Taiwan</w:t>
      </w:r>
      <w:r>
        <w:rPr>
          <w:color w:val="FF0000"/>
        </w:rPr>
        <w:t>. </w:t>
      </w:r>
      <w:r>
        <w:rPr/>
        <w:t>Fish Pathology; 29:61–71.</w:t>
      </w:r>
    </w:p>
    <w:p>
      <w:pPr>
        <w:pStyle w:val="BodyText"/>
        <w:spacing w:before="5"/>
        <w:rPr>
          <w:sz w:val="21"/>
        </w:rPr>
      </w:pPr>
    </w:p>
    <w:p>
      <w:pPr>
        <w:pStyle w:val="BodyText"/>
        <w:spacing w:line="271" w:lineRule="auto"/>
        <w:ind w:left="139" w:right="139"/>
        <w:jc w:val="both"/>
      </w:pPr>
      <w:r>
        <w:rPr/>
        <w:t>18.- Colquhoun DJ, Duodu S. (2011) </w:t>
      </w:r>
      <w:r>
        <w:rPr>
          <w:i/>
        </w:rPr>
        <w:t>Francisella </w:t>
      </w:r>
      <w:r>
        <w:rPr/>
        <w:t>infections in farmed and wild aquatic organisms.  Vet Res.;</w:t>
      </w:r>
      <w:r>
        <w:rPr>
          <w:spacing w:val="58"/>
        </w:rPr>
        <w:t> </w:t>
      </w:r>
      <w:r>
        <w:rPr/>
        <w:t>42(1):47.</w:t>
      </w:r>
    </w:p>
    <w:p>
      <w:pPr>
        <w:pStyle w:val="BodyText"/>
        <w:spacing w:line="271" w:lineRule="auto" w:before="212"/>
        <w:ind w:left="139" w:right="136"/>
        <w:jc w:val="both"/>
      </w:pPr>
      <w:r>
        <w:rPr/>
        <w:t>19.- El estado actual de la acuicultura en México y perfiles de nutrición y alimentación. FAO.</w:t>
      </w:r>
    </w:p>
    <w:p>
      <w:pPr>
        <w:pStyle w:val="BodyText"/>
        <w:spacing w:line="273" w:lineRule="auto" w:before="212"/>
        <w:ind w:left="139" w:right="135"/>
        <w:jc w:val="both"/>
      </w:pPr>
      <w:r>
        <w:rPr/>
        <w:t>20.-</w:t>
      </w:r>
      <w:r>
        <w:rPr>
          <w:spacing w:val="-5"/>
        </w:rPr>
        <w:t> </w:t>
      </w:r>
      <w:r>
        <w:rPr/>
        <w:t>El</w:t>
      </w:r>
      <w:r>
        <w:rPr>
          <w:spacing w:val="-7"/>
        </w:rPr>
        <w:t> </w:t>
      </w:r>
      <w:r>
        <w:rPr/>
        <w:t>estado</w:t>
      </w:r>
      <w:r>
        <w:rPr>
          <w:spacing w:val="-11"/>
        </w:rPr>
        <w:t> </w:t>
      </w:r>
      <w:r>
        <w:rPr/>
        <w:t>mundial</w:t>
      </w:r>
      <w:r>
        <w:rPr>
          <w:spacing w:val="-7"/>
        </w:rPr>
        <w:t> </w:t>
      </w:r>
      <w:r>
        <w:rPr/>
        <w:t>de</w:t>
      </w:r>
      <w:r>
        <w:rPr>
          <w:spacing w:val="-11"/>
        </w:rPr>
        <w:t> </w:t>
      </w:r>
      <w:r>
        <w:rPr/>
        <w:t>la</w:t>
      </w:r>
      <w:r>
        <w:rPr>
          <w:spacing w:val="-6"/>
        </w:rPr>
        <w:t> </w:t>
      </w:r>
      <w:r>
        <w:rPr/>
        <w:t>pesca</w:t>
      </w:r>
      <w:r>
        <w:rPr>
          <w:spacing w:val="-6"/>
        </w:rPr>
        <w:t> </w:t>
      </w:r>
      <w:r>
        <w:rPr/>
        <w:t>y</w:t>
      </w:r>
      <w:r>
        <w:rPr>
          <w:spacing w:val="-12"/>
        </w:rPr>
        <w:t> </w:t>
      </w:r>
      <w:r>
        <w:rPr/>
        <w:t>la</w:t>
      </w:r>
      <w:r>
        <w:rPr>
          <w:spacing w:val="-6"/>
        </w:rPr>
        <w:t> </w:t>
      </w:r>
      <w:r>
        <w:rPr/>
        <w:t>acuicultura.</w:t>
      </w:r>
      <w:r>
        <w:rPr>
          <w:spacing w:val="-6"/>
        </w:rPr>
        <w:t> </w:t>
      </w:r>
      <w:r>
        <w:rPr/>
        <w:t>(2012).</w:t>
      </w:r>
      <w:r>
        <w:rPr>
          <w:spacing w:val="-6"/>
        </w:rPr>
        <w:t> </w:t>
      </w:r>
      <w:r>
        <w:rPr/>
        <w:t>Departamento</w:t>
      </w:r>
      <w:r>
        <w:rPr>
          <w:spacing w:val="-6"/>
        </w:rPr>
        <w:t> </w:t>
      </w:r>
      <w:r>
        <w:rPr/>
        <w:t>de</w:t>
      </w:r>
      <w:r>
        <w:rPr>
          <w:spacing w:val="-6"/>
        </w:rPr>
        <w:t> </w:t>
      </w:r>
      <w:r>
        <w:rPr/>
        <w:t>Pesca y Acuicultura de la FAO; Organización de las Naciones Unidas ONU para la Alimentación y la Agricultura,</w:t>
      </w:r>
      <w:r>
        <w:rPr>
          <w:spacing w:val="-6"/>
        </w:rPr>
        <w:t> </w:t>
      </w:r>
      <w:r>
        <w:rPr>
          <w:spacing w:val="-3"/>
        </w:rPr>
        <w:t>Roma.</w:t>
      </w:r>
    </w:p>
    <w:p>
      <w:pPr>
        <w:pStyle w:val="BodyText"/>
        <w:spacing w:line="271" w:lineRule="auto" w:before="209"/>
        <w:ind w:left="139" w:right="137"/>
        <w:jc w:val="both"/>
      </w:pPr>
      <w:r>
        <w:rPr/>
        <w:t>21.- Fitzsimmons K. (2000). Tilapia aquaculture in México. The World Aquaculture Society; 2:171-183.</w:t>
      </w:r>
    </w:p>
    <w:p>
      <w:pPr>
        <w:pStyle w:val="BodyText"/>
        <w:spacing w:line="273" w:lineRule="auto" w:before="212"/>
        <w:ind w:left="139" w:right="135"/>
        <w:jc w:val="both"/>
      </w:pPr>
      <w:r>
        <w:rPr/>
        <w:t>22.- Forsman M, Sandström G, Sjöstedt A. (1994). Analysis of 16S ribosomal DNA sequences</w:t>
      </w:r>
      <w:r>
        <w:rPr>
          <w:spacing w:val="-13"/>
        </w:rPr>
        <w:t> </w:t>
      </w:r>
      <w:r>
        <w:rPr/>
        <w:t>of</w:t>
      </w:r>
      <w:r>
        <w:rPr>
          <w:spacing w:val="-9"/>
        </w:rPr>
        <w:t> </w:t>
      </w:r>
      <w:r>
        <w:rPr>
          <w:i/>
        </w:rPr>
        <w:t>Francisella</w:t>
      </w:r>
      <w:r>
        <w:rPr>
          <w:i/>
          <w:spacing w:val="-10"/>
        </w:rPr>
        <w:t> </w:t>
      </w:r>
      <w:r>
        <w:rPr/>
        <w:t>strains</w:t>
      </w:r>
      <w:r>
        <w:rPr>
          <w:spacing w:val="-13"/>
        </w:rPr>
        <w:t> </w:t>
      </w:r>
      <w:r>
        <w:rPr/>
        <w:t>and</w:t>
      </w:r>
      <w:r>
        <w:rPr>
          <w:spacing w:val="-12"/>
        </w:rPr>
        <w:t> </w:t>
      </w:r>
      <w:r>
        <w:rPr/>
        <w:t>utilization</w:t>
      </w:r>
      <w:r>
        <w:rPr>
          <w:spacing w:val="-12"/>
        </w:rPr>
        <w:t> </w:t>
      </w:r>
      <w:r>
        <w:rPr/>
        <w:t>for</w:t>
      </w:r>
      <w:r>
        <w:rPr>
          <w:spacing w:val="-11"/>
        </w:rPr>
        <w:t> </w:t>
      </w:r>
      <w:r>
        <w:rPr/>
        <w:t>determination</w:t>
      </w:r>
      <w:r>
        <w:rPr>
          <w:spacing w:val="-12"/>
        </w:rPr>
        <w:t> </w:t>
      </w:r>
      <w:r>
        <w:rPr/>
        <w:t>of</w:t>
      </w:r>
      <w:r>
        <w:rPr>
          <w:spacing w:val="-12"/>
        </w:rPr>
        <w:t> </w:t>
      </w:r>
      <w:r>
        <w:rPr/>
        <w:t>the</w:t>
      </w:r>
      <w:r>
        <w:rPr>
          <w:spacing w:val="-12"/>
        </w:rPr>
        <w:t> </w:t>
      </w:r>
      <w:r>
        <w:rPr/>
        <w:t>phylogeny</w:t>
      </w:r>
      <w:r>
        <w:rPr>
          <w:spacing w:val="-13"/>
        </w:rPr>
        <w:t> </w:t>
      </w:r>
      <w:r>
        <w:rPr/>
        <w:t>of the genus and for identification of strains by PCR. Int. J. Syst. Bacteriol.;</w:t>
      </w:r>
      <w:r>
        <w:rPr>
          <w:spacing w:val="-19"/>
        </w:rPr>
        <w:t> </w:t>
      </w:r>
      <w:r>
        <w:rPr/>
        <w:t>44:38–46.</w:t>
      </w:r>
    </w:p>
    <w:p>
      <w:pPr>
        <w:pStyle w:val="BodyText"/>
        <w:spacing w:line="273" w:lineRule="auto" w:before="209"/>
        <w:ind w:left="139" w:right="135"/>
        <w:jc w:val="both"/>
      </w:pPr>
      <w:r>
        <w:rPr/>
        <w:t>23.- Friis-Moller AL, Lemming E, Valerius NH, Bruun B. (2004). Problems in identification</w:t>
      </w:r>
      <w:r>
        <w:rPr>
          <w:spacing w:val="-12"/>
        </w:rPr>
        <w:t> </w:t>
      </w:r>
      <w:r>
        <w:rPr/>
        <w:t>of</w:t>
      </w:r>
      <w:r>
        <w:rPr>
          <w:spacing w:val="-9"/>
        </w:rPr>
        <w:t> </w:t>
      </w:r>
      <w:r>
        <w:rPr>
          <w:i/>
        </w:rPr>
        <w:t>Francisella</w:t>
      </w:r>
      <w:r>
        <w:rPr>
          <w:i/>
          <w:spacing w:val="-12"/>
        </w:rPr>
        <w:t> </w:t>
      </w:r>
      <w:r>
        <w:rPr>
          <w:i/>
        </w:rPr>
        <w:t>philomiragia</w:t>
      </w:r>
      <w:r>
        <w:rPr>
          <w:i/>
          <w:spacing w:val="-8"/>
        </w:rPr>
        <w:t> </w:t>
      </w:r>
      <w:r>
        <w:rPr/>
        <w:t>associated</w:t>
      </w:r>
      <w:r>
        <w:rPr>
          <w:spacing w:val="-12"/>
        </w:rPr>
        <w:t> </w:t>
      </w:r>
      <w:r>
        <w:rPr/>
        <w:t>with</w:t>
      </w:r>
      <w:r>
        <w:rPr>
          <w:spacing w:val="-11"/>
        </w:rPr>
        <w:t> </w:t>
      </w:r>
      <w:r>
        <w:rPr/>
        <w:t>fatal</w:t>
      </w:r>
      <w:r>
        <w:rPr>
          <w:spacing w:val="-8"/>
        </w:rPr>
        <w:t> </w:t>
      </w:r>
      <w:r>
        <w:rPr/>
        <w:t>bacteremia</w:t>
      </w:r>
      <w:r>
        <w:rPr>
          <w:spacing w:val="-12"/>
        </w:rPr>
        <w:t> </w:t>
      </w:r>
      <w:r>
        <w:rPr/>
        <w:t>in</w:t>
      </w:r>
      <w:r>
        <w:rPr>
          <w:spacing w:val="-12"/>
        </w:rPr>
        <w:t> </w:t>
      </w:r>
      <w:r>
        <w:rPr/>
        <w:t>a</w:t>
      </w:r>
      <w:r>
        <w:rPr>
          <w:spacing w:val="-12"/>
        </w:rPr>
        <w:t> </w:t>
      </w:r>
      <w:r>
        <w:rPr/>
        <w:t>patient with chronic granulomatous disease. J Clin Microbiol.;</w:t>
      </w:r>
      <w:r>
        <w:rPr>
          <w:spacing w:val="-16"/>
        </w:rPr>
        <w:t> </w:t>
      </w:r>
      <w:r>
        <w:rPr/>
        <w:t>42:1840–1842.</w:t>
      </w:r>
    </w:p>
    <w:p>
      <w:pPr>
        <w:spacing w:after="0" w:line="273" w:lineRule="auto"/>
        <w:jc w:val="both"/>
        <w:sectPr>
          <w:pgSz w:w="12240" w:h="15840"/>
          <w:pgMar w:header="752" w:footer="998" w:top="1000" w:bottom="1180" w:left="1560" w:right="1560"/>
        </w:sectPr>
      </w:pPr>
    </w:p>
    <w:p>
      <w:pPr>
        <w:pStyle w:val="BodyText"/>
        <w:rPr>
          <w:sz w:val="29"/>
        </w:rPr>
      </w:pPr>
    </w:p>
    <w:p>
      <w:pPr>
        <w:pStyle w:val="BodyText"/>
        <w:spacing w:line="273" w:lineRule="auto" w:before="70"/>
        <w:ind w:left="139" w:right="137"/>
        <w:jc w:val="both"/>
      </w:pPr>
      <w:r>
        <w:rPr/>
        <w:t>24.- Fukuda Y, Okamura A, Nishiyama M, Kawakami H, Kamaishi T, Yoshinga T. (2002). Granulomatosis of cultured three-line grunt </w:t>
      </w:r>
      <w:r>
        <w:rPr>
          <w:i/>
        </w:rPr>
        <w:t>Parapristipoma trilineatum </w:t>
      </w:r>
      <w:r>
        <w:rPr/>
        <w:t>caused by an intracellular bacterium. Fish Pathol.; 37:119–124.</w:t>
      </w:r>
    </w:p>
    <w:p>
      <w:pPr>
        <w:pStyle w:val="BodyText"/>
        <w:spacing w:line="271" w:lineRule="auto" w:before="210"/>
        <w:ind w:left="139" w:right="142"/>
        <w:jc w:val="both"/>
      </w:pPr>
      <w:r>
        <w:rPr/>
        <w:t>25.- Gleen JS, Post KW. (2005). Veterinary Microbiology Bacterial and Fungal Agents Of Animal Disease. USA, Elsevier Saunders.; 209-213.</w:t>
      </w:r>
    </w:p>
    <w:p>
      <w:pPr>
        <w:pStyle w:val="BodyText"/>
        <w:spacing w:line="271" w:lineRule="auto" w:before="207"/>
        <w:ind w:left="139" w:right="135"/>
        <w:jc w:val="both"/>
      </w:pPr>
      <w:r>
        <w:rPr/>
        <w:t>26.- Hirsh DC, James NM, Walker RL. (2004). Veterinary Microbiology</w:t>
      </w:r>
      <w:r>
        <w:rPr>
          <w:color w:val="FF0000"/>
        </w:rPr>
        <w:t>. </w:t>
      </w:r>
      <w:r>
        <w:rPr/>
        <w:t>2</w:t>
      </w:r>
      <w:r>
        <w:rPr>
          <w:position w:val="8"/>
          <w:sz w:val="16"/>
        </w:rPr>
        <w:t>nd</w:t>
      </w:r>
      <w:r>
        <w:rPr/>
        <w:t>. Edition, USA, Blackwell Publishing.; 117-118.</w:t>
      </w:r>
    </w:p>
    <w:p>
      <w:pPr>
        <w:pStyle w:val="BodyText"/>
        <w:spacing w:line="271" w:lineRule="auto" w:before="212"/>
        <w:ind w:left="139" w:right="140"/>
        <w:jc w:val="both"/>
      </w:pPr>
      <w:r>
        <w:rPr/>
        <w:t>27.- Holm JA. (2009). Cod with Francisellosis and/or atypical Furunculosis (In Norwegian). Norsk fiskeoppdrett; 3:68–70.</w:t>
      </w:r>
    </w:p>
    <w:p>
      <w:pPr>
        <w:pStyle w:val="BodyText"/>
        <w:spacing w:line="273" w:lineRule="auto" w:before="212"/>
        <w:ind w:left="139" w:right="139"/>
        <w:jc w:val="both"/>
      </w:pPr>
      <w:r>
        <w:rPr/>
        <w:t>28.- Hsieh CY, Tung MC, C, Chang CD, Tsai SS. (2006). Enzootics of visceral granulomas associated with </w:t>
      </w:r>
      <w:r>
        <w:rPr>
          <w:i/>
        </w:rPr>
        <w:t>Francisella-like </w:t>
      </w:r>
      <w:r>
        <w:rPr/>
        <w:t>organism infection in tilapia (</w:t>
      </w:r>
      <w:r>
        <w:rPr>
          <w:i/>
        </w:rPr>
        <w:t>Oreochromis </w:t>
      </w:r>
      <w:r>
        <w:rPr/>
        <w:t>spp.) Aquaculture.; 254:129–138.</w:t>
      </w:r>
    </w:p>
    <w:p>
      <w:pPr>
        <w:pStyle w:val="BodyText"/>
        <w:spacing w:line="273" w:lineRule="auto" w:before="209"/>
        <w:ind w:left="139" w:right="136"/>
        <w:jc w:val="both"/>
      </w:pPr>
      <w:r>
        <w:rPr/>
        <w:t>29.- Hsieh CY, Wu ZB, Tung MC, Tsai SS. (2007). PCR and </w:t>
      </w:r>
      <w:r>
        <w:rPr>
          <w:i/>
        </w:rPr>
        <w:t>in situ </w:t>
      </w:r>
      <w:r>
        <w:rPr/>
        <w:t>hybridization for the detection and localization of a new pathogen </w:t>
      </w:r>
      <w:r>
        <w:rPr>
          <w:i/>
        </w:rPr>
        <w:t>Francisella-like </w:t>
      </w:r>
      <w:r>
        <w:rPr/>
        <w:t>bacterium (FLB) in ornamental cichlids. Dis Aquat Organ.; 75:29–36.</w:t>
      </w:r>
    </w:p>
    <w:p>
      <w:pPr>
        <w:spacing w:line="276" w:lineRule="auto" w:before="210"/>
        <w:ind w:left="139" w:right="133" w:firstLine="0"/>
        <w:jc w:val="both"/>
        <w:rPr>
          <w:sz w:val="24"/>
        </w:rPr>
      </w:pPr>
      <w:r>
        <w:rPr>
          <w:sz w:val="24"/>
        </w:rPr>
        <w:t>30.- Huber B, Escudero R, Busse HJ, Seibold E, Scholz HC, Anda P, Kämpfer P, Splettstoesser</w:t>
      </w:r>
      <w:r>
        <w:rPr>
          <w:spacing w:val="-21"/>
          <w:sz w:val="24"/>
        </w:rPr>
        <w:t> </w:t>
      </w:r>
      <w:r>
        <w:rPr>
          <w:spacing w:val="2"/>
          <w:sz w:val="24"/>
        </w:rPr>
        <w:t>WD.</w:t>
      </w:r>
      <w:r>
        <w:rPr>
          <w:spacing w:val="-8"/>
          <w:sz w:val="24"/>
        </w:rPr>
        <w:t> </w:t>
      </w:r>
      <w:r>
        <w:rPr>
          <w:sz w:val="24"/>
        </w:rPr>
        <w:t>(2010).</w:t>
      </w:r>
      <w:r>
        <w:rPr>
          <w:spacing w:val="-5"/>
          <w:sz w:val="24"/>
        </w:rPr>
        <w:t> </w:t>
      </w:r>
      <w:r>
        <w:rPr>
          <w:sz w:val="24"/>
        </w:rPr>
        <w:t>Description</w:t>
      </w:r>
      <w:r>
        <w:rPr>
          <w:spacing w:val="-13"/>
          <w:sz w:val="24"/>
        </w:rPr>
        <w:t> </w:t>
      </w:r>
      <w:r>
        <w:rPr>
          <w:sz w:val="24"/>
        </w:rPr>
        <w:t>of</w:t>
      </w:r>
      <w:r>
        <w:rPr>
          <w:spacing w:val="-12"/>
          <w:sz w:val="24"/>
        </w:rPr>
        <w:t> </w:t>
      </w:r>
      <w:r>
        <w:rPr>
          <w:i/>
          <w:sz w:val="24"/>
        </w:rPr>
        <w:t>Francisella</w:t>
      </w:r>
      <w:r>
        <w:rPr>
          <w:i/>
          <w:spacing w:val="-8"/>
          <w:sz w:val="24"/>
        </w:rPr>
        <w:t> </w:t>
      </w:r>
      <w:r>
        <w:rPr>
          <w:i/>
          <w:sz w:val="24"/>
        </w:rPr>
        <w:t>hispaniensis</w:t>
      </w:r>
      <w:r>
        <w:rPr>
          <w:i/>
          <w:spacing w:val="-6"/>
          <w:sz w:val="24"/>
        </w:rPr>
        <w:t> </w:t>
      </w:r>
      <w:r>
        <w:rPr>
          <w:sz w:val="24"/>
        </w:rPr>
        <w:t>sp.</w:t>
      </w:r>
      <w:r>
        <w:rPr>
          <w:spacing w:val="-8"/>
          <w:sz w:val="24"/>
        </w:rPr>
        <w:t> </w:t>
      </w:r>
      <w:r>
        <w:rPr>
          <w:i/>
          <w:sz w:val="24"/>
        </w:rPr>
        <w:t>nov</w:t>
      </w:r>
      <w:r>
        <w:rPr>
          <w:sz w:val="24"/>
        </w:rPr>
        <w:t>.,</w:t>
      </w:r>
      <w:r>
        <w:rPr>
          <w:spacing w:val="-13"/>
          <w:sz w:val="24"/>
        </w:rPr>
        <w:t> </w:t>
      </w:r>
      <w:r>
        <w:rPr>
          <w:sz w:val="24"/>
        </w:rPr>
        <w:t>isolated from human blood, reclassification of </w:t>
      </w:r>
      <w:r>
        <w:rPr>
          <w:i/>
          <w:sz w:val="24"/>
        </w:rPr>
        <w:t>Francisella novicida </w:t>
      </w:r>
      <w:r>
        <w:rPr>
          <w:sz w:val="24"/>
        </w:rPr>
        <w:t>(Larson et al. 1995) Olsufiev et al. 1959 as </w:t>
      </w:r>
      <w:r>
        <w:rPr>
          <w:i/>
          <w:sz w:val="24"/>
        </w:rPr>
        <w:t>Francisella tularensis </w:t>
      </w:r>
      <w:r>
        <w:rPr>
          <w:sz w:val="24"/>
        </w:rPr>
        <w:t>subsp. </w:t>
      </w:r>
      <w:r>
        <w:rPr>
          <w:i/>
          <w:sz w:val="24"/>
        </w:rPr>
        <w:t>novicida </w:t>
      </w:r>
      <w:r>
        <w:rPr>
          <w:sz w:val="24"/>
        </w:rPr>
        <w:t>comb. nov. and emended description of the genus </w:t>
      </w:r>
      <w:r>
        <w:rPr>
          <w:i/>
          <w:sz w:val="24"/>
        </w:rPr>
        <w:t>Francisella</w:t>
      </w:r>
      <w:r>
        <w:rPr>
          <w:sz w:val="24"/>
        </w:rPr>
        <w:t>. Int J Syst Evol Microbiol.; 60:1887– 1896.</w:t>
      </w:r>
    </w:p>
    <w:p>
      <w:pPr>
        <w:pStyle w:val="BodyText"/>
        <w:spacing w:line="276" w:lineRule="auto" w:before="202"/>
        <w:ind w:left="139" w:right="135"/>
        <w:jc w:val="both"/>
      </w:pPr>
      <w:r>
        <w:rPr/>
        <w:t>31.-Hurtado N. (2001). Tilapia: La alternativa social y económica del tercer milenio. </w:t>
      </w:r>
      <w:hyperlink r:id="rId54">
        <w:r>
          <w:rPr>
            <w:color w:val="0000FF"/>
            <w:u w:val="single" w:color="0000FF"/>
          </w:rPr>
          <w:t>http://www.revistaaquatic.com/documentos/docs/nh_tilapia3milenio</w:t>
        </w:r>
      </w:hyperlink>
      <w:r>
        <w:rPr/>
        <w:t>. Pdf. (5 de Noviembre de 2014).</w:t>
      </w:r>
    </w:p>
    <w:p>
      <w:pPr>
        <w:pStyle w:val="BodyText"/>
        <w:spacing w:line="276" w:lineRule="auto" w:before="202"/>
        <w:ind w:left="139" w:right="136"/>
        <w:jc w:val="both"/>
      </w:pPr>
      <w:r>
        <w:rPr/>
        <w:t>32.- Jeffery KR, Stone D, Feist SW, Verner-Jeffreys DW. (2010). An outbreak of disease caused by </w:t>
      </w:r>
      <w:r>
        <w:rPr>
          <w:i/>
        </w:rPr>
        <w:t>Francisella </w:t>
      </w:r>
      <w:r>
        <w:rPr/>
        <w:t>sp. in Nile tilapia </w:t>
      </w:r>
      <w:r>
        <w:rPr>
          <w:i/>
        </w:rPr>
        <w:t>Oreochromis niloticus </w:t>
      </w:r>
      <w:r>
        <w:rPr/>
        <w:t>at a recirculation fish farm in the UK. Dis Aquat Organ.; 91:161–165.</w:t>
      </w:r>
    </w:p>
    <w:p>
      <w:pPr>
        <w:pStyle w:val="BodyText"/>
        <w:spacing w:line="276" w:lineRule="auto" w:before="202"/>
        <w:ind w:left="139" w:right="136"/>
        <w:jc w:val="both"/>
      </w:pPr>
      <w:r>
        <w:rPr/>
        <w:t>33.- Kamaishi T, Fukuda Y, Nishiyama M, Kawakami M, Matsuyama T, Yoshinaga T, Oseko N. (2005), Identification and pathogenicity of intracellular </w:t>
      </w:r>
      <w:r>
        <w:rPr>
          <w:i/>
        </w:rPr>
        <w:t>Francisella </w:t>
      </w:r>
      <w:r>
        <w:rPr/>
        <w:t>bacterium in three-line grunt </w:t>
      </w:r>
      <w:r>
        <w:rPr>
          <w:i/>
        </w:rPr>
        <w:t>Parapristipoma trilineatum</w:t>
      </w:r>
      <w:r>
        <w:rPr/>
        <w:t>. Fish Pathology; 40:67–71.</w:t>
      </w:r>
    </w:p>
    <w:p>
      <w:pPr>
        <w:pStyle w:val="BodyText"/>
        <w:spacing w:line="276" w:lineRule="auto" w:before="202"/>
        <w:ind w:left="139" w:right="136"/>
        <w:jc w:val="both"/>
      </w:pPr>
      <w:r>
        <w:rPr/>
        <w:t>34.- Kamaishi T, Miwa S, Goto E, Matsuyama T. (2010). Mass mortality of giant abalone </w:t>
      </w:r>
      <w:r>
        <w:rPr>
          <w:i/>
        </w:rPr>
        <w:t>Haliotis gigantea </w:t>
      </w:r>
      <w:r>
        <w:rPr/>
        <w:t>caused by a Francisella sp. bacterium. Dis Aquat Organ.; 89:145–154.</w:t>
      </w:r>
    </w:p>
    <w:p>
      <w:pPr>
        <w:spacing w:after="0" w:line="276" w:lineRule="auto"/>
        <w:jc w:val="both"/>
        <w:sectPr>
          <w:pgSz w:w="12240" w:h="15840"/>
          <w:pgMar w:header="752" w:footer="998" w:top="1000" w:bottom="1180" w:left="1560" w:right="1560"/>
        </w:sectPr>
      </w:pPr>
    </w:p>
    <w:p>
      <w:pPr>
        <w:pStyle w:val="BodyText"/>
        <w:rPr>
          <w:sz w:val="29"/>
        </w:rPr>
      </w:pPr>
    </w:p>
    <w:p>
      <w:pPr>
        <w:pStyle w:val="BodyText"/>
        <w:spacing w:line="273" w:lineRule="auto" w:before="70"/>
        <w:ind w:left="139" w:right="140"/>
        <w:jc w:val="both"/>
      </w:pPr>
      <w:r>
        <w:rPr/>
        <w:t>35.-</w:t>
      </w:r>
      <w:r>
        <w:rPr>
          <w:spacing w:val="-11"/>
        </w:rPr>
        <w:t> </w:t>
      </w:r>
      <w:r>
        <w:rPr/>
        <w:t>Kugeler</w:t>
      </w:r>
      <w:r>
        <w:rPr>
          <w:spacing w:val="-11"/>
        </w:rPr>
        <w:t> </w:t>
      </w:r>
      <w:r>
        <w:rPr/>
        <w:t>KJ,</w:t>
      </w:r>
      <w:r>
        <w:rPr>
          <w:spacing w:val="-11"/>
        </w:rPr>
        <w:t> </w:t>
      </w:r>
      <w:r>
        <w:rPr/>
        <w:t>Mead,</w:t>
      </w:r>
      <w:r>
        <w:rPr>
          <w:spacing w:val="-11"/>
        </w:rPr>
        <w:t> </w:t>
      </w:r>
      <w:r>
        <w:rPr/>
        <w:t>PS,</w:t>
      </w:r>
      <w:r>
        <w:rPr>
          <w:spacing w:val="-11"/>
        </w:rPr>
        <w:t> </w:t>
      </w:r>
      <w:r>
        <w:rPr/>
        <w:t>McGowan,</w:t>
      </w:r>
      <w:r>
        <w:rPr>
          <w:spacing w:val="-11"/>
        </w:rPr>
        <w:t> </w:t>
      </w:r>
      <w:r>
        <w:rPr/>
        <w:t>KL,</w:t>
      </w:r>
      <w:r>
        <w:rPr>
          <w:spacing w:val="-11"/>
        </w:rPr>
        <w:t> </w:t>
      </w:r>
      <w:r>
        <w:rPr/>
        <w:t>Burnham,</w:t>
      </w:r>
      <w:r>
        <w:rPr>
          <w:spacing w:val="-11"/>
        </w:rPr>
        <w:t> </w:t>
      </w:r>
      <w:r>
        <w:rPr/>
        <w:t>JM,</w:t>
      </w:r>
      <w:r>
        <w:rPr>
          <w:spacing w:val="-7"/>
        </w:rPr>
        <w:t> </w:t>
      </w:r>
      <w:r>
        <w:rPr/>
        <w:t>Hogarty,</w:t>
      </w:r>
      <w:r>
        <w:rPr>
          <w:spacing w:val="-11"/>
        </w:rPr>
        <w:t> </w:t>
      </w:r>
      <w:r>
        <w:rPr/>
        <w:t>MD,</w:t>
      </w:r>
      <w:r>
        <w:rPr>
          <w:spacing w:val="-12"/>
        </w:rPr>
        <w:t> </w:t>
      </w:r>
      <w:r>
        <w:rPr/>
        <w:t>Ruchelli,</w:t>
      </w:r>
      <w:r>
        <w:rPr>
          <w:spacing w:val="-11"/>
        </w:rPr>
        <w:t> </w:t>
      </w:r>
      <w:r>
        <w:rPr/>
        <w:t>E., Pollard,</w:t>
      </w:r>
      <w:r>
        <w:rPr>
          <w:spacing w:val="-13"/>
        </w:rPr>
        <w:t> </w:t>
      </w:r>
      <w:r>
        <w:rPr/>
        <w:t>K.,</w:t>
      </w:r>
      <w:r>
        <w:rPr>
          <w:spacing w:val="-8"/>
        </w:rPr>
        <w:t> </w:t>
      </w:r>
      <w:r>
        <w:rPr/>
        <w:t>Husband,</w:t>
      </w:r>
      <w:r>
        <w:rPr>
          <w:spacing w:val="-13"/>
        </w:rPr>
        <w:t> </w:t>
      </w:r>
      <w:r>
        <w:rPr/>
        <w:t>B.</w:t>
      </w:r>
      <w:r>
        <w:rPr>
          <w:spacing w:val="-8"/>
        </w:rPr>
        <w:t> </w:t>
      </w:r>
      <w:r>
        <w:rPr/>
        <w:t>(2008),</w:t>
      </w:r>
      <w:r>
        <w:rPr>
          <w:spacing w:val="-8"/>
        </w:rPr>
        <w:t> </w:t>
      </w:r>
      <w:r>
        <w:rPr/>
        <w:t>Isolation</w:t>
      </w:r>
      <w:r>
        <w:rPr>
          <w:spacing w:val="-13"/>
        </w:rPr>
        <w:t> </w:t>
      </w:r>
      <w:r>
        <w:rPr/>
        <w:t>and</w:t>
      </w:r>
      <w:r>
        <w:rPr>
          <w:spacing w:val="-16"/>
        </w:rPr>
        <w:t> </w:t>
      </w:r>
      <w:r>
        <w:rPr/>
        <w:t>characterization</w:t>
      </w:r>
      <w:r>
        <w:rPr>
          <w:spacing w:val="-13"/>
        </w:rPr>
        <w:t> </w:t>
      </w:r>
      <w:r>
        <w:rPr/>
        <w:t>of</w:t>
      </w:r>
      <w:r>
        <w:rPr>
          <w:spacing w:val="-13"/>
        </w:rPr>
        <w:t> </w:t>
      </w:r>
      <w:r>
        <w:rPr/>
        <w:t>a</w:t>
      </w:r>
      <w:r>
        <w:rPr>
          <w:spacing w:val="-8"/>
        </w:rPr>
        <w:t> </w:t>
      </w:r>
      <w:r>
        <w:rPr/>
        <w:t>novel</w:t>
      </w:r>
      <w:r>
        <w:rPr>
          <w:spacing w:val="1"/>
        </w:rPr>
        <w:t> </w:t>
      </w:r>
      <w:r>
        <w:rPr>
          <w:i/>
        </w:rPr>
        <w:t>Francisella </w:t>
      </w:r>
      <w:r>
        <w:rPr/>
        <w:t>sp. from human CSF and Blood. J Clin Microbiol.; 46:</w:t>
      </w:r>
      <w:r>
        <w:rPr>
          <w:spacing w:val="-19"/>
        </w:rPr>
        <w:t> </w:t>
      </w:r>
      <w:r>
        <w:rPr/>
        <w:t>2428–2431.</w:t>
      </w:r>
    </w:p>
    <w:p>
      <w:pPr>
        <w:pStyle w:val="BodyText"/>
        <w:spacing w:line="273" w:lineRule="auto" w:before="210"/>
        <w:ind w:left="139" w:right="136"/>
        <w:jc w:val="both"/>
      </w:pPr>
      <w:r>
        <w:rPr/>
        <w:t>36.-</w:t>
      </w:r>
      <w:r>
        <w:rPr>
          <w:spacing w:val="-5"/>
        </w:rPr>
        <w:t> </w:t>
      </w:r>
      <w:r>
        <w:rPr/>
        <w:t>C.A.G.</w:t>
      </w:r>
      <w:r>
        <w:rPr>
          <w:spacing w:val="-6"/>
        </w:rPr>
        <w:t> </w:t>
      </w:r>
      <w:r>
        <w:rPr/>
        <w:t>Leal</w:t>
      </w:r>
      <w:r>
        <w:rPr>
          <w:spacing w:val="-1"/>
        </w:rPr>
        <w:t> </w:t>
      </w:r>
      <w:r>
        <w:rPr/>
        <w:t>CAG,</w:t>
      </w:r>
      <w:r>
        <w:rPr>
          <w:spacing w:val="-6"/>
        </w:rPr>
        <w:t> </w:t>
      </w:r>
      <w:r>
        <w:rPr/>
        <w:t>Tavares</w:t>
      </w:r>
      <w:r>
        <w:rPr>
          <w:spacing w:val="-7"/>
        </w:rPr>
        <w:t> </w:t>
      </w:r>
      <w:r>
        <w:rPr/>
        <w:t>GC,</w:t>
      </w:r>
      <w:r>
        <w:rPr>
          <w:spacing w:val="-4"/>
        </w:rPr>
        <w:t> </w:t>
      </w:r>
      <w:r>
        <w:rPr/>
        <w:t>Figueiredo</w:t>
      </w:r>
      <w:r>
        <w:rPr>
          <w:spacing w:val="-4"/>
        </w:rPr>
        <w:t> </w:t>
      </w:r>
      <w:r>
        <w:rPr/>
        <w:t>HCP</w:t>
      </w:r>
      <w:r>
        <w:rPr>
          <w:spacing w:val="-8"/>
        </w:rPr>
        <w:t> </w:t>
      </w:r>
      <w:r>
        <w:rPr/>
        <w:t>(2014).</w:t>
      </w:r>
      <w:r>
        <w:rPr>
          <w:spacing w:val="-19"/>
        </w:rPr>
        <w:t> </w:t>
      </w:r>
      <w:r>
        <w:rPr/>
        <w:t>Outbreaks</w:t>
      </w:r>
      <w:r>
        <w:rPr>
          <w:spacing w:val="-7"/>
        </w:rPr>
        <w:t> </w:t>
      </w:r>
      <w:r>
        <w:rPr/>
        <w:t>and</w:t>
      </w:r>
      <w:r>
        <w:rPr>
          <w:spacing w:val="-6"/>
        </w:rPr>
        <w:t> </w:t>
      </w:r>
      <w:r>
        <w:rPr/>
        <w:t>genetic diversity of </w:t>
      </w:r>
      <w:r>
        <w:rPr>
          <w:i/>
        </w:rPr>
        <w:t>Francisella noatunensis </w:t>
      </w:r>
      <w:r>
        <w:rPr/>
        <w:t>subsp </w:t>
      </w:r>
      <w:r>
        <w:rPr>
          <w:i/>
        </w:rPr>
        <w:t>orientalis </w:t>
      </w:r>
      <w:r>
        <w:rPr/>
        <w:t>isolated from farm-raised Nile tilapia (Oreochromis niloticus) in Brazil. Genet. Mol. Res.; 13 (3):</w:t>
      </w:r>
      <w:r>
        <w:rPr>
          <w:spacing w:val="-23"/>
        </w:rPr>
        <w:t> </w:t>
      </w:r>
      <w:r>
        <w:rPr/>
        <w:t>5704-5712.</w:t>
      </w:r>
    </w:p>
    <w:p>
      <w:pPr>
        <w:pStyle w:val="BodyText"/>
        <w:spacing w:line="273" w:lineRule="auto" w:before="209"/>
        <w:ind w:left="139" w:right="137"/>
        <w:jc w:val="both"/>
      </w:pPr>
      <w:r>
        <w:rPr/>
        <w:t>37.- Little DC, Murray FJ, Azim E, Leschen W, Boyd K, Watterson A, Young A. (2008). Options for producing a warm water fish in the UK: limits to ‘Green Growth’ Trends Food Sci Technol.; 19: 255–264.</w:t>
      </w:r>
    </w:p>
    <w:p>
      <w:pPr>
        <w:pStyle w:val="BodyText"/>
        <w:spacing w:line="271" w:lineRule="auto" w:before="209"/>
        <w:ind w:left="139" w:right="133"/>
        <w:jc w:val="both"/>
      </w:pPr>
      <w:r>
        <w:rPr/>
        <w:t>38.- Mancera CG. (2013a). En: XXII Congreso Nacional de Patología Veterinaria. Mayo 2013; Oaxaca, México.</w:t>
      </w:r>
    </w:p>
    <w:p>
      <w:pPr>
        <w:pStyle w:val="BodyText"/>
        <w:spacing w:line="276" w:lineRule="auto" w:before="213"/>
        <w:ind w:left="139" w:right="134"/>
        <w:jc w:val="both"/>
      </w:pPr>
      <w:r>
        <w:rPr/>
        <w:t>39.- Mancera CG. (2013b). Francisellosis enfermedad emergente en tilapia (</w:t>
      </w:r>
      <w:r>
        <w:rPr>
          <w:i/>
        </w:rPr>
        <w:t>Oreochromis </w:t>
      </w:r>
      <w:r>
        <w:rPr/>
        <w:t>spp) en México. Riesgos e implicaciones en la producción En: VIII Congreso Internacional de Epidemiología. Septiembre 2013; León Guanajuato, México.</w:t>
      </w:r>
    </w:p>
    <w:p>
      <w:pPr>
        <w:spacing w:before="202"/>
        <w:ind w:left="139" w:right="0" w:firstLine="0"/>
        <w:jc w:val="both"/>
        <w:rPr>
          <w:i/>
          <w:sz w:val="24"/>
        </w:rPr>
      </w:pPr>
      <w:r>
        <w:rPr>
          <w:sz w:val="24"/>
        </w:rPr>
        <w:t>40.-  Mauel  MJ,  Miller  DL.  (2002).  </w:t>
      </w:r>
      <w:r>
        <w:rPr>
          <w:i/>
          <w:sz w:val="24"/>
        </w:rPr>
        <w:t>Piscirickettsiosis  </w:t>
      </w:r>
      <w:r>
        <w:rPr>
          <w:sz w:val="24"/>
        </w:rPr>
        <w:t>and      </w:t>
      </w:r>
      <w:r>
        <w:rPr>
          <w:i/>
          <w:sz w:val="24"/>
        </w:rPr>
        <w:t>piscirickettsiosis</w:t>
      </w:r>
      <w:r>
        <w:rPr>
          <w:sz w:val="24"/>
        </w:rPr>
        <w:t>-</w:t>
      </w:r>
      <w:r>
        <w:rPr>
          <w:i/>
          <w:sz w:val="24"/>
        </w:rPr>
        <w:t>like</w:t>
      </w:r>
    </w:p>
    <w:p>
      <w:pPr>
        <w:pStyle w:val="BodyText"/>
        <w:spacing w:before="36"/>
        <w:ind w:left="139"/>
        <w:jc w:val="both"/>
      </w:pPr>
      <w:r>
        <w:rPr/>
        <w:t>infections in fish: a review. Vet Microbiol.; 87:279–289.</w:t>
      </w:r>
    </w:p>
    <w:p>
      <w:pPr>
        <w:pStyle w:val="BodyText"/>
        <w:spacing w:before="5"/>
        <w:rPr>
          <w:sz w:val="21"/>
        </w:rPr>
      </w:pPr>
    </w:p>
    <w:p>
      <w:pPr>
        <w:pStyle w:val="BodyText"/>
        <w:ind w:left="139"/>
        <w:jc w:val="both"/>
      </w:pPr>
      <w:r>
        <w:rPr/>
        <w:t>41.-</w:t>
      </w:r>
      <w:r>
        <w:rPr>
          <w:spacing w:val="-15"/>
        </w:rPr>
        <w:t> </w:t>
      </w:r>
      <w:r>
        <w:rPr/>
        <w:t>Mauel</w:t>
      </w:r>
      <w:r>
        <w:rPr>
          <w:spacing w:val="-12"/>
        </w:rPr>
        <w:t> </w:t>
      </w:r>
      <w:r>
        <w:rPr/>
        <w:t>MJ,</w:t>
      </w:r>
      <w:r>
        <w:rPr>
          <w:spacing w:val="-16"/>
        </w:rPr>
        <w:t> </w:t>
      </w:r>
      <w:r>
        <w:rPr/>
        <w:t>Miller</w:t>
      </w:r>
      <w:r>
        <w:rPr>
          <w:spacing w:val="-14"/>
        </w:rPr>
        <w:t> </w:t>
      </w:r>
      <w:r>
        <w:rPr/>
        <w:t>DL,</w:t>
      </w:r>
      <w:r>
        <w:rPr>
          <w:spacing w:val="-16"/>
        </w:rPr>
        <w:t> </w:t>
      </w:r>
      <w:r>
        <w:rPr/>
        <w:t>Frazier</w:t>
      </w:r>
      <w:r>
        <w:rPr>
          <w:spacing w:val="-15"/>
        </w:rPr>
        <w:t> </w:t>
      </w:r>
      <w:r>
        <w:rPr/>
        <w:t>K,</w:t>
      </w:r>
      <w:r>
        <w:rPr>
          <w:spacing w:val="-16"/>
        </w:rPr>
        <w:t> </w:t>
      </w:r>
      <w:r>
        <w:rPr/>
        <w:t>Liggett</w:t>
      </w:r>
      <w:r>
        <w:rPr>
          <w:spacing w:val="-16"/>
        </w:rPr>
        <w:t> </w:t>
      </w:r>
      <w:r>
        <w:rPr>
          <w:spacing w:val="-3"/>
        </w:rPr>
        <w:t>AD,</w:t>
      </w:r>
      <w:r>
        <w:rPr>
          <w:spacing w:val="-16"/>
        </w:rPr>
        <w:t> </w:t>
      </w:r>
      <w:r>
        <w:rPr/>
        <w:t>Styer</w:t>
      </w:r>
      <w:r>
        <w:rPr>
          <w:spacing w:val="-15"/>
        </w:rPr>
        <w:t> </w:t>
      </w:r>
      <w:r>
        <w:rPr/>
        <w:t>L,</w:t>
      </w:r>
      <w:r>
        <w:rPr>
          <w:spacing w:val="-16"/>
        </w:rPr>
        <w:t> </w:t>
      </w:r>
      <w:r>
        <w:rPr/>
        <w:t>Montgomery-Brock</w:t>
      </w:r>
      <w:r>
        <w:rPr>
          <w:spacing w:val="-16"/>
        </w:rPr>
        <w:t> </w:t>
      </w:r>
      <w:r>
        <w:rPr/>
        <w:t>D,</w:t>
      </w:r>
      <w:r>
        <w:rPr>
          <w:spacing w:val="-16"/>
        </w:rPr>
        <w:t> </w:t>
      </w:r>
      <w:r>
        <w:rPr/>
        <w:t>Brock</w:t>
      </w:r>
    </w:p>
    <w:p>
      <w:pPr>
        <w:spacing w:line="271" w:lineRule="auto" w:before="41"/>
        <w:ind w:left="139" w:right="137" w:firstLine="0"/>
        <w:jc w:val="both"/>
        <w:rPr>
          <w:sz w:val="24"/>
        </w:rPr>
      </w:pPr>
      <w:r>
        <w:rPr>
          <w:sz w:val="24"/>
        </w:rPr>
        <w:t>J.</w:t>
      </w:r>
      <w:r>
        <w:rPr>
          <w:spacing w:val="-7"/>
          <w:sz w:val="24"/>
        </w:rPr>
        <w:t> </w:t>
      </w:r>
      <w:r>
        <w:rPr>
          <w:sz w:val="24"/>
        </w:rPr>
        <w:t>(2003).</w:t>
      </w:r>
      <w:r>
        <w:rPr>
          <w:spacing w:val="-6"/>
          <w:sz w:val="24"/>
        </w:rPr>
        <w:t> </w:t>
      </w:r>
      <w:r>
        <w:rPr>
          <w:sz w:val="24"/>
        </w:rPr>
        <w:t>Characterization</w:t>
      </w:r>
      <w:r>
        <w:rPr>
          <w:spacing w:val="-9"/>
          <w:sz w:val="24"/>
        </w:rPr>
        <w:t> </w:t>
      </w:r>
      <w:r>
        <w:rPr>
          <w:sz w:val="24"/>
        </w:rPr>
        <w:t>of</w:t>
      </w:r>
      <w:r>
        <w:rPr>
          <w:spacing w:val="-12"/>
          <w:sz w:val="24"/>
        </w:rPr>
        <w:t> </w:t>
      </w:r>
      <w:r>
        <w:rPr>
          <w:sz w:val="24"/>
        </w:rPr>
        <w:t>a</w:t>
      </w:r>
      <w:r>
        <w:rPr>
          <w:spacing w:val="-7"/>
          <w:sz w:val="24"/>
        </w:rPr>
        <w:t> </w:t>
      </w:r>
      <w:r>
        <w:rPr>
          <w:i/>
          <w:sz w:val="24"/>
        </w:rPr>
        <w:t>piscirickettsiosis</w:t>
      </w:r>
      <w:r>
        <w:rPr>
          <w:sz w:val="24"/>
        </w:rPr>
        <w:t>-</w:t>
      </w:r>
      <w:r>
        <w:rPr>
          <w:i/>
          <w:sz w:val="24"/>
        </w:rPr>
        <w:t>like</w:t>
      </w:r>
      <w:r>
        <w:rPr>
          <w:i/>
          <w:spacing w:val="-7"/>
          <w:sz w:val="24"/>
        </w:rPr>
        <w:t> </w:t>
      </w:r>
      <w:r>
        <w:rPr>
          <w:sz w:val="24"/>
        </w:rPr>
        <w:t>disease</w:t>
      </w:r>
      <w:r>
        <w:rPr>
          <w:spacing w:val="-12"/>
          <w:sz w:val="24"/>
        </w:rPr>
        <w:t> </w:t>
      </w:r>
      <w:r>
        <w:rPr>
          <w:sz w:val="24"/>
        </w:rPr>
        <w:t>in</w:t>
      </w:r>
      <w:r>
        <w:rPr>
          <w:spacing w:val="-7"/>
          <w:sz w:val="24"/>
        </w:rPr>
        <w:t> </w:t>
      </w:r>
      <w:r>
        <w:rPr>
          <w:sz w:val="24"/>
        </w:rPr>
        <w:t>Hawaiian</w:t>
      </w:r>
      <w:r>
        <w:rPr>
          <w:spacing w:val="-12"/>
          <w:sz w:val="24"/>
        </w:rPr>
        <w:t> </w:t>
      </w:r>
      <w:r>
        <w:rPr>
          <w:sz w:val="24"/>
        </w:rPr>
        <w:t>tilapia.</w:t>
      </w:r>
      <w:r>
        <w:rPr>
          <w:spacing w:val="-12"/>
          <w:sz w:val="24"/>
        </w:rPr>
        <w:t> </w:t>
      </w:r>
      <w:r>
        <w:rPr>
          <w:sz w:val="24"/>
        </w:rPr>
        <w:t>Dis Aquat Org.;</w:t>
      </w:r>
      <w:r>
        <w:rPr>
          <w:spacing w:val="-4"/>
          <w:sz w:val="24"/>
        </w:rPr>
        <w:t> </w:t>
      </w:r>
      <w:r>
        <w:rPr>
          <w:sz w:val="24"/>
        </w:rPr>
        <w:t>53:249–255.</w:t>
      </w:r>
    </w:p>
    <w:p>
      <w:pPr>
        <w:pStyle w:val="BodyText"/>
        <w:spacing w:line="276" w:lineRule="auto" w:before="212"/>
        <w:ind w:left="139" w:right="135"/>
        <w:jc w:val="both"/>
      </w:pPr>
      <w:r>
        <w:rPr/>
        <w:t>42.- Mauel MJ, Miller DL, Styer E, Pouder DB, Yanong RPE, Goodwin AE, Schwedler TE. (2005). Occurrence of </w:t>
      </w:r>
      <w:r>
        <w:rPr>
          <w:i/>
        </w:rPr>
        <w:t>Piscirickettsiosis</w:t>
      </w:r>
      <w:r>
        <w:rPr/>
        <w:t>- </w:t>
      </w:r>
      <w:r>
        <w:rPr>
          <w:i/>
        </w:rPr>
        <w:t>like </w:t>
      </w:r>
      <w:r>
        <w:rPr/>
        <w:t>syndrome in tilapia in the continental United States. J Vet Diagn Investig.; 17:601–605.</w:t>
      </w:r>
    </w:p>
    <w:p>
      <w:pPr>
        <w:pStyle w:val="BodyText"/>
        <w:spacing w:line="276" w:lineRule="auto" w:before="202"/>
        <w:ind w:left="139" w:right="135"/>
        <w:jc w:val="both"/>
      </w:pPr>
      <w:r>
        <w:rPr/>
        <w:t>43.- Mauel MJ, Soto E, Moralis JA, Hawke J. (2007). A </w:t>
      </w:r>
      <w:r>
        <w:rPr>
          <w:i/>
        </w:rPr>
        <w:t>piscirickettsiosis</w:t>
      </w:r>
      <w:r>
        <w:rPr/>
        <w:t>-</w:t>
      </w:r>
      <w:r>
        <w:rPr>
          <w:i/>
        </w:rPr>
        <w:t>like </w:t>
      </w:r>
      <w:r>
        <w:rPr/>
        <w:t>syndrome in cultured Nile tilapia in Latin America with </w:t>
      </w:r>
      <w:r>
        <w:rPr>
          <w:i/>
        </w:rPr>
        <w:t>Francisella </w:t>
      </w:r>
      <w:r>
        <w:rPr/>
        <w:t>spp. as the pathogenic agent. J Aquat Anim Health.; 19:27–34.</w:t>
      </w:r>
    </w:p>
    <w:p>
      <w:pPr>
        <w:pStyle w:val="BodyText"/>
        <w:spacing w:line="276" w:lineRule="auto" w:before="202"/>
        <w:ind w:left="139" w:right="137"/>
        <w:jc w:val="both"/>
      </w:pPr>
      <w:r>
        <w:rPr/>
        <w:t>44.- McCarthy U, Steiropoulos NA, Thompson KD, Adams </w:t>
      </w:r>
      <w:r>
        <w:rPr>
          <w:spacing w:val="3"/>
        </w:rPr>
        <w:t>A, </w:t>
      </w:r>
      <w:r>
        <w:rPr/>
        <w:t>Ellis AE, Ferguson HW.</w:t>
      </w:r>
      <w:r>
        <w:rPr>
          <w:spacing w:val="-12"/>
        </w:rPr>
        <w:t> </w:t>
      </w:r>
      <w:r>
        <w:rPr/>
        <w:t>(2005).</w:t>
      </w:r>
      <w:r>
        <w:rPr>
          <w:spacing w:val="-10"/>
        </w:rPr>
        <w:t> </w:t>
      </w:r>
      <w:r>
        <w:rPr/>
        <w:t>Confirmation</w:t>
      </w:r>
      <w:r>
        <w:rPr>
          <w:spacing w:val="-12"/>
        </w:rPr>
        <w:t> </w:t>
      </w:r>
      <w:r>
        <w:rPr/>
        <w:t>of</w:t>
      </w:r>
      <w:r>
        <w:rPr>
          <w:spacing w:val="-10"/>
        </w:rPr>
        <w:t> </w:t>
      </w:r>
      <w:r>
        <w:rPr>
          <w:i/>
        </w:rPr>
        <w:t>Piscirickettsia</w:t>
      </w:r>
      <w:r>
        <w:rPr>
          <w:i/>
          <w:spacing w:val="-10"/>
        </w:rPr>
        <w:t> </w:t>
      </w:r>
      <w:r>
        <w:rPr>
          <w:i/>
        </w:rPr>
        <w:t>salmonis</w:t>
      </w:r>
      <w:r>
        <w:rPr>
          <w:i/>
          <w:spacing w:val="-11"/>
        </w:rPr>
        <w:t> </w:t>
      </w:r>
      <w:r>
        <w:rPr/>
        <w:t>as</w:t>
      </w:r>
      <w:r>
        <w:rPr>
          <w:spacing w:val="-13"/>
        </w:rPr>
        <w:t> </w:t>
      </w:r>
      <w:r>
        <w:rPr/>
        <w:t>a</w:t>
      </w:r>
      <w:r>
        <w:rPr>
          <w:spacing w:val="-12"/>
        </w:rPr>
        <w:t> </w:t>
      </w:r>
      <w:r>
        <w:rPr/>
        <w:t>pathogen</w:t>
      </w:r>
      <w:r>
        <w:rPr>
          <w:spacing w:val="-12"/>
        </w:rPr>
        <w:t> </w:t>
      </w:r>
      <w:r>
        <w:rPr/>
        <w:t>in</w:t>
      </w:r>
      <w:r>
        <w:rPr>
          <w:spacing w:val="-12"/>
        </w:rPr>
        <w:t> </w:t>
      </w:r>
      <w:r>
        <w:rPr/>
        <w:t>European</w:t>
      </w:r>
      <w:r>
        <w:rPr>
          <w:spacing w:val="-12"/>
        </w:rPr>
        <w:t> </w:t>
      </w:r>
      <w:r>
        <w:rPr/>
        <w:t>sea </w:t>
      </w:r>
      <w:r>
        <w:rPr>
          <w:i/>
        </w:rPr>
        <w:t>bass Dicentrarchus labrax </w:t>
      </w:r>
      <w:r>
        <w:rPr/>
        <w:t>and phylogenetic comparison with salmonid strains. Dis Aquat Organ.;</w:t>
      </w:r>
      <w:r>
        <w:rPr>
          <w:spacing w:val="-9"/>
        </w:rPr>
        <w:t> </w:t>
      </w:r>
      <w:r>
        <w:rPr/>
        <w:t>64:107–119.</w:t>
      </w:r>
    </w:p>
    <w:p>
      <w:pPr>
        <w:spacing w:line="276" w:lineRule="auto" w:before="202"/>
        <w:ind w:left="139" w:right="132" w:firstLine="0"/>
        <w:jc w:val="both"/>
        <w:rPr>
          <w:sz w:val="24"/>
        </w:rPr>
      </w:pPr>
      <w:r>
        <w:rPr>
          <w:sz w:val="24"/>
        </w:rPr>
        <w:t>45.- Mikalsen J, Colquhoun DJ. (2009). </w:t>
      </w:r>
      <w:r>
        <w:rPr>
          <w:i/>
          <w:sz w:val="24"/>
        </w:rPr>
        <w:t>Francisella asiatica </w:t>
      </w:r>
      <w:r>
        <w:rPr>
          <w:sz w:val="24"/>
        </w:rPr>
        <w:t>sp. </w:t>
      </w:r>
      <w:r>
        <w:rPr>
          <w:i/>
          <w:sz w:val="24"/>
        </w:rPr>
        <w:t>nov</w:t>
      </w:r>
      <w:r>
        <w:rPr>
          <w:sz w:val="24"/>
        </w:rPr>
        <w:t>. isolated from farmed tilapia (</w:t>
      </w:r>
      <w:r>
        <w:rPr>
          <w:i/>
          <w:sz w:val="24"/>
        </w:rPr>
        <w:t>Oreochromis </w:t>
      </w:r>
      <w:r>
        <w:rPr>
          <w:sz w:val="24"/>
        </w:rPr>
        <w:t>sp.) and elevation of </w:t>
      </w:r>
      <w:r>
        <w:rPr>
          <w:i/>
          <w:sz w:val="24"/>
        </w:rPr>
        <w:t>Francisella philomiragia </w:t>
      </w:r>
      <w:r>
        <w:rPr>
          <w:sz w:val="24"/>
        </w:rPr>
        <w:t>subsp. </w:t>
      </w:r>
      <w:r>
        <w:rPr>
          <w:i/>
          <w:sz w:val="24"/>
        </w:rPr>
        <w:t>noatunensis </w:t>
      </w:r>
      <w:r>
        <w:rPr>
          <w:sz w:val="24"/>
        </w:rPr>
        <w:t>to species rank as </w:t>
      </w:r>
      <w:r>
        <w:rPr>
          <w:i/>
          <w:sz w:val="24"/>
        </w:rPr>
        <w:t>Francisella noatunensis </w:t>
      </w:r>
      <w:r>
        <w:rPr>
          <w:sz w:val="24"/>
        </w:rPr>
        <w:t>comb. </w:t>
      </w:r>
      <w:r>
        <w:rPr>
          <w:i/>
          <w:sz w:val="24"/>
        </w:rPr>
        <w:t>nov</w:t>
      </w:r>
      <w:r>
        <w:rPr>
          <w:sz w:val="24"/>
        </w:rPr>
        <w:t>. sp. Int J Syst Evol Microbiol.</w:t>
      </w:r>
    </w:p>
    <w:p>
      <w:pPr>
        <w:spacing w:after="0" w:line="276" w:lineRule="auto"/>
        <w:jc w:val="both"/>
        <w:rPr>
          <w:sz w:val="24"/>
        </w:rPr>
        <w:sectPr>
          <w:pgSz w:w="12240" w:h="15840"/>
          <w:pgMar w:header="752" w:footer="998" w:top="1000" w:bottom="1180" w:left="1560" w:right="1560"/>
        </w:sectPr>
      </w:pPr>
    </w:p>
    <w:p>
      <w:pPr>
        <w:pStyle w:val="BodyText"/>
        <w:rPr>
          <w:sz w:val="29"/>
        </w:rPr>
      </w:pPr>
    </w:p>
    <w:p>
      <w:pPr>
        <w:pStyle w:val="BodyText"/>
        <w:spacing w:line="276" w:lineRule="auto" w:before="70"/>
        <w:ind w:left="139" w:right="135"/>
        <w:jc w:val="both"/>
      </w:pPr>
      <w:r>
        <w:rPr/>
        <w:t>46.- Mikalsen J, Olsen AB, Rudra H, Moldal T, Lund H, Djonne B, Bergh Ø, Colquhoun DJ. (2009). Virulence and pathogenicity of </w:t>
      </w:r>
      <w:r>
        <w:rPr>
          <w:i/>
        </w:rPr>
        <w:t>Francisella philomiragia </w:t>
      </w:r>
      <w:r>
        <w:rPr/>
        <w:t>subsp noatunensis for Atlantic cod, </w:t>
      </w:r>
      <w:r>
        <w:rPr>
          <w:i/>
        </w:rPr>
        <w:t>Gadus morhua </w:t>
      </w:r>
      <w:r>
        <w:rPr/>
        <w:t>L., and laboratory mice. J Fish Dis.; 32:377–381.</w:t>
      </w:r>
    </w:p>
    <w:p>
      <w:pPr>
        <w:spacing w:line="276" w:lineRule="auto" w:before="202"/>
        <w:ind w:left="139" w:right="140" w:firstLine="0"/>
        <w:jc w:val="both"/>
        <w:rPr>
          <w:sz w:val="24"/>
        </w:rPr>
      </w:pPr>
      <w:r>
        <w:rPr>
          <w:sz w:val="24"/>
        </w:rPr>
        <w:t>47.-</w:t>
      </w:r>
      <w:r>
        <w:rPr>
          <w:spacing w:val="-8"/>
          <w:sz w:val="24"/>
        </w:rPr>
        <w:t> </w:t>
      </w:r>
      <w:r>
        <w:rPr>
          <w:sz w:val="24"/>
        </w:rPr>
        <w:t>Mikalsen</w:t>
      </w:r>
      <w:r>
        <w:rPr>
          <w:spacing w:val="-13"/>
          <w:sz w:val="24"/>
        </w:rPr>
        <w:t> </w:t>
      </w:r>
      <w:r>
        <w:rPr>
          <w:sz w:val="24"/>
        </w:rPr>
        <w:t>J,</w:t>
      </w:r>
      <w:r>
        <w:rPr>
          <w:spacing w:val="-8"/>
          <w:sz w:val="24"/>
        </w:rPr>
        <w:t> </w:t>
      </w:r>
      <w:r>
        <w:rPr>
          <w:sz w:val="24"/>
        </w:rPr>
        <w:t>Olsen</w:t>
      </w:r>
      <w:r>
        <w:rPr>
          <w:spacing w:val="-8"/>
          <w:sz w:val="24"/>
        </w:rPr>
        <w:t> </w:t>
      </w:r>
      <w:r>
        <w:rPr>
          <w:sz w:val="24"/>
        </w:rPr>
        <w:t>AB,</w:t>
      </w:r>
      <w:r>
        <w:rPr>
          <w:spacing w:val="-8"/>
          <w:sz w:val="24"/>
        </w:rPr>
        <w:t> </w:t>
      </w:r>
      <w:r>
        <w:rPr>
          <w:sz w:val="24"/>
        </w:rPr>
        <w:t>Tengs</w:t>
      </w:r>
      <w:r>
        <w:rPr>
          <w:spacing w:val="-14"/>
          <w:sz w:val="24"/>
        </w:rPr>
        <w:t> </w:t>
      </w:r>
      <w:r>
        <w:rPr>
          <w:sz w:val="24"/>
        </w:rPr>
        <w:t>T.</w:t>
      </w:r>
      <w:r>
        <w:rPr>
          <w:spacing w:val="-13"/>
          <w:sz w:val="24"/>
        </w:rPr>
        <w:t> </w:t>
      </w:r>
      <w:r>
        <w:rPr>
          <w:sz w:val="24"/>
        </w:rPr>
        <w:t>Colquhoun</w:t>
      </w:r>
      <w:r>
        <w:rPr>
          <w:spacing w:val="-8"/>
          <w:sz w:val="24"/>
        </w:rPr>
        <w:t> </w:t>
      </w:r>
      <w:r>
        <w:rPr>
          <w:sz w:val="24"/>
        </w:rPr>
        <w:t>DJ.</w:t>
      </w:r>
      <w:r>
        <w:rPr>
          <w:spacing w:val="-14"/>
          <w:sz w:val="24"/>
        </w:rPr>
        <w:t> </w:t>
      </w:r>
      <w:r>
        <w:rPr>
          <w:sz w:val="24"/>
        </w:rPr>
        <w:t>(2007).</w:t>
      </w:r>
      <w:r>
        <w:rPr>
          <w:spacing w:val="-8"/>
          <w:sz w:val="24"/>
        </w:rPr>
        <w:t> </w:t>
      </w:r>
      <w:r>
        <w:rPr>
          <w:i/>
          <w:sz w:val="24"/>
        </w:rPr>
        <w:t>Francisella</w:t>
      </w:r>
      <w:r>
        <w:rPr>
          <w:i/>
          <w:spacing w:val="-8"/>
          <w:sz w:val="24"/>
        </w:rPr>
        <w:t> </w:t>
      </w:r>
      <w:r>
        <w:rPr>
          <w:i/>
          <w:sz w:val="24"/>
        </w:rPr>
        <w:t>philomiragia </w:t>
      </w:r>
      <w:r>
        <w:rPr>
          <w:sz w:val="24"/>
        </w:rPr>
        <w:t>subsp. </w:t>
      </w:r>
      <w:r>
        <w:rPr>
          <w:i/>
          <w:sz w:val="24"/>
        </w:rPr>
        <w:t>noatunensis </w:t>
      </w:r>
      <w:r>
        <w:rPr>
          <w:sz w:val="24"/>
        </w:rPr>
        <w:t>subsp. nov., isolated from farmed Atlantic cod (</w:t>
      </w:r>
      <w:r>
        <w:rPr>
          <w:i/>
          <w:sz w:val="24"/>
        </w:rPr>
        <w:t>Gadus morhua </w:t>
      </w:r>
      <w:r>
        <w:rPr>
          <w:i/>
          <w:sz w:val="24"/>
        </w:rPr>
        <w:t>L</w:t>
      </w:r>
      <w:r>
        <w:rPr>
          <w:sz w:val="24"/>
        </w:rPr>
        <w:t>.) Int J Syst Evol Microbiol.;</w:t>
      </w:r>
      <w:r>
        <w:rPr>
          <w:spacing w:val="-12"/>
          <w:sz w:val="24"/>
        </w:rPr>
        <w:t> </w:t>
      </w:r>
      <w:r>
        <w:rPr>
          <w:sz w:val="24"/>
        </w:rPr>
        <w:t>57:1960–1965.</w:t>
      </w:r>
    </w:p>
    <w:p>
      <w:pPr>
        <w:pStyle w:val="BodyText"/>
        <w:spacing w:line="276" w:lineRule="auto" w:before="202"/>
        <w:ind w:left="139" w:right="134"/>
        <w:jc w:val="both"/>
      </w:pPr>
      <w:r>
        <w:rPr/>
        <w:t>48.- Nylund A, Ottem KF, Watanabe K, Karlsbakk E, Krossoy B. (2006). </w:t>
      </w:r>
      <w:r>
        <w:rPr>
          <w:i/>
        </w:rPr>
        <w:t>Francisella </w:t>
      </w:r>
      <w:r>
        <w:rPr/>
        <w:t>sp. (Family Francisellaceae) causing mortality in Norwegian cod (</w:t>
      </w:r>
      <w:r>
        <w:rPr>
          <w:i/>
        </w:rPr>
        <w:t>Gadus morhua</w:t>
      </w:r>
      <w:r>
        <w:rPr/>
        <w:t>) farming. Arch Microbiol.; 185:383-392.</w:t>
      </w:r>
    </w:p>
    <w:p>
      <w:pPr>
        <w:pStyle w:val="BodyText"/>
        <w:spacing w:line="276" w:lineRule="auto" w:before="202"/>
        <w:ind w:left="139" w:right="136"/>
        <w:jc w:val="both"/>
      </w:pPr>
      <w:r>
        <w:rPr/>
        <w:t>49.- Olsen AB, Mikalsen J, Rode M, Alfjorden A, Hoel E, Straum-Lie K, Haldorsen R, Colquhoun DJ. (2006). A novel systemic granulomatous inflammatory disease in farmed</w:t>
      </w:r>
      <w:r>
        <w:rPr>
          <w:spacing w:val="-7"/>
        </w:rPr>
        <w:t> </w:t>
      </w:r>
      <w:r>
        <w:rPr/>
        <w:t>Atlantic</w:t>
      </w:r>
      <w:r>
        <w:rPr>
          <w:spacing w:val="-8"/>
        </w:rPr>
        <w:t> </w:t>
      </w:r>
      <w:r>
        <w:rPr/>
        <w:t>cod,</w:t>
      </w:r>
      <w:r>
        <w:rPr>
          <w:spacing w:val="-4"/>
        </w:rPr>
        <w:t> </w:t>
      </w:r>
      <w:r>
        <w:rPr>
          <w:i/>
        </w:rPr>
        <w:t>Gadus</w:t>
      </w:r>
      <w:r>
        <w:rPr>
          <w:i/>
          <w:spacing w:val="-13"/>
        </w:rPr>
        <w:t> </w:t>
      </w:r>
      <w:r>
        <w:rPr>
          <w:i/>
        </w:rPr>
        <w:t>morhua</w:t>
      </w:r>
      <w:r>
        <w:rPr>
          <w:i/>
          <w:spacing w:val="-7"/>
        </w:rPr>
        <w:t> </w:t>
      </w:r>
      <w:r>
        <w:rPr>
          <w:i/>
        </w:rPr>
        <w:t>L</w:t>
      </w:r>
      <w:r>
        <w:rPr/>
        <w:t>.,</w:t>
      </w:r>
      <w:r>
        <w:rPr>
          <w:spacing w:val="-7"/>
        </w:rPr>
        <w:t> </w:t>
      </w:r>
      <w:r>
        <w:rPr/>
        <w:t>associated</w:t>
      </w:r>
      <w:r>
        <w:rPr>
          <w:spacing w:val="-7"/>
        </w:rPr>
        <w:t> </w:t>
      </w:r>
      <w:r>
        <w:rPr/>
        <w:t>with</w:t>
      </w:r>
      <w:r>
        <w:rPr>
          <w:spacing w:val="-11"/>
        </w:rPr>
        <w:t> </w:t>
      </w:r>
      <w:r>
        <w:rPr/>
        <w:t>a</w:t>
      </w:r>
      <w:r>
        <w:rPr>
          <w:spacing w:val="-7"/>
        </w:rPr>
        <w:t> </w:t>
      </w:r>
      <w:r>
        <w:rPr/>
        <w:t>bacterium</w:t>
      </w:r>
      <w:r>
        <w:rPr>
          <w:spacing w:val="-16"/>
        </w:rPr>
        <w:t> </w:t>
      </w:r>
      <w:r>
        <w:rPr/>
        <w:t>belonging</w:t>
      </w:r>
      <w:r>
        <w:rPr>
          <w:spacing w:val="-12"/>
        </w:rPr>
        <w:t> </w:t>
      </w:r>
      <w:r>
        <w:rPr/>
        <w:t>to</w:t>
      </w:r>
      <w:r>
        <w:rPr>
          <w:spacing w:val="-7"/>
        </w:rPr>
        <w:t> </w:t>
      </w:r>
      <w:r>
        <w:rPr/>
        <w:t>the genus </w:t>
      </w:r>
      <w:r>
        <w:rPr>
          <w:i/>
        </w:rPr>
        <w:t>Francisella</w:t>
      </w:r>
      <w:r>
        <w:rPr/>
        <w:t>. J Fish Dis.;</w:t>
      </w:r>
      <w:r>
        <w:rPr>
          <w:spacing w:val="-9"/>
        </w:rPr>
        <w:t> </w:t>
      </w:r>
      <w:r>
        <w:rPr/>
        <w:t>29:307–311.</w:t>
      </w:r>
    </w:p>
    <w:p>
      <w:pPr>
        <w:pStyle w:val="BodyText"/>
        <w:spacing w:line="273" w:lineRule="auto" w:before="207"/>
        <w:ind w:left="139" w:right="134"/>
        <w:jc w:val="both"/>
      </w:pPr>
      <w:r>
        <w:rPr/>
        <w:t>50.- Osorio CR, Collins MD, Toranzo AE, Barja JL, Romalde JL. (1999). 16S rRNA Gene</w:t>
      </w:r>
      <w:r>
        <w:rPr>
          <w:spacing w:val="-8"/>
        </w:rPr>
        <w:t> </w:t>
      </w:r>
      <w:r>
        <w:rPr/>
        <w:t>Sequence</w:t>
      </w:r>
      <w:r>
        <w:rPr>
          <w:spacing w:val="-8"/>
        </w:rPr>
        <w:t> </w:t>
      </w:r>
      <w:r>
        <w:rPr/>
        <w:t>Analysis</w:t>
      </w:r>
      <w:r>
        <w:rPr>
          <w:spacing w:val="-14"/>
        </w:rPr>
        <w:t> </w:t>
      </w:r>
      <w:r>
        <w:rPr/>
        <w:t>of</w:t>
      </w:r>
      <w:r>
        <w:rPr>
          <w:spacing w:val="-4"/>
        </w:rPr>
        <w:t> </w:t>
      </w:r>
      <w:r>
        <w:rPr>
          <w:i/>
        </w:rPr>
        <w:t>Photobacterium</w:t>
      </w:r>
      <w:r>
        <w:rPr>
          <w:i/>
          <w:spacing w:val="-5"/>
        </w:rPr>
        <w:t> </w:t>
      </w:r>
      <w:r>
        <w:rPr>
          <w:i/>
        </w:rPr>
        <w:t>damselae</w:t>
      </w:r>
      <w:r>
        <w:rPr>
          <w:i/>
          <w:spacing w:val="-11"/>
        </w:rPr>
        <w:t> </w:t>
      </w:r>
      <w:r>
        <w:rPr/>
        <w:t>and</w:t>
      </w:r>
      <w:r>
        <w:rPr>
          <w:spacing w:val="-8"/>
        </w:rPr>
        <w:t> </w:t>
      </w:r>
      <w:r>
        <w:rPr/>
        <w:t>Nested</w:t>
      </w:r>
      <w:r>
        <w:rPr>
          <w:spacing w:val="-8"/>
        </w:rPr>
        <w:t> </w:t>
      </w:r>
      <w:r>
        <w:rPr/>
        <w:t>PCR</w:t>
      </w:r>
      <w:r>
        <w:rPr>
          <w:spacing w:val="-10"/>
        </w:rPr>
        <w:t> </w:t>
      </w:r>
      <w:r>
        <w:rPr/>
        <w:t>Method</w:t>
      </w:r>
      <w:r>
        <w:rPr>
          <w:spacing w:val="-13"/>
        </w:rPr>
        <w:t> </w:t>
      </w:r>
      <w:r>
        <w:rPr/>
        <w:t>for Rapid</w:t>
      </w:r>
      <w:r>
        <w:rPr>
          <w:spacing w:val="-11"/>
        </w:rPr>
        <w:t> </w:t>
      </w:r>
      <w:r>
        <w:rPr/>
        <w:t>Detection</w:t>
      </w:r>
      <w:r>
        <w:rPr>
          <w:spacing w:val="-11"/>
        </w:rPr>
        <w:t> </w:t>
      </w:r>
      <w:r>
        <w:rPr/>
        <w:t>of</w:t>
      </w:r>
      <w:r>
        <w:rPr>
          <w:spacing w:val="-6"/>
        </w:rPr>
        <w:t> </w:t>
      </w:r>
      <w:r>
        <w:rPr/>
        <w:t>the</w:t>
      </w:r>
      <w:r>
        <w:rPr>
          <w:spacing w:val="-2"/>
        </w:rPr>
        <w:t> </w:t>
      </w:r>
      <w:r>
        <w:rPr/>
        <w:t>Causative</w:t>
      </w:r>
      <w:r>
        <w:rPr>
          <w:spacing w:val="-6"/>
        </w:rPr>
        <w:t> </w:t>
      </w:r>
      <w:r>
        <w:rPr/>
        <w:t>Agent</w:t>
      </w:r>
      <w:r>
        <w:rPr>
          <w:spacing w:val="-11"/>
        </w:rPr>
        <w:t> </w:t>
      </w:r>
      <w:r>
        <w:rPr/>
        <w:t>of</w:t>
      </w:r>
      <w:r>
        <w:rPr>
          <w:spacing w:val="-11"/>
        </w:rPr>
        <w:t> </w:t>
      </w:r>
      <w:r>
        <w:rPr/>
        <w:t>Fish</w:t>
      </w:r>
      <w:r>
        <w:rPr>
          <w:spacing w:val="-6"/>
        </w:rPr>
        <w:t> </w:t>
      </w:r>
      <w:r>
        <w:rPr/>
        <w:t>Pasteurellosis.</w:t>
      </w:r>
      <w:r>
        <w:rPr>
          <w:spacing w:val="-11"/>
        </w:rPr>
        <w:t> </w:t>
      </w:r>
      <w:r>
        <w:rPr/>
        <w:t>American</w:t>
      </w:r>
      <w:r>
        <w:rPr>
          <w:spacing w:val="-6"/>
        </w:rPr>
        <w:t> </w:t>
      </w:r>
      <w:r>
        <w:rPr/>
        <w:t>Society</w:t>
      </w:r>
      <w:r>
        <w:rPr>
          <w:spacing w:val="-7"/>
        </w:rPr>
        <w:t> </w:t>
      </w:r>
      <w:r>
        <w:rPr/>
        <w:t>for Microbiology.; 65(7):</w:t>
      </w:r>
      <w:r>
        <w:rPr>
          <w:spacing w:val="-29"/>
        </w:rPr>
        <w:t> </w:t>
      </w:r>
      <w:r>
        <w:rPr/>
        <w:t>2942–2946</w:t>
      </w:r>
    </w:p>
    <w:p>
      <w:pPr>
        <w:pStyle w:val="BodyText"/>
        <w:spacing w:line="273" w:lineRule="auto" w:before="209"/>
        <w:ind w:left="139" w:right="134"/>
        <w:jc w:val="both"/>
      </w:pPr>
      <w:r>
        <w:rPr/>
        <w:t>51.- Ostland VE, Stannard JA, Creek JJ, Hedrick RP, Ferguson HW, Carlberg JM, Westerman</w:t>
      </w:r>
      <w:r>
        <w:rPr>
          <w:spacing w:val="-7"/>
        </w:rPr>
        <w:t> </w:t>
      </w:r>
      <w:r>
        <w:rPr>
          <w:spacing w:val="-2"/>
        </w:rPr>
        <w:t>ME.</w:t>
      </w:r>
      <w:r>
        <w:rPr>
          <w:spacing w:val="-7"/>
        </w:rPr>
        <w:t> </w:t>
      </w:r>
      <w:r>
        <w:rPr/>
        <w:t>(2006).</w:t>
      </w:r>
      <w:r>
        <w:rPr>
          <w:spacing w:val="-3"/>
        </w:rPr>
        <w:t> </w:t>
      </w:r>
      <w:r>
        <w:rPr/>
        <w:t>Aquatic</w:t>
      </w:r>
      <w:r>
        <w:rPr>
          <w:spacing w:val="-12"/>
        </w:rPr>
        <w:t> </w:t>
      </w:r>
      <w:r>
        <w:rPr>
          <w:i/>
        </w:rPr>
        <w:t>Francisella-like</w:t>
      </w:r>
      <w:r>
        <w:rPr>
          <w:i/>
          <w:spacing w:val="-6"/>
        </w:rPr>
        <w:t> </w:t>
      </w:r>
      <w:r>
        <w:rPr/>
        <w:t>bacterium</w:t>
      </w:r>
      <w:r>
        <w:rPr>
          <w:spacing w:val="-15"/>
        </w:rPr>
        <w:t> </w:t>
      </w:r>
      <w:r>
        <w:rPr/>
        <w:t>associated</w:t>
      </w:r>
      <w:r>
        <w:rPr>
          <w:spacing w:val="-12"/>
        </w:rPr>
        <w:t> </w:t>
      </w:r>
      <w:r>
        <w:rPr/>
        <w:t>with</w:t>
      </w:r>
      <w:r>
        <w:rPr>
          <w:spacing w:val="-7"/>
        </w:rPr>
        <w:t> </w:t>
      </w:r>
      <w:r>
        <w:rPr/>
        <w:t>mortality of</w:t>
      </w:r>
      <w:r>
        <w:rPr>
          <w:spacing w:val="-12"/>
        </w:rPr>
        <w:t> </w:t>
      </w:r>
      <w:r>
        <w:rPr/>
        <w:t>intensively</w:t>
      </w:r>
      <w:r>
        <w:rPr>
          <w:spacing w:val="-13"/>
        </w:rPr>
        <w:t> </w:t>
      </w:r>
      <w:r>
        <w:rPr/>
        <w:t>cultured</w:t>
      </w:r>
      <w:r>
        <w:rPr>
          <w:spacing w:val="-7"/>
        </w:rPr>
        <w:t> </w:t>
      </w:r>
      <w:r>
        <w:rPr/>
        <w:t>hybrid</w:t>
      </w:r>
      <w:r>
        <w:rPr>
          <w:spacing w:val="-7"/>
        </w:rPr>
        <w:t> </w:t>
      </w:r>
      <w:r>
        <w:rPr/>
        <w:t>striped</w:t>
      </w:r>
      <w:r>
        <w:rPr>
          <w:spacing w:val="-12"/>
        </w:rPr>
        <w:t> </w:t>
      </w:r>
      <w:r>
        <w:rPr/>
        <w:t>bass</w:t>
      </w:r>
      <w:r>
        <w:rPr>
          <w:spacing w:val="-6"/>
        </w:rPr>
        <w:t> </w:t>
      </w:r>
      <w:r>
        <w:rPr>
          <w:i/>
        </w:rPr>
        <w:t>Morone</w:t>
      </w:r>
      <w:r>
        <w:rPr>
          <w:i/>
          <w:spacing w:val="-7"/>
        </w:rPr>
        <w:t> </w:t>
      </w:r>
      <w:r>
        <w:rPr>
          <w:i/>
        </w:rPr>
        <w:t>chrysops</w:t>
      </w:r>
      <w:r>
        <w:rPr>
          <w:i/>
          <w:spacing w:val="-8"/>
        </w:rPr>
        <w:t> </w:t>
      </w:r>
      <w:r>
        <w:rPr>
          <w:i/>
        </w:rPr>
        <w:t>x</w:t>
      </w:r>
      <w:r>
        <w:rPr>
          <w:i/>
          <w:spacing w:val="-13"/>
        </w:rPr>
        <w:t> </w:t>
      </w:r>
      <w:r>
        <w:rPr>
          <w:i/>
        </w:rPr>
        <w:t>M.</w:t>
      </w:r>
      <w:r>
        <w:rPr>
          <w:i/>
          <w:spacing w:val="-7"/>
        </w:rPr>
        <w:t> </w:t>
      </w:r>
      <w:r>
        <w:rPr>
          <w:i/>
        </w:rPr>
        <w:t>saxatilis</w:t>
      </w:r>
      <w:r>
        <w:rPr/>
        <w:t>.</w:t>
      </w:r>
      <w:r>
        <w:rPr>
          <w:spacing w:val="-7"/>
        </w:rPr>
        <w:t> </w:t>
      </w:r>
      <w:r>
        <w:rPr/>
        <w:t>Dis</w:t>
      </w:r>
      <w:r>
        <w:rPr>
          <w:spacing w:val="-8"/>
        </w:rPr>
        <w:t> </w:t>
      </w:r>
      <w:r>
        <w:rPr/>
        <w:t>Aquat Organ.;</w:t>
      </w:r>
      <w:r>
        <w:rPr>
          <w:spacing w:val="-4"/>
        </w:rPr>
        <w:t> </w:t>
      </w:r>
      <w:r>
        <w:rPr/>
        <w:t>72:135–145.</w:t>
      </w:r>
    </w:p>
    <w:p>
      <w:pPr>
        <w:spacing w:line="273" w:lineRule="auto" w:before="209"/>
        <w:ind w:left="139" w:right="135" w:firstLine="0"/>
        <w:jc w:val="both"/>
        <w:rPr>
          <w:sz w:val="24"/>
        </w:rPr>
      </w:pPr>
      <w:r>
        <w:rPr>
          <w:sz w:val="24"/>
        </w:rPr>
        <w:t>52.-</w:t>
      </w:r>
      <w:r>
        <w:rPr>
          <w:spacing w:val="-4"/>
          <w:sz w:val="24"/>
        </w:rPr>
        <w:t> </w:t>
      </w:r>
      <w:r>
        <w:rPr>
          <w:sz w:val="24"/>
        </w:rPr>
        <w:t>Ottem</w:t>
      </w:r>
      <w:r>
        <w:rPr>
          <w:spacing w:val="-14"/>
          <w:sz w:val="24"/>
        </w:rPr>
        <w:t> </w:t>
      </w:r>
      <w:r>
        <w:rPr>
          <w:sz w:val="24"/>
        </w:rPr>
        <w:t>KF,</w:t>
      </w:r>
      <w:r>
        <w:rPr>
          <w:spacing w:val="-5"/>
          <w:sz w:val="24"/>
        </w:rPr>
        <w:t> </w:t>
      </w:r>
      <w:r>
        <w:rPr>
          <w:sz w:val="24"/>
        </w:rPr>
        <w:t>Nylund</w:t>
      </w:r>
      <w:r>
        <w:rPr>
          <w:spacing w:val="-5"/>
          <w:sz w:val="24"/>
        </w:rPr>
        <w:t> </w:t>
      </w:r>
      <w:r>
        <w:rPr>
          <w:sz w:val="24"/>
        </w:rPr>
        <w:t>A,</w:t>
      </w:r>
      <w:r>
        <w:rPr>
          <w:spacing w:val="-5"/>
          <w:sz w:val="24"/>
        </w:rPr>
        <w:t> </w:t>
      </w:r>
      <w:r>
        <w:rPr>
          <w:sz w:val="24"/>
        </w:rPr>
        <w:t>Karlsbakk</w:t>
      </w:r>
      <w:r>
        <w:rPr>
          <w:spacing w:val="-6"/>
          <w:sz w:val="24"/>
        </w:rPr>
        <w:t> </w:t>
      </w:r>
      <w:r>
        <w:rPr>
          <w:sz w:val="24"/>
        </w:rPr>
        <w:t>E,</w:t>
      </w:r>
      <w:r>
        <w:rPr>
          <w:spacing w:val="-5"/>
          <w:sz w:val="24"/>
        </w:rPr>
        <w:t> </w:t>
      </w:r>
      <w:r>
        <w:rPr>
          <w:sz w:val="24"/>
        </w:rPr>
        <w:t>Friis-Møller</w:t>
      </w:r>
      <w:r>
        <w:rPr>
          <w:spacing w:val="-3"/>
          <w:sz w:val="24"/>
        </w:rPr>
        <w:t> </w:t>
      </w:r>
      <w:r>
        <w:rPr>
          <w:sz w:val="24"/>
        </w:rPr>
        <w:t>A,</w:t>
      </w:r>
      <w:r>
        <w:rPr>
          <w:spacing w:val="-5"/>
          <w:sz w:val="24"/>
        </w:rPr>
        <w:t> </w:t>
      </w:r>
      <w:r>
        <w:rPr>
          <w:sz w:val="24"/>
        </w:rPr>
        <w:t>Kamaishi</w:t>
      </w:r>
      <w:r>
        <w:rPr>
          <w:spacing w:val="-2"/>
          <w:sz w:val="24"/>
        </w:rPr>
        <w:t> </w:t>
      </w:r>
      <w:r>
        <w:rPr>
          <w:sz w:val="24"/>
        </w:rPr>
        <w:t>T.</w:t>
      </w:r>
      <w:r>
        <w:rPr>
          <w:spacing w:val="-10"/>
          <w:sz w:val="24"/>
        </w:rPr>
        <w:t> </w:t>
      </w:r>
      <w:r>
        <w:rPr>
          <w:sz w:val="24"/>
        </w:rPr>
        <w:t>(2009).</w:t>
      </w:r>
      <w:r>
        <w:rPr>
          <w:spacing w:val="-2"/>
          <w:sz w:val="24"/>
        </w:rPr>
        <w:t> </w:t>
      </w:r>
      <w:r>
        <w:rPr>
          <w:sz w:val="24"/>
        </w:rPr>
        <w:t>Elevation of </w:t>
      </w:r>
      <w:r>
        <w:rPr>
          <w:i/>
          <w:sz w:val="24"/>
        </w:rPr>
        <w:t>Francisella philomiragia </w:t>
      </w:r>
      <w:r>
        <w:rPr>
          <w:sz w:val="24"/>
        </w:rPr>
        <w:t>subsp. </w:t>
      </w:r>
      <w:r>
        <w:rPr>
          <w:i/>
          <w:sz w:val="24"/>
        </w:rPr>
        <w:t>noatunensis </w:t>
      </w:r>
      <w:r>
        <w:rPr>
          <w:sz w:val="24"/>
        </w:rPr>
        <w:t>Mikalsen et al. to </w:t>
      </w:r>
      <w:r>
        <w:rPr>
          <w:i/>
          <w:sz w:val="24"/>
        </w:rPr>
        <w:t>Francisella </w:t>
      </w:r>
      <w:r>
        <w:rPr>
          <w:i/>
          <w:sz w:val="24"/>
        </w:rPr>
        <w:t>noatunensis </w:t>
      </w:r>
      <w:r>
        <w:rPr>
          <w:sz w:val="24"/>
        </w:rPr>
        <w:t>comb. </w:t>
      </w:r>
      <w:r>
        <w:rPr>
          <w:i/>
          <w:sz w:val="24"/>
        </w:rPr>
        <w:t>nov</w:t>
      </w:r>
      <w:r>
        <w:rPr>
          <w:sz w:val="24"/>
        </w:rPr>
        <w:t>. (syn. Francisella piscicida Ottem et al. syn. nov.) and characterization of </w:t>
      </w:r>
      <w:r>
        <w:rPr>
          <w:i/>
          <w:sz w:val="24"/>
        </w:rPr>
        <w:t>Francisella noatunensis </w:t>
      </w:r>
      <w:r>
        <w:rPr>
          <w:sz w:val="24"/>
        </w:rPr>
        <w:t>subsp. </w:t>
      </w:r>
      <w:r>
        <w:rPr>
          <w:i/>
          <w:sz w:val="24"/>
        </w:rPr>
        <w:t>orientalis </w:t>
      </w:r>
      <w:r>
        <w:rPr>
          <w:sz w:val="24"/>
        </w:rPr>
        <w:t>subsp. nov., two important fish pathogens. J Appl Microbiol.;</w:t>
      </w:r>
      <w:r>
        <w:rPr>
          <w:spacing w:val="-13"/>
          <w:sz w:val="24"/>
        </w:rPr>
        <w:t> </w:t>
      </w:r>
      <w:r>
        <w:rPr>
          <w:sz w:val="24"/>
        </w:rPr>
        <w:t>106:1231–1243.</w:t>
      </w:r>
    </w:p>
    <w:p>
      <w:pPr>
        <w:pStyle w:val="BodyText"/>
        <w:spacing w:line="273" w:lineRule="auto" w:before="209"/>
        <w:ind w:left="139" w:right="134"/>
        <w:jc w:val="both"/>
      </w:pPr>
      <w:r>
        <w:rPr/>
        <w:t>53.- Ottem KF, Nylund A, Karlsbakk E, Friis-Moller A, Krossoy B, Knappskog D. (2007). New species in the genus </w:t>
      </w:r>
      <w:r>
        <w:rPr>
          <w:i/>
        </w:rPr>
        <w:t>Francisella </w:t>
      </w:r>
      <w:r>
        <w:rPr/>
        <w:t>(Gammaproteobacteria; Francisellaceae); </w:t>
      </w:r>
      <w:r>
        <w:rPr>
          <w:i/>
        </w:rPr>
        <w:t>Francisella piscicida </w:t>
      </w:r>
      <w:r>
        <w:rPr/>
        <w:t>sp. </w:t>
      </w:r>
      <w:r>
        <w:rPr>
          <w:i/>
        </w:rPr>
        <w:t>nov</w:t>
      </w:r>
      <w:r>
        <w:rPr/>
        <w:t>. isolated from cod (</w:t>
      </w:r>
      <w:r>
        <w:rPr>
          <w:i/>
        </w:rPr>
        <w:t>Gadus morhua</w:t>
      </w:r>
      <w:r>
        <w:rPr/>
        <w:t>) Arch Microbiol.; 188:547–550.</w:t>
      </w:r>
    </w:p>
    <w:p>
      <w:pPr>
        <w:pStyle w:val="BodyText"/>
        <w:spacing w:line="271" w:lineRule="auto" w:before="209"/>
        <w:ind w:left="139" w:right="148"/>
        <w:jc w:val="both"/>
      </w:pPr>
      <w:r>
        <w:rPr/>
        <w:t>54.- Propuestas para el desarrollo del cultivo de tilapia en México. Programa rector nacional de pesca y acuacultura, CONAPESCA SAGARPA. (2009)</w:t>
      </w:r>
    </w:p>
    <w:p>
      <w:pPr>
        <w:pStyle w:val="BodyText"/>
        <w:spacing w:line="271" w:lineRule="auto" w:before="212"/>
        <w:ind w:left="139" w:right="133"/>
        <w:jc w:val="both"/>
      </w:pPr>
      <w:r>
        <w:rPr/>
        <w:t>55.- Quinn PJ, Markey BK, Carter ME, Donnelly WJ, Leonard EC. (2008). Microbiología y Enfermedades Infecciosas Veterinarias. España, Acribia.; 173-175.</w:t>
      </w:r>
    </w:p>
    <w:p>
      <w:pPr>
        <w:spacing w:after="0" w:line="271" w:lineRule="auto"/>
        <w:jc w:val="both"/>
        <w:sectPr>
          <w:pgSz w:w="12240" w:h="15840"/>
          <w:pgMar w:header="752" w:footer="998" w:top="1000" w:bottom="1180" w:left="1560" w:right="1560"/>
        </w:sectPr>
      </w:pPr>
    </w:p>
    <w:p>
      <w:pPr>
        <w:pStyle w:val="BodyText"/>
        <w:rPr>
          <w:sz w:val="29"/>
        </w:rPr>
      </w:pPr>
    </w:p>
    <w:p>
      <w:pPr>
        <w:pStyle w:val="BodyText"/>
        <w:spacing w:line="273" w:lineRule="auto" w:before="70"/>
        <w:ind w:left="139" w:right="139"/>
        <w:jc w:val="both"/>
      </w:pPr>
      <w:r>
        <w:rPr/>
        <w:t>56.- Ramírez MC Sánchez. V. (1998). Una propuesta de Diversificación Productiva en el Uso del Agua a través de la Acuacultura. Subsecretaría de Pesca. Dirección General de Acuacultura. México.</w:t>
      </w:r>
    </w:p>
    <w:p>
      <w:pPr>
        <w:pStyle w:val="BodyText"/>
        <w:spacing w:line="271" w:lineRule="auto" w:before="210"/>
        <w:ind w:left="139" w:right="146"/>
        <w:jc w:val="both"/>
      </w:pPr>
      <w:r>
        <w:rPr/>
        <w:t>57.- Reporte de Unidades Representativas de Producción Acuícola y Pesquera PANORAMA ECONÓMICO 2008-2018. </w:t>
      </w:r>
      <w:hyperlink r:id="rId55">
        <w:r>
          <w:rPr>
            <w:color w:val="0000FF"/>
            <w:u w:val="single" w:color="0000FF"/>
          </w:rPr>
          <w:t>www.sagarpa.gob.mx</w:t>
        </w:r>
        <w:r>
          <w:rPr/>
          <w:t>.</w:t>
        </w:r>
      </w:hyperlink>
    </w:p>
    <w:p>
      <w:pPr>
        <w:pStyle w:val="BodyText"/>
        <w:spacing w:before="5"/>
        <w:rPr>
          <w:sz w:val="12"/>
        </w:rPr>
      </w:pPr>
    </w:p>
    <w:p>
      <w:pPr>
        <w:pStyle w:val="BodyText"/>
        <w:spacing w:line="273" w:lineRule="auto" w:before="69"/>
        <w:ind w:left="139" w:right="135"/>
        <w:jc w:val="both"/>
      </w:pPr>
      <w:r>
        <w:rPr/>
        <w:t>58.- Sjödin A, Svensson K, Öhrman C, Ahlinder J, Lindgren P, Duodu S, Hnath J, Burans JP, Johansson A, Colquhoun DJ. (2012). Genome characterization of the genus </w:t>
      </w:r>
      <w:r>
        <w:rPr>
          <w:i/>
        </w:rPr>
        <w:t>Francisella </w:t>
      </w:r>
      <w:r>
        <w:rPr/>
        <w:t>reveals insight into similar evolutionary paths in pathogens of mammals and fish. BMC Genomics.; 13:268.</w:t>
      </w:r>
    </w:p>
    <w:p>
      <w:pPr>
        <w:pStyle w:val="BodyText"/>
        <w:spacing w:line="276" w:lineRule="auto" w:before="209"/>
        <w:ind w:left="139" w:right="135"/>
        <w:jc w:val="both"/>
      </w:pPr>
      <w:r>
        <w:rPr/>
        <w:t>59.-</w:t>
      </w:r>
      <w:r>
        <w:rPr>
          <w:spacing w:val="-19"/>
        </w:rPr>
        <w:t> </w:t>
      </w:r>
      <w:r>
        <w:rPr/>
        <w:t>Soto</w:t>
      </w:r>
      <w:r>
        <w:rPr>
          <w:spacing w:val="-2"/>
        </w:rPr>
        <w:t> </w:t>
      </w:r>
      <w:r>
        <w:rPr/>
        <w:t>E,</w:t>
      </w:r>
      <w:r>
        <w:rPr>
          <w:spacing w:val="-3"/>
        </w:rPr>
        <w:t> </w:t>
      </w:r>
      <w:r>
        <w:rPr/>
        <w:t>Baumgartner</w:t>
      </w:r>
      <w:r>
        <w:rPr>
          <w:spacing w:val="-11"/>
        </w:rPr>
        <w:t> </w:t>
      </w:r>
      <w:r>
        <w:rPr>
          <w:spacing w:val="4"/>
        </w:rPr>
        <w:t>W,</w:t>
      </w:r>
      <w:r>
        <w:rPr>
          <w:spacing w:val="-11"/>
        </w:rPr>
        <w:t> </w:t>
      </w:r>
      <w:r>
        <w:rPr/>
        <w:t>Wiles</w:t>
      </w:r>
      <w:r>
        <w:rPr>
          <w:spacing w:val="2"/>
        </w:rPr>
        <w:t> </w:t>
      </w:r>
      <w:r>
        <w:rPr/>
        <w:t>J,</w:t>
      </w:r>
      <w:r>
        <w:rPr>
          <w:spacing w:val="-3"/>
        </w:rPr>
        <w:t> </w:t>
      </w:r>
      <w:r>
        <w:rPr/>
        <w:t>Hawke</w:t>
      </w:r>
      <w:r>
        <w:rPr>
          <w:spacing w:val="-3"/>
        </w:rPr>
        <w:t> </w:t>
      </w:r>
      <w:r>
        <w:rPr/>
        <w:t>JP.</w:t>
      </w:r>
      <w:r>
        <w:rPr>
          <w:spacing w:val="-2"/>
        </w:rPr>
        <w:t> </w:t>
      </w:r>
      <w:r>
        <w:rPr/>
        <w:t>(2011).</w:t>
      </w:r>
      <w:r>
        <w:rPr>
          <w:spacing w:val="-2"/>
        </w:rPr>
        <w:t> </w:t>
      </w:r>
      <w:r>
        <w:rPr>
          <w:i/>
        </w:rPr>
        <w:t>Francisella</w:t>
      </w:r>
      <w:r>
        <w:rPr>
          <w:i/>
          <w:spacing w:val="-3"/>
        </w:rPr>
        <w:t> </w:t>
      </w:r>
      <w:r>
        <w:rPr>
          <w:i/>
        </w:rPr>
        <w:t>asiatica </w:t>
      </w:r>
      <w:r>
        <w:rPr/>
        <w:t>as</w:t>
      </w:r>
      <w:r>
        <w:rPr>
          <w:spacing w:val="-3"/>
        </w:rPr>
        <w:t> </w:t>
      </w:r>
      <w:r>
        <w:rPr/>
        <w:t>the causative agent of piscine francisellosis in cultured tilapia (Oreochromis sp.) in the United States. J Vet Diagn Invest.;</w:t>
      </w:r>
      <w:r>
        <w:rPr>
          <w:spacing w:val="-14"/>
        </w:rPr>
        <w:t> </w:t>
      </w:r>
      <w:r>
        <w:rPr/>
        <w:t>23:821–825.</w:t>
      </w:r>
    </w:p>
    <w:p>
      <w:pPr>
        <w:pStyle w:val="BodyText"/>
        <w:spacing w:line="276" w:lineRule="auto" w:before="203"/>
        <w:ind w:left="139" w:right="140"/>
        <w:jc w:val="both"/>
      </w:pPr>
      <w:r>
        <w:rPr/>
        <w:t>60.-</w:t>
      </w:r>
      <w:r>
        <w:rPr>
          <w:spacing w:val="-11"/>
        </w:rPr>
        <w:t> </w:t>
      </w:r>
      <w:r>
        <w:rPr/>
        <w:t>Soto</w:t>
      </w:r>
      <w:r>
        <w:rPr>
          <w:spacing w:val="-11"/>
        </w:rPr>
        <w:t> </w:t>
      </w:r>
      <w:r>
        <w:rPr/>
        <w:t>E,</w:t>
      </w:r>
      <w:r>
        <w:rPr>
          <w:spacing w:val="-12"/>
        </w:rPr>
        <w:t> </w:t>
      </w:r>
      <w:r>
        <w:rPr/>
        <w:t>Endris</w:t>
      </w:r>
      <w:r>
        <w:rPr>
          <w:spacing w:val="-13"/>
        </w:rPr>
        <w:t> </w:t>
      </w:r>
      <w:r>
        <w:rPr/>
        <w:t>GR,</w:t>
      </w:r>
      <w:r>
        <w:rPr>
          <w:spacing w:val="-12"/>
        </w:rPr>
        <w:t> </w:t>
      </w:r>
      <w:r>
        <w:rPr/>
        <w:t>Hawke</w:t>
      </w:r>
      <w:r>
        <w:rPr>
          <w:spacing w:val="-12"/>
        </w:rPr>
        <w:t> </w:t>
      </w:r>
      <w:r>
        <w:rPr/>
        <w:t>JP.</w:t>
      </w:r>
      <w:r>
        <w:rPr>
          <w:spacing w:val="-9"/>
        </w:rPr>
        <w:t> </w:t>
      </w:r>
      <w:r>
        <w:rPr/>
        <w:t>(2010).</w:t>
      </w:r>
      <w:r>
        <w:rPr>
          <w:spacing w:val="-16"/>
        </w:rPr>
        <w:t> </w:t>
      </w:r>
      <w:r>
        <w:rPr>
          <w:i/>
        </w:rPr>
        <w:t>In</w:t>
      </w:r>
      <w:r>
        <w:rPr>
          <w:i/>
          <w:spacing w:val="-16"/>
        </w:rPr>
        <w:t> </w:t>
      </w:r>
      <w:r>
        <w:rPr>
          <w:i/>
        </w:rPr>
        <w:t>Vitro</w:t>
      </w:r>
      <w:r>
        <w:rPr>
          <w:i/>
          <w:spacing w:val="-11"/>
        </w:rPr>
        <w:t> </w:t>
      </w:r>
      <w:r>
        <w:rPr/>
        <w:t>and</w:t>
      </w:r>
      <w:r>
        <w:rPr>
          <w:spacing w:val="-12"/>
        </w:rPr>
        <w:t> </w:t>
      </w:r>
      <w:r>
        <w:rPr>
          <w:i/>
        </w:rPr>
        <w:t>In</w:t>
      </w:r>
      <w:r>
        <w:rPr>
          <w:i/>
          <w:spacing w:val="-11"/>
        </w:rPr>
        <w:t> </w:t>
      </w:r>
      <w:r>
        <w:rPr>
          <w:i/>
        </w:rPr>
        <w:t>Vivo</w:t>
      </w:r>
      <w:r>
        <w:rPr>
          <w:i/>
          <w:spacing w:val="-11"/>
        </w:rPr>
        <w:t> </w:t>
      </w:r>
      <w:r>
        <w:rPr/>
        <w:t>Efficacy</w:t>
      </w:r>
      <w:r>
        <w:rPr>
          <w:spacing w:val="-13"/>
        </w:rPr>
        <w:t> </w:t>
      </w:r>
      <w:r>
        <w:rPr/>
        <w:t>of</w:t>
      </w:r>
      <w:r>
        <w:rPr>
          <w:spacing w:val="-17"/>
        </w:rPr>
        <w:t> </w:t>
      </w:r>
      <w:r>
        <w:rPr/>
        <w:t>Florfenicol for Treatment of </w:t>
      </w:r>
      <w:r>
        <w:rPr>
          <w:i/>
        </w:rPr>
        <w:t>Francisella asiatica </w:t>
      </w:r>
      <w:r>
        <w:rPr/>
        <w:t>Infection in Tilapia. Antimicrobial Agents and Chemotherapy.; 54 (11):</w:t>
      </w:r>
      <w:r>
        <w:rPr>
          <w:spacing w:val="-11"/>
        </w:rPr>
        <w:t> </w:t>
      </w:r>
      <w:r>
        <w:rPr/>
        <w:t>4664–4670.</w:t>
      </w:r>
    </w:p>
    <w:p>
      <w:pPr>
        <w:pStyle w:val="BodyText"/>
        <w:spacing w:before="202"/>
        <w:ind w:left="139"/>
        <w:jc w:val="both"/>
      </w:pPr>
      <w:r>
        <w:rPr/>
        <w:t>61.-  Soto E, Fernandez D, Hawke JP.  (2009b). Attenuation of the fish   </w:t>
      </w:r>
      <w:r>
        <w:rPr>
          <w:spacing w:val="56"/>
        </w:rPr>
        <w:t> </w:t>
      </w:r>
      <w:r>
        <w:rPr/>
        <w:t>pathogen</w:t>
      </w:r>
    </w:p>
    <w:p>
      <w:pPr>
        <w:pStyle w:val="BodyText"/>
        <w:spacing w:before="36"/>
        <w:ind w:left="139"/>
        <w:jc w:val="both"/>
      </w:pPr>
      <w:r>
        <w:rPr>
          <w:i/>
        </w:rPr>
        <w:t>Francisella </w:t>
      </w:r>
      <w:r>
        <w:rPr/>
        <w:t>sp. by mutation of the iglC gene. J. Aquat. Anim. Health.; 21:140–149.</w:t>
      </w:r>
    </w:p>
    <w:p>
      <w:pPr>
        <w:pStyle w:val="BodyText"/>
        <w:spacing w:before="5"/>
        <w:rPr>
          <w:sz w:val="21"/>
        </w:rPr>
      </w:pPr>
    </w:p>
    <w:p>
      <w:pPr>
        <w:pStyle w:val="BodyText"/>
        <w:spacing w:line="273" w:lineRule="auto"/>
        <w:ind w:left="139" w:right="138"/>
        <w:jc w:val="both"/>
      </w:pPr>
      <w:r>
        <w:rPr/>
        <w:t>62.- Soto E, Fernandez D, Thune R, Hawke JP. (2010). Interaction of Francisella </w:t>
      </w:r>
      <w:r>
        <w:rPr>
          <w:i/>
        </w:rPr>
        <w:t>asiatica </w:t>
      </w:r>
      <w:r>
        <w:rPr/>
        <w:t>with tilapia (</w:t>
      </w:r>
      <w:r>
        <w:rPr>
          <w:i/>
        </w:rPr>
        <w:t>Oreochromis niloticus</w:t>
      </w:r>
      <w:r>
        <w:rPr/>
        <w:t>) innate immunity Infect. Immun.; 78:2070–2078.</w:t>
      </w:r>
    </w:p>
    <w:p>
      <w:pPr>
        <w:pStyle w:val="BodyText"/>
        <w:spacing w:line="276" w:lineRule="auto" w:before="210"/>
        <w:ind w:left="139" w:right="132"/>
        <w:jc w:val="both"/>
      </w:pPr>
      <w:r>
        <w:rPr/>
        <w:t>63.- Soto E, Hawke JP, Fernández D, Morales JA. (2009a). Franc</w:t>
      </w:r>
      <w:r>
        <w:rPr>
          <w:i/>
        </w:rPr>
        <w:t>i</w:t>
      </w:r>
      <w:r>
        <w:rPr/>
        <w:t>sella sp. an emerging pathogen of tilapia, </w:t>
      </w:r>
      <w:r>
        <w:rPr>
          <w:i/>
        </w:rPr>
        <w:t>Oreochromis niloticus </w:t>
      </w:r>
      <w:r>
        <w:rPr/>
        <w:t>(L.), in Costa Rica. J Fish Dis.; 32:713–722.</w:t>
      </w:r>
    </w:p>
    <w:p>
      <w:pPr>
        <w:pStyle w:val="BodyText"/>
        <w:spacing w:line="276" w:lineRule="auto" w:before="202"/>
        <w:ind w:left="139" w:right="134"/>
        <w:jc w:val="both"/>
      </w:pPr>
      <w:r>
        <w:rPr/>
        <w:t>64.- Soto E, Illanes O, Hilchie D, Morales JA, Piyanate Sunyakumthorn P, Hawke JP, Goodwin AE, Riggs A, Yanong RP, Pouder DB, Francis-Floyd R, Arauz M, Bogdanovic L, Castillo-Alcala F. (2012). Molecular and immunohistochemical diagnosis of </w:t>
      </w:r>
      <w:r>
        <w:rPr>
          <w:i/>
        </w:rPr>
        <w:t>Francisella noatunensis </w:t>
      </w:r>
      <w:r>
        <w:rPr/>
        <w:t>subsp. </w:t>
      </w:r>
      <w:r>
        <w:rPr>
          <w:i/>
        </w:rPr>
        <w:t>orientalis </w:t>
      </w:r>
      <w:r>
        <w:rPr/>
        <w:t>from formalin-fixed, paraffin- embedded tissues. J Vet Diagn Invest.; 24(5): 840-845</w:t>
      </w:r>
    </w:p>
    <w:p>
      <w:pPr>
        <w:pStyle w:val="BodyText"/>
        <w:spacing w:line="273" w:lineRule="auto" w:before="207"/>
        <w:ind w:left="139" w:right="133"/>
        <w:jc w:val="both"/>
      </w:pPr>
      <w:r>
        <w:rPr/>
        <w:t>65.- Tavares CR, Souza RO, Almeida </w:t>
      </w:r>
      <w:r>
        <w:rPr>
          <w:spacing w:val="-2"/>
        </w:rPr>
        <w:t>MB, </w:t>
      </w:r>
      <w:r>
        <w:rPr/>
        <w:t>Nucci A, Botelho SC, Alves SB. (2014). Human herpesvirus infections of the central nervous system: Laboratory diagnosis based</w:t>
      </w:r>
      <w:r>
        <w:rPr>
          <w:spacing w:val="-5"/>
        </w:rPr>
        <w:t> </w:t>
      </w:r>
      <w:r>
        <w:rPr/>
        <w:t>on</w:t>
      </w:r>
      <w:r>
        <w:rPr>
          <w:spacing w:val="-5"/>
        </w:rPr>
        <w:t> </w:t>
      </w:r>
      <w:r>
        <w:rPr/>
        <w:t>DNA</w:t>
      </w:r>
      <w:r>
        <w:rPr>
          <w:spacing w:val="-7"/>
        </w:rPr>
        <w:t> </w:t>
      </w:r>
      <w:r>
        <w:rPr/>
        <w:t>detection</w:t>
      </w:r>
      <w:r>
        <w:rPr>
          <w:spacing w:val="-5"/>
        </w:rPr>
        <w:t> </w:t>
      </w:r>
      <w:r>
        <w:rPr/>
        <w:t>by</w:t>
      </w:r>
      <w:r>
        <w:rPr>
          <w:spacing w:val="-6"/>
        </w:rPr>
        <w:t> </w:t>
      </w:r>
      <w:r>
        <w:rPr/>
        <w:t>nested</w:t>
      </w:r>
      <w:r>
        <w:rPr>
          <w:spacing w:val="-5"/>
        </w:rPr>
        <w:t> </w:t>
      </w:r>
      <w:r>
        <w:rPr/>
        <w:t>PCR</w:t>
      </w:r>
      <w:r>
        <w:rPr>
          <w:spacing w:val="-12"/>
        </w:rPr>
        <w:t> </w:t>
      </w:r>
      <w:r>
        <w:rPr/>
        <w:t>in</w:t>
      </w:r>
      <w:r>
        <w:rPr>
          <w:spacing w:val="-5"/>
        </w:rPr>
        <w:t> </w:t>
      </w:r>
      <w:r>
        <w:rPr/>
        <w:t>plasma</w:t>
      </w:r>
      <w:r>
        <w:rPr>
          <w:spacing w:val="-5"/>
        </w:rPr>
        <w:t> </w:t>
      </w:r>
      <w:r>
        <w:rPr/>
        <w:t>and</w:t>
      </w:r>
      <w:r>
        <w:rPr>
          <w:spacing w:val="-5"/>
        </w:rPr>
        <w:t> </w:t>
      </w:r>
      <w:r>
        <w:rPr/>
        <w:t>cerebrospinal</w:t>
      </w:r>
      <w:r>
        <w:rPr>
          <w:spacing w:val="-2"/>
        </w:rPr>
        <w:t> </w:t>
      </w:r>
      <w:r>
        <w:rPr/>
        <w:t>fluid</w:t>
      </w:r>
      <w:r>
        <w:rPr>
          <w:spacing w:val="-5"/>
        </w:rPr>
        <w:t> </w:t>
      </w:r>
      <w:r>
        <w:rPr/>
        <w:t>samples. J Med Vir.; in</w:t>
      </w:r>
      <w:r>
        <w:rPr>
          <w:spacing w:val="-4"/>
        </w:rPr>
        <w:t> </w:t>
      </w:r>
      <w:r>
        <w:rPr/>
        <w:t>press</w:t>
      </w:r>
    </w:p>
    <w:p>
      <w:pPr>
        <w:pStyle w:val="BodyText"/>
        <w:spacing w:line="271" w:lineRule="auto" w:before="209"/>
        <w:ind w:left="139" w:right="141"/>
        <w:jc w:val="both"/>
      </w:pPr>
      <w:r>
        <w:rPr/>
        <w:t>66.- Toledo SJ, García MC. (2000). Nutrición y alimentación de tilapia cultivada en América Latina y el Caribe.</w:t>
      </w:r>
      <w:r>
        <w:rPr>
          <w:spacing w:val="61"/>
        </w:rPr>
        <w:t> </w:t>
      </w:r>
      <w:r>
        <w:rPr/>
        <w:t>83-137.</w:t>
      </w:r>
    </w:p>
    <w:p>
      <w:pPr>
        <w:spacing w:after="0" w:line="271" w:lineRule="auto"/>
        <w:jc w:val="both"/>
        <w:sectPr>
          <w:pgSz w:w="12240" w:h="15840"/>
          <w:pgMar w:header="752" w:footer="998" w:top="1000" w:bottom="1180" w:left="1560" w:right="1560"/>
        </w:sectPr>
      </w:pPr>
    </w:p>
    <w:p>
      <w:pPr>
        <w:pStyle w:val="BodyText"/>
        <w:rPr>
          <w:sz w:val="29"/>
        </w:rPr>
      </w:pPr>
    </w:p>
    <w:p>
      <w:pPr>
        <w:pStyle w:val="BodyText"/>
        <w:spacing w:line="276" w:lineRule="auto" w:before="70"/>
        <w:ind w:left="139" w:right="141"/>
        <w:jc w:val="both"/>
      </w:pPr>
      <w:r>
        <w:rPr/>
        <w:t>67.- Vásquez MG, Penagos CL, Iregui CC. (2011). Técnicas de necropsia y toma de muestras para histopatología y microbiología en peces, Laboratorio de Patobiología, Facultad de Medicina Veterinaria y Zootecnia, Universidad Nacional de Colombia.</w:t>
      </w:r>
    </w:p>
    <w:p>
      <w:pPr>
        <w:pStyle w:val="BodyText"/>
        <w:spacing w:line="276" w:lineRule="auto" w:before="202"/>
        <w:ind w:left="139" w:right="136"/>
        <w:jc w:val="both"/>
      </w:pPr>
      <w:r>
        <w:rPr/>
        <w:t>68.- Weinstein MR, Litt M, Kertesz DA, Wyper P, Rose D, Coulter M, McGeer A, Facklam R, Ostach C, Willey BM, Borczyk A, Low DE. (1997). Invasive infections due to a fish pathogen, </w:t>
      </w:r>
      <w:r>
        <w:rPr>
          <w:i/>
        </w:rPr>
        <w:t>Streptococcus iniae</w:t>
      </w:r>
      <w:r>
        <w:rPr/>
        <w:t>. N England J Med.; 337:589–594.</w:t>
      </w:r>
    </w:p>
    <w:p>
      <w:pPr>
        <w:spacing w:line="276" w:lineRule="auto" w:before="202"/>
        <w:ind w:left="139" w:right="133" w:firstLine="0"/>
        <w:jc w:val="both"/>
        <w:rPr>
          <w:sz w:val="24"/>
        </w:rPr>
      </w:pPr>
      <w:r>
        <w:rPr>
          <w:sz w:val="24"/>
        </w:rPr>
        <w:t>69.- Zerihun AM, Feist SW, Bucke D, Olsen AB, Tandstad NM, Colquhoun DJ. (2011). </w:t>
      </w:r>
      <w:r>
        <w:rPr>
          <w:i/>
          <w:sz w:val="24"/>
        </w:rPr>
        <w:t>Francisella noatunensis </w:t>
      </w:r>
      <w:r>
        <w:rPr>
          <w:sz w:val="24"/>
        </w:rPr>
        <w:t>subsp. </w:t>
      </w:r>
      <w:r>
        <w:rPr>
          <w:i/>
          <w:sz w:val="24"/>
        </w:rPr>
        <w:t>noatunensis </w:t>
      </w:r>
      <w:r>
        <w:rPr>
          <w:sz w:val="24"/>
        </w:rPr>
        <w:t>is the aetiological agent of visceral granulomatosis in wild Atlantic cod </w:t>
      </w:r>
      <w:r>
        <w:rPr>
          <w:i/>
          <w:sz w:val="24"/>
        </w:rPr>
        <w:t>Gadus morhua. </w:t>
      </w:r>
      <w:r>
        <w:rPr>
          <w:sz w:val="24"/>
        </w:rPr>
        <w:t>Dis Aquat Org.; 95: 65– 71.</w:t>
      </w:r>
    </w:p>
    <w:sectPr>
      <w:footerReference w:type="default" r:id="rId56"/>
      <w:pgSz w:w="12240" w:h="15840"/>
      <w:pgMar w:footer="998" w:header="752" w:top="1000" w:bottom="1180" w:left="1560" w:right="156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Wingdings">
    <w:altName w:val="Wingdings"/>
    <w:charset w:val="2"/>
    <w:family w:val="auto"/>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69.710007pt;margin-top:658.586243pt;width:358.55pt;height:14pt;mso-position-horizontal-relative:page;mso-position-vertical-relative:page;z-index:-94672" type="#_x0000_t202" filled="false" stroked="false">
          <v:textbox inset="0,0,0,0">
            <w:txbxContent>
              <w:p>
                <w:pPr>
                  <w:pStyle w:val="BodyText"/>
                  <w:spacing w:line="265" w:lineRule="exact"/>
                  <w:ind w:left="20"/>
                </w:pPr>
                <w:r>
                  <w:rPr/>
                  <w:t>El Cerrillo Piedras Blancas, Toluca, Estado de México. Mayo 2015.</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979980pt;margin-top:731.096008pt;width:15.05pt;height:13.05pt;mso-position-horizontal-relative:page;mso-position-vertical-relative:page;z-index:-9440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979980pt;margin-top:730.856018pt;width:13.05pt;height:13.05pt;mso-position-horizontal-relative:page;mso-position-vertical-relative:page;z-index:-94384" type="#_x0000_t202" filled="false" stroked="false">
          <v:textbox inset="0,0,0,0">
            <w:txbxContent>
              <w:p>
                <w:pPr>
                  <w:spacing w:line="245" w:lineRule="exact" w:before="0"/>
                  <w:ind w:left="20" w:right="-2" w:firstLine="0"/>
                  <w:jc w:val="left"/>
                  <w:rPr>
                    <w:rFonts w:ascii="Calibri"/>
                    <w:sz w:val="22"/>
                  </w:rPr>
                </w:pPr>
                <w:r>
                  <w:rPr>
                    <w:rFonts w:ascii="Calibri"/>
                    <w:sz w:val="22"/>
                  </w:rPr>
                  <w:t>40</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979980pt;margin-top:730.856018pt;width:15.05pt;height:13.05pt;mso-position-horizontal-relative:page;mso-position-vertical-relative:page;z-index:-9436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41</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979980pt;margin-top:730.856018pt;width:13.05pt;height:13.05pt;mso-position-horizontal-relative:page;mso-position-vertical-relative:page;z-index:-94336" type="#_x0000_t202" filled="false" stroked="false">
          <v:textbox inset="0,0,0,0">
            <w:txbxContent>
              <w:p>
                <w:pPr>
                  <w:spacing w:line="245" w:lineRule="exact" w:before="0"/>
                  <w:ind w:left="20" w:right="-2" w:firstLine="0"/>
                  <w:jc w:val="left"/>
                  <w:rPr>
                    <w:rFonts w:ascii="Calibri"/>
                    <w:sz w:val="22"/>
                  </w:rPr>
                </w:pPr>
                <w:r>
                  <w:rPr>
                    <w:rFonts w:ascii="Calibri"/>
                    <w:sz w:val="22"/>
                  </w:rPr>
                  <w:t>50</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979980pt;margin-top:730.856018pt;width:15.05pt;height:13.3pt;mso-position-horizontal-relative:page;mso-position-vertical-relative:page;z-index:-94312" type="#_x0000_t202" filled="false" stroked="false">
          <v:textbox inset="0,0,0,0">
            <w:txbxContent>
              <w:p>
                <w:pPr>
                  <w:spacing w:line="249"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55</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979980pt;margin-top:731.096008pt;width:13.05pt;height:13.05pt;mso-position-horizontal-relative:page;mso-position-vertical-relative:page;z-index:-94288" type="#_x0000_t202" filled="false" stroked="false">
          <v:textbox inset="0,0,0,0">
            <w:txbxContent>
              <w:p>
                <w:pPr>
                  <w:spacing w:line="245" w:lineRule="exact" w:before="0"/>
                  <w:ind w:left="20" w:right="-2" w:firstLine="0"/>
                  <w:jc w:val="left"/>
                  <w:rPr>
                    <w:rFonts w:ascii="Calibri"/>
                    <w:sz w:val="22"/>
                  </w:rPr>
                </w:pPr>
                <w:r>
                  <w:rPr>
                    <w:rFonts w:ascii="Calibri"/>
                    <w:sz w:val="22"/>
                  </w:rPr>
                  <w:t>60</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979980pt;margin-top:731.096008pt;width:15.05pt;height:13.05pt;mso-position-horizontal-relative:page;mso-position-vertical-relative:page;z-index:-9426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61</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979980pt;margin-top:731.096008pt;width:13.05pt;height:13.05pt;mso-position-horizontal-relative:page;mso-position-vertical-relative:page;z-index:-94240" type="#_x0000_t202" filled="false" stroked="false">
          <v:textbox inset="0,0,0,0">
            <w:txbxContent>
              <w:p>
                <w:pPr>
                  <w:spacing w:line="245" w:lineRule="exact" w:before="0"/>
                  <w:ind w:left="20" w:right="-2" w:firstLine="0"/>
                  <w:jc w:val="left"/>
                  <w:rPr>
                    <w:rFonts w:ascii="Calibri"/>
                    <w:sz w:val="22"/>
                  </w:rPr>
                </w:pPr>
                <w:r>
                  <w:rPr>
                    <w:rFonts w:ascii="Calibri"/>
                    <w:sz w:val="22"/>
                  </w:rPr>
                  <w:t>70</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979980pt;margin-top:731.096008pt;width:15.05pt;height:13.05pt;mso-position-horizontal-relative:page;mso-position-vertical-relative:page;z-index:-9421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71</w:t>
                </w:r>
                <w:r>
                  <w:rPr/>
                  <w:fldChar w:fldCharType="end"/>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979980pt;margin-top:731.096008pt;width:13.05pt;height:13.05pt;mso-position-horizontal-relative:page;mso-position-vertical-relative:page;z-index:-94192" type="#_x0000_t202" filled="false" stroked="false">
          <v:textbox inset="0,0,0,0">
            <w:txbxContent>
              <w:p>
                <w:pPr>
                  <w:spacing w:line="245" w:lineRule="exact" w:before="0"/>
                  <w:ind w:left="20" w:right="-2" w:firstLine="0"/>
                  <w:jc w:val="left"/>
                  <w:rPr>
                    <w:rFonts w:ascii="Calibri"/>
                    <w:sz w:val="22"/>
                  </w:rPr>
                </w:pPr>
                <w:r>
                  <w:rPr>
                    <w:rFonts w:ascii="Calibri"/>
                    <w:sz w:val="22"/>
                  </w:rPr>
                  <w:t>80</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539978pt;margin-top:731.096008pt;width:16.8pt;height:13.05pt;mso-position-horizontal-relative:page;mso-position-vertical-relative:page;z-index:-9460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 roman </w:instrText>
                </w:r>
                <w:r>
                  <w:rPr/>
                  <w:fldChar w:fldCharType="separate"/>
                </w:r>
                <w:r>
                  <w:rPr/>
                  <w:t>viii</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7.820007pt;margin-top:731.096008pt;width:11.55pt;height:13.05pt;mso-position-horizontal-relative:page;mso-position-vertical-relative:page;z-index:-9457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 roman </w:instrText>
                </w:r>
                <w:r>
                  <w:rPr/>
                  <w:fldChar w:fldCharType="separate"/>
                </w:r>
                <w:r>
                  <w:rPr/>
                  <w:t>ix</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9.5pt;margin-top:731.096008pt;width:9.6pt;height:13.05pt;mso-position-horizontal-relative:page;mso-position-vertical-relative:page;z-index:-9455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1</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979980pt;margin-top:731.096008pt;width:13.05pt;height:13.05pt;mso-position-horizontal-relative:page;mso-position-vertical-relative:page;z-index:-94528" type="#_x0000_t202" filled="false" stroked="false">
          <v:textbox inset="0,0,0,0">
            <w:txbxContent>
              <w:p>
                <w:pPr>
                  <w:spacing w:line="245" w:lineRule="exact" w:before="0"/>
                  <w:ind w:left="20" w:right="-2" w:firstLine="0"/>
                  <w:jc w:val="left"/>
                  <w:rPr>
                    <w:rFonts w:ascii="Calibri"/>
                    <w:sz w:val="22"/>
                  </w:rPr>
                </w:pPr>
                <w:r>
                  <w:rPr>
                    <w:rFonts w:ascii="Calibri"/>
                    <w:sz w:val="22"/>
                  </w:rPr>
                  <w:t>10</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979980pt;margin-top:731.096008pt;width:15.15pt;height:13.05pt;mso-position-horizontal-relative:page;mso-position-vertical-relative:page;z-index:-9450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15</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979980pt;margin-top:731.096008pt;width:13.05pt;height:13.05pt;mso-position-horizontal-relative:page;mso-position-vertical-relative:page;z-index:-94480" type="#_x0000_t202" filled="false" stroked="false">
          <v:textbox inset="0,0,0,0">
            <w:txbxContent>
              <w:p>
                <w:pPr>
                  <w:spacing w:line="245" w:lineRule="exact" w:before="0"/>
                  <w:ind w:left="20" w:right="-2" w:firstLine="0"/>
                  <w:jc w:val="left"/>
                  <w:rPr>
                    <w:rFonts w:ascii="Calibri"/>
                    <w:sz w:val="22"/>
                  </w:rPr>
                </w:pPr>
                <w:r>
                  <w:rPr>
                    <w:rFonts w:ascii="Calibri"/>
                    <w:sz w:val="22"/>
                  </w:rPr>
                  <w:t>20</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979980pt;margin-top:731.096008pt;width:15.05pt;height:13.05pt;mso-position-horizontal-relative:page;mso-position-vertical-relative:page;z-index:-9445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979980pt;margin-top:731.096008pt;width:13.05pt;height:13.05pt;mso-position-horizontal-relative:page;mso-position-vertical-relative:page;z-index:-94432" type="#_x0000_t202" filled="false" stroked="false">
          <v:textbox inset="0,0,0,0">
            <w:txbxContent>
              <w:p>
                <w:pPr>
                  <w:spacing w:line="245" w:lineRule="exact" w:before="0"/>
                  <w:ind w:left="20" w:right="-2" w:firstLine="0"/>
                  <w:jc w:val="left"/>
                  <w:rPr>
                    <w:rFonts w:ascii="Calibri"/>
                    <w:sz w:val="22"/>
                  </w:rPr>
                </w:pPr>
                <w:r>
                  <w:rPr>
                    <w:rFonts w:ascii="Calibri"/>
                    <w:sz w:val="22"/>
                  </w:rPr>
                  <w:t>30</w:t>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40735">
          <wp:simplePos x="0" y="0"/>
          <wp:positionH relativeFrom="page">
            <wp:posOffset>996696</wp:posOffset>
          </wp:positionH>
          <wp:positionV relativeFrom="page">
            <wp:posOffset>743712</wp:posOffset>
          </wp:positionV>
          <wp:extent cx="1066800" cy="1066800"/>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1" cstate="print"/>
                  <a:stretch>
                    <a:fillRect/>
                  </a:stretch>
                </pic:blipFill>
                <pic:spPr>
                  <a:xfrm>
                    <a:off x="0" y="0"/>
                    <a:ext cx="1066800" cy="1066800"/>
                  </a:xfrm>
                  <a:prstGeom prst="rect">
                    <a:avLst/>
                  </a:prstGeom>
                </pic:spPr>
              </pic:pic>
            </a:graphicData>
          </a:graphic>
        </wp:anchor>
      </w:drawing>
    </w:r>
    <w:r>
      <w:rPr/>
      <w:pict>
        <v:shapetype id="_x0000_t202" o:spt="202" coordsize="21600,21600" path="m,l,21600r21600,l21600,xe">
          <v:stroke joinstyle="miter"/>
          <v:path gradientshapeok="t" o:connecttype="rect"/>
        </v:shapetype>
        <v:shape style="position:absolute;margin-left:190.110001pt;margin-top:70.896225pt;width:306.5pt;height:14pt;mso-position-horizontal-relative:page;mso-position-vertical-relative:page;z-index:-94696" type="#_x0000_t202" filled="false" stroked="false">
          <v:textbox inset="0,0,0,0">
            <w:txbxContent>
              <w:p>
                <w:pPr>
                  <w:pStyle w:val="BodyText"/>
                  <w:spacing w:line="265" w:lineRule="exact"/>
                  <w:ind w:left="20" w:right="-5"/>
                </w:pPr>
                <w:r>
                  <w:rPr/>
                  <w:t>UNIVERSIDAD AUTÓNOMA DEL ESTADO DE MÉXICO</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4648" from="83.543999pt,50.18pt" to="528.453999pt,50.18pt" stroked="true" strokeweight=".48pt" strokecolor="#000000">
          <w10:wrap type="none"/>
        </v:line>
      </w:pict>
    </w:r>
    <w:r>
      <w:rPr/>
      <w:pict>
        <v:shape style="position:absolute;margin-left:86.648003pt;margin-top:36.580002pt;width:441.6pt;height:13.05pt;mso-position-horizontal-relative:page;mso-position-vertical-relative:page;z-index:-94624" type="#_x0000_t202" filled="false" stroked="false">
          <v:textbox inset="0,0,0,0">
            <w:txbxContent>
              <w:p>
                <w:pPr>
                  <w:spacing w:line="245" w:lineRule="exact" w:before="0"/>
                  <w:ind w:left="20" w:right="0" w:firstLine="0"/>
                  <w:jc w:val="left"/>
                  <w:rPr>
                    <w:rFonts w:ascii="Calibri" w:hAnsi="Calibri"/>
                    <w:sz w:val="22"/>
                  </w:rPr>
                </w:pPr>
                <w:r>
                  <w:rPr>
                    <w:rFonts w:ascii="Calibri" w:hAnsi="Calibri"/>
                    <w:sz w:val="22"/>
                  </w:rPr>
                  <w:t>Comparación de técnicas de diagnóstico de </w:t>
                </w:r>
                <w:r>
                  <w:rPr>
                    <w:rFonts w:ascii="Calibri" w:hAnsi="Calibri"/>
                    <w:i/>
                    <w:sz w:val="22"/>
                  </w:rPr>
                  <w:t>Francisella </w:t>
                </w:r>
                <w:r>
                  <w:rPr>
                    <w:rFonts w:ascii="Calibri" w:hAnsi="Calibri"/>
                    <w:sz w:val="22"/>
                  </w:rPr>
                  <w:t>sp. en muestras de Tilapia (</w:t>
                </w:r>
                <w:r>
                  <w:rPr>
                    <w:rFonts w:ascii="Calibri" w:hAnsi="Calibri"/>
                    <w:i/>
                    <w:sz w:val="22"/>
                  </w:rPr>
                  <w:t>Oreochomis </w:t>
                </w:r>
                <w:r>
                  <w:rPr>
                    <w:rFonts w:ascii="Calibri" w:hAnsi="Calibri"/>
                    <w:sz w:val="22"/>
                  </w:rPr>
                  <w:t>sp.)</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0">
    <w:multiLevelType w:val="hybridMultilevel"/>
    <w:lvl w:ilvl="0">
      <w:start w:val="18"/>
      <w:numFmt w:val="decimal"/>
      <w:lvlText w:val="%1"/>
      <w:lvlJc w:val="left"/>
      <w:pPr>
        <w:ind w:left="699" w:hanging="581"/>
        <w:jc w:val="left"/>
      </w:pPr>
      <w:rPr>
        <w:rFonts w:hint="default" w:ascii="Calibri" w:hAnsi="Calibri" w:eastAsia="Calibri" w:cs="Calibri"/>
        <w:spacing w:val="-2"/>
        <w:w w:val="100"/>
        <w:sz w:val="22"/>
        <w:szCs w:val="22"/>
      </w:rPr>
    </w:lvl>
    <w:lvl w:ilvl="1">
      <w:start w:val="1"/>
      <w:numFmt w:val="bullet"/>
      <w:lvlText w:val="•"/>
      <w:lvlJc w:val="left"/>
      <w:pPr>
        <w:ind w:left="860" w:hanging="581"/>
      </w:pPr>
      <w:rPr>
        <w:rFonts w:hint="default"/>
      </w:rPr>
    </w:lvl>
    <w:lvl w:ilvl="2">
      <w:start w:val="1"/>
      <w:numFmt w:val="bullet"/>
      <w:lvlText w:val="•"/>
      <w:lvlJc w:val="left"/>
      <w:pPr>
        <w:ind w:left="1240" w:hanging="581"/>
      </w:pPr>
      <w:rPr>
        <w:rFonts w:hint="default"/>
      </w:rPr>
    </w:lvl>
    <w:lvl w:ilvl="3">
      <w:start w:val="1"/>
      <w:numFmt w:val="bullet"/>
      <w:lvlText w:val="•"/>
      <w:lvlJc w:val="left"/>
      <w:pPr>
        <w:ind w:left="2225" w:hanging="581"/>
      </w:pPr>
      <w:rPr>
        <w:rFonts w:hint="default"/>
      </w:rPr>
    </w:lvl>
    <w:lvl w:ilvl="4">
      <w:start w:val="1"/>
      <w:numFmt w:val="bullet"/>
      <w:lvlText w:val="•"/>
      <w:lvlJc w:val="left"/>
      <w:pPr>
        <w:ind w:left="3210" w:hanging="581"/>
      </w:pPr>
      <w:rPr>
        <w:rFonts w:hint="default"/>
      </w:rPr>
    </w:lvl>
    <w:lvl w:ilvl="5">
      <w:start w:val="1"/>
      <w:numFmt w:val="bullet"/>
      <w:lvlText w:val="•"/>
      <w:lvlJc w:val="left"/>
      <w:pPr>
        <w:ind w:left="4195" w:hanging="581"/>
      </w:pPr>
      <w:rPr>
        <w:rFonts w:hint="default"/>
      </w:rPr>
    </w:lvl>
    <w:lvl w:ilvl="6">
      <w:start w:val="1"/>
      <w:numFmt w:val="bullet"/>
      <w:lvlText w:val="•"/>
      <w:lvlJc w:val="left"/>
      <w:pPr>
        <w:ind w:left="5180" w:hanging="581"/>
      </w:pPr>
      <w:rPr>
        <w:rFonts w:hint="default"/>
      </w:rPr>
    </w:lvl>
    <w:lvl w:ilvl="7">
      <w:start w:val="1"/>
      <w:numFmt w:val="bullet"/>
      <w:lvlText w:val="•"/>
      <w:lvlJc w:val="left"/>
      <w:pPr>
        <w:ind w:left="6165" w:hanging="581"/>
      </w:pPr>
      <w:rPr>
        <w:rFonts w:hint="default"/>
      </w:rPr>
    </w:lvl>
    <w:lvl w:ilvl="8">
      <w:start w:val="1"/>
      <w:numFmt w:val="bullet"/>
      <w:lvlText w:val="•"/>
      <w:lvlJc w:val="left"/>
      <w:pPr>
        <w:ind w:left="7150" w:hanging="581"/>
      </w:pPr>
      <w:rPr>
        <w:rFonts w:hint="default"/>
      </w:rPr>
    </w:lvl>
  </w:abstractNum>
  <w:abstractNum w:abstractNumId="29">
    <w:multiLevelType w:val="hybridMultilevel"/>
    <w:lvl w:ilvl="0">
      <w:start w:val="11"/>
      <w:numFmt w:val="decimal"/>
      <w:lvlText w:val="%1"/>
      <w:lvlJc w:val="left"/>
      <w:pPr>
        <w:ind w:left="699" w:hanging="581"/>
        <w:jc w:val="left"/>
      </w:pPr>
      <w:rPr>
        <w:rFonts w:hint="default" w:ascii="Calibri" w:hAnsi="Calibri" w:eastAsia="Calibri" w:cs="Calibri"/>
        <w:spacing w:val="-2"/>
        <w:w w:val="100"/>
        <w:sz w:val="22"/>
        <w:szCs w:val="22"/>
      </w:rPr>
    </w:lvl>
    <w:lvl w:ilvl="1">
      <w:start w:val="1"/>
      <w:numFmt w:val="bullet"/>
      <w:lvlText w:val="•"/>
      <w:lvlJc w:val="left"/>
      <w:pPr>
        <w:ind w:left="1598" w:hanging="581"/>
      </w:pPr>
      <w:rPr>
        <w:rFonts w:hint="default"/>
      </w:rPr>
    </w:lvl>
    <w:lvl w:ilvl="2">
      <w:start w:val="1"/>
      <w:numFmt w:val="bullet"/>
      <w:lvlText w:val="•"/>
      <w:lvlJc w:val="left"/>
      <w:pPr>
        <w:ind w:left="2496" w:hanging="581"/>
      </w:pPr>
      <w:rPr>
        <w:rFonts w:hint="default"/>
      </w:rPr>
    </w:lvl>
    <w:lvl w:ilvl="3">
      <w:start w:val="1"/>
      <w:numFmt w:val="bullet"/>
      <w:lvlText w:val="•"/>
      <w:lvlJc w:val="left"/>
      <w:pPr>
        <w:ind w:left="3394" w:hanging="581"/>
      </w:pPr>
      <w:rPr>
        <w:rFonts w:hint="default"/>
      </w:rPr>
    </w:lvl>
    <w:lvl w:ilvl="4">
      <w:start w:val="1"/>
      <w:numFmt w:val="bullet"/>
      <w:lvlText w:val="•"/>
      <w:lvlJc w:val="left"/>
      <w:pPr>
        <w:ind w:left="4292" w:hanging="581"/>
      </w:pPr>
      <w:rPr>
        <w:rFonts w:hint="default"/>
      </w:rPr>
    </w:lvl>
    <w:lvl w:ilvl="5">
      <w:start w:val="1"/>
      <w:numFmt w:val="bullet"/>
      <w:lvlText w:val="•"/>
      <w:lvlJc w:val="left"/>
      <w:pPr>
        <w:ind w:left="5190" w:hanging="581"/>
      </w:pPr>
      <w:rPr>
        <w:rFonts w:hint="default"/>
      </w:rPr>
    </w:lvl>
    <w:lvl w:ilvl="6">
      <w:start w:val="1"/>
      <w:numFmt w:val="bullet"/>
      <w:lvlText w:val="•"/>
      <w:lvlJc w:val="left"/>
      <w:pPr>
        <w:ind w:left="6088" w:hanging="581"/>
      </w:pPr>
      <w:rPr>
        <w:rFonts w:hint="default"/>
      </w:rPr>
    </w:lvl>
    <w:lvl w:ilvl="7">
      <w:start w:val="1"/>
      <w:numFmt w:val="bullet"/>
      <w:lvlText w:val="•"/>
      <w:lvlJc w:val="left"/>
      <w:pPr>
        <w:ind w:left="6986" w:hanging="581"/>
      </w:pPr>
      <w:rPr>
        <w:rFonts w:hint="default"/>
      </w:rPr>
    </w:lvl>
    <w:lvl w:ilvl="8">
      <w:start w:val="1"/>
      <w:numFmt w:val="bullet"/>
      <w:lvlText w:val="•"/>
      <w:lvlJc w:val="left"/>
      <w:pPr>
        <w:ind w:left="7884" w:hanging="581"/>
      </w:pPr>
      <w:rPr>
        <w:rFonts w:hint="default"/>
      </w:rPr>
    </w:lvl>
  </w:abstractNum>
  <w:abstractNum w:abstractNumId="28">
    <w:multiLevelType w:val="hybridMultilevel"/>
    <w:lvl w:ilvl="0">
      <w:start w:val="20"/>
      <w:numFmt w:val="decimal"/>
      <w:lvlText w:val="%1"/>
      <w:lvlJc w:val="left"/>
      <w:pPr>
        <w:ind w:left="699" w:hanging="581"/>
        <w:jc w:val="left"/>
      </w:pPr>
      <w:rPr>
        <w:rFonts w:hint="default" w:ascii="Calibri" w:hAnsi="Calibri" w:eastAsia="Calibri" w:cs="Calibri"/>
        <w:spacing w:val="-2"/>
        <w:w w:val="100"/>
        <w:sz w:val="22"/>
        <w:szCs w:val="22"/>
      </w:rPr>
    </w:lvl>
    <w:lvl w:ilvl="1">
      <w:start w:val="1"/>
      <w:numFmt w:val="decimal"/>
      <w:lvlText w:val="%2"/>
      <w:lvlJc w:val="left"/>
      <w:pPr>
        <w:ind w:left="699" w:hanging="471"/>
        <w:jc w:val="left"/>
      </w:pPr>
      <w:rPr>
        <w:rFonts w:hint="default" w:ascii="Calibri" w:hAnsi="Calibri" w:eastAsia="Calibri" w:cs="Calibri"/>
        <w:w w:val="100"/>
        <w:sz w:val="22"/>
        <w:szCs w:val="22"/>
      </w:rPr>
    </w:lvl>
    <w:lvl w:ilvl="2">
      <w:start w:val="1"/>
      <w:numFmt w:val="bullet"/>
      <w:lvlText w:val="•"/>
      <w:lvlJc w:val="left"/>
      <w:pPr>
        <w:ind w:left="2496" w:hanging="471"/>
      </w:pPr>
      <w:rPr>
        <w:rFonts w:hint="default"/>
      </w:rPr>
    </w:lvl>
    <w:lvl w:ilvl="3">
      <w:start w:val="1"/>
      <w:numFmt w:val="bullet"/>
      <w:lvlText w:val="•"/>
      <w:lvlJc w:val="left"/>
      <w:pPr>
        <w:ind w:left="3394" w:hanging="471"/>
      </w:pPr>
      <w:rPr>
        <w:rFonts w:hint="default"/>
      </w:rPr>
    </w:lvl>
    <w:lvl w:ilvl="4">
      <w:start w:val="1"/>
      <w:numFmt w:val="bullet"/>
      <w:lvlText w:val="•"/>
      <w:lvlJc w:val="left"/>
      <w:pPr>
        <w:ind w:left="4292" w:hanging="471"/>
      </w:pPr>
      <w:rPr>
        <w:rFonts w:hint="default"/>
      </w:rPr>
    </w:lvl>
    <w:lvl w:ilvl="5">
      <w:start w:val="1"/>
      <w:numFmt w:val="bullet"/>
      <w:lvlText w:val="•"/>
      <w:lvlJc w:val="left"/>
      <w:pPr>
        <w:ind w:left="5190" w:hanging="471"/>
      </w:pPr>
      <w:rPr>
        <w:rFonts w:hint="default"/>
      </w:rPr>
    </w:lvl>
    <w:lvl w:ilvl="6">
      <w:start w:val="1"/>
      <w:numFmt w:val="bullet"/>
      <w:lvlText w:val="•"/>
      <w:lvlJc w:val="left"/>
      <w:pPr>
        <w:ind w:left="6088" w:hanging="471"/>
      </w:pPr>
      <w:rPr>
        <w:rFonts w:hint="default"/>
      </w:rPr>
    </w:lvl>
    <w:lvl w:ilvl="7">
      <w:start w:val="1"/>
      <w:numFmt w:val="bullet"/>
      <w:lvlText w:val="•"/>
      <w:lvlJc w:val="left"/>
      <w:pPr>
        <w:ind w:left="6986" w:hanging="471"/>
      </w:pPr>
      <w:rPr>
        <w:rFonts w:hint="default"/>
      </w:rPr>
    </w:lvl>
    <w:lvl w:ilvl="8">
      <w:start w:val="1"/>
      <w:numFmt w:val="bullet"/>
      <w:lvlText w:val="•"/>
      <w:lvlJc w:val="left"/>
      <w:pPr>
        <w:ind w:left="7884" w:hanging="471"/>
      </w:pPr>
      <w:rPr>
        <w:rFonts w:hint="default"/>
      </w:rPr>
    </w:lvl>
  </w:abstractNum>
  <w:abstractNum w:abstractNumId="27">
    <w:multiLevelType w:val="hybridMultilevel"/>
    <w:lvl w:ilvl="0">
      <w:start w:val="17"/>
      <w:numFmt w:val="decimal"/>
      <w:lvlText w:val="%1"/>
      <w:lvlJc w:val="left"/>
      <w:pPr>
        <w:ind w:left="699" w:hanging="581"/>
        <w:jc w:val="left"/>
      </w:pPr>
      <w:rPr>
        <w:rFonts w:hint="default" w:ascii="Calibri" w:hAnsi="Calibri" w:eastAsia="Calibri" w:cs="Calibri"/>
        <w:spacing w:val="-2"/>
        <w:w w:val="100"/>
        <w:sz w:val="22"/>
        <w:szCs w:val="22"/>
      </w:rPr>
    </w:lvl>
    <w:lvl w:ilvl="1">
      <w:start w:val="1"/>
      <w:numFmt w:val="bullet"/>
      <w:lvlText w:val="•"/>
      <w:lvlJc w:val="left"/>
      <w:pPr>
        <w:ind w:left="1598" w:hanging="581"/>
      </w:pPr>
      <w:rPr>
        <w:rFonts w:hint="default"/>
      </w:rPr>
    </w:lvl>
    <w:lvl w:ilvl="2">
      <w:start w:val="1"/>
      <w:numFmt w:val="bullet"/>
      <w:lvlText w:val="•"/>
      <w:lvlJc w:val="left"/>
      <w:pPr>
        <w:ind w:left="2496" w:hanging="581"/>
      </w:pPr>
      <w:rPr>
        <w:rFonts w:hint="default"/>
      </w:rPr>
    </w:lvl>
    <w:lvl w:ilvl="3">
      <w:start w:val="1"/>
      <w:numFmt w:val="bullet"/>
      <w:lvlText w:val="•"/>
      <w:lvlJc w:val="left"/>
      <w:pPr>
        <w:ind w:left="3394" w:hanging="581"/>
      </w:pPr>
      <w:rPr>
        <w:rFonts w:hint="default"/>
      </w:rPr>
    </w:lvl>
    <w:lvl w:ilvl="4">
      <w:start w:val="1"/>
      <w:numFmt w:val="bullet"/>
      <w:lvlText w:val="•"/>
      <w:lvlJc w:val="left"/>
      <w:pPr>
        <w:ind w:left="4292" w:hanging="581"/>
      </w:pPr>
      <w:rPr>
        <w:rFonts w:hint="default"/>
      </w:rPr>
    </w:lvl>
    <w:lvl w:ilvl="5">
      <w:start w:val="1"/>
      <w:numFmt w:val="bullet"/>
      <w:lvlText w:val="•"/>
      <w:lvlJc w:val="left"/>
      <w:pPr>
        <w:ind w:left="5190" w:hanging="581"/>
      </w:pPr>
      <w:rPr>
        <w:rFonts w:hint="default"/>
      </w:rPr>
    </w:lvl>
    <w:lvl w:ilvl="6">
      <w:start w:val="1"/>
      <w:numFmt w:val="bullet"/>
      <w:lvlText w:val="•"/>
      <w:lvlJc w:val="left"/>
      <w:pPr>
        <w:ind w:left="6088" w:hanging="581"/>
      </w:pPr>
      <w:rPr>
        <w:rFonts w:hint="default"/>
      </w:rPr>
    </w:lvl>
    <w:lvl w:ilvl="7">
      <w:start w:val="1"/>
      <w:numFmt w:val="bullet"/>
      <w:lvlText w:val="•"/>
      <w:lvlJc w:val="left"/>
      <w:pPr>
        <w:ind w:left="6986" w:hanging="581"/>
      </w:pPr>
      <w:rPr>
        <w:rFonts w:hint="default"/>
      </w:rPr>
    </w:lvl>
    <w:lvl w:ilvl="8">
      <w:start w:val="1"/>
      <w:numFmt w:val="bullet"/>
      <w:lvlText w:val="•"/>
      <w:lvlJc w:val="left"/>
      <w:pPr>
        <w:ind w:left="7884" w:hanging="581"/>
      </w:pPr>
      <w:rPr>
        <w:rFonts w:hint="default"/>
      </w:rPr>
    </w:lvl>
  </w:abstractNum>
  <w:abstractNum w:abstractNumId="26">
    <w:multiLevelType w:val="hybridMultilevel"/>
    <w:lvl w:ilvl="0">
      <w:start w:val="4"/>
      <w:numFmt w:val="decimal"/>
      <w:lvlText w:val="%1"/>
      <w:lvlJc w:val="left"/>
      <w:pPr>
        <w:ind w:left="699" w:hanging="471"/>
        <w:jc w:val="right"/>
      </w:pPr>
      <w:rPr>
        <w:rFonts w:hint="default" w:ascii="Calibri" w:hAnsi="Calibri" w:eastAsia="Calibri" w:cs="Calibri"/>
        <w:w w:val="100"/>
        <w:sz w:val="22"/>
        <w:szCs w:val="22"/>
      </w:rPr>
    </w:lvl>
    <w:lvl w:ilvl="1">
      <w:start w:val="1"/>
      <w:numFmt w:val="bullet"/>
      <w:lvlText w:val="•"/>
      <w:lvlJc w:val="left"/>
      <w:pPr>
        <w:ind w:left="1598" w:hanging="471"/>
      </w:pPr>
      <w:rPr>
        <w:rFonts w:hint="default"/>
      </w:rPr>
    </w:lvl>
    <w:lvl w:ilvl="2">
      <w:start w:val="1"/>
      <w:numFmt w:val="bullet"/>
      <w:lvlText w:val="•"/>
      <w:lvlJc w:val="left"/>
      <w:pPr>
        <w:ind w:left="2496" w:hanging="471"/>
      </w:pPr>
      <w:rPr>
        <w:rFonts w:hint="default"/>
      </w:rPr>
    </w:lvl>
    <w:lvl w:ilvl="3">
      <w:start w:val="1"/>
      <w:numFmt w:val="bullet"/>
      <w:lvlText w:val="•"/>
      <w:lvlJc w:val="left"/>
      <w:pPr>
        <w:ind w:left="3394" w:hanging="471"/>
      </w:pPr>
      <w:rPr>
        <w:rFonts w:hint="default"/>
      </w:rPr>
    </w:lvl>
    <w:lvl w:ilvl="4">
      <w:start w:val="1"/>
      <w:numFmt w:val="bullet"/>
      <w:lvlText w:val="•"/>
      <w:lvlJc w:val="left"/>
      <w:pPr>
        <w:ind w:left="4292" w:hanging="471"/>
      </w:pPr>
      <w:rPr>
        <w:rFonts w:hint="default"/>
      </w:rPr>
    </w:lvl>
    <w:lvl w:ilvl="5">
      <w:start w:val="1"/>
      <w:numFmt w:val="bullet"/>
      <w:lvlText w:val="•"/>
      <w:lvlJc w:val="left"/>
      <w:pPr>
        <w:ind w:left="5190" w:hanging="471"/>
      </w:pPr>
      <w:rPr>
        <w:rFonts w:hint="default"/>
      </w:rPr>
    </w:lvl>
    <w:lvl w:ilvl="6">
      <w:start w:val="1"/>
      <w:numFmt w:val="bullet"/>
      <w:lvlText w:val="•"/>
      <w:lvlJc w:val="left"/>
      <w:pPr>
        <w:ind w:left="6088" w:hanging="471"/>
      </w:pPr>
      <w:rPr>
        <w:rFonts w:hint="default"/>
      </w:rPr>
    </w:lvl>
    <w:lvl w:ilvl="7">
      <w:start w:val="1"/>
      <w:numFmt w:val="bullet"/>
      <w:lvlText w:val="•"/>
      <w:lvlJc w:val="left"/>
      <w:pPr>
        <w:ind w:left="6986" w:hanging="471"/>
      </w:pPr>
      <w:rPr>
        <w:rFonts w:hint="default"/>
      </w:rPr>
    </w:lvl>
    <w:lvl w:ilvl="8">
      <w:start w:val="1"/>
      <w:numFmt w:val="bullet"/>
      <w:lvlText w:val="•"/>
      <w:lvlJc w:val="left"/>
      <w:pPr>
        <w:ind w:left="7884" w:hanging="471"/>
      </w:pPr>
      <w:rPr>
        <w:rFonts w:hint="default"/>
      </w:rPr>
    </w:lvl>
  </w:abstractNum>
  <w:abstractNum w:abstractNumId="25">
    <w:multiLevelType w:val="hybridMultilevel"/>
    <w:lvl w:ilvl="0">
      <w:start w:val="21"/>
      <w:numFmt w:val="decimal"/>
      <w:lvlText w:val="%1"/>
      <w:lvlJc w:val="left"/>
      <w:pPr>
        <w:ind w:left="699" w:hanging="581"/>
        <w:jc w:val="left"/>
      </w:pPr>
      <w:rPr>
        <w:rFonts w:hint="default" w:ascii="Calibri" w:hAnsi="Calibri" w:eastAsia="Calibri" w:cs="Calibri"/>
        <w:spacing w:val="-2"/>
        <w:w w:val="100"/>
        <w:sz w:val="22"/>
        <w:szCs w:val="22"/>
      </w:rPr>
    </w:lvl>
    <w:lvl w:ilvl="1">
      <w:start w:val="1"/>
      <w:numFmt w:val="decimal"/>
      <w:lvlText w:val="%2"/>
      <w:lvlJc w:val="left"/>
      <w:pPr>
        <w:ind w:left="699" w:hanging="471"/>
        <w:jc w:val="left"/>
      </w:pPr>
      <w:rPr>
        <w:rFonts w:hint="default" w:ascii="Calibri" w:hAnsi="Calibri" w:eastAsia="Calibri" w:cs="Calibri"/>
        <w:w w:val="100"/>
        <w:sz w:val="22"/>
        <w:szCs w:val="22"/>
      </w:rPr>
    </w:lvl>
    <w:lvl w:ilvl="2">
      <w:start w:val="1"/>
      <w:numFmt w:val="bullet"/>
      <w:lvlText w:val="•"/>
      <w:lvlJc w:val="left"/>
      <w:pPr>
        <w:ind w:left="2496" w:hanging="471"/>
      </w:pPr>
      <w:rPr>
        <w:rFonts w:hint="default"/>
      </w:rPr>
    </w:lvl>
    <w:lvl w:ilvl="3">
      <w:start w:val="1"/>
      <w:numFmt w:val="bullet"/>
      <w:lvlText w:val="•"/>
      <w:lvlJc w:val="left"/>
      <w:pPr>
        <w:ind w:left="3394" w:hanging="471"/>
      </w:pPr>
      <w:rPr>
        <w:rFonts w:hint="default"/>
      </w:rPr>
    </w:lvl>
    <w:lvl w:ilvl="4">
      <w:start w:val="1"/>
      <w:numFmt w:val="bullet"/>
      <w:lvlText w:val="•"/>
      <w:lvlJc w:val="left"/>
      <w:pPr>
        <w:ind w:left="4292" w:hanging="471"/>
      </w:pPr>
      <w:rPr>
        <w:rFonts w:hint="default"/>
      </w:rPr>
    </w:lvl>
    <w:lvl w:ilvl="5">
      <w:start w:val="1"/>
      <w:numFmt w:val="bullet"/>
      <w:lvlText w:val="•"/>
      <w:lvlJc w:val="left"/>
      <w:pPr>
        <w:ind w:left="5190" w:hanging="471"/>
      </w:pPr>
      <w:rPr>
        <w:rFonts w:hint="default"/>
      </w:rPr>
    </w:lvl>
    <w:lvl w:ilvl="6">
      <w:start w:val="1"/>
      <w:numFmt w:val="bullet"/>
      <w:lvlText w:val="•"/>
      <w:lvlJc w:val="left"/>
      <w:pPr>
        <w:ind w:left="6088" w:hanging="471"/>
      </w:pPr>
      <w:rPr>
        <w:rFonts w:hint="default"/>
      </w:rPr>
    </w:lvl>
    <w:lvl w:ilvl="7">
      <w:start w:val="1"/>
      <w:numFmt w:val="bullet"/>
      <w:lvlText w:val="•"/>
      <w:lvlJc w:val="left"/>
      <w:pPr>
        <w:ind w:left="6986" w:hanging="471"/>
      </w:pPr>
      <w:rPr>
        <w:rFonts w:hint="default"/>
      </w:rPr>
    </w:lvl>
    <w:lvl w:ilvl="8">
      <w:start w:val="1"/>
      <w:numFmt w:val="bullet"/>
      <w:lvlText w:val="•"/>
      <w:lvlJc w:val="left"/>
      <w:pPr>
        <w:ind w:left="7884" w:hanging="471"/>
      </w:pPr>
      <w:rPr>
        <w:rFonts w:hint="default"/>
      </w:rPr>
    </w:lvl>
  </w:abstractNum>
  <w:abstractNum w:abstractNumId="24">
    <w:multiLevelType w:val="hybridMultilevel"/>
    <w:lvl w:ilvl="0">
      <w:start w:val="15"/>
      <w:numFmt w:val="decimal"/>
      <w:lvlText w:val="%1"/>
      <w:lvlJc w:val="left"/>
      <w:pPr>
        <w:ind w:left="699" w:hanging="581"/>
        <w:jc w:val="left"/>
      </w:pPr>
      <w:rPr>
        <w:rFonts w:hint="default" w:ascii="Calibri" w:hAnsi="Calibri" w:eastAsia="Calibri" w:cs="Calibri"/>
        <w:spacing w:val="-2"/>
        <w:w w:val="100"/>
        <w:sz w:val="22"/>
        <w:szCs w:val="22"/>
      </w:rPr>
    </w:lvl>
    <w:lvl w:ilvl="1">
      <w:start w:val="1"/>
      <w:numFmt w:val="bullet"/>
      <w:lvlText w:val="•"/>
      <w:lvlJc w:val="left"/>
      <w:pPr>
        <w:ind w:left="1598" w:hanging="581"/>
      </w:pPr>
      <w:rPr>
        <w:rFonts w:hint="default"/>
      </w:rPr>
    </w:lvl>
    <w:lvl w:ilvl="2">
      <w:start w:val="1"/>
      <w:numFmt w:val="bullet"/>
      <w:lvlText w:val="•"/>
      <w:lvlJc w:val="left"/>
      <w:pPr>
        <w:ind w:left="2496" w:hanging="581"/>
      </w:pPr>
      <w:rPr>
        <w:rFonts w:hint="default"/>
      </w:rPr>
    </w:lvl>
    <w:lvl w:ilvl="3">
      <w:start w:val="1"/>
      <w:numFmt w:val="bullet"/>
      <w:lvlText w:val="•"/>
      <w:lvlJc w:val="left"/>
      <w:pPr>
        <w:ind w:left="3394" w:hanging="581"/>
      </w:pPr>
      <w:rPr>
        <w:rFonts w:hint="default"/>
      </w:rPr>
    </w:lvl>
    <w:lvl w:ilvl="4">
      <w:start w:val="1"/>
      <w:numFmt w:val="bullet"/>
      <w:lvlText w:val="•"/>
      <w:lvlJc w:val="left"/>
      <w:pPr>
        <w:ind w:left="4292" w:hanging="581"/>
      </w:pPr>
      <w:rPr>
        <w:rFonts w:hint="default"/>
      </w:rPr>
    </w:lvl>
    <w:lvl w:ilvl="5">
      <w:start w:val="1"/>
      <w:numFmt w:val="bullet"/>
      <w:lvlText w:val="•"/>
      <w:lvlJc w:val="left"/>
      <w:pPr>
        <w:ind w:left="5190" w:hanging="581"/>
      </w:pPr>
      <w:rPr>
        <w:rFonts w:hint="default"/>
      </w:rPr>
    </w:lvl>
    <w:lvl w:ilvl="6">
      <w:start w:val="1"/>
      <w:numFmt w:val="bullet"/>
      <w:lvlText w:val="•"/>
      <w:lvlJc w:val="left"/>
      <w:pPr>
        <w:ind w:left="6088" w:hanging="581"/>
      </w:pPr>
      <w:rPr>
        <w:rFonts w:hint="default"/>
      </w:rPr>
    </w:lvl>
    <w:lvl w:ilvl="7">
      <w:start w:val="1"/>
      <w:numFmt w:val="bullet"/>
      <w:lvlText w:val="•"/>
      <w:lvlJc w:val="left"/>
      <w:pPr>
        <w:ind w:left="6986" w:hanging="581"/>
      </w:pPr>
      <w:rPr>
        <w:rFonts w:hint="default"/>
      </w:rPr>
    </w:lvl>
    <w:lvl w:ilvl="8">
      <w:start w:val="1"/>
      <w:numFmt w:val="bullet"/>
      <w:lvlText w:val="•"/>
      <w:lvlJc w:val="left"/>
      <w:pPr>
        <w:ind w:left="7884" w:hanging="581"/>
      </w:pPr>
      <w:rPr>
        <w:rFonts w:hint="default"/>
      </w:rPr>
    </w:lvl>
  </w:abstractNum>
  <w:abstractNum w:abstractNumId="23">
    <w:multiLevelType w:val="hybridMultilevel"/>
    <w:lvl w:ilvl="0">
      <w:start w:val="10"/>
      <w:numFmt w:val="decimal"/>
      <w:lvlText w:val="%1"/>
      <w:lvlJc w:val="left"/>
      <w:pPr>
        <w:ind w:left="1405" w:hanging="1287"/>
        <w:jc w:val="left"/>
      </w:pPr>
      <w:rPr>
        <w:rFonts w:hint="default" w:ascii="Calibri" w:hAnsi="Calibri" w:eastAsia="Calibri" w:cs="Calibri"/>
        <w:spacing w:val="-2"/>
        <w:w w:val="100"/>
        <w:sz w:val="22"/>
        <w:szCs w:val="22"/>
      </w:rPr>
    </w:lvl>
    <w:lvl w:ilvl="1">
      <w:start w:val="1"/>
      <w:numFmt w:val="bullet"/>
      <w:lvlText w:val="•"/>
      <w:lvlJc w:val="left"/>
      <w:pPr>
        <w:ind w:left="2228" w:hanging="1287"/>
      </w:pPr>
      <w:rPr>
        <w:rFonts w:hint="default"/>
      </w:rPr>
    </w:lvl>
    <w:lvl w:ilvl="2">
      <w:start w:val="1"/>
      <w:numFmt w:val="bullet"/>
      <w:lvlText w:val="•"/>
      <w:lvlJc w:val="left"/>
      <w:pPr>
        <w:ind w:left="3056" w:hanging="1287"/>
      </w:pPr>
      <w:rPr>
        <w:rFonts w:hint="default"/>
      </w:rPr>
    </w:lvl>
    <w:lvl w:ilvl="3">
      <w:start w:val="1"/>
      <w:numFmt w:val="bullet"/>
      <w:lvlText w:val="•"/>
      <w:lvlJc w:val="left"/>
      <w:pPr>
        <w:ind w:left="3884" w:hanging="1287"/>
      </w:pPr>
      <w:rPr>
        <w:rFonts w:hint="default"/>
      </w:rPr>
    </w:lvl>
    <w:lvl w:ilvl="4">
      <w:start w:val="1"/>
      <w:numFmt w:val="bullet"/>
      <w:lvlText w:val="•"/>
      <w:lvlJc w:val="left"/>
      <w:pPr>
        <w:ind w:left="4712" w:hanging="1287"/>
      </w:pPr>
      <w:rPr>
        <w:rFonts w:hint="default"/>
      </w:rPr>
    </w:lvl>
    <w:lvl w:ilvl="5">
      <w:start w:val="1"/>
      <w:numFmt w:val="bullet"/>
      <w:lvlText w:val="•"/>
      <w:lvlJc w:val="left"/>
      <w:pPr>
        <w:ind w:left="5540" w:hanging="1287"/>
      </w:pPr>
      <w:rPr>
        <w:rFonts w:hint="default"/>
      </w:rPr>
    </w:lvl>
    <w:lvl w:ilvl="6">
      <w:start w:val="1"/>
      <w:numFmt w:val="bullet"/>
      <w:lvlText w:val="•"/>
      <w:lvlJc w:val="left"/>
      <w:pPr>
        <w:ind w:left="6368" w:hanging="1287"/>
      </w:pPr>
      <w:rPr>
        <w:rFonts w:hint="default"/>
      </w:rPr>
    </w:lvl>
    <w:lvl w:ilvl="7">
      <w:start w:val="1"/>
      <w:numFmt w:val="bullet"/>
      <w:lvlText w:val="•"/>
      <w:lvlJc w:val="left"/>
      <w:pPr>
        <w:ind w:left="7196" w:hanging="1287"/>
      </w:pPr>
      <w:rPr>
        <w:rFonts w:hint="default"/>
      </w:rPr>
    </w:lvl>
    <w:lvl w:ilvl="8">
      <w:start w:val="1"/>
      <w:numFmt w:val="bullet"/>
      <w:lvlText w:val="•"/>
      <w:lvlJc w:val="left"/>
      <w:pPr>
        <w:ind w:left="8024" w:hanging="1287"/>
      </w:pPr>
      <w:rPr>
        <w:rFonts w:hint="default"/>
      </w:rPr>
    </w:lvl>
  </w:abstractNum>
  <w:abstractNum w:abstractNumId="22">
    <w:multiLevelType w:val="hybridMultilevel"/>
    <w:lvl w:ilvl="0">
      <w:start w:val="27"/>
      <w:numFmt w:val="decimal"/>
      <w:lvlText w:val="%1"/>
      <w:lvlJc w:val="left"/>
      <w:pPr>
        <w:ind w:left="1405" w:hanging="1287"/>
        <w:jc w:val="left"/>
      </w:pPr>
      <w:rPr>
        <w:rFonts w:hint="default" w:ascii="Calibri" w:hAnsi="Calibri" w:eastAsia="Calibri" w:cs="Calibri"/>
        <w:spacing w:val="-2"/>
        <w:w w:val="100"/>
        <w:sz w:val="22"/>
        <w:szCs w:val="22"/>
      </w:rPr>
    </w:lvl>
    <w:lvl w:ilvl="1">
      <w:start w:val="1"/>
      <w:numFmt w:val="decimal"/>
      <w:lvlText w:val="%2"/>
      <w:lvlJc w:val="left"/>
      <w:pPr>
        <w:ind w:left="1405" w:hanging="1177"/>
        <w:jc w:val="right"/>
      </w:pPr>
      <w:rPr>
        <w:rFonts w:hint="default" w:ascii="Calibri" w:hAnsi="Calibri" w:eastAsia="Calibri" w:cs="Calibri"/>
        <w:w w:val="100"/>
        <w:sz w:val="22"/>
        <w:szCs w:val="22"/>
      </w:rPr>
    </w:lvl>
    <w:lvl w:ilvl="2">
      <w:start w:val="1"/>
      <w:numFmt w:val="decimal"/>
      <w:lvlText w:val="%3"/>
      <w:lvlJc w:val="left"/>
      <w:pPr>
        <w:ind w:left="4258" w:hanging="4029"/>
        <w:jc w:val="left"/>
      </w:pPr>
      <w:rPr>
        <w:rFonts w:hint="default" w:ascii="Calibri" w:hAnsi="Calibri" w:eastAsia="Calibri" w:cs="Calibri"/>
        <w:w w:val="100"/>
        <w:sz w:val="22"/>
        <w:szCs w:val="22"/>
      </w:rPr>
    </w:lvl>
    <w:lvl w:ilvl="3">
      <w:start w:val="1"/>
      <w:numFmt w:val="bullet"/>
      <w:lvlText w:val="•"/>
      <w:lvlJc w:val="left"/>
      <w:pPr>
        <w:ind w:left="5464" w:hanging="4029"/>
      </w:pPr>
      <w:rPr>
        <w:rFonts w:hint="default"/>
      </w:rPr>
    </w:lvl>
    <w:lvl w:ilvl="4">
      <w:start w:val="1"/>
      <w:numFmt w:val="bullet"/>
      <w:lvlText w:val="•"/>
      <w:lvlJc w:val="left"/>
      <w:pPr>
        <w:ind w:left="6066" w:hanging="4029"/>
      </w:pPr>
      <w:rPr>
        <w:rFonts w:hint="default"/>
      </w:rPr>
    </w:lvl>
    <w:lvl w:ilvl="5">
      <w:start w:val="1"/>
      <w:numFmt w:val="bullet"/>
      <w:lvlText w:val="•"/>
      <w:lvlJc w:val="left"/>
      <w:pPr>
        <w:ind w:left="6668" w:hanging="4029"/>
      </w:pPr>
      <w:rPr>
        <w:rFonts w:hint="default"/>
      </w:rPr>
    </w:lvl>
    <w:lvl w:ilvl="6">
      <w:start w:val="1"/>
      <w:numFmt w:val="bullet"/>
      <w:lvlText w:val="•"/>
      <w:lvlJc w:val="left"/>
      <w:pPr>
        <w:ind w:left="7271" w:hanging="4029"/>
      </w:pPr>
      <w:rPr>
        <w:rFonts w:hint="default"/>
      </w:rPr>
    </w:lvl>
    <w:lvl w:ilvl="7">
      <w:start w:val="1"/>
      <w:numFmt w:val="bullet"/>
      <w:lvlText w:val="•"/>
      <w:lvlJc w:val="left"/>
      <w:pPr>
        <w:ind w:left="7873" w:hanging="4029"/>
      </w:pPr>
      <w:rPr>
        <w:rFonts w:hint="default"/>
      </w:rPr>
    </w:lvl>
    <w:lvl w:ilvl="8">
      <w:start w:val="1"/>
      <w:numFmt w:val="bullet"/>
      <w:lvlText w:val="•"/>
      <w:lvlJc w:val="left"/>
      <w:pPr>
        <w:ind w:left="8475" w:hanging="4029"/>
      </w:pPr>
      <w:rPr>
        <w:rFonts w:hint="default"/>
      </w:rPr>
    </w:lvl>
  </w:abstractNum>
  <w:abstractNum w:abstractNumId="21">
    <w:multiLevelType w:val="hybridMultilevel"/>
    <w:lvl w:ilvl="0">
      <w:start w:val="1"/>
      <w:numFmt w:val="decimal"/>
      <w:lvlText w:val="%1"/>
      <w:lvlJc w:val="left"/>
      <w:pPr>
        <w:ind w:left="699" w:hanging="471"/>
        <w:jc w:val="right"/>
      </w:pPr>
      <w:rPr>
        <w:rFonts w:hint="default" w:ascii="Calibri" w:hAnsi="Calibri" w:eastAsia="Calibri" w:cs="Calibri"/>
        <w:w w:val="100"/>
        <w:sz w:val="22"/>
        <w:szCs w:val="22"/>
      </w:rPr>
    </w:lvl>
    <w:lvl w:ilvl="1">
      <w:start w:val="1"/>
      <w:numFmt w:val="decimal"/>
      <w:lvlText w:val="%2"/>
      <w:lvlJc w:val="left"/>
      <w:pPr>
        <w:ind w:left="1405" w:hanging="1177"/>
        <w:jc w:val="right"/>
      </w:pPr>
      <w:rPr>
        <w:rFonts w:hint="default" w:ascii="Calibri" w:hAnsi="Calibri" w:eastAsia="Calibri" w:cs="Calibri"/>
        <w:w w:val="100"/>
        <w:sz w:val="22"/>
        <w:szCs w:val="22"/>
      </w:rPr>
    </w:lvl>
    <w:lvl w:ilvl="2">
      <w:start w:val="1"/>
      <w:numFmt w:val="bullet"/>
      <w:lvlText w:val="•"/>
      <w:lvlJc w:val="left"/>
      <w:pPr>
        <w:ind w:left="2320" w:hanging="1177"/>
      </w:pPr>
      <w:rPr>
        <w:rFonts w:hint="default"/>
      </w:rPr>
    </w:lvl>
    <w:lvl w:ilvl="3">
      <w:start w:val="1"/>
      <w:numFmt w:val="bullet"/>
      <w:lvlText w:val="•"/>
      <w:lvlJc w:val="left"/>
      <w:pPr>
        <w:ind w:left="3240" w:hanging="1177"/>
      </w:pPr>
      <w:rPr>
        <w:rFonts w:hint="default"/>
      </w:rPr>
    </w:lvl>
    <w:lvl w:ilvl="4">
      <w:start w:val="1"/>
      <w:numFmt w:val="bullet"/>
      <w:lvlText w:val="•"/>
      <w:lvlJc w:val="left"/>
      <w:pPr>
        <w:ind w:left="4160" w:hanging="1177"/>
      </w:pPr>
      <w:rPr>
        <w:rFonts w:hint="default"/>
      </w:rPr>
    </w:lvl>
    <w:lvl w:ilvl="5">
      <w:start w:val="1"/>
      <w:numFmt w:val="bullet"/>
      <w:lvlText w:val="•"/>
      <w:lvlJc w:val="left"/>
      <w:pPr>
        <w:ind w:left="5080" w:hanging="1177"/>
      </w:pPr>
      <w:rPr>
        <w:rFonts w:hint="default"/>
      </w:rPr>
    </w:lvl>
    <w:lvl w:ilvl="6">
      <w:start w:val="1"/>
      <w:numFmt w:val="bullet"/>
      <w:lvlText w:val="•"/>
      <w:lvlJc w:val="left"/>
      <w:pPr>
        <w:ind w:left="6000" w:hanging="1177"/>
      </w:pPr>
      <w:rPr>
        <w:rFonts w:hint="default"/>
      </w:rPr>
    </w:lvl>
    <w:lvl w:ilvl="7">
      <w:start w:val="1"/>
      <w:numFmt w:val="bullet"/>
      <w:lvlText w:val="•"/>
      <w:lvlJc w:val="left"/>
      <w:pPr>
        <w:ind w:left="6920" w:hanging="1177"/>
      </w:pPr>
      <w:rPr>
        <w:rFonts w:hint="default"/>
      </w:rPr>
    </w:lvl>
    <w:lvl w:ilvl="8">
      <w:start w:val="1"/>
      <w:numFmt w:val="bullet"/>
      <w:lvlText w:val="•"/>
      <w:lvlJc w:val="left"/>
      <w:pPr>
        <w:ind w:left="7840" w:hanging="1177"/>
      </w:pPr>
      <w:rPr>
        <w:rFonts w:hint="default"/>
      </w:rPr>
    </w:lvl>
  </w:abstractNum>
  <w:abstractNum w:abstractNumId="20">
    <w:multiLevelType w:val="hybridMultilevel"/>
    <w:lvl w:ilvl="0">
      <w:start w:val="1"/>
      <w:numFmt w:val="decimal"/>
      <w:lvlText w:val="%1"/>
      <w:lvlJc w:val="left"/>
      <w:pPr>
        <w:ind w:left="699" w:hanging="471"/>
        <w:jc w:val="right"/>
      </w:pPr>
      <w:rPr>
        <w:rFonts w:hint="default" w:ascii="Calibri" w:hAnsi="Calibri" w:eastAsia="Calibri" w:cs="Calibri"/>
        <w:w w:val="100"/>
        <w:sz w:val="22"/>
        <w:szCs w:val="22"/>
      </w:rPr>
    </w:lvl>
    <w:lvl w:ilvl="1">
      <w:start w:val="1"/>
      <w:numFmt w:val="bullet"/>
      <w:lvlText w:val="•"/>
      <w:lvlJc w:val="left"/>
      <w:pPr>
        <w:ind w:left="1598" w:hanging="471"/>
      </w:pPr>
      <w:rPr>
        <w:rFonts w:hint="default"/>
      </w:rPr>
    </w:lvl>
    <w:lvl w:ilvl="2">
      <w:start w:val="1"/>
      <w:numFmt w:val="bullet"/>
      <w:lvlText w:val="•"/>
      <w:lvlJc w:val="left"/>
      <w:pPr>
        <w:ind w:left="2496" w:hanging="471"/>
      </w:pPr>
      <w:rPr>
        <w:rFonts w:hint="default"/>
      </w:rPr>
    </w:lvl>
    <w:lvl w:ilvl="3">
      <w:start w:val="1"/>
      <w:numFmt w:val="bullet"/>
      <w:lvlText w:val="•"/>
      <w:lvlJc w:val="left"/>
      <w:pPr>
        <w:ind w:left="3394" w:hanging="471"/>
      </w:pPr>
      <w:rPr>
        <w:rFonts w:hint="default"/>
      </w:rPr>
    </w:lvl>
    <w:lvl w:ilvl="4">
      <w:start w:val="1"/>
      <w:numFmt w:val="bullet"/>
      <w:lvlText w:val="•"/>
      <w:lvlJc w:val="left"/>
      <w:pPr>
        <w:ind w:left="4292" w:hanging="471"/>
      </w:pPr>
      <w:rPr>
        <w:rFonts w:hint="default"/>
      </w:rPr>
    </w:lvl>
    <w:lvl w:ilvl="5">
      <w:start w:val="1"/>
      <w:numFmt w:val="bullet"/>
      <w:lvlText w:val="•"/>
      <w:lvlJc w:val="left"/>
      <w:pPr>
        <w:ind w:left="5190" w:hanging="471"/>
      </w:pPr>
      <w:rPr>
        <w:rFonts w:hint="default"/>
      </w:rPr>
    </w:lvl>
    <w:lvl w:ilvl="6">
      <w:start w:val="1"/>
      <w:numFmt w:val="bullet"/>
      <w:lvlText w:val="•"/>
      <w:lvlJc w:val="left"/>
      <w:pPr>
        <w:ind w:left="6088" w:hanging="471"/>
      </w:pPr>
      <w:rPr>
        <w:rFonts w:hint="default"/>
      </w:rPr>
    </w:lvl>
    <w:lvl w:ilvl="7">
      <w:start w:val="1"/>
      <w:numFmt w:val="bullet"/>
      <w:lvlText w:val="•"/>
      <w:lvlJc w:val="left"/>
      <w:pPr>
        <w:ind w:left="6986" w:hanging="471"/>
      </w:pPr>
      <w:rPr>
        <w:rFonts w:hint="default"/>
      </w:rPr>
    </w:lvl>
    <w:lvl w:ilvl="8">
      <w:start w:val="1"/>
      <w:numFmt w:val="bullet"/>
      <w:lvlText w:val="•"/>
      <w:lvlJc w:val="left"/>
      <w:pPr>
        <w:ind w:left="7884" w:hanging="471"/>
      </w:pPr>
      <w:rPr>
        <w:rFonts w:hint="default"/>
      </w:rPr>
    </w:lvl>
  </w:abstractNum>
  <w:abstractNum w:abstractNumId="19">
    <w:multiLevelType w:val="hybridMultilevel"/>
    <w:lvl w:ilvl="0">
      <w:start w:val="23"/>
      <w:numFmt w:val="decimal"/>
      <w:lvlText w:val="%1"/>
      <w:lvlJc w:val="left"/>
      <w:pPr>
        <w:ind w:left="699" w:hanging="581"/>
        <w:jc w:val="left"/>
      </w:pPr>
      <w:rPr>
        <w:rFonts w:hint="default" w:ascii="Calibri" w:hAnsi="Calibri" w:eastAsia="Calibri" w:cs="Calibri"/>
        <w:spacing w:val="-2"/>
        <w:w w:val="100"/>
        <w:sz w:val="22"/>
        <w:szCs w:val="22"/>
      </w:rPr>
    </w:lvl>
    <w:lvl w:ilvl="1">
      <w:start w:val="1"/>
      <w:numFmt w:val="bullet"/>
      <w:lvlText w:val="•"/>
      <w:lvlJc w:val="left"/>
      <w:pPr>
        <w:ind w:left="1598" w:hanging="581"/>
      </w:pPr>
      <w:rPr>
        <w:rFonts w:hint="default"/>
      </w:rPr>
    </w:lvl>
    <w:lvl w:ilvl="2">
      <w:start w:val="1"/>
      <w:numFmt w:val="bullet"/>
      <w:lvlText w:val="•"/>
      <w:lvlJc w:val="left"/>
      <w:pPr>
        <w:ind w:left="2496" w:hanging="581"/>
      </w:pPr>
      <w:rPr>
        <w:rFonts w:hint="default"/>
      </w:rPr>
    </w:lvl>
    <w:lvl w:ilvl="3">
      <w:start w:val="1"/>
      <w:numFmt w:val="bullet"/>
      <w:lvlText w:val="•"/>
      <w:lvlJc w:val="left"/>
      <w:pPr>
        <w:ind w:left="3394" w:hanging="581"/>
      </w:pPr>
      <w:rPr>
        <w:rFonts w:hint="default"/>
      </w:rPr>
    </w:lvl>
    <w:lvl w:ilvl="4">
      <w:start w:val="1"/>
      <w:numFmt w:val="bullet"/>
      <w:lvlText w:val="•"/>
      <w:lvlJc w:val="left"/>
      <w:pPr>
        <w:ind w:left="4292" w:hanging="581"/>
      </w:pPr>
      <w:rPr>
        <w:rFonts w:hint="default"/>
      </w:rPr>
    </w:lvl>
    <w:lvl w:ilvl="5">
      <w:start w:val="1"/>
      <w:numFmt w:val="bullet"/>
      <w:lvlText w:val="•"/>
      <w:lvlJc w:val="left"/>
      <w:pPr>
        <w:ind w:left="5190" w:hanging="581"/>
      </w:pPr>
      <w:rPr>
        <w:rFonts w:hint="default"/>
      </w:rPr>
    </w:lvl>
    <w:lvl w:ilvl="6">
      <w:start w:val="1"/>
      <w:numFmt w:val="bullet"/>
      <w:lvlText w:val="•"/>
      <w:lvlJc w:val="left"/>
      <w:pPr>
        <w:ind w:left="6088" w:hanging="581"/>
      </w:pPr>
      <w:rPr>
        <w:rFonts w:hint="default"/>
      </w:rPr>
    </w:lvl>
    <w:lvl w:ilvl="7">
      <w:start w:val="1"/>
      <w:numFmt w:val="bullet"/>
      <w:lvlText w:val="•"/>
      <w:lvlJc w:val="left"/>
      <w:pPr>
        <w:ind w:left="6986" w:hanging="581"/>
      </w:pPr>
      <w:rPr>
        <w:rFonts w:hint="default"/>
      </w:rPr>
    </w:lvl>
    <w:lvl w:ilvl="8">
      <w:start w:val="1"/>
      <w:numFmt w:val="bullet"/>
      <w:lvlText w:val="•"/>
      <w:lvlJc w:val="left"/>
      <w:pPr>
        <w:ind w:left="7884" w:hanging="581"/>
      </w:pPr>
      <w:rPr>
        <w:rFonts w:hint="default"/>
      </w:rPr>
    </w:lvl>
  </w:abstractNum>
  <w:abstractNum w:abstractNumId="18">
    <w:multiLevelType w:val="hybridMultilevel"/>
    <w:lvl w:ilvl="0">
      <w:start w:val="1"/>
      <w:numFmt w:val="decimal"/>
      <w:lvlText w:val="%1"/>
      <w:lvlJc w:val="left"/>
      <w:pPr>
        <w:ind w:left="699" w:hanging="471"/>
        <w:jc w:val="right"/>
      </w:pPr>
      <w:rPr>
        <w:rFonts w:hint="default" w:ascii="Calibri" w:hAnsi="Calibri" w:eastAsia="Calibri" w:cs="Calibri"/>
        <w:w w:val="100"/>
        <w:sz w:val="22"/>
        <w:szCs w:val="22"/>
      </w:rPr>
    </w:lvl>
    <w:lvl w:ilvl="1">
      <w:start w:val="1"/>
      <w:numFmt w:val="bullet"/>
      <w:lvlText w:val="•"/>
      <w:lvlJc w:val="left"/>
      <w:pPr>
        <w:ind w:left="1598" w:hanging="471"/>
      </w:pPr>
      <w:rPr>
        <w:rFonts w:hint="default"/>
      </w:rPr>
    </w:lvl>
    <w:lvl w:ilvl="2">
      <w:start w:val="1"/>
      <w:numFmt w:val="bullet"/>
      <w:lvlText w:val="•"/>
      <w:lvlJc w:val="left"/>
      <w:pPr>
        <w:ind w:left="2496" w:hanging="471"/>
      </w:pPr>
      <w:rPr>
        <w:rFonts w:hint="default"/>
      </w:rPr>
    </w:lvl>
    <w:lvl w:ilvl="3">
      <w:start w:val="1"/>
      <w:numFmt w:val="bullet"/>
      <w:lvlText w:val="•"/>
      <w:lvlJc w:val="left"/>
      <w:pPr>
        <w:ind w:left="3394" w:hanging="471"/>
      </w:pPr>
      <w:rPr>
        <w:rFonts w:hint="default"/>
      </w:rPr>
    </w:lvl>
    <w:lvl w:ilvl="4">
      <w:start w:val="1"/>
      <w:numFmt w:val="bullet"/>
      <w:lvlText w:val="•"/>
      <w:lvlJc w:val="left"/>
      <w:pPr>
        <w:ind w:left="4292" w:hanging="471"/>
      </w:pPr>
      <w:rPr>
        <w:rFonts w:hint="default"/>
      </w:rPr>
    </w:lvl>
    <w:lvl w:ilvl="5">
      <w:start w:val="1"/>
      <w:numFmt w:val="bullet"/>
      <w:lvlText w:val="•"/>
      <w:lvlJc w:val="left"/>
      <w:pPr>
        <w:ind w:left="5190" w:hanging="471"/>
      </w:pPr>
      <w:rPr>
        <w:rFonts w:hint="default"/>
      </w:rPr>
    </w:lvl>
    <w:lvl w:ilvl="6">
      <w:start w:val="1"/>
      <w:numFmt w:val="bullet"/>
      <w:lvlText w:val="•"/>
      <w:lvlJc w:val="left"/>
      <w:pPr>
        <w:ind w:left="6088" w:hanging="471"/>
      </w:pPr>
      <w:rPr>
        <w:rFonts w:hint="default"/>
      </w:rPr>
    </w:lvl>
    <w:lvl w:ilvl="7">
      <w:start w:val="1"/>
      <w:numFmt w:val="bullet"/>
      <w:lvlText w:val="•"/>
      <w:lvlJc w:val="left"/>
      <w:pPr>
        <w:ind w:left="6986" w:hanging="471"/>
      </w:pPr>
      <w:rPr>
        <w:rFonts w:hint="default"/>
      </w:rPr>
    </w:lvl>
    <w:lvl w:ilvl="8">
      <w:start w:val="1"/>
      <w:numFmt w:val="bullet"/>
      <w:lvlText w:val="•"/>
      <w:lvlJc w:val="left"/>
      <w:pPr>
        <w:ind w:left="7884" w:hanging="471"/>
      </w:pPr>
      <w:rPr>
        <w:rFonts w:hint="default"/>
      </w:rPr>
    </w:lvl>
  </w:abstractNum>
  <w:abstractNum w:abstractNumId="17">
    <w:multiLevelType w:val="hybridMultilevel"/>
    <w:lvl w:ilvl="0">
      <w:start w:val="1"/>
      <w:numFmt w:val="decimal"/>
      <w:lvlText w:val="%1"/>
      <w:lvlJc w:val="left"/>
      <w:pPr>
        <w:ind w:left="699" w:hanging="471"/>
        <w:jc w:val="right"/>
      </w:pPr>
      <w:rPr>
        <w:rFonts w:hint="default" w:ascii="Calibri" w:hAnsi="Calibri" w:eastAsia="Calibri" w:cs="Calibri"/>
        <w:w w:val="100"/>
        <w:sz w:val="22"/>
        <w:szCs w:val="22"/>
      </w:rPr>
    </w:lvl>
    <w:lvl w:ilvl="1">
      <w:start w:val="1"/>
      <w:numFmt w:val="bullet"/>
      <w:lvlText w:val="•"/>
      <w:lvlJc w:val="left"/>
      <w:pPr>
        <w:ind w:left="1598" w:hanging="471"/>
      </w:pPr>
      <w:rPr>
        <w:rFonts w:hint="default"/>
      </w:rPr>
    </w:lvl>
    <w:lvl w:ilvl="2">
      <w:start w:val="1"/>
      <w:numFmt w:val="bullet"/>
      <w:lvlText w:val="•"/>
      <w:lvlJc w:val="left"/>
      <w:pPr>
        <w:ind w:left="2496" w:hanging="471"/>
      </w:pPr>
      <w:rPr>
        <w:rFonts w:hint="default"/>
      </w:rPr>
    </w:lvl>
    <w:lvl w:ilvl="3">
      <w:start w:val="1"/>
      <w:numFmt w:val="bullet"/>
      <w:lvlText w:val="•"/>
      <w:lvlJc w:val="left"/>
      <w:pPr>
        <w:ind w:left="3394" w:hanging="471"/>
      </w:pPr>
      <w:rPr>
        <w:rFonts w:hint="default"/>
      </w:rPr>
    </w:lvl>
    <w:lvl w:ilvl="4">
      <w:start w:val="1"/>
      <w:numFmt w:val="bullet"/>
      <w:lvlText w:val="•"/>
      <w:lvlJc w:val="left"/>
      <w:pPr>
        <w:ind w:left="4292" w:hanging="471"/>
      </w:pPr>
      <w:rPr>
        <w:rFonts w:hint="default"/>
      </w:rPr>
    </w:lvl>
    <w:lvl w:ilvl="5">
      <w:start w:val="1"/>
      <w:numFmt w:val="bullet"/>
      <w:lvlText w:val="•"/>
      <w:lvlJc w:val="left"/>
      <w:pPr>
        <w:ind w:left="5190" w:hanging="471"/>
      </w:pPr>
      <w:rPr>
        <w:rFonts w:hint="default"/>
      </w:rPr>
    </w:lvl>
    <w:lvl w:ilvl="6">
      <w:start w:val="1"/>
      <w:numFmt w:val="bullet"/>
      <w:lvlText w:val="•"/>
      <w:lvlJc w:val="left"/>
      <w:pPr>
        <w:ind w:left="6088" w:hanging="471"/>
      </w:pPr>
      <w:rPr>
        <w:rFonts w:hint="default"/>
      </w:rPr>
    </w:lvl>
    <w:lvl w:ilvl="7">
      <w:start w:val="1"/>
      <w:numFmt w:val="bullet"/>
      <w:lvlText w:val="•"/>
      <w:lvlJc w:val="left"/>
      <w:pPr>
        <w:ind w:left="6986" w:hanging="471"/>
      </w:pPr>
      <w:rPr>
        <w:rFonts w:hint="default"/>
      </w:rPr>
    </w:lvl>
    <w:lvl w:ilvl="8">
      <w:start w:val="1"/>
      <w:numFmt w:val="bullet"/>
      <w:lvlText w:val="•"/>
      <w:lvlJc w:val="left"/>
      <w:pPr>
        <w:ind w:left="7884" w:hanging="471"/>
      </w:pPr>
      <w:rPr>
        <w:rFonts w:hint="default"/>
      </w:rPr>
    </w:lvl>
  </w:abstractNum>
  <w:abstractNum w:abstractNumId="16">
    <w:multiLevelType w:val="hybridMultilevel"/>
    <w:lvl w:ilvl="0">
      <w:start w:val="1"/>
      <w:numFmt w:val="decimal"/>
      <w:lvlText w:val="%1"/>
      <w:lvlJc w:val="left"/>
      <w:pPr>
        <w:ind w:left="699" w:hanging="471"/>
        <w:jc w:val="right"/>
      </w:pPr>
      <w:rPr>
        <w:rFonts w:hint="default" w:ascii="Calibri" w:hAnsi="Calibri" w:eastAsia="Calibri" w:cs="Calibri"/>
        <w:w w:val="100"/>
        <w:sz w:val="22"/>
        <w:szCs w:val="22"/>
      </w:rPr>
    </w:lvl>
    <w:lvl w:ilvl="1">
      <w:start w:val="1"/>
      <w:numFmt w:val="bullet"/>
      <w:lvlText w:val="•"/>
      <w:lvlJc w:val="left"/>
      <w:pPr>
        <w:ind w:left="1598" w:hanging="471"/>
      </w:pPr>
      <w:rPr>
        <w:rFonts w:hint="default"/>
      </w:rPr>
    </w:lvl>
    <w:lvl w:ilvl="2">
      <w:start w:val="1"/>
      <w:numFmt w:val="bullet"/>
      <w:lvlText w:val="•"/>
      <w:lvlJc w:val="left"/>
      <w:pPr>
        <w:ind w:left="2496" w:hanging="471"/>
      </w:pPr>
      <w:rPr>
        <w:rFonts w:hint="default"/>
      </w:rPr>
    </w:lvl>
    <w:lvl w:ilvl="3">
      <w:start w:val="1"/>
      <w:numFmt w:val="bullet"/>
      <w:lvlText w:val="•"/>
      <w:lvlJc w:val="left"/>
      <w:pPr>
        <w:ind w:left="3394" w:hanging="471"/>
      </w:pPr>
      <w:rPr>
        <w:rFonts w:hint="default"/>
      </w:rPr>
    </w:lvl>
    <w:lvl w:ilvl="4">
      <w:start w:val="1"/>
      <w:numFmt w:val="bullet"/>
      <w:lvlText w:val="•"/>
      <w:lvlJc w:val="left"/>
      <w:pPr>
        <w:ind w:left="4292" w:hanging="471"/>
      </w:pPr>
      <w:rPr>
        <w:rFonts w:hint="default"/>
      </w:rPr>
    </w:lvl>
    <w:lvl w:ilvl="5">
      <w:start w:val="1"/>
      <w:numFmt w:val="bullet"/>
      <w:lvlText w:val="•"/>
      <w:lvlJc w:val="left"/>
      <w:pPr>
        <w:ind w:left="5190" w:hanging="471"/>
      </w:pPr>
      <w:rPr>
        <w:rFonts w:hint="default"/>
      </w:rPr>
    </w:lvl>
    <w:lvl w:ilvl="6">
      <w:start w:val="1"/>
      <w:numFmt w:val="bullet"/>
      <w:lvlText w:val="•"/>
      <w:lvlJc w:val="left"/>
      <w:pPr>
        <w:ind w:left="6088" w:hanging="471"/>
      </w:pPr>
      <w:rPr>
        <w:rFonts w:hint="default"/>
      </w:rPr>
    </w:lvl>
    <w:lvl w:ilvl="7">
      <w:start w:val="1"/>
      <w:numFmt w:val="bullet"/>
      <w:lvlText w:val="•"/>
      <w:lvlJc w:val="left"/>
      <w:pPr>
        <w:ind w:left="6986" w:hanging="471"/>
      </w:pPr>
      <w:rPr>
        <w:rFonts w:hint="default"/>
      </w:rPr>
    </w:lvl>
    <w:lvl w:ilvl="8">
      <w:start w:val="1"/>
      <w:numFmt w:val="bullet"/>
      <w:lvlText w:val="•"/>
      <w:lvlJc w:val="left"/>
      <w:pPr>
        <w:ind w:left="7884" w:hanging="471"/>
      </w:pPr>
      <w:rPr>
        <w:rFonts w:hint="default"/>
      </w:rPr>
    </w:lvl>
  </w:abstractNum>
  <w:abstractNum w:abstractNumId="15">
    <w:multiLevelType w:val="hybridMultilevel"/>
    <w:lvl w:ilvl="0">
      <w:start w:val="1"/>
      <w:numFmt w:val="decimal"/>
      <w:lvlText w:val="%1"/>
      <w:lvlJc w:val="left"/>
      <w:pPr>
        <w:ind w:left="699" w:hanging="471"/>
        <w:jc w:val="right"/>
      </w:pPr>
      <w:rPr>
        <w:rFonts w:hint="default" w:ascii="Calibri" w:hAnsi="Calibri" w:eastAsia="Calibri" w:cs="Calibri"/>
        <w:w w:val="100"/>
        <w:sz w:val="22"/>
        <w:szCs w:val="22"/>
      </w:rPr>
    </w:lvl>
    <w:lvl w:ilvl="1">
      <w:start w:val="1"/>
      <w:numFmt w:val="bullet"/>
      <w:lvlText w:val="•"/>
      <w:lvlJc w:val="left"/>
      <w:pPr>
        <w:ind w:left="1598" w:hanging="471"/>
      </w:pPr>
      <w:rPr>
        <w:rFonts w:hint="default"/>
      </w:rPr>
    </w:lvl>
    <w:lvl w:ilvl="2">
      <w:start w:val="1"/>
      <w:numFmt w:val="bullet"/>
      <w:lvlText w:val="•"/>
      <w:lvlJc w:val="left"/>
      <w:pPr>
        <w:ind w:left="2496" w:hanging="471"/>
      </w:pPr>
      <w:rPr>
        <w:rFonts w:hint="default"/>
      </w:rPr>
    </w:lvl>
    <w:lvl w:ilvl="3">
      <w:start w:val="1"/>
      <w:numFmt w:val="bullet"/>
      <w:lvlText w:val="•"/>
      <w:lvlJc w:val="left"/>
      <w:pPr>
        <w:ind w:left="3394" w:hanging="471"/>
      </w:pPr>
      <w:rPr>
        <w:rFonts w:hint="default"/>
      </w:rPr>
    </w:lvl>
    <w:lvl w:ilvl="4">
      <w:start w:val="1"/>
      <w:numFmt w:val="bullet"/>
      <w:lvlText w:val="•"/>
      <w:lvlJc w:val="left"/>
      <w:pPr>
        <w:ind w:left="4292" w:hanging="471"/>
      </w:pPr>
      <w:rPr>
        <w:rFonts w:hint="default"/>
      </w:rPr>
    </w:lvl>
    <w:lvl w:ilvl="5">
      <w:start w:val="1"/>
      <w:numFmt w:val="bullet"/>
      <w:lvlText w:val="•"/>
      <w:lvlJc w:val="left"/>
      <w:pPr>
        <w:ind w:left="5190" w:hanging="471"/>
      </w:pPr>
      <w:rPr>
        <w:rFonts w:hint="default"/>
      </w:rPr>
    </w:lvl>
    <w:lvl w:ilvl="6">
      <w:start w:val="1"/>
      <w:numFmt w:val="bullet"/>
      <w:lvlText w:val="•"/>
      <w:lvlJc w:val="left"/>
      <w:pPr>
        <w:ind w:left="6088" w:hanging="471"/>
      </w:pPr>
      <w:rPr>
        <w:rFonts w:hint="default"/>
      </w:rPr>
    </w:lvl>
    <w:lvl w:ilvl="7">
      <w:start w:val="1"/>
      <w:numFmt w:val="bullet"/>
      <w:lvlText w:val="•"/>
      <w:lvlJc w:val="left"/>
      <w:pPr>
        <w:ind w:left="6986" w:hanging="471"/>
      </w:pPr>
      <w:rPr>
        <w:rFonts w:hint="default"/>
      </w:rPr>
    </w:lvl>
    <w:lvl w:ilvl="8">
      <w:start w:val="1"/>
      <w:numFmt w:val="bullet"/>
      <w:lvlText w:val="•"/>
      <w:lvlJc w:val="left"/>
      <w:pPr>
        <w:ind w:left="7884" w:hanging="471"/>
      </w:pPr>
      <w:rPr>
        <w:rFonts w:hint="default"/>
      </w:rPr>
    </w:lvl>
  </w:abstractNum>
  <w:abstractNum w:abstractNumId="14">
    <w:multiLevelType w:val="hybridMultilevel"/>
    <w:lvl w:ilvl="0">
      <w:start w:val="15"/>
      <w:numFmt w:val="decimal"/>
      <w:lvlText w:val="%1"/>
      <w:lvlJc w:val="left"/>
      <w:pPr>
        <w:ind w:left="699" w:hanging="581"/>
        <w:jc w:val="left"/>
      </w:pPr>
      <w:rPr>
        <w:rFonts w:hint="default" w:ascii="Calibri" w:hAnsi="Calibri" w:eastAsia="Calibri" w:cs="Calibri"/>
        <w:spacing w:val="-2"/>
        <w:w w:val="100"/>
        <w:sz w:val="22"/>
        <w:szCs w:val="22"/>
      </w:rPr>
    </w:lvl>
    <w:lvl w:ilvl="1">
      <w:start w:val="1"/>
      <w:numFmt w:val="bullet"/>
      <w:lvlText w:val="•"/>
      <w:lvlJc w:val="left"/>
      <w:pPr>
        <w:ind w:left="1598" w:hanging="581"/>
      </w:pPr>
      <w:rPr>
        <w:rFonts w:hint="default"/>
      </w:rPr>
    </w:lvl>
    <w:lvl w:ilvl="2">
      <w:start w:val="1"/>
      <w:numFmt w:val="bullet"/>
      <w:lvlText w:val="•"/>
      <w:lvlJc w:val="left"/>
      <w:pPr>
        <w:ind w:left="2496" w:hanging="581"/>
      </w:pPr>
      <w:rPr>
        <w:rFonts w:hint="default"/>
      </w:rPr>
    </w:lvl>
    <w:lvl w:ilvl="3">
      <w:start w:val="1"/>
      <w:numFmt w:val="bullet"/>
      <w:lvlText w:val="•"/>
      <w:lvlJc w:val="left"/>
      <w:pPr>
        <w:ind w:left="3394" w:hanging="581"/>
      </w:pPr>
      <w:rPr>
        <w:rFonts w:hint="default"/>
      </w:rPr>
    </w:lvl>
    <w:lvl w:ilvl="4">
      <w:start w:val="1"/>
      <w:numFmt w:val="bullet"/>
      <w:lvlText w:val="•"/>
      <w:lvlJc w:val="left"/>
      <w:pPr>
        <w:ind w:left="4292" w:hanging="581"/>
      </w:pPr>
      <w:rPr>
        <w:rFonts w:hint="default"/>
      </w:rPr>
    </w:lvl>
    <w:lvl w:ilvl="5">
      <w:start w:val="1"/>
      <w:numFmt w:val="bullet"/>
      <w:lvlText w:val="•"/>
      <w:lvlJc w:val="left"/>
      <w:pPr>
        <w:ind w:left="5190" w:hanging="581"/>
      </w:pPr>
      <w:rPr>
        <w:rFonts w:hint="default"/>
      </w:rPr>
    </w:lvl>
    <w:lvl w:ilvl="6">
      <w:start w:val="1"/>
      <w:numFmt w:val="bullet"/>
      <w:lvlText w:val="•"/>
      <w:lvlJc w:val="left"/>
      <w:pPr>
        <w:ind w:left="6088" w:hanging="581"/>
      </w:pPr>
      <w:rPr>
        <w:rFonts w:hint="default"/>
      </w:rPr>
    </w:lvl>
    <w:lvl w:ilvl="7">
      <w:start w:val="1"/>
      <w:numFmt w:val="bullet"/>
      <w:lvlText w:val="•"/>
      <w:lvlJc w:val="left"/>
      <w:pPr>
        <w:ind w:left="6986" w:hanging="581"/>
      </w:pPr>
      <w:rPr>
        <w:rFonts w:hint="default"/>
      </w:rPr>
    </w:lvl>
    <w:lvl w:ilvl="8">
      <w:start w:val="1"/>
      <w:numFmt w:val="bullet"/>
      <w:lvlText w:val="•"/>
      <w:lvlJc w:val="left"/>
      <w:pPr>
        <w:ind w:left="7884" w:hanging="581"/>
      </w:pPr>
      <w:rPr>
        <w:rFonts w:hint="default"/>
      </w:rPr>
    </w:lvl>
  </w:abstractNum>
  <w:abstractNum w:abstractNumId="13">
    <w:multiLevelType w:val="hybridMultilevel"/>
    <w:lvl w:ilvl="0">
      <w:start w:val="7"/>
      <w:numFmt w:val="decimal"/>
      <w:lvlText w:val="%1"/>
      <w:lvlJc w:val="left"/>
      <w:pPr>
        <w:ind w:left="1405" w:hanging="1177"/>
        <w:jc w:val="right"/>
      </w:pPr>
      <w:rPr>
        <w:rFonts w:hint="default" w:ascii="Calibri" w:hAnsi="Calibri" w:eastAsia="Calibri" w:cs="Calibri"/>
        <w:w w:val="100"/>
        <w:sz w:val="22"/>
        <w:szCs w:val="22"/>
      </w:rPr>
    </w:lvl>
    <w:lvl w:ilvl="1">
      <w:start w:val="1"/>
      <w:numFmt w:val="decimal"/>
      <w:lvlText w:val="%2"/>
      <w:lvlJc w:val="left"/>
      <w:pPr>
        <w:ind w:left="1405" w:hanging="1177"/>
        <w:jc w:val="right"/>
      </w:pPr>
      <w:rPr>
        <w:rFonts w:hint="default" w:ascii="Calibri" w:hAnsi="Calibri" w:eastAsia="Calibri" w:cs="Calibri"/>
        <w:w w:val="100"/>
        <w:sz w:val="22"/>
        <w:szCs w:val="22"/>
      </w:rPr>
    </w:lvl>
    <w:lvl w:ilvl="2">
      <w:start w:val="1"/>
      <w:numFmt w:val="bullet"/>
      <w:lvlText w:val="•"/>
      <w:lvlJc w:val="left"/>
      <w:pPr>
        <w:ind w:left="3056" w:hanging="1177"/>
      </w:pPr>
      <w:rPr>
        <w:rFonts w:hint="default"/>
      </w:rPr>
    </w:lvl>
    <w:lvl w:ilvl="3">
      <w:start w:val="1"/>
      <w:numFmt w:val="bullet"/>
      <w:lvlText w:val="•"/>
      <w:lvlJc w:val="left"/>
      <w:pPr>
        <w:ind w:left="3884" w:hanging="1177"/>
      </w:pPr>
      <w:rPr>
        <w:rFonts w:hint="default"/>
      </w:rPr>
    </w:lvl>
    <w:lvl w:ilvl="4">
      <w:start w:val="1"/>
      <w:numFmt w:val="bullet"/>
      <w:lvlText w:val="•"/>
      <w:lvlJc w:val="left"/>
      <w:pPr>
        <w:ind w:left="4712" w:hanging="1177"/>
      </w:pPr>
      <w:rPr>
        <w:rFonts w:hint="default"/>
      </w:rPr>
    </w:lvl>
    <w:lvl w:ilvl="5">
      <w:start w:val="1"/>
      <w:numFmt w:val="bullet"/>
      <w:lvlText w:val="•"/>
      <w:lvlJc w:val="left"/>
      <w:pPr>
        <w:ind w:left="5540" w:hanging="1177"/>
      </w:pPr>
      <w:rPr>
        <w:rFonts w:hint="default"/>
      </w:rPr>
    </w:lvl>
    <w:lvl w:ilvl="6">
      <w:start w:val="1"/>
      <w:numFmt w:val="bullet"/>
      <w:lvlText w:val="•"/>
      <w:lvlJc w:val="left"/>
      <w:pPr>
        <w:ind w:left="6368" w:hanging="1177"/>
      </w:pPr>
      <w:rPr>
        <w:rFonts w:hint="default"/>
      </w:rPr>
    </w:lvl>
    <w:lvl w:ilvl="7">
      <w:start w:val="1"/>
      <w:numFmt w:val="bullet"/>
      <w:lvlText w:val="•"/>
      <w:lvlJc w:val="left"/>
      <w:pPr>
        <w:ind w:left="7196" w:hanging="1177"/>
      </w:pPr>
      <w:rPr>
        <w:rFonts w:hint="default"/>
      </w:rPr>
    </w:lvl>
    <w:lvl w:ilvl="8">
      <w:start w:val="1"/>
      <w:numFmt w:val="bullet"/>
      <w:lvlText w:val="•"/>
      <w:lvlJc w:val="left"/>
      <w:pPr>
        <w:ind w:left="8024" w:hanging="1177"/>
      </w:pPr>
      <w:rPr>
        <w:rFonts w:hint="default"/>
      </w:rPr>
    </w:lvl>
  </w:abstractNum>
  <w:abstractNum w:abstractNumId="12">
    <w:multiLevelType w:val="hybridMultilevel"/>
    <w:lvl w:ilvl="0">
      <w:start w:val="1"/>
      <w:numFmt w:val="decimal"/>
      <w:lvlText w:val="%1"/>
      <w:lvlJc w:val="left"/>
      <w:pPr>
        <w:ind w:left="699" w:hanging="471"/>
        <w:jc w:val="left"/>
      </w:pPr>
      <w:rPr>
        <w:rFonts w:hint="default" w:ascii="Calibri" w:hAnsi="Calibri" w:eastAsia="Calibri" w:cs="Calibri"/>
        <w:w w:val="100"/>
        <w:sz w:val="22"/>
        <w:szCs w:val="22"/>
      </w:rPr>
    </w:lvl>
    <w:lvl w:ilvl="1">
      <w:start w:val="1"/>
      <w:numFmt w:val="bullet"/>
      <w:lvlText w:val="•"/>
      <w:lvlJc w:val="left"/>
      <w:pPr>
        <w:ind w:left="1598" w:hanging="471"/>
      </w:pPr>
      <w:rPr>
        <w:rFonts w:hint="default"/>
      </w:rPr>
    </w:lvl>
    <w:lvl w:ilvl="2">
      <w:start w:val="1"/>
      <w:numFmt w:val="bullet"/>
      <w:lvlText w:val="•"/>
      <w:lvlJc w:val="left"/>
      <w:pPr>
        <w:ind w:left="2496" w:hanging="471"/>
      </w:pPr>
      <w:rPr>
        <w:rFonts w:hint="default"/>
      </w:rPr>
    </w:lvl>
    <w:lvl w:ilvl="3">
      <w:start w:val="1"/>
      <w:numFmt w:val="bullet"/>
      <w:lvlText w:val="•"/>
      <w:lvlJc w:val="left"/>
      <w:pPr>
        <w:ind w:left="3394" w:hanging="471"/>
      </w:pPr>
      <w:rPr>
        <w:rFonts w:hint="default"/>
      </w:rPr>
    </w:lvl>
    <w:lvl w:ilvl="4">
      <w:start w:val="1"/>
      <w:numFmt w:val="bullet"/>
      <w:lvlText w:val="•"/>
      <w:lvlJc w:val="left"/>
      <w:pPr>
        <w:ind w:left="4292" w:hanging="471"/>
      </w:pPr>
      <w:rPr>
        <w:rFonts w:hint="default"/>
      </w:rPr>
    </w:lvl>
    <w:lvl w:ilvl="5">
      <w:start w:val="1"/>
      <w:numFmt w:val="bullet"/>
      <w:lvlText w:val="•"/>
      <w:lvlJc w:val="left"/>
      <w:pPr>
        <w:ind w:left="5190" w:hanging="471"/>
      </w:pPr>
      <w:rPr>
        <w:rFonts w:hint="default"/>
      </w:rPr>
    </w:lvl>
    <w:lvl w:ilvl="6">
      <w:start w:val="1"/>
      <w:numFmt w:val="bullet"/>
      <w:lvlText w:val="•"/>
      <w:lvlJc w:val="left"/>
      <w:pPr>
        <w:ind w:left="6088" w:hanging="471"/>
      </w:pPr>
      <w:rPr>
        <w:rFonts w:hint="default"/>
      </w:rPr>
    </w:lvl>
    <w:lvl w:ilvl="7">
      <w:start w:val="1"/>
      <w:numFmt w:val="bullet"/>
      <w:lvlText w:val="•"/>
      <w:lvlJc w:val="left"/>
      <w:pPr>
        <w:ind w:left="6986" w:hanging="471"/>
      </w:pPr>
      <w:rPr>
        <w:rFonts w:hint="default"/>
      </w:rPr>
    </w:lvl>
    <w:lvl w:ilvl="8">
      <w:start w:val="1"/>
      <w:numFmt w:val="bullet"/>
      <w:lvlText w:val="•"/>
      <w:lvlJc w:val="left"/>
      <w:pPr>
        <w:ind w:left="7884" w:hanging="471"/>
      </w:pPr>
      <w:rPr>
        <w:rFonts w:hint="default"/>
      </w:rPr>
    </w:lvl>
  </w:abstractNum>
  <w:abstractNum w:abstractNumId="11">
    <w:multiLevelType w:val="hybridMultilevel"/>
    <w:lvl w:ilvl="0">
      <w:start w:val="1"/>
      <w:numFmt w:val="decimal"/>
      <w:lvlText w:val="%1"/>
      <w:lvlJc w:val="left"/>
      <w:pPr>
        <w:ind w:left="699" w:hanging="471"/>
        <w:jc w:val="right"/>
      </w:pPr>
      <w:rPr>
        <w:rFonts w:hint="default" w:ascii="Calibri" w:hAnsi="Calibri" w:eastAsia="Calibri" w:cs="Calibri"/>
        <w:w w:val="100"/>
        <w:sz w:val="22"/>
        <w:szCs w:val="22"/>
      </w:rPr>
    </w:lvl>
    <w:lvl w:ilvl="1">
      <w:start w:val="1"/>
      <w:numFmt w:val="bullet"/>
      <w:lvlText w:val="•"/>
      <w:lvlJc w:val="left"/>
      <w:pPr>
        <w:ind w:left="1598" w:hanging="471"/>
      </w:pPr>
      <w:rPr>
        <w:rFonts w:hint="default"/>
      </w:rPr>
    </w:lvl>
    <w:lvl w:ilvl="2">
      <w:start w:val="1"/>
      <w:numFmt w:val="bullet"/>
      <w:lvlText w:val="•"/>
      <w:lvlJc w:val="left"/>
      <w:pPr>
        <w:ind w:left="2496" w:hanging="471"/>
      </w:pPr>
      <w:rPr>
        <w:rFonts w:hint="default"/>
      </w:rPr>
    </w:lvl>
    <w:lvl w:ilvl="3">
      <w:start w:val="1"/>
      <w:numFmt w:val="bullet"/>
      <w:lvlText w:val="•"/>
      <w:lvlJc w:val="left"/>
      <w:pPr>
        <w:ind w:left="3394" w:hanging="471"/>
      </w:pPr>
      <w:rPr>
        <w:rFonts w:hint="default"/>
      </w:rPr>
    </w:lvl>
    <w:lvl w:ilvl="4">
      <w:start w:val="1"/>
      <w:numFmt w:val="bullet"/>
      <w:lvlText w:val="•"/>
      <w:lvlJc w:val="left"/>
      <w:pPr>
        <w:ind w:left="4292" w:hanging="471"/>
      </w:pPr>
      <w:rPr>
        <w:rFonts w:hint="default"/>
      </w:rPr>
    </w:lvl>
    <w:lvl w:ilvl="5">
      <w:start w:val="1"/>
      <w:numFmt w:val="bullet"/>
      <w:lvlText w:val="•"/>
      <w:lvlJc w:val="left"/>
      <w:pPr>
        <w:ind w:left="5190" w:hanging="471"/>
      </w:pPr>
      <w:rPr>
        <w:rFonts w:hint="default"/>
      </w:rPr>
    </w:lvl>
    <w:lvl w:ilvl="6">
      <w:start w:val="1"/>
      <w:numFmt w:val="bullet"/>
      <w:lvlText w:val="•"/>
      <w:lvlJc w:val="left"/>
      <w:pPr>
        <w:ind w:left="6088" w:hanging="471"/>
      </w:pPr>
      <w:rPr>
        <w:rFonts w:hint="default"/>
      </w:rPr>
    </w:lvl>
    <w:lvl w:ilvl="7">
      <w:start w:val="1"/>
      <w:numFmt w:val="bullet"/>
      <w:lvlText w:val="•"/>
      <w:lvlJc w:val="left"/>
      <w:pPr>
        <w:ind w:left="6986" w:hanging="471"/>
      </w:pPr>
      <w:rPr>
        <w:rFonts w:hint="default"/>
      </w:rPr>
    </w:lvl>
    <w:lvl w:ilvl="8">
      <w:start w:val="1"/>
      <w:numFmt w:val="bullet"/>
      <w:lvlText w:val="•"/>
      <w:lvlJc w:val="left"/>
      <w:pPr>
        <w:ind w:left="7884" w:hanging="471"/>
      </w:pPr>
      <w:rPr>
        <w:rFonts w:hint="default"/>
      </w:rPr>
    </w:lvl>
  </w:abstractNum>
  <w:abstractNum w:abstractNumId="10">
    <w:multiLevelType w:val="hybridMultilevel"/>
    <w:lvl w:ilvl="0">
      <w:start w:val="24"/>
      <w:numFmt w:val="decimal"/>
      <w:lvlText w:val="%1"/>
      <w:lvlJc w:val="left"/>
      <w:pPr>
        <w:ind w:left="699" w:hanging="581"/>
        <w:jc w:val="left"/>
      </w:pPr>
      <w:rPr>
        <w:rFonts w:hint="default" w:ascii="Calibri" w:hAnsi="Calibri" w:eastAsia="Calibri" w:cs="Calibri"/>
        <w:spacing w:val="-2"/>
        <w:w w:val="100"/>
        <w:sz w:val="22"/>
        <w:szCs w:val="22"/>
      </w:rPr>
    </w:lvl>
    <w:lvl w:ilvl="1">
      <w:start w:val="1"/>
      <w:numFmt w:val="bullet"/>
      <w:lvlText w:val="•"/>
      <w:lvlJc w:val="left"/>
      <w:pPr>
        <w:ind w:left="1598" w:hanging="581"/>
      </w:pPr>
      <w:rPr>
        <w:rFonts w:hint="default"/>
      </w:rPr>
    </w:lvl>
    <w:lvl w:ilvl="2">
      <w:start w:val="1"/>
      <w:numFmt w:val="bullet"/>
      <w:lvlText w:val="•"/>
      <w:lvlJc w:val="left"/>
      <w:pPr>
        <w:ind w:left="2496" w:hanging="581"/>
      </w:pPr>
      <w:rPr>
        <w:rFonts w:hint="default"/>
      </w:rPr>
    </w:lvl>
    <w:lvl w:ilvl="3">
      <w:start w:val="1"/>
      <w:numFmt w:val="bullet"/>
      <w:lvlText w:val="•"/>
      <w:lvlJc w:val="left"/>
      <w:pPr>
        <w:ind w:left="3394" w:hanging="581"/>
      </w:pPr>
      <w:rPr>
        <w:rFonts w:hint="default"/>
      </w:rPr>
    </w:lvl>
    <w:lvl w:ilvl="4">
      <w:start w:val="1"/>
      <w:numFmt w:val="bullet"/>
      <w:lvlText w:val="•"/>
      <w:lvlJc w:val="left"/>
      <w:pPr>
        <w:ind w:left="4292" w:hanging="581"/>
      </w:pPr>
      <w:rPr>
        <w:rFonts w:hint="default"/>
      </w:rPr>
    </w:lvl>
    <w:lvl w:ilvl="5">
      <w:start w:val="1"/>
      <w:numFmt w:val="bullet"/>
      <w:lvlText w:val="•"/>
      <w:lvlJc w:val="left"/>
      <w:pPr>
        <w:ind w:left="5190" w:hanging="581"/>
      </w:pPr>
      <w:rPr>
        <w:rFonts w:hint="default"/>
      </w:rPr>
    </w:lvl>
    <w:lvl w:ilvl="6">
      <w:start w:val="1"/>
      <w:numFmt w:val="bullet"/>
      <w:lvlText w:val="•"/>
      <w:lvlJc w:val="left"/>
      <w:pPr>
        <w:ind w:left="6088" w:hanging="581"/>
      </w:pPr>
      <w:rPr>
        <w:rFonts w:hint="default"/>
      </w:rPr>
    </w:lvl>
    <w:lvl w:ilvl="7">
      <w:start w:val="1"/>
      <w:numFmt w:val="bullet"/>
      <w:lvlText w:val="•"/>
      <w:lvlJc w:val="left"/>
      <w:pPr>
        <w:ind w:left="6986" w:hanging="581"/>
      </w:pPr>
      <w:rPr>
        <w:rFonts w:hint="default"/>
      </w:rPr>
    </w:lvl>
    <w:lvl w:ilvl="8">
      <w:start w:val="1"/>
      <w:numFmt w:val="bullet"/>
      <w:lvlText w:val="•"/>
      <w:lvlJc w:val="left"/>
      <w:pPr>
        <w:ind w:left="7884" w:hanging="581"/>
      </w:pPr>
      <w:rPr>
        <w:rFonts w:hint="default"/>
      </w:rPr>
    </w:lvl>
  </w:abstractNum>
  <w:abstractNum w:abstractNumId="9">
    <w:multiLevelType w:val="hybridMultilevel"/>
    <w:lvl w:ilvl="0">
      <w:start w:val="6"/>
      <w:numFmt w:val="decimal"/>
      <w:lvlText w:val="%1"/>
      <w:lvlJc w:val="left"/>
      <w:pPr>
        <w:ind w:left="767" w:hanging="539"/>
        <w:jc w:val="right"/>
      </w:pPr>
      <w:rPr>
        <w:rFonts w:hint="default" w:ascii="Calibri" w:hAnsi="Calibri" w:eastAsia="Calibri" w:cs="Calibri"/>
        <w:w w:val="100"/>
        <w:sz w:val="22"/>
        <w:szCs w:val="22"/>
      </w:rPr>
    </w:lvl>
    <w:lvl w:ilvl="1">
      <w:start w:val="1"/>
      <w:numFmt w:val="bullet"/>
      <w:lvlText w:val="•"/>
      <w:lvlJc w:val="left"/>
      <w:pPr>
        <w:ind w:left="1652" w:hanging="539"/>
      </w:pPr>
      <w:rPr>
        <w:rFonts w:hint="default"/>
      </w:rPr>
    </w:lvl>
    <w:lvl w:ilvl="2">
      <w:start w:val="1"/>
      <w:numFmt w:val="bullet"/>
      <w:lvlText w:val="•"/>
      <w:lvlJc w:val="left"/>
      <w:pPr>
        <w:ind w:left="2544" w:hanging="539"/>
      </w:pPr>
      <w:rPr>
        <w:rFonts w:hint="default"/>
      </w:rPr>
    </w:lvl>
    <w:lvl w:ilvl="3">
      <w:start w:val="1"/>
      <w:numFmt w:val="bullet"/>
      <w:lvlText w:val="•"/>
      <w:lvlJc w:val="left"/>
      <w:pPr>
        <w:ind w:left="3436" w:hanging="539"/>
      </w:pPr>
      <w:rPr>
        <w:rFonts w:hint="default"/>
      </w:rPr>
    </w:lvl>
    <w:lvl w:ilvl="4">
      <w:start w:val="1"/>
      <w:numFmt w:val="bullet"/>
      <w:lvlText w:val="•"/>
      <w:lvlJc w:val="left"/>
      <w:pPr>
        <w:ind w:left="4328" w:hanging="539"/>
      </w:pPr>
      <w:rPr>
        <w:rFonts w:hint="default"/>
      </w:rPr>
    </w:lvl>
    <w:lvl w:ilvl="5">
      <w:start w:val="1"/>
      <w:numFmt w:val="bullet"/>
      <w:lvlText w:val="•"/>
      <w:lvlJc w:val="left"/>
      <w:pPr>
        <w:ind w:left="5220" w:hanging="539"/>
      </w:pPr>
      <w:rPr>
        <w:rFonts w:hint="default"/>
      </w:rPr>
    </w:lvl>
    <w:lvl w:ilvl="6">
      <w:start w:val="1"/>
      <w:numFmt w:val="bullet"/>
      <w:lvlText w:val="•"/>
      <w:lvlJc w:val="left"/>
      <w:pPr>
        <w:ind w:left="6112" w:hanging="539"/>
      </w:pPr>
      <w:rPr>
        <w:rFonts w:hint="default"/>
      </w:rPr>
    </w:lvl>
    <w:lvl w:ilvl="7">
      <w:start w:val="1"/>
      <w:numFmt w:val="bullet"/>
      <w:lvlText w:val="•"/>
      <w:lvlJc w:val="left"/>
      <w:pPr>
        <w:ind w:left="7004" w:hanging="539"/>
      </w:pPr>
      <w:rPr>
        <w:rFonts w:hint="default"/>
      </w:rPr>
    </w:lvl>
    <w:lvl w:ilvl="8">
      <w:start w:val="1"/>
      <w:numFmt w:val="bullet"/>
      <w:lvlText w:val="•"/>
      <w:lvlJc w:val="left"/>
      <w:pPr>
        <w:ind w:left="7896" w:hanging="539"/>
      </w:pPr>
      <w:rPr>
        <w:rFonts w:hint="default"/>
      </w:rPr>
    </w:lvl>
  </w:abstractNum>
  <w:abstractNum w:abstractNumId="8">
    <w:multiLevelType w:val="hybridMultilevel"/>
    <w:lvl w:ilvl="0">
      <w:start w:val="1"/>
      <w:numFmt w:val="bullet"/>
      <w:lvlText w:val=""/>
      <w:lvlJc w:val="left"/>
      <w:pPr>
        <w:ind w:left="860" w:hanging="360"/>
      </w:pPr>
      <w:rPr>
        <w:rFonts w:hint="default" w:ascii="Symbol" w:hAnsi="Symbol" w:eastAsia="Symbol" w:cs="Symbol"/>
        <w:w w:val="100"/>
        <w:sz w:val="24"/>
        <w:szCs w:val="24"/>
      </w:rPr>
    </w:lvl>
    <w:lvl w:ilvl="1">
      <w:start w:val="1"/>
      <w:numFmt w:val="bullet"/>
      <w:lvlText w:val="•"/>
      <w:lvlJc w:val="left"/>
      <w:pPr>
        <w:ind w:left="1686" w:hanging="360"/>
      </w:pPr>
      <w:rPr>
        <w:rFonts w:hint="default"/>
      </w:rPr>
    </w:lvl>
    <w:lvl w:ilvl="2">
      <w:start w:val="1"/>
      <w:numFmt w:val="bullet"/>
      <w:lvlText w:val="•"/>
      <w:lvlJc w:val="left"/>
      <w:pPr>
        <w:ind w:left="2512" w:hanging="360"/>
      </w:pPr>
      <w:rPr>
        <w:rFonts w:hint="default"/>
      </w:rPr>
    </w:lvl>
    <w:lvl w:ilvl="3">
      <w:start w:val="1"/>
      <w:numFmt w:val="bullet"/>
      <w:lvlText w:val="•"/>
      <w:lvlJc w:val="left"/>
      <w:pPr>
        <w:ind w:left="3338" w:hanging="360"/>
      </w:pPr>
      <w:rPr>
        <w:rFonts w:hint="default"/>
      </w:rPr>
    </w:lvl>
    <w:lvl w:ilvl="4">
      <w:start w:val="1"/>
      <w:numFmt w:val="bullet"/>
      <w:lvlText w:val="•"/>
      <w:lvlJc w:val="left"/>
      <w:pPr>
        <w:ind w:left="4164" w:hanging="360"/>
      </w:pPr>
      <w:rPr>
        <w:rFonts w:hint="default"/>
      </w:rPr>
    </w:lvl>
    <w:lvl w:ilvl="5">
      <w:start w:val="1"/>
      <w:numFmt w:val="bullet"/>
      <w:lvlText w:val="•"/>
      <w:lvlJc w:val="left"/>
      <w:pPr>
        <w:ind w:left="4990" w:hanging="360"/>
      </w:pPr>
      <w:rPr>
        <w:rFonts w:hint="default"/>
      </w:rPr>
    </w:lvl>
    <w:lvl w:ilvl="6">
      <w:start w:val="1"/>
      <w:numFmt w:val="bullet"/>
      <w:lvlText w:val="•"/>
      <w:lvlJc w:val="left"/>
      <w:pPr>
        <w:ind w:left="5816" w:hanging="360"/>
      </w:pPr>
      <w:rPr>
        <w:rFonts w:hint="default"/>
      </w:rPr>
    </w:lvl>
    <w:lvl w:ilvl="7">
      <w:start w:val="1"/>
      <w:numFmt w:val="bullet"/>
      <w:lvlText w:val="•"/>
      <w:lvlJc w:val="left"/>
      <w:pPr>
        <w:ind w:left="6642" w:hanging="360"/>
      </w:pPr>
      <w:rPr>
        <w:rFonts w:hint="default"/>
      </w:rPr>
    </w:lvl>
    <w:lvl w:ilvl="8">
      <w:start w:val="1"/>
      <w:numFmt w:val="bullet"/>
      <w:lvlText w:val="•"/>
      <w:lvlJc w:val="left"/>
      <w:pPr>
        <w:ind w:left="7468" w:hanging="360"/>
      </w:pPr>
      <w:rPr>
        <w:rFonts w:hint="default"/>
      </w:rPr>
    </w:lvl>
  </w:abstractNum>
  <w:abstractNum w:abstractNumId="7">
    <w:multiLevelType w:val="hybridMultilevel"/>
    <w:lvl w:ilvl="0">
      <w:start w:val="2"/>
      <w:numFmt w:val="decimal"/>
      <w:lvlText w:val="%1."/>
      <w:lvlJc w:val="left"/>
      <w:pPr>
        <w:ind w:left="408" w:hanging="269"/>
        <w:jc w:val="left"/>
      </w:pPr>
      <w:rPr>
        <w:rFonts w:hint="default" w:ascii="Arial" w:hAnsi="Arial" w:eastAsia="Arial" w:cs="Arial"/>
        <w:b/>
        <w:bCs/>
        <w:color w:val="365F91"/>
        <w:spacing w:val="-4"/>
        <w:w w:val="99"/>
        <w:sz w:val="24"/>
        <w:szCs w:val="24"/>
      </w:rPr>
    </w:lvl>
    <w:lvl w:ilvl="1">
      <w:start w:val="1"/>
      <w:numFmt w:val="decimal"/>
      <w:lvlText w:val="%1.%2"/>
      <w:lvlJc w:val="left"/>
      <w:pPr>
        <w:ind w:left="1263" w:hanging="404"/>
        <w:jc w:val="right"/>
      </w:pPr>
      <w:rPr>
        <w:rFonts w:hint="default" w:ascii="Arial" w:hAnsi="Arial" w:eastAsia="Arial" w:cs="Arial"/>
        <w:b/>
        <w:bCs/>
        <w:color w:val="365F91"/>
        <w:w w:val="99"/>
        <w:sz w:val="24"/>
        <w:szCs w:val="24"/>
      </w:rPr>
    </w:lvl>
    <w:lvl w:ilvl="2">
      <w:start w:val="1"/>
      <w:numFmt w:val="decimal"/>
      <w:lvlText w:val="%1.%2.%3"/>
      <w:lvlJc w:val="left"/>
      <w:pPr>
        <w:ind w:left="745" w:hanging="606"/>
        <w:jc w:val="left"/>
      </w:pPr>
      <w:rPr>
        <w:rFonts w:hint="default"/>
        <w:b/>
        <w:bCs/>
        <w:w w:val="99"/>
      </w:rPr>
    </w:lvl>
    <w:lvl w:ilvl="3">
      <w:start w:val="1"/>
      <w:numFmt w:val="decimal"/>
      <w:lvlText w:val="%1.%2.%3.%4"/>
      <w:lvlJc w:val="left"/>
      <w:pPr>
        <w:ind w:left="946" w:hanging="606"/>
        <w:jc w:val="left"/>
      </w:pPr>
      <w:rPr>
        <w:rFonts w:hint="default" w:ascii="Arial" w:hAnsi="Arial" w:eastAsia="Arial" w:cs="Arial"/>
        <w:b/>
        <w:bCs/>
        <w:color w:val="365F91"/>
        <w:w w:val="99"/>
        <w:sz w:val="24"/>
        <w:szCs w:val="24"/>
      </w:rPr>
    </w:lvl>
    <w:lvl w:ilvl="4">
      <w:start w:val="1"/>
      <w:numFmt w:val="bullet"/>
      <w:lvlText w:val="•"/>
      <w:lvlJc w:val="left"/>
      <w:pPr>
        <w:ind w:left="940" w:hanging="606"/>
      </w:pPr>
      <w:rPr>
        <w:rFonts w:hint="default"/>
      </w:rPr>
    </w:lvl>
    <w:lvl w:ilvl="5">
      <w:start w:val="1"/>
      <w:numFmt w:val="bullet"/>
      <w:lvlText w:val="•"/>
      <w:lvlJc w:val="left"/>
      <w:pPr>
        <w:ind w:left="1260" w:hanging="606"/>
      </w:pPr>
      <w:rPr>
        <w:rFonts w:hint="default"/>
      </w:rPr>
    </w:lvl>
    <w:lvl w:ilvl="6">
      <w:start w:val="1"/>
      <w:numFmt w:val="bullet"/>
      <w:lvlText w:val="•"/>
      <w:lvlJc w:val="left"/>
      <w:pPr>
        <w:ind w:left="2832" w:hanging="606"/>
      </w:pPr>
      <w:rPr>
        <w:rFonts w:hint="default"/>
      </w:rPr>
    </w:lvl>
    <w:lvl w:ilvl="7">
      <w:start w:val="1"/>
      <w:numFmt w:val="bullet"/>
      <w:lvlText w:val="•"/>
      <w:lvlJc w:val="left"/>
      <w:pPr>
        <w:ind w:left="4404" w:hanging="606"/>
      </w:pPr>
      <w:rPr>
        <w:rFonts w:hint="default"/>
      </w:rPr>
    </w:lvl>
    <w:lvl w:ilvl="8">
      <w:start w:val="1"/>
      <w:numFmt w:val="bullet"/>
      <w:lvlText w:val="•"/>
      <w:lvlJc w:val="left"/>
      <w:pPr>
        <w:ind w:left="5976" w:hanging="606"/>
      </w:pPr>
      <w:rPr>
        <w:rFonts w:hint="default"/>
      </w:rPr>
    </w:lvl>
  </w:abstractNum>
  <w:abstractNum w:abstractNumId="6">
    <w:multiLevelType w:val="hybridMultilevel"/>
    <w:lvl w:ilvl="0">
      <w:start w:val="2"/>
      <w:numFmt w:val="decimal"/>
      <w:lvlText w:val="%1."/>
      <w:lvlJc w:val="left"/>
      <w:pPr>
        <w:ind w:left="408" w:hanging="270"/>
        <w:jc w:val="left"/>
      </w:pPr>
      <w:rPr>
        <w:rFonts w:hint="default" w:ascii="Arial" w:hAnsi="Arial" w:eastAsia="Arial" w:cs="Arial"/>
        <w:b/>
        <w:bCs/>
        <w:color w:val="365F91"/>
        <w:w w:val="99"/>
        <w:sz w:val="24"/>
        <w:szCs w:val="24"/>
      </w:rPr>
    </w:lvl>
    <w:lvl w:ilvl="1">
      <w:start w:val="1"/>
      <w:numFmt w:val="bullet"/>
      <w:lvlText w:val=""/>
      <w:lvlJc w:val="left"/>
      <w:pPr>
        <w:ind w:left="860" w:hanging="360"/>
      </w:pPr>
      <w:rPr>
        <w:rFonts w:hint="default" w:ascii="Wingdings" w:hAnsi="Wingdings" w:eastAsia="Wingdings" w:cs="Wingdings"/>
        <w:w w:val="99"/>
        <w:sz w:val="24"/>
        <w:szCs w:val="24"/>
      </w:rPr>
    </w:lvl>
    <w:lvl w:ilvl="2">
      <w:start w:val="1"/>
      <w:numFmt w:val="bullet"/>
      <w:lvlText w:val="•"/>
      <w:lvlJc w:val="left"/>
      <w:pPr>
        <w:ind w:left="1777" w:hanging="360"/>
      </w:pPr>
      <w:rPr>
        <w:rFonts w:hint="default"/>
      </w:rPr>
    </w:lvl>
    <w:lvl w:ilvl="3">
      <w:start w:val="1"/>
      <w:numFmt w:val="bullet"/>
      <w:lvlText w:val="•"/>
      <w:lvlJc w:val="left"/>
      <w:pPr>
        <w:ind w:left="2695" w:hanging="360"/>
      </w:pPr>
      <w:rPr>
        <w:rFonts w:hint="default"/>
      </w:rPr>
    </w:lvl>
    <w:lvl w:ilvl="4">
      <w:start w:val="1"/>
      <w:numFmt w:val="bullet"/>
      <w:lvlText w:val="•"/>
      <w:lvlJc w:val="left"/>
      <w:pPr>
        <w:ind w:left="3613" w:hanging="360"/>
      </w:pPr>
      <w:rPr>
        <w:rFonts w:hint="default"/>
      </w:rPr>
    </w:lvl>
    <w:lvl w:ilvl="5">
      <w:start w:val="1"/>
      <w:numFmt w:val="bullet"/>
      <w:lvlText w:val="•"/>
      <w:lvlJc w:val="left"/>
      <w:pPr>
        <w:ind w:left="4531" w:hanging="360"/>
      </w:pPr>
      <w:rPr>
        <w:rFonts w:hint="default"/>
      </w:rPr>
    </w:lvl>
    <w:lvl w:ilvl="6">
      <w:start w:val="1"/>
      <w:numFmt w:val="bullet"/>
      <w:lvlText w:val="•"/>
      <w:lvlJc w:val="left"/>
      <w:pPr>
        <w:ind w:left="5448" w:hanging="360"/>
      </w:pPr>
      <w:rPr>
        <w:rFonts w:hint="default"/>
      </w:rPr>
    </w:lvl>
    <w:lvl w:ilvl="7">
      <w:start w:val="1"/>
      <w:numFmt w:val="bullet"/>
      <w:lvlText w:val="•"/>
      <w:lvlJc w:val="left"/>
      <w:pPr>
        <w:ind w:left="6366" w:hanging="360"/>
      </w:pPr>
      <w:rPr>
        <w:rFonts w:hint="default"/>
      </w:rPr>
    </w:lvl>
    <w:lvl w:ilvl="8">
      <w:start w:val="1"/>
      <w:numFmt w:val="bullet"/>
      <w:lvlText w:val="•"/>
      <w:lvlJc w:val="left"/>
      <w:pPr>
        <w:ind w:left="7284" w:hanging="360"/>
      </w:pPr>
      <w:rPr>
        <w:rFonts w:hint="default"/>
      </w:rPr>
    </w:lvl>
  </w:abstractNum>
  <w:abstractNum w:abstractNumId="5">
    <w:multiLevelType w:val="hybridMultilevel"/>
    <w:lvl w:ilvl="0">
      <w:start w:val="2"/>
      <w:numFmt w:val="decimal"/>
      <w:lvlText w:val="%1"/>
      <w:lvlJc w:val="left"/>
      <w:pPr>
        <w:ind w:left="677" w:hanging="539"/>
        <w:jc w:val="right"/>
      </w:pPr>
      <w:rPr>
        <w:rFonts w:hint="default"/>
      </w:rPr>
    </w:lvl>
    <w:lvl w:ilvl="1">
      <w:start w:val="17"/>
      <w:numFmt w:val="decimal"/>
      <w:lvlText w:val="%1.%2"/>
      <w:lvlJc w:val="left"/>
      <w:pPr>
        <w:ind w:left="677" w:hanging="539"/>
        <w:jc w:val="left"/>
      </w:pPr>
      <w:rPr>
        <w:rFonts w:hint="default" w:ascii="Arial" w:hAnsi="Arial" w:eastAsia="Arial" w:cs="Arial"/>
        <w:b/>
        <w:bCs/>
        <w:color w:val="365F91"/>
        <w:w w:val="99"/>
        <w:sz w:val="24"/>
        <w:szCs w:val="24"/>
      </w:rPr>
    </w:lvl>
    <w:lvl w:ilvl="2">
      <w:start w:val="1"/>
      <w:numFmt w:val="bullet"/>
      <w:lvlText w:val="•"/>
      <w:lvlJc w:val="left"/>
      <w:pPr>
        <w:ind w:left="2368" w:hanging="539"/>
      </w:pPr>
      <w:rPr>
        <w:rFonts w:hint="default"/>
      </w:rPr>
    </w:lvl>
    <w:lvl w:ilvl="3">
      <w:start w:val="1"/>
      <w:numFmt w:val="bullet"/>
      <w:lvlText w:val="•"/>
      <w:lvlJc w:val="left"/>
      <w:pPr>
        <w:ind w:left="3212" w:hanging="539"/>
      </w:pPr>
      <w:rPr>
        <w:rFonts w:hint="default"/>
      </w:rPr>
    </w:lvl>
    <w:lvl w:ilvl="4">
      <w:start w:val="1"/>
      <w:numFmt w:val="bullet"/>
      <w:lvlText w:val="•"/>
      <w:lvlJc w:val="left"/>
      <w:pPr>
        <w:ind w:left="4056" w:hanging="539"/>
      </w:pPr>
      <w:rPr>
        <w:rFonts w:hint="default"/>
      </w:rPr>
    </w:lvl>
    <w:lvl w:ilvl="5">
      <w:start w:val="1"/>
      <w:numFmt w:val="bullet"/>
      <w:lvlText w:val="•"/>
      <w:lvlJc w:val="left"/>
      <w:pPr>
        <w:ind w:left="4900" w:hanging="539"/>
      </w:pPr>
      <w:rPr>
        <w:rFonts w:hint="default"/>
      </w:rPr>
    </w:lvl>
    <w:lvl w:ilvl="6">
      <w:start w:val="1"/>
      <w:numFmt w:val="bullet"/>
      <w:lvlText w:val="•"/>
      <w:lvlJc w:val="left"/>
      <w:pPr>
        <w:ind w:left="5744" w:hanging="539"/>
      </w:pPr>
      <w:rPr>
        <w:rFonts w:hint="default"/>
      </w:rPr>
    </w:lvl>
    <w:lvl w:ilvl="7">
      <w:start w:val="1"/>
      <w:numFmt w:val="bullet"/>
      <w:lvlText w:val="•"/>
      <w:lvlJc w:val="left"/>
      <w:pPr>
        <w:ind w:left="6588" w:hanging="539"/>
      </w:pPr>
      <w:rPr>
        <w:rFonts w:hint="default"/>
      </w:rPr>
    </w:lvl>
    <w:lvl w:ilvl="8">
      <w:start w:val="1"/>
      <w:numFmt w:val="bullet"/>
      <w:lvlText w:val="•"/>
      <w:lvlJc w:val="left"/>
      <w:pPr>
        <w:ind w:left="7432" w:hanging="539"/>
      </w:pPr>
      <w:rPr>
        <w:rFonts w:hint="default"/>
      </w:rPr>
    </w:lvl>
  </w:abstractNum>
  <w:abstractNum w:abstractNumId="4">
    <w:multiLevelType w:val="hybridMultilevel"/>
    <w:lvl w:ilvl="0">
      <w:start w:val="1"/>
      <w:numFmt w:val="decimal"/>
      <w:lvlText w:val="%1."/>
      <w:lvlJc w:val="left"/>
      <w:pPr>
        <w:ind w:left="139" w:hanging="350"/>
        <w:jc w:val="left"/>
      </w:pPr>
      <w:rPr>
        <w:rFonts w:hint="default" w:ascii="Arial" w:hAnsi="Arial" w:eastAsia="Arial" w:cs="Arial"/>
        <w:w w:val="99"/>
        <w:sz w:val="24"/>
        <w:szCs w:val="24"/>
      </w:rPr>
    </w:lvl>
    <w:lvl w:ilvl="1">
      <w:start w:val="1"/>
      <w:numFmt w:val="bullet"/>
      <w:lvlText w:val="•"/>
      <w:lvlJc w:val="left"/>
      <w:pPr>
        <w:ind w:left="1038" w:hanging="350"/>
      </w:pPr>
      <w:rPr>
        <w:rFonts w:hint="default"/>
      </w:rPr>
    </w:lvl>
    <w:lvl w:ilvl="2">
      <w:start w:val="1"/>
      <w:numFmt w:val="bullet"/>
      <w:lvlText w:val="•"/>
      <w:lvlJc w:val="left"/>
      <w:pPr>
        <w:ind w:left="1936" w:hanging="350"/>
      </w:pPr>
      <w:rPr>
        <w:rFonts w:hint="default"/>
      </w:rPr>
    </w:lvl>
    <w:lvl w:ilvl="3">
      <w:start w:val="1"/>
      <w:numFmt w:val="bullet"/>
      <w:lvlText w:val="•"/>
      <w:lvlJc w:val="left"/>
      <w:pPr>
        <w:ind w:left="2834" w:hanging="350"/>
      </w:pPr>
      <w:rPr>
        <w:rFonts w:hint="default"/>
      </w:rPr>
    </w:lvl>
    <w:lvl w:ilvl="4">
      <w:start w:val="1"/>
      <w:numFmt w:val="bullet"/>
      <w:lvlText w:val="•"/>
      <w:lvlJc w:val="left"/>
      <w:pPr>
        <w:ind w:left="3732" w:hanging="350"/>
      </w:pPr>
      <w:rPr>
        <w:rFonts w:hint="default"/>
      </w:rPr>
    </w:lvl>
    <w:lvl w:ilvl="5">
      <w:start w:val="1"/>
      <w:numFmt w:val="bullet"/>
      <w:lvlText w:val="•"/>
      <w:lvlJc w:val="left"/>
      <w:pPr>
        <w:ind w:left="4630" w:hanging="350"/>
      </w:pPr>
      <w:rPr>
        <w:rFonts w:hint="default"/>
      </w:rPr>
    </w:lvl>
    <w:lvl w:ilvl="6">
      <w:start w:val="1"/>
      <w:numFmt w:val="bullet"/>
      <w:lvlText w:val="•"/>
      <w:lvlJc w:val="left"/>
      <w:pPr>
        <w:ind w:left="5528" w:hanging="350"/>
      </w:pPr>
      <w:rPr>
        <w:rFonts w:hint="default"/>
      </w:rPr>
    </w:lvl>
    <w:lvl w:ilvl="7">
      <w:start w:val="1"/>
      <w:numFmt w:val="bullet"/>
      <w:lvlText w:val="•"/>
      <w:lvlJc w:val="left"/>
      <w:pPr>
        <w:ind w:left="6426" w:hanging="350"/>
      </w:pPr>
      <w:rPr>
        <w:rFonts w:hint="default"/>
      </w:rPr>
    </w:lvl>
    <w:lvl w:ilvl="8">
      <w:start w:val="1"/>
      <w:numFmt w:val="bullet"/>
      <w:lvlText w:val="•"/>
      <w:lvlJc w:val="left"/>
      <w:pPr>
        <w:ind w:left="7324" w:hanging="350"/>
      </w:pPr>
      <w:rPr>
        <w:rFonts w:hint="default"/>
      </w:rPr>
    </w:lvl>
  </w:abstractNum>
  <w:abstractNum w:abstractNumId="3">
    <w:multiLevelType w:val="hybridMultilevel"/>
    <w:lvl w:ilvl="0">
      <w:start w:val="1"/>
      <w:numFmt w:val="decimal"/>
      <w:lvlText w:val="%1)"/>
      <w:lvlJc w:val="left"/>
      <w:pPr>
        <w:ind w:left="421" w:hanging="283"/>
        <w:jc w:val="left"/>
      </w:pPr>
      <w:rPr>
        <w:rFonts w:hint="default" w:ascii="Arial" w:hAnsi="Arial" w:eastAsia="Arial" w:cs="Arial"/>
        <w:w w:val="99"/>
        <w:sz w:val="24"/>
        <w:szCs w:val="24"/>
      </w:rPr>
    </w:lvl>
    <w:lvl w:ilvl="1">
      <w:start w:val="2"/>
      <w:numFmt w:val="lowerLetter"/>
      <w:lvlText w:val="%2)"/>
      <w:lvlJc w:val="left"/>
      <w:pPr>
        <w:ind w:left="3078" w:hanging="279"/>
        <w:jc w:val="left"/>
      </w:pPr>
      <w:rPr>
        <w:rFonts w:hint="default" w:ascii="Arial" w:hAnsi="Arial" w:eastAsia="Arial" w:cs="Arial"/>
        <w:w w:val="99"/>
        <w:sz w:val="24"/>
        <w:szCs w:val="24"/>
      </w:rPr>
    </w:lvl>
    <w:lvl w:ilvl="2">
      <w:start w:val="1"/>
      <w:numFmt w:val="bullet"/>
      <w:lvlText w:val="•"/>
      <w:lvlJc w:val="left"/>
      <w:pPr>
        <w:ind w:left="3080" w:hanging="279"/>
      </w:pPr>
      <w:rPr>
        <w:rFonts w:hint="default"/>
      </w:rPr>
    </w:lvl>
    <w:lvl w:ilvl="3">
      <w:start w:val="1"/>
      <w:numFmt w:val="bullet"/>
      <w:lvlText w:val="•"/>
      <w:lvlJc w:val="left"/>
      <w:pPr>
        <w:ind w:left="3835" w:hanging="279"/>
      </w:pPr>
      <w:rPr>
        <w:rFonts w:hint="default"/>
      </w:rPr>
    </w:lvl>
    <w:lvl w:ilvl="4">
      <w:start w:val="1"/>
      <w:numFmt w:val="bullet"/>
      <w:lvlText w:val="•"/>
      <w:lvlJc w:val="left"/>
      <w:pPr>
        <w:ind w:left="4590" w:hanging="279"/>
      </w:pPr>
      <w:rPr>
        <w:rFonts w:hint="default"/>
      </w:rPr>
    </w:lvl>
    <w:lvl w:ilvl="5">
      <w:start w:val="1"/>
      <w:numFmt w:val="bullet"/>
      <w:lvlText w:val="•"/>
      <w:lvlJc w:val="left"/>
      <w:pPr>
        <w:ind w:left="5345" w:hanging="279"/>
      </w:pPr>
      <w:rPr>
        <w:rFonts w:hint="default"/>
      </w:rPr>
    </w:lvl>
    <w:lvl w:ilvl="6">
      <w:start w:val="1"/>
      <w:numFmt w:val="bullet"/>
      <w:lvlText w:val="•"/>
      <w:lvlJc w:val="left"/>
      <w:pPr>
        <w:ind w:left="6100" w:hanging="279"/>
      </w:pPr>
      <w:rPr>
        <w:rFonts w:hint="default"/>
      </w:rPr>
    </w:lvl>
    <w:lvl w:ilvl="7">
      <w:start w:val="1"/>
      <w:numFmt w:val="bullet"/>
      <w:lvlText w:val="•"/>
      <w:lvlJc w:val="left"/>
      <w:pPr>
        <w:ind w:left="6855" w:hanging="279"/>
      </w:pPr>
      <w:rPr>
        <w:rFonts w:hint="default"/>
      </w:rPr>
    </w:lvl>
    <w:lvl w:ilvl="8">
      <w:start w:val="1"/>
      <w:numFmt w:val="bullet"/>
      <w:lvlText w:val="•"/>
      <w:lvlJc w:val="left"/>
      <w:pPr>
        <w:ind w:left="7610" w:hanging="279"/>
      </w:pPr>
      <w:rPr>
        <w:rFonts w:hint="default"/>
      </w:rPr>
    </w:lvl>
  </w:abstractNum>
  <w:abstractNum w:abstractNumId="2">
    <w:multiLevelType w:val="hybridMultilevel"/>
    <w:lvl w:ilvl="0">
      <w:start w:val="1"/>
      <w:numFmt w:val="decimal"/>
      <w:lvlText w:val="%1."/>
      <w:lvlJc w:val="left"/>
      <w:pPr>
        <w:ind w:left="408" w:hanging="270"/>
        <w:jc w:val="left"/>
      </w:pPr>
      <w:rPr>
        <w:rFonts w:hint="default" w:ascii="Arial" w:hAnsi="Arial" w:eastAsia="Arial" w:cs="Arial"/>
        <w:b/>
        <w:bCs/>
        <w:color w:val="365F91"/>
        <w:w w:val="99"/>
        <w:sz w:val="24"/>
        <w:szCs w:val="24"/>
      </w:rPr>
    </w:lvl>
    <w:lvl w:ilvl="1">
      <w:start w:val="1"/>
      <w:numFmt w:val="decimal"/>
      <w:lvlText w:val="%1.%2"/>
      <w:lvlJc w:val="left"/>
      <w:pPr>
        <w:ind w:left="139" w:hanging="403"/>
        <w:jc w:val="left"/>
      </w:pPr>
      <w:rPr>
        <w:rFonts w:hint="default" w:ascii="Arial" w:hAnsi="Arial" w:eastAsia="Arial" w:cs="Arial"/>
        <w:b/>
        <w:bCs/>
        <w:color w:val="365F91"/>
        <w:w w:val="99"/>
        <w:sz w:val="24"/>
        <w:szCs w:val="24"/>
      </w:rPr>
    </w:lvl>
    <w:lvl w:ilvl="2">
      <w:start w:val="1"/>
      <w:numFmt w:val="lowerLetter"/>
      <w:lvlText w:val="%3)"/>
      <w:lvlJc w:val="left"/>
      <w:pPr>
        <w:ind w:left="734" w:hanging="283"/>
        <w:jc w:val="left"/>
      </w:pPr>
      <w:rPr>
        <w:rFonts w:hint="default" w:ascii="Arial" w:hAnsi="Arial" w:eastAsia="Arial" w:cs="Arial"/>
        <w:w w:val="99"/>
        <w:sz w:val="24"/>
        <w:szCs w:val="24"/>
      </w:rPr>
    </w:lvl>
    <w:lvl w:ilvl="3">
      <w:start w:val="1"/>
      <w:numFmt w:val="bullet"/>
      <w:lvlText w:val="•"/>
      <w:lvlJc w:val="left"/>
      <w:pPr>
        <w:ind w:left="1787" w:hanging="283"/>
      </w:pPr>
      <w:rPr>
        <w:rFonts w:hint="default"/>
      </w:rPr>
    </w:lvl>
    <w:lvl w:ilvl="4">
      <w:start w:val="1"/>
      <w:numFmt w:val="bullet"/>
      <w:lvlText w:val="•"/>
      <w:lvlJc w:val="left"/>
      <w:pPr>
        <w:ind w:left="2835" w:hanging="283"/>
      </w:pPr>
      <w:rPr>
        <w:rFonts w:hint="default"/>
      </w:rPr>
    </w:lvl>
    <w:lvl w:ilvl="5">
      <w:start w:val="1"/>
      <w:numFmt w:val="bullet"/>
      <w:lvlText w:val="•"/>
      <w:lvlJc w:val="left"/>
      <w:pPr>
        <w:ind w:left="3882" w:hanging="283"/>
      </w:pPr>
      <w:rPr>
        <w:rFonts w:hint="default"/>
      </w:rPr>
    </w:lvl>
    <w:lvl w:ilvl="6">
      <w:start w:val="1"/>
      <w:numFmt w:val="bullet"/>
      <w:lvlText w:val="•"/>
      <w:lvlJc w:val="left"/>
      <w:pPr>
        <w:ind w:left="4930" w:hanging="283"/>
      </w:pPr>
      <w:rPr>
        <w:rFonts w:hint="default"/>
      </w:rPr>
    </w:lvl>
    <w:lvl w:ilvl="7">
      <w:start w:val="1"/>
      <w:numFmt w:val="bullet"/>
      <w:lvlText w:val="•"/>
      <w:lvlJc w:val="left"/>
      <w:pPr>
        <w:ind w:left="5977" w:hanging="283"/>
      </w:pPr>
      <w:rPr>
        <w:rFonts w:hint="default"/>
      </w:rPr>
    </w:lvl>
    <w:lvl w:ilvl="8">
      <w:start w:val="1"/>
      <w:numFmt w:val="bullet"/>
      <w:lvlText w:val="•"/>
      <w:lvlJc w:val="left"/>
      <w:pPr>
        <w:ind w:left="7025" w:hanging="283"/>
      </w:pPr>
      <w:rPr>
        <w:rFonts w:hint="default"/>
      </w:rPr>
    </w:lvl>
  </w:abstractNum>
  <w:abstractNum w:abstractNumId="1">
    <w:multiLevelType w:val="hybridMultilevel"/>
    <w:lvl w:ilvl="0">
      <w:start w:val="2"/>
      <w:numFmt w:val="decimal"/>
      <w:lvlText w:val="%1."/>
      <w:lvlJc w:val="left"/>
      <w:pPr>
        <w:ind w:left="605" w:hanging="245"/>
        <w:jc w:val="right"/>
      </w:pPr>
      <w:rPr>
        <w:rFonts w:hint="default" w:ascii="Arial" w:hAnsi="Arial" w:eastAsia="Arial" w:cs="Arial"/>
        <w:b/>
        <w:bCs/>
        <w:spacing w:val="0"/>
        <w:w w:val="100"/>
        <w:sz w:val="22"/>
        <w:szCs w:val="22"/>
      </w:rPr>
    </w:lvl>
    <w:lvl w:ilvl="1">
      <w:start w:val="1"/>
      <w:numFmt w:val="decimal"/>
      <w:lvlText w:val="%1.%2"/>
      <w:lvlJc w:val="left"/>
      <w:pPr>
        <w:ind w:left="729" w:hanging="369"/>
        <w:jc w:val="left"/>
      </w:pPr>
      <w:rPr>
        <w:rFonts w:hint="default" w:ascii="Arial" w:hAnsi="Arial" w:eastAsia="Arial" w:cs="Arial"/>
        <w:b/>
        <w:bCs/>
        <w:spacing w:val="0"/>
        <w:w w:val="100"/>
        <w:sz w:val="22"/>
        <w:szCs w:val="22"/>
      </w:rPr>
    </w:lvl>
    <w:lvl w:ilvl="2">
      <w:start w:val="1"/>
      <w:numFmt w:val="decimal"/>
      <w:lvlText w:val="%1.%2.%3"/>
      <w:lvlJc w:val="left"/>
      <w:pPr>
        <w:ind w:left="1137" w:hanging="556"/>
        <w:jc w:val="left"/>
      </w:pPr>
      <w:rPr>
        <w:rFonts w:hint="default" w:ascii="Arial" w:hAnsi="Arial" w:eastAsia="Arial" w:cs="Arial"/>
        <w:b/>
        <w:bCs/>
        <w:spacing w:val="-3"/>
        <w:w w:val="100"/>
        <w:sz w:val="22"/>
        <w:szCs w:val="22"/>
      </w:rPr>
    </w:lvl>
    <w:lvl w:ilvl="3">
      <w:start w:val="1"/>
      <w:numFmt w:val="decimal"/>
      <w:lvlText w:val="%1.%2.%3.%4"/>
      <w:lvlJc w:val="left"/>
      <w:pPr>
        <w:ind w:left="1535" w:hanging="734"/>
        <w:jc w:val="left"/>
      </w:pPr>
      <w:rPr>
        <w:rFonts w:hint="default" w:ascii="Arial" w:hAnsi="Arial" w:eastAsia="Arial" w:cs="Arial"/>
        <w:b/>
        <w:bCs/>
        <w:spacing w:val="-4"/>
        <w:w w:val="100"/>
        <w:sz w:val="22"/>
        <w:szCs w:val="22"/>
      </w:rPr>
    </w:lvl>
    <w:lvl w:ilvl="4">
      <w:start w:val="1"/>
      <w:numFmt w:val="bullet"/>
      <w:lvlText w:val="•"/>
      <w:lvlJc w:val="left"/>
      <w:pPr>
        <w:ind w:left="1540" w:hanging="734"/>
      </w:pPr>
      <w:rPr>
        <w:rFonts w:hint="default"/>
      </w:rPr>
    </w:lvl>
    <w:lvl w:ilvl="5">
      <w:start w:val="1"/>
      <w:numFmt w:val="bullet"/>
      <w:lvlText w:val="•"/>
      <w:lvlJc w:val="left"/>
      <w:pPr>
        <w:ind w:left="2803" w:hanging="734"/>
      </w:pPr>
      <w:rPr>
        <w:rFonts w:hint="default"/>
      </w:rPr>
    </w:lvl>
    <w:lvl w:ilvl="6">
      <w:start w:val="1"/>
      <w:numFmt w:val="bullet"/>
      <w:lvlText w:val="•"/>
      <w:lvlJc w:val="left"/>
      <w:pPr>
        <w:ind w:left="4066" w:hanging="734"/>
      </w:pPr>
      <w:rPr>
        <w:rFonts w:hint="default"/>
      </w:rPr>
    </w:lvl>
    <w:lvl w:ilvl="7">
      <w:start w:val="1"/>
      <w:numFmt w:val="bullet"/>
      <w:lvlText w:val="•"/>
      <w:lvlJc w:val="left"/>
      <w:pPr>
        <w:ind w:left="5330" w:hanging="734"/>
      </w:pPr>
      <w:rPr>
        <w:rFonts w:hint="default"/>
      </w:rPr>
    </w:lvl>
    <w:lvl w:ilvl="8">
      <w:start w:val="1"/>
      <w:numFmt w:val="bullet"/>
      <w:lvlText w:val="•"/>
      <w:lvlJc w:val="left"/>
      <w:pPr>
        <w:ind w:left="6593" w:hanging="734"/>
      </w:pPr>
      <w:rPr>
        <w:rFonts w:hint="default"/>
      </w:rPr>
    </w:lvl>
  </w:abstractNum>
  <w:abstractNum w:abstractNumId="0">
    <w:multiLevelType w:val="hybridMultilevel"/>
    <w:lvl w:ilvl="0">
      <w:start w:val="1"/>
      <w:numFmt w:val="decimal"/>
      <w:lvlText w:val="%1."/>
      <w:lvlJc w:val="left"/>
      <w:pPr>
        <w:ind w:left="388" w:hanging="250"/>
        <w:jc w:val="left"/>
      </w:pPr>
      <w:rPr>
        <w:rFonts w:hint="default" w:ascii="Arial" w:hAnsi="Arial" w:eastAsia="Arial" w:cs="Arial"/>
        <w:b/>
        <w:bCs/>
        <w:spacing w:val="0"/>
        <w:w w:val="100"/>
        <w:sz w:val="22"/>
        <w:szCs w:val="22"/>
      </w:rPr>
    </w:lvl>
    <w:lvl w:ilvl="1">
      <w:start w:val="1"/>
      <w:numFmt w:val="decimal"/>
      <w:lvlText w:val="%1.%2"/>
      <w:lvlJc w:val="left"/>
      <w:pPr>
        <w:ind w:left="360" w:hanging="374"/>
        <w:jc w:val="left"/>
      </w:pPr>
      <w:rPr>
        <w:rFonts w:hint="default" w:ascii="Arial" w:hAnsi="Arial" w:eastAsia="Arial" w:cs="Arial"/>
        <w:b/>
        <w:bCs/>
        <w:spacing w:val="0"/>
        <w:w w:val="100"/>
        <w:sz w:val="22"/>
        <w:szCs w:val="22"/>
      </w:rPr>
    </w:lvl>
    <w:lvl w:ilvl="2">
      <w:start w:val="1"/>
      <w:numFmt w:val="bullet"/>
      <w:lvlText w:val="•"/>
      <w:lvlJc w:val="left"/>
      <w:pPr>
        <w:ind w:left="1260" w:hanging="374"/>
      </w:pPr>
      <w:rPr>
        <w:rFonts w:hint="default"/>
      </w:rPr>
    </w:lvl>
    <w:lvl w:ilvl="3">
      <w:start w:val="1"/>
      <w:numFmt w:val="bullet"/>
      <w:lvlText w:val="•"/>
      <w:lvlJc w:val="left"/>
      <w:pPr>
        <w:ind w:left="2242" w:hanging="374"/>
      </w:pPr>
      <w:rPr>
        <w:rFonts w:hint="default"/>
      </w:rPr>
    </w:lvl>
    <w:lvl w:ilvl="4">
      <w:start w:val="1"/>
      <w:numFmt w:val="bullet"/>
      <w:lvlText w:val="•"/>
      <w:lvlJc w:val="left"/>
      <w:pPr>
        <w:ind w:left="3225" w:hanging="374"/>
      </w:pPr>
      <w:rPr>
        <w:rFonts w:hint="default"/>
      </w:rPr>
    </w:lvl>
    <w:lvl w:ilvl="5">
      <w:start w:val="1"/>
      <w:numFmt w:val="bullet"/>
      <w:lvlText w:val="•"/>
      <w:lvlJc w:val="left"/>
      <w:pPr>
        <w:ind w:left="4207" w:hanging="374"/>
      </w:pPr>
      <w:rPr>
        <w:rFonts w:hint="default"/>
      </w:rPr>
    </w:lvl>
    <w:lvl w:ilvl="6">
      <w:start w:val="1"/>
      <w:numFmt w:val="bullet"/>
      <w:lvlText w:val="•"/>
      <w:lvlJc w:val="left"/>
      <w:pPr>
        <w:ind w:left="5190" w:hanging="374"/>
      </w:pPr>
      <w:rPr>
        <w:rFonts w:hint="default"/>
      </w:rPr>
    </w:lvl>
    <w:lvl w:ilvl="7">
      <w:start w:val="1"/>
      <w:numFmt w:val="bullet"/>
      <w:lvlText w:val="•"/>
      <w:lvlJc w:val="left"/>
      <w:pPr>
        <w:ind w:left="6172" w:hanging="374"/>
      </w:pPr>
      <w:rPr>
        <w:rFonts w:hint="default"/>
      </w:rPr>
    </w:lvl>
    <w:lvl w:ilvl="8">
      <w:start w:val="1"/>
      <w:numFmt w:val="bullet"/>
      <w:lvlText w:val="•"/>
      <w:lvlJc w:val="left"/>
      <w:pPr>
        <w:ind w:left="7155" w:hanging="374"/>
      </w:pPr>
      <w:rPr>
        <w:rFonts w:hint="default"/>
      </w:rPr>
    </w:lvl>
  </w:abstract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139"/>
      <w:ind w:left="388" w:hanging="249"/>
    </w:pPr>
    <w:rPr>
      <w:rFonts w:ascii="Arial" w:hAnsi="Arial" w:eastAsia="Arial" w:cs="Arial"/>
      <w:b/>
      <w:bCs/>
      <w:sz w:val="22"/>
      <w:szCs w:val="22"/>
    </w:rPr>
  </w:style>
  <w:style w:styleId="TOC2" w:type="paragraph">
    <w:name w:val="TOC 2"/>
    <w:basedOn w:val="Normal"/>
    <w:uiPriority w:val="1"/>
    <w:qFormat/>
    <w:pPr>
      <w:spacing w:before="139"/>
      <w:ind w:left="139" w:hanging="249"/>
    </w:pPr>
    <w:rPr>
      <w:rFonts w:ascii="Arial" w:hAnsi="Arial" w:eastAsia="Arial" w:cs="Arial"/>
      <w:b/>
      <w:bCs/>
      <w:i/>
    </w:rPr>
  </w:style>
  <w:style w:styleId="TOC3" w:type="paragraph">
    <w:name w:val="TOC 3"/>
    <w:basedOn w:val="Normal"/>
    <w:uiPriority w:val="1"/>
    <w:qFormat/>
    <w:pPr>
      <w:spacing w:before="139"/>
      <w:ind w:left="729" w:hanging="369"/>
    </w:pPr>
    <w:rPr>
      <w:rFonts w:ascii="Arial" w:hAnsi="Arial" w:eastAsia="Arial" w:cs="Arial"/>
      <w:b/>
      <w:bCs/>
      <w:sz w:val="22"/>
      <w:szCs w:val="22"/>
    </w:rPr>
  </w:style>
  <w:style w:styleId="TOC4" w:type="paragraph">
    <w:name w:val="TOC 4"/>
    <w:basedOn w:val="Normal"/>
    <w:uiPriority w:val="1"/>
    <w:qFormat/>
    <w:pPr>
      <w:spacing w:before="139"/>
      <w:ind w:left="729" w:hanging="369"/>
    </w:pPr>
    <w:rPr>
      <w:rFonts w:ascii="Arial" w:hAnsi="Arial" w:eastAsia="Arial" w:cs="Arial"/>
      <w:b/>
      <w:bCs/>
      <w:i/>
    </w:rPr>
  </w:style>
  <w:style w:styleId="TOC5" w:type="paragraph">
    <w:name w:val="TOC 5"/>
    <w:basedOn w:val="Normal"/>
    <w:uiPriority w:val="1"/>
    <w:qFormat/>
    <w:pPr>
      <w:spacing w:before="51"/>
      <w:ind w:left="399"/>
    </w:pPr>
    <w:rPr>
      <w:rFonts w:ascii="Calibri" w:hAnsi="Calibri" w:eastAsia="Calibri" w:cs="Calibri"/>
      <w:sz w:val="22"/>
      <w:szCs w:val="22"/>
    </w:rPr>
  </w:style>
  <w:style w:styleId="TOC6" w:type="paragraph">
    <w:name w:val="TOC 6"/>
    <w:basedOn w:val="Normal"/>
    <w:uiPriority w:val="1"/>
    <w:qFormat/>
    <w:pPr>
      <w:spacing w:before="139"/>
      <w:ind w:left="581"/>
    </w:pPr>
    <w:rPr>
      <w:rFonts w:ascii="Arial" w:hAnsi="Arial" w:eastAsia="Arial" w:cs="Arial"/>
      <w:b/>
      <w:bCs/>
      <w:sz w:val="22"/>
      <w:szCs w:val="22"/>
    </w:rPr>
  </w:style>
  <w:style w:styleId="TOC7" w:type="paragraph">
    <w:name w:val="TOC 7"/>
    <w:basedOn w:val="Normal"/>
    <w:uiPriority w:val="1"/>
    <w:qFormat/>
    <w:pPr>
      <w:spacing w:before="139"/>
      <w:ind w:left="581"/>
    </w:pPr>
    <w:rPr>
      <w:rFonts w:ascii="Arial" w:hAnsi="Arial" w:eastAsia="Arial" w:cs="Arial"/>
      <w:b/>
      <w:bCs/>
      <w:i/>
    </w:rPr>
  </w:style>
  <w:style w:styleId="TOC8" w:type="paragraph">
    <w:name w:val="TOC 8"/>
    <w:basedOn w:val="Normal"/>
    <w:uiPriority w:val="1"/>
    <w:qFormat/>
    <w:pPr>
      <w:spacing w:before="139"/>
      <w:ind w:left="1535" w:hanging="733"/>
    </w:pPr>
    <w:rPr>
      <w:rFonts w:ascii="Arial" w:hAnsi="Arial" w:eastAsia="Arial" w:cs="Arial"/>
      <w:b/>
      <w:bCs/>
      <w:sz w:val="22"/>
      <w:szCs w:val="22"/>
    </w:rPr>
  </w:style>
  <w:style w:styleId="TOC9" w:type="paragraph">
    <w:name w:val="TOC 9"/>
    <w:basedOn w:val="Normal"/>
    <w:uiPriority w:val="1"/>
    <w:qFormat/>
    <w:pPr>
      <w:spacing w:before="139"/>
      <w:ind w:left="1535" w:hanging="733"/>
    </w:pPr>
    <w:rPr>
      <w:rFonts w:ascii="Arial" w:hAnsi="Arial" w:eastAsia="Arial" w:cs="Arial"/>
      <w:b/>
      <w:bCs/>
      <w:i/>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70"/>
      <w:ind w:left="139"/>
      <w:jc w:val="both"/>
      <w:outlineLvl w:val="1"/>
    </w:pPr>
    <w:rPr>
      <w:rFonts w:ascii="Arial" w:hAnsi="Arial" w:eastAsia="Arial" w:cs="Arial"/>
      <w:b/>
      <w:bCs/>
      <w:sz w:val="24"/>
      <w:szCs w:val="24"/>
    </w:rPr>
  </w:style>
  <w:style w:styleId="ListParagraph" w:type="paragraph">
    <w:name w:val="List Paragraph"/>
    <w:basedOn w:val="Normal"/>
    <w:uiPriority w:val="1"/>
    <w:qFormat/>
    <w:pPr>
      <w:spacing w:before="129"/>
      <w:ind w:left="699" w:hanging="581"/>
    </w:pPr>
    <w:rPr>
      <w:rFonts w:ascii="Times New Roman" w:hAnsi="Times New Roman" w:eastAsia="Times New Roman" w:cs="Times New Roman"/>
    </w:rPr>
  </w:style>
  <w:style w:styleId="TableParagraph" w:type="paragraph">
    <w:name w:val="Table Paragraph"/>
    <w:basedOn w:val="Normal"/>
    <w:uiPriority w:val="1"/>
    <w:qFormat/>
    <w:pPr>
      <w:spacing w:line="272" w:lineRule="exact"/>
      <w:ind w:left="105"/>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footer" Target="footer1.xml"/><Relationship Id="rId7" Type="http://schemas.openxmlformats.org/officeDocument/2006/relationships/header" Target="header2.xml"/><Relationship Id="rId8" Type="http://schemas.openxmlformats.org/officeDocument/2006/relationships/footer" Target="footer2.xml"/><Relationship Id="rId9" Type="http://schemas.openxmlformats.org/officeDocument/2006/relationships/footer" Target="footer3.xml"/><Relationship Id="rId10" Type="http://schemas.openxmlformats.org/officeDocument/2006/relationships/footer" Target="footer4.xml"/><Relationship Id="rId11" Type="http://schemas.openxmlformats.org/officeDocument/2006/relationships/footer" Target="footer5.xml"/><Relationship Id="rId12" Type="http://schemas.openxmlformats.org/officeDocument/2006/relationships/image" Target="media/image2.png"/><Relationship Id="rId13" Type="http://schemas.openxmlformats.org/officeDocument/2006/relationships/footer" Target="footer6.xml"/><Relationship Id="rId14" Type="http://schemas.openxmlformats.org/officeDocument/2006/relationships/image" Target="media/image3.jpeg"/><Relationship Id="rId15" Type="http://schemas.openxmlformats.org/officeDocument/2006/relationships/image" Target="media/image4.jpeg"/><Relationship Id="rId16" Type="http://schemas.openxmlformats.org/officeDocument/2006/relationships/image" Target="media/image5.jpeg"/><Relationship Id="rId17" Type="http://schemas.openxmlformats.org/officeDocument/2006/relationships/image" Target="media/image6.jpeg"/><Relationship Id="rId18" Type="http://schemas.openxmlformats.org/officeDocument/2006/relationships/image" Target="media/image7.jpeg"/><Relationship Id="rId19" Type="http://schemas.openxmlformats.org/officeDocument/2006/relationships/footer" Target="footer7.xml"/><Relationship Id="rId20" Type="http://schemas.openxmlformats.org/officeDocument/2006/relationships/image" Target="media/image8.jpeg"/><Relationship Id="rId21" Type="http://schemas.openxmlformats.org/officeDocument/2006/relationships/image" Target="media/image9.png"/><Relationship Id="rId22" Type="http://schemas.openxmlformats.org/officeDocument/2006/relationships/footer" Target="footer8.xml"/><Relationship Id="rId23" Type="http://schemas.openxmlformats.org/officeDocument/2006/relationships/image" Target="media/image10.jpeg"/><Relationship Id="rId24" Type="http://schemas.openxmlformats.org/officeDocument/2006/relationships/image" Target="media/image11.jpeg"/><Relationship Id="rId25" Type="http://schemas.openxmlformats.org/officeDocument/2006/relationships/image" Target="media/image12.jpeg"/><Relationship Id="rId26" Type="http://schemas.openxmlformats.org/officeDocument/2006/relationships/footer" Target="footer9.xml"/><Relationship Id="rId27" Type="http://schemas.openxmlformats.org/officeDocument/2006/relationships/footer" Target="footer10.xml"/><Relationship Id="rId28" Type="http://schemas.openxmlformats.org/officeDocument/2006/relationships/image" Target="media/image13.jpeg"/><Relationship Id="rId29" Type="http://schemas.openxmlformats.org/officeDocument/2006/relationships/footer" Target="footer11.xml"/><Relationship Id="rId30" Type="http://schemas.openxmlformats.org/officeDocument/2006/relationships/hyperlink" Target="mailto:germancu_09@hotmail.com" TargetMode="External"/><Relationship Id="rId31" Type="http://schemas.openxmlformats.org/officeDocument/2006/relationships/footer" Target="footer12.xml"/><Relationship Id="rId32" Type="http://schemas.openxmlformats.org/officeDocument/2006/relationships/footer" Target="footer13.xml"/><Relationship Id="rId33" Type="http://schemas.openxmlformats.org/officeDocument/2006/relationships/footer" Target="footer14.xml"/><Relationship Id="rId34" Type="http://schemas.openxmlformats.org/officeDocument/2006/relationships/hyperlink" Target="http://www.conapesca.gob.mx/" TargetMode="External"/><Relationship Id="rId35" Type="http://schemas.openxmlformats.org/officeDocument/2006/relationships/image" Target="media/image14.png"/><Relationship Id="rId36" Type="http://schemas.openxmlformats.org/officeDocument/2006/relationships/image" Target="media/image15.png"/><Relationship Id="rId37" Type="http://schemas.openxmlformats.org/officeDocument/2006/relationships/image" Target="media/image16.png"/><Relationship Id="rId38" Type="http://schemas.openxmlformats.org/officeDocument/2006/relationships/image" Target="media/image17.png"/><Relationship Id="rId39" Type="http://schemas.openxmlformats.org/officeDocument/2006/relationships/footer" Target="footer15.xml"/><Relationship Id="rId40" Type="http://schemas.openxmlformats.org/officeDocument/2006/relationships/image" Target="media/image18.png"/><Relationship Id="rId41" Type="http://schemas.openxmlformats.org/officeDocument/2006/relationships/image" Target="media/image19.png"/><Relationship Id="rId42" Type="http://schemas.openxmlformats.org/officeDocument/2006/relationships/footer" Target="footer16.xml"/><Relationship Id="rId43" Type="http://schemas.openxmlformats.org/officeDocument/2006/relationships/image" Target="media/image20.jpeg"/><Relationship Id="rId44" Type="http://schemas.openxmlformats.org/officeDocument/2006/relationships/image" Target="media/image21.jpeg"/><Relationship Id="rId45" Type="http://schemas.openxmlformats.org/officeDocument/2006/relationships/image" Target="media/image22.png"/><Relationship Id="rId46" Type="http://schemas.openxmlformats.org/officeDocument/2006/relationships/image" Target="media/image23.jpeg"/><Relationship Id="rId47" Type="http://schemas.openxmlformats.org/officeDocument/2006/relationships/image" Target="media/image24.png"/><Relationship Id="rId48" Type="http://schemas.openxmlformats.org/officeDocument/2006/relationships/image" Target="media/image25.jpeg"/><Relationship Id="rId49" Type="http://schemas.openxmlformats.org/officeDocument/2006/relationships/image" Target="media/image26.jpeg"/><Relationship Id="rId50" Type="http://schemas.openxmlformats.org/officeDocument/2006/relationships/image" Target="media/image27.png"/><Relationship Id="rId51" Type="http://schemas.openxmlformats.org/officeDocument/2006/relationships/footer" Target="footer17.xml"/><Relationship Id="rId52" Type="http://schemas.openxmlformats.org/officeDocument/2006/relationships/footer" Target="footer18.xml"/><Relationship Id="rId53" Type="http://schemas.openxmlformats.org/officeDocument/2006/relationships/hyperlink" Target="http://www.conapesca.sagarpa.gob.mx/" TargetMode="External"/><Relationship Id="rId54" Type="http://schemas.openxmlformats.org/officeDocument/2006/relationships/hyperlink" Target="http://www.revistaaquatic.com/documentos/docs/nh_tilapia3milenio" TargetMode="External"/><Relationship Id="rId55" Type="http://schemas.openxmlformats.org/officeDocument/2006/relationships/hyperlink" Target="http://www.sagarpa.gob.mx/" TargetMode="External"/><Relationship Id="rId56" Type="http://schemas.openxmlformats.org/officeDocument/2006/relationships/footer" Target="footer19.xml"/><Relationship Id="rId57" Type="http://schemas.openxmlformats.org/officeDocument/2006/relationships/numbering" Target="numbering.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dcterms:created xsi:type="dcterms:W3CDTF">2017-05-19T20:10:20Z</dcterms:created>
  <dcterms:modified xsi:type="dcterms:W3CDTF">2017-05-19T20:10:20Z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2015-05-08T00:00:00Z</vt:filetime>
  </property>
  <property fmtid="{D5CDD505-2E9C-101B-9397-08002B2CF9AE}" pid="3" name="Creator">
    <vt:lpwstr>Microsoft® Word 2013</vt:lpwstr>
  </property>
  <property fmtid="{D5CDD505-2E9C-101B-9397-08002B2CF9AE}" pid="4" name="LastSaved">
    <vt:filetime>2017-05-19T00:00:00Z</vt:filetime>
  </property>
</Properties>
</file>