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header3.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Default Extension="jpeg" ContentType="image/jpeg"/>
  <Override PartName="/word/footer22.xml" ContentType="application/vnd.openxmlformats-officedocument.wordprocessingml.footer+xml"/>
  <Override PartName="/word/footer2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header6.xml" ContentType="application/vnd.openxmlformats-officedocument.wordprocessingml.header+xml"/>
  <Override PartName="/word/footer2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spacing w:line="273" w:lineRule="auto" w:before="204"/>
        <w:ind w:left="2226" w:right="326" w:firstLine="0"/>
        <w:jc w:val="center"/>
        <w:rPr>
          <w:b/>
          <w:sz w:val="36"/>
        </w:rPr>
      </w:pPr>
      <w:r>
        <w:rPr/>
        <w:drawing>
          <wp:anchor distT="0" distB="0" distL="0" distR="0" allowOverlap="1" layoutInCell="1" locked="0" behindDoc="0" simplePos="0" relativeHeight="0">
            <wp:simplePos x="0" y="0"/>
            <wp:positionH relativeFrom="page">
              <wp:posOffset>332740</wp:posOffset>
            </wp:positionH>
            <wp:positionV relativeFrom="paragraph">
              <wp:posOffset>-143323</wp:posOffset>
            </wp:positionV>
            <wp:extent cx="1257300" cy="107378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57300" cy="1073784"/>
                    </a:xfrm>
                    <a:prstGeom prst="rect">
                      <a:avLst/>
                    </a:prstGeom>
                  </pic:spPr>
                </pic:pic>
              </a:graphicData>
            </a:graphic>
          </wp:anchor>
        </w:drawing>
      </w:r>
      <w:r>
        <w:rPr>
          <w:b/>
          <w:sz w:val="36"/>
        </w:rPr>
        <w:t>UNIVERSIDAD AUTÓNOMA DEL ESTADO DE MÉXICO</w:t>
      </w:r>
    </w:p>
    <w:p>
      <w:pPr>
        <w:spacing w:line="271" w:lineRule="auto" w:before="205"/>
        <w:ind w:left="2226" w:right="321" w:firstLine="0"/>
        <w:jc w:val="center"/>
        <w:rPr>
          <w:sz w:val="28"/>
        </w:rPr>
      </w:pPr>
      <w:r>
        <w:rPr>
          <w:sz w:val="28"/>
        </w:rPr>
        <w:t>PROGRAMA MAESTRIA Y DOCTORADO EN CIENCIAS AGROPECUARIAS Y RECURSOS NATURALES</w:t>
      </w:r>
    </w:p>
    <w:p>
      <w:pPr>
        <w:pStyle w:val="BodyText"/>
        <w:rPr>
          <w:sz w:val="28"/>
        </w:rPr>
      </w:pPr>
    </w:p>
    <w:p>
      <w:pPr>
        <w:pStyle w:val="BodyText"/>
        <w:spacing w:before="6"/>
        <w:rPr>
          <w:sz w:val="40"/>
        </w:rPr>
      </w:pPr>
    </w:p>
    <w:p>
      <w:pPr>
        <w:pStyle w:val="BodyText"/>
        <w:spacing w:line="273" w:lineRule="auto"/>
        <w:ind w:left="2226" w:right="328"/>
        <w:jc w:val="center"/>
        <w:rPr>
          <w:rFonts w:ascii="Arial" w:hAnsi="Arial"/>
        </w:rPr>
      </w:pPr>
      <w:r>
        <w:rPr>
          <w:rFonts w:ascii="Arial" w:hAnsi="Arial"/>
        </w:rPr>
        <w:t>“ EFECTO DE LA ESTRATEGIA DE ALIMENTACIÓN Y DEL GENOTIPO SOBRE LA PRODUCCIÓN, COMPOSICIÓN Y PERFIL DE ACIDOS GRASOS DE LA LECHE DE VACAS EN PASTOREO EN EL VALLE DE TOLUCA”</w:t>
      </w:r>
    </w:p>
    <w:p>
      <w:pPr>
        <w:pStyle w:val="BodyText"/>
        <w:rPr>
          <w:rFonts w:ascii="Arial"/>
        </w:rPr>
      </w:pPr>
    </w:p>
    <w:p>
      <w:pPr>
        <w:pStyle w:val="BodyText"/>
        <w:rPr>
          <w:rFonts w:ascii="Arial"/>
        </w:rPr>
      </w:pPr>
    </w:p>
    <w:p>
      <w:pPr>
        <w:tabs>
          <w:tab w:pos="3080" w:val="left" w:leader="none"/>
          <w:tab w:pos="4293" w:val="left" w:leader="none"/>
          <w:tab w:pos="5504" w:val="left" w:leader="none"/>
          <w:tab w:pos="6519" w:val="left" w:leader="none"/>
        </w:tabs>
        <w:spacing w:before="139"/>
        <w:ind w:left="1898" w:right="0" w:firstLine="0"/>
        <w:jc w:val="center"/>
        <w:rPr>
          <w:rFonts w:ascii="Arial"/>
          <w:b/>
          <w:sz w:val="52"/>
        </w:rPr>
      </w:pPr>
      <w:r>
        <w:rPr>
          <w:rFonts w:ascii="Arial"/>
          <w:b/>
          <w:sz w:val="52"/>
        </w:rPr>
        <w:t>T</w:t>
        <w:tab/>
        <w:t>E</w:t>
        <w:tab/>
        <w:t>S</w:t>
        <w:tab/>
        <w:t>I</w:t>
        <w:tab/>
        <w:t>S</w:t>
      </w:r>
    </w:p>
    <w:p>
      <w:pPr>
        <w:pStyle w:val="BodyText"/>
        <w:rPr>
          <w:rFonts w:ascii="Arial"/>
          <w:b/>
          <w:sz w:val="20"/>
        </w:rPr>
      </w:pPr>
    </w:p>
    <w:p>
      <w:pPr>
        <w:pStyle w:val="BodyText"/>
        <w:rPr>
          <w:rFonts w:ascii="Arial"/>
          <w:b/>
          <w:sz w:val="20"/>
        </w:rPr>
      </w:pPr>
    </w:p>
    <w:p>
      <w:pPr>
        <w:pStyle w:val="BodyText"/>
        <w:spacing w:before="2"/>
        <w:rPr>
          <w:rFonts w:ascii="Arial"/>
          <w:b/>
          <w:sz w:val="23"/>
        </w:rPr>
      </w:pPr>
    </w:p>
    <w:p>
      <w:pPr>
        <w:spacing w:line="271" w:lineRule="auto" w:before="60"/>
        <w:ind w:left="2019" w:right="122" w:firstLine="8"/>
        <w:jc w:val="center"/>
        <w:rPr>
          <w:sz w:val="32"/>
        </w:rPr>
      </w:pPr>
      <w:r>
        <w:rPr>
          <w:sz w:val="32"/>
        </w:rPr>
        <w:t>QUE PARA OBTENER EL GRADO DE MAESTRO EN CIENCIAS AGROPECUARIAS Y RECURSOS </w:t>
      </w:r>
      <w:r>
        <w:rPr>
          <w:spacing w:val="-3"/>
          <w:sz w:val="32"/>
        </w:rPr>
        <w:t>NATURALES</w:t>
      </w:r>
    </w:p>
    <w:p>
      <w:pPr>
        <w:pStyle w:val="BodyText"/>
        <w:rPr>
          <w:sz w:val="32"/>
        </w:rPr>
      </w:pPr>
    </w:p>
    <w:p>
      <w:pPr>
        <w:pStyle w:val="BodyText"/>
        <w:spacing w:before="6"/>
        <w:rPr>
          <w:sz w:val="40"/>
        </w:rPr>
      </w:pPr>
    </w:p>
    <w:p>
      <w:pPr>
        <w:spacing w:before="0"/>
        <w:ind w:left="2226" w:right="265" w:firstLine="0"/>
        <w:jc w:val="center"/>
        <w:rPr>
          <w:sz w:val="32"/>
        </w:rPr>
      </w:pPr>
      <w:r>
        <w:rPr>
          <w:sz w:val="32"/>
        </w:rPr>
        <w:t>P  R  E  S  E  N  T  A:</w:t>
      </w:r>
    </w:p>
    <w:p>
      <w:pPr>
        <w:spacing w:before="263"/>
        <w:ind w:left="2222" w:right="328" w:firstLine="0"/>
        <w:jc w:val="center"/>
        <w:rPr>
          <w:rFonts w:ascii="Arial" w:hAnsi="Arial"/>
          <w:sz w:val="28"/>
        </w:rPr>
      </w:pPr>
      <w:r>
        <w:rPr>
          <w:rFonts w:ascii="Arial" w:hAnsi="Arial"/>
          <w:sz w:val="28"/>
        </w:rPr>
        <w:t>MVZ. HORACIO CASTRO HERNÁNDEZ</w:t>
      </w:r>
    </w:p>
    <w:p>
      <w:pPr>
        <w:pStyle w:val="BodyText"/>
        <w:rPr>
          <w:rFonts w:ascii="Arial"/>
          <w:sz w:val="28"/>
        </w:rPr>
      </w:pPr>
    </w:p>
    <w:p>
      <w:pPr>
        <w:pStyle w:val="BodyText"/>
        <w:rPr>
          <w:rFonts w:ascii="Arial"/>
          <w:sz w:val="28"/>
        </w:rPr>
      </w:pPr>
    </w:p>
    <w:p>
      <w:pPr>
        <w:pStyle w:val="BodyText"/>
        <w:rPr>
          <w:rFonts w:ascii="Arial"/>
          <w:sz w:val="28"/>
        </w:rPr>
      </w:pPr>
    </w:p>
    <w:p>
      <w:pPr>
        <w:pStyle w:val="BodyText"/>
        <w:rPr>
          <w:rFonts w:ascii="Arial"/>
          <w:sz w:val="28"/>
        </w:rPr>
      </w:pPr>
    </w:p>
    <w:p>
      <w:pPr>
        <w:pStyle w:val="BodyText"/>
        <w:spacing w:before="3"/>
        <w:rPr>
          <w:rFonts w:ascii="Arial"/>
          <w:sz w:val="30"/>
        </w:rPr>
      </w:pPr>
    </w:p>
    <w:p>
      <w:pPr>
        <w:spacing w:before="1"/>
        <w:ind w:left="4194" w:right="0" w:firstLine="0"/>
        <w:jc w:val="left"/>
        <w:rPr>
          <w:sz w:val="22"/>
        </w:rPr>
      </w:pPr>
      <w:r>
        <w:rPr>
          <w:sz w:val="22"/>
        </w:rPr>
        <w:t>El Cerrillo Piedras Blancas, Toluca, Estado de México Junio de 2014</w:t>
      </w:r>
    </w:p>
    <w:p>
      <w:pPr>
        <w:spacing w:after="0"/>
        <w:jc w:val="left"/>
        <w:rPr>
          <w:sz w:val="22"/>
        </w:rPr>
        <w:sectPr>
          <w:type w:val="continuous"/>
          <w:pgSz w:w="12240" w:h="15840"/>
          <w:pgMar w:top="1380" w:bottom="280" w:left="420" w:right="1420"/>
        </w:sectPr>
      </w:pPr>
    </w:p>
    <w:p>
      <w:pPr>
        <w:pStyle w:val="BodyText"/>
        <w:rPr>
          <w:sz w:val="20"/>
        </w:rPr>
      </w:pPr>
    </w:p>
    <w:p>
      <w:pPr>
        <w:pStyle w:val="BodyText"/>
        <w:rPr>
          <w:sz w:val="20"/>
        </w:rPr>
      </w:pPr>
    </w:p>
    <w:p>
      <w:pPr>
        <w:pStyle w:val="BodyText"/>
        <w:rPr>
          <w:sz w:val="20"/>
        </w:rPr>
      </w:pPr>
    </w:p>
    <w:p>
      <w:pPr>
        <w:spacing w:before="184"/>
        <w:ind w:left="2143" w:right="123" w:firstLine="0"/>
        <w:jc w:val="center"/>
        <w:rPr>
          <w:rFonts w:ascii="Arial" w:hAnsi="Arial"/>
          <w:b/>
          <w:sz w:val="32"/>
        </w:rPr>
      </w:pPr>
      <w:r>
        <w:rPr/>
        <w:drawing>
          <wp:anchor distT="0" distB="0" distL="0" distR="0" allowOverlap="1" layoutInCell="1" locked="0" behindDoc="0" simplePos="0" relativeHeight="1048">
            <wp:simplePos x="0" y="0"/>
            <wp:positionH relativeFrom="page">
              <wp:posOffset>254634</wp:posOffset>
            </wp:positionH>
            <wp:positionV relativeFrom="paragraph">
              <wp:posOffset>-149379</wp:posOffset>
            </wp:positionV>
            <wp:extent cx="1257300" cy="1073784"/>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257300" cy="1073784"/>
                    </a:xfrm>
                    <a:prstGeom prst="rect">
                      <a:avLst/>
                    </a:prstGeom>
                  </pic:spPr>
                </pic:pic>
              </a:graphicData>
            </a:graphic>
          </wp:anchor>
        </w:drawing>
      </w:r>
      <w:r>
        <w:rPr>
          <w:rFonts w:ascii="Arial" w:hAnsi="Arial"/>
          <w:b/>
          <w:sz w:val="32"/>
        </w:rPr>
        <w:t>UNIVERSIDAD AUTÓNOMA DEL ESTADO DE MÉXICO</w:t>
      </w:r>
    </w:p>
    <w:p>
      <w:pPr>
        <w:spacing w:line="271" w:lineRule="auto" w:before="264"/>
        <w:ind w:left="2143" w:right="121" w:firstLine="0"/>
        <w:jc w:val="center"/>
        <w:rPr>
          <w:rFonts w:ascii="Arial"/>
          <w:sz w:val="28"/>
        </w:rPr>
      </w:pPr>
      <w:r>
        <w:rPr>
          <w:rFonts w:ascii="Arial"/>
          <w:sz w:val="28"/>
        </w:rPr>
        <w:t>PROGRAMA MAESTRIA Y DOCTORADO EN CIENCIAS AGROPECUARIAS Y RECURSOS NATURALES</w:t>
      </w:r>
    </w:p>
    <w:p>
      <w:pPr>
        <w:pStyle w:val="BodyText"/>
        <w:rPr>
          <w:rFonts w:ascii="Arial"/>
          <w:sz w:val="28"/>
        </w:rPr>
      </w:pPr>
    </w:p>
    <w:p>
      <w:pPr>
        <w:pStyle w:val="BodyText"/>
        <w:spacing w:before="7"/>
        <w:rPr>
          <w:rFonts w:ascii="Arial"/>
          <w:sz w:val="32"/>
        </w:rPr>
      </w:pPr>
    </w:p>
    <w:p>
      <w:pPr>
        <w:pStyle w:val="BodyText"/>
        <w:spacing w:line="276" w:lineRule="auto"/>
        <w:ind w:left="2141" w:right="123"/>
        <w:jc w:val="center"/>
        <w:rPr>
          <w:rFonts w:ascii="Arial" w:hAnsi="Arial"/>
          <w:b/>
        </w:rPr>
      </w:pPr>
      <w:r>
        <w:rPr>
          <w:rFonts w:ascii="Arial" w:hAnsi="Arial"/>
          <w:b/>
        </w:rPr>
        <w:t>“</w:t>
      </w:r>
      <w:r>
        <w:rPr>
          <w:rFonts w:ascii="Arial" w:hAnsi="Arial"/>
        </w:rPr>
        <w:t>EFECTO DE LA ESTRATEGIA DE ALIMENTACIÓN Y DEL GENOTIPO SOBRE LA PRODUCCIÓN, COMPOSICIÓN Y PERFIL DE ACIDOS GRASOS DE LA LECHE DE VACAS EN PASTOREO EN EL VALLE DE TOLUCA</w:t>
      </w:r>
      <w:r>
        <w:rPr>
          <w:rFonts w:ascii="Arial" w:hAnsi="Arial"/>
          <w:b/>
        </w:rPr>
        <w:t>”</w:t>
      </w:r>
    </w:p>
    <w:p>
      <w:pPr>
        <w:pStyle w:val="BodyText"/>
        <w:rPr>
          <w:rFonts w:ascii="Arial"/>
          <w:b/>
        </w:rPr>
      </w:pPr>
    </w:p>
    <w:p>
      <w:pPr>
        <w:pStyle w:val="BodyText"/>
        <w:spacing w:before="6"/>
        <w:rPr>
          <w:rFonts w:ascii="Arial"/>
          <w:b/>
          <w:sz w:val="22"/>
        </w:rPr>
      </w:pPr>
    </w:p>
    <w:p>
      <w:pPr>
        <w:tabs>
          <w:tab w:pos="3200" w:val="left" w:leader="none"/>
          <w:tab w:pos="4413" w:val="left" w:leader="none"/>
          <w:tab w:pos="5624" w:val="left" w:leader="none"/>
          <w:tab w:pos="6639" w:val="left" w:leader="none"/>
        </w:tabs>
        <w:spacing w:before="0"/>
        <w:ind w:left="2018" w:right="0" w:firstLine="0"/>
        <w:jc w:val="center"/>
        <w:rPr>
          <w:rFonts w:ascii="Arial"/>
          <w:b/>
          <w:sz w:val="52"/>
        </w:rPr>
      </w:pPr>
      <w:r>
        <w:rPr>
          <w:rFonts w:ascii="Arial"/>
          <w:b/>
          <w:sz w:val="52"/>
        </w:rPr>
        <w:t>T</w:t>
        <w:tab/>
        <w:t>E</w:t>
        <w:tab/>
        <w:t>S</w:t>
        <w:tab/>
        <w:t>I</w:t>
        <w:tab/>
        <w:t>S</w:t>
      </w:r>
    </w:p>
    <w:p>
      <w:pPr>
        <w:pStyle w:val="BodyText"/>
        <w:spacing w:before="5"/>
        <w:rPr>
          <w:rFonts w:ascii="Arial"/>
          <w:b/>
          <w:sz w:val="54"/>
        </w:rPr>
      </w:pPr>
    </w:p>
    <w:p>
      <w:pPr>
        <w:spacing w:line="276" w:lineRule="auto" w:before="1"/>
        <w:ind w:left="2143" w:right="117" w:firstLine="0"/>
        <w:jc w:val="center"/>
        <w:rPr>
          <w:rFonts w:ascii="Arial"/>
          <w:sz w:val="32"/>
        </w:rPr>
      </w:pPr>
      <w:r>
        <w:rPr>
          <w:rFonts w:ascii="Arial"/>
          <w:sz w:val="32"/>
        </w:rPr>
        <w:t>QUE PARA OBTENER EL GRADO DE MAESTRO EN CIENCIAS AGROPECUARIAS Y RECURSOS NATURALES</w:t>
      </w:r>
    </w:p>
    <w:p>
      <w:pPr>
        <w:pStyle w:val="BodyText"/>
        <w:rPr>
          <w:rFonts w:ascii="Arial"/>
          <w:sz w:val="32"/>
        </w:rPr>
      </w:pPr>
    </w:p>
    <w:p>
      <w:pPr>
        <w:pStyle w:val="BodyText"/>
        <w:spacing w:before="8"/>
        <w:rPr>
          <w:rFonts w:ascii="Arial"/>
          <w:sz w:val="25"/>
        </w:rPr>
      </w:pPr>
    </w:p>
    <w:p>
      <w:pPr>
        <w:spacing w:before="0"/>
        <w:ind w:left="2143" w:right="53" w:firstLine="0"/>
        <w:jc w:val="center"/>
        <w:rPr>
          <w:rFonts w:ascii="Arial"/>
          <w:sz w:val="32"/>
        </w:rPr>
      </w:pPr>
      <w:r>
        <w:rPr>
          <w:rFonts w:ascii="Arial"/>
          <w:sz w:val="32"/>
        </w:rPr>
        <w:t>P  R  E  S  E  N  T</w:t>
      </w:r>
      <w:r>
        <w:rPr>
          <w:rFonts w:ascii="Arial"/>
          <w:spacing w:val="87"/>
          <w:sz w:val="32"/>
        </w:rPr>
        <w:t> </w:t>
      </w:r>
      <w:r>
        <w:rPr>
          <w:rFonts w:ascii="Arial"/>
          <w:sz w:val="32"/>
        </w:rPr>
        <w:t>A:</w:t>
      </w:r>
    </w:p>
    <w:p>
      <w:pPr>
        <w:spacing w:before="173"/>
        <w:ind w:left="2136" w:right="123" w:firstLine="0"/>
        <w:jc w:val="center"/>
        <w:rPr>
          <w:rFonts w:ascii="Arial" w:hAnsi="Arial"/>
          <w:sz w:val="28"/>
        </w:rPr>
      </w:pPr>
      <w:r>
        <w:rPr>
          <w:rFonts w:ascii="Arial" w:hAnsi="Arial"/>
          <w:sz w:val="28"/>
        </w:rPr>
        <w:t>MVZ. HORACIO CASTRO HERNÁNDEZ</w:t>
      </w:r>
    </w:p>
    <w:p>
      <w:pPr>
        <w:pStyle w:val="BodyText"/>
        <w:rPr>
          <w:rFonts w:ascii="Arial"/>
          <w:sz w:val="28"/>
        </w:rPr>
      </w:pPr>
    </w:p>
    <w:p>
      <w:pPr>
        <w:pStyle w:val="BodyText"/>
        <w:spacing w:before="11"/>
        <w:rPr>
          <w:rFonts w:ascii="Arial"/>
          <w:sz w:val="21"/>
        </w:rPr>
      </w:pPr>
    </w:p>
    <w:p>
      <w:pPr>
        <w:spacing w:before="0"/>
        <w:ind w:left="2143" w:right="115" w:firstLine="0"/>
        <w:jc w:val="center"/>
        <w:rPr>
          <w:rFonts w:ascii="Arial" w:hAnsi="Arial"/>
          <w:b/>
          <w:sz w:val="22"/>
        </w:rPr>
      </w:pPr>
      <w:r>
        <w:rPr>
          <w:rFonts w:ascii="Arial" w:hAnsi="Arial"/>
          <w:b/>
          <w:sz w:val="22"/>
        </w:rPr>
        <w:t>COMITÉ DE TUTORES</w:t>
      </w:r>
    </w:p>
    <w:p>
      <w:pPr>
        <w:spacing w:line="386" w:lineRule="auto" w:before="164"/>
        <w:ind w:left="4132" w:right="1943" w:firstLine="340"/>
        <w:jc w:val="left"/>
        <w:rPr>
          <w:rFonts w:ascii="Arial" w:hAnsi="Arial"/>
          <w:sz w:val="22"/>
        </w:rPr>
      </w:pPr>
      <w:r>
        <w:rPr>
          <w:rFonts w:ascii="Arial" w:hAnsi="Arial"/>
          <w:sz w:val="22"/>
        </w:rPr>
        <w:t>DR. ERNESTO MORALES ALMARÁZ DR. IGNACIO ARTURO DOMÍNGUEZ VARA</w:t>
      </w:r>
    </w:p>
    <w:p>
      <w:pPr>
        <w:spacing w:before="10"/>
        <w:ind w:left="2295" w:right="123" w:firstLine="0"/>
        <w:jc w:val="center"/>
        <w:rPr>
          <w:rFonts w:ascii="Arial" w:hAnsi="Arial"/>
          <w:sz w:val="22"/>
        </w:rPr>
      </w:pPr>
      <w:r>
        <w:rPr>
          <w:rFonts w:ascii="Arial" w:hAnsi="Arial"/>
          <w:sz w:val="22"/>
        </w:rPr>
        <w:t>DR. JUAN MANUEL PINOS RODRÍGUEZ</w:t>
      </w:r>
    </w:p>
    <w:p>
      <w:pPr>
        <w:pStyle w:val="BodyText"/>
        <w:rPr>
          <w:rFonts w:ascii="Arial"/>
          <w:sz w:val="22"/>
        </w:rPr>
      </w:pPr>
    </w:p>
    <w:p>
      <w:pPr>
        <w:pStyle w:val="BodyText"/>
        <w:rPr>
          <w:rFonts w:ascii="Arial"/>
          <w:sz w:val="22"/>
        </w:rPr>
      </w:pPr>
    </w:p>
    <w:p>
      <w:pPr>
        <w:pStyle w:val="BodyText"/>
        <w:rPr>
          <w:rFonts w:ascii="Arial"/>
          <w:sz w:val="22"/>
        </w:rPr>
      </w:pPr>
    </w:p>
    <w:p>
      <w:pPr>
        <w:pStyle w:val="BodyText"/>
        <w:spacing w:before="3"/>
        <w:rPr>
          <w:rFonts w:ascii="Arial"/>
          <w:sz w:val="19"/>
        </w:rPr>
      </w:pPr>
    </w:p>
    <w:p>
      <w:pPr>
        <w:spacing w:before="0"/>
        <w:ind w:left="3704" w:right="0" w:firstLine="0"/>
        <w:jc w:val="left"/>
        <w:rPr>
          <w:rFonts w:ascii="Arial" w:hAnsi="Arial"/>
          <w:sz w:val="22"/>
        </w:rPr>
      </w:pPr>
      <w:r>
        <w:rPr>
          <w:rFonts w:ascii="Arial" w:hAnsi="Arial"/>
          <w:sz w:val="22"/>
        </w:rPr>
        <w:t>El Cerrillo Piedras Blancas, Toluca, Estado de México Junio de 2014</w:t>
      </w:r>
    </w:p>
    <w:p>
      <w:pPr>
        <w:spacing w:after="0"/>
        <w:jc w:val="left"/>
        <w:rPr>
          <w:rFonts w:ascii="Arial" w:hAnsi="Arial"/>
          <w:sz w:val="22"/>
        </w:rPr>
        <w:sectPr>
          <w:pgSz w:w="12240" w:h="15840"/>
          <w:pgMar w:top="1500" w:bottom="280" w:left="300" w:right="1420"/>
        </w:sectPr>
      </w:pPr>
    </w:p>
    <w:p>
      <w:pPr>
        <w:pStyle w:val="BodyText"/>
        <w:spacing w:before="4"/>
        <w:rPr>
          <w:rFonts w:ascii="Arial"/>
          <w:sz w:val="27"/>
        </w:rPr>
      </w:pPr>
    </w:p>
    <w:p>
      <w:pPr>
        <w:spacing w:before="73"/>
        <w:ind w:left="524" w:right="122" w:firstLine="0"/>
        <w:jc w:val="center"/>
        <w:rPr>
          <w:b/>
          <w:sz w:val="22"/>
        </w:rPr>
      </w:pPr>
      <w:r>
        <w:rPr>
          <w:b/>
          <w:sz w:val="22"/>
        </w:rPr>
        <w:t>DEDICATORIAS</w:t>
      </w:r>
    </w:p>
    <w:p>
      <w:pPr>
        <w:pStyle w:val="BodyText"/>
        <w:rPr>
          <w:b/>
          <w:sz w:val="22"/>
        </w:rPr>
      </w:pPr>
    </w:p>
    <w:p>
      <w:pPr>
        <w:pStyle w:val="BodyText"/>
        <w:rPr>
          <w:b/>
          <w:sz w:val="22"/>
        </w:rPr>
      </w:pPr>
    </w:p>
    <w:p>
      <w:pPr>
        <w:pStyle w:val="BodyText"/>
        <w:spacing w:before="9"/>
        <w:rPr>
          <w:b/>
          <w:sz w:val="18"/>
        </w:rPr>
      </w:pPr>
    </w:p>
    <w:p>
      <w:pPr>
        <w:spacing w:before="0"/>
        <w:ind w:left="510" w:right="126" w:firstLine="0"/>
        <w:jc w:val="center"/>
        <w:rPr>
          <w:sz w:val="22"/>
        </w:rPr>
      </w:pPr>
      <w:r>
        <w:rPr>
          <w:sz w:val="22"/>
        </w:rPr>
        <w:t>A mi Mama, por ser la persona que me motiva a seguir adelante y apoyarme en todo momento.</w:t>
      </w:r>
    </w:p>
    <w:p>
      <w:pPr>
        <w:pStyle w:val="BodyText"/>
        <w:rPr>
          <w:sz w:val="22"/>
        </w:rPr>
      </w:pPr>
    </w:p>
    <w:p>
      <w:pPr>
        <w:pStyle w:val="BodyText"/>
        <w:rPr>
          <w:sz w:val="22"/>
        </w:rPr>
      </w:pPr>
    </w:p>
    <w:p>
      <w:pPr>
        <w:pStyle w:val="BodyText"/>
        <w:rPr>
          <w:sz w:val="22"/>
        </w:rPr>
      </w:pPr>
    </w:p>
    <w:p>
      <w:pPr>
        <w:spacing w:before="149"/>
        <w:ind w:left="517" w:right="126" w:firstLine="0"/>
        <w:jc w:val="center"/>
        <w:rPr>
          <w:sz w:val="22"/>
        </w:rPr>
      </w:pPr>
      <w:r>
        <w:rPr>
          <w:sz w:val="22"/>
        </w:rPr>
        <w:t>A mis hermanos Fernando, Came y Tina, por su cariño y comprensión.</w:t>
      </w:r>
    </w:p>
    <w:p>
      <w:pPr>
        <w:pStyle w:val="BodyText"/>
        <w:rPr>
          <w:sz w:val="22"/>
        </w:rPr>
      </w:pPr>
    </w:p>
    <w:p>
      <w:pPr>
        <w:pStyle w:val="BodyText"/>
        <w:rPr>
          <w:sz w:val="22"/>
        </w:rPr>
      </w:pPr>
    </w:p>
    <w:p>
      <w:pPr>
        <w:pStyle w:val="BodyText"/>
        <w:rPr>
          <w:sz w:val="22"/>
        </w:rPr>
      </w:pPr>
    </w:p>
    <w:p>
      <w:pPr>
        <w:spacing w:before="145"/>
        <w:ind w:left="517" w:right="126" w:firstLine="0"/>
        <w:jc w:val="center"/>
        <w:rPr>
          <w:sz w:val="22"/>
        </w:rPr>
      </w:pPr>
      <w:r>
        <w:rPr>
          <w:sz w:val="22"/>
        </w:rPr>
        <w:t>A mis sobrinos Libia, Lupe, José, Jenny y Fer por hacerme tan feliz.</w:t>
      </w:r>
    </w:p>
    <w:p>
      <w:pPr>
        <w:pStyle w:val="BodyText"/>
        <w:rPr>
          <w:sz w:val="22"/>
        </w:rPr>
      </w:pPr>
    </w:p>
    <w:p>
      <w:pPr>
        <w:pStyle w:val="BodyText"/>
        <w:rPr>
          <w:sz w:val="22"/>
        </w:rPr>
      </w:pPr>
    </w:p>
    <w:p>
      <w:pPr>
        <w:pStyle w:val="BodyText"/>
        <w:rPr>
          <w:sz w:val="22"/>
        </w:rPr>
      </w:pPr>
    </w:p>
    <w:p>
      <w:pPr>
        <w:spacing w:before="150"/>
        <w:ind w:left="521" w:right="126" w:firstLine="0"/>
        <w:jc w:val="center"/>
        <w:rPr>
          <w:sz w:val="22"/>
        </w:rPr>
      </w:pPr>
      <w:r>
        <w:rPr>
          <w:sz w:val="22"/>
        </w:rPr>
        <w:t>A mis demás familiares que siempre me han apoyado y han confiado en mí.</w:t>
      </w:r>
    </w:p>
    <w:p>
      <w:pPr>
        <w:pStyle w:val="BodyText"/>
        <w:rPr>
          <w:sz w:val="22"/>
        </w:rPr>
      </w:pPr>
    </w:p>
    <w:p>
      <w:pPr>
        <w:pStyle w:val="BodyText"/>
        <w:rPr>
          <w:sz w:val="22"/>
        </w:rPr>
      </w:pPr>
    </w:p>
    <w:p>
      <w:pPr>
        <w:pStyle w:val="BodyText"/>
        <w:rPr>
          <w:sz w:val="22"/>
        </w:rPr>
      </w:pPr>
    </w:p>
    <w:p>
      <w:pPr>
        <w:spacing w:before="145"/>
        <w:ind w:left="524" w:right="120" w:firstLine="0"/>
        <w:jc w:val="center"/>
        <w:rPr>
          <w:sz w:val="22"/>
        </w:rPr>
      </w:pPr>
      <w:r>
        <w:rPr>
          <w:sz w:val="22"/>
        </w:rPr>
        <w:t>A Cecy por tu apoyo y amor.</w:t>
      </w:r>
    </w:p>
    <w:p>
      <w:pPr>
        <w:pStyle w:val="BodyText"/>
        <w:rPr>
          <w:sz w:val="22"/>
        </w:rPr>
      </w:pPr>
    </w:p>
    <w:p>
      <w:pPr>
        <w:pStyle w:val="BodyText"/>
        <w:rPr>
          <w:sz w:val="22"/>
        </w:rPr>
      </w:pPr>
    </w:p>
    <w:p>
      <w:pPr>
        <w:pStyle w:val="BodyText"/>
        <w:rPr>
          <w:sz w:val="22"/>
        </w:rPr>
      </w:pPr>
    </w:p>
    <w:p>
      <w:pPr>
        <w:spacing w:before="149"/>
        <w:ind w:left="524" w:right="121" w:firstLine="0"/>
        <w:jc w:val="center"/>
        <w:rPr>
          <w:sz w:val="22"/>
        </w:rPr>
      </w:pPr>
      <w:r>
        <w:rPr>
          <w:sz w:val="22"/>
        </w:rPr>
        <w:t>A ti mi viejo, donde quiera que estés espero te sigas sintiendo orgulloso de tu hijo.</w:t>
      </w:r>
    </w:p>
    <w:p>
      <w:pPr>
        <w:spacing w:after="0"/>
        <w:jc w:val="center"/>
        <w:rPr>
          <w:sz w:val="22"/>
        </w:rPr>
        <w:sectPr>
          <w:headerReference w:type="default" r:id="rId6"/>
          <w:footerReference w:type="default" r:id="rId7"/>
          <w:pgSz w:w="12240" w:h="15840"/>
          <w:pgMar w:header="1150" w:footer="1382" w:top="1420" w:bottom="1580" w:left="1360" w:right="1420"/>
          <w:pgNumType w:start="3"/>
        </w:sectPr>
      </w:pPr>
    </w:p>
    <w:p>
      <w:pPr>
        <w:pStyle w:val="BodyText"/>
        <w:spacing w:before="9"/>
        <w:rPr>
          <w:sz w:val="27"/>
        </w:rPr>
      </w:pPr>
    </w:p>
    <w:p>
      <w:pPr>
        <w:spacing w:before="73"/>
        <w:ind w:left="524" w:right="123" w:firstLine="0"/>
        <w:jc w:val="center"/>
        <w:rPr>
          <w:b/>
          <w:sz w:val="22"/>
        </w:rPr>
      </w:pPr>
      <w:r>
        <w:rPr>
          <w:b/>
          <w:sz w:val="22"/>
        </w:rPr>
        <w:t>AGRADECIMIENTOS</w:t>
      </w:r>
    </w:p>
    <w:p>
      <w:pPr>
        <w:pStyle w:val="BodyText"/>
        <w:rPr>
          <w:b/>
          <w:sz w:val="22"/>
        </w:rPr>
      </w:pPr>
    </w:p>
    <w:p>
      <w:pPr>
        <w:pStyle w:val="BodyText"/>
        <w:rPr>
          <w:b/>
          <w:sz w:val="22"/>
        </w:rPr>
      </w:pPr>
    </w:p>
    <w:p>
      <w:pPr>
        <w:spacing w:line="324" w:lineRule="auto" w:before="158"/>
        <w:ind w:left="512" w:right="109" w:firstLine="0"/>
        <w:jc w:val="both"/>
        <w:rPr>
          <w:sz w:val="22"/>
        </w:rPr>
      </w:pPr>
      <w:r>
        <w:rPr>
          <w:sz w:val="22"/>
        </w:rPr>
        <w:t>Al </w:t>
      </w:r>
      <w:r>
        <w:rPr>
          <w:b/>
          <w:sz w:val="22"/>
        </w:rPr>
        <w:t>Consejo Nacional de Ciencia y Tecnología</w:t>
      </w:r>
      <w:r>
        <w:rPr>
          <w:sz w:val="22"/>
        </w:rPr>
        <w:t>, por la beca otorgada para realizar mis estudios de Maestría en Ciencias Agropecuarias y Recursos Naturales.</w:t>
      </w:r>
    </w:p>
    <w:p>
      <w:pPr>
        <w:pStyle w:val="BodyText"/>
        <w:rPr>
          <w:sz w:val="22"/>
        </w:rPr>
      </w:pPr>
    </w:p>
    <w:p>
      <w:pPr>
        <w:pStyle w:val="BodyText"/>
        <w:spacing w:before="2"/>
        <w:rPr>
          <w:sz w:val="29"/>
        </w:rPr>
      </w:pPr>
    </w:p>
    <w:p>
      <w:pPr>
        <w:spacing w:line="324" w:lineRule="auto" w:before="0"/>
        <w:ind w:left="512" w:right="103" w:firstLine="0"/>
        <w:jc w:val="both"/>
        <w:rPr>
          <w:sz w:val="22"/>
        </w:rPr>
      </w:pPr>
      <w:r>
        <w:rPr>
          <w:sz w:val="22"/>
        </w:rPr>
        <w:t>A </w:t>
      </w:r>
      <w:r>
        <w:rPr>
          <w:b/>
          <w:sz w:val="22"/>
        </w:rPr>
        <w:t>la Universidad Autónoma del Estado de México</w:t>
      </w:r>
      <w:r>
        <w:rPr>
          <w:sz w:val="22"/>
        </w:rPr>
        <w:t>, por facilitar todos los medios para la realización de mi trabajo experimental, en especial al Departamento de Nutrición Animal y a la Posta Zootécnica de la Facultad de Medicina Veterinaria y Zootecnia.</w:t>
      </w:r>
    </w:p>
    <w:p>
      <w:pPr>
        <w:pStyle w:val="BodyText"/>
        <w:rPr>
          <w:sz w:val="22"/>
        </w:rPr>
      </w:pPr>
    </w:p>
    <w:p>
      <w:pPr>
        <w:pStyle w:val="BodyText"/>
        <w:spacing w:before="8"/>
        <w:rPr>
          <w:sz w:val="28"/>
        </w:rPr>
      </w:pPr>
    </w:p>
    <w:p>
      <w:pPr>
        <w:spacing w:line="326" w:lineRule="auto" w:before="0"/>
        <w:ind w:left="512" w:right="105" w:firstLine="0"/>
        <w:jc w:val="both"/>
        <w:rPr>
          <w:sz w:val="22"/>
        </w:rPr>
      </w:pPr>
      <w:r>
        <w:rPr>
          <w:sz w:val="22"/>
        </w:rPr>
        <w:t>A mi tutor el </w:t>
      </w:r>
      <w:r>
        <w:rPr>
          <w:b/>
          <w:sz w:val="22"/>
        </w:rPr>
        <w:t>Dr. Ernesto Morales Almaráz </w:t>
      </w:r>
      <w:r>
        <w:rPr>
          <w:sz w:val="22"/>
        </w:rPr>
        <w:t>por su asesoría en el desarrollo de mi proyecto experimental, en la elaboración del mi artículo y tesis para graduarme y también por brindarme su apoyo y amistad.</w:t>
      </w:r>
    </w:p>
    <w:p>
      <w:pPr>
        <w:pStyle w:val="BodyText"/>
        <w:rPr>
          <w:sz w:val="22"/>
        </w:rPr>
      </w:pPr>
    </w:p>
    <w:p>
      <w:pPr>
        <w:pStyle w:val="BodyText"/>
        <w:spacing w:before="5"/>
        <w:rPr>
          <w:sz w:val="28"/>
        </w:rPr>
      </w:pPr>
    </w:p>
    <w:p>
      <w:pPr>
        <w:spacing w:line="324" w:lineRule="auto" w:before="1"/>
        <w:ind w:left="512" w:right="112" w:firstLine="0"/>
        <w:jc w:val="both"/>
        <w:rPr>
          <w:sz w:val="22"/>
        </w:rPr>
      </w:pPr>
      <w:r>
        <w:rPr>
          <w:sz w:val="22"/>
        </w:rPr>
        <w:t>A mis tutores adjuntos, el </w:t>
      </w:r>
      <w:r>
        <w:rPr>
          <w:b/>
          <w:sz w:val="22"/>
        </w:rPr>
        <w:t>Dr. Ignacio Arturo Domínguez Vara </w:t>
      </w:r>
      <w:r>
        <w:rPr>
          <w:sz w:val="22"/>
        </w:rPr>
        <w:t>y el </w:t>
      </w:r>
      <w:r>
        <w:rPr>
          <w:b/>
          <w:sz w:val="22"/>
        </w:rPr>
        <w:t>Dr. Juan Manuel Pinos Rodríguez </w:t>
      </w:r>
      <w:r>
        <w:rPr>
          <w:sz w:val="22"/>
        </w:rPr>
        <w:t>por la asesoría en la elaboración de mi tesis.</w:t>
      </w:r>
    </w:p>
    <w:p>
      <w:pPr>
        <w:pStyle w:val="BodyText"/>
        <w:rPr>
          <w:sz w:val="22"/>
        </w:rPr>
      </w:pPr>
    </w:p>
    <w:p>
      <w:pPr>
        <w:pStyle w:val="BodyText"/>
        <w:spacing w:before="8"/>
        <w:rPr>
          <w:sz w:val="28"/>
        </w:rPr>
      </w:pPr>
    </w:p>
    <w:p>
      <w:pPr>
        <w:spacing w:before="0"/>
        <w:ind w:left="512" w:right="0" w:firstLine="0"/>
        <w:jc w:val="both"/>
        <w:rPr>
          <w:sz w:val="22"/>
        </w:rPr>
      </w:pPr>
      <w:r>
        <w:rPr>
          <w:sz w:val="22"/>
        </w:rPr>
        <w:t>A todos mis profesores del posgrado que me impartieron clase durante mi formación, en especial  al</w:t>
      </w:r>
    </w:p>
    <w:p>
      <w:pPr>
        <w:spacing w:before="88"/>
        <w:ind w:left="512" w:right="0" w:firstLine="0"/>
        <w:jc w:val="both"/>
        <w:rPr>
          <w:sz w:val="22"/>
        </w:rPr>
      </w:pPr>
      <w:r>
        <w:rPr>
          <w:b/>
          <w:sz w:val="22"/>
        </w:rPr>
        <w:t>Dr. José Luis Bórquez Gatélum </w:t>
      </w:r>
      <w:r>
        <w:rPr>
          <w:sz w:val="22"/>
        </w:rPr>
        <w:t>por sus consejos y apoyo incondicional.</w:t>
      </w:r>
    </w:p>
    <w:p>
      <w:pPr>
        <w:pStyle w:val="BodyText"/>
        <w:rPr>
          <w:sz w:val="22"/>
        </w:rPr>
      </w:pPr>
    </w:p>
    <w:p>
      <w:pPr>
        <w:pStyle w:val="BodyText"/>
        <w:rPr>
          <w:sz w:val="22"/>
        </w:rPr>
      </w:pPr>
    </w:p>
    <w:p>
      <w:pPr>
        <w:spacing w:line="324" w:lineRule="auto" w:before="168"/>
        <w:ind w:left="512" w:right="114" w:firstLine="0"/>
        <w:jc w:val="both"/>
        <w:rPr>
          <w:sz w:val="22"/>
        </w:rPr>
      </w:pPr>
      <w:r>
        <w:rPr>
          <w:sz w:val="22"/>
        </w:rPr>
        <w:t>A mi compañero </w:t>
      </w:r>
      <w:r>
        <w:rPr>
          <w:b/>
          <w:sz w:val="22"/>
        </w:rPr>
        <w:t>M. en C. Rodolfo Vieyra Alberto </w:t>
      </w:r>
      <w:r>
        <w:rPr>
          <w:sz w:val="22"/>
        </w:rPr>
        <w:t>pos sus consejos y apoyo durante mis estudios de maestría y en especial por su amistad.</w:t>
      </w:r>
    </w:p>
    <w:p>
      <w:pPr>
        <w:pStyle w:val="BodyText"/>
        <w:rPr>
          <w:sz w:val="22"/>
        </w:rPr>
      </w:pPr>
    </w:p>
    <w:p>
      <w:pPr>
        <w:pStyle w:val="BodyText"/>
        <w:rPr>
          <w:sz w:val="22"/>
        </w:rPr>
      </w:pPr>
    </w:p>
    <w:p>
      <w:pPr>
        <w:pStyle w:val="BodyText"/>
        <w:rPr>
          <w:sz w:val="22"/>
        </w:rPr>
      </w:pPr>
    </w:p>
    <w:p>
      <w:pPr>
        <w:pStyle w:val="BodyText"/>
        <w:spacing w:before="9"/>
      </w:pPr>
    </w:p>
    <w:p>
      <w:pPr>
        <w:spacing w:line="326" w:lineRule="auto" w:before="1"/>
        <w:ind w:left="512" w:right="113" w:firstLine="0"/>
        <w:jc w:val="both"/>
        <w:rPr>
          <w:sz w:val="22"/>
        </w:rPr>
      </w:pPr>
      <w:r>
        <w:rPr>
          <w:sz w:val="22"/>
        </w:rPr>
        <w:t>A todos mis compañeros del PCARN, maestros y trabajadores de la Facultad de Medicina Veterinaria y Zootecnia, en espacial a </w:t>
      </w:r>
      <w:r>
        <w:rPr>
          <w:b/>
          <w:sz w:val="22"/>
        </w:rPr>
        <w:t>Ana Praga, José Romero, Toño, Karlita, Miguel, Arturo</w:t>
      </w:r>
      <w:r>
        <w:rPr>
          <w:sz w:val="22"/>
        </w:rPr>
        <w:t>, </w:t>
      </w:r>
      <w:r>
        <w:rPr>
          <w:b/>
          <w:sz w:val="22"/>
        </w:rPr>
        <w:t>Kary </w:t>
      </w:r>
      <w:r>
        <w:rPr>
          <w:sz w:val="22"/>
        </w:rPr>
        <w:t>y </w:t>
      </w:r>
      <w:r>
        <w:rPr>
          <w:b/>
          <w:sz w:val="22"/>
        </w:rPr>
        <w:t>Kesia </w:t>
      </w:r>
      <w:r>
        <w:rPr>
          <w:sz w:val="22"/>
        </w:rPr>
        <w:t>por brindarme su amistad y apoyo.</w:t>
      </w:r>
    </w:p>
    <w:p>
      <w:pPr>
        <w:spacing w:after="0" w:line="326" w:lineRule="auto"/>
        <w:jc w:val="both"/>
        <w:rPr>
          <w:sz w:val="22"/>
        </w:rPr>
        <w:sectPr>
          <w:pgSz w:w="12240" w:h="15840"/>
          <w:pgMar w:header="1150" w:footer="1382" w:top="1420" w:bottom="1580" w:left="1360" w:right="1420"/>
        </w:sectPr>
      </w:pPr>
    </w:p>
    <w:p>
      <w:pPr>
        <w:pStyle w:val="BodyText"/>
        <w:spacing w:before="8"/>
        <w:rPr>
          <w:sz w:val="27"/>
        </w:rPr>
      </w:pPr>
    </w:p>
    <w:p>
      <w:pPr>
        <w:pStyle w:val="Heading1"/>
        <w:ind w:left="500" w:right="126" w:firstLine="0"/>
        <w:jc w:val="center"/>
      </w:pPr>
      <w:r>
        <w:rPr/>
        <w:t>CONTENIDO</w:t>
      </w:r>
    </w:p>
    <w:p>
      <w:pPr>
        <w:spacing w:after="0"/>
        <w:jc w:val="center"/>
        <w:sectPr>
          <w:pgSz w:w="12240" w:h="15840"/>
          <w:pgMar w:header="1150" w:footer="1382" w:top="1420" w:bottom="1901" w:left="1360" w:right="1420"/>
        </w:sectPr>
      </w:pPr>
    </w:p>
    <w:sdt>
      <w:sdtPr>
        <w:docPartObj>
          <w:docPartGallery w:val="Table of Contents"/>
          <w:docPartUnique/>
        </w:docPartObj>
      </w:sdtPr>
      <w:sdtEndPr/>
      <w:sdtContent>
        <w:p>
          <w:pPr>
            <w:pStyle w:val="TOC1"/>
            <w:tabs>
              <w:tab w:pos="8810" w:val="left" w:leader="dot"/>
            </w:tabs>
            <w:spacing w:before="487"/>
            <w:ind w:right="105"/>
            <w:rPr>
              <w:b w:val="0"/>
            </w:rPr>
          </w:pPr>
          <w:r>
            <w:rPr>
              <w:spacing w:val="14"/>
            </w:rPr>
            <w:t>ÍNDICE</w:t>
          </w:r>
          <w:r>
            <w:rPr>
              <w:spacing w:val="46"/>
            </w:rPr>
            <w:t> </w:t>
          </w:r>
          <w:r>
            <w:rPr>
              <w:spacing w:val="8"/>
            </w:rPr>
            <w:t>DE</w:t>
          </w:r>
          <w:r>
            <w:rPr>
              <w:spacing w:val="46"/>
            </w:rPr>
            <w:t> </w:t>
          </w:r>
          <w:r>
            <w:rPr>
              <w:spacing w:val="15"/>
            </w:rPr>
            <w:t>CUADROS</w:t>
          </w:r>
          <w:r>
            <w:rPr>
              <w:b w:val="0"/>
              <w:spacing w:val="15"/>
            </w:rPr>
            <w:tab/>
          </w:r>
          <w:r>
            <w:rPr>
              <w:b w:val="0"/>
              <w:spacing w:val="7"/>
            </w:rPr>
            <w:t>ix</w:t>
          </w:r>
        </w:p>
        <w:p>
          <w:pPr>
            <w:pStyle w:val="TOC1"/>
            <w:tabs>
              <w:tab w:pos="8892" w:val="left" w:leader="dot"/>
            </w:tabs>
            <w:ind w:right="105"/>
            <w:rPr>
              <w:b w:val="0"/>
            </w:rPr>
          </w:pPr>
          <w:r>
            <w:rPr>
              <w:spacing w:val="14"/>
            </w:rPr>
            <w:t>ÍNDICE</w:t>
          </w:r>
          <w:r>
            <w:rPr>
              <w:spacing w:val="47"/>
            </w:rPr>
            <w:t> </w:t>
          </w:r>
          <w:r>
            <w:rPr>
              <w:spacing w:val="8"/>
            </w:rPr>
            <w:t>DE</w:t>
          </w:r>
          <w:r>
            <w:rPr>
              <w:spacing w:val="47"/>
            </w:rPr>
            <w:t> </w:t>
          </w:r>
          <w:r>
            <w:rPr>
              <w:spacing w:val="14"/>
            </w:rPr>
            <w:t>FIGURAS</w:t>
          </w:r>
          <w:r>
            <w:rPr>
              <w:b w:val="0"/>
              <w:spacing w:val="14"/>
            </w:rPr>
            <w:tab/>
          </w:r>
          <w:r>
            <w:rPr>
              <w:b w:val="0"/>
            </w:rPr>
            <w:t>x</w:t>
          </w:r>
        </w:p>
        <w:p>
          <w:pPr>
            <w:pStyle w:val="TOC3"/>
            <w:tabs>
              <w:tab w:pos="8810" w:val="left" w:leader="dot"/>
            </w:tabs>
            <w:ind w:right="105"/>
            <w:rPr>
              <w:b w:val="0"/>
              <w:i w:val="0"/>
              <w:sz w:val="22"/>
            </w:rPr>
          </w:pPr>
          <w:r>
            <w:rPr>
              <w:i w:val="0"/>
              <w:spacing w:val="15"/>
              <w:sz w:val="22"/>
            </w:rPr>
            <w:t>RESUMEN</w:t>
          </w:r>
          <w:r>
            <w:rPr>
              <w:b w:val="0"/>
              <w:i w:val="0"/>
              <w:spacing w:val="15"/>
              <w:sz w:val="22"/>
            </w:rPr>
            <w:tab/>
          </w:r>
          <w:r>
            <w:rPr>
              <w:b w:val="0"/>
              <w:i w:val="0"/>
              <w:spacing w:val="19"/>
              <w:sz w:val="22"/>
            </w:rPr>
            <w:t>xi</w:t>
          </w:r>
        </w:p>
        <w:p>
          <w:pPr>
            <w:pStyle w:val="TOC3"/>
            <w:tabs>
              <w:tab w:pos="8729" w:val="left" w:leader="dot"/>
            </w:tabs>
            <w:spacing w:before="242"/>
            <w:ind w:right="105"/>
            <w:rPr>
              <w:b w:val="0"/>
              <w:i w:val="0"/>
              <w:sz w:val="22"/>
            </w:rPr>
          </w:pPr>
          <w:r>
            <w:rPr>
              <w:i w:val="0"/>
              <w:spacing w:val="16"/>
              <w:sz w:val="22"/>
            </w:rPr>
            <w:t>ABSTRACT</w:t>
          </w:r>
          <w:r>
            <w:rPr>
              <w:b w:val="0"/>
              <w:i w:val="0"/>
              <w:spacing w:val="16"/>
              <w:sz w:val="22"/>
            </w:rPr>
            <w:tab/>
          </w:r>
          <w:r>
            <w:rPr>
              <w:b w:val="0"/>
              <w:i w:val="0"/>
              <w:spacing w:val="13"/>
              <w:sz w:val="22"/>
            </w:rPr>
            <w:t>xii</w:t>
          </w:r>
        </w:p>
        <w:p>
          <w:pPr>
            <w:pStyle w:val="TOC1"/>
            <w:numPr>
              <w:ilvl w:val="0"/>
              <w:numId w:val="1"/>
            </w:numPr>
            <w:tabs>
              <w:tab w:pos="758" w:val="left" w:leader="none"/>
              <w:tab w:pos="8892" w:val="left" w:leader="dot"/>
            </w:tabs>
            <w:spacing w:line="240" w:lineRule="auto" w:before="236" w:after="0"/>
            <w:ind w:left="757" w:right="0" w:hanging="245"/>
            <w:jc w:val="left"/>
            <w:rPr>
              <w:b w:val="0"/>
            </w:rPr>
          </w:pPr>
          <w:hyperlink w:history="true" w:anchor="_TOC_250065">
            <w:r>
              <w:rPr>
                <w:spacing w:val="16"/>
              </w:rPr>
              <w:t>INTRODUCCIÓN</w:t>
            </w:r>
            <w:r>
              <w:rPr>
                <w:b w:val="0"/>
                <w:spacing w:val="16"/>
              </w:rPr>
              <w:tab/>
            </w:r>
            <w:r>
              <w:rPr>
                <w:b w:val="0"/>
              </w:rPr>
              <w:t>1</w:t>
            </w:r>
          </w:hyperlink>
        </w:p>
        <w:p>
          <w:pPr>
            <w:pStyle w:val="TOC1"/>
            <w:numPr>
              <w:ilvl w:val="0"/>
              <w:numId w:val="1"/>
            </w:numPr>
            <w:tabs>
              <w:tab w:pos="849" w:val="left" w:leader="none"/>
              <w:tab w:pos="8892" w:val="left" w:leader="dot"/>
            </w:tabs>
            <w:spacing w:line="240" w:lineRule="auto" w:before="236" w:after="0"/>
            <w:ind w:left="849" w:right="0" w:hanging="337"/>
            <w:jc w:val="left"/>
            <w:rPr>
              <w:b w:val="0"/>
            </w:rPr>
          </w:pPr>
          <w:r>
            <w:rPr>
              <w:spacing w:val="16"/>
            </w:rPr>
            <w:t>REVISIÓN</w:t>
          </w:r>
          <w:r>
            <w:rPr>
              <w:spacing w:val="45"/>
            </w:rPr>
            <w:t> </w:t>
          </w:r>
          <w:r>
            <w:rPr>
              <w:spacing w:val="8"/>
            </w:rPr>
            <w:t>DE</w:t>
          </w:r>
          <w:r>
            <w:rPr>
              <w:spacing w:val="48"/>
            </w:rPr>
            <w:t> </w:t>
          </w:r>
          <w:r>
            <w:rPr>
              <w:spacing w:val="14"/>
            </w:rPr>
            <w:t>LITERATURA</w:t>
          </w:r>
          <w:r>
            <w:rPr>
              <w:b w:val="0"/>
              <w:spacing w:val="14"/>
            </w:rPr>
            <w:tab/>
          </w:r>
          <w:r>
            <w:rPr>
              <w:b w:val="0"/>
            </w:rPr>
            <w:t>4</w:t>
          </w:r>
        </w:p>
        <w:p>
          <w:pPr>
            <w:pStyle w:val="TOC2"/>
            <w:numPr>
              <w:ilvl w:val="0"/>
              <w:numId w:val="2"/>
            </w:numPr>
            <w:tabs>
              <w:tab w:pos="734" w:val="left" w:leader="none"/>
              <w:tab w:pos="8892" w:val="left" w:leader="dot"/>
            </w:tabs>
            <w:spacing w:line="278" w:lineRule="auto" w:before="236" w:after="0"/>
            <w:ind w:left="512" w:right="455" w:firstLine="0"/>
            <w:jc w:val="left"/>
          </w:pPr>
          <w:r>
            <w:rPr/>
            <w:t>Situación actual </w:t>
          </w:r>
          <w:r>
            <w:rPr>
              <w:spacing w:val="-3"/>
            </w:rPr>
            <w:t>de </w:t>
          </w:r>
          <w:r>
            <w:rPr/>
            <w:t>la producción de leche (Situación de la lechería en el altiplano central de México)</w:t>
            <w:tab/>
            <w:t>4</w:t>
          </w:r>
        </w:p>
        <w:p>
          <w:pPr>
            <w:pStyle w:val="TOC2"/>
            <w:numPr>
              <w:ilvl w:val="0"/>
              <w:numId w:val="2"/>
            </w:numPr>
            <w:tabs>
              <w:tab w:pos="734" w:val="left" w:leader="none"/>
              <w:tab w:pos="8892" w:val="left" w:leader="dot"/>
            </w:tabs>
            <w:spacing w:line="240" w:lineRule="auto" w:before="197" w:after="0"/>
            <w:ind w:left="733" w:right="0" w:hanging="221"/>
            <w:jc w:val="left"/>
          </w:pPr>
          <w:hyperlink w:history="true" w:anchor="_TOC_250064">
            <w:r>
              <w:rPr/>
              <w:t>Sistemas de producción de leche</w:t>
            </w:r>
            <w:r>
              <w:rPr>
                <w:spacing w:val="-11"/>
              </w:rPr>
              <w:t> </w:t>
            </w:r>
            <w:r>
              <w:rPr/>
              <w:t>en</w:t>
            </w:r>
            <w:r>
              <w:rPr>
                <w:spacing w:val="-4"/>
              </w:rPr>
              <w:t> </w:t>
            </w:r>
            <w:r>
              <w:rPr/>
              <w:t>México</w:t>
              <w:tab/>
              <w:t>6</w:t>
            </w:r>
          </w:hyperlink>
        </w:p>
        <w:p>
          <w:pPr>
            <w:pStyle w:val="TOC4"/>
            <w:numPr>
              <w:ilvl w:val="1"/>
              <w:numId w:val="2"/>
            </w:numPr>
            <w:tabs>
              <w:tab w:pos="1612" w:val="left" w:leader="none"/>
              <w:tab w:pos="8892" w:val="left" w:leader="dot"/>
            </w:tabs>
            <w:spacing w:line="240" w:lineRule="auto" w:before="241" w:after="0"/>
            <w:ind w:left="1611" w:right="0" w:hanging="388"/>
            <w:jc w:val="left"/>
          </w:pPr>
          <w:hyperlink w:history="true" w:anchor="_TOC_250063">
            <w:r>
              <w:rPr/>
              <w:t>Sistemas</w:t>
            </w:r>
            <w:r>
              <w:rPr>
                <w:spacing w:val="-3"/>
              </w:rPr>
              <w:t> </w:t>
            </w:r>
            <w:r>
              <w:rPr/>
              <w:t>intensivos</w:t>
              <w:tab/>
              <w:t>6</w:t>
            </w:r>
          </w:hyperlink>
        </w:p>
        <w:p>
          <w:pPr>
            <w:pStyle w:val="TOC6"/>
            <w:numPr>
              <w:ilvl w:val="2"/>
              <w:numId w:val="2"/>
            </w:numPr>
            <w:tabs>
              <w:tab w:pos="2481" w:val="left" w:leader="none"/>
              <w:tab w:pos="8892" w:val="left" w:leader="dot"/>
            </w:tabs>
            <w:spacing w:line="240" w:lineRule="auto" w:before="236" w:after="0"/>
            <w:ind w:left="2480" w:right="0" w:hanging="551"/>
            <w:jc w:val="left"/>
          </w:pPr>
          <w:hyperlink w:history="true" w:anchor="_TOC_250062">
            <w:r>
              <w:rPr/>
              <w:t>Sistemas</w:t>
            </w:r>
            <w:r>
              <w:rPr>
                <w:spacing w:val="-3"/>
              </w:rPr>
              <w:t> </w:t>
            </w:r>
            <w:r>
              <w:rPr/>
              <w:t>semi-intensivos</w:t>
              <w:tab/>
              <w:t>7</w:t>
            </w:r>
          </w:hyperlink>
        </w:p>
        <w:p>
          <w:pPr>
            <w:pStyle w:val="TOC4"/>
            <w:numPr>
              <w:ilvl w:val="1"/>
              <w:numId w:val="2"/>
            </w:numPr>
            <w:tabs>
              <w:tab w:pos="1612" w:val="left" w:leader="none"/>
              <w:tab w:pos="8892" w:val="left" w:leader="dot"/>
            </w:tabs>
            <w:spacing w:line="240" w:lineRule="auto" w:before="237" w:after="0"/>
            <w:ind w:left="1611" w:right="0" w:hanging="388"/>
            <w:jc w:val="left"/>
          </w:pPr>
          <w:r>
            <w:rPr/>
            <w:t>Sistemas de</w:t>
          </w:r>
          <w:r>
            <w:rPr>
              <w:spacing w:val="-5"/>
            </w:rPr>
            <w:t> </w:t>
          </w:r>
          <w:r>
            <w:rPr/>
            <w:t>doble</w:t>
          </w:r>
          <w:r>
            <w:rPr>
              <w:spacing w:val="-6"/>
            </w:rPr>
            <w:t> </w:t>
          </w:r>
          <w:r>
            <w:rPr/>
            <w:t>propósito</w:t>
            <w:tab/>
            <w:t>7</w:t>
          </w:r>
        </w:p>
        <w:p>
          <w:pPr>
            <w:pStyle w:val="TOC4"/>
            <w:numPr>
              <w:ilvl w:val="1"/>
              <w:numId w:val="2"/>
            </w:numPr>
            <w:tabs>
              <w:tab w:pos="1612" w:val="left" w:leader="none"/>
              <w:tab w:pos="8892" w:val="left" w:leader="dot"/>
            </w:tabs>
            <w:spacing w:line="240" w:lineRule="auto" w:before="236" w:after="0"/>
            <w:ind w:left="1611" w:right="0" w:hanging="388"/>
            <w:jc w:val="left"/>
          </w:pPr>
          <w:r>
            <w:rPr/>
            <w:t>Sistemas de producción de leche a pequeña</w:t>
          </w:r>
          <w:r>
            <w:rPr>
              <w:spacing w:val="-16"/>
            </w:rPr>
            <w:t> </w:t>
          </w:r>
          <w:r>
            <w:rPr/>
            <w:t>escala</w:t>
          </w:r>
          <w:r>
            <w:rPr>
              <w:spacing w:val="2"/>
            </w:rPr>
            <w:t> </w:t>
          </w:r>
          <w:r>
            <w:rPr/>
            <w:t>(SPLPE)</w:t>
            <w:tab/>
            <w:t>8</w:t>
          </w:r>
        </w:p>
        <w:p>
          <w:pPr>
            <w:pStyle w:val="TOC2"/>
            <w:numPr>
              <w:ilvl w:val="0"/>
              <w:numId w:val="2"/>
            </w:numPr>
            <w:tabs>
              <w:tab w:pos="734" w:val="left" w:leader="none"/>
              <w:tab w:pos="8892" w:val="left" w:leader="dot"/>
            </w:tabs>
            <w:spacing w:line="240" w:lineRule="auto" w:before="241" w:after="0"/>
            <w:ind w:left="733" w:right="0" w:hanging="221"/>
            <w:jc w:val="left"/>
          </w:pPr>
          <w:hyperlink w:history="true" w:anchor="_TOC_250061">
            <w:r>
              <w:rPr/>
              <w:t>Composición química de</w:t>
            </w:r>
            <w:r>
              <w:rPr>
                <w:spacing w:val="-8"/>
              </w:rPr>
              <w:t> </w:t>
            </w:r>
            <w:r>
              <w:rPr/>
              <w:t>la</w:t>
            </w:r>
            <w:r>
              <w:rPr>
                <w:spacing w:val="1"/>
              </w:rPr>
              <w:t> </w:t>
            </w:r>
            <w:r>
              <w:rPr/>
              <w:t>leche</w:t>
              <w:tab/>
              <w:t>9</w:t>
            </w:r>
          </w:hyperlink>
        </w:p>
        <w:p>
          <w:pPr>
            <w:pStyle w:val="TOC4"/>
            <w:numPr>
              <w:ilvl w:val="1"/>
              <w:numId w:val="2"/>
            </w:numPr>
            <w:tabs>
              <w:tab w:pos="1612" w:val="left" w:leader="none"/>
              <w:tab w:pos="8762" w:val="left" w:leader="dot"/>
            </w:tabs>
            <w:spacing w:line="240" w:lineRule="auto" w:before="237" w:after="0"/>
            <w:ind w:left="1611" w:right="0" w:hanging="388"/>
            <w:jc w:val="left"/>
          </w:pPr>
          <w:hyperlink w:history="true" w:anchor="_TOC_250060">
            <w:r>
              <w:rPr>
                <w:spacing w:val="-3"/>
              </w:rPr>
              <w:t>Agua</w:t>
              <w:tab/>
            </w:r>
            <w:r>
              <w:rPr>
                <w:spacing w:val="19"/>
              </w:rPr>
              <w:t>10</w:t>
            </w:r>
          </w:hyperlink>
        </w:p>
        <w:p>
          <w:pPr>
            <w:pStyle w:val="TOC4"/>
            <w:numPr>
              <w:ilvl w:val="1"/>
              <w:numId w:val="2"/>
            </w:numPr>
            <w:tabs>
              <w:tab w:pos="1612" w:val="left" w:leader="none"/>
              <w:tab w:pos="8772" w:val="left" w:leader="dot"/>
            </w:tabs>
            <w:spacing w:line="240" w:lineRule="auto" w:before="236" w:after="0"/>
            <w:ind w:left="1611" w:right="0" w:hanging="388"/>
            <w:jc w:val="left"/>
          </w:pPr>
          <w:hyperlink w:history="true" w:anchor="_TOC_250059">
            <w:r>
              <w:rPr/>
              <w:t>Grasa</w:t>
              <w:tab/>
            </w:r>
            <w:r>
              <w:rPr>
                <w:spacing w:val="4"/>
              </w:rPr>
              <w:t>11</w:t>
            </w:r>
          </w:hyperlink>
        </w:p>
        <w:p>
          <w:pPr>
            <w:pStyle w:val="TOC4"/>
            <w:numPr>
              <w:ilvl w:val="1"/>
              <w:numId w:val="2"/>
            </w:numPr>
            <w:tabs>
              <w:tab w:pos="1612" w:val="left" w:leader="none"/>
              <w:tab w:pos="8772" w:val="left" w:leader="dot"/>
            </w:tabs>
            <w:spacing w:line="240" w:lineRule="auto" w:before="236" w:after="0"/>
            <w:ind w:left="1611" w:right="0" w:hanging="388"/>
            <w:jc w:val="left"/>
          </w:pPr>
          <w:hyperlink w:history="true" w:anchor="_TOC_250058">
            <w:r>
              <w:rPr/>
              <w:t>Proteína</w:t>
              <w:tab/>
            </w:r>
            <w:r>
              <w:rPr>
                <w:spacing w:val="9"/>
              </w:rPr>
              <w:t>11</w:t>
            </w:r>
          </w:hyperlink>
        </w:p>
        <w:p>
          <w:pPr>
            <w:pStyle w:val="TOC6"/>
            <w:numPr>
              <w:ilvl w:val="2"/>
              <w:numId w:val="2"/>
            </w:numPr>
            <w:tabs>
              <w:tab w:pos="2481" w:val="left" w:leader="none"/>
              <w:tab w:pos="8762" w:val="left" w:leader="dot"/>
            </w:tabs>
            <w:spacing w:line="240" w:lineRule="auto" w:before="242" w:after="0"/>
            <w:ind w:left="2480" w:right="0" w:hanging="551"/>
            <w:jc w:val="left"/>
          </w:pPr>
          <w:hyperlink w:history="true" w:anchor="_TOC_250057">
            <w:r>
              <w:rPr/>
              <w:t>Caseína</w:t>
              <w:tab/>
            </w:r>
            <w:r>
              <w:rPr>
                <w:spacing w:val="19"/>
              </w:rPr>
              <w:t>12</w:t>
            </w:r>
          </w:hyperlink>
        </w:p>
        <w:p>
          <w:pPr>
            <w:pStyle w:val="TOC6"/>
            <w:numPr>
              <w:ilvl w:val="2"/>
              <w:numId w:val="2"/>
            </w:numPr>
            <w:tabs>
              <w:tab w:pos="2481" w:val="left" w:leader="none"/>
              <w:tab w:pos="8762" w:val="left" w:leader="dot"/>
            </w:tabs>
            <w:spacing w:line="240" w:lineRule="auto" w:before="236" w:after="0"/>
            <w:ind w:left="2480" w:right="0" w:hanging="551"/>
            <w:jc w:val="left"/>
          </w:pPr>
          <w:hyperlink w:history="true" w:anchor="_TOC_250056">
            <w:r>
              <w:rPr/>
              <w:t>Proteínas</w:t>
            </w:r>
            <w:r>
              <w:rPr>
                <w:spacing w:val="-1"/>
              </w:rPr>
              <w:t> </w:t>
            </w:r>
            <w:r>
              <w:rPr/>
              <w:t>del</w:t>
            </w:r>
            <w:r>
              <w:rPr>
                <w:spacing w:val="-5"/>
              </w:rPr>
              <w:t> </w:t>
            </w:r>
            <w:r>
              <w:rPr/>
              <w:t>suero</w:t>
              <w:tab/>
            </w:r>
            <w:r>
              <w:rPr>
                <w:spacing w:val="19"/>
              </w:rPr>
              <w:t>12</w:t>
            </w:r>
          </w:hyperlink>
        </w:p>
        <w:p>
          <w:pPr>
            <w:pStyle w:val="TOC4"/>
            <w:numPr>
              <w:ilvl w:val="1"/>
              <w:numId w:val="2"/>
            </w:numPr>
            <w:tabs>
              <w:tab w:pos="1612" w:val="left" w:leader="none"/>
              <w:tab w:pos="8762" w:val="left" w:leader="dot"/>
            </w:tabs>
            <w:spacing w:line="240" w:lineRule="auto" w:before="236" w:after="0"/>
            <w:ind w:left="1611" w:right="0" w:hanging="388"/>
            <w:jc w:val="left"/>
          </w:pPr>
          <w:hyperlink w:history="true" w:anchor="_TOC_250055">
            <w:r>
              <w:rPr/>
              <w:t>Lactosa</w:t>
              <w:tab/>
            </w:r>
            <w:r>
              <w:rPr>
                <w:spacing w:val="19"/>
              </w:rPr>
              <w:t>13</w:t>
            </w:r>
          </w:hyperlink>
        </w:p>
        <w:p>
          <w:pPr>
            <w:pStyle w:val="TOC4"/>
            <w:numPr>
              <w:ilvl w:val="1"/>
              <w:numId w:val="2"/>
            </w:numPr>
            <w:tabs>
              <w:tab w:pos="1612" w:val="left" w:leader="none"/>
              <w:tab w:pos="8762" w:val="left" w:leader="dot"/>
            </w:tabs>
            <w:spacing w:line="240" w:lineRule="auto" w:before="241" w:after="0"/>
            <w:ind w:left="1611" w:right="0" w:hanging="388"/>
            <w:jc w:val="left"/>
          </w:pPr>
          <w:hyperlink w:history="true" w:anchor="_TOC_250054">
            <w:r>
              <w:rPr/>
              <w:t>Minerales</w:t>
              <w:tab/>
            </w:r>
            <w:r>
              <w:rPr>
                <w:spacing w:val="19"/>
              </w:rPr>
              <w:t>13</w:t>
            </w:r>
          </w:hyperlink>
        </w:p>
        <w:p>
          <w:pPr>
            <w:pStyle w:val="TOC4"/>
            <w:numPr>
              <w:ilvl w:val="1"/>
              <w:numId w:val="2"/>
            </w:numPr>
            <w:tabs>
              <w:tab w:pos="1612" w:val="left" w:leader="none"/>
              <w:tab w:pos="8762" w:val="left" w:leader="dot"/>
            </w:tabs>
            <w:spacing w:line="240" w:lineRule="auto" w:before="237" w:after="0"/>
            <w:ind w:left="1611" w:right="0" w:hanging="388"/>
            <w:jc w:val="left"/>
          </w:pPr>
          <w:hyperlink w:history="true" w:anchor="_TOC_250053">
            <w:r>
              <w:rPr/>
              <w:t>Vitaminas</w:t>
              <w:tab/>
            </w:r>
            <w:r>
              <w:rPr>
                <w:spacing w:val="19"/>
              </w:rPr>
              <w:t>14</w:t>
            </w:r>
          </w:hyperlink>
        </w:p>
        <w:p>
          <w:pPr>
            <w:pStyle w:val="TOC4"/>
            <w:numPr>
              <w:ilvl w:val="1"/>
              <w:numId w:val="2"/>
            </w:numPr>
            <w:tabs>
              <w:tab w:pos="1612" w:val="left" w:leader="none"/>
              <w:tab w:pos="8762" w:val="left" w:leader="dot"/>
            </w:tabs>
            <w:spacing w:line="240" w:lineRule="auto" w:before="236" w:after="0"/>
            <w:ind w:left="1611" w:right="0" w:hanging="388"/>
            <w:jc w:val="left"/>
          </w:pPr>
          <w:hyperlink w:history="true" w:anchor="_TOC_250052">
            <w:r>
              <w:rPr>
                <w:spacing w:val="-3"/>
              </w:rPr>
              <w:t>Enzimas</w:t>
              <w:tab/>
            </w:r>
            <w:r>
              <w:rPr>
                <w:spacing w:val="19"/>
              </w:rPr>
              <w:t>14</w:t>
            </w:r>
          </w:hyperlink>
        </w:p>
        <w:p>
          <w:pPr>
            <w:pStyle w:val="TOC2"/>
            <w:numPr>
              <w:ilvl w:val="0"/>
              <w:numId w:val="2"/>
            </w:numPr>
            <w:tabs>
              <w:tab w:pos="734" w:val="left" w:leader="none"/>
              <w:tab w:pos="8762" w:val="left" w:leader="dot"/>
            </w:tabs>
            <w:spacing w:line="240" w:lineRule="auto" w:before="236" w:after="0"/>
            <w:ind w:left="733" w:right="0" w:hanging="221"/>
            <w:jc w:val="left"/>
          </w:pPr>
          <w:hyperlink w:history="true" w:anchor="_TOC_250051">
            <w:r>
              <w:rPr/>
              <w:t>Composición de la grasa </w:t>
            </w:r>
            <w:r>
              <w:rPr>
                <w:spacing w:val="-3"/>
              </w:rPr>
              <w:t>de</w:t>
            </w:r>
            <w:r>
              <w:rPr>
                <w:spacing w:val="-5"/>
              </w:rPr>
              <w:t> </w:t>
            </w:r>
            <w:r>
              <w:rPr/>
              <w:t>la</w:t>
            </w:r>
            <w:r>
              <w:rPr>
                <w:spacing w:val="3"/>
              </w:rPr>
              <w:t> </w:t>
            </w:r>
            <w:r>
              <w:rPr/>
              <w:t>leche</w:t>
              <w:tab/>
            </w:r>
            <w:r>
              <w:rPr>
                <w:spacing w:val="19"/>
              </w:rPr>
              <w:t>14</w:t>
            </w:r>
          </w:hyperlink>
        </w:p>
        <w:p>
          <w:pPr>
            <w:pStyle w:val="TOC4"/>
            <w:numPr>
              <w:ilvl w:val="1"/>
              <w:numId w:val="2"/>
            </w:numPr>
            <w:tabs>
              <w:tab w:pos="1665" w:val="left" w:leader="none"/>
              <w:tab w:pos="9021" w:val="right" w:leader="dot"/>
            </w:tabs>
            <w:spacing w:line="240" w:lineRule="auto" w:before="382" w:after="0"/>
            <w:ind w:left="1664" w:right="0" w:hanging="441"/>
            <w:jc w:val="left"/>
          </w:pPr>
          <w:hyperlink w:history="true" w:anchor="_TOC_250050">
            <w:r>
              <w:rPr/>
              <w:t>Triglicéridos</w:t>
              <w:tab/>
            </w:r>
            <w:r>
              <w:rPr>
                <w:spacing w:val="19"/>
              </w:rPr>
              <w:t>15</w:t>
            </w:r>
          </w:hyperlink>
        </w:p>
        <w:p>
          <w:pPr>
            <w:pStyle w:val="TOC4"/>
            <w:numPr>
              <w:ilvl w:val="1"/>
              <w:numId w:val="2"/>
            </w:numPr>
            <w:tabs>
              <w:tab w:pos="1665" w:val="left" w:leader="none"/>
              <w:tab w:pos="9021" w:val="right" w:leader="dot"/>
            </w:tabs>
            <w:spacing w:line="240" w:lineRule="auto" w:before="236" w:after="0"/>
            <w:ind w:left="1664" w:right="0" w:hanging="441"/>
            <w:jc w:val="left"/>
          </w:pPr>
          <w:hyperlink w:history="true" w:anchor="_TOC_250049">
            <w:r>
              <w:rPr/>
              <w:t>Fosfolípidos</w:t>
              <w:tab/>
            </w:r>
            <w:r>
              <w:rPr>
                <w:spacing w:val="19"/>
              </w:rPr>
              <w:t>15</w:t>
            </w:r>
          </w:hyperlink>
        </w:p>
        <w:p>
          <w:pPr>
            <w:pStyle w:val="TOC4"/>
            <w:numPr>
              <w:ilvl w:val="1"/>
              <w:numId w:val="2"/>
            </w:numPr>
            <w:tabs>
              <w:tab w:pos="1665" w:val="left" w:leader="none"/>
              <w:tab w:pos="9021" w:val="right" w:leader="dot"/>
            </w:tabs>
            <w:spacing w:line="240" w:lineRule="auto" w:before="237" w:after="0"/>
            <w:ind w:left="1664" w:right="0" w:hanging="441"/>
            <w:jc w:val="left"/>
          </w:pPr>
          <w:hyperlink w:history="true" w:anchor="_TOC_250048">
            <w:r>
              <w:rPr/>
              <w:t>Monoglicéridos, diglicéridos y ácidos</w:t>
            </w:r>
            <w:r>
              <w:rPr>
                <w:spacing w:val="3"/>
              </w:rPr>
              <w:t> </w:t>
            </w:r>
            <w:r>
              <w:rPr/>
              <w:t>grasos</w:t>
            </w:r>
            <w:r>
              <w:rPr>
                <w:spacing w:val="1"/>
              </w:rPr>
              <w:t> </w:t>
            </w:r>
            <w:r>
              <w:rPr/>
              <w:t>libres</w:t>
              <w:tab/>
            </w:r>
            <w:r>
              <w:rPr>
                <w:spacing w:val="19"/>
              </w:rPr>
              <w:t>16</w:t>
            </w:r>
          </w:hyperlink>
        </w:p>
        <w:p>
          <w:pPr>
            <w:pStyle w:val="TOC4"/>
            <w:numPr>
              <w:ilvl w:val="1"/>
              <w:numId w:val="2"/>
            </w:numPr>
            <w:tabs>
              <w:tab w:pos="1670" w:val="left" w:leader="none"/>
              <w:tab w:pos="9021" w:val="right" w:leader="dot"/>
            </w:tabs>
            <w:spacing w:line="240" w:lineRule="auto" w:before="241" w:after="0"/>
            <w:ind w:left="1669" w:right="0" w:hanging="446"/>
            <w:jc w:val="left"/>
          </w:pPr>
          <w:hyperlink w:history="true" w:anchor="_TOC_250047">
            <w:r>
              <w:rPr/>
              <w:t>Esteroles</w:t>
              <w:tab/>
            </w:r>
            <w:r>
              <w:rPr>
                <w:spacing w:val="19"/>
              </w:rPr>
              <w:t>16</w:t>
            </w:r>
          </w:hyperlink>
        </w:p>
        <w:p>
          <w:pPr>
            <w:pStyle w:val="TOC4"/>
            <w:numPr>
              <w:ilvl w:val="1"/>
              <w:numId w:val="2"/>
            </w:numPr>
            <w:tabs>
              <w:tab w:pos="1665" w:val="left" w:leader="none"/>
              <w:tab w:pos="9021" w:val="right" w:leader="dot"/>
            </w:tabs>
            <w:spacing w:line="240" w:lineRule="auto" w:before="236" w:after="0"/>
            <w:ind w:left="1664" w:right="0" w:hanging="441"/>
            <w:jc w:val="left"/>
          </w:pPr>
          <w:hyperlink w:history="true" w:anchor="_TOC_250046">
            <w:r>
              <w:rPr/>
              <w:t>Carotenoides</w:t>
              <w:tab/>
            </w:r>
            <w:r>
              <w:rPr>
                <w:spacing w:val="19"/>
              </w:rPr>
              <w:t>17</w:t>
            </w:r>
          </w:hyperlink>
        </w:p>
        <w:p>
          <w:pPr>
            <w:pStyle w:val="TOC4"/>
            <w:numPr>
              <w:ilvl w:val="1"/>
              <w:numId w:val="2"/>
            </w:numPr>
            <w:tabs>
              <w:tab w:pos="1670" w:val="left" w:leader="none"/>
              <w:tab w:pos="9021" w:val="right" w:leader="dot"/>
            </w:tabs>
            <w:spacing w:line="240" w:lineRule="auto" w:before="237" w:after="0"/>
            <w:ind w:left="1669" w:right="0" w:hanging="446"/>
            <w:jc w:val="left"/>
          </w:pPr>
          <w:hyperlink w:history="true" w:anchor="_TOC_250045">
            <w:r>
              <w:rPr/>
              <w:t>Vitaminas</w:t>
            </w:r>
            <w:r>
              <w:rPr>
                <w:spacing w:val="1"/>
              </w:rPr>
              <w:t> </w:t>
            </w:r>
            <w:r>
              <w:rPr/>
              <w:t>liposolubles</w:t>
              <w:tab/>
            </w:r>
            <w:r>
              <w:rPr>
                <w:spacing w:val="19"/>
              </w:rPr>
              <w:t>17</w:t>
            </w:r>
          </w:hyperlink>
        </w:p>
        <w:p>
          <w:pPr>
            <w:pStyle w:val="TOC4"/>
            <w:numPr>
              <w:ilvl w:val="1"/>
              <w:numId w:val="2"/>
            </w:numPr>
            <w:tabs>
              <w:tab w:pos="1665" w:val="left" w:leader="none"/>
              <w:tab w:pos="9002" w:val="right" w:leader="dot"/>
            </w:tabs>
            <w:spacing w:line="240" w:lineRule="auto" w:before="241" w:after="0"/>
            <w:ind w:left="1664" w:right="0" w:hanging="441"/>
            <w:jc w:val="left"/>
          </w:pPr>
          <w:hyperlink w:history="true" w:anchor="_TOC_250044">
            <w:r>
              <w:rPr/>
              <w:t>Componentes</w:t>
            </w:r>
            <w:r>
              <w:rPr>
                <w:spacing w:val="1"/>
              </w:rPr>
              <w:t> </w:t>
            </w:r>
            <w:r>
              <w:rPr/>
              <w:t>del</w:t>
            </w:r>
            <w:r>
              <w:rPr>
                <w:spacing w:val="-3"/>
              </w:rPr>
              <w:t> </w:t>
            </w:r>
            <w:r>
              <w:rPr/>
              <w:t>sabor</w:t>
              <w:tab/>
            </w:r>
            <w:r>
              <w:rPr>
                <w:spacing w:val="9"/>
              </w:rPr>
              <w:t>18</w:t>
            </w:r>
          </w:hyperlink>
        </w:p>
        <w:p>
          <w:pPr>
            <w:pStyle w:val="TOC2"/>
            <w:numPr>
              <w:ilvl w:val="0"/>
              <w:numId w:val="2"/>
            </w:numPr>
            <w:tabs>
              <w:tab w:pos="739" w:val="left" w:leader="none"/>
              <w:tab w:pos="9021" w:val="right" w:leader="dot"/>
            </w:tabs>
            <w:spacing w:line="240" w:lineRule="auto" w:before="236" w:after="0"/>
            <w:ind w:left="738" w:right="0" w:hanging="226"/>
            <w:jc w:val="left"/>
          </w:pPr>
          <w:hyperlink w:history="true" w:anchor="_TOC_250043">
            <w:r>
              <w:rPr>
                <w:spacing w:val="-3"/>
              </w:rPr>
              <w:t>Ácidos </w:t>
            </w:r>
            <w:r>
              <w:rPr/>
              <w:t>grasos en la leche y sus efectos en la</w:t>
            </w:r>
            <w:r>
              <w:rPr>
                <w:spacing w:val="14"/>
              </w:rPr>
              <w:t> </w:t>
            </w:r>
            <w:r>
              <w:rPr/>
              <w:t>salud</w:t>
            </w:r>
            <w:r>
              <w:rPr>
                <w:spacing w:val="-4"/>
              </w:rPr>
              <w:t> </w:t>
            </w:r>
            <w:r>
              <w:rPr/>
              <w:t>humana</w:t>
              <w:tab/>
            </w:r>
            <w:r>
              <w:rPr>
                <w:spacing w:val="19"/>
              </w:rPr>
              <w:t>18</w:t>
            </w:r>
          </w:hyperlink>
        </w:p>
        <w:p>
          <w:pPr>
            <w:pStyle w:val="TOC4"/>
            <w:numPr>
              <w:ilvl w:val="1"/>
              <w:numId w:val="2"/>
            </w:numPr>
            <w:tabs>
              <w:tab w:pos="1670" w:val="left" w:leader="none"/>
              <w:tab w:pos="9021" w:val="right" w:leader="dot"/>
            </w:tabs>
            <w:spacing w:line="240" w:lineRule="auto" w:before="237" w:after="0"/>
            <w:ind w:left="1669" w:right="0" w:hanging="446"/>
            <w:jc w:val="left"/>
          </w:pPr>
          <w:hyperlink w:history="true" w:anchor="_TOC_250042">
            <w:r>
              <w:rPr/>
              <w:t>Importancia de los ácidos grasos </w:t>
            </w:r>
            <w:r>
              <w:rPr>
                <w:spacing w:val="-4"/>
              </w:rPr>
              <w:t>en </w:t>
            </w:r>
            <w:r>
              <w:rPr/>
              <w:t>la</w:t>
            </w:r>
            <w:r>
              <w:rPr>
                <w:spacing w:val="19"/>
              </w:rPr>
              <w:t> </w:t>
            </w:r>
            <w:r>
              <w:rPr/>
              <w:t>salud</w:t>
            </w:r>
            <w:r>
              <w:rPr>
                <w:spacing w:val="-4"/>
              </w:rPr>
              <w:t> </w:t>
            </w:r>
            <w:r>
              <w:rPr>
                <w:spacing w:val="-3"/>
              </w:rPr>
              <w:t>humana</w:t>
              <w:tab/>
            </w:r>
            <w:r>
              <w:rPr>
                <w:spacing w:val="19"/>
              </w:rPr>
              <w:t>19</w:t>
            </w:r>
          </w:hyperlink>
        </w:p>
        <w:p>
          <w:pPr>
            <w:pStyle w:val="TOC2"/>
            <w:numPr>
              <w:ilvl w:val="0"/>
              <w:numId w:val="2"/>
            </w:numPr>
            <w:tabs>
              <w:tab w:pos="739" w:val="left" w:leader="none"/>
              <w:tab w:pos="9021" w:val="right" w:leader="dot"/>
            </w:tabs>
            <w:spacing w:line="240" w:lineRule="auto" w:before="236" w:after="0"/>
            <w:ind w:left="738" w:right="0" w:hanging="226"/>
            <w:jc w:val="left"/>
          </w:pPr>
          <w:r>
            <w:rPr/>
            <w:t>El CLA y su importancia en la</w:t>
          </w:r>
          <w:r>
            <w:rPr>
              <w:spacing w:val="-2"/>
            </w:rPr>
            <w:t> </w:t>
          </w:r>
          <w:r>
            <w:rPr/>
            <w:t>salud</w:t>
          </w:r>
          <w:r>
            <w:rPr>
              <w:spacing w:val="-4"/>
            </w:rPr>
            <w:t> </w:t>
          </w:r>
          <w:r>
            <w:rPr/>
            <w:t>humana</w:t>
            <w:tab/>
          </w:r>
          <w:r>
            <w:rPr>
              <w:spacing w:val="19"/>
            </w:rPr>
            <w:t>20</w:t>
          </w:r>
        </w:p>
        <w:p>
          <w:pPr>
            <w:pStyle w:val="TOC4"/>
            <w:numPr>
              <w:ilvl w:val="1"/>
              <w:numId w:val="2"/>
            </w:numPr>
            <w:tabs>
              <w:tab w:pos="1670" w:val="left" w:leader="none"/>
              <w:tab w:pos="9021" w:val="right" w:leader="dot"/>
            </w:tabs>
            <w:spacing w:line="240" w:lineRule="auto" w:before="241" w:after="0"/>
            <w:ind w:left="1669" w:right="0" w:hanging="446"/>
            <w:jc w:val="left"/>
          </w:pPr>
          <w:hyperlink w:history="true" w:anchor="_TOC_250041">
            <w:r>
              <w:rPr/>
              <w:t>Estructura </w:t>
            </w:r>
            <w:r>
              <w:rPr>
                <w:spacing w:val="-3"/>
              </w:rPr>
              <w:t>del</w:t>
            </w:r>
            <w:r>
              <w:rPr>
                <w:spacing w:val="-2"/>
              </w:rPr>
              <w:t> </w:t>
            </w:r>
            <w:r>
              <w:rPr/>
              <w:t>CLA</w:t>
              <w:tab/>
            </w:r>
            <w:r>
              <w:rPr>
                <w:spacing w:val="19"/>
              </w:rPr>
              <w:t>21</w:t>
            </w:r>
          </w:hyperlink>
        </w:p>
        <w:p>
          <w:pPr>
            <w:pStyle w:val="TOC4"/>
            <w:numPr>
              <w:ilvl w:val="1"/>
              <w:numId w:val="2"/>
            </w:numPr>
            <w:tabs>
              <w:tab w:pos="1670" w:val="left" w:leader="none"/>
              <w:tab w:pos="9021" w:val="right" w:leader="dot"/>
            </w:tabs>
            <w:spacing w:line="240" w:lineRule="auto" w:before="236" w:after="0"/>
            <w:ind w:left="1669" w:right="0" w:hanging="446"/>
            <w:jc w:val="left"/>
          </w:pPr>
          <w:hyperlink w:history="true" w:anchor="_TOC_250040">
            <w:r>
              <w:rPr/>
              <w:t>Origen</w:t>
            </w:r>
            <w:r>
              <w:rPr>
                <w:spacing w:val="-4"/>
              </w:rPr>
              <w:t> </w:t>
            </w:r>
            <w:r>
              <w:rPr/>
              <w:t>del</w:t>
            </w:r>
            <w:r>
              <w:rPr>
                <w:spacing w:val="-3"/>
              </w:rPr>
              <w:t> </w:t>
            </w:r>
            <w:r>
              <w:rPr/>
              <w:t>CLA</w:t>
              <w:tab/>
            </w:r>
            <w:r>
              <w:rPr>
                <w:spacing w:val="19"/>
              </w:rPr>
              <w:t>21</w:t>
            </w:r>
          </w:hyperlink>
        </w:p>
        <w:p>
          <w:pPr>
            <w:pStyle w:val="TOC4"/>
            <w:numPr>
              <w:ilvl w:val="1"/>
              <w:numId w:val="2"/>
            </w:numPr>
            <w:tabs>
              <w:tab w:pos="1670" w:val="left" w:leader="none"/>
              <w:tab w:pos="9021" w:val="right" w:leader="dot"/>
            </w:tabs>
            <w:spacing w:line="240" w:lineRule="auto" w:before="237" w:after="0"/>
            <w:ind w:left="1669" w:right="0" w:hanging="446"/>
            <w:jc w:val="left"/>
          </w:pPr>
          <w:hyperlink w:history="true" w:anchor="_TOC_250039">
            <w:r>
              <w:rPr>
                <w:spacing w:val="-3"/>
              </w:rPr>
              <w:t>Efectos </w:t>
            </w:r>
            <w:r>
              <w:rPr/>
              <w:t>del CLA en la</w:t>
            </w:r>
            <w:r>
              <w:rPr>
                <w:spacing w:val="5"/>
              </w:rPr>
              <w:t> </w:t>
            </w:r>
            <w:r>
              <w:rPr/>
              <w:t>salud</w:t>
            </w:r>
            <w:r>
              <w:rPr>
                <w:spacing w:val="-3"/>
              </w:rPr>
              <w:t> </w:t>
            </w:r>
            <w:r>
              <w:rPr/>
              <w:t>humana</w:t>
              <w:tab/>
            </w:r>
            <w:r>
              <w:rPr>
                <w:spacing w:val="19"/>
              </w:rPr>
              <w:t>22</w:t>
            </w:r>
          </w:hyperlink>
        </w:p>
        <w:p>
          <w:pPr>
            <w:pStyle w:val="TOC6"/>
            <w:numPr>
              <w:ilvl w:val="2"/>
              <w:numId w:val="2"/>
            </w:numPr>
            <w:tabs>
              <w:tab w:pos="2481" w:val="left" w:leader="none"/>
              <w:tab w:pos="9021" w:val="right" w:leader="dot"/>
            </w:tabs>
            <w:spacing w:line="240" w:lineRule="auto" w:before="241" w:after="0"/>
            <w:ind w:left="2480" w:right="0" w:hanging="551"/>
            <w:jc w:val="left"/>
          </w:pPr>
          <w:hyperlink w:history="true" w:anchor="_TOC_250038">
            <w:r>
              <w:rPr/>
              <w:t>Propiedades</w:t>
            </w:r>
            <w:r>
              <w:rPr>
                <w:spacing w:val="1"/>
              </w:rPr>
              <w:t> </w:t>
            </w:r>
            <w:r>
              <w:rPr/>
              <w:t>anticarcinogénicas</w:t>
              <w:tab/>
            </w:r>
            <w:r>
              <w:rPr>
                <w:spacing w:val="19"/>
              </w:rPr>
              <w:t>23</w:t>
            </w:r>
          </w:hyperlink>
        </w:p>
        <w:p>
          <w:pPr>
            <w:pStyle w:val="TOC6"/>
            <w:numPr>
              <w:ilvl w:val="2"/>
              <w:numId w:val="2"/>
            </w:numPr>
            <w:tabs>
              <w:tab w:pos="2539" w:val="left" w:leader="none"/>
              <w:tab w:pos="9021" w:val="right" w:leader="dot"/>
            </w:tabs>
            <w:spacing w:line="240" w:lineRule="auto" w:before="236" w:after="0"/>
            <w:ind w:left="2538" w:right="0" w:hanging="609"/>
            <w:jc w:val="left"/>
          </w:pPr>
          <w:hyperlink w:history="true" w:anchor="_TOC_250037">
            <w:r>
              <w:rPr/>
              <w:t>Efectos sobre</w:t>
            </w:r>
            <w:r>
              <w:rPr>
                <w:spacing w:val="-4"/>
              </w:rPr>
              <w:t> </w:t>
            </w:r>
            <w:r>
              <w:rPr/>
              <w:t>la</w:t>
            </w:r>
            <w:r>
              <w:rPr>
                <w:spacing w:val="4"/>
              </w:rPr>
              <w:t> </w:t>
            </w:r>
            <w:r>
              <w:rPr/>
              <w:t>aterosclerosis</w:t>
              <w:tab/>
            </w:r>
            <w:r>
              <w:rPr>
                <w:spacing w:val="19"/>
              </w:rPr>
              <w:t>23</w:t>
            </w:r>
          </w:hyperlink>
        </w:p>
        <w:p>
          <w:pPr>
            <w:pStyle w:val="TOC6"/>
            <w:numPr>
              <w:ilvl w:val="2"/>
              <w:numId w:val="2"/>
            </w:numPr>
            <w:tabs>
              <w:tab w:pos="2539" w:val="left" w:leader="none"/>
              <w:tab w:pos="9021" w:val="right" w:leader="dot"/>
            </w:tabs>
            <w:spacing w:line="240" w:lineRule="auto" w:before="237" w:after="0"/>
            <w:ind w:left="2538" w:right="0" w:hanging="609"/>
            <w:jc w:val="left"/>
          </w:pPr>
          <w:hyperlink w:history="true" w:anchor="_TOC_250036">
            <w:r>
              <w:rPr/>
              <w:t>Efecto antidiabético y sobre </w:t>
            </w:r>
            <w:r>
              <w:rPr>
                <w:spacing w:val="-4"/>
              </w:rPr>
              <w:t>el </w:t>
            </w:r>
            <w:r>
              <w:rPr/>
              <w:t>control de</w:t>
            </w:r>
            <w:r>
              <w:rPr>
                <w:spacing w:val="-12"/>
              </w:rPr>
              <w:t> </w:t>
            </w:r>
            <w:r>
              <w:rPr/>
              <w:t>la</w:t>
            </w:r>
            <w:r>
              <w:rPr>
                <w:spacing w:val="4"/>
              </w:rPr>
              <w:t> </w:t>
            </w:r>
            <w:r>
              <w:rPr/>
              <w:t>obesidad</w:t>
              <w:tab/>
            </w:r>
            <w:r>
              <w:rPr>
                <w:spacing w:val="19"/>
              </w:rPr>
              <w:t>24</w:t>
            </w:r>
          </w:hyperlink>
        </w:p>
        <w:p>
          <w:pPr>
            <w:pStyle w:val="TOC6"/>
            <w:numPr>
              <w:ilvl w:val="2"/>
              <w:numId w:val="2"/>
            </w:numPr>
            <w:tabs>
              <w:tab w:pos="2539" w:val="left" w:leader="none"/>
              <w:tab w:pos="9021" w:val="right" w:leader="dot"/>
            </w:tabs>
            <w:spacing w:line="240" w:lineRule="auto" w:before="236" w:after="0"/>
            <w:ind w:left="2538" w:right="0" w:hanging="609"/>
            <w:jc w:val="left"/>
          </w:pPr>
          <w:hyperlink w:history="true" w:anchor="_TOC_250035">
            <w:r>
              <w:rPr/>
              <w:t>Efectos sobre el sistema inmunitario y la</w:t>
            </w:r>
            <w:r>
              <w:rPr>
                <w:spacing w:val="-4"/>
              </w:rPr>
              <w:t> </w:t>
            </w:r>
            <w:r>
              <w:rPr/>
              <w:t>mineralización ósea</w:t>
              <w:tab/>
            </w:r>
            <w:r>
              <w:rPr>
                <w:spacing w:val="19"/>
              </w:rPr>
              <w:t>24</w:t>
            </w:r>
          </w:hyperlink>
        </w:p>
        <w:p>
          <w:pPr>
            <w:pStyle w:val="TOC2"/>
            <w:numPr>
              <w:ilvl w:val="0"/>
              <w:numId w:val="2"/>
            </w:numPr>
            <w:tabs>
              <w:tab w:pos="739" w:val="left" w:leader="none"/>
              <w:tab w:pos="9021" w:val="right" w:leader="dot"/>
            </w:tabs>
            <w:spacing w:line="240" w:lineRule="auto" w:before="241" w:after="0"/>
            <w:ind w:left="738" w:right="0" w:hanging="226"/>
            <w:jc w:val="left"/>
          </w:pPr>
          <w:hyperlink w:history="true" w:anchor="_TOC_250034">
            <w:r>
              <w:rPr/>
              <w:t>Metabolismo de lípidos, y síntesis de</w:t>
            </w:r>
            <w:r>
              <w:rPr>
                <w:spacing w:val="-2"/>
              </w:rPr>
              <w:t> </w:t>
            </w:r>
            <w:r>
              <w:rPr/>
              <w:t>ácidos</w:t>
            </w:r>
            <w:r>
              <w:rPr>
                <w:spacing w:val="1"/>
              </w:rPr>
              <w:t> </w:t>
            </w:r>
            <w:r>
              <w:rPr/>
              <w:t>grasos</w:t>
              <w:tab/>
            </w:r>
            <w:r>
              <w:rPr>
                <w:spacing w:val="19"/>
              </w:rPr>
              <w:t>25</w:t>
            </w:r>
          </w:hyperlink>
        </w:p>
        <w:p>
          <w:pPr>
            <w:pStyle w:val="TOC4"/>
            <w:numPr>
              <w:ilvl w:val="1"/>
              <w:numId w:val="2"/>
            </w:numPr>
            <w:tabs>
              <w:tab w:pos="1665" w:val="left" w:leader="none"/>
              <w:tab w:pos="9021" w:val="right" w:leader="dot"/>
            </w:tabs>
            <w:spacing w:line="240" w:lineRule="auto" w:before="236" w:after="0"/>
            <w:ind w:left="1664" w:right="0" w:hanging="441"/>
            <w:jc w:val="left"/>
          </w:pPr>
          <w:hyperlink w:history="true" w:anchor="_TOC_250033">
            <w:r>
              <w:rPr/>
              <w:t>Metabolismo de los lípidos en</w:t>
            </w:r>
            <w:r>
              <w:rPr>
                <w:spacing w:val="1"/>
              </w:rPr>
              <w:t> </w:t>
            </w:r>
            <w:r>
              <w:rPr/>
              <w:t>el</w:t>
            </w:r>
            <w:r>
              <w:rPr>
                <w:spacing w:val="-3"/>
              </w:rPr>
              <w:t> </w:t>
            </w:r>
            <w:r>
              <w:rPr/>
              <w:t>rumen</w:t>
              <w:tab/>
            </w:r>
            <w:r>
              <w:rPr>
                <w:spacing w:val="19"/>
              </w:rPr>
              <w:t>25</w:t>
            </w:r>
          </w:hyperlink>
        </w:p>
        <w:p>
          <w:pPr>
            <w:pStyle w:val="TOC6"/>
            <w:numPr>
              <w:ilvl w:val="2"/>
              <w:numId w:val="2"/>
            </w:numPr>
            <w:tabs>
              <w:tab w:pos="2539" w:val="left" w:leader="none"/>
              <w:tab w:pos="9021" w:val="right" w:leader="dot"/>
            </w:tabs>
            <w:spacing w:line="240" w:lineRule="auto" w:before="237" w:after="0"/>
            <w:ind w:left="2538" w:right="0" w:hanging="609"/>
            <w:jc w:val="left"/>
          </w:pPr>
          <w:hyperlink w:history="true" w:anchor="_TOC_250032">
            <w:r>
              <w:rPr/>
              <w:t>Lipólisis</w:t>
              <w:tab/>
            </w:r>
            <w:r>
              <w:rPr>
                <w:spacing w:val="19"/>
              </w:rPr>
              <w:t>26</w:t>
            </w:r>
          </w:hyperlink>
        </w:p>
        <w:p>
          <w:pPr>
            <w:pStyle w:val="TOC6"/>
            <w:numPr>
              <w:ilvl w:val="2"/>
              <w:numId w:val="2"/>
            </w:numPr>
            <w:tabs>
              <w:tab w:pos="2539" w:val="left" w:leader="none"/>
              <w:tab w:pos="9021" w:val="right" w:leader="dot"/>
            </w:tabs>
            <w:spacing w:line="240" w:lineRule="auto" w:before="236" w:after="0"/>
            <w:ind w:left="2538" w:right="0" w:hanging="609"/>
            <w:jc w:val="left"/>
          </w:pPr>
          <w:hyperlink w:history="true" w:anchor="_TOC_250031">
            <w:r>
              <w:rPr/>
              <w:t>Biohidrogenación</w:t>
            </w:r>
            <w:r>
              <w:rPr>
                <w:spacing w:val="-4"/>
              </w:rPr>
              <w:t> </w:t>
            </w:r>
            <w:r>
              <w:rPr/>
              <w:t>ruminal</w:t>
              <w:tab/>
            </w:r>
            <w:r>
              <w:rPr>
                <w:spacing w:val="19"/>
              </w:rPr>
              <w:t>26</w:t>
            </w:r>
          </w:hyperlink>
        </w:p>
        <w:p>
          <w:pPr>
            <w:pStyle w:val="TOC5"/>
            <w:numPr>
              <w:ilvl w:val="1"/>
              <w:numId w:val="2"/>
            </w:numPr>
            <w:tabs>
              <w:tab w:pos="1665" w:val="left" w:leader="none"/>
              <w:tab w:pos="9021" w:val="right" w:leader="dot"/>
            </w:tabs>
            <w:spacing w:line="240" w:lineRule="auto" w:before="241" w:after="0"/>
            <w:ind w:left="1664" w:right="0" w:hanging="441"/>
            <w:jc w:val="left"/>
            <w:rPr>
              <w:b w:val="0"/>
              <w:i w:val="0"/>
              <w:sz w:val="22"/>
            </w:rPr>
          </w:pPr>
          <w:r>
            <w:rPr>
              <w:b w:val="0"/>
              <w:i w:val="0"/>
              <w:sz w:val="22"/>
            </w:rPr>
            <w:t>Síntesis</w:t>
          </w:r>
          <w:r>
            <w:rPr>
              <w:b w:val="0"/>
              <w:i w:val="0"/>
              <w:spacing w:val="8"/>
              <w:sz w:val="22"/>
            </w:rPr>
            <w:t> </w:t>
          </w:r>
          <w:r>
            <w:rPr>
              <w:b w:val="0"/>
              <w:i w:val="0"/>
              <w:sz w:val="22"/>
            </w:rPr>
            <w:t>de</w:t>
          </w:r>
          <w:r>
            <w:rPr>
              <w:b w:val="0"/>
              <w:i w:val="0"/>
              <w:spacing w:val="-6"/>
              <w:sz w:val="22"/>
            </w:rPr>
            <w:t> </w:t>
          </w:r>
          <w:r>
            <w:rPr>
              <w:b w:val="0"/>
              <w:i/>
              <w:sz w:val="22"/>
            </w:rPr>
            <w:t>novo</w:t>
          </w:r>
          <w:r>
            <w:rPr>
              <w:b w:val="0"/>
              <w:i w:val="0"/>
              <w:sz w:val="22"/>
            </w:rPr>
            <w:tab/>
          </w:r>
          <w:r>
            <w:rPr>
              <w:b w:val="0"/>
              <w:i w:val="0"/>
              <w:spacing w:val="19"/>
              <w:sz w:val="22"/>
            </w:rPr>
            <w:t>29</w:t>
          </w:r>
        </w:p>
        <w:p>
          <w:pPr>
            <w:pStyle w:val="TOC2"/>
            <w:numPr>
              <w:ilvl w:val="0"/>
              <w:numId w:val="2"/>
            </w:numPr>
            <w:tabs>
              <w:tab w:pos="734" w:val="left" w:leader="none"/>
              <w:tab w:pos="9021" w:val="right" w:leader="none"/>
            </w:tabs>
            <w:spacing w:line="240" w:lineRule="auto" w:before="237" w:after="0"/>
            <w:ind w:left="733" w:right="0" w:hanging="221"/>
            <w:jc w:val="left"/>
          </w:pPr>
          <w:hyperlink w:history="true" w:anchor="_TOC_250030">
            <w:r>
              <w:rPr/>
              <w:t>Factores que determinan el perfil de</w:t>
            </w:r>
            <w:r>
              <w:rPr>
                <w:spacing w:val="-39"/>
              </w:rPr>
              <w:t> </w:t>
            </w:r>
            <w:r>
              <w:rPr/>
              <w:t>ácidos grasos y ácido linoleico conjugado en la</w:t>
            </w:r>
            <w:r>
              <w:rPr>
                <w:spacing w:val="3"/>
              </w:rPr>
              <w:t> </w:t>
            </w:r>
            <w:r>
              <w:rPr/>
              <w:t>leche</w:t>
              <w:tab/>
            </w:r>
            <w:r>
              <w:rPr>
                <w:spacing w:val="19"/>
              </w:rPr>
              <w:t>29</w:t>
            </w:r>
          </w:hyperlink>
        </w:p>
        <w:p>
          <w:pPr>
            <w:pStyle w:val="TOC4"/>
            <w:numPr>
              <w:ilvl w:val="1"/>
              <w:numId w:val="2"/>
            </w:numPr>
            <w:tabs>
              <w:tab w:pos="1612" w:val="left" w:leader="none"/>
              <w:tab w:pos="9021" w:val="right" w:leader="dot"/>
            </w:tabs>
            <w:spacing w:line="240" w:lineRule="auto" w:before="236" w:after="0"/>
            <w:ind w:left="1611" w:right="0" w:hanging="388"/>
            <w:jc w:val="left"/>
          </w:pPr>
          <w:hyperlink w:history="true" w:anchor="_TOC_250029">
            <w:r>
              <w:rPr/>
              <w:t>La</w:t>
            </w:r>
            <w:r>
              <w:rPr>
                <w:spacing w:val="-6"/>
              </w:rPr>
              <w:t> </w:t>
            </w:r>
            <w:r>
              <w:rPr/>
              <w:t>alimentación</w:t>
              <w:tab/>
            </w:r>
            <w:r>
              <w:rPr>
                <w:spacing w:val="19"/>
              </w:rPr>
              <w:t>30</w:t>
            </w:r>
          </w:hyperlink>
        </w:p>
        <w:p>
          <w:pPr>
            <w:pStyle w:val="TOC6"/>
            <w:numPr>
              <w:ilvl w:val="2"/>
              <w:numId w:val="2"/>
            </w:numPr>
            <w:tabs>
              <w:tab w:pos="2539" w:val="left" w:leader="none"/>
              <w:tab w:pos="9021" w:val="right" w:leader="dot"/>
            </w:tabs>
            <w:spacing w:line="240" w:lineRule="auto" w:before="241" w:after="0"/>
            <w:ind w:left="2538" w:right="0" w:hanging="609"/>
            <w:jc w:val="left"/>
          </w:pPr>
          <w:hyperlink w:history="true" w:anchor="_TOC_250028">
            <w:r>
              <w:rPr/>
              <w:t>Efecto</w:t>
            </w:r>
            <w:r>
              <w:rPr>
                <w:spacing w:val="-3"/>
              </w:rPr>
              <w:t> </w:t>
            </w:r>
            <w:r>
              <w:rPr/>
              <w:t>del</w:t>
            </w:r>
            <w:r>
              <w:rPr>
                <w:spacing w:val="-3"/>
              </w:rPr>
              <w:t> </w:t>
            </w:r>
            <w:r>
              <w:rPr/>
              <w:t>pastoreo</w:t>
              <w:tab/>
            </w:r>
            <w:r>
              <w:rPr>
                <w:spacing w:val="19"/>
              </w:rPr>
              <w:t>31</w:t>
            </w:r>
          </w:hyperlink>
        </w:p>
        <w:p>
          <w:pPr>
            <w:pStyle w:val="TOC6"/>
            <w:numPr>
              <w:ilvl w:val="2"/>
              <w:numId w:val="2"/>
            </w:numPr>
            <w:tabs>
              <w:tab w:pos="2539" w:val="left" w:leader="none"/>
              <w:tab w:pos="9021" w:val="right" w:leader="dot"/>
            </w:tabs>
            <w:spacing w:line="240" w:lineRule="auto" w:before="382" w:after="0"/>
            <w:ind w:left="2538" w:right="0" w:hanging="609"/>
            <w:jc w:val="left"/>
          </w:pPr>
          <w:hyperlink w:history="true" w:anchor="_TOC_250027">
            <w:r>
              <w:rPr/>
              <w:t>Complementación</w:t>
            </w:r>
            <w:r>
              <w:rPr>
                <w:spacing w:val="-4"/>
              </w:rPr>
              <w:t> </w:t>
            </w:r>
            <w:r>
              <w:rPr/>
              <w:t>al</w:t>
            </w:r>
            <w:r>
              <w:rPr>
                <w:spacing w:val="-3"/>
              </w:rPr>
              <w:t> </w:t>
            </w:r>
            <w:r>
              <w:rPr/>
              <w:t>pastoreo</w:t>
              <w:tab/>
            </w:r>
            <w:r>
              <w:rPr>
                <w:spacing w:val="19"/>
              </w:rPr>
              <w:t>32</w:t>
            </w:r>
          </w:hyperlink>
        </w:p>
        <w:p>
          <w:pPr>
            <w:pStyle w:val="TOC7"/>
            <w:numPr>
              <w:ilvl w:val="3"/>
              <w:numId w:val="2"/>
            </w:numPr>
            <w:tabs>
              <w:tab w:pos="3412" w:val="left" w:leader="none"/>
              <w:tab w:pos="9021" w:val="right" w:leader="dot"/>
            </w:tabs>
            <w:spacing w:line="240" w:lineRule="auto" w:before="236" w:after="0"/>
            <w:ind w:left="3411" w:right="0" w:hanging="772"/>
            <w:jc w:val="left"/>
          </w:pPr>
          <w:r>
            <w:rPr/>
            <w:t>Forrajes conservados: Ensilado</w:t>
          </w:r>
          <w:r>
            <w:rPr>
              <w:spacing w:val="-4"/>
            </w:rPr>
            <w:t> </w:t>
          </w:r>
          <w:r>
            <w:rPr/>
            <w:t>y</w:t>
          </w:r>
          <w:r>
            <w:rPr>
              <w:spacing w:val="-4"/>
            </w:rPr>
            <w:t> </w:t>
          </w:r>
          <w:r>
            <w:rPr/>
            <w:t>Henos</w:t>
            <w:tab/>
          </w:r>
          <w:r>
            <w:rPr>
              <w:spacing w:val="19"/>
            </w:rPr>
            <w:t>33</w:t>
          </w:r>
        </w:p>
        <w:p>
          <w:pPr>
            <w:pStyle w:val="TOC7"/>
            <w:numPr>
              <w:ilvl w:val="3"/>
              <w:numId w:val="2"/>
            </w:numPr>
            <w:tabs>
              <w:tab w:pos="3412" w:val="left" w:leader="none"/>
              <w:tab w:pos="9021" w:val="right" w:leader="dot"/>
            </w:tabs>
            <w:spacing w:line="240" w:lineRule="auto" w:before="237" w:after="0"/>
            <w:ind w:left="3411" w:right="0" w:hanging="772"/>
            <w:jc w:val="left"/>
          </w:pPr>
          <w:hyperlink w:history="true" w:anchor="_TOC_250026">
            <w:r>
              <w:rPr/>
              <w:t>Complementación</w:t>
            </w:r>
            <w:r>
              <w:rPr>
                <w:spacing w:val="-4"/>
              </w:rPr>
              <w:t> </w:t>
            </w:r>
            <w:r>
              <w:rPr/>
              <w:t>con</w:t>
            </w:r>
            <w:r>
              <w:rPr>
                <w:spacing w:val="-4"/>
              </w:rPr>
              <w:t> </w:t>
            </w:r>
            <w:r>
              <w:rPr/>
              <w:t>concentrados</w:t>
              <w:tab/>
            </w:r>
            <w:r>
              <w:rPr>
                <w:spacing w:val="19"/>
              </w:rPr>
              <w:t>34</w:t>
            </w:r>
          </w:hyperlink>
        </w:p>
        <w:p>
          <w:pPr>
            <w:pStyle w:val="TOC6"/>
            <w:numPr>
              <w:ilvl w:val="2"/>
              <w:numId w:val="2"/>
            </w:numPr>
            <w:tabs>
              <w:tab w:pos="2539" w:val="left" w:leader="none"/>
              <w:tab w:pos="9021" w:val="right" w:leader="dot"/>
            </w:tabs>
            <w:spacing w:line="240" w:lineRule="auto" w:before="241" w:after="0"/>
            <w:ind w:left="2538" w:right="0" w:hanging="609"/>
            <w:jc w:val="left"/>
          </w:pPr>
          <w:hyperlink w:history="true" w:anchor="_TOC_250025">
            <w:r>
              <w:rPr/>
              <w:t>Utilización de grasas y aceites en la</w:t>
            </w:r>
            <w:r>
              <w:rPr>
                <w:spacing w:val="-3"/>
              </w:rPr>
              <w:t> dieta</w:t>
            </w:r>
            <w:r>
              <w:rPr>
                <w:spacing w:val="4"/>
              </w:rPr>
              <w:t> </w:t>
            </w:r>
            <w:r>
              <w:rPr/>
              <w:t>animal</w:t>
              <w:tab/>
            </w:r>
            <w:r>
              <w:rPr>
                <w:spacing w:val="19"/>
              </w:rPr>
              <w:t>35</w:t>
            </w:r>
          </w:hyperlink>
        </w:p>
        <w:p>
          <w:pPr>
            <w:pStyle w:val="TOC4"/>
            <w:numPr>
              <w:ilvl w:val="1"/>
              <w:numId w:val="2"/>
            </w:numPr>
            <w:tabs>
              <w:tab w:pos="1670" w:val="left" w:leader="none"/>
              <w:tab w:pos="9021" w:val="right" w:leader="dot"/>
            </w:tabs>
            <w:spacing w:line="240" w:lineRule="auto" w:before="236" w:after="0"/>
            <w:ind w:left="1669" w:right="0" w:hanging="446"/>
            <w:jc w:val="left"/>
          </w:pPr>
          <w:hyperlink w:history="true" w:anchor="_TOC_250024">
            <w:r>
              <w:rPr>
                <w:spacing w:val="-3"/>
              </w:rPr>
              <w:t>La </w:t>
            </w:r>
            <w:r>
              <w:rPr/>
              <w:t>raza o</w:t>
            </w:r>
            <w:r>
              <w:rPr>
                <w:spacing w:val="-1"/>
              </w:rPr>
              <w:t> </w:t>
            </w:r>
            <w:r>
              <w:rPr/>
              <w:t>genotipo</w:t>
            </w:r>
            <w:r>
              <w:rPr>
                <w:spacing w:val="-4"/>
              </w:rPr>
              <w:t> </w:t>
            </w:r>
            <w:r>
              <w:rPr/>
              <w:t>animal</w:t>
              <w:tab/>
            </w:r>
            <w:r>
              <w:rPr>
                <w:spacing w:val="19"/>
              </w:rPr>
              <w:t>37</w:t>
            </w:r>
          </w:hyperlink>
        </w:p>
        <w:p>
          <w:pPr>
            <w:pStyle w:val="TOC4"/>
            <w:numPr>
              <w:ilvl w:val="1"/>
              <w:numId w:val="2"/>
            </w:numPr>
            <w:tabs>
              <w:tab w:pos="1670" w:val="left" w:leader="none"/>
              <w:tab w:pos="9021" w:val="right" w:leader="dot"/>
            </w:tabs>
            <w:spacing w:line="240" w:lineRule="auto" w:before="237" w:after="0"/>
            <w:ind w:left="1669" w:right="0" w:hanging="446"/>
            <w:jc w:val="left"/>
          </w:pPr>
          <w:hyperlink w:history="true" w:anchor="_TOC_250023">
            <w:r>
              <w:rPr/>
              <w:t>Etapa</w:t>
            </w:r>
            <w:r>
              <w:rPr>
                <w:spacing w:val="-1"/>
              </w:rPr>
              <w:t> </w:t>
            </w:r>
            <w:r>
              <w:rPr/>
              <w:t>de</w:t>
            </w:r>
            <w:r>
              <w:rPr>
                <w:spacing w:val="-6"/>
              </w:rPr>
              <w:t> </w:t>
            </w:r>
            <w:r>
              <w:rPr/>
              <w:t>lactación</w:t>
              <w:tab/>
            </w:r>
            <w:r>
              <w:rPr>
                <w:spacing w:val="19"/>
              </w:rPr>
              <w:t>39</w:t>
            </w:r>
          </w:hyperlink>
        </w:p>
        <w:p>
          <w:pPr>
            <w:pStyle w:val="TOC2"/>
            <w:numPr>
              <w:ilvl w:val="0"/>
              <w:numId w:val="2"/>
            </w:numPr>
            <w:tabs>
              <w:tab w:pos="734" w:val="left" w:leader="none"/>
              <w:tab w:pos="9021" w:val="right" w:leader="dot"/>
            </w:tabs>
            <w:spacing w:line="240" w:lineRule="auto" w:before="241" w:after="0"/>
            <w:ind w:left="733" w:right="0" w:hanging="221"/>
            <w:jc w:val="left"/>
          </w:pPr>
          <w:hyperlink w:history="true" w:anchor="_TOC_250022">
            <w:r>
              <w:rPr/>
              <w:t>Factores que influyen en el consumo de materia seca de vacas</w:t>
            </w:r>
            <w:r>
              <w:rPr>
                <w:spacing w:val="-9"/>
              </w:rPr>
              <w:t> </w:t>
            </w:r>
            <w:r>
              <w:rPr/>
              <w:t>en</w:t>
            </w:r>
            <w:r>
              <w:rPr>
                <w:spacing w:val="-4"/>
              </w:rPr>
              <w:t> </w:t>
            </w:r>
            <w:r>
              <w:rPr/>
              <w:t>pastoreo</w:t>
              <w:tab/>
            </w:r>
            <w:r>
              <w:rPr>
                <w:spacing w:val="19"/>
              </w:rPr>
              <w:t>40</w:t>
            </w:r>
          </w:hyperlink>
        </w:p>
        <w:p>
          <w:pPr>
            <w:pStyle w:val="TOC4"/>
            <w:numPr>
              <w:ilvl w:val="1"/>
              <w:numId w:val="2"/>
            </w:numPr>
            <w:tabs>
              <w:tab w:pos="1665" w:val="left" w:leader="none"/>
              <w:tab w:pos="9021" w:val="right" w:leader="dot"/>
            </w:tabs>
            <w:spacing w:line="240" w:lineRule="auto" w:before="236" w:after="0"/>
            <w:ind w:left="1664" w:right="0" w:hanging="441"/>
            <w:jc w:val="left"/>
          </w:pPr>
          <w:hyperlink w:history="true" w:anchor="_TOC_250021">
            <w:r>
              <w:rPr/>
              <w:t>Factores relacionados con el</w:t>
            </w:r>
            <w:r>
              <w:rPr>
                <w:spacing w:val="-3"/>
              </w:rPr>
              <w:t> </w:t>
            </w:r>
            <w:r>
              <w:rPr/>
              <w:t>alimento</w:t>
              <w:tab/>
            </w:r>
            <w:r>
              <w:rPr>
                <w:spacing w:val="19"/>
              </w:rPr>
              <w:t>40</w:t>
            </w:r>
          </w:hyperlink>
        </w:p>
        <w:p>
          <w:pPr>
            <w:pStyle w:val="TOC6"/>
            <w:numPr>
              <w:ilvl w:val="2"/>
              <w:numId w:val="2"/>
            </w:numPr>
            <w:tabs>
              <w:tab w:pos="2539" w:val="left" w:leader="none"/>
              <w:tab w:pos="9021" w:val="right" w:leader="dot"/>
            </w:tabs>
            <w:spacing w:line="240" w:lineRule="auto" w:before="237" w:after="0"/>
            <w:ind w:left="2538" w:right="0" w:hanging="609"/>
            <w:jc w:val="left"/>
          </w:pPr>
          <w:hyperlink w:history="true" w:anchor="_TOC_250020">
            <w:r>
              <w:rPr/>
              <w:t>Características físicas y nutricionales del</w:t>
            </w:r>
            <w:r>
              <w:rPr>
                <w:spacing w:val="-3"/>
              </w:rPr>
              <w:t> </w:t>
            </w:r>
            <w:r>
              <w:rPr/>
              <w:t>forraje</w:t>
              <w:tab/>
            </w:r>
            <w:r>
              <w:rPr>
                <w:spacing w:val="19"/>
              </w:rPr>
              <w:t>40</w:t>
            </w:r>
          </w:hyperlink>
        </w:p>
        <w:p>
          <w:pPr>
            <w:pStyle w:val="TOC6"/>
            <w:numPr>
              <w:ilvl w:val="2"/>
              <w:numId w:val="2"/>
            </w:numPr>
            <w:tabs>
              <w:tab w:pos="2539" w:val="left" w:leader="none"/>
              <w:tab w:pos="9021" w:val="right" w:leader="dot"/>
            </w:tabs>
            <w:spacing w:line="240" w:lineRule="auto" w:before="236" w:after="0"/>
            <w:ind w:left="2538" w:right="0" w:hanging="609"/>
            <w:jc w:val="left"/>
          </w:pPr>
          <w:hyperlink w:history="true" w:anchor="_TOC_250019">
            <w:r>
              <w:rPr/>
              <w:t>Disponibilidad</w:t>
            </w:r>
            <w:r>
              <w:rPr>
                <w:spacing w:val="1"/>
              </w:rPr>
              <w:t> </w:t>
            </w:r>
            <w:r>
              <w:rPr/>
              <w:t>de</w:t>
            </w:r>
            <w:r>
              <w:rPr>
                <w:spacing w:val="-6"/>
              </w:rPr>
              <w:t> </w:t>
            </w:r>
            <w:r>
              <w:rPr/>
              <w:t>forraje</w:t>
              <w:tab/>
            </w:r>
            <w:r>
              <w:rPr>
                <w:spacing w:val="19"/>
              </w:rPr>
              <w:t>41</w:t>
            </w:r>
          </w:hyperlink>
        </w:p>
        <w:p>
          <w:pPr>
            <w:pStyle w:val="TOC6"/>
            <w:numPr>
              <w:ilvl w:val="2"/>
              <w:numId w:val="2"/>
            </w:numPr>
            <w:tabs>
              <w:tab w:pos="2539" w:val="left" w:leader="none"/>
              <w:tab w:pos="9021" w:val="right" w:leader="dot"/>
            </w:tabs>
            <w:spacing w:line="240" w:lineRule="auto" w:before="241" w:after="0"/>
            <w:ind w:left="2538" w:right="0" w:hanging="609"/>
            <w:jc w:val="left"/>
          </w:pPr>
          <w:hyperlink w:history="true" w:anchor="_TOC_250018">
            <w:r>
              <w:rPr/>
              <w:t>Efecto de la complementación sobre </w:t>
            </w:r>
            <w:r>
              <w:rPr>
                <w:spacing w:val="-4"/>
              </w:rPr>
              <w:t>el </w:t>
            </w:r>
            <w:r>
              <w:rPr/>
              <w:t>consumo</w:t>
            </w:r>
            <w:r>
              <w:rPr>
                <w:spacing w:val="-4"/>
              </w:rPr>
              <w:t> </w:t>
            </w:r>
            <w:r>
              <w:rPr/>
              <w:t>de</w:t>
            </w:r>
            <w:r>
              <w:rPr>
                <w:spacing w:val="-6"/>
              </w:rPr>
              <w:t> </w:t>
            </w:r>
            <w:r>
              <w:rPr/>
              <w:t>forraje</w:t>
              <w:tab/>
            </w:r>
            <w:r>
              <w:rPr>
                <w:spacing w:val="19"/>
              </w:rPr>
              <w:t>42</w:t>
            </w:r>
          </w:hyperlink>
        </w:p>
        <w:p>
          <w:pPr>
            <w:pStyle w:val="TOC6"/>
            <w:numPr>
              <w:ilvl w:val="3"/>
              <w:numId w:val="2"/>
            </w:numPr>
            <w:tabs>
              <w:tab w:pos="2698" w:val="left" w:leader="none"/>
              <w:tab w:pos="9021" w:val="right" w:leader="dot"/>
            </w:tabs>
            <w:spacing w:line="240" w:lineRule="auto" w:before="236" w:after="0"/>
            <w:ind w:left="2697" w:right="0" w:hanging="768"/>
            <w:jc w:val="left"/>
          </w:pPr>
          <w:hyperlink w:history="true" w:anchor="_TOC_250017">
            <w:r>
              <w:rPr/>
              <w:t>Tasa de sustitución y respuesta a</w:t>
            </w:r>
            <w:r>
              <w:rPr>
                <w:spacing w:val="-9"/>
              </w:rPr>
              <w:t> </w:t>
            </w:r>
            <w:r>
              <w:rPr/>
              <w:t>la</w:t>
            </w:r>
            <w:r>
              <w:rPr>
                <w:spacing w:val="4"/>
              </w:rPr>
              <w:t> </w:t>
            </w:r>
            <w:r>
              <w:rPr/>
              <w:t>complementación</w:t>
              <w:tab/>
            </w:r>
            <w:r>
              <w:rPr>
                <w:spacing w:val="19"/>
              </w:rPr>
              <w:t>42</w:t>
            </w:r>
          </w:hyperlink>
        </w:p>
        <w:p>
          <w:pPr>
            <w:pStyle w:val="TOC6"/>
            <w:numPr>
              <w:ilvl w:val="3"/>
              <w:numId w:val="2"/>
            </w:numPr>
            <w:tabs>
              <w:tab w:pos="2650" w:val="left" w:leader="none"/>
              <w:tab w:pos="9021" w:val="right" w:leader="dot"/>
            </w:tabs>
            <w:spacing w:line="240" w:lineRule="auto" w:before="237" w:after="0"/>
            <w:ind w:left="2649" w:right="0" w:hanging="720"/>
            <w:jc w:val="left"/>
          </w:pPr>
          <w:hyperlink w:history="true" w:anchor="_TOC_250016">
            <w:r>
              <w:rPr/>
              <w:t>Complementación</w:t>
            </w:r>
            <w:r>
              <w:rPr>
                <w:spacing w:val="-4"/>
              </w:rPr>
              <w:t> </w:t>
            </w:r>
            <w:r>
              <w:rPr/>
              <w:t>con</w:t>
            </w:r>
            <w:r>
              <w:rPr>
                <w:spacing w:val="-4"/>
              </w:rPr>
              <w:t> </w:t>
            </w:r>
            <w:r>
              <w:rPr/>
              <w:t>concentrados</w:t>
              <w:tab/>
            </w:r>
            <w:r>
              <w:rPr>
                <w:spacing w:val="19"/>
              </w:rPr>
              <w:t>43</w:t>
            </w:r>
          </w:hyperlink>
        </w:p>
        <w:p>
          <w:pPr>
            <w:pStyle w:val="TOC6"/>
            <w:numPr>
              <w:ilvl w:val="3"/>
              <w:numId w:val="2"/>
            </w:numPr>
            <w:tabs>
              <w:tab w:pos="2702" w:val="left" w:leader="none"/>
              <w:tab w:pos="9021" w:val="right" w:leader="dot"/>
            </w:tabs>
            <w:spacing w:line="240" w:lineRule="auto" w:before="241" w:after="0"/>
            <w:ind w:left="2701" w:right="0" w:hanging="772"/>
            <w:jc w:val="left"/>
          </w:pPr>
          <w:hyperlink w:history="true" w:anchor="_TOC_250015">
            <w:r>
              <w:rPr/>
              <w:t>Complementación con ensilado de</w:t>
            </w:r>
            <w:r>
              <w:rPr>
                <w:spacing w:val="-1"/>
              </w:rPr>
              <w:t> </w:t>
            </w:r>
            <w:r>
              <w:rPr>
                <w:spacing w:val="-3"/>
              </w:rPr>
              <w:t>maíz</w:t>
              <w:tab/>
            </w:r>
            <w:r>
              <w:rPr>
                <w:spacing w:val="19"/>
              </w:rPr>
              <w:t>44</w:t>
            </w:r>
          </w:hyperlink>
        </w:p>
        <w:p>
          <w:pPr>
            <w:pStyle w:val="TOC4"/>
            <w:numPr>
              <w:ilvl w:val="1"/>
              <w:numId w:val="2"/>
            </w:numPr>
            <w:tabs>
              <w:tab w:pos="1666" w:val="left" w:leader="none"/>
              <w:tab w:pos="9021" w:val="right" w:leader="dot"/>
            </w:tabs>
            <w:spacing w:line="240" w:lineRule="auto" w:before="236" w:after="0"/>
            <w:ind w:left="1665" w:right="0" w:hanging="442"/>
            <w:jc w:val="left"/>
          </w:pPr>
          <w:hyperlink w:history="true" w:anchor="_TOC_250014">
            <w:r>
              <w:rPr/>
              <w:t>Factores relacionados con el</w:t>
            </w:r>
            <w:r>
              <w:rPr>
                <w:spacing w:val="-3"/>
              </w:rPr>
              <w:t> </w:t>
            </w:r>
            <w:r>
              <w:rPr/>
              <w:t>animal</w:t>
              <w:tab/>
            </w:r>
            <w:r>
              <w:rPr>
                <w:spacing w:val="19"/>
              </w:rPr>
              <w:t>44</w:t>
            </w:r>
          </w:hyperlink>
        </w:p>
        <w:p>
          <w:pPr>
            <w:pStyle w:val="TOC6"/>
            <w:numPr>
              <w:ilvl w:val="2"/>
              <w:numId w:val="2"/>
            </w:numPr>
            <w:tabs>
              <w:tab w:pos="2539" w:val="left" w:leader="none"/>
              <w:tab w:pos="9021" w:val="right" w:leader="dot"/>
            </w:tabs>
            <w:spacing w:line="240" w:lineRule="auto" w:before="237" w:after="0"/>
            <w:ind w:left="2539" w:right="0" w:hanging="610"/>
            <w:jc w:val="left"/>
          </w:pPr>
          <w:hyperlink w:history="true" w:anchor="_TOC_250013">
            <w:r>
              <w:rPr/>
              <w:t>Peso corporal y</w:t>
            </w:r>
            <w:r>
              <w:rPr>
                <w:spacing w:val="-3"/>
              </w:rPr>
              <w:t> </w:t>
            </w:r>
            <w:r>
              <w:rPr/>
              <w:t>estado</w:t>
            </w:r>
            <w:r>
              <w:rPr>
                <w:spacing w:val="-4"/>
              </w:rPr>
              <w:t> </w:t>
            </w:r>
            <w:r>
              <w:rPr/>
              <w:t>fisiológico</w:t>
              <w:tab/>
            </w:r>
            <w:r>
              <w:rPr>
                <w:spacing w:val="19"/>
              </w:rPr>
              <w:t>45</w:t>
            </w:r>
          </w:hyperlink>
        </w:p>
        <w:p>
          <w:pPr>
            <w:pStyle w:val="TOC6"/>
            <w:numPr>
              <w:ilvl w:val="2"/>
              <w:numId w:val="2"/>
            </w:numPr>
            <w:tabs>
              <w:tab w:pos="2539" w:val="left" w:leader="none"/>
              <w:tab w:pos="9021" w:val="right" w:leader="dot"/>
            </w:tabs>
            <w:spacing w:line="240" w:lineRule="auto" w:before="236" w:after="0"/>
            <w:ind w:left="2538" w:right="0" w:hanging="609"/>
            <w:jc w:val="left"/>
          </w:pPr>
          <w:hyperlink w:history="true" w:anchor="_TOC_250012">
            <w:r>
              <w:rPr/>
              <w:t>Relación edad, sexo y</w:t>
            </w:r>
            <w:r>
              <w:rPr>
                <w:spacing w:val="3"/>
              </w:rPr>
              <w:t> </w:t>
            </w:r>
            <w:r>
              <w:rPr/>
              <w:t>estado</w:t>
            </w:r>
            <w:r>
              <w:rPr>
                <w:spacing w:val="-4"/>
              </w:rPr>
              <w:t> </w:t>
            </w:r>
            <w:r>
              <w:rPr/>
              <w:t>nutricional</w:t>
              <w:tab/>
            </w:r>
            <w:r>
              <w:rPr>
                <w:spacing w:val="19"/>
              </w:rPr>
              <w:t>46</w:t>
            </w:r>
          </w:hyperlink>
        </w:p>
        <w:p>
          <w:pPr>
            <w:pStyle w:val="TOC4"/>
            <w:numPr>
              <w:ilvl w:val="1"/>
              <w:numId w:val="2"/>
            </w:numPr>
            <w:tabs>
              <w:tab w:pos="1613" w:val="left" w:leader="none"/>
              <w:tab w:pos="9021" w:val="right" w:leader="dot"/>
            </w:tabs>
            <w:spacing w:line="240" w:lineRule="auto" w:before="241" w:after="0"/>
            <w:ind w:left="1612" w:right="0" w:hanging="389"/>
            <w:jc w:val="left"/>
          </w:pPr>
          <w:hyperlink w:history="true" w:anchor="_TOC_250011">
            <w:r>
              <w:rPr/>
              <w:t>Factores relacionados con el manejo y el</w:t>
            </w:r>
            <w:r>
              <w:rPr>
                <w:spacing w:val="6"/>
              </w:rPr>
              <w:t> </w:t>
            </w:r>
            <w:r>
              <w:rPr/>
              <w:t>medio</w:t>
            </w:r>
            <w:r>
              <w:rPr>
                <w:spacing w:val="-4"/>
              </w:rPr>
              <w:t> </w:t>
            </w:r>
            <w:r>
              <w:rPr/>
              <w:t>ambiente</w:t>
              <w:tab/>
            </w:r>
            <w:r>
              <w:rPr>
                <w:spacing w:val="19"/>
              </w:rPr>
              <w:t>46</w:t>
            </w:r>
          </w:hyperlink>
        </w:p>
        <w:p>
          <w:pPr>
            <w:pStyle w:val="TOC2"/>
            <w:numPr>
              <w:ilvl w:val="0"/>
              <w:numId w:val="2"/>
            </w:numPr>
            <w:tabs>
              <w:tab w:pos="849" w:val="left" w:leader="none"/>
              <w:tab w:pos="9021" w:val="right" w:leader="dot"/>
            </w:tabs>
            <w:spacing w:line="240" w:lineRule="auto" w:before="236" w:after="0"/>
            <w:ind w:left="849" w:right="0" w:hanging="337"/>
            <w:jc w:val="left"/>
          </w:pPr>
          <w:hyperlink w:history="true" w:anchor="_TOC_250010">
            <w:r>
              <w:rPr/>
              <w:t>Determinación del consumo de forraje fresco en ganado lechero</w:t>
            </w:r>
            <w:r>
              <w:rPr>
                <w:spacing w:val="-15"/>
              </w:rPr>
              <w:t> </w:t>
            </w:r>
            <w:r>
              <w:rPr/>
              <w:t>en</w:t>
            </w:r>
            <w:r>
              <w:rPr>
                <w:spacing w:val="-4"/>
              </w:rPr>
              <w:t> </w:t>
            </w:r>
            <w:r>
              <w:rPr/>
              <w:t>pastoreo</w:t>
              <w:tab/>
            </w:r>
            <w:r>
              <w:rPr>
                <w:spacing w:val="19"/>
              </w:rPr>
              <w:t>47</w:t>
            </w:r>
          </w:hyperlink>
        </w:p>
        <w:p>
          <w:pPr>
            <w:pStyle w:val="TOC4"/>
            <w:numPr>
              <w:ilvl w:val="1"/>
              <w:numId w:val="2"/>
            </w:numPr>
            <w:tabs>
              <w:tab w:pos="1723" w:val="left" w:leader="none"/>
              <w:tab w:pos="9021" w:val="right" w:leader="dot"/>
            </w:tabs>
            <w:spacing w:line="240" w:lineRule="auto" w:before="237" w:after="0"/>
            <w:ind w:left="1722" w:right="0" w:hanging="499"/>
            <w:jc w:val="left"/>
          </w:pPr>
          <w:hyperlink w:history="true" w:anchor="_TOC_250009">
            <w:r>
              <w:rPr/>
              <w:t>Método de corte de pradera o desaparición de la</w:t>
            </w:r>
            <w:r>
              <w:rPr>
                <w:spacing w:val="-12"/>
              </w:rPr>
              <w:t> </w:t>
            </w:r>
            <w:r>
              <w:rPr/>
              <w:t>masa</w:t>
            </w:r>
            <w:r>
              <w:rPr>
                <w:spacing w:val="4"/>
              </w:rPr>
              <w:t> </w:t>
            </w:r>
            <w:r>
              <w:rPr/>
              <w:t>forrajera</w:t>
              <w:tab/>
            </w:r>
            <w:r>
              <w:rPr>
                <w:spacing w:val="19"/>
              </w:rPr>
              <w:t>47</w:t>
            </w:r>
          </w:hyperlink>
        </w:p>
        <w:p>
          <w:pPr>
            <w:pStyle w:val="TOC4"/>
            <w:numPr>
              <w:ilvl w:val="1"/>
              <w:numId w:val="2"/>
            </w:numPr>
            <w:tabs>
              <w:tab w:pos="1723" w:val="left" w:leader="none"/>
              <w:tab w:pos="9021" w:val="right" w:leader="dot"/>
            </w:tabs>
            <w:spacing w:line="240" w:lineRule="auto" w:before="236" w:after="0"/>
            <w:ind w:left="1722" w:right="0" w:hanging="499"/>
            <w:jc w:val="left"/>
          </w:pPr>
          <w:hyperlink w:history="true" w:anchor="_TOC_250008">
            <w:r>
              <w:rPr/>
              <w:t>Uso</w:t>
            </w:r>
            <w:r>
              <w:rPr>
                <w:spacing w:val="-3"/>
              </w:rPr>
              <w:t> </w:t>
            </w:r>
            <w:r>
              <w:rPr/>
              <w:t>de</w:t>
            </w:r>
            <w:r>
              <w:rPr>
                <w:spacing w:val="-6"/>
              </w:rPr>
              <w:t> </w:t>
            </w:r>
            <w:r>
              <w:rPr/>
              <w:t>Marcadores</w:t>
              <w:tab/>
            </w:r>
            <w:r>
              <w:rPr>
                <w:spacing w:val="19"/>
              </w:rPr>
              <w:t>48</w:t>
            </w:r>
          </w:hyperlink>
        </w:p>
        <w:p>
          <w:pPr>
            <w:pStyle w:val="TOC4"/>
            <w:numPr>
              <w:ilvl w:val="1"/>
              <w:numId w:val="2"/>
            </w:numPr>
            <w:tabs>
              <w:tab w:pos="1723" w:val="left" w:leader="none"/>
              <w:tab w:pos="9021" w:val="right" w:leader="dot"/>
            </w:tabs>
            <w:spacing w:line="240" w:lineRule="auto" w:before="241" w:after="0"/>
            <w:ind w:left="1722" w:right="0" w:hanging="499"/>
            <w:jc w:val="left"/>
          </w:pPr>
          <w:hyperlink w:history="true" w:anchor="_TOC_250007">
            <w:r>
              <w:rPr/>
              <w:t>Determinación del consumo de forraje mediante el</w:t>
            </w:r>
            <w:r>
              <w:rPr>
                <w:spacing w:val="-12"/>
              </w:rPr>
              <w:t> </w:t>
            </w:r>
            <w:r>
              <w:rPr/>
              <w:t>rendimiento</w:t>
            </w:r>
            <w:r>
              <w:rPr>
                <w:spacing w:val="-4"/>
              </w:rPr>
              <w:t> </w:t>
            </w:r>
            <w:r>
              <w:rPr/>
              <w:t>animal</w:t>
              <w:tab/>
            </w:r>
            <w:r>
              <w:rPr>
                <w:spacing w:val="19"/>
              </w:rPr>
              <w:t>49</w:t>
            </w:r>
          </w:hyperlink>
        </w:p>
        <w:p>
          <w:pPr>
            <w:pStyle w:val="TOC1"/>
            <w:numPr>
              <w:ilvl w:val="0"/>
              <w:numId w:val="3"/>
            </w:numPr>
            <w:tabs>
              <w:tab w:pos="845" w:val="left" w:leader="none"/>
              <w:tab w:pos="9021" w:val="right" w:leader="dot"/>
            </w:tabs>
            <w:spacing w:line="240" w:lineRule="auto" w:before="237" w:after="0"/>
            <w:ind w:left="844" w:right="0" w:hanging="332"/>
            <w:jc w:val="left"/>
            <w:rPr>
              <w:b w:val="0"/>
            </w:rPr>
          </w:pPr>
          <w:hyperlink w:history="true" w:anchor="_TOC_250006">
            <w:r>
              <w:rPr/>
              <w:t>JUSTIFICACIÓN</w:t>
            </w:r>
            <w:r>
              <w:rPr>
                <w:b w:val="0"/>
              </w:rPr>
              <w:tab/>
            </w:r>
            <w:r>
              <w:rPr>
                <w:b w:val="0"/>
                <w:spacing w:val="19"/>
              </w:rPr>
              <w:t>51</w:t>
            </w:r>
          </w:hyperlink>
        </w:p>
        <w:p>
          <w:pPr>
            <w:pStyle w:val="TOC3"/>
            <w:numPr>
              <w:ilvl w:val="0"/>
              <w:numId w:val="3"/>
            </w:numPr>
            <w:tabs>
              <w:tab w:pos="854" w:val="left" w:leader="none"/>
              <w:tab w:pos="9021" w:val="right" w:leader="dot"/>
            </w:tabs>
            <w:spacing w:line="240" w:lineRule="auto" w:before="236" w:after="0"/>
            <w:ind w:left="853" w:right="0" w:hanging="341"/>
            <w:jc w:val="left"/>
            <w:rPr>
              <w:b w:val="0"/>
              <w:i w:val="0"/>
              <w:sz w:val="22"/>
            </w:rPr>
          </w:pPr>
          <w:hyperlink w:history="true" w:anchor="_TOC_250005">
            <w:r>
              <w:rPr>
                <w:i w:val="0"/>
                <w:sz w:val="22"/>
              </w:rPr>
              <w:t>HIPÓTESIS</w:t>
            </w:r>
            <w:r>
              <w:rPr>
                <w:b w:val="0"/>
                <w:i w:val="0"/>
                <w:sz w:val="22"/>
              </w:rPr>
              <w:tab/>
            </w:r>
            <w:r>
              <w:rPr>
                <w:b w:val="0"/>
                <w:i w:val="0"/>
                <w:spacing w:val="19"/>
                <w:sz w:val="22"/>
              </w:rPr>
              <w:t>52</w:t>
            </w:r>
          </w:hyperlink>
        </w:p>
        <w:p>
          <w:pPr>
            <w:pStyle w:val="TOC3"/>
            <w:numPr>
              <w:ilvl w:val="0"/>
              <w:numId w:val="3"/>
            </w:numPr>
            <w:tabs>
              <w:tab w:pos="782" w:val="left" w:leader="none"/>
              <w:tab w:pos="9021" w:val="right" w:leader="dot"/>
            </w:tabs>
            <w:spacing w:line="240" w:lineRule="auto" w:before="222" w:after="0"/>
            <w:ind w:left="781" w:right="0" w:hanging="269"/>
            <w:jc w:val="left"/>
            <w:rPr>
              <w:b w:val="0"/>
              <w:i w:val="0"/>
              <w:sz w:val="22"/>
            </w:rPr>
          </w:pPr>
          <w:hyperlink w:history="true" w:anchor="_TOC_250004">
            <w:r>
              <w:rPr>
                <w:i w:val="0"/>
                <w:sz w:val="22"/>
              </w:rPr>
              <w:t>OBJETIVOS</w:t>
            </w:r>
            <w:r>
              <w:rPr>
                <w:b w:val="0"/>
                <w:i w:val="0"/>
                <w:sz w:val="22"/>
              </w:rPr>
              <w:tab/>
            </w:r>
            <w:r>
              <w:rPr>
                <w:b w:val="0"/>
                <w:i w:val="0"/>
                <w:spacing w:val="19"/>
                <w:sz w:val="22"/>
              </w:rPr>
              <w:t>53</w:t>
            </w:r>
          </w:hyperlink>
        </w:p>
        <w:p>
          <w:pPr>
            <w:pStyle w:val="TOC1"/>
            <w:numPr>
              <w:ilvl w:val="0"/>
              <w:numId w:val="3"/>
            </w:numPr>
            <w:tabs>
              <w:tab w:pos="854" w:val="left" w:leader="none"/>
              <w:tab w:pos="8762" w:val="left" w:leader="dot"/>
            </w:tabs>
            <w:spacing w:line="240" w:lineRule="auto" w:before="382" w:after="0"/>
            <w:ind w:left="853" w:right="0" w:hanging="341"/>
            <w:jc w:val="left"/>
            <w:rPr>
              <w:b w:val="0"/>
            </w:rPr>
          </w:pPr>
          <w:hyperlink w:history="true" w:anchor="_TOC_250003">
            <w:r>
              <w:rPr/>
              <w:t>MATERIAL</w:t>
            </w:r>
            <w:r>
              <w:rPr>
                <w:spacing w:val="2"/>
              </w:rPr>
              <w:t> </w:t>
            </w:r>
            <w:r>
              <w:rPr/>
              <w:t>Y</w:t>
            </w:r>
            <w:r>
              <w:rPr>
                <w:spacing w:val="-5"/>
              </w:rPr>
              <w:t> </w:t>
            </w:r>
            <w:r>
              <w:rPr/>
              <w:t>MÉTODOS</w:t>
            </w:r>
            <w:r>
              <w:rPr>
                <w:b w:val="0"/>
              </w:rPr>
              <w:tab/>
            </w:r>
            <w:r>
              <w:rPr>
                <w:b w:val="0"/>
                <w:spacing w:val="19"/>
              </w:rPr>
              <w:t>54</w:t>
            </w:r>
          </w:hyperlink>
        </w:p>
        <w:p>
          <w:pPr>
            <w:pStyle w:val="TOC1"/>
            <w:numPr>
              <w:ilvl w:val="0"/>
              <w:numId w:val="3"/>
            </w:numPr>
            <w:tabs>
              <w:tab w:pos="931" w:val="left" w:leader="none"/>
              <w:tab w:pos="8762" w:val="left" w:leader="dot"/>
            </w:tabs>
            <w:spacing w:line="240" w:lineRule="auto" w:before="236" w:after="0"/>
            <w:ind w:left="930" w:right="0" w:hanging="418"/>
            <w:jc w:val="left"/>
            <w:rPr>
              <w:b w:val="0"/>
            </w:rPr>
          </w:pPr>
          <w:hyperlink w:history="true" w:anchor="_TOC_250002">
            <w:r>
              <w:rPr/>
              <w:t>RESULTADOS</w:t>
            </w:r>
            <w:r>
              <w:rPr>
                <w:spacing w:val="2"/>
              </w:rPr>
              <w:t> </w:t>
            </w:r>
            <w:r>
              <w:rPr/>
              <w:t>Y</w:t>
            </w:r>
            <w:r>
              <w:rPr>
                <w:spacing w:val="-6"/>
              </w:rPr>
              <w:t> </w:t>
            </w:r>
            <w:r>
              <w:rPr/>
              <w:t>DISCUSIÓN</w:t>
            </w:r>
            <w:r>
              <w:rPr>
                <w:b w:val="0"/>
              </w:rPr>
              <w:tab/>
            </w:r>
            <w:r>
              <w:rPr>
                <w:b w:val="0"/>
                <w:spacing w:val="19"/>
              </w:rPr>
              <w:t>61</w:t>
            </w:r>
          </w:hyperlink>
        </w:p>
        <w:p>
          <w:pPr>
            <w:pStyle w:val="TOC3"/>
            <w:numPr>
              <w:ilvl w:val="0"/>
              <w:numId w:val="3"/>
            </w:numPr>
            <w:tabs>
              <w:tab w:pos="1003" w:val="left" w:leader="none"/>
              <w:tab w:pos="8762" w:val="left" w:leader="dot"/>
            </w:tabs>
            <w:spacing w:line="240" w:lineRule="auto" w:before="237" w:after="0"/>
            <w:ind w:left="1002" w:right="0" w:hanging="490"/>
            <w:jc w:val="left"/>
            <w:rPr>
              <w:b w:val="0"/>
              <w:i w:val="0"/>
              <w:sz w:val="22"/>
            </w:rPr>
          </w:pPr>
          <w:hyperlink w:history="true" w:anchor="_TOC_250001">
            <w:r>
              <w:rPr>
                <w:i w:val="0"/>
                <w:sz w:val="22"/>
              </w:rPr>
              <w:t>CONCLUSION</w:t>
            </w:r>
            <w:r>
              <w:rPr>
                <w:b w:val="0"/>
                <w:i w:val="0"/>
                <w:sz w:val="22"/>
              </w:rPr>
              <w:tab/>
            </w:r>
            <w:r>
              <w:rPr>
                <w:b w:val="0"/>
                <w:i w:val="0"/>
                <w:spacing w:val="19"/>
                <w:sz w:val="22"/>
              </w:rPr>
              <w:t>74</w:t>
            </w:r>
          </w:hyperlink>
        </w:p>
        <w:p>
          <w:pPr>
            <w:pStyle w:val="TOC1"/>
            <w:numPr>
              <w:ilvl w:val="0"/>
              <w:numId w:val="3"/>
            </w:numPr>
            <w:tabs>
              <w:tab w:pos="859" w:val="left" w:leader="none"/>
              <w:tab w:pos="8762" w:val="left" w:leader="dot"/>
            </w:tabs>
            <w:spacing w:line="240" w:lineRule="auto" w:before="241" w:after="0"/>
            <w:ind w:left="858" w:right="0" w:hanging="346"/>
            <w:jc w:val="left"/>
            <w:rPr>
              <w:b w:val="0"/>
            </w:rPr>
          </w:pPr>
          <w:hyperlink w:history="true" w:anchor="_TOC_250000">
            <w:r>
              <w:rPr/>
              <w:t>LITERATURA</w:t>
            </w:r>
            <w:r>
              <w:rPr>
                <w:spacing w:val="-6"/>
              </w:rPr>
              <w:t> </w:t>
            </w:r>
            <w:r>
              <w:rPr/>
              <w:t>CITADA</w:t>
            </w:r>
            <w:r>
              <w:rPr>
                <w:b w:val="0"/>
              </w:rPr>
              <w:tab/>
            </w:r>
            <w:r>
              <w:rPr>
                <w:b w:val="0"/>
                <w:spacing w:val="19"/>
              </w:rPr>
              <w:t>75</w:t>
            </w:r>
          </w:hyperlink>
        </w:p>
        <w:p>
          <w:pPr>
            <w:pStyle w:val="TOC3"/>
            <w:numPr>
              <w:ilvl w:val="0"/>
              <w:numId w:val="3"/>
            </w:numPr>
            <w:tabs>
              <w:tab w:pos="787" w:val="left" w:leader="none"/>
              <w:tab w:pos="8762" w:val="left" w:leader="dot"/>
            </w:tabs>
            <w:spacing w:line="240" w:lineRule="auto" w:before="236" w:after="0"/>
            <w:ind w:left="786" w:right="0" w:hanging="274"/>
            <w:jc w:val="left"/>
            <w:rPr>
              <w:b w:val="0"/>
              <w:i w:val="0"/>
              <w:sz w:val="22"/>
            </w:rPr>
          </w:pPr>
          <w:r>
            <w:rPr>
              <w:i w:val="0"/>
              <w:sz w:val="22"/>
            </w:rPr>
            <w:t>ANEXOS</w:t>
          </w:r>
          <w:r>
            <w:rPr>
              <w:b w:val="0"/>
              <w:i w:val="0"/>
              <w:sz w:val="22"/>
            </w:rPr>
            <w:tab/>
          </w:r>
          <w:r>
            <w:rPr>
              <w:b w:val="0"/>
              <w:i w:val="0"/>
              <w:spacing w:val="19"/>
              <w:sz w:val="22"/>
            </w:rPr>
            <w:t>97</w:t>
          </w:r>
        </w:p>
        <w:p>
          <w:pPr>
            <w:pStyle w:val="TOC2"/>
            <w:tabs>
              <w:tab w:pos="8762" w:val="left" w:leader="dot"/>
            </w:tabs>
            <w:spacing w:before="237"/>
            <w:ind w:left="512" w:right="105" w:firstLine="0"/>
          </w:pPr>
          <w:r>
            <w:rPr>
              <w:b/>
            </w:rPr>
            <w:t>Anexo 1. </w:t>
          </w:r>
          <w:r>
            <w:rPr/>
            <w:t>Artículo científico para</w:t>
          </w:r>
          <w:r>
            <w:rPr>
              <w:spacing w:val="-20"/>
            </w:rPr>
            <w:t> </w:t>
          </w:r>
          <w:r>
            <w:rPr/>
            <w:t>revista</w:t>
          </w:r>
          <w:r>
            <w:rPr>
              <w:spacing w:val="1"/>
            </w:rPr>
            <w:t> </w:t>
          </w:r>
          <w:r>
            <w:rPr/>
            <w:t>Agrociencia</w:t>
            <w:tab/>
          </w:r>
          <w:r>
            <w:rPr>
              <w:spacing w:val="19"/>
            </w:rPr>
            <w:t>97</w:t>
          </w:r>
        </w:p>
        <w:p>
          <w:pPr>
            <w:pStyle w:val="TOC2"/>
            <w:tabs>
              <w:tab w:pos="8637" w:val="left" w:leader="dot"/>
            </w:tabs>
            <w:spacing w:line="273" w:lineRule="auto" w:before="241"/>
            <w:ind w:left="512" w:right="461" w:firstLine="0"/>
          </w:pPr>
          <w:r>
            <w:rPr>
              <w:b/>
            </w:rPr>
            <w:t>Anexo 2. </w:t>
          </w:r>
          <w:r>
            <w:rPr/>
            <w:t>Memorias en Congreso XL Reunión de la Asociación Mexicana para la Producción Animal y Seguridad Alimentaria, </w:t>
          </w:r>
          <w:r>
            <w:rPr>
              <w:spacing w:val="-3"/>
            </w:rPr>
            <w:t>A.</w:t>
          </w:r>
          <w:r>
            <w:rPr>
              <w:spacing w:val="-4"/>
            </w:rPr>
            <w:t> </w:t>
          </w:r>
          <w:r>
            <w:rPr/>
            <w:t>C.</w:t>
          </w:r>
          <w:r>
            <w:rPr>
              <w:spacing w:val="2"/>
            </w:rPr>
            <w:t> </w:t>
          </w:r>
          <w:r>
            <w:rPr>
              <w:spacing w:val="-2"/>
            </w:rPr>
            <w:t>(AMPA)</w:t>
            <w:tab/>
          </w:r>
          <w:r>
            <w:rPr>
              <w:spacing w:val="9"/>
            </w:rPr>
            <w:t>118</w:t>
          </w:r>
        </w:p>
      </w:sdtContent>
    </w:sdt>
    <w:p>
      <w:pPr>
        <w:spacing w:after="0" w:line="273" w:lineRule="auto"/>
        <w:sectPr>
          <w:type w:val="continuous"/>
          <w:pgSz w:w="12240" w:h="15840"/>
          <w:pgMar w:top="1424" w:bottom="1901" w:left="1360" w:right="1420"/>
        </w:sectPr>
      </w:pPr>
    </w:p>
    <w:p>
      <w:pPr>
        <w:pStyle w:val="BodyText"/>
        <w:rPr>
          <w:sz w:val="22"/>
        </w:rPr>
      </w:pPr>
    </w:p>
    <w:p>
      <w:pPr>
        <w:spacing w:before="134"/>
        <w:ind w:left="495" w:right="126" w:firstLine="0"/>
        <w:jc w:val="center"/>
        <w:rPr>
          <w:b/>
          <w:sz w:val="22"/>
        </w:rPr>
      </w:pPr>
      <w:r>
        <w:rPr>
          <w:b/>
          <w:sz w:val="22"/>
        </w:rPr>
        <w:t>INDICE  DE CUADROS</w:t>
      </w:r>
    </w:p>
    <w:p>
      <w:pPr>
        <w:pStyle w:val="BodyText"/>
        <w:rPr>
          <w:b/>
          <w:sz w:val="22"/>
        </w:rPr>
      </w:pPr>
    </w:p>
    <w:p>
      <w:pPr>
        <w:pStyle w:val="BodyText"/>
        <w:rPr>
          <w:b/>
          <w:sz w:val="22"/>
        </w:rPr>
      </w:pPr>
    </w:p>
    <w:p>
      <w:pPr>
        <w:pStyle w:val="BodyText"/>
        <w:spacing w:before="9"/>
        <w:rPr>
          <w:b/>
          <w:sz w:val="18"/>
        </w:rPr>
      </w:pPr>
    </w:p>
    <w:p>
      <w:pPr>
        <w:tabs>
          <w:tab w:pos="9021" w:val="left" w:leader="dot"/>
        </w:tabs>
        <w:spacing w:before="0"/>
        <w:ind w:left="512" w:right="105" w:firstLine="0"/>
        <w:jc w:val="left"/>
        <w:rPr>
          <w:sz w:val="22"/>
        </w:rPr>
      </w:pPr>
      <w:r>
        <w:rPr>
          <w:sz w:val="22"/>
        </w:rPr>
        <w:t>Cuadro 1. Composición química de la leche procedente de distintas</w:t>
      </w:r>
      <w:r>
        <w:rPr>
          <w:spacing w:val="-29"/>
          <w:sz w:val="22"/>
        </w:rPr>
        <w:t> </w:t>
      </w:r>
      <w:r>
        <w:rPr>
          <w:sz w:val="22"/>
        </w:rPr>
        <w:t>especies</w:t>
      </w:r>
      <w:r>
        <w:rPr>
          <w:spacing w:val="-1"/>
          <w:sz w:val="22"/>
        </w:rPr>
        <w:t> </w:t>
      </w:r>
      <w:r>
        <w:rPr>
          <w:sz w:val="22"/>
        </w:rPr>
        <w:t>domésticas</w:t>
        <w:tab/>
        <w:t>10</w:t>
      </w:r>
    </w:p>
    <w:p>
      <w:pPr>
        <w:pStyle w:val="BodyText"/>
        <w:spacing w:before="5"/>
        <w:rPr>
          <w:sz w:val="28"/>
        </w:rPr>
      </w:pPr>
    </w:p>
    <w:p>
      <w:pPr>
        <w:tabs>
          <w:tab w:pos="9021" w:val="left" w:leader="dot"/>
        </w:tabs>
        <w:spacing w:before="1"/>
        <w:ind w:left="512" w:right="105" w:firstLine="0"/>
        <w:jc w:val="left"/>
        <w:rPr>
          <w:sz w:val="22"/>
        </w:rPr>
      </w:pPr>
      <w:r>
        <w:rPr>
          <w:sz w:val="22"/>
        </w:rPr>
        <w:t>Cuadro 2. Composición de ácidos grasos de la leche</w:t>
      </w:r>
      <w:r>
        <w:rPr>
          <w:spacing w:val="-20"/>
          <w:sz w:val="22"/>
        </w:rPr>
        <w:t> </w:t>
      </w:r>
      <w:r>
        <w:rPr>
          <w:sz w:val="22"/>
        </w:rPr>
        <w:t>de</w:t>
      </w:r>
      <w:r>
        <w:rPr>
          <w:spacing w:val="-2"/>
          <w:sz w:val="22"/>
        </w:rPr>
        <w:t> </w:t>
      </w:r>
      <w:r>
        <w:rPr>
          <w:sz w:val="22"/>
        </w:rPr>
        <w:t>bovino</w:t>
        <w:tab/>
        <w:t>19</w:t>
      </w:r>
    </w:p>
    <w:p>
      <w:pPr>
        <w:pStyle w:val="BodyText"/>
        <w:spacing w:before="5"/>
        <w:rPr>
          <w:sz w:val="28"/>
        </w:rPr>
      </w:pPr>
    </w:p>
    <w:p>
      <w:pPr>
        <w:tabs>
          <w:tab w:pos="9021" w:val="left" w:leader="dot"/>
        </w:tabs>
        <w:spacing w:before="1"/>
        <w:ind w:left="512" w:right="105" w:firstLine="0"/>
        <w:jc w:val="left"/>
        <w:rPr>
          <w:sz w:val="22"/>
        </w:rPr>
      </w:pPr>
      <w:r>
        <w:rPr>
          <w:sz w:val="22"/>
        </w:rPr>
        <w:t>Cuadro 3. Ingredientes usados en la elaboración del</w:t>
      </w:r>
      <w:r>
        <w:rPr>
          <w:spacing w:val="-16"/>
          <w:sz w:val="22"/>
        </w:rPr>
        <w:t> </w:t>
      </w:r>
      <w:r>
        <w:rPr>
          <w:sz w:val="22"/>
        </w:rPr>
        <w:t>concentrado</w:t>
      </w:r>
      <w:r>
        <w:rPr>
          <w:spacing w:val="-6"/>
          <w:sz w:val="22"/>
        </w:rPr>
        <w:t> </w:t>
      </w:r>
      <w:r>
        <w:rPr>
          <w:sz w:val="22"/>
        </w:rPr>
        <w:t>suministrado</w:t>
        <w:tab/>
        <w:t>55</w:t>
      </w:r>
    </w:p>
    <w:p>
      <w:pPr>
        <w:pStyle w:val="BodyText"/>
        <w:spacing w:before="11"/>
        <w:rPr>
          <w:sz w:val="28"/>
        </w:rPr>
      </w:pPr>
    </w:p>
    <w:p>
      <w:pPr>
        <w:tabs>
          <w:tab w:pos="9021" w:val="left" w:leader="dot"/>
        </w:tabs>
        <w:spacing w:line="355" w:lineRule="auto" w:before="0"/>
        <w:ind w:left="512" w:right="215" w:firstLine="0"/>
        <w:jc w:val="left"/>
        <w:rPr>
          <w:sz w:val="22"/>
        </w:rPr>
      </w:pPr>
      <w:r>
        <w:rPr>
          <w:sz w:val="22"/>
        </w:rPr>
        <w:t>Cuadro 4. Composición química y contenido de ácidos grasos del ensilado de maíz, forraje y concentrado</w:t>
        <w:tab/>
        <w:t>61</w:t>
      </w:r>
    </w:p>
    <w:p>
      <w:pPr>
        <w:pStyle w:val="BodyText"/>
        <w:spacing w:before="3"/>
        <w:rPr>
          <w:sz w:val="18"/>
        </w:rPr>
      </w:pPr>
    </w:p>
    <w:p>
      <w:pPr>
        <w:tabs>
          <w:tab w:pos="9021" w:val="left" w:leader="dot"/>
        </w:tabs>
        <w:spacing w:line="360" w:lineRule="auto" w:before="1"/>
        <w:ind w:left="512" w:right="215" w:firstLine="0"/>
        <w:jc w:val="left"/>
        <w:rPr>
          <w:sz w:val="22"/>
        </w:rPr>
      </w:pPr>
      <w:r>
        <w:rPr>
          <w:sz w:val="22"/>
        </w:rPr>
        <w:t>Cuadro 5. Consumo de materia seca, producción, composición química de la leche de vacas Holstein y Pardo Suizo en pastoreo complementadas </w:t>
      </w:r>
      <w:r>
        <w:rPr>
          <w:spacing w:val="-3"/>
          <w:sz w:val="22"/>
        </w:rPr>
        <w:t>con </w:t>
      </w:r>
      <w:r>
        <w:rPr>
          <w:sz w:val="22"/>
        </w:rPr>
        <w:t>distintos niveles de concentrado en </w:t>
      </w:r>
      <w:r>
        <w:rPr>
          <w:spacing w:val="-4"/>
          <w:sz w:val="22"/>
        </w:rPr>
        <w:t>el </w:t>
      </w:r>
      <w:r>
        <w:rPr>
          <w:sz w:val="22"/>
        </w:rPr>
        <w:t>Valle de</w:t>
      </w:r>
      <w:r>
        <w:rPr>
          <w:spacing w:val="-8"/>
          <w:sz w:val="22"/>
        </w:rPr>
        <w:t> </w:t>
      </w:r>
      <w:r>
        <w:rPr>
          <w:sz w:val="22"/>
        </w:rPr>
        <w:t>Toluca,</w:t>
      </w:r>
      <w:r>
        <w:rPr>
          <w:spacing w:val="2"/>
          <w:sz w:val="22"/>
        </w:rPr>
        <w:t> </w:t>
      </w:r>
      <w:r>
        <w:rPr>
          <w:sz w:val="22"/>
        </w:rPr>
        <w:t>México</w:t>
        <w:tab/>
        <w:t>63</w:t>
      </w:r>
    </w:p>
    <w:p>
      <w:pPr>
        <w:pStyle w:val="BodyText"/>
        <w:spacing w:before="10"/>
        <w:rPr>
          <w:sz w:val="17"/>
        </w:rPr>
      </w:pPr>
    </w:p>
    <w:p>
      <w:pPr>
        <w:tabs>
          <w:tab w:pos="9021" w:val="left" w:leader="dot"/>
        </w:tabs>
        <w:spacing w:line="355" w:lineRule="auto" w:before="0"/>
        <w:ind w:left="512" w:right="215" w:firstLine="0"/>
        <w:jc w:val="left"/>
        <w:rPr>
          <w:sz w:val="22"/>
        </w:rPr>
      </w:pPr>
      <w:r>
        <w:rPr>
          <w:sz w:val="22"/>
        </w:rPr>
        <w:t>Cuadro 6. Efecto de la interacción nivel de concentrado con el genotipo sobre el perfil de ácidos grasos de la leche de vacas </w:t>
      </w:r>
      <w:r>
        <w:rPr>
          <w:spacing w:val="-4"/>
          <w:sz w:val="22"/>
        </w:rPr>
        <w:t>en </w:t>
      </w:r>
      <w:r>
        <w:rPr>
          <w:sz w:val="22"/>
        </w:rPr>
        <w:t>pastoreo en el Valle de</w:t>
      </w:r>
      <w:r>
        <w:rPr>
          <w:spacing w:val="-13"/>
          <w:sz w:val="22"/>
        </w:rPr>
        <w:t> </w:t>
      </w:r>
      <w:r>
        <w:rPr>
          <w:sz w:val="22"/>
        </w:rPr>
        <w:t>Toluca,</w:t>
      </w:r>
      <w:r>
        <w:rPr>
          <w:spacing w:val="2"/>
          <w:sz w:val="22"/>
        </w:rPr>
        <w:t> </w:t>
      </w:r>
      <w:r>
        <w:rPr>
          <w:sz w:val="22"/>
        </w:rPr>
        <w:t>México</w:t>
        <w:tab/>
        <w:t>68</w:t>
      </w:r>
    </w:p>
    <w:p>
      <w:pPr>
        <w:pStyle w:val="BodyText"/>
        <w:spacing w:before="9"/>
        <w:rPr>
          <w:sz w:val="18"/>
        </w:rPr>
      </w:pPr>
    </w:p>
    <w:p>
      <w:pPr>
        <w:tabs>
          <w:tab w:pos="9021" w:val="left" w:leader="dot"/>
        </w:tabs>
        <w:spacing w:line="355" w:lineRule="auto" w:before="0"/>
        <w:ind w:left="512" w:right="215" w:firstLine="0"/>
        <w:jc w:val="left"/>
        <w:rPr>
          <w:sz w:val="22"/>
        </w:rPr>
      </w:pPr>
      <w:r>
        <w:rPr>
          <w:sz w:val="22"/>
        </w:rPr>
        <w:t>Cuadro 7. Perfil de ácidos grasos </w:t>
      </w:r>
      <w:r>
        <w:rPr>
          <w:spacing w:val="-3"/>
          <w:sz w:val="22"/>
        </w:rPr>
        <w:t>de </w:t>
      </w:r>
      <w:r>
        <w:rPr>
          <w:sz w:val="22"/>
        </w:rPr>
        <w:t>la leche de vacas Holstein y Pardo Suizo en pastoreo complementadas con distintos niveles de concentrado en </w:t>
      </w:r>
      <w:r>
        <w:rPr>
          <w:spacing w:val="-4"/>
          <w:sz w:val="22"/>
        </w:rPr>
        <w:t>el </w:t>
      </w:r>
      <w:r>
        <w:rPr>
          <w:sz w:val="22"/>
        </w:rPr>
        <w:t>Valle de</w:t>
      </w:r>
      <w:r>
        <w:rPr>
          <w:spacing w:val="-22"/>
          <w:sz w:val="22"/>
        </w:rPr>
        <w:t> </w:t>
      </w:r>
      <w:r>
        <w:rPr>
          <w:sz w:val="22"/>
        </w:rPr>
        <w:t>Toluca,</w:t>
      </w:r>
      <w:r>
        <w:rPr>
          <w:spacing w:val="1"/>
          <w:sz w:val="22"/>
        </w:rPr>
        <w:t> </w:t>
      </w:r>
      <w:r>
        <w:rPr>
          <w:sz w:val="22"/>
        </w:rPr>
        <w:t>México</w:t>
        <w:tab/>
        <w:t>69</w:t>
      </w:r>
    </w:p>
    <w:p>
      <w:pPr>
        <w:spacing w:after="0" w:line="355" w:lineRule="auto"/>
        <w:jc w:val="left"/>
        <w:rPr>
          <w:sz w:val="22"/>
        </w:rPr>
        <w:sectPr>
          <w:footerReference w:type="default" r:id="rId8"/>
          <w:pgSz w:w="12240" w:h="15840"/>
          <w:pgMar w:footer="1382" w:header="1150" w:top="1420" w:bottom="1580" w:left="1360" w:right="1420"/>
          <w:pgNumType w:start="9"/>
        </w:sect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524" w:right="123" w:firstLine="0"/>
        <w:jc w:val="center"/>
        <w:rPr>
          <w:b/>
          <w:sz w:val="22"/>
        </w:rPr>
      </w:pPr>
      <w:r>
        <w:rPr>
          <w:b/>
          <w:sz w:val="22"/>
        </w:rPr>
        <w:t>ÍNDICE DE FIGURAS</w:t>
      </w:r>
    </w:p>
    <w:p>
      <w:pPr>
        <w:tabs>
          <w:tab w:pos="8911" w:val="left" w:leader="dot"/>
        </w:tabs>
        <w:spacing w:before="721"/>
        <w:ind w:left="512" w:right="105" w:firstLine="0"/>
        <w:jc w:val="left"/>
        <w:rPr>
          <w:sz w:val="22"/>
        </w:rPr>
      </w:pPr>
      <w:r>
        <w:rPr>
          <w:sz w:val="22"/>
        </w:rPr>
        <w:t>Figura </w:t>
      </w:r>
      <w:r>
        <w:rPr>
          <w:spacing w:val="-3"/>
          <w:sz w:val="22"/>
        </w:rPr>
        <w:t>1. </w:t>
      </w:r>
      <w:r>
        <w:rPr>
          <w:sz w:val="22"/>
        </w:rPr>
        <w:t>Producción nacional anual de leche</w:t>
      </w:r>
      <w:r>
        <w:rPr>
          <w:spacing w:val="-8"/>
          <w:sz w:val="22"/>
        </w:rPr>
        <w:t> </w:t>
      </w:r>
      <w:r>
        <w:rPr>
          <w:sz w:val="22"/>
        </w:rPr>
        <w:t>de</w:t>
      </w:r>
      <w:r>
        <w:rPr>
          <w:spacing w:val="-6"/>
          <w:sz w:val="22"/>
        </w:rPr>
        <w:t> </w:t>
      </w:r>
      <w:r>
        <w:rPr>
          <w:sz w:val="22"/>
        </w:rPr>
        <w:t>bovino</w:t>
        <w:tab/>
        <w:t>4</w:t>
      </w:r>
    </w:p>
    <w:p>
      <w:pPr>
        <w:tabs>
          <w:tab w:pos="8911" w:val="left" w:leader="dot"/>
        </w:tabs>
        <w:spacing w:before="328"/>
        <w:ind w:left="512" w:right="105" w:firstLine="0"/>
        <w:jc w:val="left"/>
        <w:rPr>
          <w:sz w:val="22"/>
        </w:rPr>
      </w:pPr>
      <w:r>
        <w:rPr>
          <w:sz w:val="22"/>
        </w:rPr>
        <w:t>Figura </w:t>
      </w:r>
      <w:r>
        <w:rPr>
          <w:spacing w:val="-3"/>
          <w:sz w:val="22"/>
        </w:rPr>
        <w:t>2. </w:t>
      </w:r>
      <w:r>
        <w:rPr>
          <w:sz w:val="22"/>
        </w:rPr>
        <w:t>Producción de leche por estado para</w:t>
      </w:r>
      <w:r>
        <w:rPr>
          <w:spacing w:val="-2"/>
          <w:sz w:val="22"/>
        </w:rPr>
        <w:t> </w:t>
      </w:r>
      <w:r>
        <w:rPr>
          <w:spacing w:val="-4"/>
          <w:sz w:val="22"/>
        </w:rPr>
        <w:t>el</w:t>
      </w:r>
      <w:r>
        <w:rPr>
          <w:spacing w:val="-3"/>
          <w:sz w:val="22"/>
        </w:rPr>
        <w:t> </w:t>
      </w:r>
      <w:r>
        <w:rPr>
          <w:sz w:val="22"/>
        </w:rPr>
        <w:t>2011</w:t>
        <w:tab/>
        <w:t>5</w:t>
      </w:r>
    </w:p>
    <w:p>
      <w:pPr>
        <w:tabs>
          <w:tab w:pos="8911" w:val="left" w:leader="dot"/>
        </w:tabs>
        <w:spacing w:before="328"/>
        <w:ind w:left="512" w:right="105" w:firstLine="0"/>
        <w:jc w:val="left"/>
        <w:rPr>
          <w:sz w:val="22"/>
        </w:rPr>
      </w:pPr>
      <w:r>
        <w:rPr>
          <w:sz w:val="22"/>
        </w:rPr>
        <w:t>Figura </w:t>
      </w:r>
      <w:r>
        <w:rPr>
          <w:spacing w:val="-3"/>
          <w:sz w:val="22"/>
        </w:rPr>
        <w:t>3. </w:t>
      </w:r>
      <w:r>
        <w:rPr>
          <w:sz w:val="22"/>
        </w:rPr>
        <w:t>Producción de leche por distritos en </w:t>
      </w:r>
      <w:r>
        <w:rPr>
          <w:spacing w:val="-4"/>
          <w:sz w:val="22"/>
        </w:rPr>
        <w:t>el </w:t>
      </w:r>
      <w:r>
        <w:rPr>
          <w:sz w:val="22"/>
        </w:rPr>
        <w:t>Estado de México para</w:t>
      </w:r>
      <w:r>
        <w:rPr>
          <w:spacing w:val="5"/>
          <w:sz w:val="22"/>
        </w:rPr>
        <w:t> </w:t>
      </w:r>
      <w:r>
        <w:rPr>
          <w:spacing w:val="-4"/>
          <w:sz w:val="22"/>
        </w:rPr>
        <w:t>el</w:t>
      </w:r>
      <w:r>
        <w:rPr>
          <w:spacing w:val="-3"/>
          <w:sz w:val="22"/>
        </w:rPr>
        <w:t> </w:t>
      </w:r>
      <w:r>
        <w:rPr>
          <w:sz w:val="22"/>
        </w:rPr>
        <w:t>2011</w:t>
        <w:tab/>
        <w:t>5</w:t>
      </w:r>
    </w:p>
    <w:p>
      <w:pPr>
        <w:tabs>
          <w:tab w:pos="8911" w:val="left" w:leader="dot"/>
        </w:tabs>
        <w:spacing w:before="328"/>
        <w:ind w:left="512" w:right="105" w:firstLine="0"/>
        <w:jc w:val="left"/>
        <w:rPr>
          <w:sz w:val="22"/>
        </w:rPr>
      </w:pPr>
      <w:r>
        <w:rPr>
          <w:sz w:val="22"/>
        </w:rPr>
        <w:t>Figura </w:t>
      </w:r>
      <w:r>
        <w:rPr>
          <w:spacing w:val="-3"/>
          <w:sz w:val="22"/>
        </w:rPr>
        <w:t>4. </w:t>
      </w:r>
      <w:r>
        <w:rPr>
          <w:sz w:val="22"/>
        </w:rPr>
        <w:t>Distribución de la producción de leche por el tipo de sistema</w:t>
      </w:r>
      <w:r>
        <w:rPr>
          <w:spacing w:val="-10"/>
          <w:sz w:val="22"/>
        </w:rPr>
        <w:t> </w:t>
      </w:r>
      <w:r>
        <w:rPr>
          <w:sz w:val="22"/>
        </w:rPr>
        <w:t>de</w:t>
      </w:r>
      <w:r>
        <w:rPr>
          <w:spacing w:val="-7"/>
          <w:sz w:val="22"/>
        </w:rPr>
        <w:t> </w:t>
      </w:r>
      <w:r>
        <w:rPr>
          <w:sz w:val="22"/>
        </w:rPr>
        <w:t>producción</w:t>
        <w:tab/>
        <w:t>9</w:t>
      </w:r>
    </w:p>
    <w:p>
      <w:pPr>
        <w:tabs>
          <w:tab w:pos="8801" w:val="left" w:leader="dot"/>
        </w:tabs>
        <w:spacing w:line="355" w:lineRule="auto" w:before="328"/>
        <w:ind w:left="512" w:right="328" w:firstLine="0"/>
        <w:jc w:val="left"/>
        <w:rPr>
          <w:sz w:val="22"/>
        </w:rPr>
      </w:pPr>
      <w:r>
        <w:rPr>
          <w:sz w:val="22"/>
        </w:rPr>
        <w:t>Figura </w:t>
      </w:r>
      <w:r>
        <w:rPr>
          <w:spacing w:val="-3"/>
          <w:sz w:val="22"/>
        </w:rPr>
        <w:t>5. </w:t>
      </w:r>
      <w:r>
        <w:rPr>
          <w:sz w:val="22"/>
        </w:rPr>
        <w:t>Ruta </w:t>
      </w:r>
      <w:r>
        <w:rPr>
          <w:spacing w:val="-3"/>
          <w:sz w:val="22"/>
        </w:rPr>
        <w:t>de </w:t>
      </w:r>
      <w:r>
        <w:rPr>
          <w:sz w:val="22"/>
        </w:rPr>
        <w:t>biohidrogenación de los ácidos grasos insaturados (AGI): linoleico, linolénico y oleico</w:t>
        <w:tab/>
        <w:t>28</w:t>
      </w:r>
    </w:p>
    <w:p>
      <w:pPr>
        <w:tabs>
          <w:tab w:pos="8801" w:val="left" w:leader="dot"/>
        </w:tabs>
        <w:spacing w:before="211"/>
        <w:ind w:left="512" w:right="105" w:firstLine="0"/>
        <w:jc w:val="left"/>
        <w:rPr>
          <w:sz w:val="22"/>
        </w:rPr>
      </w:pPr>
      <w:r>
        <w:rPr>
          <w:sz w:val="22"/>
        </w:rPr>
        <w:t>Figura </w:t>
      </w:r>
      <w:r>
        <w:rPr>
          <w:spacing w:val="-3"/>
          <w:sz w:val="22"/>
        </w:rPr>
        <w:t>6. </w:t>
      </w:r>
      <w:r>
        <w:rPr>
          <w:sz w:val="22"/>
        </w:rPr>
        <w:t>Manejo de los grupos de vacas por estrategia</w:t>
      </w:r>
      <w:r>
        <w:rPr>
          <w:spacing w:val="-6"/>
          <w:sz w:val="22"/>
        </w:rPr>
        <w:t> </w:t>
      </w:r>
      <w:r>
        <w:rPr>
          <w:sz w:val="22"/>
        </w:rPr>
        <w:t>de</w:t>
      </w:r>
      <w:r>
        <w:rPr>
          <w:spacing w:val="-8"/>
          <w:sz w:val="22"/>
        </w:rPr>
        <w:t> </w:t>
      </w:r>
      <w:r>
        <w:rPr>
          <w:sz w:val="22"/>
        </w:rPr>
        <w:t>alimentación</w:t>
        <w:tab/>
        <w:t>58</w:t>
      </w:r>
    </w:p>
    <w:p>
      <w:pPr>
        <w:spacing w:after="0"/>
        <w:jc w:val="left"/>
        <w:rPr>
          <w:sz w:val="22"/>
        </w:rPr>
        <w:sectPr>
          <w:pgSz w:w="12240" w:h="15840"/>
          <w:pgMar w:header="1150" w:footer="1382" w:top="1420" w:bottom="1580" w:left="1360" w:right="1420"/>
        </w:sectPr>
      </w:pPr>
    </w:p>
    <w:p>
      <w:pPr>
        <w:pStyle w:val="BodyText"/>
        <w:rPr>
          <w:sz w:val="22"/>
        </w:rPr>
      </w:pPr>
    </w:p>
    <w:p>
      <w:pPr>
        <w:spacing w:before="134"/>
        <w:ind w:left="524" w:right="114" w:firstLine="0"/>
        <w:jc w:val="center"/>
        <w:rPr>
          <w:b/>
          <w:sz w:val="22"/>
        </w:rPr>
      </w:pPr>
      <w:r>
        <w:rPr>
          <w:b/>
          <w:sz w:val="22"/>
        </w:rPr>
        <w:t>RESUMEN</w:t>
      </w:r>
    </w:p>
    <w:p>
      <w:pPr>
        <w:pStyle w:val="BodyText"/>
        <w:spacing w:before="6"/>
        <w:rPr>
          <w:b/>
          <w:sz w:val="28"/>
        </w:rPr>
      </w:pPr>
    </w:p>
    <w:p>
      <w:pPr>
        <w:spacing w:line="360" w:lineRule="auto" w:before="0"/>
        <w:ind w:left="512" w:right="102" w:firstLine="0"/>
        <w:jc w:val="both"/>
        <w:rPr>
          <w:sz w:val="22"/>
        </w:rPr>
      </w:pPr>
      <w:r>
        <w:rPr>
          <w:sz w:val="22"/>
        </w:rPr>
        <w:t>El objetivo de esta investigación fue evaluar el efecto del nivel de concentrado y el genotipo sobre el consumo de alimento, la producción, composición y perfil de ácidos grasos </w:t>
      </w:r>
      <w:r>
        <w:rPr>
          <w:spacing w:val="-3"/>
          <w:sz w:val="22"/>
        </w:rPr>
        <w:t>de </w:t>
      </w:r>
      <w:r>
        <w:rPr>
          <w:sz w:val="22"/>
        </w:rPr>
        <w:t>la leche de vacas  en pastoreo. Se utilizaron diez vacas Holstein (</w:t>
      </w:r>
      <w:r>
        <w:rPr>
          <w:b/>
          <w:sz w:val="22"/>
        </w:rPr>
        <w:t>H</w:t>
      </w:r>
      <w:r>
        <w:rPr>
          <w:sz w:val="22"/>
        </w:rPr>
        <w:t>) y cinco Pardo Suizo (</w:t>
      </w:r>
      <w:r>
        <w:rPr>
          <w:b/>
          <w:sz w:val="22"/>
        </w:rPr>
        <w:t>PS</w:t>
      </w:r>
      <w:r>
        <w:rPr>
          <w:sz w:val="22"/>
        </w:rPr>
        <w:t>), distribuidas en tres grupos en un arreglo cross-over 3x3 </w:t>
      </w:r>
      <w:r>
        <w:rPr>
          <w:spacing w:val="-3"/>
          <w:sz w:val="22"/>
        </w:rPr>
        <w:t>con </w:t>
      </w:r>
      <w:r>
        <w:rPr>
          <w:sz w:val="22"/>
        </w:rPr>
        <w:t>tres periodos experimentales de 21 días. Los tratamientos fueron: i) ocho (</w:t>
      </w:r>
      <w:r>
        <w:rPr>
          <w:b/>
          <w:sz w:val="22"/>
        </w:rPr>
        <w:t>8c</w:t>
      </w:r>
      <w:r>
        <w:rPr>
          <w:sz w:val="22"/>
        </w:rPr>
        <w:t>), ii) cinco (</w:t>
      </w:r>
      <w:r>
        <w:rPr>
          <w:b/>
          <w:sz w:val="22"/>
        </w:rPr>
        <w:t>5c</w:t>
      </w:r>
      <w:r>
        <w:rPr>
          <w:sz w:val="22"/>
        </w:rPr>
        <w:t>), y iii) tres kg de concentrado (</w:t>
      </w:r>
      <w:r>
        <w:rPr>
          <w:b/>
          <w:sz w:val="22"/>
        </w:rPr>
        <w:t>3c</w:t>
      </w:r>
      <w:r>
        <w:rPr>
          <w:sz w:val="22"/>
        </w:rPr>
        <w:t>). En la estabulación </w:t>
      </w:r>
      <w:r>
        <w:rPr>
          <w:spacing w:val="2"/>
          <w:sz w:val="22"/>
        </w:rPr>
        <w:t>se </w:t>
      </w:r>
      <w:r>
        <w:rPr>
          <w:sz w:val="22"/>
        </w:rPr>
        <w:t>ofertó ensilado de </w:t>
      </w:r>
      <w:r>
        <w:rPr>
          <w:spacing w:val="-3"/>
          <w:sz w:val="22"/>
        </w:rPr>
        <w:t>maíz </w:t>
      </w:r>
      <w:r>
        <w:rPr>
          <w:sz w:val="22"/>
        </w:rPr>
        <w:t>a libre acceso. La determinación del perfil de ácidos grasos fue por cromatografía de gases utilizando nitrógeno como gas acarreador. El análisis estadístico fue un completamente al azar con arreglo factorial 3x2, teniendo como factores </w:t>
      </w:r>
      <w:r>
        <w:rPr>
          <w:spacing w:val="-4"/>
          <w:sz w:val="22"/>
        </w:rPr>
        <w:t>el </w:t>
      </w:r>
      <w:r>
        <w:rPr>
          <w:sz w:val="22"/>
        </w:rPr>
        <w:t>nivel de concentrado y genotipo. La interacción del genotipo con el nivel de concentrado únicamente afectó (</w:t>
      </w:r>
      <w:r>
        <w:rPr>
          <w:i/>
          <w:sz w:val="22"/>
        </w:rPr>
        <w:t>P</w:t>
      </w:r>
      <w:r>
        <w:rPr>
          <w:sz w:val="22"/>
        </w:rPr>
        <w:t>&lt;0.05) el consumo de ensilado de maíz. No </w:t>
      </w:r>
      <w:r>
        <w:rPr>
          <w:spacing w:val="2"/>
          <w:sz w:val="22"/>
        </w:rPr>
        <w:t>se </w:t>
      </w:r>
      <w:r>
        <w:rPr>
          <w:sz w:val="22"/>
        </w:rPr>
        <w:t>observaron diferencias (</w:t>
      </w:r>
      <w:r>
        <w:rPr>
          <w:i/>
          <w:sz w:val="22"/>
        </w:rPr>
        <w:t>P</w:t>
      </w:r>
      <w:r>
        <w:rPr>
          <w:sz w:val="22"/>
        </w:rPr>
        <w:t>&gt;0.05) en la producción y composición de la  leche por efecto de la interacción del genotipo con el nivel de concentrado o por sus efectos independientes. La producción de leche aumentó (</w:t>
      </w:r>
      <w:r>
        <w:rPr>
          <w:i/>
          <w:sz w:val="22"/>
        </w:rPr>
        <w:t>P</w:t>
      </w:r>
      <w:r>
        <w:rPr>
          <w:sz w:val="22"/>
        </w:rPr>
        <w:t>&lt;0.05) al incrementar </w:t>
      </w:r>
      <w:r>
        <w:rPr>
          <w:spacing w:val="-4"/>
          <w:sz w:val="22"/>
        </w:rPr>
        <w:t>el </w:t>
      </w:r>
      <w:r>
        <w:rPr>
          <w:sz w:val="22"/>
        </w:rPr>
        <w:t>nivel de concentrado (18.21, 16.75 y 15.23 kg/d, para </w:t>
      </w:r>
      <w:r>
        <w:rPr>
          <w:b/>
          <w:spacing w:val="-3"/>
          <w:sz w:val="22"/>
        </w:rPr>
        <w:t>8c</w:t>
      </w:r>
      <w:r>
        <w:rPr>
          <w:spacing w:val="-3"/>
          <w:sz w:val="22"/>
        </w:rPr>
        <w:t>, </w:t>
      </w:r>
      <w:r>
        <w:rPr>
          <w:b/>
          <w:sz w:val="22"/>
        </w:rPr>
        <w:t>5c </w:t>
      </w:r>
      <w:r>
        <w:rPr>
          <w:sz w:val="22"/>
        </w:rPr>
        <w:t>y </w:t>
      </w:r>
      <w:r>
        <w:rPr>
          <w:b/>
          <w:spacing w:val="-3"/>
          <w:sz w:val="22"/>
        </w:rPr>
        <w:t>3c</w:t>
      </w:r>
      <w:r>
        <w:rPr>
          <w:spacing w:val="-3"/>
          <w:sz w:val="22"/>
        </w:rPr>
        <w:t>, </w:t>
      </w:r>
      <w:r>
        <w:rPr>
          <w:sz w:val="22"/>
        </w:rPr>
        <w:t>respectivamente). La concentración de los ácidos  grasos láurico, mirístico y palmítico en la leche incrementaron su concentración (</w:t>
      </w:r>
      <w:r>
        <w:rPr>
          <w:i/>
          <w:sz w:val="22"/>
        </w:rPr>
        <w:t>P</w:t>
      </w:r>
      <w:r>
        <w:rPr>
          <w:sz w:val="22"/>
        </w:rPr>
        <w:t>&lt;0.05) conforme el nivel de concentrado aumentó. La concentración de ácidos grasos saturados fue mayor </w:t>
      </w:r>
      <w:r>
        <w:rPr>
          <w:spacing w:val="-4"/>
          <w:sz w:val="22"/>
        </w:rPr>
        <w:t>en </w:t>
      </w:r>
      <w:r>
        <w:rPr>
          <w:sz w:val="22"/>
        </w:rPr>
        <w:t>5c y 8c (</w:t>
      </w:r>
      <w:r>
        <w:rPr>
          <w:i/>
          <w:sz w:val="22"/>
        </w:rPr>
        <w:t>P</w:t>
      </w:r>
      <w:r>
        <w:rPr>
          <w:sz w:val="22"/>
        </w:rPr>
        <w:t>&lt;0.05). Los ácidos oleico, linoleico y linolénico fueron mayores (</w:t>
      </w:r>
      <w:r>
        <w:rPr>
          <w:i/>
          <w:sz w:val="22"/>
        </w:rPr>
        <w:t>P</w:t>
      </w:r>
      <w:r>
        <w:rPr>
          <w:sz w:val="22"/>
        </w:rPr>
        <w:t>&lt;0.05) </w:t>
      </w:r>
      <w:r>
        <w:rPr>
          <w:spacing w:val="-4"/>
          <w:sz w:val="22"/>
        </w:rPr>
        <w:t>en </w:t>
      </w:r>
      <w:r>
        <w:rPr>
          <w:sz w:val="22"/>
        </w:rPr>
        <w:t>3c y 5c. </w:t>
      </w:r>
      <w:r>
        <w:rPr>
          <w:b/>
          <w:spacing w:val="-3"/>
          <w:sz w:val="22"/>
        </w:rPr>
        <w:t>PS </w:t>
      </w:r>
      <w:r>
        <w:rPr>
          <w:sz w:val="22"/>
        </w:rPr>
        <w:t>tuvo una mayor concentración (</w:t>
      </w:r>
      <w:r>
        <w:rPr>
          <w:i/>
          <w:sz w:val="22"/>
        </w:rPr>
        <w:t>P</w:t>
      </w:r>
      <w:r>
        <w:rPr>
          <w:sz w:val="22"/>
        </w:rPr>
        <w:t>&lt;0.05) de ácidos grasos saturados y </w:t>
      </w:r>
      <w:r>
        <w:rPr>
          <w:spacing w:val="-3"/>
          <w:sz w:val="22"/>
        </w:rPr>
        <w:t>menor </w:t>
      </w:r>
      <w:r>
        <w:rPr>
          <w:sz w:val="22"/>
        </w:rPr>
        <w:t>de monoinsaturados comparado con vacas </w:t>
      </w:r>
      <w:r>
        <w:rPr>
          <w:b/>
          <w:sz w:val="22"/>
        </w:rPr>
        <w:t>H</w:t>
      </w:r>
      <w:r>
        <w:rPr>
          <w:sz w:val="22"/>
        </w:rPr>
        <w:t>. </w:t>
      </w:r>
      <w:r>
        <w:rPr>
          <w:spacing w:val="-3"/>
          <w:sz w:val="22"/>
        </w:rPr>
        <w:t>Al </w:t>
      </w:r>
      <w:r>
        <w:rPr>
          <w:sz w:val="22"/>
        </w:rPr>
        <w:t>disminuir la cantidad de concentrado </w:t>
      </w:r>
      <w:r>
        <w:rPr>
          <w:spacing w:val="-4"/>
          <w:sz w:val="22"/>
        </w:rPr>
        <w:t>en </w:t>
      </w:r>
      <w:r>
        <w:rPr>
          <w:sz w:val="22"/>
        </w:rPr>
        <w:t>la dieta </w:t>
      </w:r>
      <w:r>
        <w:rPr>
          <w:spacing w:val="-4"/>
          <w:sz w:val="22"/>
        </w:rPr>
        <w:t>el </w:t>
      </w:r>
      <w:r>
        <w:rPr>
          <w:sz w:val="22"/>
        </w:rPr>
        <w:t>contenido de ácidos grasos saturados disminuyó y se incrementó el de ácidos grasos poliinsaturados </w:t>
      </w:r>
      <w:r>
        <w:rPr>
          <w:spacing w:val="-4"/>
          <w:sz w:val="22"/>
        </w:rPr>
        <w:t>en </w:t>
      </w:r>
      <w:r>
        <w:rPr>
          <w:sz w:val="22"/>
        </w:rPr>
        <w:t>la leche, lo que podría representar un producto </w:t>
      </w:r>
      <w:r>
        <w:rPr>
          <w:spacing w:val="-3"/>
          <w:sz w:val="22"/>
        </w:rPr>
        <w:t>más </w:t>
      </w:r>
      <w:r>
        <w:rPr>
          <w:sz w:val="22"/>
        </w:rPr>
        <w:t>saludable para </w:t>
      </w:r>
      <w:r>
        <w:rPr>
          <w:spacing w:val="-4"/>
          <w:sz w:val="22"/>
        </w:rPr>
        <w:t>el</w:t>
      </w:r>
      <w:r>
        <w:rPr>
          <w:spacing w:val="1"/>
          <w:sz w:val="22"/>
        </w:rPr>
        <w:t> </w:t>
      </w:r>
      <w:r>
        <w:rPr>
          <w:sz w:val="22"/>
        </w:rPr>
        <w:t>consumidor.</w:t>
      </w:r>
    </w:p>
    <w:p>
      <w:pPr>
        <w:pStyle w:val="BodyText"/>
        <w:rPr>
          <w:sz w:val="22"/>
        </w:rPr>
      </w:pPr>
    </w:p>
    <w:p>
      <w:pPr>
        <w:pStyle w:val="BodyText"/>
        <w:rPr>
          <w:sz w:val="22"/>
        </w:rPr>
      </w:pPr>
    </w:p>
    <w:p>
      <w:pPr>
        <w:pStyle w:val="BodyText"/>
      </w:pPr>
    </w:p>
    <w:p>
      <w:pPr>
        <w:spacing w:before="0"/>
        <w:ind w:left="512" w:right="0" w:firstLine="0"/>
        <w:jc w:val="both"/>
        <w:rPr>
          <w:sz w:val="22"/>
        </w:rPr>
      </w:pPr>
      <w:r>
        <w:rPr>
          <w:b/>
          <w:sz w:val="22"/>
        </w:rPr>
        <w:t>Palabras clave: </w:t>
      </w:r>
      <w:r>
        <w:rPr>
          <w:sz w:val="22"/>
        </w:rPr>
        <w:t>ácidos grasos, bovinos, concentrado, genotipo.</w:t>
      </w:r>
    </w:p>
    <w:p>
      <w:pPr>
        <w:spacing w:after="0"/>
        <w:jc w:val="both"/>
        <w:rPr>
          <w:sz w:val="22"/>
        </w:rPr>
        <w:sectPr>
          <w:pgSz w:w="12240" w:h="15840"/>
          <w:pgMar w:header="1150" w:footer="1382" w:top="1420" w:bottom="1580" w:left="1360" w:right="1420"/>
        </w:sectPr>
      </w:pPr>
    </w:p>
    <w:p>
      <w:pPr>
        <w:pStyle w:val="BodyText"/>
        <w:spacing w:before="4"/>
        <w:rPr>
          <w:sz w:val="27"/>
        </w:rPr>
      </w:pPr>
    </w:p>
    <w:p>
      <w:pPr>
        <w:spacing w:before="73"/>
        <w:ind w:left="524" w:right="121" w:firstLine="0"/>
        <w:jc w:val="center"/>
        <w:rPr>
          <w:b/>
          <w:sz w:val="22"/>
        </w:rPr>
      </w:pPr>
      <w:r>
        <w:rPr>
          <w:b/>
          <w:color w:val="212121"/>
          <w:sz w:val="22"/>
        </w:rPr>
        <w:t>ABSTRACT</w:t>
      </w:r>
    </w:p>
    <w:p>
      <w:pPr>
        <w:pStyle w:val="BodyText"/>
        <w:rPr>
          <w:b/>
          <w:sz w:val="22"/>
        </w:rPr>
      </w:pPr>
    </w:p>
    <w:p>
      <w:pPr>
        <w:pStyle w:val="BodyText"/>
        <w:rPr>
          <w:b/>
          <w:sz w:val="22"/>
        </w:rPr>
      </w:pPr>
    </w:p>
    <w:p>
      <w:pPr>
        <w:pStyle w:val="BodyText"/>
        <w:rPr>
          <w:b/>
          <w:sz w:val="22"/>
        </w:rPr>
      </w:pPr>
    </w:p>
    <w:p>
      <w:pPr>
        <w:spacing w:line="360" w:lineRule="auto" w:before="145"/>
        <w:ind w:left="512" w:right="103" w:firstLine="0"/>
        <w:jc w:val="both"/>
        <w:rPr>
          <w:sz w:val="22"/>
        </w:rPr>
      </w:pPr>
      <w:r>
        <w:rPr>
          <w:color w:val="212121"/>
          <w:sz w:val="22"/>
        </w:rPr>
        <w:t>The objective was to evaluate the effect of concentrate level and genotype on feed intake, production, composition and fatty acid profile of milk from grazing cows. Ten Holstein (H) and five Brown Swiss (PS) cows in a 3x3 cross-over design were distributed in three groups of five during three experimental periods of 21 days, 14 days for adaptation and 5 days of measurement. The treatments were: i) eight (8c), ii) five (5c), and iii) three kg concentrate (3c). In housing it was offered corn silage ad libitum. Gas chromatography was used to fatty acid profile analysis using nitrogen as a carrier gas. The statistical analysis was a completely randomized 3x2 factorial arrangement, the factors were level of concentrate and genotype and their interaction. The interaction of genotype with concentrate only affected (P&lt;0.05) the DM intake of corn silage. Milk production increased (P&lt;0.05) with concentrate supplementation (18.21, 16.75 and 15.23 kg/d, for 8c, 5c and 3c, respectively). The concentration of fatty acids lauric, myristic and palmitic in milk increased (P&lt;0.05) as the level of concentrate was enhanced. Total saturated fatty acids content was higher in 5c and 8c (P&lt;0.05). Oleic, linoleic and linolenic acids were higher (P&lt;0.05) in 3c and 5c. PS has a higher concentration (P&lt;0.05) of saturated fatty acids and less of monounsaturated than H. To reduce the amount of concentrate to grazing dairy cows affected milk fatty acid profile, decreasing saturated fatty acids and increasing the fatty acids polyunsaturated which could represent a product healthy for the consumer.</w:t>
      </w:r>
    </w:p>
    <w:p>
      <w:pPr>
        <w:pStyle w:val="BodyText"/>
        <w:spacing w:before="10"/>
        <w:rPr>
          <w:sz w:val="17"/>
        </w:rPr>
      </w:pPr>
    </w:p>
    <w:p>
      <w:pPr>
        <w:spacing w:before="0"/>
        <w:ind w:left="512" w:right="0" w:firstLine="0"/>
        <w:jc w:val="both"/>
        <w:rPr>
          <w:sz w:val="22"/>
        </w:rPr>
      </w:pPr>
      <w:r>
        <w:rPr>
          <w:b/>
          <w:color w:val="212121"/>
          <w:sz w:val="22"/>
        </w:rPr>
        <w:t>Keywords</w:t>
      </w:r>
      <w:r>
        <w:rPr>
          <w:color w:val="212121"/>
          <w:sz w:val="22"/>
        </w:rPr>
        <w:t>: milk fatty acids, dairy cows, concentrate, genotype.</w:t>
      </w:r>
    </w:p>
    <w:p>
      <w:pPr>
        <w:spacing w:after="0"/>
        <w:jc w:val="both"/>
        <w:rPr>
          <w:sz w:val="22"/>
        </w:rPr>
        <w:sectPr>
          <w:pgSz w:w="12240" w:h="15840"/>
          <w:pgMar w:header="1150" w:footer="1382" w:top="1420" w:bottom="1580" w:left="1360" w:right="1420"/>
        </w:sectPr>
      </w:pPr>
    </w:p>
    <w:p>
      <w:pPr>
        <w:pStyle w:val="BodyText"/>
        <w:spacing w:before="3"/>
        <w:rPr>
          <w:sz w:val="27"/>
        </w:rPr>
      </w:pPr>
    </w:p>
    <w:p>
      <w:pPr>
        <w:pStyle w:val="Heading1"/>
        <w:numPr>
          <w:ilvl w:val="1"/>
          <w:numId w:val="3"/>
        </w:numPr>
        <w:tabs>
          <w:tab w:pos="4325" w:val="left" w:leader="none"/>
          <w:tab w:pos="4326" w:val="left" w:leader="none"/>
        </w:tabs>
        <w:spacing w:line="240" w:lineRule="auto" w:before="69" w:after="0"/>
        <w:ind w:left="4325" w:right="0" w:hanging="514"/>
        <w:jc w:val="left"/>
      </w:pPr>
      <w:bookmarkStart w:name="_TOC_250065" w:id="1"/>
      <w:bookmarkEnd w:id="1"/>
      <w:r>
        <w:rPr/>
        <w:t>INTRODUCCIÓN</w:t>
      </w:r>
    </w:p>
    <w:p>
      <w:pPr>
        <w:pStyle w:val="BodyText"/>
        <w:spacing w:before="5"/>
        <w:rPr>
          <w:b/>
          <w:sz w:val="29"/>
        </w:rPr>
      </w:pPr>
    </w:p>
    <w:p>
      <w:pPr>
        <w:pStyle w:val="BodyText"/>
        <w:spacing w:line="360" w:lineRule="auto"/>
        <w:ind w:left="512" w:right="108"/>
        <w:jc w:val="both"/>
      </w:pPr>
      <w:r>
        <w:rPr/>
        <w:t>A pesar de que según cifras del Sistema de Información Agroalimentaria y Pesquera (SIAP) en México durante el periodo 2003-2011 </w:t>
      </w:r>
      <w:r>
        <w:rPr>
          <w:spacing w:val="-5"/>
        </w:rPr>
        <w:t>la </w:t>
      </w:r>
      <w:r>
        <w:rPr/>
        <w:t>producción nacional de leche </w:t>
      </w:r>
      <w:r>
        <w:rPr>
          <w:spacing w:val="-3"/>
        </w:rPr>
        <w:t>ha </w:t>
      </w:r>
      <w:r>
        <w:rPr/>
        <w:t>tenido una tasa media de crecimiento del 1.3%, </w:t>
      </w:r>
      <w:r>
        <w:rPr>
          <w:spacing w:val="-5"/>
        </w:rPr>
        <w:t>la </w:t>
      </w:r>
      <w:r>
        <w:rPr/>
        <w:t>industria lechera enfrenta una gran competencia internacional; en los últimos años se </w:t>
      </w:r>
      <w:r>
        <w:rPr>
          <w:spacing w:val="-3"/>
        </w:rPr>
        <w:t>ha </w:t>
      </w:r>
      <w:r>
        <w:rPr/>
        <w:t>reportado un incremento en </w:t>
      </w:r>
      <w:r>
        <w:rPr>
          <w:spacing w:val="-3"/>
        </w:rPr>
        <w:t>las </w:t>
      </w:r>
      <w:r>
        <w:rPr/>
        <w:t>importaciones de leche en polvo para satisfacer </w:t>
      </w:r>
      <w:r>
        <w:rPr>
          <w:spacing w:val="-3"/>
        </w:rPr>
        <w:t>la </w:t>
      </w:r>
      <w:r>
        <w:rPr/>
        <w:t>demanda interna (221,948 toneladas para el 2011 en comparación con 143,529 toneladas registradas en el 2006) , con </w:t>
      </w:r>
      <w:r>
        <w:rPr>
          <w:spacing w:val="-5"/>
        </w:rPr>
        <w:t>lo </w:t>
      </w:r>
      <w:r>
        <w:rPr/>
        <w:t>cual, el dinamismo de  </w:t>
      </w:r>
      <w:r>
        <w:rPr>
          <w:spacing w:val="-3"/>
        </w:rPr>
        <w:t>la </w:t>
      </w:r>
      <w:r>
        <w:rPr/>
        <w:t>demanda pecuaria, en el corto y largo plazo, sugiere grandes retos para implementar estrategias que aumenten </w:t>
      </w:r>
      <w:r>
        <w:rPr>
          <w:spacing w:val="-3"/>
        </w:rPr>
        <w:t>la </w:t>
      </w:r>
      <w:r>
        <w:rPr/>
        <w:t>producción ganadera (SIAP, 2011, SAGARPA,</w:t>
      </w:r>
      <w:r>
        <w:rPr>
          <w:spacing w:val="-9"/>
        </w:rPr>
        <w:t> </w:t>
      </w:r>
      <w:r>
        <w:rPr/>
        <w:t>2010).</w:t>
      </w:r>
    </w:p>
    <w:p>
      <w:pPr>
        <w:pStyle w:val="BodyText"/>
        <w:spacing w:line="360" w:lineRule="auto" w:before="206"/>
        <w:ind w:left="512" w:right="102"/>
        <w:jc w:val="both"/>
      </w:pPr>
      <w:r>
        <w:rPr/>
        <w:t>Producir leche en cantidad y calidad óptimas, al más bajo costo posible, es el objetivo primordial de cualquier unidad de producción. La mayoría de </w:t>
      </w:r>
      <w:r>
        <w:rPr>
          <w:spacing w:val="-4"/>
        </w:rPr>
        <w:t>las </w:t>
      </w:r>
      <w:r>
        <w:rPr/>
        <w:t>unidades de producción  de vacuno lechero llevan un sistema de alimentación basado en forrajes conservados (henos o ensilados) y concentrados; sin embargo, </w:t>
      </w:r>
      <w:r>
        <w:rPr>
          <w:spacing w:val="-3"/>
        </w:rPr>
        <w:t>las </w:t>
      </w:r>
      <w:r>
        <w:rPr/>
        <w:t>vacas alimentadas solo  con  forraje representan el sistema con menor costo, debido a que el forraje consumido es </w:t>
      </w:r>
      <w:r>
        <w:rPr>
          <w:spacing w:val="-5"/>
        </w:rPr>
        <w:t>la </w:t>
      </w:r>
      <w:r>
        <w:rPr/>
        <w:t>fuente </w:t>
      </w:r>
      <w:r>
        <w:rPr>
          <w:spacing w:val="-4"/>
        </w:rPr>
        <w:t>más </w:t>
      </w:r>
      <w:r>
        <w:rPr/>
        <w:t>barata de nutrientes (Peyraud y Delaby, 2001). El desafío, en los sistemas de producción  del ganado lechero en pastoreo, es alcanzar altos niveles de </w:t>
      </w:r>
      <w:r>
        <w:rPr>
          <w:spacing w:val="-3"/>
        </w:rPr>
        <w:t>consumo </w:t>
      </w:r>
      <w:r>
        <w:rPr/>
        <w:t>de materia seca y </w:t>
      </w:r>
      <w:r>
        <w:rPr>
          <w:spacing w:val="-5"/>
        </w:rPr>
        <w:t>la </w:t>
      </w:r>
      <w:r>
        <w:rPr/>
        <w:t>mayor producción de </w:t>
      </w:r>
      <w:r>
        <w:rPr>
          <w:spacing w:val="-3"/>
        </w:rPr>
        <w:t>leche </w:t>
      </w:r>
      <w:r>
        <w:rPr/>
        <w:t>por el </w:t>
      </w:r>
      <w:r>
        <w:rPr>
          <w:spacing w:val="-3"/>
        </w:rPr>
        <w:t>manejo </w:t>
      </w:r>
      <w:r>
        <w:rPr/>
        <w:t>del pastoreo y </w:t>
      </w:r>
      <w:r>
        <w:rPr>
          <w:spacing w:val="-5"/>
        </w:rPr>
        <w:t>la </w:t>
      </w:r>
      <w:r>
        <w:rPr/>
        <w:t>complementación (Bargo </w:t>
      </w:r>
      <w:r>
        <w:rPr>
          <w:i/>
        </w:rPr>
        <w:t>et al</w:t>
      </w:r>
      <w:r>
        <w:rPr/>
        <w:t>., 2003). Sin embargo, </w:t>
      </w:r>
      <w:r>
        <w:rPr>
          <w:spacing w:val="-5"/>
        </w:rPr>
        <w:t>la </w:t>
      </w:r>
      <w:r>
        <w:rPr/>
        <w:t>estacionalidad de </w:t>
      </w:r>
      <w:r>
        <w:rPr>
          <w:spacing w:val="-5"/>
        </w:rPr>
        <w:t>la </w:t>
      </w:r>
      <w:r>
        <w:rPr/>
        <w:t>producción de forraje y </w:t>
      </w:r>
      <w:r>
        <w:rPr>
          <w:spacing w:val="-3"/>
        </w:rPr>
        <w:t>la </w:t>
      </w:r>
      <w:r>
        <w:rPr/>
        <w:t>variabilidad en su aporte nutritivo, provoca gran variación en </w:t>
      </w:r>
      <w:r>
        <w:rPr>
          <w:spacing w:val="-5"/>
        </w:rPr>
        <w:t>la </w:t>
      </w:r>
      <w:r>
        <w:rPr/>
        <w:t>productividad del animal, y por otro lado, el uso excesivo de suplementos elaborados con granos de cereales y fuentes de proteína vegetal, tienden a ser caros en relación a otros componentes, por </w:t>
      </w:r>
      <w:r>
        <w:rPr>
          <w:spacing w:val="-5"/>
        </w:rPr>
        <w:t>lo </w:t>
      </w:r>
      <w:r>
        <w:rPr/>
        <w:t>que su uso, al ser un componente principal de los costos de alimentación (Espinoza </w:t>
      </w:r>
      <w:r>
        <w:rPr>
          <w:i/>
        </w:rPr>
        <w:t>et al</w:t>
      </w:r>
      <w:r>
        <w:rPr/>
        <w:t>., 1997), incrementa los costos de producción. Asimismo, en las vacas de alta producción, con uso del pastoreo como </w:t>
      </w:r>
      <w:r>
        <w:rPr>
          <w:spacing w:val="-3"/>
        </w:rPr>
        <w:t>base </w:t>
      </w:r>
      <w:r>
        <w:rPr/>
        <w:t>de su alimentación, </w:t>
      </w:r>
      <w:r>
        <w:rPr>
          <w:spacing w:val="-3"/>
        </w:rPr>
        <w:t>incluso </w:t>
      </w:r>
      <w:r>
        <w:rPr/>
        <w:t>considerando praderas de alta calidad, el primer nutriente limitante es </w:t>
      </w:r>
      <w:r>
        <w:rPr>
          <w:spacing w:val="-5"/>
        </w:rPr>
        <w:t>la </w:t>
      </w:r>
      <w:r>
        <w:rPr/>
        <w:t>energía (Kolver y Muller, 1998), por </w:t>
      </w:r>
      <w:r>
        <w:rPr>
          <w:spacing w:val="-5"/>
        </w:rPr>
        <w:t>lo </w:t>
      </w:r>
      <w:r>
        <w:rPr/>
        <w:t>que resulta necesario complementar fuentes de energía a estos animales. No obstante, en el ganado, con rendimientos lecheros de </w:t>
      </w:r>
      <w:r>
        <w:rPr>
          <w:spacing w:val="-3"/>
        </w:rPr>
        <w:t>bajo </w:t>
      </w:r>
      <w:r>
        <w:rPr/>
        <w:t>a </w:t>
      </w:r>
      <w:r>
        <w:rPr>
          <w:spacing w:val="-3"/>
        </w:rPr>
        <w:t>medio, </w:t>
      </w:r>
      <w:r>
        <w:rPr/>
        <w:t>los recursos forrajeros pueden ser suficientes para  su nivel de producción láctea, sin usar demasiado concentrado en </w:t>
      </w:r>
      <w:r>
        <w:rPr>
          <w:spacing w:val="-5"/>
        </w:rPr>
        <w:t>la </w:t>
      </w:r>
      <w:r>
        <w:rPr/>
        <w:t>dieta, excepto,  </w:t>
      </w:r>
      <w:r>
        <w:rPr>
          <w:spacing w:val="20"/>
        </w:rPr>
        <w:t> </w:t>
      </w:r>
      <w:r>
        <w:rPr/>
        <w:t>quizás,</w:t>
      </w:r>
    </w:p>
    <w:p>
      <w:pPr>
        <w:spacing w:after="0" w:line="360" w:lineRule="auto"/>
        <w:jc w:val="both"/>
        <w:sectPr>
          <w:footerReference w:type="default" r:id="rId9"/>
          <w:pgSz w:w="12240" w:h="15840"/>
          <w:pgMar w:footer="1382" w:header="1150" w:top="1420" w:bottom="1580" w:left="1360" w:right="1420"/>
          <w:pgNumType w:start="1"/>
        </w:sectPr>
      </w:pPr>
    </w:p>
    <w:p>
      <w:pPr>
        <w:pStyle w:val="BodyText"/>
        <w:spacing w:before="3"/>
        <w:rPr>
          <w:sz w:val="27"/>
        </w:rPr>
      </w:pPr>
    </w:p>
    <w:p>
      <w:pPr>
        <w:pStyle w:val="BodyText"/>
        <w:spacing w:line="360" w:lineRule="auto" w:before="69"/>
        <w:ind w:left="512" w:right="108"/>
        <w:jc w:val="both"/>
      </w:pPr>
      <w:r>
        <w:rPr/>
        <w:t>cuando la disponibilidad de forraje, en determinadas épocas del año, es baja. La complementación del ganado lechero en pastoreo tiene la finalidad de aumentar la producción de leche por vaca, y/o por unidad de tierra, mantener o mejorar la condición corporal (Kellaway y Porta 1993), así como lograr un mayor consumo total de MS respecto a lo aportado por el forraje (Peyraud y Delaby, 2001; Stockdale, 2000).</w:t>
      </w:r>
    </w:p>
    <w:p>
      <w:pPr>
        <w:pStyle w:val="BodyText"/>
        <w:spacing w:line="360" w:lineRule="auto" w:before="210"/>
        <w:ind w:left="512" w:right="100"/>
        <w:jc w:val="both"/>
      </w:pPr>
      <w:r>
        <w:rPr/>
        <w:t>Aumentar el contenido nutrimental en </w:t>
      </w:r>
      <w:r>
        <w:rPr>
          <w:spacing w:val="-5"/>
        </w:rPr>
        <w:t>la </w:t>
      </w:r>
      <w:r>
        <w:rPr/>
        <w:t>leche, por influencia de </w:t>
      </w:r>
      <w:r>
        <w:rPr>
          <w:spacing w:val="-5"/>
        </w:rPr>
        <w:t>la </w:t>
      </w:r>
      <w:r>
        <w:rPr/>
        <w:t>alimentación, </w:t>
      </w:r>
      <w:r>
        <w:rPr>
          <w:spacing w:val="-3"/>
        </w:rPr>
        <w:t>ha </w:t>
      </w:r>
      <w:r>
        <w:rPr/>
        <w:t>sido evaluado en muchos estudios donde se han comparado dietas completas mezcladas (TMR) a base de forrajes conservados y concentrados versus dietas basadas en pastoreo con (White </w:t>
      </w:r>
      <w:r>
        <w:rPr>
          <w:i/>
        </w:rPr>
        <w:t>et al</w:t>
      </w:r>
      <w:r>
        <w:rPr/>
        <w:t>., 2001; Schroeder </w:t>
      </w:r>
      <w:r>
        <w:rPr>
          <w:i/>
        </w:rPr>
        <w:t>et al</w:t>
      </w:r>
      <w:r>
        <w:rPr/>
        <w:t>., 2003) y sin complementos (Kelly </w:t>
      </w:r>
      <w:r>
        <w:rPr>
          <w:i/>
        </w:rPr>
        <w:t>et al</w:t>
      </w:r>
      <w:r>
        <w:rPr/>
        <w:t>., 1998), o comparando </w:t>
      </w:r>
      <w:r>
        <w:rPr>
          <w:spacing w:val="-3"/>
        </w:rPr>
        <w:t>la </w:t>
      </w:r>
      <w:r>
        <w:rPr/>
        <w:t>alimentación únicamente con forraje, forraje más concentrado, o el efecto de </w:t>
      </w:r>
      <w:r>
        <w:rPr>
          <w:spacing w:val="-3"/>
        </w:rPr>
        <w:t>la </w:t>
      </w:r>
      <w:r>
        <w:rPr/>
        <w:t>cantidad del forraje ofrecido (PA) (Soriano </w:t>
      </w:r>
      <w:r>
        <w:rPr>
          <w:i/>
        </w:rPr>
        <w:t>et al</w:t>
      </w:r>
      <w:r>
        <w:rPr/>
        <w:t>., 2001; Bargo </w:t>
      </w:r>
      <w:r>
        <w:rPr>
          <w:i/>
        </w:rPr>
        <w:t>et al</w:t>
      </w:r>
      <w:r>
        <w:rPr/>
        <w:t>., 2002; 2003; Wijesundera </w:t>
      </w:r>
      <w:r>
        <w:rPr>
          <w:i/>
        </w:rPr>
        <w:t>et al</w:t>
      </w:r>
      <w:r>
        <w:rPr/>
        <w:t>., 2003) o con complemento de ensilado de </w:t>
      </w:r>
      <w:r>
        <w:rPr>
          <w:spacing w:val="-3"/>
        </w:rPr>
        <w:t>maíz </w:t>
      </w:r>
      <w:r>
        <w:rPr/>
        <w:t>(Burke </w:t>
      </w:r>
      <w:r>
        <w:rPr>
          <w:i/>
        </w:rPr>
        <w:t>et al</w:t>
      </w:r>
      <w:r>
        <w:rPr/>
        <w:t>., 2008). Por otro lado, estudios realizados en ganado lechero en otros países (Holmes, 1989; Mayne, 1996) indican que con forraje solo se puede lograr </w:t>
      </w:r>
      <w:r>
        <w:rPr>
          <w:spacing w:val="-5"/>
        </w:rPr>
        <w:t>la </w:t>
      </w:r>
      <w:r>
        <w:rPr/>
        <w:t>producción de 25 a 30 kg de leche/d en primavera. La evaluación de los parámetros productivos y de </w:t>
      </w:r>
      <w:r>
        <w:rPr>
          <w:spacing w:val="-3"/>
        </w:rPr>
        <w:t>la </w:t>
      </w:r>
      <w:r>
        <w:rPr/>
        <w:t>composición de </w:t>
      </w:r>
      <w:r>
        <w:rPr>
          <w:spacing w:val="-3"/>
        </w:rPr>
        <w:t>la </w:t>
      </w:r>
      <w:r>
        <w:rPr/>
        <w:t>leche en esos sistemas de producción </w:t>
      </w:r>
      <w:r>
        <w:rPr>
          <w:spacing w:val="-3"/>
        </w:rPr>
        <w:t>ha </w:t>
      </w:r>
      <w:r>
        <w:rPr/>
        <w:t>mostrado gran variabilidad de los</w:t>
      </w:r>
      <w:r>
        <w:rPr>
          <w:spacing w:val="-16"/>
        </w:rPr>
        <w:t> </w:t>
      </w:r>
      <w:r>
        <w:rPr/>
        <w:t>resultados.</w:t>
      </w:r>
    </w:p>
    <w:p>
      <w:pPr>
        <w:pStyle w:val="BodyText"/>
        <w:spacing w:line="360" w:lineRule="auto" w:before="210"/>
        <w:ind w:left="512" w:right="100"/>
        <w:jc w:val="both"/>
      </w:pPr>
      <w:r>
        <w:rPr/>
        <w:t>La composición de </w:t>
      </w:r>
      <w:r>
        <w:rPr>
          <w:spacing w:val="-5"/>
        </w:rPr>
        <w:t>la </w:t>
      </w:r>
      <w:r>
        <w:rPr/>
        <w:t>leche </w:t>
      </w:r>
      <w:r>
        <w:rPr>
          <w:spacing w:val="2"/>
        </w:rPr>
        <w:t>está </w:t>
      </w:r>
      <w:r>
        <w:rPr/>
        <w:t>determinada por muchos factores, entre </w:t>
      </w:r>
      <w:r>
        <w:rPr>
          <w:spacing w:val="-3"/>
        </w:rPr>
        <w:t>ellos la </w:t>
      </w:r>
      <w:r>
        <w:rPr/>
        <w:t>nutrición y el genotipo de </w:t>
      </w:r>
      <w:r>
        <w:rPr>
          <w:spacing w:val="-5"/>
        </w:rPr>
        <w:t>la </w:t>
      </w:r>
      <w:r>
        <w:rPr/>
        <w:t>vaca, modificando, entre otros, los contenidos de grasa y ácidos grasos; éstos últimos, han recibido considerable atención por los posibles efectos en </w:t>
      </w:r>
      <w:r>
        <w:rPr>
          <w:spacing w:val="-5"/>
        </w:rPr>
        <w:t>la </w:t>
      </w:r>
      <w:r>
        <w:rPr/>
        <w:t>salud humana. La grasa de </w:t>
      </w:r>
      <w:r>
        <w:rPr>
          <w:spacing w:val="-5"/>
        </w:rPr>
        <w:t>la </w:t>
      </w:r>
      <w:r>
        <w:rPr/>
        <w:t>leche contiene entre 70 a 75% de ácidos grasos saturados (AGS) y un 25 a 30% de ácidos grasos insaturados (AGI), de estos un 25% son ácidos grasos monoinsaturados (AGMI) y un 5% de ácidos grasos poliinsaturados (AGPI) (Lock y Shingfield, 2004). Los AGS están relacionados con efectos de hipercolesteromiantes y enfermedades cardiacas, en especial los ácidos grasos como el láurico, mirístico y palmítico. Sin embargo, </w:t>
      </w:r>
      <w:r>
        <w:rPr>
          <w:spacing w:val="-5"/>
        </w:rPr>
        <w:t>la </w:t>
      </w:r>
      <w:r>
        <w:rPr/>
        <w:t>grasa de </w:t>
      </w:r>
      <w:r>
        <w:rPr>
          <w:spacing w:val="-5"/>
        </w:rPr>
        <w:t>la </w:t>
      </w:r>
      <w:r>
        <w:rPr/>
        <w:t>leche también tiene atributos  que pueden  tener efectos positivos en </w:t>
      </w:r>
      <w:r>
        <w:rPr>
          <w:spacing w:val="-3"/>
        </w:rPr>
        <w:t>la </w:t>
      </w:r>
      <w:r>
        <w:rPr/>
        <w:t>salud humana; los AGI </w:t>
      </w:r>
      <w:r>
        <w:rPr>
          <w:spacing w:val="-3"/>
        </w:rPr>
        <w:t>como </w:t>
      </w:r>
      <w:r>
        <w:rPr/>
        <w:t>el oleico y linoleico han demostrado tener una acción hipocolesteromiante (Grundy, 1994). Algunos AGPI tienen beneficios potenciales  para  </w:t>
      </w:r>
      <w:r>
        <w:rPr>
          <w:spacing w:val="-5"/>
        </w:rPr>
        <w:t>la  </w:t>
      </w:r>
      <w:r>
        <w:rPr/>
        <w:t>salud  humana,  por  ejemplo,  el  ácido  linoleico  conjugado   </w:t>
      </w:r>
      <w:r>
        <w:rPr>
          <w:spacing w:val="5"/>
        </w:rPr>
        <w:t> </w:t>
      </w:r>
      <w:r>
        <w:rPr/>
        <w:t>(CLA),</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1"/>
        <w:jc w:val="both"/>
      </w:pPr>
      <w:r>
        <w:rPr/>
        <w:t>específicamente el isómero C18:2 </w:t>
      </w:r>
      <w:r>
        <w:rPr>
          <w:i/>
        </w:rPr>
        <w:t>cis-</w:t>
      </w:r>
      <w:r>
        <w:rPr/>
        <w:t>9 </w:t>
      </w:r>
      <w:r>
        <w:rPr>
          <w:i/>
        </w:rPr>
        <w:t>tras-</w:t>
      </w:r>
      <w:r>
        <w:rPr/>
        <w:t>11 (ruménico), al que se </w:t>
      </w:r>
      <w:r>
        <w:rPr>
          <w:spacing w:val="-3"/>
        </w:rPr>
        <w:t>le </w:t>
      </w:r>
      <w:r>
        <w:rPr/>
        <w:t>han atribuido propiedades anticarcinogénicas en modelos animales (Ip </w:t>
      </w:r>
      <w:r>
        <w:rPr>
          <w:i/>
        </w:rPr>
        <w:t>et al</w:t>
      </w:r>
      <w:r>
        <w:rPr/>
        <w:t>., 1994; Corl </w:t>
      </w:r>
      <w:r>
        <w:rPr>
          <w:i/>
        </w:rPr>
        <w:t>et al</w:t>
      </w:r>
      <w:r>
        <w:rPr/>
        <w:t>., 2003) y posiblemente en humanos (Belury, 2002). Otros isómeros de CLA como el C18:2 </w:t>
      </w:r>
      <w:r>
        <w:rPr>
          <w:i/>
        </w:rPr>
        <w:t>trans-</w:t>
      </w:r>
      <w:r>
        <w:rPr/>
        <w:t>10 </w:t>
      </w:r>
      <w:r>
        <w:rPr>
          <w:i/>
        </w:rPr>
        <w:t>cis-</w:t>
      </w:r>
      <w:r>
        <w:rPr/>
        <w:t>12, también disminuyen </w:t>
      </w:r>
      <w:r>
        <w:rPr>
          <w:spacing w:val="-5"/>
        </w:rPr>
        <w:t>la </w:t>
      </w:r>
      <w:r>
        <w:rPr/>
        <w:t>deposición de grasa en modelos animales (Park </w:t>
      </w:r>
      <w:r>
        <w:rPr>
          <w:i/>
        </w:rPr>
        <w:t>et al</w:t>
      </w:r>
      <w:r>
        <w:rPr/>
        <w:t>., 1999) y </w:t>
      </w:r>
      <w:r>
        <w:rPr>
          <w:spacing w:val="-3"/>
        </w:rPr>
        <w:t>la </w:t>
      </w:r>
      <w:r>
        <w:rPr/>
        <w:t>concentración de grasa en </w:t>
      </w:r>
      <w:r>
        <w:rPr>
          <w:spacing w:val="-3"/>
        </w:rPr>
        <w:t>la </w:t>
      </w:r>
      <w:r>
        <w:rPr/>
        <w:t>leche de vaca (Petterson </w:t>
      </w:r>
      <w:r>
        <w:rPr>
          <w:i/>
        </w:rPr>
        <w:t>et al</w:t>
      </w:r>
      <w:r>
        <w:rPr/>
        <w:t>., 2002). Estos resultados han fomentado el esfuerzo en </w:t>
      </w:r>
      <w:r>
        <w:rPr>
          <w:spacing w:val="-5"/>
        </w:rPr>
        <w:t>la </w:t>
      </w:r>
      <w:r>
        <w:rPr/>
        <w:t>investigación para mejorar o aumentar </w:t>
      </w:r>
      <w:r>
        <w:rPr>
          <w:spacing w:val="-5"/>
        </w:rPr>
        <w:t>la </w:t>
      </w:r>
      <w:r>
        <w:rPr/>
        <w:t>concentración de AGPI y disminuir </w:t>
      </w:r>
      <w:r>
        <w:rPr>
          <w:spacing w:val="-3"/>
        </w:rPr>
        <w:t>la </w:t>
      </w:r>
      <w:r>
        <w:rPr/>
        <w:t>de AGS en </w:t>
      </w:r>
      <w:r>
        <w:rPr>
          <w:spacing w:val="-3"/>
        </w:rPr>
        <w:t>la </w:t>
      </w:r>
      <w:r>
        <w:rPr/>
        <w:t>leche, productos lácteos y otros alimentos para </w:t>
      </w:r>
      <w:r>
        <w:rPr>
          <w:spacing w:val="-3"/>
        </w:rPr>
        <w:t>consumo </w:t>
      </w:r>
      <w:r>
        <w:rPr/>
        <w:t>humano. Al respecto, debe tenerse presente que diversos factores afectan </w:t>
      </w:r>
      <w:r>
        <w:rPr>
          <w:spacing w:val="-5"/>
        </w:rPr>
        <w:t>la </w:t>
      </w:r>
      <w:r>
        <w:rPr/>
        <w:t>concentración de éstos ácidos grasos en </w:t>
      </w:r>
      <w:r>
        <w:rPr>
          <w:spacing w:val="-3"/>
        </w:rPr>
        <w:t>la </w:t>
      </w:r>
      <w:r>
        <w:rPr/>
        <w:t>leche, incluyendo </w:t>
      </w:r>
      <w:r>
        <w:rPr>
          <w:spacing w:val="-3"/>
        </w:rPr>
        <w:t>la </w:t>
      </w:r>
      <w:r>
        <w:rPr/>
        <w:t>dieta (Shingfield </w:t>
      </w:r>
      <w:r>
        <w:rPr>
          <w:i/>
        </w:rPr>
        <w:t>et al</w:t>
      </w:r>
      <w:r>
        <w:rPr/>
        <w:t>., 2005), </w:t>
      </w:r>
      <w:r>
        <w:rPr>
          <w:spacing w:val="-5"/>
        </w:rPr>
        <w:t>la </w:t>
      </w:r>
      <w:r>
        <w:rPr/>
        <w:t>raza animal (Carroll </w:t>
      </w:r>
      <w:r>
        <w:rPr>
          <w:i/>
        </w:rPr>
        <w:t>et al</w:t>
      </w:r>
      <w:r>
        <w:rPr/>
        <w:t>., 2006), </w:t>
      </w:r>
      <w:r>
        <w:rPr>
          <w:spacing w:val="-5"/>
        </w:rPr>
        <w:t>la </w:t>
      </w:r>
      <w:r>
        <w:rPr/>
        <w:t>época de año (Lock y Garnsworthy, 2003) y </w:t>
      </w:r>
      <w:r>
        <w:rPr>
          <w:spacing w:val="-5"/>
        </w:rPr>
        <w:t>la </w:t>
      </w:r>
      <w:r>
        <w:rPr/>
        <w:t>etapa de lactación (Auldist </w:t>
      </w:r>
      <w:r>
        <w:rPr>
          <w:i/>
        </w:rPr>
        <w:t>et al</w:t>
      </w:r>
      <w:r>
        <w:rPr/>
        <w:t>., 1998). La dieta es el factor </w:t>
      </w:r>
      <w:r>
        <w:rPr>
          <w:spacing w:val="-4"/>
        </w:rPr>
        <w:t>más </w:t>
      </w:r>
      <w:r>
        <w:rPr/>
        <w:t>importante que </w:t>
      </w:r>
      <w:r>
        <w:rPr>
          <w:spacing w:val="-3"/>
        </w:rPr>
        <w:t>influye </w:t>
      </w:r>
      <w:r>
        <w:rPr/>
        <w:t>en </w:t>
      </w:r>
      <w:r>
        <w:rPr>
          <w:spacing w:val="-3"/>
        </w:rPr>
        <w:t>la </w:t>
      </w:r>
      <w:r>
        <w:rPr/>
        <w:t>variación del perfil de ácidos grasos de </w:t>
      </w:r>
      <w:r>
        <w:rPr>
          <w:spacing w:val="-5"/>
        </w:rPr>
        <w:t>la </w:t>
      </w:r>
      <w:r>
        <w:rPr/>
        <w:t>leche; diferentes estudios han demostrado que se puede modificar el perfil de éstos, incrementando </w:t>
      </w:r>
      <w:r>
        <w:rPr>
          <w:spacing w:val="-3"/>
        </w:rPr>
        <w:t>la </w:t>
      </w:r>
      <w:r>
        <w:rPr/>
        <w:t>concentración de AGPI con el pastoreo (Kelly </w:t>
      </w:r>
      <w:r>
        <w:rPr>
          <w:i/>
        </w:rPr>
        <w:t>et al</w:t>
      </w:r>
      <w:r>
        <w:rPr/>
        <w:t>., 1998), con el tipo de ensilado complementado (Dewhurst </w:t>
      </w:r>
      <w:r>
        <w:rPr>
          <w:i/>
        </w:rPr>
        <w:t>et al</w:t>
      </w:r>
      <w:r>
        <w:rPr/>
        <w:t>., 2003), el nivel de concentrado en </w:t>
      </w:r>
      <w:r>
        <w:rPr>
          <w:spacing w:val="-5"/>
        </w:rPr>
        <w:t>la </w:t>
      </w:r>
      <w:r>
        <w:rPr/>
        <w:t>dieta (Bargo </w:t>
      </w:r>
      <w:r>
        <w:rPr>
          <w:i/>
        </w:rPr>
        <w:t>et al</w:t>
      </w:r>
      <w:r>
        <w:rPr/>
        <w:t>., 2006), </w:t>
      </w:r>
      <w:r>
        <w:rPr>
          <w:spacing w:val="-5"/>
        </w:rPr>
        <w:t>la </w:t>
      </w:r>
      <w:r>
        <w:rPr/>
        <w:t>fuente complementaria de cereales (Wijesundera </w:t>
      </w:r>
      <w:r>
        <w:rPr>
          <w:i/>
        </w:rPr>
        <w:t>et al</w:t>
      </w:r>
      <w:r>
        <w:rPr/>
        <w:t>., 2003), aceites de oleaginosas (Dhiman </w:t>
      </w:r>
      <w:r>
        <w:rPr>
          <w:i/>
        </w:rPr>
        <w:t>et al</w:t>
      </w:r>
      <w:r>
        <w:rPr/>
        <w:t>., 2000) o aceites  de pescado (Abu-Ghazaleh </w:t>
      </w:r>
      <w:r>
        <w:rPr>
          <w:i/>
        </w:rPr>
        <w:t>et al</w:t>
      </w:r>
      <w:r>
        <w:rPr/>
        <w:t>.,</w:t>
      </w:r>
      <w:r>
        <w:rPr>
          <w:spacing w:val="-10"/>
        </w:rPr>
        <w:t> </w:t>
      </w:r>
      <w:r>
        <w:rPr/>
        <w:t>2003).</w:t>
      </w:r>
    </w:p>
    <w:p>
      <w:pPr>
        <w:pStyle w:val="BodyText"/>
        <w:spacing w:line="357" w:lineRule="auto" w:before="210"/>
        <w:ind w:left="512" w:right="109"/>
        <w:jc w:val="both"/>
      </w:pPr>
      <w:r>
        <w:rPr/>
        <w:t>En nuestro </w:t>
      </w:r>
      <w:r>
        <w:rPr>
          <w:spacing w:val="-3"/>
        </w:rPr>
        <w:t>país </w:t>
      </w:r>
      <w:r>
        <w:rPr/>
        <w:t>pocas investigaciones han evaluado el efecto de </w:t>
      </w:r>
      <w:r>
        <w:rPr>
          <w:spacing w:val="-5"/>
        </w:rPr>
        <w:t>la </w:t>
      </w:r>
      <w:r>
        <w:rPr/>
        <w:t>estrategia de alimentación basada en pastoreo, asociada al genotipo animal, en </w:t>
      </w:r>
      <w:r>
        <w:rPr>
          <w:spacing w:val="-4"/>
        </w:rPr>
        <w:t>las</w:t>
      </w:r>
      <w:r>
        <w:rPr>
          <w:spacing w:val="52"/>
        </w:rPr>
        <w:t> </w:t>
      </w:r>
      <w:r>
        <w:rPr/>
        <w:t>características productivas, en </w:t>
      </w:r>
      <w:r>
        <w:rPr>
          <w:spacing w:val="-5"/>
        </w:rPr>
        <w:t>la </w:t>
      </w:r>
      <w:r>
        <w:rPr/>
        <w:t>composición de </w:t>
      </w:r>
      <w:r>
        <w:rPr>
          <w:spacing w:val="-5"/>
        </w:rPr>
        <w:t>la </w:t>
      </w:r>
      <w:r>
        <w:rPr/>
        <w:t>leche, en especial sobre </w:t>
      </w:r>
      <w:r>
        <w:rPr>
          <w:spacing w:val="-5"/>
        </w:rPr>
        <w:t>la </w:t>
      </w:r>
      <w:r>
        <w:rPr/>
        <w:t>concentración de ácidos grasos y </w:t>
      </w:r>
      <w:r>
        <w:rPr>
          <w:spacing w:val="-3"/>
        </w:rPr>
        <w:t>la </w:t>
      </w:r>
      <w:r>
        <w:rPr/>
        <w:t>modificación de su</w:t>
      </w:r>
      <w:r>
        <w:rPr>
          <w:spacing w:val="-12"/>
        </w:rPr>
        <w:t> </w:t>
      </w:r>
      <w:r>
        <w:rPr/>
        <w:t>perfil.</w:t>
      </w:r>
    </w:p>
    <w:p>
      <w:pPr>
        <w:pStyle w:val="BodyText"/>
        <w:spacing w:line="360" w:lineRule="auto" w:before="213"/>
        <w:ind w:left="512" w:right="111"/>
        <w:jc w:val="both"/>
      </w:pPr>
      <w:r>
        <w:rPr/>
        <w:t>La presente investigación tiene el objetivo de evaluar la respuesta productiva, la calidad de la leche y el perfil de ácidos grasos de la misma, en los genotipos de ganado lechero Holstein y Pardo Suizo bajo pastoreo, complementado con distintos niveles de concentrado en el Valle de Toluca, México.</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1"/>
          <w:numId w:val="3"/>
        </w:numPr>
        <w:tabs>
          <w:tab w:pos="3681" w:val="left" w:leader="none"/>
          <w:tab w:pos="3682" w:val="left" w:leader="none"/>
        </w:tabs>
        <w:spacing w:line="240" w:lineRule="auto" w:before="69" w:after="0"/>
        <w:ind w:left="3682" w:right="0" w:hanging="605"/>
        <w:jc w:val="left"/>
      </w:pPr>
      <w:r>
        <w:rPr/>
        <w:t>REVISIÓN</w:t>
      </w:r>
      <w:r>
        <w:rPr>
          <w:spacing w:val="-15"/>
        </w:rPr>
        <w:t> </w:t>
      </w:r>
      <w:r>
        <w:rPr/>
        <w:t>BIBLIOGRÁFICA</w:t>
      </w:r>
    </w:p>
    <w:p>
      <w:pPr>
        <w:pStyle w:val="BodyText"/>
        <w:rPr>
          <w:b/>
        </w:rPr>
      </w:pPr>
    </w:p>
    <w:p>
      <w:pPr>
        <w:pStyle w:val="BodyText"/>
        <w:spacing w:before="9"/>
        <w:rPr>
          <w:b/>
          <w:sz w:val="23"/>
        </w:rPr>
      </w:pPr>
    </w:p>
    <w:p>
      <w:pPr>
        <w:pStyle w:val="ListParagraph"/>
        <w:numPr>
          <w:ilvl w:val="0"/>
          <w:numId w:val="4"/>
        </w:numPr>
        <w:tabs>
          <w:tab w:pos="1233" w:val="left" w:leader="none"/>
        </w:tabs>
        <w:spacing w:line="360" w:lineRule="auto" w:before="0" w:after="0"/>
        <w:ind w:left="1233" w:right="504" w:hanging="360"/>
        <w:jc w:val="left"/>
        <w:rPr>
          <w:b/>
          <w:sz w:val="24"/>
        </w:rPr>
      </w:pPr>
      <w:r>
        <w:rPr>
          <w:b/>
          <w:sz w:val="24"/>
        </w:rPr>
        <w:t>SITUACIÓN ACTUAL DE LA PRODUCCIÓN DE LECHE</w:t>
      </w:r>
      <w:r>
        <w:rPr>
          <w:b/>
          <w:spacing w:val="-19"/>
          <w:sz w:val="24"/>
        </w:rPr>
        <w:t> </w:t>
      </w:r>
      <w:r>
        <w:rPr>
          <w:b/>
          <w:sz w:val="24"/>
        </w:rPr>
        <w:t>(SITUACIÓN DE LE LECHERÍA EN EL ALTIPLANO CENTRAL DE</w:t>
      </w:r>
      <w:r>
        <w:rPr>
          <w:b/>
          <w:spacing w:val="-18"/>
          <w:sz w:val="24"/>
        </w:rPr>
        <w:t> </w:t>
      </w:r>
      <w:r>
        <w:rPr>
          <w:b/>
          <w:sz w:val="24"/>
        </w:rPr>
        <w:t>MÉXICO)</w:t>
      </w:r>
    </w:p>
    <w:p>
      <w:pPr>
        <w:pStyle w:val="BodyText"/>
        <w:spacing w:line="357" w:lineRule="auto" w:before="205"/>
        <w:ind w:left="512" w:right="106"/>
        <w:jc w:val="both"/>
      </w:pPr>
      <w:r>
        <w:rPr/>
        <w:t>En la última década aumentó el consumo mundial de leche fluida, atribuido principalmente al crecimiento de la población; aunado a ello, la producción mundial de leche también aumentó en los últimos años para satisfacer dicha demanda (SIAP, 2011).</w:t>
      </w:r>
    </w:p>
    <w:p>
      <w:pPr>
        <w:pStyle w:val="BodyText"/>
        <w:rPr>
          <w:sz w:val="20"/>
        </w:rPr>
      </w:pPr>
    </w:p>
    <w:p>
      <w:pPr>
        <w:pStyle w:val="BodyText"/>
        <w:spacing w:before="11"/>
        <w:rPr>
          <w:sz w:val="18"/>
        </w:rPr>
      </w:pPr>
    </w:p>
    <w:p>
      <w:pPr>
        <w:spacing w:before="61"/>
        <w:ind w:left="524" w:right="5986" w:firstLine="0"/>
        <w:jc w:val="center"/>
        <w:rPr>
          <w:rFonts w:ascii="Calibri"/>
          <w:sz w:val="20"/>
        </w:rPr>
      </w:pPr>
      <w:r>
        <w:rPr/>
        <w:pict>
          <v:group style="position:absolute;margin-left:196.285004pt;margin-top:-.388491pt;width:285.2pt;height:181.6pt;mso-position-horizontal-relative:page;mso-position-vertical-relative:paragraph;z-index:1072" coordorigin="3926,-8" coordsize="5704,3632">
            <v:shape style="position:absolute;left:3955;top:-8;width:5674;height:3600" type="#_x0000_t75" stroked="false">
              <v:imagedata r:id="rId10" o:title=""/>
            </v:shape>
            <v:shape style="position:absolute;left:3933;top:179;width:5459;height:3437" coordorigin="3933,179" coordsize="5459,3437" path="m3998,3552l3933,3552m3998,3213l3933,3213m3998,2877l3933,2877m3998,2541l3933,2541m3998,2205l3933,2205m3998,1864l3933,1864m3998,1528l3933,1528m3998,1192l3933,1192m3998,856l3933,856m3998,515l3933,515m3998,179l3933,179m4000,3554l4000,3616m4490,3554l4490,3616m4980,3554l4980,3616m5469,3554l5469,3616m5959,3554l5959,3616m6448,3554l6448,3616m6938,3554l6938,3616m7432,3554l7432,3616m7922,3554l7922,3616m8412,3554l8412,3616m8901,3554l8901,3616m9392,3554l9392,3616e" filled="false" stroked="true" strokeweight=".75pt" strokecolor="#858585">
              <v:path arrowok="t"/>
            </v:shape>
            <w10:wrap type="none"/>
          </v:group>
        </w:pict>
      </w:r>
      <w:r>
        <w:rPr>
          <w:rFonts w:ascii="Calibri"/>
          <w:sz w:val="20"/>
        </w:rPr>
        <w:t>11,000,000</w:t>
      </w:r>
    </w:p>
    <w:p>
      <w:pPr>
        <w:spacing w:before="93"/>
        <w:ind w:left="524" w:right="5986" w:firstLine="0"/>
        <w:jc w:val="center"/>
        <w:rPr>
          <w:rFonts w:ascii="Calibri"/>
          <w:sz w:val="20"/>
        </w:rPr>
      </w:pPr>
      <w:r>
        <w:rPr>
          <w:rFonts w:ascii="Calibri"/>
          <w:sz w:val="20"/>
        </w:rPr>
        <w:t>10,800,000</w:t>
      </w:r>
    </w:p>
    <w:p>
      <w:pPr>
        <w:spacing w:before="93"/>
        <w:ind w:left="524" w:right="5986" w:firstLine="0"/>
        <w:jc w:val="center"/>
        <w:rPr>
          <w:rFonts w:ascii="Calibri"/>
          <w:sz w:val="20"/>
        </w:rPr>
      </w:pPr>
      <w:r>
        <w:rPr>
          <w:rFonts w:ascii="Calibri"/>
          <w:sz w:val="20"/>
        </w:rPr>
        <w:t>10,600,000</w:t>
      </w:r>
    </w:p>
    <w:p>
      <w:pPr>
        <w:spacing w:before="93"/>
        <w:ind w:left="524" w:right="5986" w:firstLine="0"/>
        <w:jc w:val="center"/>
        <w:rPr>
          <w:rFonts w:ascii="Calibri"/>
          <w:sz w:val="20"/>
        </w:rPr>
      </w:pPr>
      <w:r>
        <w:rPr>
          <w:rFonts w:ascii="Calibri"/>
          <w:sz w:val="20"/>
        </w:rPr>
        <w:t>10,400,000</w:t>
      </w:r>
    </w:p>
    <w:p>
      <w:pPr>
        <w:spacing w:before="93"/>
        <w:ind w:left="524" w:right="5986" w:firstLine="0"/>
        <w:jc w:val="center"/>
        <w:rPr>
          <w:rFonts w:ascii="Calibri"/>
          <w:sz w:val="20"/>
        </w:rPr>
      </w:pPr>
      <w:r>
        <w:rPr>
          <w:rFonts w:ascii="Calibri"/>
          <w:sz w:val="20"/>
        </w:rPr>
        <w:t>10,200,000</w:t>
      </w:r>
    </w:p>
    <w:p>
      <w:pPr>
        <w:spacing w:before="93"/>
        <w:ind w:left="524" w:right="5986" w:firstLine="0"/>
        <w:jc w:val="center"/>
        <w:rPr>
          <w:rFonts w:ascii="Calibri"/>
          <w:sz w:val="20"/>
        </w:rPr>
      </w:pPr>
      <w:r>
        <w:rPr>
          <w:rFonts w:ascii="Calibri"/>
          <w:sz w:val="20"/>
        </w:rPr>
        <w:t>10,000,000</w:t>
      </w:r>
    </w:p>
    <w:p>
      <w:pPr>
        <w:spacing w:before="92"/>
        <w:ind w:left="524" w:right="5880" w:firstLine="0"/>
        <w:jc w:val="center"/>
        <w:rPr>
          <w:rFonts w:ascii="Calibri"/>
          <w:sz w:val="20"/>
        </w:rPr>
      </w:pPr>
      <w:r>
        <w:rPr>
          <w:rFonts w:ascii="Calibri"/>
          <w:sz w:val="20"/>
        </w:rPr>
        <w:t>9,800,000</w:t>
      </w:r>
    </w:p>
    <w:p>
      <w:pPr>
        <w:spacing w:before="93"/>
        <w:ind w:left="524" w:right="5880" w:firstLine="0"/>
        <w:jc w:val="center"/>
        <w:rPr>
          <w:rFonts w:ascii="Calibri"/>
          <w:sz w:val="20"/>
        </w:rPr>
      </w:pPr>
      <w:r>
        <w:rPr>
          <w:rFonts w:ascii="Calibri"/>
          <w:sz w:val="20"/>
        </w:rPr>
        <w:t>9,600,000</w:t>
      </w:r>
    </w:p>
    <w:p>
      <w:pPr>
        <w:spacing w:before="93"/>
        <w:ind w:left="524" w:right="5880" w:firstLine="0"/>
        <w:jc w:val="center"/>
        <w:rPr>
          <w:rFonts w:ascii="Calibri"/>
          <w:sz w:val="20"/>
        </w:rPr>
      </w:pPr>
      <w:r>
        <w:rPr>
          <w:rFonts w:ascii="Calibri"/>
          <w:sz w:val="20"/>
        </w:rPr>
        <w:t>9,400,000</w:t>
      </w:r>
    </w:p>
    <w:p>
      <w:pPr>
        <w:spacing w:before="93"/>
        <w:ind w:left="524" w:right="5880" w:firstLine="0"/>
        <w:jc w:val="center"/>
        <w:rPr>
          <w:rFonts w:ascii="Calibri"/>
          <w:sz w:val="20"/>
        </w:rPr>
      </w:pPr>
      <w:r>
        <w:rPr>
          <w:rFonts w:ascii="Calibri"/>
          <w:sz w:val="20"/>
        </w:rPr>
        <w:t>9,200,000</w:t>
      </w:r>
    </w:p>
    <w:p>
      <w:pPr>
        <w:spacing w:before="93"/>
        <w:ind w:left="524" w:right="5880" w:firstLine="0"/>
        <w:jc w:val="center"/>
        <w:rPr>
          <w:rFonts w:ascii="Calibri"/>
          <w:sz w:val="20"/>
        </w:rPr>
      </w:pPr>
      <w:r>
        <w:rPr>
          <w:rFonts w:ascii="Calibri"/>
          <w:sz w:val="20"/>
        </w:rPr>
        <w:t>9,000,000</w:t>
      </w:r>
    </w:p>
    <w:p>
      <w:pPr>
        <w:spacing w:before="5"/>
        <w:ind w:left="2682" w:right="105" w:firstLine="0"/>
        <w:jc w:val="left"/>
        <w:rPr>
          <w:rFonts w:ascii="Calibri"/>
          <w:sz w:val="20"/>
        </w:rPr>
      </w:pPr>
      <w:r>
        <w:rPr>
          <w:rFonts w:ascii="Calibri"/>
          <w:sz w:val="20"/>
        </w:rPr>
        <w:t>2003 2004 2005 2006 2007 2008 2009 2010 2011</w:t>
      </w:r>
    </w:p>
    <w:p>
      <w:pPr>
        <w:pStyle w:val="BodyText"/>
        <w:rPr>
          <w:rFonts w:ascii="Calibri"/>
          <w:sz w:val="20"/>
        </w:rPr>
      </w:pPr>
    </w:p>
    <w:p>
      <w:pPr>
        <w:pStyle w:val="BodyText"/>
        <w:spacing w:before="5"/>
        <w:rPr>
          <w:rFonts w:ascii="Calibri"/>
          <w:sz w:val="20"/>
        </w:rPr>
      </w:pPr>
    </w:p>
    <w:p>
      <w:pPr>
        <w:spacing w:before="0"/>
        <w:ind w:left="524" w:right="121" w:firstLine="0"/>
        <w:jc w:val="center"/>
        <w:rPr>
          <w:sz w:val="20"/>
        </w:rPr>
      </w:pPr>
      <w:r>
        <w:rPr>
          <w:b/>
          <w:sz w:val="20"/>
        </w:rPr>
        <w:t>Figura 1. </w:t>
      </w:r>
      <w:r>
        <w:rPr>
          <w:sz w:val="20"/>
        </w:rPr>
        <w:t>Producción nacional anual de leche de bovino (SIAP, 2011).</w:t>
      </w:r>
    </w:p>
    <w:p>
      <w:pPr>
        <w:pStyle w:val="BodyText"/>
        <w:rPr>
          <w:sz w:val="20"/>
        </w:rPr>
      </w:pPr>
    </w:p>
    <w:p>
      <w:pPr>
        <w:pStyle w:val="BodyText"/>
        <w:rPr>
          <w:sz w:val="20"/>
        </w:rPr>
      </w:pPr>
    </w:p>
    <w:p>
      <w:pPr>
        <w:pStyle w:val="BodyText"/>
        <w:rPr>
          <w:sz w:val="20"/>
        </w:rPr>
      </w:pPr>
    </w:p>
    <w:p>
      <w:pPr>
        <w:pStyle w:val="BodyText"/>
        <w:spacing w:before="1"/>
        <w:rPr>
          <w:sz w:val="21"/>
        </w:rPr>
      </w:pPr>
    </w:p>
    <w:p>
      <w:pPr>
        <w:pStyle w:val="BodyText"/>
        <w:spacing w:line="360" w:lineRule="auto" w:before="1"/>
        <w:ind w:left="512" w:right="105"/>
        <w:jc w:val="both"/>
      </w:pPr>
      <w:r>
        <w:rPr/>
        <w:t>En cuanto a </w:t>
      </w:r>
      <w:r>
        <w:rPr>
          <w:spacing w:val="-5"/>
        </w:rPr>
        <w:t>la </w:t>
      </w:r>
      <w:r>
        <w:rPr/>
        <w:t>producción nacional de leche de bovino (Figura 1), se </w:t>
      </w:r>
      <w:r>
        <w:rPr>
          <w:spacing w:val="-3"/>
        </w:rPr>
        <w:t>ha </w:t>
      </w:r>
      <w:r>
        <w:rPr/>
        <w:t>observado una tasa media de crecimiento de 1.3% en el período de 2003 a 2011, esta tendencia de crecimiento se </w:t>
      </w:r>
      <w:r>
        <w:rPr>
          <w:spacing w:val="-3"/>
        </w:rPr>
        <w:t>ha </w:t>
      </w:r>
      <w:r>
        <w:rPr/>
        <w:t>mantenido por casi dos décadas, desde inicio de los años noventa, </w:t>
      </w:r>
      <w:r>
        <w:rPr>
          <w:spacing w:val="-3"/>
        </w:rPr>
        <w:t>sin </w:t>
      </w:r>
      <w:r>
        <w:rPr/>
        <w:t>embargo, a pesar de su crecimiento, </w:t>
      </w:r>
      <w:r>
        <w:rPr>
          <w:spacing w:val="-3"/>
        </w:rPr>
        <w:t>sólo </w:t>
      </w:r>
      <w:r>
        <w:rPr/>
        <w:t>contribuye con aproximadamente el 80% del consumo nacional (SIAP,</w:t>
      </w:r>
      <w:r>
        <w:rPr>
          <w:spacing w:val="-7"/>
        </w:rPr>
        <w:t> </w:t>
      </w:r>
      <w:r>
        <w:rPr/>
        <w:t>2011).</w:t>
      </w:r>
    </w:p>
    <w:p>
      <w:pPr>
        <w:pStyle w:val="BodyText"/>
        <w:spacing w:line="360" w:lineRule="auto" w:before="210"/>
        <w:ind w:left="512" w:right="108"/>
        <w:jc w:val="both"/>
      </w:pPr>
      <w:r>
        <w:rPr/>
        <w:t>Para satisfacer la demanda nacional, el país requiere importar leche en polvo, y en menor proporción,  preparaciones  lácteas,  utilizadas  para  la  elaboración  de  productos    lácteos</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6"/>
        <w:jc w:val="both"/>
      </w:pPr>
      <w:r>
        <w:rPr/>
        <w:pict>
          <v:group style="position:absolute;margin-left:168pt;margin-top:141.59314pt;width:293.05pt;height:167.3pt;mso-position-horizontal-relative:page;mso-position-vertical-relative:paragraph;z-index:-158224" coordorigin="3360,2832" coordsize="5861,3346">
            <v:shape style="position:absolute;left:3360;top:2832;width:5861;height:3346" type="#_x0000_t75" stroked="false">
              <v:imagedata r:id="rId11" o:title=""/>
            </v:shape>
            <v:shape style="position:absolute;left:3372;top:3517;width:5712;height:2027" coordorigin="3372,3517" coordsize="5712,2027" path="m8992,3911l9084,3892m3900,5288l3693,5544m3636,4933l3544,4996m3578,4602l3372,4204m3621,3839l3396,3517e" filled="false" stroked="true" strokeweight=".75pt" strokecolor="#000000">
              <v:path arrowok="t"/>
            </v:shape>
            <w10:wrap type="none"/>
          </v:group>
        </w:pict>
      </w:r>
      <w:r>
        <w:rPr/>
        <w:t>principalmente. En cuanto a </w:t>
      </w:r>
      <w:r>
        <w:rPr>
          <w:spacing w:val="-3"/>
        </w:rPr>
        <w:t>las </w:t>
      </w:r>
      <w:r>
        <w:rPr/>
        <w:t>importaciones de leche en polvo, provenientes principalmente de E.U.A., </w:t>
      </w:r>
      <w:r>
        <w:rPr>
          <w:spacing w:val="-3"/>
        </w:rPr>
        <w:t>ha </w:t>
      </w:r>
      <w:r>
        <w:rPr/>
        <w:t>mostrado aumentos de </w:t>
      </w:r>
      <w:r>
        <w:rPr>
          <w:spacing w:val="-3"/>
        </w:rPr>
        <w:t>más </w:t>
      </w:r>
      <w:r>
        <w:rPr/>
        <w:t>de 60% durante 2003 a 2011. En contraste, en </w:t>
      </w:r>
      <w:r>
        <w:rPr>
          <w:spacing w:val="-5"/>
        </w:rPr>
        <w:t>la </w:t>
      </w:r>
      <w:r>
        <w:rPr/>
        <w:t>importación de preparaciones lácteas, se </w:t>
      </w:r>
      <w:r>
        <w:rPr>
          <w:spacing w:val="-3"/>
        </w:rPr>
        <w:t>ha </w:t>
      </w:r>
      <w:r>
        <w:rPr/>
        <w:t>observado una reducción hasta el año 2011. En México </w:t>
      </w:r>
      <w:r>
        <w:rPr>
          <w:spacing w:val="-4"/>
        </w:rPr>
        <w:t>la </w:t>
      </w:r>
      <w:r>
        <w:rPr/>
        <w:t>producción de leche (Figura 2) se ubica principalmente en los Estados de Jalisco (18%) y </w:t>
      </w:r>
      <w:r>
        <w:rPr>
          <w:spacing w:val="-5"/>
        </w:rPr>
        <w:t>la </w:t>
      </w:r>
      <w:r>
        <w:rPr/>
        <w:t>Región Lagunera (Coahuila y Durango con</w:t>
      </w:r>
      <w:r>
        <w:rPr>
          <w:spacing w:val="-14"/>
        </w:rPr>
        <w:t> </w:t>
      </w:r>
      <w:r>
        <w:rPr/>
        <w:t>21%).</w:t>
      </w:r>
    </w:p>
    <w:p>
      <w:pPr>
        <w:pStyle w:val="BodyText"/>
        <w:rPr>
          <w:sz w:val="20"/>
        </w:rPr>
      </w:pPr>
    </w:p>
    <w:p>
      <w:pPr>
        <w:pStyle w:val="BodyText"/>
        <w:rPr>
          <w:sz w:val="20"/>
        </w:rPr>
      </w:pPr>
    </w:p>
    <w:p>
      <w:pPr>
        <w:pStyle w:val="BodyText"/>
        <w:rPr>
          <w:sz w:val="20"/>
        </w:rPr>
      </w:pPr>
    </w:p>
    <w:p>
      <w:pPr>
        <w:spacing w:after="0"/>
        <w:rPr>
          <w:sz w:val="20"/>
        </w:rPr>
        <w:sectPr>
          <w:pgSz w:w="12240" w:h="15840"/>
          <w:pgMar w:header="1150" w:footer="1382" w:top="1420" w:bottom="1580" w:left="1360" w:right="1420"/>
        </w:sectPr>
      </w:pPr>
    </w:p>
    <w:p>
      <w:pPr>
        <w:pStyle w:val="BodyText"/>
        <w:spacing w:before="3"/>
      </w:pPr>
    </w:p>
    <w:p>
      <w:pPr>
        <w:spacing w:before="0"/>
        <w:ind w:left="1402" w:right="0" w:firstLine="0"/>
        <w:jc w:val="center"/>
        <w:rPr>
          <w:rFonts w:ascii="Calibri"/>
          <w:b/>
          <w:sz w:val="20"/>
        </w:rPr>
      </w:pPr>
      <w:r>
        <w:rPr>
          <w:rFonts w:ascii="Calibri"/>
          <w:b/>
          <w:sz w:val="20"/>
        </w:rPr>
        <w:t>HIDALGO</w:t>
      </w:r>
    </w:p>
    <w:p>
      <w:pPr>
        <w:spacing w:before="1"/>
        <w:ind w:left="0" w:right="46" w:firstLine="0"/>
        <w:jc w:val="right"/>
        <w:rPr>
          <w:rFonts w:ascii="Calibri"/>
          <w:b/>
          <w:sz w:val="20"/>
        </w:rPr>
      </w:pPr>
      <w:r>
        <w:rPr>
          <w:rFonts w:ascii="Calibri"/>
          <w:b/>
          <w:sz w:val="20"/>
        </w:rPr>
        <w:t>4% </w:t>
      </w:r>
      <w:r>
        <w:rPr>
          <w:rFonts w:ascii="Calibri"/>
          <w:b/>
          <w:w w:val="100"/>
          <w:sz w:val="20"/>
          <w:u w:val="single"/>
        </w:rPr>
        <w:t> </w:t>
      </w:r>
      <w:r>
        <w:rPr>
          <w:rFonts w:ascii="Calibri"/>
          <w:b/>
          <w:sz w:val="20"/>
          <w:u w:val="single"/>
        </w:rPr>
        <w:t> </w:t>
      </w:r>
    </w:p>
    <w:p>
      <w:pPr>
        <w:pStyle w:val="BodyText"/>
        <w:spacing w:before="2"/>
        <w:rPr>
          <w:rFonts w:ascii="Calibri"/>
          <w:b/>
          <w:sz w:val="15"/>
        </w:rPr>
      </w:pPr>
    </w:p>
    <w:p>
      <w:pPr>
        <w:spacing w:before="0"/>
        <w:ind w:left="0" w:right="46" w:firstLine="0"/>
        <w:jc w:val="right"/>
        <w:rPr>
          <w:rFonts w:ascii="Calibri"/>
          <w:b/>
          <w:sz w:val="20"/>
        </w:rPr>
      </w:pPr>
      <w:r>
        <w:rPr>
          <w:rFonts w:ascii="Calibri"/>
          <w:b/>
          <w:sz w:val="20"/>
        </w:rPr>
        <w:t>CHIAPAS</w:t>
      </w:r>
    </w:p>
    <w:p>
      <w:pPr>
        <w:spacing w:before="0"/>
        <w:ind w:left="0" w:right="126" w:firstLine="0"/>
        <w:jc w:val="right"/>
        <w:rPr>
          <w:rFonts w:ascii="Calibri"/>
          <w:b/>
          <w:sz w:val="20"/>
        </w:rPr>
      </w:pPr>
      <w:r>
        <w:rPr>
          <w:rFonts w:ascii="Calibri"/>
          <w:b/>
          <w:sz w:val="20"/>
        </w:rPr>
        <w:t>4% </w:t>
      </w:r>
      <w:r>
        <w:rPr>
          <w:rFonts w:ascii="Calibri"/>
          <w:b/>
          <w:w w:val="100"/>
          <w:sz w:val="20"/>
          <w:u w:val="single"/>
        </w:rPr>
        <w:t> </w:t>
      </w:r>
      <w:r>
        <w:rPr>
          <w:rFonts w:ascii="Calibri"/>
          <w:b/>
          <w:sz w:val="20"/>
          <w:u w:val="single"/>
        </w:rPr>
        <w:t> </w:t>
      </w:r>
    </w:p>
    <w:p>
      <w:pPr>
        <w:pStyle w:val="BodyText"/>
        <w:spacing w:before="9"/>
        <w:rPr>
          <w:rFonts w:ascii="Calibri"/>
          <w:b/>
          <w:sz w:val="16"/>
        </w:rPr>
      </w:pPr>
      <w:r>
        <w:rPr/>
        <w:br w:type="column"/>
      </w:r>
      <w:r>
        <w:rPr>
          <w:rFonts w:ascii="Calibri"/>
          <w:b/>
          <w:sz w:val="16"/>
        </w:rPr>
      </w:r>
    </w:p>
    <w:p>
      <w:pPr>
        <w:spacing w:before="0"/>
        <w:ind w:left="1498" w:right="-15" w:hanging="96"/>
        <w:jc w:val="left"/>
        <w:rPr>
          <w:rFonts w:ascii="Calibri"/>
          <w:b/>
          <w:sz w:val="20"/>
        </w:rPr>
      </w:pPr>
      <w:r>
        <w:rPr>
          <w:rFonts w:ascii="Calibri"/>
          <w:b/>
          <w:sz w:val="20"/>
        </w:rPr>
        <w:t>RESTO 22%</w:t>
      </w:r>
    </w:p>
    <w:p>
      <w:pPr>
        <w:pStyle w:val="BodyText"/>
        <w:spacing w:before="6"/>
        <w:rPr>
          <w:rFonts w:ascii="Calibri"/>
          <w:b/>
          <w:sz w:val="15"/>
        </w:rPr>
      </w:pPr>
      <w:r>
        <w:rPr/>
        <w:br w:type="column"/>
      </w:r>
      <w:r>
        <w:rPr>
          <w:rFonts w:ascii="Calibri"/>
          <w:b/>
          <w:sz w:val="15"/>
        </w:rPr>
      </w:r>
    </w:p>
    <w:p>
      <w:pPr>
        <w:spacing w:before="0"/>
        <w:ind w:left="1314" w:right="-13" w:hanging="159"/>
        <w:jc w:val="left"/>
        <w:rPr>
          <w:rFonts w:ascii="Calibri"/>
          <w:b/>
          <w:sz w:val="20"/>
        </w:rPr>
      </w:pPr>
      <w:r>
        <w:rPr>
          <w:rFonts w:ascii="Calibri"/>
          <w:b/>
          <w:sz w:val="20"/>
        </w:rPr>
        <w:t>JALISCO 18%</w:t>
      </w:r>
    </w:p>
    <w:p>
      <w:pPr>
        <w:pStyle w:val="BodyText"/>
        <w:rPr>
          <w:rFonts w:ascii="Calibri"/>
          <w:b/>
          <w:sz w:val="20"/>
        </w:rPr>
      </w:pPr>
      <w:r>
        <w:rPr/>
        <w:br w:type="column"/>
      </w:r>
      <w:r>
        <w:rPr>
          <w:rFonts w:ascii="Calibri"/>
          <w:b/>
          <w:sz w:val="20"/>
        </w:rPr>
      </w:r>
    </w:p>
    <w:p>
      <w:pPr>
        <w:pStyle w:val="BodyText"/>
        <w:rPr>
          <w:rFonts w:ascii="Calibri"/>
          <w:b/>
          <w:sz w:val="20"/>
        </w:rPr>
      </w:pPr>
    </w:p>
    <w:p>
      <w:pPr>
        <w:spacing w:before="151"/>
        <w:ind w:left="396" w:right="0" w:firstLine="0"/>
        <w:jc w:val="center"/>
        <w:rPr>
          <w:rFonts w:ascii="Calibri"/>
          <w:b/>
          <w:sz w:val="20"/>
        </w:rPr>
      </w:pPr>
      <w:r>
        <w:rPr>
          <w:rFonts w:ascii="Calibri"/>
          <w:b/>
          <w:sz w:val="20"/>
        </w:rPr>
        <w:t>COAHUILA</w:t>
      </w:r>
    </w:p>
    <w:p>
      <w:pPr>
        <w:spacing w:before="0"/>
        <w:ind w:left="276" w:right="0" w:firstLine="0"/>
        <w:jc w:val="center"/>
        <w:rPr>
          <w:rFonts w:ascii="Calibri"/>
          <w:b/>
          <w:sz w:val="20"/>
        </w:rPr>
      </w:pPr>
      <w:r>
        <w:rPr>
          <w:rFonts w:ascii="Calibri"/>
          <w:b/>
          <w:w w:val="100"/>
          <w:sz w:val="20"/>
          <w:u w:val="single"/>
        </w:rPr>
        <w:t> </w:t>
      </w:r>
      <w:r>
        <w:rPr>
          <w:rFonts w:ascii="Calibri"/>
          <w:b/>
          <w:sz w:val="20"/>
          <w:u w:val="single"/>
        </w:rPr>
        <w:t>  </w:t>
      </w:r>
      <w:r>
        <w:rPr>
          <w:rFonts w:ascii="Calibri"/>
          <w:b/>
          <w:sz w:val="20"/>
        </w:rPr>
        <w:t>12%</w:t>
      </w:r>
    </w:p>
    <w:p>
      <w:pPr>
        <w:spacing w:after="0"/>
        <w:jc w:val="center"/>
        <w:rPr>
          <w:rFonts w:ascii="Calibri"/>
          <w:sz w:val="20"/>
        </w:rPr>
        <w:sectPr>
          <w:type w:val="continuous"/>
          <w:pgSz w:w="12240" w:h="15840"/>
          <w:pgMar w:top="1380" w:bottom="280" w:left="1360" w:right="1420"/>
          <w:cols w:num="4" w:equalWidth="0">
            <w:col w:w="2182" w:space="102"/>
            <w:col w:w="1946" w:space="40"/>
            <w:col w:w="1823" w:space="80"/>
            <w:col w:w="3287"/>
          </w:cols>
        </w:sectPr>
      </w:pPr>
    </w:p>
    <w:p>
      <w:pPr>
        <w:pStyle w:val="BodyText"/>
        <w:rPr>
          <w:rFonts w:ascii="Calibri"/>
          <w:b/>
          <w:sz w:val="9"/>
        </w:rPr>
      </w:pPr>
    </w:p>
    <w:p>
      <w:pPr>
        <w:spacing w:after="0"/>
        <w:rPr>
          <w:rFonts w:ascii="Calibri"/>
          <w:sz w:val="9"/>
        </w:rPr>
        <w:sectPr>
          <w:type w:val="continuous"/>
          <w:pgSz w:w="12240" w:h="15840"/>
          <w:pgMar w:top="1380" w:bottom="280" w:left="1360" w:right="1420"/>
        </w:sectPr>
      </w:pPr>
    </w:p>
    <w:p>
      <w:pPr>
        <w:pStyle w:val="BodyText"/>
        <w:rPr>
          <w:rFonts w:ascii="Calibri"/>
          <w:b/>
          <w:sz w:val="20"/>
        </w:rPr>
      </w:pPr>
    </w:p>
    <w:p>
      <w:pPr>
        <w:pStyle w:val="BodyText"/>
        <w:spacing w:before="11"/>
        <w:rPr>
          <w:rFonts w:ascii="Calibri"/>
          <w:b/>
          <w:sz w:val="16"/>
        </w:rPr>
      </w:pPr>
    </w:p>
    <w:p>
      <w:pPr>
        <w:spacing w:before="1"/>
        <w:ind w:left="1526" w:right="72" w:hanging="123"/>
        <w:jc w:val="left"/>
        <w:rPr>
          <w:rFonts w:ascii="Calibri"/>
          <w:b/>
          <w:sz w:val="20"/>
        </w:rPr>
      </w:pPr>
      <w:r>
        <w:rPr>
          <w:rFonts w:ascii="Calibri"/>
          <w:b/>
          <w:sz w:val="20"/>
        </w:rPr>
        <w:t>PUEBLA  4%</w:t>
      </w:r>
    </w:p>
    <w:p>
      <w:pPr>
        <w:spacing w:before="51"/>
        <w:ind w:left="1592" w:right="66" w:firstLine="0"/>
        <w:jc w:val="center"/>
        <w:rPr>
          <w:rFonts w:ascii="Calibri"/>
          <w:b/>
          <w:sz w:val="20"/>
        </w:rPr>
      </w:pPr>
      <w:r>
        <w:rPr>
          <w:rFonts w:ascii="Calibri"/>
          <w:b/>
          <w:sz w:val="20"/>
        </w:rPr>
        <w:t>MEXICO </w:t>
      </w:r>
      <w:r>
        <w:rPr>
          <w:rFonts w:ascii="Calibri"/>
          <w:b/>
          <w:w w:val="101"/>
          <w:sz w:val="20"/>
          <w:u w:val="single"/>
        </w:rPr>
        <w:t> </w:t>
      </w:r>
      <w:r>
        <w:rPr>
          <w:rFonts w:ascii="Calibri"/>
          <w:b/>
          <w:sz w:val="20"/>
          <w:u w:val="single"/>
        </w:rPr>
        <w:t> </w:t>
      </w:r>
    </w:p>
    <w:p>
      <w:pPr>
        <w:spacing w:line="214" w:lineRule="exact" w:before="0"/>
        <w:ind w:left="0" w:right="388" w:firstLine="0"/>
        <w:jc w:val="right"/>
        <w:rPr>
          <w:rFonts w:ascii="Calibri"/>
          <w:b/>
          <w:sz w:val="20"/>
        </w:rPr>
      </w:pPr>
      <w:r>
        <w:rPr>
          <w:rFonts w:ascii="Calibri"/>
          <w:b/>
          <w:sz w:val="20"/>
        </w:rPr>
        <w:t>4%</w:t>
      </w:r>
    </w:p>
    <w:p>
      <w:pPr>
        <w:spacing w:before="61"/>
        <w:ind w:left="1403" w:right="2181" w:firstLine="0"/>
        <w:jc w:val="center"/>
        <w:rPr>
          <w:rFonts w:ascii="Calibri"/>
          <w:b/>
          <w:sz w:val="20"/>
        </w:rPr>
      </w:pPr>
      <w:r>
        <w:rPr/>
        <w:br w:type="column"/>
      </w:r>
      <w:r>
        <w:rPr>
          <w:rFonts w:ascii="Calibri"/>
          <w:b/>
          <w:sz w:val="20"/>
        </w:rPr>
        <w:t>DURANGO 9%</w:t>
      </w:r>
    </w:p>
    <w:p>
      <w:pPr>
        <w:spacing w:after="0"/>
        <w:jc w:val="center"/>
        <w:rPr>
          <w:rFonts w:ascii="Calibri"/>
          <w:sz w:val="20"/>
        </w:rPr>
        <w:sectPr>
          <w:type w:val="continuous"/>
          <w:pgSz w:w="12240" w:h="15840"/>
          <w:pgMar w:top="1380" w:bottom="280" w:left="1360" w:right="1420"/>
          <w:cols w:num="2" w:equalWidth="0">
            <w:col w:w="2375" w:space="2608"/>
            <w:col w:w="4477"/>
          </w:cols>
        </w:sectPr>
      </w:pPr>
    </w:p>
    <w:p>
      <w:pPr>
        <w:spacing w:line="205" w:lineRule="exact" w:before="0"/>
        <w:ind w:left="2335" w:right="0" w:firstLine="0"/>
        <w:jc w:val="center"/>
        <w:rPr>
          <w:rFonts w:ascii="Calibri"/>
          <w:b/>
          <w:sz w:val="20"/>
        </w:rPr>
      </w:pPr>
      <w:r>
        <w:rPr>
          <w:rFonts w:ascii="Calibri"/>
          <w:b/>
          <w:sz w:val="20"/>
        </w:rPr>
        <w:t>VERACRUZ</w:t>
      </w:r>
    </w:p>
    <w:p>
      <w:pPr>
        <w:spacing w:before="0"/>
        <w:ind w:left="0" w:right="327" w:firstLine="0"/>
        <w:jc w:val="right"/>
        <w:rPr>
          <w:rFonts w:ascii="Calibri"/>
          <w:b/>
          <w:sz w:val="20"/>
        </w:rPr>
      </w:pPr>
      <w:r>
        <w:rPr>
          <w:rFonts w:ascii="Calibri"/>
          <w:b/>
          <w:sz w:val="20"/>
        </w:rPr>
        <w:t>7%</w:t>
      </w:r>
    </w:p>
    <w:p>
      <w:pPr>
        <w:pStyle w:val="BodyText"/>
        <w:spacing w:before="1"/>
        <w:rPr>
          <w:rFonts w:ascii="Calibri"/>
          <w:b/>
          <w:sz w:val="20"/>
        </w:rPr>
      </w:pPr>
      <w:r>
        <w:rPr/>
        <w:br w:type="column"/>
      </w:r>
      <w:r>
        <w:rPr>
          <w:rFonts w:ascii="Calibri"/>
          <w:b/>
          <w:sz w:val="20"/>
        </w:rPr>
      </w:r>
    </w:p>
    <w:p>
      <w:pPr>
        <w:spacing w:before="0"/>
        <w:ind w:left="1060" w:right="-17" w:hanging="466"/>
        <w:jc w:val="left"/>
        <w:rPr>
          <w:rFonts w:ascii="Calibri"/>
          <w:b/>
          <w:sz w:val="20"/>
        </w:rPr>
      </w:pPr>
      <w:r>
        <w:rPr>
          <w:rFonts w:ascii="Calibri"/>
          <w:b/>
          <w:sz w:val="20"/>
        </w:rPr>
        <w:t>GUANAJUATO 7%</w:t>
      </w:r>
    </w:p>
    <w:p>
      <w:pPr>
        <w:spacing w:before="155"/>
        <w:ind w:left="1282" w:right="2420" w:hanging="399"/>
        <w:jc w:val="left"/>
        <w:rPr>
          <w:rFonts w:ascii="Calibri"/>
          <w:b/>
          <w:sz w:val="20"/>
        </w:rPr>
      </w:pPr>
      <w:r>
        <w:rPr/>
        <w:br w:type="column"/>
      </w:r>
      <w:r>
        <w:rPr>
          <w:rFonts w:ascii="Calibri"/>
          <w:b/>
          <w:sz w:val="20"/>
        </w:rPr>
        <w:t>CHIHUAHUA 9%</w:t>
      </w:r>
    </w:p>
    <w:p>
      <w:pPr>
        <w:spacing w:after="0"/>
        <w:jc w:val="left"/>
        <w:rPr>
          <w:rFonts w:ascii="Calibri"/>
          <w:sz w:val="20"/>
        </w:rPr>
        <w:sectPr>
          <w:type w:val="continuous"/>
          <w:pgSz w:w="12240" w:h="15840"/>
          <w:pgMar w:top="1380" w:bottom="280" w:left="1360" w:right="1420"/>
          <w:cols w:num="3" w:equalWidth="0">
            <w:col w:w="3233" w:space="40"/>
            <w:col w:w="1782" w:space="40"/>
            <w:col w:w="4365"/>
          </w:cols>
        </w:sectPr>
      </w:pPr>
    </w:p>
    <w:p>
      <w:pPr>
        <w:pStyle w:val="BodyText"/>
        <w:spacing w:before="7"/>
        <w:rPr>
          <w:rFonts w:ascii="Calibri"/>
          <w:b/>
          <w:sz w:val="29"/>
        </w:rPr>
      </w:pPr>
    </w:p>
    <w:p>
      <w:pPr>
        <w:spacing w:before="76"/>
        <w:ind w:left="2145" w:right="105" w:firstLine="0"/>
        <w:jc w:val="left"/>
        <w:rPr>
          <w:sz w:val="20"/>
        </w:rPr>
      </w:pPr>
      <w:r>
        <w:rPr>
          <w:b/>
          <w:sz w:val="20"/>
        </w:rPr>
        <w:t>Figura 2. </w:t>
      </w:r>
      <w:r>
        <w:rPr>
          <w:sz w:val="20"/>
        </w:rPr>
        <w:t>Producción de leche por Estado para el 2011 (SIAP, 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line="355" w:lineRule="auto" w:before="1"/>
        <w:ind w:left="7245" w:right="538" w:firstLine="0"/>
        <w:jc w:val="left"/>
        <w:rPr>
          <w:rFonts w:ascii="Calibri"/>
          <w:b/>
          <w:sz w:val="20"/>
        </w:rPr>
      </w:pPr>
      <w:r>
        <w:rPr/>
        <w:pict>
          <v:group style="position:absolute;margin-left:114.620003pt;margin-top:-20.688513pt;width:264.6pt;height:181pt;mso-position-horizontal-relative:page;mso-position-vertical-relative:paragraph;z-index:1264" coordorigin="2292,-414" coordsize="5292,3620">
            <v:shape style="position:absolute;left:2318;top:-414;width:5266;height:3619" type="#_x0000_t75" stroked="false">
              <v:imagedata r:id="rId12" o:title=""/>
            </v:shape>
            <v:shape style="position:absolute;left:2670;top:-202;width:837;height:686" coordorigin="2670,-202" coordsize="837,686" path="m2805,483l2670,446m3347,177l3030,-72m3030,-72l2939,-72m3507,115l3366,-202e" filled="false" stroked="true" strokeweight=".75pt" strokecolor="#000000">
              <v:path arrowok="t"/>
            </v:shape>
            <v:shape style="position:absolute;left:2292;top:-218;width:649;height:727" type="#_x0000_t202" filled="false" stroked="false">
              <v:textbox inset="0,0,0,0">
                <w:txbxContent>
                  <w:p>
                    <w:pPr>
                      <w:spacing w:line="205" w:lineRule="exact" w:before="0"/>
                      <w:ind w:left="375" w:right="-17" w:firstLine="0"/>
                      <w:jc w:val="left"/>
                      <w:rPr>
                        <w:rFonts w:ascii="Calibri"/>
                        <w:sz w:val="20"/>
                      </w:rPr>
                    </w:pPr>
                    <w:r>
                      <w:rPr>
                        <w:rFonts w:ascii="Calibri"/>
                        <w:sz w:val="20"/>
                      </w:rPr>
                      <w:t>2%</w:t>
                    </w:r>
                  </w:p>
                  <w:p>
                    <w:pPr>
                      <w:spacing w:line="219" w:lineRule="exact" w:before="86"/>
                      <w:ind w:left="405" w:right="-17" w:firstLine="0"/>
                      <w:jc w:val="left"/>
                      <w:rPr>
                        <w:rFonts w:ascii="Calibri"/>
                        <w:sz w:val="20"/>
                      </w:rPr>
                    </w:pPr>
                    <w:r>
                      <w:rPr>
                        <w:rFonts w:ascii="Calibri"/>
                        <w:spacing w:val="-2"/>
                        <w:sz w:val="20"/>
                      </w:rPr>
                      <w:t>5%</w:t>
                    </w:r>
                  </w:p>
                  <w:p>
                    <w:pPr>
                      <w:spacing w:line="216" w:lineRule="exact" w:before="0"/>
                      <w:ind w:left="0" w:right="-17" w:firstLine="0"/>
                      <w:jc w:val="left"/>
                      <w:rPr>
                        <w:rFonts w:ascii="Calibri"/>
                        <w:sz w:val="20"/>
                      </w:rPr>
                    </w:pPr>
                    <w:r>
                      <w:rPr>
                        <w:rFonts w:ascii="Calibri"/>
                        <w:sz w:val="20"/>
                      </w:rPr>
                      <w:t>1% </w:t>
                    </w:r>
                    <w:r>
                      <w:rPr>
                        <w:rFonts w:ascii="Calibri"/>
                        <w:w w:val="100"/>
                        <w:sz w:val="20"/>
                        <w:u w:val="single"/>
                      </w:rPr>
                      <w:t> </w:t>
                    </w:r>
                    <w:r>
                      <w:rPr>
                        <w:rFonts w:ascii="Calibri"/>
                        <w:sz w:val="20"/>
                        <w:u w:val="single"/>
                      </w:rPr>
                      <w:t> </w:t>
                    </w:r>
                  </w:p>
                </w:txbxContent>
              </v:textbox>
              <w10:wrap type="none"/>
            </v:shape>
            <v:shape style="position:absolute;left:2998;top:-338;width:410;height:202" type="#_x0000_t202" filled="false" stroked="false">
              <v:textbox inset="0,0,0,0">
                <w:txbxContent>
                  <w:p>
                    <w:pPr>
                      <w:spacing w:line="202" w:lineRule="exact" w:before="0"/>
                      <w:ind w:left="0" w:right="0" w:firstLine="0"/>
                      <w:jc w:val="left"/>
                      <w:rPr>
                        <w:rFonts w:ascii="Calibri"/>
                        <w:sz w:val="20"/>
                      </w:rPr>
                    </w:pPr>
                    <w:r>
                      <w:rPr>
                        <w:rFonts w:ascii="Calibri"/>
                        <w:sz w:val="20"/>
                      </w:rPr>
                      <w:t>1% </w:t>
                    </w:r>
                    <w:r>
                      <w:rPr>
                        <w:rFonts w:ascii="Calibri"/>
                        <w:w w:val="100"/>
                        <w:sz w:val="20"/>
                        <w:u w:val="single"/>
                      </w:rPr>
                      <w:t> </w:t>
                    </w:r>
                    <w:r>
                      <w:rPr>
                        <w:rFonts w:ascii="Calibri"/>
                        <w:sz w:val="20"/>
                        <w:u w:val="single"/>
                      </w:rPr>
                      <w:t> </w:t>
                    </w:r>
                  </w:p>
                </w:txbxContent>
              </v:textbox>
              <w10:wrap type="none"/>
            </v:shape>
            <v:shape style="position:absolute;left:4226;top:7;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11%</w:t>
                    </w:r>
                  </w:p>
                </w:txbxContent>
              </v:textbox>
              <w10:wrap type="none"/>
            </v:shape>
            <v:shape style="position:absolute;left:5547;top:52;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15%</w:t>
                    </w:r>
                  </w:p>
                </w:txbxContent>
              </v:textbox>
              <w10:wrap type="none"/>
            </v:shape>
            <v:shape style="position:absolute;left:2726;top:1237;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24%</w:t>
                    </w:r>
                  </w:p>
                </w:txbxContent>
              </v:textbox>
              <w10:wrap type="none"/>
            </v:shape>
            <v:shape style="position:absolute;left:6447;top:1522;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41%</w:t>
                    </w:r>
                  </w:p>
                </w:txbxContent>
              </v:textbox>
              <w10:wrap type="none"/>
            </v:shape>
            <w10:wrap type="none"/>
          </v:group>
        </w:pict>
      </w:r>
      <w:r>
        <w:rPr/>
        <w:pict>
          <v:group style="position:absolute;margin-left:415.165009pt;margin-top:3.364187pt;width:6.25pt;height:6.25pt;mso-position-horizontal-relative:page;mso-position-vertical-relative:paragraph;z-index:1288" coordorigin="8303,67" coordsize="125,125">
            <v:rect style="position:absolute;left:8311;top:75;width:110;height:110" filled="true" fillcolor="#4571a7" stroked="false">
              <v:fill type="solid"/>
            </v:rect>
            <v:rect style="position:absolute;left:8311;top:75;width:110;height:110" filled="false" stroked="true" strokeweight=".75pt" strokecolor="#f8f8f8"/>
            <w10:wrap type="none"/>
          </v:group>
        </w:pict>
      </w:r>
      <w:r>
        <w:rPr/>
        <w:pict>
          <v:group style="position:absolute;margin-left:415.165009pt;margin-top:21.444187pt;width:6.25pt;height:6.25pt;mso-position-horizontal-relative:page;mso-position-vertical-relative:paragraph;z-index:1312" coordorigin="8303,429" coordsize="125,125">
            <v:rect style="position:absolute;left:8311;top:436;width:110;height:110" filled="true" fillcolor="#aa4643" stroked="false">
              <v:fill type="solid"/>
            </v:rect>
            <v:rect style="position:absolute;left:8311;top:436;width:110;height:110" filled="false" stroked="true" strokeweight=".75pt" strokecolor="#f8f8f8"/>
            <w10:wrap type="none"/>
          </v:group>
        </w:pict>
      </w:r>
      <w:r>
        <w:rPr/>
        <w:pict>
          <v:group style="position:absolute;margin-left:415.165009pt;margin-top:39.534187pt;width:6.25pt;height:6.25pt;mso-position-horizontal-relative:page;mso-position-vertical-relative:paragraph;z-index:1336" coordorigin="8303,791" coordsize="125,125">
            <v:rect style="position:absolute;left:8311;top:798;width:110;height:110" filled="true" fillcolor="#88a44e" stroked="false">
              <v:fill type="solid"/>
            </v:rect>
            <v:rect style="position:absolute;left:8311;top:798;width:110;height:110" filled="false" stroked="true" strokeweight=".75pt" strokecolor="#f8f8f8"/>
            <w10:wrap type="none"/>
          </v:group>
        </w:pict>
      </w:r>
      <w:r>
        <w:rPr/>
        <w:pict>
          <v:group style="position:absolute;margin-left:415.165009pt;margin-top:57.614185pt;width:6.25pt;height:6.25pt;mso-position-horizontal-relative:page;mso-position-vertical-relative:paragraph;z-index:1360" coordorigin="8303,1152" coordsize="125,125">
            <v:rect style="position:absolute;left:8311;top:1160;width:110;height:110" filled="true" fillcolor="#70578f" stroked="false">
              <v:fill type="solid"/>
            </v:rect>
            <v:rect style="position:absolute;left:8311;top:1160;width:110;height:110" filled="false" stroked="true" strokeweight=".75pt" strokecolor="#f8f8f8"/>
            <w10:wrap type="none"/>
          </v:group>
        </w:pict>
      </w:r>
      <w:r>
        <w:rPr/>
        <w:pict>
          <v:group style="position:absolute;margin-left:415.165009pt;margin-top:75.694183pt;width:6.25pt;height:6.25pt;mso-position-horizontal-relative:page;mso-position-vertical-relative:paragraph;z-index:1384" coordorigin="8303,1514" coordsize="125,125">
            <v:rect style="position:absolute;left:8311;top:1521;width:110;height:110" filled="true" fillcolor="#4197ae" stroked="false">
              <v:fill type="solid"/>
            </v:rect>
            <v:rect style="position:absolute;left:8311;top:1521;width:110;height:110" filled="false" stroked="true" strokeweight=".75pt" strokecolor="#f8f8f8"/>
            <w10:wrap type="none"/>
          </v:group>
        </w:pict>
      </w:r>
      <w:r>
        <w:rPr/>
        <w:pict>
          <v:group style="position:absolute;margin-left:415.165009pt;margin-top:93.774185pt;width:6.25pt;height:6.25pt;mso-position-horizontal-relative:page;mso-position-vertical-relative:paragraph;z-index:1408" coordorigin="8303,1875" coordsize="125,125">
            <v:rect style="position:absolute;left:8311;top:1883;width:110;height:110" filled="true" fillcolor="#db843c" stroked="false">
              <v:fill type="solid"/>
            </v:rect>
            <v:rect style="position:absolute;left:8311;top:1883;width:110;height:110" filled="false" stroked="true" strokeweight=".75pt" strokecolor="#f8f8f8"/>
            <w10:wrap type="none"/>
          </v:group>
        </w:pict>
      </w:r>
      <w:r>
        <w:rPr/>
        <w:pict>
          <v:group style="position:absolute;margin-left:415.165009pt;margin-top:111.864189pt;width:6.25pt;height:6.25pt;mso-position-horizontal-relative:page;mso-position-vertical-relative:paragraph;z-index:1432" coordorigin="8303,2237" coordsize="125,125">
            <v:rect style="position:absolute;left:8311;top:2245;width:110;height:110" filled="true" fillcolor="#92a9cf" stroked="false">
              <v:fill type="solid"/>
            </v:rect>
            <v:rect style="position:absolute;left:8311;top:2245;width:110;height:110" filled="false" stroked="true" strokeweight=".75pt" strokecolor="#f8f8f8"/>
            <w10:wrap type="none"/>
          </v:group>
        </w:pict>
      </w:r>
      <w:r>
        <w:rPr/>
        <w:pict>
          <v:group style="position:absolute;margin-left:415.165009pt;margin-top:129.944183pt;width:6.25pt;height:6.25pt;mso-position-horizontal-relative:page;mso-position-vertical-relative:paragraph;z-index:1456" coordorigin="8303,2599" coordsize="125,125">
            <v:rect style="position:absolute;left:8311;top:2606;width:110;height:110" filled="true" fillcolor="#d19292" stroked="false">
              <v:fill type="solid"/>
            </v:rect>
            <v:rect style="position:absolute;left:8311;top:2606;width:110;height:110" filled="false" stroked="true" strokeweight=".75pt" strokecolor="#f8f8f8"/>
            <w10:wrap type="none"/>
          </v:group>
        </w:pict>
      </w:r>
      <w:r>
        <w:rPr>
          <w:rFonts w:ascii="Calibri"/>
          <w:b/>
          <w:sz w:val="20"/>
        </w:rPr>
        <w:t>TOLUCA ZUMPANGO TEXCOCO TEJUPILCO ATLACOMULCO COATEPEC HARINAS VALLE DE BRAVO JILOTEPEC</w:t>
      </w:r>
    </w:p>
    <w:p>
      <w:pPr>
        <w:pStyle w:val="BodyText"/>
        <w:spacing w:before="2"/>
        <w:rPr>
          <w:rFonts w:ascii="Calibri"/>
          <w:b/>
          <w:sz w:val="21"/>
        </w:rPr>
      </w:pPr>
    </w:p>
    <w:p>
      <w:pPr>
        <w:spacing w:before="75"/>
        <w:ind w:left="1132" w:right="105" w:firstLine="0"/>
        <w:jc w:val="left"/>
        <w:rPr>
          <w:sz w:val="20"/>
        </w:rPr>
      </w:pPr>
      <w:r>
        <w:rPr>
          <w:b/>
          <w:sz w:val="20"/>
        </w:rPr>
        <w:t>Figura 3. </w:t>
      </w:r>
      <w:r>
        <w:rPr>
          <w:sz w:val="20"/>
        </w:rPr>
        <w:t>Producción de leche por distritos en el Estado de México para el 2011 (SIAP, 2011).</w:t>
      </w:r>
    </w:p>
    <w:p>
      <w:pPr>
        <w:spacing w:after="0"/>
        <w:jc w:val="left"/>
        <w:rPr>
          <w:sz w:val="20"/>
        </w:rPr>
        <w:sectPr>
          <w:type w:val="continuous"/>
          <w:pgSz w:w="12240" w:h="15840"/>
          <w:pgMar w:top="1380" w:bottom="280" w:left="1360" w:right="1420"/>
        </w:sectPr>
      </w:pPr>
    </w:p>
    <w:p>
      <w:pPr>
        <w:pStyle w:val="BodyText"/>
        <w:spacing w:before="3"/>
        <w:rPr>
          <w:sz w:val="27"/>
        </w:rPr>
      </w:pPr>
    </w:p>
    <w:p>
      <w:pPr>
        <w:pStyle w:val="BodyText"/>
        <w:spacing w:line="360" w:lineRule="auto" w:before="69"/>
        <w:ind w:left="512" w:right="100"/>
        <w:jc w:val="both"/>
      </w:pPr>
      <w:r>
        <w:rPr/>
        <w:t>Según cifras del Sistema de Información Agroalimentaria y Pesquera (2011), el Estado de México ocupa el séptimo lugar de </w:t>
      </w:r>
      <w:r>
        <w:rPr>
          <w:spacing w:val="-5"/>
        </w:rPr>
        <w:t>la </w:t>
      </w:r>
      <w:r>
        <w:rPr/>
        <w:t>producción nacional con 482,082 litros. La producción anual en nuestro Estado se </w:t>
      </w:r>
      <w:r>
        <w:rPr>
          <w:spacing w:val="-3"/>
        </w:rPr>
        <w:t>ha </w:t>
      </w:r>
      <w:r>
        <w:rPr/>
        <w:t>mantenido relativamente estable entre el año 2003 al 2011. Cabe resaltar, que en nuestra identidad, a nivel rural, el precio </w:t>
      </w:r>
      <w:r>
        <w:rPr>
          <w:spacing w:val="-4"/>
        </w:rPr>
        <w:t>medio</w:t>
      </w:r>
      <w:r>
        <w:rPr>
          <w:spacing w:val="52"/>
        </w:rPr>
        <w:t> </w:t>
      </w:r>
      <w:r>
        <w:rPr/>
        <w:t>de leche se incrementó de 3.48 a 5.85 pesos/litro de 2004 a 2011. Más de 90% de </w:t>
      </w:r>
      <w:r>
        <w:rPr>
          <w:spacing w:val="-5"/>
        </w:rPr>
        <w:t>la </w:t>
      </w:r>
      <w:r>
        <w:rPr/>
        <w:t>producción anual de </w:t>
      </w:r>
      <w:r>
        <w:rPr>
          <w:spacing w:val="-3"/>
        </w:rPr>
        <w:t>leche </w:t>
      </w:r>
      <w:r>
        <w:rPr/>
        <w:t>en el Estado de México se ubica en los distritos de Zumpango con el 41%, Texcoco con el 24%, Toluca con el 15% y 11% para el distrito de Jilotepec (Figura</w:t>
      </w:r>
      <w:r>
        <w:rPr>
          <w:spacing w:val="-22"/>
        </w:rPr>
        <w:t> </w:t>
      </w:r>
      <w:r>
        <w:rPr/>
        <w:t>3).</w:t>
      </w:r>
    </w:p>
    <w:p>
      <w:pPr>
        <w:pStyle w:val="Heading1"/>
        <w:numPr>
          <w:ilvl w:val="0"/>
          <w:numId w:val="4"/>
        </w:numPr>
        <w:tabs>
          <w:tab w:pos="1233" w:val="left" w:leader="none"/>
        </w:tabs>
        <w:spacing w:line="240" w:lineRule="auto" w:before="210" w:after="0"/>
        <w:ind w:left="1233" w:right="0" w:hanging="360"/>
        <w:jc w:val="left"/>
      </w:pPr>
      <w:bookmarkStart w:name="_TOC_250064" w:id="2"/>
      <w:r>
        <w:rPr/>
        <w:t>SISTEMAS DE PRODUCCIÓN DE LECHE EN</w:t>
      </w:r>
      <w:r>
        <w:rPr>
          <w:spacing w:val="-11"/>
        </w:rPr>
        <w:t> </w:t>
      </w:r>
      <w:bookmarkEnd w:id="2"/>
      <w:r>
        <w:rPr/>
        <w:t>MÉXICO</w:t>
      </w:r>
    </w:p>
    <w:p>
      <w:pPr>
        <w:pStyle w:val="BodyText"/>
        <w:spacing w:before="4"/>
        <w:rPr>
          <w:b/>
          <w:sz w:val="29"/>
        </w:rPr>
      </w:pPr>
    </w:p>
    <w:p>
      <w:pPr>
        <w:pStyle w:val="BodyText"/>
        <w:spacing w:line="360" w:lineRule="auto" w:before="1"/>
        <w:ind w:left="512" w:right="101"/>
        <w:jc w:val="both"/>
      </w:pPr>
      <w:r>
        <w:rPr/>
        <w:t>Los sistemas de producción de leche bovina en nuestro país presentan diferencias marcadas principalmente por el nivel de tecnificación, sistema de alimentación y tipo de manejo del hato. Se pueden tener unidades de producción intensivas con instalaciones, manejo y producciones similares a las de los países desarrollados, y por otro lado, unidades de producción pequeñas con bajo nivel de infraestructura, bajo potencial genético del ganado y con manejos nutricionales inadecuados en ciertas épocas del año (Mellado, 2010).</w:t>
      </w:r>
    </w:p>
    <w:p>
      <w:pPr>
        <w:pStyle w:val="BodyText"/>
        <w:spacing w:line="360" w:lineRule="auto" w:before="210"/>
        <w:ind w:left="512" w:right="114"/>
        <w:jc w:val="both"/>
      </w:pPr>
      <w:r>
        <w:rPr/>
        <w:t>Por lo tanto, los sistemas de producción de leche de nuestro país se pueden clasificar en tres grupos: el intensivo, el sistema de doble propósito y el familiar o de pequeña escala.</w:t>
      </w:r>
    </w:p>
    <w:p>
      <w:pPr>
        <w:pStyle w:val="Heading1"/>
        <w:numPr>
          <w:ilvl w:val="1"/>
          <w:numId w:val="4"/>
        </w:numPr>
        <w:tabs>
          <w:tab w:pos="1277" w:val="left" w:leader="none"/>
        </w:tabs>
        <w:spacing w:line="240" w:lineRule="auto" w:before="206" w:after="0"/>
        <w:ind w:left="1276" w:right="0" w:hanging="403"/>
        <w:jc w:val="left"/>
      </w:pPr>
      <w:bookmarkStart w:name="_TOC_250063" w:id="3"/>
      <w:r>
        <w:rPr/>
        <w:t>Sistemas</w:t>
      </w:r>
      <w:r>
        <w:rPr>
          <w:spacing w:val="-9"/>
        </w:rPr>
        <w:t> </w:t>
      </w:r>
      <w:bookmarkEnd w:id="3"/>
      <w:r>
        <w:rPr/>
        <w:t>intensivos</w:t>
      </w:r>
    </w:p>
    <w:p>
      <w:pPr>
        <w:pStyle w:val="BodyText"/>
        <w:spacing w:before="4"/>
        <w:rPr>
          <w:b/>
          <w:sz w:val="29"/>
        </w:rPr>
      </w:pPr>
    </w:p>
    <w:p>
      <w:pPr>
        <w:pStyle w:val="BodyText"/>
        <w:spacing w:line="360" w:lineRule="auto" w:before="1"/>
        <w:ind w:left="512" w:right="106"/>
        <w:jc w:val="both"/>
      </w:pPr>
      <w:r>
        <w:rPr/>
        <w:t>Este tipo de sistemas se caracterizan por ser unidades de producción grandes, su objetivo principal es </w:t>
      </w:r>
      <w:r>
        <w:rPr>
          <w:spacing w:val="-5"/>
        </w:rPr>
        <w:t>la </w:t>
      </w:r>
      <w:r>
        <w:rPr/>
        <w:t>alta producción de leche de manera intensiva, utilizan ganado especializado en </w:t>
      </w:r>
      <w:r>
        <w:rPr>
          <w:spacing w:val="-3"/>
        </w:rPr>
        <w:t>la </w:t>
      </w:r>
      <w:r>
        <w:rPr/>
        <w:t>producción de leche, principalmente de </w:t>
      </w:r>
      <w:r>
        <w:rPr>
          <w:spacing w:val="-3"/>
        </w:rPr>
        <w:t>la </w:t>
      </w:r>
      <w:r>
        <w:rPr/>
        <w:t>raza Holstein Friesian. Los animales se mantienen en estabulación, basando </w:t>
      </w:r>
      <w:r>
        <w:rPr>
          <w:spacing w:val="-5"/>
        </w:rPr>
        <w:t>la </w:t>
      </w:r>
      <w:r>
        <w:rPr/>
        <w:t>alimentación en forrajes de alta calidad nutricional y el uso de concentrados y complementos para maximizar </w:t>
      </w:r>
      <w:r>
        <w:rPr>
          <w:spacing w:val="-5"/>
        </w:rPr>
        <w:t>la </w:t>
      </w:r>
      <w:r>
        <w:rPr/>
        <w:t>producción. Se utilizan tecnologías como el uso de </w:t>
      </w:r>
      <w:r>
        <w:rPr>
          <w:spacing w:val="-3"/>
        </w:rPr>
        <w:t>la </w:t>
      </w:r>
      <w:r>
        <w:rPr/>
        <w:t>inseminación artificial, programas sanitarios y genéticos adecuados y el uso de software para el control y </w:t>
      </w:r>
      <w:r>
        <w:rPr>
          <w:spacing w:val="-3"/>
        </w:rPr>
        <w:t>manejo </w:t>
      </w:r>
      <w:r>
        <w:rPr/>
        <w:t>del hato. </w:t>
      </w:r>
      <w:r>
        <w:rPr>
          <w:spacing w:val="-4"/>
        </w:rPr>
        <w:t>Bajo </w:t>
      </w:r>
      <w:r>
        <w:rPr/>
        <w:t>estos sistemas los costos de producción son altos por </w:t>
      </w:r>
      <w:r>
        <w:rPr>
          <w:spacing w:val="-5"/>
        </w:rPr>
        <w:t>lo </w:t>
      </w:r>
      <w:r>
        <w:rPr/>
        <w:t>que se requiere de grandes volúmenes de producción  y altos precios de </w:t>
      </w:r>
      <w:r>
        <w:rPr>
          <w:spacing w:val="-5"/>
        </w:rPr>
        <w:t>la </w:t>
      </w:r>
      <w:r>
        <w:rPr/>
        <w:t>leche para que sean rentables. La </w:t>
      </w:r>
      <w:r>
        <w:rPr>
          <w:spacing w:val="-3"/>
        </w:rPr>
        <w:t>leche </w:t>
      </w:r>
      <w:r>
        <w:rPr/>
        <w:t>producida en estos sistemas se destina sobre todo a plantas pasteurizadoras o transformadoras. Se localizan</w:t>
      </w:r>
      <w:r>
        <w:rPr>
          <w:spacing w:val="10"/>
        </w:rPr>
        <w:t> </w:t>
      </w:r>
      <w:r>
        <w:rPr/>
        <w:t>principalmente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0"/>
        <w:jc w:val="both"/>
      </w:pPr>
      <w:r>
        <w:rPr/>
        <w:t>en el altiplano central, el bajío y zonas áridas de nuestro país, abarcando los Estados de Durango, Coahuila, Guanajuato, Jalisco, Aguascalientes, Chihuahua, San Luis Potosí, Hidalgo, Querétaro, Estado de México y Baja California. (Mellado, 2010; INEGI, 2007; Gasque y Blanco, 1998).</w:t>
      </w:r>
    </w:p>
    <w:p>
      <w:pPr>
        <w:pStyle w:val="Heading1"/>
        <w:numPr>
          <w:ilvl w:val="2"/>
          <w:numId w:val="4"/>
        </w:numPr>
        <w:tabs>
          <w:tab w:pos="1592" w:val="left" w:leader="none"/>
          <w:tab w:pos="1593" w:val="left" w:leader="none"/>
        </w:tabs>
        <w:spacing w:line="240" w:lineRule="auto" w:before="210" w:after="0"/>
        <w:ind w:left="1593" w:right="0" w:hanging="720"/>
        <w:jc w:val="left"/>
      </w:pPr>
      <w:bookmarkStart w:name="_TOC_250062" w:id="4"/>
      <w:r>
        <w:rPr/>
        <w:t>Sistemas</w:t>
      </w:r>
      <w:r>
        <w:rPr>
          <w:spacing w:val="-10"/>
        </w:rPr>
        <w:t> </w:t>
      </w:r>
      <w:bookmarkEnd w:id="4"/>
      <w:r>
        <w:rPr/>
        <w:t>semi-intensivos</w:t>
      </w:r>
    </w:p>
    <w:p>
      <w:pPr>
        <w:pStyle w:val="BodyText"/>
        <w:rPr>
          <w:b/>
          <w:sz w:val="29"/>
        </w:rPr>
      </w:pPr>
    </w:p>
    <w:p>
      <w:pPr>
        <w:pStyle w:val="BodyText"/>
        <w:spacing w:line="360" w:lineRule="auto"/>
        <w:ind w:left="512" w:right="101"/>
        <w:jc w:val="both"/>
      </w:pPr>
      <w:r>
        <w:rPr/>
        <w:t>Es una variante de los sistemas intensivos, </w:t>
      </w:r>
      <w:r>
        <w:rPr>
          <w:spacing w:val="-5"/>
        </w:rPr>
        <w:t>la </w:t>
      </w:r>
      <w:r>
        <w:rPr/>
        <w:t>diferencia radica en que estos sistemas incluyen el uso de praderas inducidas o mejoradas para el pastoreo intensivo del ganado como principal fuente de alimentación. Este sistema </w:t>
      </w:r>
      <w:r>
        <w:rPr>
          <w:spacing w:val="-3"/>
        </w:rPr>
        <w:t>no </w:t>
      </w:r>
      <w:r>
        <w:rPr>
          <w:spacing w:val="2"/>
        </w:rPr>
        <w:t>está </w:t>
      </w:r>
      <w:r>
        <w:rPr/>
        <w:t>muy difundido en nuestro país debido a </w:t>
      </w:r>
      <w:r>
        <w:rPr>
          <w:spacing w:val="-5"/>
        </w:rPr>
        <w:t>la </w:t>
      </w:r>
      <w:r>
        <w:rPr/>
        <w:t>poca disponibilidad de terrenos destinados al pastoreo del ganado. En </w:t>
      </w:r>
      <w:r>
        <w:rPr>
          <w:spacing w:val="-5"/>
        </w:rPr>
        <w:t>la </w:t>
      </w:r>
      <w:r>
        <w:rPr/>
        <w:t>estabulación los animales son complementados con concentrados de </w:t>
      </w:r>
      <w:r>
        <w:rPr>
          <w:spacing w:val="-3"/>
        </w:rPr>
        <w:t>buena </w:t>
      </w:r>
      <w:r>
        <w:rPr/>
        <w:t>calidad y  forrajes conservados como </w:t>
      </w:r>
      <w:r>
        <w:rPr>
          <w:spacing w:val="-5"/>
        </w:rPr>
        <w:t>lo </w:t>
      </w:r>
      <w:r>
        <w:rPr/>
        <w:t>es el uso de ensilados de pasto o </w:t>
      </w:r>
      <w:r>
        <w:rPr>
          <w:spacing w:val="-3"/>
        </w:rPr>
        <w:t>maíz </w:t>
      </w:r>
      <w:r>
        <w:rPr/>
        <w:t>principalmente. Las praderas están conformadas de diferentes especies de pastos </w:t>
      </w:r>
      <w:r>
        <w:rPr>
          <w:spacing w:val="-3"/>
        </w:rPr>
        <w:t>como </w:t>
      </w:r>
      <w:r>
        <w:rPr>
          <w:spacing w:val="-4"/>
        </w:rPr>
        <w:t>Rye </w:t>
      </w:r>
      <w:r>
        <w:rPr/>
        <w:t>grass, Festuca, Orchard o su combinación con algunas leguminosas como alfalfa o trébol blanco. Utilizan razas especializadas en </w:t>
      </w:r>
      <w:r>
        <w:rPr>
          <w:spacing w:val="-3"/>
        </w:rPr>
        <w:t>la </w:t>
      </w:r>
      <w:r>
        <w:rPr/>
        <w:t>producción de leche bajo sistemas de pastoreo como </w:t>
      </w:r>
      <w:r>
        <w:rPr>
          <w:spacing w:val="-5"/>
        </w:rPr>
        <w:t>la </w:t>
      </w:r>
      <w:r>
        <w:rPr/>
        <w:t>Holstein Friesian o Pardo Suizo. Este tipo de sistema </w:t>
      </w:r>
      <w:r>
        <w:rPr>
          <w:spacing w:val="-5"/>
        </w:rPr>
        <w:t>lo </w:t>
      </w:r>
      <w:r>
        <w:rPr/>
        <w:t>podemos encontrar principalmente en los Estados de Sonora, Aguascalientes, Querétaro, Puebla, Veracruz, Tlaxcala y el Estado de México (Gasque y Blanco,</w:t>
      </w:r>
      <w:r>
        <w:rPr>
          <w:spacing w:val="-8"/>
        </w:rPr>
        <w:t> </w:t>
      </w:r>
      <w:r>
        <w:rPr/>
        <w:t>1998).</w:t>
      </w:r>
    </w:p>
    <w:p>
      <w:pPr>
        <w:pStyle w:val="Heading1"/>
        <w:spacing w:before="210"/>
        <w:ind w:left="512" w:firstLine="0"/>
        <w:jc w:val="both"/>
      </w:pPr>
      <w:r>
        <w:rPr/>
        <w:t>Sistemas de doble propósito</w:t>
      </w:r>
    </w:p>
    <w:p>
      <w:pPr>
        <w:pStyle w:val="BodyText"/>
        <w:spacing w:before="4"/>
        <w:rPr>
          <w:b/>
          <w:sz w:val="29"/>
        </w:rPr>
      </w:pPr>
    </w:p>
    <w:p>
      <w:pPr>
        <w:pStyle w:val="BodyText"/>
        <w:spacing w:line="360" w:lineRule="auto" w:before="1"/>
        <w:ind w:left="512" w:right="101"/>
        <w:jc w:val="both"/>
      </w:pPr>
      <w:r>
        <w:rPr/>
        <w:t>Estos sistemas de caracterizan por </w:t>
      </w:r>
      <w:r>
        <w:rPr>
          <w:spacing w:val="-5"/>
        </w:rPr>
        <w:t>la </w:t>
      </w:r>
      <w:r>
        <w:rPr/>
        <w:t>ordeña estacional de vacas de razas productoras de carne y </w:t>
      </w:r>
      <w:r>
        <w:rPr>
          <w:spacing w:val="-3"/>
        </w:rPr>
        <w:t>la </w:t>
      </w:r>
      <w:r>
        <w:rPr/>
        <w:t>producción de becerros para abasto. Predominan las razas tipo Cebuino, Pardo Suizo y sus cruzas. La alimentación se basa en el pastoreo de forrajes nativos o pastos tropicales. Incluye, en algunas ocasiones, </w:t>
      </w:r>
      <w:r>
        <w:rPr>
          <w:spacing w:val="-5"/>
        </w:rPr>
        <w:t>la </w:t>
      </w:r>
      <w:r>
        <w:rPr/>
        <w:t>complementación con granos de cereales o concentrados comerciales, principalmente en </w:t>
      </w:r>
      <w:r>
        <w:rPr>
          <w:spacing w:val="-3"/>
        </w:rPr>
        <w:t>la </w:t>
      </w:r>
      <w:r>
        <w:rPr/>
        <w:t>época de secas. Se concentran principalmente en zonas tropicales de nuestro país, en los estados de Veracruz, Tabasco, Chiapas, San Luis Potosí, Guerrero y Michoacán. A pesar de </w:t>
      </w:r>
      <w:r>
        <w:rPr>
          <w:spacing w:val="-3"/>
        </w:rPr>
        <w:t>la </w:t>
      </w:r>
      <w:r>
        <w:rPr/>
        <w:t>baja producción de leche por animal y del número reducido de vacas por hato, </w:t>
      </w:r>
      <w:r>
        <w:rPr>
          <w:spacing w:val="-5"/>
        </w:rPr>
        <w:t>la </w:t>
      </w:r>
      <w:r>
        <w:rPr/>
        <w:t>producción de </w:t>
      </w:r>
      <w:r>
        <w:rPr>
          <w:spacing w:val="-3"/>
        </w:rPr>
        <w:t>leche </w:t>
      </w:r>
      <w:r>
        <w:rPr/>
        <w:t>de los sistemas de  doble  propósito  constituye  el 20%  del total de  </w:t>
      </w:r>
      <w:r>
        <w:rPr>
          <w:spacing w:val="-5"/>
        </w:rPr>
        <w:t>la  </w:t>
      </w:r>
      <w:r>
        <w:rPr/>
        <w:t>leche  producida  en  el país,</w:t>
      </w:r>
      <w:r>
        <w:rPr>
          <w:spacing w:val="-25"/>
        </w:rPr>
        <w:t> </w:t>
      </w:r>
      <w:r>
        <w:rPr/>
        <w:t>debido</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55" w:lineRule="auto" w:before="69"/>
        <w:ind w:left="512" w:right="118"/>
        <w:jc w:val="both"/>
      </w:pPr>
      <w:r>
        <w:rPr/>
        <w:t>principalmente a la gran cantidad de animales destinados a la ordeña en zonas tropicales (Mellado, 2010).</w:t>
      </w:r>
    </w:p>
    <w:p>
      <w:pPr>
        <w:pStyle w:val="BodyText"/>
      </w:pPr>
    </w:p>
    <w:p>
      <w:pPr>
        <w:pStyle w:val="BodyText"/>
      </w:pPr>
    </w:p>
    <w:p>
      <w:pPr>
        <w:pStyle w:val="BodyText"/>
        <w:spacing w:before="2"/>
      </w:pPr>
    </w:p>
    <w:p>
      <w:pPr>
        <w:pStyle w:val="Heading1"/>
        <w:numPr>
          <w:ilvl w:val="1"/>
          <w:numId w:val="4"/>
        </w:numPr>
        <w:tabs>
          <w:tab w:pos="1277" w:val="left" w:leader="none"/>
        </w:tabs>
        <w:spacing w:line="240" w:lineRule="auto" w:before="0" w:after="0"/>
        <w:ind w:left="1276" w:right="0" w:hanging="403"/>
        <w:jc w:val="left"/>
      </w:pPr>
      <w:r>
        <w:rPr/>
        <w:t>Sistemas de producción de leche a pequeña escala</w:t>
      </w:r>
      <w:r>
        <w:rPr>
          <w:spacing w:val="-27"/>
        </w:rPr>
        <w:t> </w:t>
      </w:r>
      <w:r>
        <w:rPr/>
        <w:t>(SPLPE)</w:t>
      </w:r>
    </w:p>
    <w:p>
      <w:pPr>
        <w:pStyle w:val="BodyText"/>
        <w:spacing w:before="5"/>
        <w:rPr>
          <w:b/>
          <w:sz w:val="29"/>
        </w:rPr>
      </w:pPr>
    </w:p>
    <w:p>
      <w:pPr>
        <w:pStyle w:val="BodyText"/>
        <w:spacing w:line="360" w:lineRule="auto"/>
        <w:ind w:left="512" w:right="99"/>
        <w:jc w:val="both"/>
      </w:pPr>
      <w:r>
        <w:rPr/>
        <w:t>Estos sistemas se caracterizan por ser unidades de producción pequeñas que varían entre 3 a 30 animales por hato, se ordeñan de forma manual en </w:t>
      </w:r>
      <w:r>
        <w:rPr>
          <w:spacing w:val="-5"/>
        </w:rPr>
        <w:t>la </w:t>
      </w:r>
      <w:r>
        <w:rPr/>
        <w:t>mayoría de los casos, </w:t>
      </w:r>
      <w:r>
        <w:rPr>
          <w:spacing w:val="-5"/>
        </w:rPr>
        <w:t>la </w:t>
      </w:r>
      <w:r>
        <w:rPr/>
        <w:t>mano de obra está a cargo de los integrantes de </w:t>
      </w:r>
      <w:r>
        <w:rPr>
          <w:spacing w:val="-5"/>
        </w:rPr>
        <w:t>la </w:t>
      </w:r>
      <w:r>
        <w:rPr/>
        <w:t>familia, se cuenta con acceso limitado de terrenos  y capital destinado a </w:t>
      </w:r>
      <w:r>
        <w:rPr>
          <w:spacing w:val="-5"/>
        </w:rPr>
        <w:t>la </w:t>
      </w:r>
      <w:r>
        <w:rPr/>
        <w:t>producción láctea, el uso de tecnología es reducido, el </w:t>
      </w:r>
      <w:r>
        <w:rPr>
          <w:spacing w:val="-3"/>
        </w:rPr>
        <w:t>manejo </w:t>
      </w:r>
      <w:r>
        <w:rPr/>
        <w:t>reproductivo generalmente se realiza por </w:t>
      </w:r>
      <w:r>
        <w:rPr>
          <w:spacing w:val="-4"/>
        </w:rPr>
        <w:t>medio </w:t>
      </w:r>
      <w:r>
        <w:rPr/>
        <w:t>de monta natural, </w:t>
      </w:r>
      <w:r>
        <w:rPr>
          <w:spacing w:val="-5"/>
        </w:rPr>
        <w:t>la </w:t>
      </w:r>
      <w:r>
        <w:rPr/>
        <w:t>alimentación está basada en esquilmos agrícolas y el uso limitado de concentrados comerciales o granos de cereales como </w:t>
      </w:r>
      <w:r>
        <w:rPr>
          <w:spacing w:val="-3"/>
        </w:rPr>
        <w:t>maíz </w:t>
      </w:r>
      <w:r>
        <w:rPr/>
        <w:t>en </w:t>
      </w:r>
      <w:r>
        <w:rPr>
          <w:spacing w:val="-5"/>
        </w:rPr>
        <w:t>la </w:t>
      </w:r>
      <w:r>
        <w:rPr/>
        <w:t>época de </w:t>
      </w:r>
      <w:r>
        <w:rPr>
          <w:spacing w:val="-3"/>
        </w:rPr>
        <w:t>estiaje </w:t>
      </w:r>
      <w:r>
        <w:rPr/>
        <w:t>y pastoreo de pastos nativos a orillas de caminos  y besanas en </w:t>
      </w:r>
      <w:r>
        <w:rPr>
          <w:spacing w:val="-5"/>
        </w:rPr>
        <w:t>la </w:t>
      </w:r>
      <w:r>
        <w:rPr/>
        <w:t>época de lluvias. Los animales en este tipo de sistemas son por </w:t>
      </w:r>
      <w:r>
        <w:rPr>
          <w:spacing w:val="-5"/>
        </w:rPr>
        <w:t>lo </w:t>
      </w:r>
      <w:r>
        <w:rPr/>
        <w:t>general de </w:t>
      </w:r>
      <w:r>
        <w:rPr>
          <w:spacing w:val="-3"/>
        </w:rPr>
        <w:t>bajo </w:t>
      </w:r>
      <w:r>
        <w:rPr/>
        <w:t>potencial genético encastados por </w:t>
      </w:r>
      <w:r>
        <w:rPr>
          <w:spacing w:val="-5"/>
        </w:rPr>
        <w:t>lo </w:t>
      </w:r>
      <w:r>
        <w:rPr/>
        <w:t>regular con </w:t>
      </w:r>
      <w:r>
        <w:rPr>
          <w:spacing w:val="-5"/>
        </w:rPr>
        <w:t>la </w:t>
      </w:r>
      <w:r>
        <w:rPr/>
        <w:t>raza Holstein. Normalmente </w:t>
      </w:r>
      <w:r>
        <w:rPr>
          <w:spacing w:val="-3"/>
        </w:rPr>
        <w:t>no </w:t>
      </w:r>
      <w:r>
        <w:rPr/>
        <w:t>existen programas de mejoramiento genético ni adecuado </w:t>
      </w:r>
      <w:r>
        <w:rPr>
          <w:spacing w:val="-3"/>
        </w:rPr>
        <w:t>manejo </w:t>
      </w:r>
      <w:r>
        <w:rPr/>
        <w:t>zoosanitario del hato. La leche producida </w:t>
      </w:r>
      <w:r>
        <w:rPr>
          <w:spacing w:val="-3"/>
        </w:rPr>
        <w:t>bajo </w:t>
      </w:r>
      <w:r>
        <w:rPr/>
        <w:t>estos sistemas es destinada a </w:t>
      </w:r>
      <w:r>
        <w:rPr>
          <w:spacing w:val="-5"/>
        </w:rPr>
        <w:t>la </w:t>
      </w:r>
      <w:r>
        <w:rPr/>
        <w:t>venta como leche bronca o en su mayoría a </w:t>
      </w:r>
      <w:r>
        <w:rPr>
          <w:spacing w:val="-3"/>
        </w:rPr>
        <w:t>la </w:t>
      </w:r>
      <w:r>
        <w:rPr/>
        <w:t>producción de quesos de manera artesanal. Pese a que los SPLPE son sistemas rústicos y con mínima utilización de </w:t>
      </w:r>
      <w:r>
        <w:rPr>
          <w:spacing w:val="-3"/>
        </w:rPr>
        <w:t>la </w:t>
      </w:r>
      <w:r>
        <w:rPr/>
        <w:t>tecnología representan una importante fuente de empleo en el </w:t>
      </w:r>
      <w:r>
        <w:rPr>
          <w:spacing w:val="-4"/>
        </w:rPr>
        <w:t>medio </w:t>
      </w:r>
      <w:r>
        <w:rPr/>
        <w:t>rural en nuestro país, además se estima que un 30% del total de producción de </w:t>
      </w:r>
      <w:r>
        <w:rPr>
          <w:spacing w:val="-3"/>
        </w:rPr>
        <w:t>leche </w:t>
      </w:r>
      <w:r>
        <w:rPr/>
        <w:t>a nivel nacional proviene de las unidades de producción familiares (Figura</w:t>
      </w:r>
      <w:r>
        <w:rPr>
          <w:spacing w:val="-7"/>
        </w:rPr>
        <w:t> </w:t>
      </w:r>
      <w:r>
        <w:rPr/>
        <w:t>4).</w:t>
      </w:r>
    </w:p>
    <w:p>
      <w:pPr>
        <w:spacing w:after="0" w:line="360" w:lineRule="auto"/>
        <w:jc w:val="both"/>
        <w:sectPr>
          <w:pgSz w:w="12240" w:h="15840"/>
          <w:pgMar w:header="1150" w:footer="1382" w:top="1420" w:bottom="1580" w:left="1360" w:right="1420"/>
        </w:sectPr>
      </w:pPr>
    </w:p>
    <w:p>
      <w:pPr>
        <w:pStyle w:val="BodyText"/>
        <w:rPr>
          <w:sz w:val="20"/>
        </w:rPr>
      </w:pPr>
    </w:p>
    <w:p>
      <w:pPr>
        <w:pStyle w:val="BodyText"/>
        <w:spacing w:before="3"/>
        <w:rPr>
          <w:sz w:val="13"/>
        </w:rPr>
      </w:pPr>
    </w:p>
    <w:p>
      <w:pPr>
        <w:pStyle w:val="BodyText"/>
        <w:ind w:left="1307"/>
        <w:rPr>
          <w:sz w:val="20"/>
        </w:rPr>
      </w:pPr>
      <w:r>
        <w:rPr>
          <w:sz w:val="20"/>
        </w:rPr>
        <w:pict>
          <v:group style="width:360.75pt;height:216.75pt;mso-position-horizontal-relative:char;mso-position-vertical-relative:line" coordorigin="0,0" coordsize="7215,4335">
            <v:shape style="position:absolute;left:673;top:493;width:5866;height:3346" type="#_x0000_t75" stroked="false">
              <v:imagedata r:id="rId13" o:title=""/>
            </v:shape>
            <v:rect style="position:absolute;left:8;top:8;width:7200;height:4320" filled="false" stroked="true" strokeweight=".75pt" strokecolor="#858585"/>
            <v:shape style="position:absolute;left:1894;top:857;width:663;height:432" type="#_x0000_t202" filled="false" stroked="false">
              <v:textbox inset="0,0,0,0">
                <w:txbxContent>
                  <w:p>
                    <w:pPr>
                      <w:spacing w:line="206" w:lineRule="exact" w:before="0"/>
                      <w:ind w:left="0" w:right="0" w:firstLine="0"/>
                      <w:jc w:val="center"/>
                      <w:rPr>
                        <w:rFonts w:ascii="Arial"/>
                        <w:b/>
                        <w:sz w:val="20"/>
                      </w:rPr>
                    </w:pPr>
                    <w:r>
                      <w:rPr>
                        <w:rFonts w:ascii="Arial"/>
                        <w:b/>
                        <w:sz w:val="20"/>
                      </w:rPr>
                      <w:t>SPLPE</w:t>
                    </w:r>
                  </w:p>
                  <w:p>
                    <w:pPr>
                      <w:spacing w:line="226" w:lineRule="exact" w:before="0"/>
                      <w:ind w:left="15" w:right="0" w:firstLine="0"/>
                      <w:jc w:val="center"/>
                      <w:rPr>
                        <w:rFonts w:ascii="Arial"/>
                        <w:b/>
                        <w:sz w:val="20"/>
                      </w:rPr>
                    </w:pPr>
                    <w:r>
                      <w:rPr>
                        <w:rFonts w:ascii="Arial"/>
                        <w:b/>
                        <w:sz w:val="20"/>
                      </w:rPr>
                      <w:t>30%</w:t>
                    </w:r>
                  </w:p>
                </w:txbxContent>
              </v:textbox>
              <w10:wrap type="none"/>
            </v:shape>
            <v:shape style="position:absolute;left:5211;top:1412;width:886;height:432" type="#_x0000_t202" filled="false" stroked="false">
              <v:textbox inset="0,0,0,0">
                <w:txbxContent>
                  <w:p>
                    <w:pPr>
                      <w:spacing w:line="206" w:lineRule="exact" w:before="0"/>
                      <w:ind w:left="-1" w:right="0" w:firstLine="0"/>
                      <w:jc w:val="center"/>
                      <w:rPr>
                        <w:rFonts w:ascii="Arial"/>
                        <w:b/>
                        <w:sz w:val="20"/>
                      </w:rPr>
                    </w:pPr>
                    <w:r>
                      <w:rPr>
                        <w:rFonts w:ascii="Arial"/>
                        <w:b/>
                        <w:spacing w:val="-1"/>
                        <w:sz w:val="20"/>
                      </w:rPr>
                      <w:t>Intensivo</w:t>
                    </w:r>
                  </w:p>
                  <w:p>
                    <w:pPr>
                      <w:spacing w:line="226" w:lineRule="exact" w:before="0"/>
                      <w:ind w:left="11" w:right="0" w:firstLine="0"/>
                      <w:jc w:val="center"/>
                      <w:rPr>
                        <w:rFonts w:ascii="Arial"/>
                        <w:b/>
                        <w:sz w:val="20"/>
                      </w:rPr>
                    </w:pPr>
                    <w:r>
                      <w:rPr>
                        <w:rFonts w:ascii="Arial"/>
                        <w:b/>
                        <w:sz w:val="20"/>
                      </w:rPr>
                      <w:t>50%</w:t>
                    </w:r>
                  </w:p>
                </w:txbxContent>
              </v:textbox>
              <w10:wrap type="none"/>
            </v:shape>
            <v:shape style="position:absolute;left:1820;top:2260;width:934;height:663" type="#_x0000_t202" filled="false" stroked="false">
              <v:textbox inset="0,0,0,0">
                <w:txbxContent>
                  <w:p>
                    <w:pPr>
                      <w:spacing w:line="206" w:lineRule="exact" w:before="0"/>
                      <w:ind w:left="0" w:right="0" w:firstLine="0"/>
                      <w:jc w:val="center"/>
                      <w:rPr>
                        <w:rFonts w:ascii="Arial"/>
                        <w:b/>
                        <w:sz w:val="20"/>
                      </w:rPr>
                    </w:pPr>
                    <w:r>
                      <w:rPr>
                        <w:rFonts w:ascii="Arial"/>
                        <w:b/>
                        <w:sz w:val="20"/>
                      </w:rPr>
                      <w:t>Doble</w:t>
                    </w:r>
                  </w:p>
                  <w:p>
                    <w:pPr>
                      <w:spacing w:before="0"/>
                      <w:ind w:left="0" w:right="0" w:firstLine="0"/>
                      <w:jc w:val="center"/>
                      <w:rPr>
                        <w:rFonts w:ascii="Arial" w:hAnsi="Arial"/>
                        <w:b/>
                        <w:sz w:val="20"/>
                      </w:rPr>
                    </w:pPr>
                    <w:r>
                      <w:rPr>
                        <w:rFonts w:ascii="Arial" w:hAnsi="Arial"/>
                        <w:b/>
                        <w:sz w:val="20"/>
                      </w:rPr>
                      <w:t>propósito 20%</w:t>
                    </w:r>
                  </w:p>
                </w:txbxContent>
              </v:textbox>
              <w10:wrap type="none"/>
            </v:shape>
          </v:group>
        </w:pict>
      </w:r>
      <w:r>
        <w:rPr>
          <w:sz w:val="20"/>
        </w:rPr>
      </w:r>
    </w:p>
    <w:p>
      <w:pPr>
        <w:pStyle w:val="BodyText"/>
        <w:spacing w:before="6"/>
        <w:rPr>
          <w:sz w:val="22"/>
        </w:rPr>
      </w:pPr>
    </w:p>
    <w:p>
      <w:pPr>
        <w:spacing w:before="76"/>
        <w:ind w:left="796" w:right="105" w:firstLine="0"/>
        <w:jc w:val="left"/>
        <w:rPr>
          <w:sz w:val="20"/>
        </w:rPr>
      </w:pPr>
      <w:r>
        <w:rPr>
          <w:b/>
          <w:sz w:val="20"/>
        </w:rPr>
        <w:t>Figura 4. </w:t>
      </w:r>
      <w:r>
        <w:rPr>
          <w:sz w:val="20"/>
        </w:rPr>
        <w:t>Distribución de la producción de leche por el tipo de sistema de producción (Mellado, 2010).</w:t>
      </w:r>
    </w:p>
    <w:p>
      <w:pPr>
        <w:pStyle w:val="BodyText"/>
        <w:spacing w:before="3"/>
        <w:rPr>
          <w:sz w:val="27"/>
        </w:rPr>
      </w:pPr>
    </w:p>
    <w:p>
      <w:pPr>
        <w:pStyle w:val="BodyText"/>
        <w:spacing w:line="360" w:lineRule="auto"/>
        <w:ind w:left="512" w:right="109"/>
        <w:jc w:val="both"/>
      </w:pPr>
      <w:r>
        <w:rPr/>
        <w:t>Los principales Estados donde se desarrollan los SPLPE son Jalisco, Michoacán, Hidalgo, Puebla, Durango, Zacatecas, San Luis Potosí, Oaxaca y el Estado de México (Alfonso, 2011; Mellado, 2010; Salinas, 2011).</w:t>
      </w:r>
    </w:p>
    <w:p>
      <w:pPr>
        <w:pStyle w:val="Heading1"/>
        <w:numPr>
          <w:ilvl w:val="0"/>
          <w:numId w:val="4"/>
        </w:numPr>
        <w:tabs>
          <w:tab w:pos="1233" w:val="left" w:leader="none"/>
        </w:tabs>
        <w:spacing w:line="240" w:lineRule="auto" w:before="210" w:after="0"/>
        <w:ind w:left="1233" w:right="0" w:hanging="360"/>
        <w:jc w:val="left"/>
      </w:pPr>
      <w:bookmarkStart w:name="_TOC_250061" w:id="5"/>
      <w:r>
        <w:rPr/>
        <w:t>COMPOSICIÓN QUÍMICA DE LA</w:t>
      </w:r>
      <w:r>
        <w:rPr>
          <w:spacing w:val="-11"/>
        </w:rPr>
        <w:t> </w:t>
      </w:r>
      <w:bookmarkEnd w:id="5"/>
      <w:r>
        <w:rPr/>
        <w:t>LECHE</w:t>
      </w:r>
    </w:p>
    <w:p>
      <w:pPr>
        <w:pStyle w:val="BodyText"/>
        <w:rPr>
          <w:b/>
          <w:sz w:val="29"/>
        </w:rPr>
      </w:pPr>
    </w:p>
    <w:p>
      <w:pPr>
        <w:pStyle w:val="BodyText"/>
        <w:spacing w:line="360" w:lineRule="auto"/>
        <w:ind w:left="512" w:right="102"/>
        <w:jc w:val="both"/>
      </w:pPr>
      <w:r>
        <w:rPr/>
        <w:t>La leche es un líquido secretado por </w:t>
      </w:r>
      <w:r>
        <w:rPr>
          <w:spacing w:val="-4"/>
        </w:rPr>
        <w:t>las </w:t>
      </w:r>
      <w:r>
        <w:rPr/>
        <w:t>glándulas mamarias de los animales mamíferos cuya función primordial es </w:t>
      </w:r>
      <w:r>
        <w:rPr>
          <w:spacing w:val="-3"/>
        </w:rPr>
        <w:t>la </w:t>
      </w:r>
      <w:r>
        <w:rPr/>
        <w:t>de alimentar a </w:t>
      </w:r>
      <w:r>
        <w:rPr>
          <w:spacing w:val="-4"/>
        </w:rPr>
        <w:t>las </w:t>
      </w:r>
      <w:r>
        <w:rPr/>
        <w:t>crías después del nacimiento, es un líquido de color blanco, ligeramente dulce, de pH casi neutro y de composición compleja (Santos, 2007).</w:t>
      </w:r>
    </w:p>
    <w:p>
      <w:pPr>
        <w:pStyle w:val="BodyText"/>
        <w:spacing w:line="360" w:lineRule="auto" w:before="211"/>
        <w:ind w:left="512" w:right="104"/>
        <w:jc w:val="both"/>
      </w:pPr>
      <w:r>
        <w:rPr/>
        <w:t>El concepto de leche como tal refiere únicamente a la leche de vaca, obtenida como materia prima en las unidades de producción agrícola y destinada al consumo o procesamiento en los diferentes subproductos. La leche de otras especies de mamíferos se denomina explícitamente: leche de oveja, leche de cabra, etc. la leche “cruda o bronca” es la leche que se obtiene directamente del animal y que no ha sido sometida a algún tratamiento y que no se le ha agregado ni extraído sustancias (Spreer, 1991).</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221"/>
        <w:jc w:val="both"/>
      </w:pPr>
      <w:r>
        <w:rPr/>
        <w:t>La leche está compuesta en su mayoría (87%) de agua, el extracto seco o solidos totales restantes está compuesto por grasa y sólidos no grasos como lactosa, proteínas, minerales, vitaminas, enzimas y otros componentes minoritarios (Schilimne y Buchheim, 2002). En el Cuadro 1 se puede observar la composición porcentual de la leche de diferentes especies animales.</w:t>
      </w:r>
    </w:p>
    <w:p>
      <w:pPr>
        <w:pStyle w:val="Heading1"/>
        <w:numPr>
          <w:ilvl w:val="1"/>
          <w:numId w:val="4"/>
        </w:numPr>
        <w:tabs>
          <w:tab w:pos="1277" w:val="left" w:leader="none"/>
        </w:tabs>
        <w:spacing w:line="240" w:lineRule="auto" w:before="210" w:after="0"/>
        <w:ind w:left="1276" w:right="0" w:hanging="403"/>
        <w:jc w:val="left"/>
      </w:pPr>
      <w:bookmarkStart w:name="_TOC_250060" w:id="6"/>
      <w:bookmarkEnd w:id="6"/>
      <w:r>
        <w:rPr/>
        <w:t>Agua</w:t>
      </w:r>
    </w:p>
    <w:p>
      <w:pPr>
        <w:pStyle w:val="BodyText"/>
        <w:spacing w:before="4"/>
        <w:rPr>
          <w:b/>
          <w:sz w:val="29"/>
        </w:rPr>
      </w:pPr>
    </w:p>
    <w:p>
      <w:pPr>
        <w:pStyle w:val="BodyText"/>
        <w:spacing w:line="360" w:lineRule="auto" w:before="1"/>
        <w:ind w:left="512" w:right="222"/>
        <w:jc w:val="both"/>
      </w:pPr>
      <w:r>
        <w:rPr/>
        <w:t>Siendo que es el componente principal de </w:t>
      </w:r>
      <w:r>
        <w:rPr>
          <w:spacing w:val="-3"/>
        </w:rPr>
        <w:t>la </w:t>
      </w:r>
      <w:r>
        <w:rPr/>
        <w:t>leche, con un rango de 85.3 a 88.7%, su función principal es actuar como disolvente de los demás componentes. El contenido total de agua en </w:t>
      </w:r>
      <w:r>
        <w:rPr>
          <w:spacing w:val="-3"/>
        </w:rPr>
        <w:t>la </w:t>
      </w:r>
      <w:r>
        <w:rPr/>
        <w:t>leche influye sobre su conformación y propiedades físicas y químicas como </w:t>
      </w:r>
      <w:r>
        <w:rPr>
          <w:spacing w:val="-3"/>
        </w:rPr>
        <w:t>la </w:t>
      </w:r>
      <w:r>
        <w:rPr/>
        <w:t>viscosidad, densidad, acidez y el punto de congelación sobre todo en los casos donde rebasa el porcentaje normal por contaminación. La producción de </w:t>
      </w:r>
      <w:r>
        <w:rPr>
          <w:spacing w:val="-3"/>
        </w:rPr>
        <w:t>leche </w:t>
      </w:r>
      <w:r>
        <w:rPr>
          <w:spacing w:val="2"/>
        </w:rPr>
        <w:t>está </w:t>
      </w:r>
      <w:r>
        <w:rPr/>
        <w:t>relacionada directamente con el consumo de agua realizado por el animal (Spreer,</w:t>
      </w:r>
      <w:r>
        <w:rPr>
          <w:spacing w:val="-19"/>
        </w:rPr>
        <w:t> </w:t>
      </w:r>
      <w:r>
        <w:rPr/>
        <w:t>1991).</w:t>
      </w:r>
    </w:p>
    <w:p>
      <w:pPr>
        <w:pStyle w:val="BodyText"/>
        <w:rPr>
          <w:sz w:val="20"/>
        </w:rPr>
      </w:pPr>
    </w:p>
    <w:p>
      <w:pPr>
        <w:pStyle w:val="BodyText"/>
        <w:rPr>
          <w:sz w:val="20"/>
        </w:rPr>
      </w:pPr>
    </w:p>
    <w:p>
      <w:pPr>
        <w:pStyle w:val="BodyText"/>
        <w:rPr>
          <w:sz w:val="20"/>
        </w:rPr>
      </w:pPr>
    </w:p>
    <w:p>
      <w:pPr>
        <w:pStyle w:val="BodyText"/>
        <w:spacing w:before="5"/>
        <w:rPr>
          <w:sz w:val="14"/>
        </w:rPr>
      </w:pPr>
    </w:p>
    <w:tbl>
      <w:tblPr>
        <w:tblW w:w="0" w:type="auto"/>
        <w:jc w:val="left"/>
        <w:tblInd w:w="4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0"/>
        <w:gridCol w:w="1772"/>
        <w:gridCol w:w="1450"/>
        <w:gridCol w:w="1500"/>
        <w:gridCol w:w="1316"/>
        <w:gridCol w:w="1374"/>
      </w:tblGrid>
      <w:tr>
        <w:trPr>
          <w:trHeight w:val="808" w:hRule="exact"/>
        </w:trPr>
        <w:tc>
          <w:tcPr>
            <w:tcW w:w="9061" w:type="dxa"/>
            <w:gridSpan w:val="6"/>
            <w:tcBorders>
              <w:bottom w:val="single" w:sz="4" w:space="0" w:color="000000"/>
            </w:tcBorders>
          </w:tcPr>
          <w:p>
            <w:pPr>
              <w:pStyle w:val="TableParagraph"/>
              <w:spacing w:line="245" w:lineRule="exact"/>
              <w:ind w:left="110"/>
              <w:jc w:val="left"/>
              <w:rPr>
                <w:sz w:val="24"/>
              </w:rPr>
            </w:pPr>
            <w:r>
              <w:rPr>
                <w:b/>
                <w:sz w:val="24"/>
              </w:rPr>
              <w:t>Cuadro   1.   </w:t>
            </w:r>
            <w:r>
              <w:rPr>
                <w:sz w:val="24"/>
              </w:rPr>
              <w:t>Composición  química   (%)   de  la   leche  procedente  de  distintas  especies</w:t>
            </w:r>
          </w:p>
          <w:p>
            <w:pPr>
              <w:pStyle w:val="TableParagraph"/>
              <w:spacing w:before="101"/>
              <w:ind w:left="110"/>
              <w:jc w:val="left"/>
              <w:rPr>
                <w:sz w:val="24"/>
              </w:rPr>
            </w:pPr>
            <w:r>
              <w:rPr>
                <w:sz w:val="24"/>
              </w:rPr>
              <w:t>domésticas</w:t>
            </w:r>
            <w:r>
              <w:rPr>
                <w:position w:val="11"/>
                <w:sz w:val="16"/>
              </w:rPr>
              <w:t>†</w:t>
            </w:r>
            <w:r>
              <w:rPr>
                <w:sz w:val="24"/>
              </w:rPr>
              <w:t>.</w:t>
            </w:r>
          </w:p>
        </w:tc>
      </w:tr>
      <w:tr>
        <w:trPr>
          <w:trHeight w:val="428" w:hRule="exact"/>
        </w:trPr>
        <w:tc>
          <w:tcPr>
            <w:tcW w:w="1650" w:type="dxa"/>
            <w:tcBorders>
              <w:top w:val="single" w:sz="4" w:space="0" w:color="000000"/>
              <w:bottom w:val="single" w:sz="4" w:space="0" w:color="000000"/>
            </w:tcBorders>
          </w:tcPr>
          <w:p>
            <w:pPr>
              <w:pStyle w:val="TableParagraph"/>
              <w:spacing w:line="273" w:lineRule="exact"/>
              <w:ind w:left="110"/>
              <w:jc w:val="left"/>
              <w:rPr>
                <w:b/>
                <w:sz w:val="24"/>
              </w:rPr>
            </w:pPr>
            <w:r>
              <w:rPr>
                <w:b/>
                <w:sz w:val="24"/>
              </w:rPr>
              <w:t>Especie</w:t>
            </w:r>
          </w:p>
        </w:tc>
        <w:tc>
          <w:tcPr>
            <w:tcW w:w="1772" w:type="dxa"/>
            <w:tcBorders>
              <w:top w:val="single" w:sz="4" w:space="0" w:color="000000"/>
              <w:bottom w:val="single" w:sz="4" w:space="0" w:color="000000"/>
            </w:tcBorders>
          </w:tcPr>
          <w:p>
            <w:pPr>
              <w:pStyle w:val="TableParagraph"/>
              <w:spacing w:line="273" w:lineRule="exact"/>
              <w:ind w:left="750" w:right="434"/>
              <w:rPr>
                <w:b/>
                <w:sz w:val="24"/>
              </w:rPr>
            </w:pPr>
            <w:r>
              <w:rPr>
                <w:b/>
                <w:sz w:val="24"/>
              </w:rPr>
              <w:t>Agua</w:t>
            </w:r>
          </w:p>
        </w:tc>
        <w:tc>
          <w:tcPr>
            <w:tcW w:w="1450" w:type="dxa"/>
            <w:tcBorders>
              <w:top w:val="single" w:sz="4" w:space="0" w:color="000000"/>
              <w:bottom w:val="single" w:sz="4" w:space="0" w:color="000000"/>
            </w:tcBorders>
          </w:tcPr>
          <w:p>
            <w:pPr>
              <w:pStyle w:val="TableParagraph"/>
              <w:spacing w:line="273" w:lineRule="exact"/>
              <w:ind w:left="432" w:right="351"/>
              <w:rPr>
                <w:b/>
                <w:sz w:val="24"/>
              </w:rPr>
            </w:pPr>
            <w:r>
              <w:rPr>
                <w:b/>
                <w:sz w:val="24"/>
              </w:rPr>
              <w:t>Grasa</w:t>
            </w:r>
          </w:p>
        </w:tc>
        <w:tc>
          <w:tcPr>
            <w:tcW w:w="1500" w:type="dxa"/>
            <w:tcBorders>
              <w:top w:val="single" w:sz="4" w:space="0" w:color="000000"/>
              <w:bottom w:val="single" w:sz="4" w:space="0" w:color="000000"/>
            </w:tcBorders>
          </w:tcPr>
          <w:p>
            <w:pPr>
              <w:pStyle w:val="TableParagraph"/>
              <w:spacing w:line="273" w:lineRule="exact"/>
              <w:ind w:left="351" w:right="229"/>
              <w:rPr>
                <w:b/>
                <w:sz w:val="24"/>
              </w:rPr>
            </w:pPr>
            <w:r>
              <w:rPr>
                <w:b/>
                <w:sz w:val="24"/>
              </w:rPr>
              <w:t>Proteína</w:t>
            </w:r>
          </w:p>
        </w:tc>
        <w:tc>
          <w:tcPr>
            <w:tcW w:w="1316" w:type="dxa"/>
            <w:tcBorders>
              <w:top w:val="single" w:sz="4" w:space="0" w:color="000000"/>
              <w:bottom w:val="single" w:sz="4" w:space="0" w:color="000000"/>
            </w:tcBorders>
          </w:tcPr>
          <w:p>
            <w:pPr>
              <w:pStyle w:val="TableParagraph"/>
              <w:spacing w:line="273" w:lineRule="exact"/>
              <w:ind w:left="230" w:right="246"/>
              <w:rPr>
                <w:b/>
                <w:sz w:val="24"/>
              </w:rPr>
            </w:pPr>
            <w:r>
              <w:rPr>
                <w:b/>
                <w:sz w:val="24"/>
              </w:rPr>
              <w:t>Lactosa</w:t>
            </w:r>
          </w:p>
        </w:tc>
        <w:tc>
          <w:tcPr>
            <w:tcW w:w="1374" w:type="dxa"/>
            <w:tcBorders>
              <w:top w:val="single" w:sz="4" w:space="0" w:color="000000"/>
              <w:bottom w:val="single" w:sz="4" w:space="0" w:color="000000"/>
            </w:tcBorders>
          </w:tcPr>
          <w:p>
            <w:pPr>
              <w:pStyle w:val="TableParagraph"/>
              <w:spacing w:line="273" w:lineRule="exact"/>
              <w:ind w:left="249" w:right="283"/>
              <w:rPr>
                <w:b/>
                <w:sz w:val="24"/>
              </w:rPr>
            </w:pPr>
            <w:r>
              <w:rPr>
                <w:b/>
                <w:sz w:val="24"/>
              </w:rPr>
              <w:t>Cenizas</w:t>
            </w:r>
          </w:p>
        </w:tc>
      </w:tr>
      <w:tr>
        <w:trPr>
          <w:trHeight w:val="354" w:hRule="exact"/>
        </w:trPr>
        <w:tc>
          <w:tcPr>
            <w:tcW w:w="1650" w:type="dxa"/>
            <w:tcBorders>
              <w:top w:val="single" w:sz="4" w:space="0" w:color="000000"/>
            </w:tcBorders>
          </w:tcPr>
          <w:p>
            <w:pPr>
              <w:pStyle w:val="TableParagraph"/>
              <w:spacing w:line="268" w:lineRule="exact"/>
              <w:ind w:left="110"/>
              <w:jc w:val="left"/>
              <w:rPr>
                <w:sz w:val="24"/>
              </w:rPr>
            </w:pPr>
            <w:r>
              <w:rPr>
                <w:sz w:val="24"/>
              </w:rPr>
              <w:t>Vaca</w:t>
            </w:r>
          </w:p>
        </w:tc>
        <w:tc>
          <w:tcPr>
            <w:tcW w:w="1772" w:type="dxa"/>
            <w:tcBorders>
              <w:top w:val="single" w:sz="4" w:space="0" w:color="000000"/>
            </w:tcBorders>
          </w:tcPr>
          <w:p>
            <w:pPr>
              <w:pStyle w:val="TableParagraph"/>
              <w:spacing w:line="268" w:lineRule="exact"/>
              <w:ind w:left="750" w:right="434"/>
              <w:rPr>
                <w:sz w:val="24"/>
              </w:rPr>
            </w:pPr>
            <w:r>
              <w:rPr>
                <w:sz w:val="24"/>
              </w:rPr>
              <w:t>87.0</w:t>
            </w:r>
          </w:p>
        </w:tc>
        <w:tc>
          <w:tcPr>
            <w:tcW w:w="1450" w:type="dxa"/>
            <w:tcBorders>
              <w:top w:val="single" w:sz="4" w:space="0" w:color="000000"/>
            </w:tcBorders>
          </w:tcPr>
          <w:p>
            <w:pPr>
              <w:pStyle w:val="TableParagraph"/>
              <w:spacing w:line="268" w:lineRule="exact"/>
              <w:ind w:left="432" w:right="346"/>
              <w:rPr>
                <w:sz w:val="24"/>
              </w:rPr>
            </w:pPr>
            <w:r>
              <w:rPr>
                <w:sz w:val="24"/>
              </w:rPr>
              <w:t>4.2</w:t>
            </w:r>
          </w:p>
        </w:tc>
        <w:tc>
          <w:tcPr>
            <w:tcW w:w="1500" w:type="dxa"/>
            <w:tcBorders>
              <w:top w:val="single" w:sz="4" w:space="0" w:color="000000"/>
            </w:tcBorders>
          </w:tcPr>
          <w:p>
            <w:pPr>
              <w:pStyle w:val="TableParagraph"/>
              <w:spacing w:line="268" w:lineRule="exact"/>
              <w:ind w:left="351" w:right="219"/>
              <w:rPr>
                <w:sz w:val="24"/>
              </w:rPr>
            </w:pPr>
            <w:r>
              <w:rPr>
                <w:sz w:val="24"/>
              </w:rPr>
              <w:t>3.3</w:t>
            </w:r>
          </w:p>
        </w:tc>
        <w:tc>
          <w:tcPr>
            <w:tcW w:w="1316" w:type="dxa"/>
            <w:tcBorders>
              <w:top w:val="single" w:sz="4" w:space="0" w:color="000000"/>
            </w:tcBorders>
          </w:tcPr>
          <w:p>
            <w:pPr>
              <w:pStyle w:val="TableParagraph"/>
              <w:spacing w:line="268" w:lineRule="exact"/>
              <w:ind w:left="230" w:right="242"/>
              <w:rPr>
                <w:sz w:val="24"/>
              </w:rPr>
            </w:pPr>
            <w:r>
              <w:rPr>
                <w:sz w:val="24"/>
              </w:rPr>
              <w:t>4.7</w:t>
            </w:r>
          </w:p>
        </w:tc>
        <w:tc>
          <w:tcPr>
            <w:tcW w:w="1374" w:type="dxa"/>
            <w:tcBorders>
              <w:top w:val="single" w:sz="4" w:space="0" w:color="000000"/>
            </w:tcBorders>
          </w:tcPr>
          <w:p>
            <w:pPr>
              <w:pStyle w:val="TableParagraph"/>
              <w:spacing w:line="268" w:lineRule="exact"/>
              <w:ind w:left="249" w:right="281"/>
              <w:rPr>
                <w:sz w:val="24"/>
              </w:rPr>
            </w:pPr>
            <w:r>
              <w:rPr>
                <w:sz w:val="24"/>
              </w:rPr>
              <w:t>0.7</w:t>
            </w:r>
          </w:p>
        </w:tc>
      </w:tr>
      <w:tr>
        <w:trPr>
          <w:trHeight w:val="413" w:hRule="exact"/>
        </w:trPr>
        <w:tc>
          <w:tcPr>
            <w:tcW w:w="1650" w:type="dxa"/>
          </w:tcPr>
          <w:p>
            <w:pPr>
              <w:pStyle w:val="TableParagraph"/>
              <w:spacing w:before="55"/>
              <w:ind w:left="110"/>
              <w:jc w:val="left"/>
              <w:rPr>
                <w:sz w:val="24"/>
              </w:rPr>
            </w:pPr>
            <w:r>
              <w:rPr>
                <w:sz w:val="24"/>
              </w:rPr>
              <w:t>Cabra</w:t>
            </w:r>
          </w:p>
        </w:tc>
        <w:tc>
          <w:tcPr>
            <w:tcW w:w="1772" w:type="dxa"/>
          </w:tcPr>
          <w:p>
            <w:pPr>
              <w:pStyle w:val="TableParagraph"/>
              <w:spacing w:before="55"/>
              <w:ind w:left="750" w:right="434"/>
              <w:rPr>
                <w:sz w:val="24"/>
              </w:rPr>
            </w:pPr>
            <w:r>
              <w:rPr>
                <w:sz w:val="24"/>
              </w:rPr>
              <w:t>86.8</w:t>
            </w:r>
          </w:p>
        </w:tc>
        <w:tc>
          <w:tcPr>
            <w:tcW w:w="1450" w:type="dxa"/>
          </w:tcPr>
          <w:p>
            <w:pPr>
              <w:pStyle w:val="TableParagraph"/>
              <w:spacing w:before="55"/>
              <w:ind w:left="432" w:right="346"/>
              <w:rPr>
                <w:sz w:val="24"/>
              </w:rPr>
            </w:pPr>
            <w:r>
              <w:rPr>
                <w:sz w:val="24"/>
              </w:rPr>
              <w:t>4.5</w:t>
            </w:r>
          </w:p>
        </w:tc>
        <w:tc>
          <w:tcPr>
            <w:tcW w:w="1500" w:type="dxa"/>
          </w:tcPr>
          <w:p>
            <w:pPr>
              <w:pStyle w:val="TableParagraph"/>
              <w:spacing w:before="55"/>
              <w:ind w:left="351" w:right="219"/>
              <w:rPr>
                <w:sz w:val="24"/>
              </w:rPr>
            </w:pPr>
            <w:r>
              <w:rPr>
                <w:sz w:val="24"/>
              </w:rPr>
              <w:t>2.9</w:t>
            </w:r>
          </w:p>
        </w:tc>
        <w:tc>
          <w:tcPr>
            <w:tcW w:w="1316" w:type="dxa"/>
          </w:tcPr>
          <w:p>
            <w:pPr>
              <w:pStyle w:val="TableParagraph"/>
              <w:spacing w:before="55"/>
              <w:ind w:left="230" w:right="242"/>
              <w:rPr>
                <w:sz w:val="24"/>
              </w:rPr>
            </w:pPr>
            <w:r>
              <w:rPr>
                <w:sz w:val="24"/>
              </w:rPr>
              <w:t>4.1</w:t>
            </w:r>
          </w:p>
        </w:tc>
        <w:tc>
          <w:tcPr>
            <w:tcW w:w="1374" w:type="dxa"/>
          </w:tcPr>
          <w:p>
            <w:pPr>
              <w:pStyle w:val="TableParagraph"/>
              <w:spacing w:before="55"/>
              <w:ind w:left="249" w:right="281"/>
              <w:rPr>
                <w:sz w:val="24"/>
              </w:rPr>
            </w:pPr>
            <w:r>
              <w:rPr>
                <w:sz w:val="24"/>
              </w:rPr>
              <w:t>0.8</w:t>
            </w:r>
          </w:p>
        </w:tc>
      </w:tr>
      <w:tr>
        <w:trPr>
          <w:trHeight w:val="413" w:hRule="exact"/>
        </w:trPr>
        <w:tc>
          <w:tcPr>
            <w:tcW w:w="1650" w:type="dxa"/>
          </w:tcPr>
          <w:p>
            <w:pPr>
              <w:pStyle w:val="TableParagraph"/>
              <w:spacing w:before="55"/>
              <w:ind w:left="110"/>
              <w:jc w:val="left"/>
              <w:rPr>
                <w:sz w:val="24"/>
              </w:rPr>
            </w:pPr>
            <w:r>
              <w:rPr>
                <w:sz w:val="24"/>
              </w:rPr>
              <w:t>Oveja</w:t>
            </w:r>
          </w:p>
        </w:tc>
        <w:tc>
          <w:tcPr>
            <w:tcW w:w="1772" w:type="dxa"/>
          </w:tcPr>
          <w:p>
            <w:pPr>
              <w:pStyle w:val="TableParagraph"/>
              <w:spacing w:before="55"/>
              <w:ind w:left="750" w:right="434"/>
              <w:rPr>
                <w:sz w:val="24"/>
              </w:rPr>
            </w:pPr>
            <w:r>
              <w:rPr>
                <w:sz w:val="24"/>
              </w:rPr>
              <w:t>80.7</w:t>
            </w:r>
          </w:p>
        </w:tc>
        <w:tc>
          <w:tcPr>
            <w:tcW w:w="1450" w:type="dxa"/>
          </w:tcPr>
          <w:p>
            <w:pPr>
              <w:pStyle w:val="TableParagraph"/>
              <w:spacing w:before="55"/>
              <w:ind w:left="432" w:right="346"/>
              <w:rPr>
                <w:sz w:val="24"/>
              </w:rPr>
            </w:pPr>
            <w:r>
              <w:rPr>
                <w:sz w:val="24"/>
              </w:rPr>
              <w:t>7.4</w:t>
            </w:r>
          </w:p>
        </w:tc>
        <w:tc>
          <w:tcPr>
            <w:tcW w:w="1500" w:type="dxa"/>
          </w:tcPr>
          <w:p>
            <w:pPr>
              <w:pStyle w:val="TableParagraph"/>
              <w:spacing w:before="55"/>
              <w:ind w:left="351" w:right="219"/>
              <w:rPr>
                <w:sz w:val="24"/>
              </w:rPr>
            </w:pPr>
            <w:r>
              <w:rPr>
                <w:sz w:val="24"/>
              </w:rPr>
              <w:t>5.5</w:t>
            </w:r>
          </w:p>
        </w:tc>
        <w:tc>
          <w:tcPr>
            <w:tcW w:w="1316" w:type="dxa"/>
          </w:tcPr>
          <w:p>
            <w:pPr>
              <w:pStyle w:val="TableParagraph"/>
              <w:spacing w:before="55"/>
              <w:ind w:left="230" w:right="242"/>
              <w:rPr>
                <w:sz w:val="24"/>
              </w:rPr>
            </w:pPr>
            <w:r>
              <w:rPr>
                <w:sz w:val="24"/>
              </w:rPr>
              <w:t>4.8</w:t>
            </w:r>
          </w:p>
        </w:tc>
        <w:tc>
          <w:tcPr>
            <w:tcW w:w="1374" w:type="dxa"/>
          </w:tcPr>
          <w:p>
            <w:pPr>
              <w:pStyle w:val="TableParagraph"/>
              <w:spacing w:before="55"/>
              <w:ind w:left="249" w:right="281"/>
              <w:rPr>
                <w:sz w:val="24"/>
              </w:rPr>
            </w:pPr>
            <w:r>
              <w:rPr>
                <w:sz w:val="24"/>
              </w:rPr>
              <w:t>1.0</w:t>
            </w:r>
          </w:p>
        </w:tc>
      </w:tr>
      <w:tr>
        <w:trPr>
          <w:trHeight w:val="415" w:hRule="exact"/>
        </w:trPr>
        <w:tc>
          <w:tcPr>
            <w:tcW w:w="1650" w:type="dxa"/>
          </w:tcPr>
          <w:p>
            <w:pPr>
              <w:pStyle w:val="TableParagraph"/>
              <w:spacing w:before="55"/>
              <w:ind w:left="110"/>
              <w:jc w:val="left"/>
              <w:rPr>
                <w:sz w:val="24"/>
              </w:rPr>
            </w:pPr>
            <w:r>
              <w:rPr>
                <w:sz w:val="24"/>
              </w:rPr>
              <w:t>Cerda</w:t>
            </w:r>
          </w:p>
        </w:tc>
        <w:tc>
          <w:tcPr>
            <w:tcW w:w="1772" w:type="dxa"/>
          </w:tcPr>
          <w:p>
            <w:pPr>
              <w:pStyle w:val="TableParagraph"/>
              <w:spacing w:before="55"/>
              <w:ind w:left="750" w:right="434"/>
              <w:rPr>
                <w:sz w:val="24"/>
              </w:rPr>
            </w:pPr>
            <w:r>
              <w:rPr>
                <w:sz w:val="24"/>
              </w:rPr>
              <w:t>81.7</w:t>
            </w:r>
          </w:p>
        </w:tc>
        <w:tc>
          <w:tcPr>
            <w:tcW w:w="1450" w:type="dxa"/>
          </w:tcPr>
          <w:p>
            <w:pPr>
              <w:pStyle w:val="TableParagraph"/>
              <w:spacing w:before="55"/>
              <w:ind w:left="432" w:right="346"/>
              <w:rPr>
                <w:sz w:val="24"/>
              </w:rPr>
            </w:pPr>
            <w:r>
              <w:rPr>
                <w:sz w:val="24"/>
              </w:rPr>
              <w:t>6.6</w:t>
            </w:r>
          </w:p>
        </w:tc>
        <w:tc>
          <w:tcPr>
            <w:tcW w:w="1500" w:type="dxa"/>
          </w:tcPr>
          <w:p>
            <w:pPr>
              <w:pStyle w:val="TableParagraph"/>
              <w:spacing w:before="55"/>
              <w:ind w:left="351" w:right="219"/>
              <w:rPr>
                <w:sz w:val="24"/>
              </w:rPr>
            </w:pPr>
            <w:r>
              <w:rPr>
                <w:sz w:val="24"/>
              </w:rPr>
              <w:t>5.3</w:t>
            </w:r>
          </w:p>
        </w:tc>
        <w:tc>
          <w:tcPr>
            <w:tcW w:w="1316" w:type="dxa"/>
          </w:tcPr>
          <w:p>
            <w:pPr>
              <w:pStyle w:val="TableParagraph"/>
              <w:spacing w:before="55"/>
              <w:ind w:left="230" w:right="242"/>
              <w:rPr>
                <w:sz w:val="24"/>
              </w:rPr>
            </w:pPr>
            <w:r>
              <w:rPr>
                <w:sz w:val="24"/>
              </w:rPr>
              <w:t>5.5</w:t>
            </w:r>
          </w:p>
        </w:tc>
        <w:tc>
          <w:tcPr>
            <w:tcW w:w="1374" w:type="dxa"/>
          </w:tcPr>
          <w:p>
            <w:pPr>
              <w:pStyle w:val="TableParagraph"/>
              <w:spacing w:before="55"/>
              <w:ind w:left="249" w:right="281"/>
              <w:rPr>
                <w:sz w:val="24"/>
              </w:rPr>
            </w:pPr>
            <w:r>
              <w:rPr>
                <w:sz w:val="24"/>
              </w:rPr>
              <w:t>0.8</w:t>
            </w:r>
          </w:p>
        </w:tc>
      </w:tr>
      <w:tr>
        <w:trPr>
          <w:trHeight w:val="416" w:hRule="exact"/>
        </w:trPr>
        <w:tc>
          <w:tcPr>
            <w:tcW w:w="1650" w:type="dxa"/>
          </w:tcPr>
          <w:p>
            <w:pPr>
              <w:pStyle w:val="TableParagraph"/>
              <w:spacing w:before="58"/>
              <w:ind w:left="110"/>
              <w:jc w:val="left"/>
              <w:rPr>
                <w:sz w:val="24"/>
              </w:rPr>
            </w:pPr>
            <w:r>
              <w:rPr>
                <w:sz w:val="24"/>
              </w:rPr>
              <w:t>Yegua</w:t>
            </w:r>
          </w:p>
        </w:tc>
        <w:tc>
          <w:tcPr>
            <w:tcW w:w="1772" w:type="dxa"/>
          </w:tcPr>
          <w:p>
            <w:pPr>
              <w:pStyle w:val="TableParagraph"/>
              <w:spacing w:before="58"/>
              <w:ind w:left="750" w:right="434"/>
              <w:rPr>
                <w:sz w:val="24"/>
              </w:rPr>
            </w:pPr>
            <w:r>
              <w:rPr>
                <w:sz w:val="24"/>
              </w:rPr>
              <w:t>88.8</w:t>
            </w:r>
          </w:p>
        </w:tc>
        <w:tc>
          <w:tcPr>
            <w:tcW w:w="1450" w:type="dxa"/>
          </w:tcPr>
          <w:p>
            <w:pPr>
              <w:pStyle w:val="TableParagraph"/>
              <w:spacing w:before="58"/>
              <w:ind w:left="432" w:right="346"/>
              <w:rPr>
                <w:sz w:val="24"/>
              </w:rPr>
            </w:pPr>
            <w:r>
              <w:rPr>
                <w:sz w:val="24"/>
              </w:rPr>
              <w:t>1.9</w:t>
            </w:r>
          </w:p>
        </w:tc>
        <w:tc>
          <w:tcPr>
            <w:tcW w:w="1500" w:type="dxa"/>
          </w:tcPr>
          <w:p>
            <w:pPr>
              <w:pStyle w:val="TableParagraph"/>
              <w:spacing w:before="58"/>
              <w:ind w:left="351" w:right="219"/>
              <w:rPr>
                <w:sz w:val="24"/>
              </w:rPr>
            </w:pPr>
            <w:r>
              <w:rPr>
                <w:sz w:val="24"/>
              </w:rPr>
              <w:t>1.5</w:t>
            </w:r>
          </w:p>
        </w:tc>
        <w:tc>
          <w:tcPr>
            <w:tcW w:w="1316" w:type="dxa"/>
          </w:tcPr>
          <w:p>
            <w:pPr>
              <w:pStyle w:val="TableParagraph"/>
              <w:spacing w:before="58"/>
              <w:ind w:left="230" w:right="242"/>
              <w:rPr>
                <w:sz w:val="24"/>
              </w:rPr>
            </w:pPr>
            <w:r>
              <w:rPr>
                <w:sz w:val="24"/>
              </w:rPr>
              <w:t>6.2</w:t>
            </w:r>
          </w:p>
        </w:tc>
        <w:tc>
          <w:tcPr>
            <w:tcW w:w="1374" w:type="dxa"/>
          </w:tcPr>
          <w:p>
            <w:pPr>
              <w:pStyle w:val="TableParagraph"/>
              <w:spacing w:before="58"/>
              <w:ind w:left="249" w:right="281"/>
              <w:rPr>
                <w:sz w:val="24"/>
              </w:rPr>
            </w:pPr>
            <w:r>
              <w:rPr>
                <w:sz w:val="24"/>
              </w:rPr>
              <w:t>0.5</w:t>
            </w:r>
          </w:p>
        </w:tc>
      </w:tr>
      <w:tr>
        <w:trPr>
          <w:trHeight w:val="413" w:hRule="exact"/>
        </w:trPr>
        <w:tc>
          <w:tcPr>
            <w:tcW w:w="1650" w:type="dxa"/>
          </w:tcPr>
          <w:p>
            <w:pPr>
              <w:pStyle w:val="TableParagraph"/>
              <w:spacing w:before="55"/>
              <w:ind w:left="110"/>
              <w:jc w:val="left"/>
              <w:rPr>
                <w:sz w:val="24"/>
              </w:rPr>
            </w:pPr>
            <w:r>
              <w:rPr>
                <w:sz w:val="24"/>
              </w:rPr>
              <w:t>Burra</w:t>
            </w:r>
          </w:p>
        </w:tc>
        <w:tc>
          <w:tcPr>
            <w:tcW w:w="1772" w:type="dxa"/>
          </w:tcPr>
          <w:p>
            <w:pPr>
              <w:pStyle w:val="TableParagraph"/>
              <w:spacing w:before="55"/>
              <w:ind w:left="750" w:right="434"/>
              <w:rPr>
                <w:sz w:val="24"/>
              </w:rPr>
            </w:pPr>
            <w:r>
              <w:rPr>
                <w:sz w:val="24"/>
              </w:rPr>
              <w:t>88.3</w:t>
            </w:r>
          </w:p>
        </w:tc>
        <w:tc>
          <w:tcPr>
            <w:tcW w:w="1450" w:type="dxa"/>
          </w:tcPr>
          <w:p>
            <w:pPr>
              <w:pStyle w:val="TableParagraph"/>
              <w:spacing w:before="55"/>
              <w:ind w:left="432" w:right="346"/>
              <w:rPr>
                <w:sz w:val="24"/>
              </w:rPr>
            </w:pPr>
            <w:r>
              <w:rPr>
                <w:sz w:val="24"/>
              </w:rPr>
              <w:t>1.4</w:t>
            </w:r>
          </w:p>
        </w:tc>
        <w:tc>
          <w:tcPr>
            <w:tcW w:w="1500" w:type="dxa"/>
          </w:tcPr>
          <w:p>
            <w:pPr>
              <w:pStyle w:val="TableParagraph"/>
              <w:spacing w:before="55"/>
              <w:ind w:left="351" w:right="219"/>
              <w:rPr>
                <w:sz w:val="24"/>
              </w:rPr>
            </w:pPr>
            <w:r>
              <w:rPr>
                <w:sz w:val="24"/>
              </w:rPr>
              <w:t>2.0</w:t>
            </w:r>
          </w:p>
        </w:tc>
        <w:tc>
          <w:tcPr>
            <w:tcW w:w="1316" w:type="dxa"/>
          </w:tcPr>
          <w:p>
            <w:pPr>
              <w:pStyle w:val="TableParagraph"/>
              <w:spacing w:before="55"/>
              <w:ind w:left="230" w:right="242"/>
              <w:rPr>
                <w:sz w:val="24"/>
              </w:rPr>
            </w:pPr>
            <w:r>
              <w:rPr>
                <w:sz w:val="24"/>
              </w:rPr>
              <w:t>7.4</w:t>
            </w:r>
          </w:p>
        </w:tc>
        <w:tc>
          <w:tcPr>
            <w:tcW w:w="1374" w:type="dxa"/>
          </w:tcPr>
          <w:p>
            <w:pPr>
              <w:pStyle w:val="TableParagraph"/>
              <w:spacing w:before="55"/>
              <w:ind w:left="249" w:right="281"/>
              <w:rPr>
                <w:sz w:val="24"/>
              </w:rPr>
            </w:pPr>
            <w:r>
              <w:rPr>
                <w:sz w:val="24"/>
              </w:rPr>
              <w:t>0.5</w:t>
            </w:r>
          </w:p>
        </w:tc>
      </w:tr>
      <w:tr>
        <w:trPr>
          <w:trHeight w:val="413" w:hRule="exact"/>
        </w:trPr>
        <w:tc>
          <w:tcPr>
            <w:tcW w:w="1650" w:type="dxa"/>
          </w:tcPr>
          <w:p>
            <w:pPr>
              <w:pStyle w:val="TableParagraph"/>
              <w:spacing w:before="55"/>
              <w:ind w:left="110"/>
              <w:jc w:val="left"/>
              <w:rPr>
                <w:sz w:val="24"/>
              </w:rPr>
            </w:pPr>
            <w:r>
              <w:rPr>
                <w:sz w:val="24"/>
              </w:rPr>
              <w:t>Perra</w:t>
            </w:r>
          </w:p>
        </w:tc>
        <w:tc>
          <w:tcPr>
            <w:tcW w:w="1772" w:type="dxa"/>
          </w:tcPr>
          <w:p>
            <w:pPr>
              <w:pStyle w:val="TableParagraph"/>
              <w:spacing w:before="55"/>
              <w:ind w:left="750" w:right="434"/>
              <w:rPr>
                <w:sz w:val="24"/>
              </w:rPr>
            </w:pPr>
            <w:r>
              <w:rPr>
                <w:sz w:val="24"/>
              </w:rPr>
              <w:t>76.5</w:t>
            </w:r>
          </w:p>
        </w:tc>
        <w:tc>
          <w:tcPr>
            <w:tcW w:w="1450" w:type="dxa"/>
          </w:tcPr>
          <w:p>
            <w:pPr>
              <w:pStyle w:val="TableParagraph"/>
              <w:spacing w:before="55"/>
              <w:ind w:left="432" w:right="341"/>
              <w:rPr>
                <w:sz w:val="24"/>
              </w:rPr>
            </w:pPr>
            <w:r>
              <w:rPr>
                <w:sz w:val="24"/>
              </w:rPr>
              <w:t>12.9</w:t>
            </w:r>
          </w:p>
        </w:tc>
        <w:tc>
          <w:tcPr>
            <w:tcW w:w="1500" w:type="dxa"/>
          </w:tcPr>
          <w:p>
            <w:pPr>
              <w:pStyle w:val="TableParagraph"/>
              <w:spacing w:before="55"/>
              <w:ind w:left="351" w:right="219"/>
              <w:rPr>
                <w:sz w:val="24"/>
              </w:rPr>
            </w:pPr>
            <w:r>
              <w:rPr>
                <w:sz w:val="24"/>
              </w:rPr>
              <w:t>7.9</w:t>
            </w:r>
          </w:p>
        </w:tc>
        <w:tc>
          <w:tcPr>
            <w:tcW w:w="1316" w:type="dxa"/>
          </w:tcPr>
          <w:p>
            <w:pPr>
              <w:pStyle w:val="TableParagraph"/>
              <w:spacing w:before="55"/>
              <w:ind w:left="230" w:right="242"/>
              <w:rPr>
                <w:sz w:val="24"/>
              </w:rPr>
            </w:pPr>
            <w:r>
              <w:rPr>
                <w:sz w:val="24"/>
              </w:rPr>
              <w:t>3.1</w:t>
            </w:r>
          </w:p>
        </w:tc>
        <w:tc>
          <w:tcPr>
            <w:tcW w:w="1374" w:type="dxa"/>
          </w:tcPr>
          <w:p>
            <w:pPr>
              <w:pStyle w:val="TableParagraph"/>
              <w:spacing w:before="55"/>
              <w:ind w:left="249" w:right="281"/>
              <w:rPr>
                <w:sz w:val="24"/>
              </w:rPr>
            </w:pPr>
            <w:r>
              <w:rPr>
                <w:sz w:val="24"/>
              </w:rPr>
              <w:t>1.2</w:t>
            </w:r>
          </w:p>
        </w:tc>
      </w:tr>
      <w:tr>
        <w:trPr>
          <w:trHeight w:val="393" w:hRule="exact"/>
        </w:trPr>
        <w:tc>
          <w:tcPr>
            <w:tcW w:w="1650" w:type="dxa"/>
          </w:tcPr>
          <w:p>
            <w:pPr>
              <w:pStyle w:val="TableParagraph"/>
              <w:spacing w:before="55"/>
              <w:ind w:left="110"/>
              <w:jc w:val="left"/>
              <w:rPr>
                <w:sz w:val="24"/>
              </w:rPr>
            </w:pPr>
            <w:r>
              <w:rPr>
                <w:sz w:val="24"/>
              </w:rPr>
              <w:t>Gata</w:t>
            </w:r>
          </w:p>
        </w:tc>
        <w:tc>
          <w:tcPr>
            <w:tcW w:w="1772" w:type="dxa"/>
          </w:tcPr>
          <w:p>
            <w:pPr>
              <w:pStyle w:val="TableParagraph"/>
              <w:spacing w:before="55"/>
              <w:ind w:left="750" w:right="434"/>
              <w:rPr>
                <w:sz w:val="24"/>
              </w:rPr>
            </w:pPr>
            <w:r>
              <w:rPr>
                <w:sz w:val="24"/>
              </w:rPr>
              <w:t>82.4</w:t>
            </w:r>
          </w:p>
        </w:tc>
        <w:tc>
          <w:tcPr>
            <w:tcW w:w="1450" w:type="dxa"/>
          </w:tcPr>
          <w:p>
            <w:pPr>
              <w:pStyle w:val="TableParagraph"/>
              <w:spacing w:before="55"/>
              <w:ind w:left="432" w:right="346"/>
              <w:rPr>
                <w:sz w:val="24"/>
              </w:rPr>
            </w:pPr>
            <w:r>
              <w:rPr>
                <w:sz w:val="24"/>
              </w:rPr>
              <w:t>4.8</w:t>
            </w:r>
          </w:p>
        </w:tc>
        <w:tc>
          <w:tcPr>
            <w:tcW w:w="1500" w:type="dxa"/>
          </w:tcPr>
          <w:p>
            <w:pPr>
              <w:pStyle w:val="TableParagraph"/>
              <w:spacing w:before="55"/>
              <w:ind w:left="351" w:right="219"/>
              <w:rPr>
                <w:sz w:val="24"/>
              </w:rPr>
            </w:pPr>
            <w:r>
              <w:rPr>
                <w:sz w:val="24"/>
              </w:rPr>
              <w:t>7.0</w:t>
            </w:r>
          </w:p>
        </w:tc>
        <w:tc>
          <w:tcPr>
            <w:tcW w:w="1316" w:type="dxa"/>
          </w:tcPr>
          <w:p>
            <w:pPr>
              <w:pStyle w:val="TableParagraph"/>
              <w:spacing w:before="55"/>
              <w:ind w:left="230" w:right="242"/>
              <w:rPr>
                <w:sz w:val="24"/>
              </w:rPr>
            </w:pPr>
            <w:r>
              <w:rPr>
                <w:sz w:val="24"/>
              </w:rPr>
              <w:t>4.8</w:t>
            </w:r>
          </w:p>
        </w:tc>
        <w:tc>
          <w:tcPr>
            <w:tcW w:w="1374" w:type="dxa"/>
          </w:tcPr>
          <w:p>
            <w:pPr>
              <w:pStyle w:val="TableParagraph"/>
              <w:spacing w:before="55"/>
              <w:ind w:left="249" w:right="281"/>
              <w:rPr>
                <w:sz w:val="24"/>
              </w:rPr>
            </w:pPr>
            <w:r>
              <w:rPr>
                <w:sz w:val="24"/>
              </w:rPr>
              <w:t>1.0</w:t>
            </w:r>
          </w:p>
        </w:tc>
      </w:tr>
      <w:tr>
        <w:trPr>
          <w:trHeight w:val="506" w:hRule="exact"/>
        </w:trPr>
        <w:tc>
          <w:tcPr>
            <w:tcW w:w="1650" w:type="dxa"/>
            <w:tcBorders>
              <w:bottom w:val="single" w:sz="4" w:space="0" w:color="000000"/>
            </w:tcBorders>
          </w:tcPr>
          <w:p>
            <w:pPr>
              <w:pStyle w:val="TableParagraph"/>
              <w:spacing w:before="45"/>
              <w:ind w:left="110"/>
              <w:jc w:val="left"/>
              <w:rPr>
                <w:sz w:val="16"/>
              </w:rPr>
            </w:pPr>
            <w:r>
              <w:rPr>
                <w:sz w:val="24"/>
              </w:rPr>
              <w:t>Coneja</w:t>
            </w:r>
            <w:r>
              <w:rPr>
                <w:position w:val="11"/>
                <w:sz w:val="16"/>
              </w:rPr>
              <w:t>¶</w:t>
            </w:r>
          </w:p>
        </w:tc>
        <w:tc>
          <w:tcPr>
            <w:tcW w:w="1772" w:type="dxa"/>
            <w:tcBorders>
              <w:bottom w:val="single" w:sz="4" w:space="0" w:color="000000"/>
            </w:tcBorders>
          </w:tcPr>
          <w:p>
            <w:pPr>
              <w:pStyle w:val="TableParagraph"/>
              <w:spacing w:before="80"/>
              <w:ind w:left="750" w:right="434"/>
              <w:rPr>
                <w:sz w:val="24"/>
              </w:rPr>
            </w:pPr>
            <w:r>
              <w:rPr>
                <w:sz w:val="24"/>
              </w:rPr>
              <w:t>70.7</w:t>
            </w:r>
          </w:p>
        </w:tc>
        <w:tc>
          <w:tcPr>
            <w:tcW w:w="1450" w:type="dxa"/>
            <w:tcBorders>
              <w:bottom w:val="single" w:sz="4" w:space="0" w:color="000000"/>
            </w:tcBorders>
          </w:tcPr>
          <w:p>
            <w:pPr>
              <w:pStyle w:val="TableParagraph"/>
              <w:spacing w:before="80"/>
              <w:ind w:left="432" w:right="341"/>
              <w:rPr>
                <w:sz w:val="24"/>
              </w:rPr>
            </w:pPr>
            <w:r>
              <w:rPr>
                <w:sz w:val="24"/>
              </w:rPr>
              <w:t>12.0</w:t>
            </w:r>
          </w:p>
        </w:tc>
        <w:tc>
          <w:tcPr>
            <w:tcW w:w="1500" w:type="dxa"/>
            <w:tcBorders>
              <w:bottom w:val="single" w:sz="4" w:space="0" w:color="000000"/>
            </w:tcBorders>
          </w:tcPr>
          <w:p>
            <w:pPr>
              <w:pStyle w:val="TableParagraph"/>
              <w:spacing w:before="80"/>
              <w:ind w:left="351" w:right="224"/>
              <w:rPr>
                <w:sz w:val="24"/>
              </w:rPr>
            </w:pPr>
            <w:r>
              <w:rPr>
                <w:sz w:val="24"/>
              </w:rPr>
              <w:t>13.5</w:t>
            </w:r>
          </w:p>
        </w:tc>
        <w:tc>
          <w:tcPr>
            <w:tcW w:w="1316" w:type="dxa"/>
            <w:tcBorders>
              <w:bottom w:val="single" w:sz="4" w:space="0" w:color="000000"/>
            </w:tcBorders>
          </w:tcPr>
          <w:p>
            <w:pPr>
              <w:pStyle w:val="TableParagraph"/>
              <w:spacing w:before="80"/>
              <w:ind w:left="230" w:right="242"/>
              <w:rPr>
                <w:sz w:val="24"/>
              </w:rPr>
            </w:pPr>
            <w:r>
              <w:rPr>
                <w:sz w:val="24"/>
              </w:rPr>
              <w:t>1.8</w:t>
            </w:r>
          </w:p>
        </w:tc>
        <w:tc>
          <w:tcPr>
            <w:tcW w:w="1374" w:type="dxa"/>
            <w:tcBorders>
              <w:bottom w:val="single" w:sz="4" w:space="0" w:color="000000"/>
            </w:tcBorders>
          </w:tcPr>
          <w:p>
            <w:pPr>
              <w:pStyle w:val="TableParagraph"/>
              <w:spacing w:before="80"/>
              <w:ind w:left="249" w:right="281"/>
              <w:rPr>
                <w:sz w:val="24"/>
              </w:rPr>
            </w:pPr>
            <w:r>
              <w:rPr>
                <w:sz w:val="24"/>
              </w:rPr>
              <w:t>2.0</w:t>
            </w:r>
          </w:p>
        </w:tc>
      </w:tr>
      <w:tr>
        <w:trPr>
          <w:trHeight w:val="222" w:hRule="exact"/>
        </w:trPr>
        <w:tc>
          <w:tcPr>
            <w:tcW w:w="4872" w:type="dxa"/>
            <w:gridSpan w:val="3"/>
            <w:tcBorders>
              <w:top w:val="single" w:sz="4" w:space="0" w:color="000000"/>
            </w:tcBorders>
          </w:tcPr>
          <w:p>
            <w:pPr>
              <w:pStyle w:val="TableParagraph"/>
              <w:spacing w:line="221" w:lineRule="exact"/>
              <w:ind w:left="110"/>
              <w:jc w:val="left"/>
              <w:rPr>
                <w:sz w:val="20"/>
              </w:rPr>
            </w:pPr>
            <w:r>
              <w:rPr>
                <w:sz w:val="20"/>
              </w:rPr>
              <w:t>Fuente: †Schilimne y Buchheim, 2002, ¶ Santos, 2007.</w:t>
            </w:r>
          </w:p>
        </w:tc>
        <w:tc>
          <w:tcPr>
            <w:tcW w:w="1500" w:type="dxa"/>
            <w:tcBorders>
              <w:top w:val="single" w:sz="4" w:space="0" w:color="000000"/>
            </w:tcBorders>
          </w:tcPr>
          <w:p>
            <w:pPr/>
          </w:p>
        </w:tc>
        <w:tc>
          <w:tcPr>
            <w:tcW w:w="1316" w:type="dxa"/>
            <w:tcBorders>
              <w:top w:val="single" w:sz="4" w:space="0" w:color="000000"/>
            </w:tcBorders>
          </w:tcPr>
          <w:p>
            <w:pPr/>
          </w:p>
        </w:tc>
        <w:tc>
          <w:tcPr>
            <w:tcW w:w="1374" w:type="dxa"/>
            <w:tcBorders>
              <w:top w:val="single" w:sz="4" w:space="0" w:color="000000"/>
            </w:tcBorders>
          </w:tcPr>
          <w:p>
            <w:pPr/>
          </w:p>
        </w:tc>
      </w:tr>
    </w:tbl>
    <w:p>
      <w:pPr>
        <w:spacing w:after="0"/>
        <w:sectPr>
          <w:footerReference w:type="default" r:id="rId14"/>
          <w:pgSz w:w="12240" w:h="15840"/>
          <w:pgMar w:footer="1382" w:header="1150" w:top="1420" w:bottom="1580" w:left="1360" w:right="1300"/>
        </w:sectPr>
      </w:pPr>
    </w:p>
    <w:p>
      <w:pPr>
        <w:pStyle w:val="BodyText"/>
        <w:spacing w:before="3"/>
        <w:rPr>
          <w:sz w:val="27"/>
        </w:rPr>
      </w:pPr>
    </w:p>
    <w:p>
      <w:pPr>
        <w:pStyle w:val="Heading1"/>
        <w:numPr>
          <w:ilvl w:val="1"/>
          <w:numId w:val="4"/>
        </w:numPr>
        <w:tabs>
          <w:tab w:pos="1277" w:val="left" w:leader="none"/>
        </w:tabs>
        <w:spacing w:line="240" w:lineRule="auto" w:before="69" w:after="0"/>
        <w:ind w:left="1276" w:right="0" w:hanging="403"/>
        <w:jc w:val="left"/>
      </w:pPr>
      <w:bookmarkStart w:name="_TOC_250059" w:id="7"/>
      <w:bookmarkEnd w:id="7"/>
      <w:r>
        <w:rPr/>
        <w:t>Grasa</w:t>
      </w:r>
    </w:p>
    <w:p>
      <w:pPr>
        <w:pStyle w:val="BodyText"/>
        <w:spacing w:before="5"/>
        <w:rPr>
          <w:b/>
          <w:sz w:val="29"/>
        </w:rPr>
      </w:pPr>
    </w:p>
    <w:p>
      <w:pPr>
        <w:pStyle w:val="BodyText"/>
        <w:spacing w:line="360" w:lineRule="auto"/>
        <w:ind w:left="512" w:right="102"/>
        <w:jc w:val="both"/>
      </w:pPr>
      <w:r>
        <w:rPr/>
        <w:t>La grasa en </w:t>
      </w:r>
      <w:r>
        <w:rPr>
          <w:spacing w:val="-5"/>
        </w:rPr>
        <w:t>la </w:t>
      </w:r>
      <w:r>
        <w:rPr/>
        <w:t>leche es un componente muy variable, está en una proporción de entre 3.2 a 6%. Estas variaciones pueden ser atribuidas a diferentes factores </w:t>
      </w:r>
      <w:r>
        <w:rPr>
          <w:spacing w:val="-3"/>
        </w:rPr>
        <w:t>como </w:t>
      </w:r>
      <w:r>
        <w:rPr>
          <w:spacing w:val="-5"/>
        </w:rPr>
        <w:t>lo </w:t>
      </w:r>
      <w:r>
        <w:rPr/>
        <w:t>son el genotipo,  </w:t>
      </w:r>
      <w:r>
        <w:rPr>
          <w:spacing w:val="-3"/>
        </w:rPr>
        <w:t>la </w:t>
      </w:r>
      <w:r>
        <w:rPr/>
        <w:t>alimentación, </w:t>
      </w:r>
      <w:r>
        <w:rPr>
          <w:spacing w:val="-3"/>
        </w:rPr>
        <w:t>la </w:t>
      </w:r>
      <w:r>
        <w:rPr/>
        <w:t>etapa de lactación, </w:t>
      </w:r>
      <w:r>
        <w:rPr>
          <w:spacing w:val="-5"/>
        </w:rPr>
        <w:t>la </w:t>
      </w:r>
      <w:r>
        <w:rPr/>
        <w:t>estación de año, estado sanitario y características individuales del animal. Esta grasa se encuentra en </w:t>
      </w:r>
      <w:r>
        <w:rPr>
          <w:spacing w:val="-3"/>
        </w:rPr>
        <w:t>forma </w:t>
      </w:r>
      <w:r>
        <w:rPr/>
        <w:t>de glóbulos de grasa con un tamaño de entre 2.5 a 5 µm y constan de un núcleo y una membrana, son fáciles de extraer sin modificar los demás componentes de </w:t>
      </w:r>
      <w:r>
        <w:rPr>
          <w:spacing w:val="-3"/>
        </w:rPr>
        <w:t>la </w:t>
      </w:r>
      <w:r>
        <w:rPr/>
        <w:t>leche (Santos, 2007; Schilimne y Buchheim, 2002; Spreer,</w:t>
      </w:r>
      <w:r>
        <w:rPr>
          <w:spacing w:val="-4"/>
        </w:rPr>
        <w:t> </w:t>
      </w:r>
      <w:r>
        <w:rPr/>
        <w:t>1991).</w:t>
      </w:r>
    </w:p>
    <w:p>
      <w:pPr>
        <w:pStyle w:val="BodyText"/>
        <w:spacing w:line="360" w:lineRule="auto" w:before="210"/>
        <w:ind w:left="512" w:right="102"/>
        <w:jc w:val="both"/>
      </w:pPr>
      <w:r>
        <w:rPr/>
        <w:t>La grasa de la leche está constituida por diferentes lípidos, principalmente triglicéridos que constituyen el 96% o más del total de los lípidos, el resto está formado por diglicéridos, fosfolípidos, monoglicéridos, esteroles, sustancias insaponificables, ácidos grasos libres, entre otros. El núcleo de los glóbulos grasos está compuesto por triglicéridos formados por un éster de un alcohol trivalente, el glicerol o propanotriol, con ácidos grasos (ácidos monocarboxilicos). La membrana es una formación compleja formada por varias capas constituidas principalmente por fosfolípidos, colesterol y vitamina A (Santos, 2007; Schilimne y Buchheim, 2002; Spreer, 1991).</w:t>
      </w:r>
    </w:p>
    <w:p>
      <w:pPr>
        <w:pStyle w:val="Heading1"/>
        <w:numPr>
          <w:ilvl w:val="1"/>
          <w:numId w:val="4"/>
        </w:numPr>
        <w:tabs>
          <w:tab w:pos="1277" w:val="left" w:leader="none"/>
        </w:tabs>
        <w:spacing w:line="240" w:lineRule="auto" w:before="210" w:after="0"/>
        <w:ind w:left="1276" w:right="0" w:hanging="403"/>
        <w:jc w:val="left"/>
      </w:pPr>
      <w:bookmarkStart w:name="_TOC_250058" w:id="8"/>
      <w:bookmarkEnd w:id="8"/>
      <w:r>
        <w:rPr/>
        <w:t>Proteína</w:t>
      </w:r>
    </w:p>
    <w:p>
      <w:pPr>
        <w:pStyle w:val="BodyText"/>
        <w:spacing w:before="4"/>
        <w:rPr>
          <w:b/>
          <w:sz w:val="29"/>
        </w:rPr>
      </w:pPr>
    </w:p>
    <w:p>
      <w:pPr>
        <w:pStyle w:val="BodyText"/>
        <w:spacing w:line="360" w:lineRule="auto" w:before="1"/>
        <w:ind w:left="512" w:right="101"/>
        <w:jc w:val="both"/>
      </w:pPr>
      <w:r>
        <w:rPr/>
        <w:t>El contenido de proteína depende fundamentalmente de </w:t>
      </w:r>
      <w:r>
        <w:rPr>
          <w:spacing w:val="-5"/>
        </w:rPr>
        <w:t>la </w:t>
      </w:r>
      <w:r>
        <w:rPr/>
        <w:t>alimentación, el contenido total de proteína en leche se encuentra entre 3.0 a 3.9%. Desde el punto de vista nutricional, las proteínas de </w:t>
      </w:r>
      <w:r>
        <w:rPr>
          <w:spacing w:val="-3"/>
        </w:rPr>
        <w:t>la </w:t>
      </w:r>
      <w:r>
        <w:rPr/>
        <w:t>leche tienen como principal función el aporte de aminoácidos esenciales y nitrógeno orgánico. En el caso del calostro cumple otra función de gran importancia con el aporte de inmunoglobulinas al recién nacido. La fracción proteica de </w:t>
      </w:r>
      <w:r>
        <w:rPr>
          <w:spacing w:val="-3"/>
        </w:rPr>
        <w:t>la </w:t>
      </w:r>
      <w:r>
        <w:rPr/>
        <w:t>leche </w:t>
      </w:r>
      <w:r>
        <w:rPr>
          <w:spacing w:val="4"/>
        </w:rPr>
        <w:t>está </w:t>
      </w:r>
      <w:r>
        <w:rPr/>
        <w:t>formada por varios tipos de proteínas y por otros componentes, siendo </w:t>
      </w:r>
      <w:r>
        <w:rPr>
          <w:spacing w:val="-3"/>
        </w:rPr>
        <w:t>las </w:t>
      </w:r>
      <w:r>
        <w:rPr/>
        <w:t>caseínas y las proteínas del suero </w:t>
      </w:r>
      <w:r>
        <w:rPr>
          <w:spacing w:val="-3"/>
        </w:rPr>
        <w:t>las </w:t>
      </w:r>
      <w:r>
        <w:rPr/>
        <w:t>de </w:t>
      </w:r>
      <w:r>
        <w:rPr>
          <w:spacing w:val="-3"/>
        </w:rPr>
        <w:t>mayor </w:t>
      </w:r>
      <w:r>
        <w:rPr/>
        <w:t>concentración (Walstra </w:t>
      </w:r>
      <w:r>
        <w:rPr>
          <w:i/>
        </w:rPr>
        <w:t>et al</w:t>
      </w:r>
      <w:r>
        <w:rPr/>
        <w:t>.,</w:t>
      </w:r>
      <w:r>
        <w:rPr>
          <w:spacing w:val="14"/>
        </w:rPr>
        <w:t> </w:t>
      </w:r>
      <w:r>
        <w:rPr/>
        <w:t>2001).</w:t>
      </w:r>
    </w:p>
    <w:p>
      <w:pPr>
        <w:spacing w:after="0" w:line="360" w:lineRule="auto"/>
        <w:jc w:val="both"/>
        <w:sectPr>
          <w:footerReference w:type="default" r:id="rId15"/>
          <w:pgSz w:w="12240" w:h="15840"/>
          <w:pgMar w:footer="1382" w:header="1150" w:top="1420" w:bottom="1580" w:left="1360" w:right="1420"/>
          <w:pgNumType w:start="11"/>
        </w:sectPr>
      </w:pPr>
    </w:p>
    <w:p>
      <w:pPr>
        <w:pStyle w:val="BodyText"/>
        <w:spacing w:before="3"/>
        <w:rPr>
          <w:sz w:val="27"/>
        </w:rPr>
      </w:pPr>
    </w:p>
    <w:p>
      <w:pPr>
        <w:pStyle w:val="Heading1"/>
        <w:numPr>
          <w:ilvl w:val="2"/>
          <w:numId w:val="4"/>
        </w:numPr>
        <w:tabs>
          <w:tab w:pos="1592" w:val="left" w:leader="none"/>
          <w:tab w:pos="1593" w:val="left" w:leader="none"/>
        </w:tabs>
        <w:spacing w:line="240" w:lineRule="auto" w:before="69" w:after="0"/>
        <w:ind w:left="1593" w:right="0" w:hanging="720"/>
        <w:jc w:val="left"/>
      </w:pPr>
      <w:bookmarkStart w:name="_TOC_250057" w:id="9"/>
      <w:bookmarkEnd w:id="9"/>
      <w:r>
        <w:rPr/>
        <w:t>Caseína</w:t>
      </w:r>
    </w:p>
    <w:p>
      <w:pPr>
        <w:pStyle w:val="BodyText"/>
        <w:spacing w:before="5"/>
        <w:rPr>
          <w:b/>
          <w:sz w:val="29"/>
        </w:rPr>
      </w:pPr>
    </w:p>
    <w:p>
      <w:pPr>
        <w:pStyle w:val="BodyText"/>
        <w:spacing w:line="360" w:lineRule="auto"/>
        <w:ind w:left="512" w:right="109"/>
        <w:jc w:val="both"/>
      </w:pPr>
      <w:r>
        <w:rPr/>
        <w:t>Las caseínas son sintetizadas en </w:t>
      </w:r>
      <w:r>
        <w:rPr>
          <w:spacing w:val="-5"/>
        </w:rPr>
        <w:t>la </w:t>
      </w:r>
      <w:r>
        <w:rPr/>
        <w:t>glándula mamaria, son el componente mayoritario de </w:t>
      </w:r>
      <w:r>
        <w:rPr>
          <w:spacing w:val="-3"/>
        </w:rPr>
        <w:t>las </w:t>
      </w:r>
      <w:r>
        <w:rPr/>
        <w:t>proteínas lácteas en una proporción de 80%. La caseína es una fosfoproteína porque tiene grupos fosfato ligados y establece enlaces con calcio </w:t>
      </w:r>
      <w:r>
        <w:rPr>
          <w:spacing w:val="-5"/>
        </w:rPr>
        <w:t>lo </w:t>
      </w:r>
      <w:r>
        <w:rPr/>
        <w:t>que </w:t>
      </w:r>
      <w:r>
        <w:rPr>
          <w:spacing w:val="-3"/>
        </w:rPr>
        <w:t>le </w:t>
      </w:r>
      <w:r>
        <w:rPr/>
        <w:t>proporciona cierta estabilidad, razón por </w:t>
      </w:r>
      <w:r>
        <w:rPr>
          <w:spacing w:val="-5"/>
        </w:rPr>
        <w:t>la </w:t>
      </w:r>
      <w:r>
        <w:rPr/>
        <w:t>cual </w:t>
      </w:r>
      <w:r>
        <w:rPr>
          <w:spacing w:val="-3"/>
        </w:rPr>
        <w:t>no </w:t>
      </w:r>
      <w:r>
        <w:rPr/>
        <w:t>se coagula al ser cocida, pero si en medios ácidos </w:t>
      </w:r>
      <w:r>
        <w:rPr>
          <w:spacing w:val="-3"/>
        </w:rPr>
        <w:t>ya </w:t>
      </w:r>
      <w:r>
        <w:rPr/>
        <w:t>que sufre una transformación de gran importancia en </w:t>
      </w:r>
      <w:r>
        <w:rPr>
          <w:spacing w:val="-3"/>
        </w:rPr>
        <w:t>la </w:t>
      </w:r>
      <w:r>
        <w:rPr/>
        <w:t>industria de derivados lácticos y en </w:t>
      </w:r>
      <w:r>
        <w:rPr>
          <w:spacing w:val="-3"/>
        </w:rPr>
        <w:t>la </w:t>
      </w:r>
      <w:r>
        <w:rPr/>
        <w:t>industria quesera (Spreer,</w:t>
      </w:r>
      <w:r>
        <w:rPr>
          <w:spacing w:val="-9"/>
        </w:rPr>
        <w:t> </w:t>
      </w:r>
      <w:r>
        <w:rPr/>
        <w:t>1991).</w:t>
      </w:r>
    </w:p>
    <w:p>
      <w:pPr>
        <w:pStyle w:val="BodyText"/>
        <w:spacing w:line="357" w:lineRule="auto" w:before="210"/>
        <w:ind w:left="512" w:right="102"/>
        <w:jc w:val="both"/>
      </w:pPr>
      <w:r>
        <w:rPr/>
        <w:t>Existen cuatro tipos de caseínas: las α</w:t>
      </w:r>
      <w:r>
        <w:rPr>
          <w:i/>
          <w:position w:val="-2"/>
          <w:sz w:val="16"/>
        </w:rPr>
        <w:t>s</w:t>
      </w:r>
      <w:r>
        <w:rPr/>
        <w:t>, caseína β, caseína κ y caseína ѵ. Las caseínas α</w:t>
      </w:r>
      <w:r>
        <w:rPr>
          <w:i/>
          <w:position w:val="-2"/>
          <w:sz w:val="16"/>
        </w:rPr>
        <w:t>s </w:t>
      </w:r>
      <w:r>
        <w:rPr/>
        <w:t>son el componente más abundante de las caseínas, el subíndice </w:t>
      </w:r>
      <w:r>
        <w:rPr>
          <w:i/>
        </w:rPr>
        <w:t>s </w:t>
      </w:r>
      <w:r>
        <w:rPr/>
        <w:t>significa que es sensible al calcio, es decir que fluctúan aun en presencia de pequeñas cantidades de iones de calcio, es la proteína más rica en fósforo por molécula y no contiene carbohidratos. La caseína β es también sensible al calcio y contiene menos fósforo que la anterior. La caseína κ es insensible al calcio, es una glicoproteína cuyo carbohidrato reductor es la galactosa. A la caseína ѵ se le ha atribuido el carácter de globulina por su semejanza con la inmunoglobulina del calostro, no debería considerarse como caseína a pesar de que tiene fósforo puesto que tiene un punto isoeléctrico elevado y menor peso molecular comparado con las demás caseínas (Santos, 2007).</w:t>
      </w:r>
    </w:p>
    <w:p>
      <w:pPr>
        <w:pStyle w:val="BodyText"/>
        <w:spacing w:line="360" w:lineRule="auto" w:before="213"/>
        <w:ind w:left="512" w:right="110"/>
        <w:jc w:val="both"/>
      </w:pPr>
      <w:r>
        <w:rPr/>
        <w:t>El interés tecnológico reside sobre todo en la relación en la que están las fracciones α y β ya que estas determinan la coagulación de las proteínas en la elaboración de los  quesos (Spreer, 1991).</w:t>
      </w:r>
    </w:p>
    <w:p>
      <w:pPr>
        <w:pStyle w:val="Heading1"/>
        <w:numPr>
          <w:ilvl w:val="2"/>
          <w:numId w:val="4"/>
        </w:numPr>
        <w:tabs>
          <w:tab w:pos="1592" w:val="left" w:leader="none"/>
          <w:tab w:pos="1593" w:val="left" w:leader="none"/>
        </w:tabs>
        <w:spacing w:line="240" w:lineRule="auto" w:before="206" w:after="0"/>
        <w:ind w:left="1593" w:right="0" w:hanging="720"/>
        <w:jc w:val="left"/>
      </w:pPr>
      <w:bookmarkStart w:name="_TOC_250056" w:id="10"/>
      <w:r>
        <w:rPr/>
        <w:t>Proteínas del</w:t>
      </w:r>
      <w:r>
        <w:rPr>
          <w:spacing w:val="-15"/>
        </w:rPr>
        <w:t> </w:t>
      </w:r>
      <w:bookmarkEnd w:id="10"/>
      <w:r>
        <w:rPr/>
        <w:t>suero</w:t>
      </w:r>
    </w:p>
    <w:p>
      <w:pPr>
        <w:pStyle w:val="BodyText"/>
        <w:spacing w:before="4"/>
        <w:rPr>
          <w:b/>
          <w:sz w:val="29"/>
        </w:rPr>
      </w:pPr>
    </w:p>
    <w:p>
      <w:pPr>
        <w:pStyle w:val="BodyText"/>
        <w:spacing w:line="360" w:lineRule="auto" w:before="1"/>
        <w:ind w:left="512" w:right="113"/>
        <w:jc w:val="both"/>
      </w:pPr>
      <w:r>
        <w:rPr/>
        <w:t>Las proteínas del suero representan en promedio 20% del total de </w:t>
      </w:r>
      <w:r>
        <w:rPr>
          <w:spacing w:val="-3"/>
        </w:rPr>
        <w:t>las </w:t>
      </w:r>
      <w:r>
        <w:rPr/>
        <w:t>proteínas de </w:t>
      </w:r>
      <w:r>
        <w:rPr>
          <w:spacing w:val="-5"/>
        </w:rPr>
        <w:t>la </w:t>
      </w:r>
      <w:r>
        <w:rPr/>
        <w:t>leche. Las principales proteínas de este tipo son </w:t>
      </w:r>
      <w:r>
        <w:rPr>
          <w:spacing w:val="-5"/>
        </w:rPr>
        <w:t>la </w:t>
      </w:r>
      <w:r>
        <w:rPr/>
        <w:t>β-lactoglobulina, α-lactoalbúmina, inmunoglobulinas, seroalbúmina, proteosa-peptona y proteínas menores como </w:t>
      </w:r>
      <w:r>
        <w:rPr>
          <w:spacing w:val="-5"/>
        </w:rPr>
        <w:t>la </w:t>
      </w:r>
      <w:r>
        <w:rPr/>
        <w:t>lactoferrina (Walstra </w:t>
      </w:r>
      <w:r>
        <w:rPr>
          <w:i/>
        </w:rPr>
        <w:t>et al</w:t>
      </w:r>
      <w:r>
        <w:rPr/>
        <w:t>.,</w:t>
      </w:r>
      <w:r>
        <w:rPr>
          <w:spacing w:val="-6"/>
        </w:rPr>
        <w:t> </w:t>
      </w:r>
      <w:r>
        <w:rPr/>
        <w:t>2001).</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3"/>
        <w:jc w:val="both"/>
      </w:pPr>
      <w:r>
        <w:rPr/>
        <w:t>LA β-lactoglobulina es </w:t>
      </w:r>
      <w:r>
        <w:rPr>
          <w:spacing w:val="-3"/>
        </w:rPr>
        <w:t>la </w:t>
      </w:r>
      <w:r>
        <w:rPr/>
        <w:t>más abundante de </w:t>
      </w:r>
      <w:r>
        <w:rPr>
          <w:spacing w:val="-3"/>
        </w:rPr>
        <w:t>las </w:t>
      </w:r>
      <w:r>
        <w:rPr/>
        <w:t>proteínas del suero (aproximadamente 50%), </w:t>
      </w:r>
      <w:r>
        <w:rPr>
          <w:spacing w:val="-3"/>
        </w:rPr>
        <w:t>no </w:t>
      </w:r>
      <w:r>
        <w:rPr/>
        <w:t>se </w:t>
      </w:r>
      <w:r>
        <w:rPr>
          <w:spacing w:val="-3"/>
        </w:rPr>
        <w:t>liga </w:t>
      </w:r>
      <w:r>
        <w:rPr/>
        <w:t>a otras fracciones proteicas a temperatura ambiente y durante el calentamiento forma un complejo con </w:t>
      </w:r>
      <w:r>
        <w:rPr>
          <w:spacing w:val="-5"/>
        </w:rPr>
        <w:t>la </w:t>
      </w:r>
      <w:r>
        <w:rPr/>
        <w:t>caseína κ que es </w:t>
      </w:r>
      <w:r>
        <w:rPr>
          <w:spacing w:val="-3"/>
        </w:rPr>
        <w:t>más </w:t>
      </w:r>
      <w:r>
        <w:rPr/>
        <w:t>estable que los componentes separados debido a que se forma mediante puentes disulfuro. La α-lactoalbúmina constituye más del 20% de </w:t>
      </w:r>
      <w:r>
        <w:rPr>
          <w:spacing w:val="-3"/>
        </w:rPr>
        <w:t>las </w:t>
      </w:r>
      <w:r>
        <w:rPr/>
        <w:t>proteínas del suero, interviene en </w:t>
      </w:r>
      <w:r>
        <w:rPr>
          <w:spacing w:val="-5"/>
        </w:rPr>
        <w:t>la </w:t>
      </w:r>
      <w:r>
        <w:rPr/>
        <w:t>biosíntesis de </w:t>
      </w:r>
      <w:r>
        <w:rPr>
          <w:spacing w:val="-3"/>
        </w:rPr>
        <w:t>la </w:t>
      </w:r>
      <w:r>
        <w:rPr/>
        <w:t>lactosa (Santos, 2007). La leche de vacas sanas contiene muy poca cantidad de inmunoglobulinas (0.6 g/L) a diferencia del calostro que contiene 12 g/L en el primer día de ordeño. Se han encontrado inmunoglobulinas del tipo G, </w:t>
      </w:r>
      <w:r>
        <w:rPr>
          <w:spacing w:val="-3"/>
        </w:rPr>
        <w:t>A, </w:t>
      </w:r>
      <w:r>
        <w:rPr/>
        <w:t>y M en </w:t>
      </w:r>
      <w:r>
        <w:rPr>
          <w:spacing w:val="-3"/>
        </w:rPr>
        <w:t>la </w:t>
      </w:r>
      <w:r>
        <w:rPr/>
        <w:t>leche bovina (Schilimne y Buchheim,</w:t>
      </w:r>
      <w:r>
        <w:rPr>
          <w:spacing w:val="-19"/>
        </w:rPr>
        <w:t> </w:t>
      </w:r>
      <w:r>
        <w:rPr/>
        <w:t>2002).</w:t>
      </w:r>
    </w:p>
    <w:p>
      <w:pPr>
        <w:pStyle w:val="BodyText"/>
        <w:spacing w:line="360" w:lineRule="auto" w:before="210"/>
        <w:ind w:left="512" w:right="102"/>
        <w:jc w:val="both"/>
      </w:pPr>
      <w:r>
        <w:rPr/>
        <w:t>La seroalbúmina representa entre el 0.7 y 1.3% de la proteína total, no se sintetiza en la glándula mamaria, pasa directamente del torrente sanguíneo y es idéntica a la albúmina del suero sanguíneo con las mismas propiedades inmunológicas. La proteosa-peptona es una fracción no sensible al calor y no precipita a pH ácido, está compuesta principalmente por productos de degradación de la caseína β; la lactoferrina o proteína roja es sintetizada en la glándula mamaria y posee un efecto bacteriostático debido probablemente a la unión con el hierro (Schilimne y Buchheim, 2002; Walstra </w:t>
      </w:r>
      <w:r>
        <w:rPr>
          <w:i/>
        </w:rPr>
        <w:t>et al</w:t>
      </w:r>
      <w:r>
        <w:rPr/>
        <w:t>., 2001).</w:t>
      </w:r>
    </w:p>
    <w:p>
      <w:pPr>
        <w:pStyle w:val="Heading1"/>
        <w:numPr>
          <w:ilvl w:val="1"/>
          <w:numId w:val="5"/>
        </w:numPr>
        <w:tabs>
          <w:tab w:pos="1277" w:val="left" w:leader="none"/>
        </w:tabs>
        <w:spacing w:line="240" w:lineRule="auto" w:before="210" w:after="0"/>
        <w:ind w:left="1276" w:right="0" w:hanging="403"/>
        <w:jc w:val="left"/>
      </w:pPr>
      <w:bookmarkStart w:name="_TOC_250055" w:id="11"/>
      <w:bookmarkEnd w:id="11"/>
      <w:r>
        <w:rPr/>
        <w:t>Lactosa</w:t>
      </w:r>
    </w:p>
    <w:p>
      <w:pPr>
        <w:pStyle w:val="BodyText"/>
        <w:spacing w:before="5"/>
        <w:rPr>
          <w:b/>
          <w:sz w:val="29"/>
        </w:rPr>
      </w:pPr>
    </w:p>
    <w:p>
      <w:pPr>
        <w:pStyle w:val="BodyText"/>
        <w:spacing w:line="360" w:lineRule="auto"/>
        <w:ind w:left="512" w:right="101"/>
        <w:jc w:val="both"/>
      </w:pPr>
      <w:r>
        <w:rPr/>
        <w:t>Es el carbohidrato mayoritario en la leche, es un disacárido compuesto de glucosa y galactosa. Su biosíntesis esta catalizada por la galactosiltransferasa en presencia de α- lactoalbúmina. El papel edulcorante de la lactosa y su solubilidad es a diferencia de otros disacáridos, bastante reducido. La lactosa es un azúcar poco común en la  naturaleza, excepto en la leche, que oscila de 4.5 a 4.7%. Es un factor limitante en la producción de leche ya que la cantidad de leche que se produce depende de la síntesis de lactosa, tiene una buena estabilidad en el tubo digestivo del humano (Santos, 2007; Schilimne y Buchheim, 2002; Walstra </w:t>
      </w:r>
      <w:r>
        <w:rPr>
          <w:i/>
        </w:rPr>
        <w:t>et al., </w:t>
      </w:r>
      <w:r>
        <w:rPr/>
        <w:t>2001).</w:t>
      </w:r>
    </w:p>
    <w:p>
      <w:pPr>
        <w:pStyle w:val="Heading1"/>
        <w:numPr>
          <w:ilvl w:val="1"/>
          <w:numId w:val="5"/>
        </w:numPr>
        <w:tabs>
          <w:tab w:pos="1277" w:val="left" w:leader="none"/>
        </w:tabs>
        <w:spacing w:line="240" w:lineRule="auto" w:before="210" w:after="0"/>
        <w:ind w:left="1276" w:right="0" w:hanging="403"/>
        <w:jc w:val="left"/>
      </w:pPr>
      <w:bookmarkStart w:name="_TOC_250054" w:id="12"/>
      <w:bookmarkEnd w:id="12"/>
      <w:r>
        <w:rPr/>
        <w:t>Minerales</w:t>
      </w:r>
    </w:p>
    <w:p>
      <w:pPr>
        <w:pStyle w:val="BodyText"/>
        <w:spacing w:before="4"/>
        <w:rPr>
          <w:b/>
          <w:sz w:val="29"/>
        </w:rPr>
      </w:pPr>
    </w:p>
    <w:p>
      <w:pPr>
        <w:pStyle w:val="BodyText"/>
        <w:spacing w:line="362" w:lineRule="auto" w:before="1"/>
        <w:ind w:left="512" w:right="109"/>
        <w:jc w:val="both"/>
      </w:pPr>
      <w:r>
        <w:rPr/>
        <w:t>Son muy importantes tanto para el organismo humano como para la cría, ya que influyen de manera  importante  en  el  crecimiento  y  desarrollo  del  cuerpo,  formación  de     huesos,</w:t>
      </w:r>
    </w:p>
    <w:p>
      <w:pPr>
        <w:spacing w:after="0" w:line="362"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4"/>
        <w:jc w:val="both"/>
      </w:pPr>
      <w:r>
        <w:rPr/>
        <w:t>procesos enzimáticos, coagulación sanguínea, entre otros. Entre los </w:t>
      </w:r>
      <w:r>
        <w:rPr>
          <w:spacing w:val="-3"/>
        </w:rPr>
        <w:t>más </w:t>
      </w:r>
      <w:r>
        <w:rPr/>
        <w:t>importantes están el Ca, Na, </w:t>
      </w:r>
      <w:r>
        <w:rPr>
          <w:spacing w:val="-3"/>
        </w:rPr>
        <w:t>K, </w:t>
      </w:r>
      <w:r>
        <w:rPr/>
        <w:t>P, Mg, Fe, </w:t>
      </w:r>
      <w:r>
        <w:rPr>
          <w:spacing w:val="-3"/>
        </w:rPr>
        <w:t>Zn, </w:t>
      </w:r>
      <w:r>
        <w:rPr/>
        <w:t>Co, Cu, </w:t>
      </w:r>
      <w:r>
        <w:rPr>
          <w:spacing w:val="-4"/>
        </w:rPr>
        <w:t>Cl. </w:t>
      </w:r>
      <w:r>
        <w:rPr/>
        <w:t>Desde el punto de vista industrial el Ca tiene gran importancia </w:t>
      </w:r>
      <w:r>
        <w:rPr>
          <w:spacing w:val="-3"/>
        </w:rPr>
        <w:t>ya </w:t>
      </w:r>
      <w:r>
        <w:rPr/>
        <w:t>que es necesario que exista en cantidades adecuadas para producir </w:t>
      </w:r>
      <w:r>
        <w:rPr>
          <w:spacing w:val="-5"/>
        </w:rPr>
        <w:t>la </w:t>
      </w:r>
      <w:r>
        <w:rPr/>
        <w:t>precipitación de proteínas. </w:t>
      </w:r>
      <w:r>
        <w:rPr>
          <w:spacing w:val="3"/>
        </w:rPr>
        <w:t>El </w:t>
      </w:r>
      <w:r>
        <w:rPr/>
        <w:t>contenido de minerales en </w:t>
      </w:r>
      <w:r>
        <w:rPr>
          <w:spacing w:val="-3"/>
        </w:rPr>
        <w:t>la </w:t>
      </w:r>
      <w:r>
        <w:rPr/>
        <w:t>leche depende de </w:t>
      </w:r>
      <w:r>
        <w:rPr>
          <w:spacing w:val="-3"/>
        </w:rPr>
        <w:t>la </w:t>
      </w:r>
      <w:r>
        <w:rPr/>
        <w:t>etapa de lactación, el estado de salud </w:t>
      </w:r>
      <w:r>
        <w:rPr>
          <w:spacing w:val="2"/>
        </w:rPr>
        <w:t>del </w:t>
      </w:r>
      <w:r>
        <w:rPr/>
        <w:t>animal, </w:t>
      </w:r>
      <w:r>
        <w:rPr>
          <w:spacing w:val="-3"/>
        </w:rPr>
        <w:t>la </w:t>
      </w:r>
      <w:r>
        <w:rPr/>
        <w:t>raza, pero sobre todo del aporte mineral en </w:t>
      </w:r>
      <w:r>
        <w:rPr>
          <w:spacing w:val="-5"/>
        </w:rPr>
        <w:t>la </w:t>
      </w:r>
      <w:r>
        <w:rPr/>
        <w:t>dieta de los animales (Spreer, 1991; Schilimne y Buchheim, 2002; Walstra </w:t>
      </w:r>
      <w:r>
        <w:rPr>
          <w:i/>
        </w:rPr>
        <w:t>et al</w:t>
      </w:r>
      <w:r>
        <w:rPr/>
        <w:t>.,</w:t>
      </w:r>
      <w:r>
        <w:rPr>
          <w:spacing w:val="-16"/>
        </w:rPr>
        <w:t> </w:t>
      </w:r>
      <w:r>
        <w:rPr/>
        <w:t>2001).</w:t>
      </w:r>
    </w:p>
    <w:p>
      <w:pPr>
        <w:pStyle w:val="Heading1"/>
        <w:numPr>
          <w:ilvl w:val="1"/>
          <w:numId w:val="5"/>
        </w:numPr>
        <w:tabs>
          <w:tab w:pos="1277" w:val="left" w:leader="none"/>
        </w:tabs>
        <w:spacing w:line="240" w:lineRule="auto" w:before="210" w:after="0"/>
        <w:ind w:left="1276" w:right="0" w:hanging="403"/>
        <w:jc w:val="left"/>
      </w:pPr>
      <w:bookmarkStart w:name="_TOC_250053" w:id="13"/>
      <w:bookmarkEnd w:id="13"/>
      <w:r>
        <w:rPr/>
        <w:t>Vitaminas</w:t>
      </w:r>
    </w:p>
    <w:p>
      <w:pPr>
        <w:pStyle w:val="BodyText"/>
        <w:spacing w:before="4"/>
        <w:rPr>
          <w:b/>
          <w:sz w:val="29"/>
        </w:rPr>
      </w:pPr>
    </w:p>
    <w:p>
      <w:pPr>
        <w:pStyle w:val="BodyText"/>
        <w:spacing w:line="355" w:lineRule="auto" w:before="1"/>
        <w:ind w:left="512" w:right="107"/>
        <w:jc w:val="both"/>
      </w:pPr>
      <w:r>
        <w:rPr/>
        <w:t>La leche contiene todas </w:t>
      </w:r>
      <w:r>
        <w:rPr>
          <w:spacing w:val="-4"/>
        </w:rPr>
        <w:t>las </w:t>
      </w:r>
      <w:r>
        <w:rPr/>
        <w:t>vitaminas esenciales para </w:t>
      </w:r>
      <w:r>
        <w:rPr>
          <w:spacing w:val="-3"/>
        </w:rPr>
        <w:t>la </w:t>
      </w:r>
      <w:r>
        <w:rPr/>
        <w:t>vida, pero en cantidades diferentes, que </w:t>
      </w:r>
      <w:r>
        <w:rPr>
          <w:spacing w:val="-3"/>
        </w:rPr>
        <w:t>no </w:t>
      </w:r>
      <w:r>
        <w:rPr/>
        <w:t>en todos los casos son suficientes. El contenido de vitaminas de </w:t>
      </w:r>
      <w:r>
        <w:rPr>
          <w:spacing w:val="-5"/>
        </w:rPr>
        <w:t>la </w:t>
      </w:r>
      <w:r>
        <w:rPr/>
        <w:t>leche depende fundamentalmente del tipo de alimentación y del estado de salud del animal. Entre las vitaminas liposolubles más importantes están </w:t>
      </w:r>
      <w:r>
        <w:rPr>
          <w:spacing w:val="-5"/>
        </w:rPr>
        <w:t>la </w:t>
      </w:r>
      <w:r>
        <w:rPr>
          <w:spacing w:val="-3"/>
        </w:rPr>
        <w:t>A, </w:t>
      </w:r>
      <w:r>
        <w:rPr/>
        <w:t>D y E, y las hidrosolubles están </w:t>
      </w:r>
      <w:r>
        <w:rPr>
          <w:spacing w:val="-5"/>
        </w:rPr>
        <w:t>la </w:t>
      </w:r>
      <w:r>
        <w:rPr>
          <w:spacing w:val="3"/>
        </w:rPr>
        <w:t>B</w:t>
      </w:r>
      <w:r>
        <w:rPr>
          <w:spacing w:val="3"/>
          <w:position w:val="-2"/>
          <w:sz w:val="16"/>
        </w:rPr>
        <w:t>1</w:t>
      </w:r>
      <w:r>
        <w:rPr>
          <w:spacing w:val="3"/>
        </w:rPr>
        <w:t>, </w:t>
      </w:r>
      <w:r>
        <w:rPr/>
        <w:t>B</w:t>
      </w:r>
      <w:r>
        <w:rPr>
          <w:position w:val="-2"/>
          <w:sz w:val="16"/>
        </w:rPr>
        <w:t>2</w:t>
      </w:r>
      <w:r>
        <w:rPr/>
        <w:t>, B</w:t>
      </w:r>
      <w:r>
        <w:rPr>
          <w:position w:val="-2"/>
          <w:sz w:val="16"/>
        </w:rPr>
        <w:t>6</w:t>
      </w:r>
      <w:r>
        <w:rPr/>
        <w:t>, B</w:t>
      </w:r>
      <w:r>
        <w:rPr>
          <w:position w:val="-2"/>
          <w:sz w:val="16"/>
        </w:rPr>
        <w:t>12</w:t>
      </w:r>
      <w:r>
        <w:rPr/>
        <w:t>, C, ácidos pantoténico y nicotínico (Spreer,</w:t>
      </w:r>
      <w:r>
        <w:rPr>
          <w:spacing w:val="-21"/>
        </w:rPr>
        <w:t> </w:t>
      </w:r>
      <w:r>
        <w:rPr/>
        <w:t>1991).</w:t>
      </w:r>
    </w:p>
    <w:p>
      <w:pPr>
        <w:pStyle w:val="Heading1"/>
        <w:numPr>
          <w:ilvl w:val="1"/>
          <w:numId w:val="5"/>
        </w:numPr>
        <w:tabs>
          <w:tab w:pos="1277" w:val="left" w:leader="none"/>
        </w:tabs>
        <w:spacing w:line="240" w:lineRule="auto" w:before="197" w:after="0"/>
        <w:ind w:left="1276" w:right="0" w:hanging="403"/>
        <w:jc w:val="left"/>
      </w:pPr>
      <w:bookmarkStart w:name="_TOC_250052" w:id="14"/>
      <w:bookmarkEnd w:id="14"/>
      <w:r>
        <w:rPr/>
        <w:t>Enzimas</w:t>
      </w:r>
    </w:p>
    <w:p>
      <w:pPr>
        <w:pStyle w:val="BodyText"/>
        <w:spacing w:before="4"/>
        <w:rPr>
          <w:b/>
          <w:sz w:val="29"/>
        </w:rPr>
      </w:pPr>
    </w:p>
    <w:p>
      <w:pPr>
        <w:pStyle w:val="BodyText"/>
        <w:spacing w:line="360" w:lineRule="auto" w:before="1"/>
        <w:ind w:left="512" w:right="107"/>
        <w:jc w:val="both"/>
      </w:pPr>
      <w:r>
        <w:rPr/>
        <w:t>La leche contiene varios tipos de enzimas, algunas de ellas se concentran en </w:t>
      </w:r>
      <w:r>
        <w:rPr>
          <w:spacing w:val="-3"/>
        </w:rPr>
        <w:t>la </w:t>
      </w:r>
      <w:r>
        <w:rPr/>
        <w:t>membrana  de los glóbulos de grasa, otras fluctúan con </w:t>
      </w:r>
      <w:r>
        <w:rPr>
          <w:spacing w:val="-3"/>
        </w:rPr>
        <w:t>las </w:t>
      </w:r>
      <w:r>
        <w:rPr/>
        <w:t>caseínas. Algunas veces es difícil determinar el origen de las enzimas, </w:t>
      </w:r>
      <w:r>
        <w:rPr>
          <w:spacing w:val="-3"/>
        </w:rPr>
        <w:t>ya </w:t>
      </w:r>
      <w:r>
        <w:rPr/>
        <w:t>que </w:t>
      </w:r>
      <w:r>
        <w:rPr>
          <w:spacing w:val="-3"/>
        </w:rPr>
        <w:t>las </w:t>
      </w:r>
      <w:r>
        <w:rPr/>
        <w:t>bacterias que se encuentran comúnmente en </w:t>
      </w:r>
      <w:r>
        <w:rPr>
          <w:spacing w:val="-3"/>
        </w:rPr>
        <w:t>la </w:t>
      </w:r>
      <w:r>
        <w:rPr/>
        <w:t>leche producen enzimas semejantes a las producidas en </w:t>
      </w:r>
      <w:r>
        <w:rPr>
          <w:spacing w:val="-3"/>
        </w:rPr>
        <w:t>la </w:t>
      </w:r>
      <w:r>
        <w:rPr/>
        <w:t>glándula mamaria. Existen enzimas oxido-reductasas como </w:t>
      </w:r>
      <w:r>
        <w:rPr>
          <w:spacing w:val="-5"/>
        </w:rPr>
        <w:t>la </w:t>
      </w:r>
      <w:r>
        <w:rPr/>
        <w:t>lactoperoxidasa, reductasa-aldolasa y catalasa y enzimas hidrolíticas como </w:t>
      </w:r>
      <w:r>
        <w:rPr>
          <w:spacing w:val="-3"/>
        </w:rPr>
        <w:t>las </w:t>
      </w:r>
      <w:r>
        <w:rPr/>
        <w:t>lipasas, </w:t>
      </w:r>
      <w:r>
        <w:rPr>
          <w:spacing w:val="-5"/>
        </w:rPr>
        <w:t>la </w:t>
      </w:r>
      <w:r>
        <w:rPr/>
        <w:t>fosfatasa, proteasas, amilasas y </w:t>
      </w:r>
      <w:r>
        <w:rPr>
          <w:spacing w:val="-3"/>
        </w:rPr>
        <w:t>la </w:t>
      </w:r>
      <w:r>
        <w:rPr/>
        <w:t>lisozima (Santos,</w:t>
      </w:r>
      <w:r>
        <w:rPr>
          <w:spacing w:val="-10"/>
        </w:rPr>
        <w:t> </w:t>
      </w:r>
      <w:r>
        <w:rPr/>
        <w:t>2007).</w:t>
      </w:r>
    </w:p>
    <w:p>
      <w:pPr>
        <w:pStyle w:val="Heading1"/>
        <w:numPr>
          <w:ilvl w:val="0"/>
          <w:numId w:val="4"/>
        </w:numPr>
        <w:tabs>
          <w:tab w:pos="1233" w:val="left" w:leader="none"/>
        </w:tabs>
        <w:spacing w:line="240" w:lineRule="auto" w:before="210" w:after="0"/>
        <w:ind w:left="1233" w:right="0" w:hanging="360"/>
        <w:jc w:val="left"/>
      </w:pPr>
      <w:bookmarkStart w:name="_TOC_250051" w:id="15"/>
      <w:r>
        <w:rPr/>
        <w:t>COMPOSICIÓN DE LA GRASA DE LA</w:t>
      </w:r>
      <w:r>
        <w:rPr>
          <w:spacing w:val="-8"/>
        </w:rPr>
        <w:t> </w:t>
      </w:r>
      <w:bookmarkEnd w:id="15"/>
      <w:r>
        <w:rPr/>
        <w:t>LECHE</w:t>
      </w:r>
    </w:p>
    <w:p>
      <w:pPr>
        <w:pStyle w:val="BodyText"/>
        <w:spacing w:before="5"/>
        <w:rPr>
          <w:b/>
          <w:sz w:val="29"/>
        </w:rPr>
      </w:pPr>
    </w:p>
    <w:p>
      <w:pPr>
        <w:pStyle w:val="BodyText"/>
        <w:spacing w:line="360" w:lineRule="auto"/>
        <w:ind w:left="512" w:right="106"/>
        <w:jc w:val="both"/>
      </w:pPr>
      <w:r>
        <w:rPr/>
        <w:t>La grasa de la leche constituye la principal fuente de energía para todo mamífero recién nacido, está constituida de diferentes clases de lípidos localizados en los glóbulos de la grasa de la leche, principalmente en forma de triglicéridos (cerca de 98% del total de la grasa) y con una menor proporción de fosfolípidos, esteroles, ácidos grasos libres, monoglicéridos, diglicéridos y en cantidades traza vitaminas liposolubles (A, D, E y K), β- carotenos y saborizantes liposolubles (Jensen y Clark, 1988).</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Heading1"/>
        <w:numPr>
          <w:ilvl w:val="1"/>
          <w:numId w:val="4"/>
        </w:numPr>
        <w:tabs>
          <w:tab w:pos="1277" w:val="left" w:leader="none"/>
        </w:tabs>
        <w:spacing w:line="240" w:lineRule="auto" w:before="69" w:after="0"/>
        <w:ind w:left="1276" w:right="0" w:hanging="403"/>
        <w:jc w:val="left"/>
      </w:pPr>
      <w:bookmarkStart w:name="_TOC_250050" w:id="16"/>
      <w:bookmarkEnd w:id="16"/>
      <w:r>
        <w:rPr/>
        <w:t>Triglicéridos</w:t>
      </w:r>
    </w:p>
    <w:p>
      <w:pPr>
        <w:pStyle w:val="BodyText"/>
        <w:spacing w:before="5"/>
        <w:rPr>
          <w:b/>
          <w:sz w:val="29"/>
        </w:rPr>
      </w:pPr>
    </w:p>
    <w:p>
      <w:pPr>
        <w:pStyle w:val="BodyText"/>
        <w:spacing w:line="360" w:lineRule="auto"/>
        <w:ind w:left="512" w:right="100"/>
        <w:jc w:val="both"/>
      </w:pPr>
      <w:r>
        <w:rPr/>
        <w:t>La leche de los bovinos contiene una compleja mezcla de triglicéridos, los cuales varían considerablemente en su peso molecular y grado de insaturación; esta compleja mezcla resulta de </w:t>
      </w:r>
      <w:r>
        <w:rPr>
          <w:spacing w:val="-5"/>
        </w:rPr>
        <w:t>la </w:t>
      </w:r>
      <w:r>
        <w:rPr/>
        <w:t>gran variedad de ácidos grasos que los constituyen, los cuales varían en </w:t>
      </w:r>
      <w:r>
        <w:rPr>
          <w:spacing w:val="-3"/>
        </w:rPr>
        <w:t>la </w:t>
      </w:r>
      <w:r>
        <w:rPr/>
        <w:t>longitud de sus cadenas, que van de 4 a 18 carbonos. Desde el punto de vista cuantitativo representan </w:t>
      </w:r>
      <w:r>
        <w:rPr>
          <w:spacing w:val="-3"/>
        </w:rPr>
        <w:t>la </w:t>
      </w:r>
      <w:r>
        <w:rPr/>
        <w:t>fuente </w:t>
      </w:r>
      <w:r>
        <w:rPr>
          <w:spacing w:val="-4"/>
        </w:rPr>
        <w:t>más </w:t>
      </w:r>
      <w:r>
        <w:rPr/>
        <w:t>importante de lípidos en </w:t>
      </w:r>
      <w:r>
        <w:rPr>
          <w:spacing w:val="-3"/>
        </w:rPr>
        <w:t>la </w:t>
      </w:r>
      <w:r>
        <w:rPr/>
        <w:t>grasa láctea, por </w:t>
      </w:r>
      <w:r>
        <w:rPr>
          <w:spacing w:val="-5"/>
        </w:rPr>
        <w:t>lo </w:t>
      </w:r>
      <w:r>
        <w:rPr/>
        <w:t>tanto tienen una mayor influencia sobre las propiedades de </w:t>
      </w:r>
      <w:r>
        <w:rPr>
          <w:spacing w:val="-3"/>
        </w:rPr>
        <w:t>la </w:t>
      </w:r>
      <w:r>
        <w:rPr/>
        <w:t>grasa, tanto en su densidad como en su punto de fusión. Los triglicéridos están formados por un éster de alcohol, el glicerol, al cual están esterificados tres moléculas de ácidos grasos, son moléculas </w:t>
      </w:r>
      <w:r>
        <w:rPr>
          <w:spacing w:val="-3"/>
        </w:rPr>
        <w:t>no </w:t>
      </w:r>
      <w:r>
        <w:rPr/>
        <w:t>polares y por </w:t>
      </w:r>
      <w:r>
        <w:rPr>
          <w:spacing w:val="-5"/>
        </w:rPr>
        <w:t>lo </w:t>
      </w:r>
      <w:r>
        <w:rPr/>
        <w:t>tanto son insolubles en agua, y aunque </w:t>
      </w:r>
      <w:r>
        <w:rPr>
          <w:spacing w:val="-3"/>
        </w:rPr>
        <w:t>no </w:t>
      </w:r>
      <w:r>
        <w:rPr/>
        <w:t>son altamente reactivos pueden oxidarse a temperatura ambiente. La distribución de los ácidos grasos </w:t>
      </w:r>
      <w:r>
        <w:rPr>
          <w:spacing w:val="-3"/>
        </w:rPr>
        <w:t>en las </w:t>
      </w:r>
      <w:r>
        <w:rPr/>
        <w:t>tres posiciones de una molécula de triglicérido (sn-1, sn-2 y sn-3) </w:t>
      </w:r>
      <w:r>
        <w:rPr>
          <w:spacing w:val="-3"/>
        </w:rPr>
        <w:t>no </w:t>
      </w:r>
      <w:r>
        <w:rPr/>
        <w:t>es al azar, debido a que los mecanismos de biosíntesis de los triglicéridos en </w:t>
      </w:r>
      <w:r>
        <w:rPr>
          <w:spacing w:val="-5"/>
        </w:rPr>
        <w:t>la </w:t>
      </w:r>
      <w:r>
        <w:rPr/>
        <w:t>glándula mamaria ejercen cierta selectividad sobre </w:t>
      </w:r>
      <w:r>
        <w:rPr>
          <w:spacing w:val="-5"/>
        </w:rPr>
        <w:t>la </w:t>
      </w:r>
      <w:r>
        <w:rPr/>
        <w:t>colocación de  los ácidos grasos. Es común encontrar esterificados ácidos de cadena corta </w:t>
      </w:r>
      <w:r>
        <w:rPr>
          <w:spacing w:val="-3"/>
        </w:rPr>
        <w:t>como </w:t>
      </w:r>
      <w:r>
        <w:rPr/>
        <w:t>el butírico y caproico en </w:t>
      </w:r>
      <w:r>
        <w:rPr>
          <w:spacing w:val="-3"/>
        </w:rPr>
        <w:t>la </w:t>
      </w:r>
      <w:r>
        <w:rPr/>
        <w:t>posición sn-3, razón por </w:t>
      </w:r>
      <w:r>
        <w:rPr>
          <w:spacing w:val="-5"/>
        </w:rPr>
        <w:t>la </w:t>
      </w:r>
      <w:r>
        <w:rPr/>
        <w:t>cual </w:t>
      </w:r>
      <w:r>
        <w:rPr>
          <w:spacing w:val="-3"/>
        </w:rPr>
        <w:t>la </w:t>
      </w:r>
      <w:r>
        <w:rPr/>
        <w:t>gran mayoría de los triglicéridos se  puede clasificar en dos tipos: los que tienen varias combinaciones de ácidos grasos de cadena larga y los que contienen dos ácidos grasos de cadena larga y uno de cadena corta (MacGibben y Taylor, 2006; Walstra </w:t>
      </w:r>
      <w:r>
        <w:rPr>
          <w:i/>
        </w:rPr>
        <w:t>et al</w:t>
      </w:r>
      <w:r>
        <w:rPr/>
        <w:t>.,</w:t>
      </w:r>
      <w:r>
        <w:rPr>
          <w:spacing w:val="-14"/>
        </w:rPr>
        <w:t> </w:t>
      </w:r>
      <w:r>
        <w:rPr/>
        <w:t>2001).</w:t>
      </w:r>
    </w:p>
    <w:p>
      <w:pPr>
        <w:pStyle w:val="Heading1"/>
        <w:numPr>
          <w:ilvl w:val="1"/>
          <w:numId w:val="4"/>
        </w:numPr>
        <w:tabs>
          <w:tab w:pos="1277" w:val="left" w:leader="none"/>
        </w:tabs>
        <w:spacing w:line="240" w:lineRule="auto" w:before="210" w:after="0"/>
        <w:ind w:left="1276" w:right="0" w:hanging="403"/>
        <w:jc w:val="left"/>
      </w:pPr>
      <w:bookmarkStart w:name="_TOC_250049" w:id="17"/>
      <w:bookmarkEnd w:id="17"/>
      <w:r>
        <w:rPr/>
        <w:t>Fosfolípidos</w:t>
      </w:r>
    </w:p>
    <w:p>
      <w:pPr>
        <w:pStyle w:val="BodyText"/>
        <w:spacing w:before="4"/>
        <w:rPr>
          <w:b/>
          <w:sz w:val="29"/>
        </w:rPr>
      </w:pPr>
    </w:p>
    <w:p>
      <w:pPr>
        <w:pStyle w:val="BodyText"/>
        <w:spacing w:line="360" w:lineRule="auto" w:before="1"/>
        <w:ind w:left="512" w:right="105"/>
        <w:jc w:val="both"/>
      </w:pPr>
      <w:r>
        <w:rPr/>
        <w:t>Representan una pequeña parte del total de lípidos en la grasa de la leche pero son de gran importancia. Alrededor de 60% de los fosfolípidos totales se localizan en la membrana del glóbulo de grasa. Los principales fosfolípidos son los glicerofosfolípidos que constituyen aproximadamente un 75% del total de fosfolípidos, el porcentaje restante está representado mayoritariamente por los esfingolípidos. Los primeros están constituidos de una cadena principal de glicerol a la que se unen dos ácidos grasos en las posiciones sn-1 y sn-2 y un grupo fosfato en la posición sn-3. Los principales glicerofosfolípidos son la fosfatidilcolina y la fosfatidiletonalamina, éstos tienen una mayor proporción de ácidos grasos insaturados, por lo tanto son más susceptibles a la oxidación. Esto nos puede indicar que la oxidación de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14"/>
        <w:jc w:val="both"/>
      </w:pPr>
      <w:r>
        <w:rPr/>
        <w:t>la grasa de la leche puede comenzar con los glicerofosfolípidos en la membrana de los glóbulos de grasa. Los esfingolípidos por su parte, contienen una ceramida que consiste en una base esfingosina y un ácido graso. El principal esfigolípido de la leche es la esfingomielina (MacGibben y Taylor, 2006; Walstra </w:t>
      </w:r>
      <w:r>
        <w:rPr>
          <w:i/>
        </w:rPr>
        <w:t>et al</w:t>
      </w:r>
      <w:r>
        <w:rPr/>
        <w:t>., 2001).</w:t>
      </w:r>
    </w:p>
    <w:p>
      <w:pPr>
        <w:pStyle w:val="Heading1"/>
        <w:numPr>
          <w:ilvl w:val="1"/>
          <w:numId w:val="4"/>
        </w:numPr>
        <w:tabs>
          <w:tab w:pos="1277" w:val="left" w:leader="none"/>
        </w:tabs>
        <w:spacing w:line="240" w:lineRule="auto" w:before="210" w:after="0"/>
        <w:ind w:left="1276" w:right="0" w:hanging="403"/>
        <w:jc w:val="left"/>
      </w:pPr>
      <w:bookmarkStart w:name="_TOC_250048" w:id="18"/>
      <w:r>
        <w:rPr/>
        <w:t>Monoglicéridos, diglicéridos y ácidos grasos</w:t>
      </w:r>
      <w:r>
        <w:rPr>
          <w:spacing w:val="-16"/>
        </w:rPr>
        <w:t> </w:t>
      </w:r>
      <w:bookmarkEnd w:id="18"/>
      <w:r>
        <w:rPr/>
        <w:t>libres</w:t>
      </w:r>
    </w:p>
    <w:p>
      <w:pPr>
        <w:pStyle w:val="BodyText"/>
        <w:rPr>
          <w:b/>
          <w:sz w:val="29"/>
        </w:rPr>
      </w:pPr>
    </w:p>
    <w:p>
      <w:pPr>
        <w:pStyle w:val="BodyText"/>
        <w:spacing w:line="360" w:lineRule="auto"/>
        <w:ind w:left="512" w:right="105"/>
        <w:jc w:val="both"/>
      </w:pPr>
      <w:r>
        <w:rPr/>
        <w:t>La leche contiene pocos de estos componentes después del ordeño, sin embargo al ser almacenada, los triglicéridos pueden ser sometidos a hidrólisis enzimática y aumentar su concentración. Dicho aumento de estos componentes le confiere un sabor rancio a la leche, causado por la liberación de ácidos grasos de cadena corta. Aunque los diglicéridos tienen un grupo hidroxilo libre, sus propiedades físicas son muy similares a las de los triglicéridos ya que son poco polares; por el contrario, los monoglicéridos son relativamente polares, los que se componen de ácidos grasos de cadena larga se comportan como moléculas anfifílicas, mientras que aquellos con ácidos grasos de cadena corta son parcialmente solubles en agua. Los ácidos grasos libres en estado no disociado se comportan de ésta manera (Jensen y Clark, 1988; MacGibben y Taylor, 2006; Walstra </w:t>
      </w:r>
      <w:r>
        <w:rPr>
          <w:i/>
        </w:rPr>
        <w:t>et al</w:t>
      </w:r>
      <w:r>
        <w:rPr/>
        <w:t>., 2001).</w:t>
      </w:r>
    </w:p>
    <w:p>
      <w:pPr>
        <w:pStyle w:val="Heading1"/>
        <w:numPr>
          <w:ilvl w:val="1"/>
          <w:numId w:val="4"/>
        </w:numPr>
        <w:tabs>
          <w:tab w:pos="1277" w:val="left" w:leader="none"/>
        </w:tabs>
        <w:spacing w:line="240" w:lineRule="auto" w:before="210" w:after="0"/>
        <w:ind w:left="1276" w:right="0" w:hanging="403"/>
        <w:jc w:val="left"/>
      </w:pPr>
      <w:bookmarkStart w:name="_TOC_250047" w:id="19"/>
      <w:bookmarkEnd w:id="19"/>
      <w:r>
        <w:rPr/>
        <w:t>Esteroles</w:t>
      </w:r>
    </w:p>
    <w:p>
      <w:pPr>
        <w:pStyle w:val="BodyText"/>
        <w:rPr>
          <w:b/>
          <w:sz w:val="29"/>
        </w:rPr>
      </w:pPr>
    </w:p>
    <w:p>
      <w:pPr>
        <w:pStyle w:val="BodyText"/>
        <w:spacing w:line="360" w:lineRule="auto"/>
        <w:ind w:left="512" w:right="104"/>
        <w:jc w:val="both"/>
      </w:pPr>
      <w:r>
        <w:rPr/>
        <w:t>Los esteroles son componentes menores de la grasa de la leche (0.3%) pero representan la mayor parte del material no saponificable. El colesterol es el principal componente, constituye el 95% del total de los esteroles, otros componentes de menor proporción son el lanosterol y β-sitosterol. Una pequeña cantidad de colesterol se encuentra en forma esterificada y estos esteres si son saponificables. A pesar de que los esteroles son compuestos polares, se pueden asociar fácilmente con los fosfolípidos. El colesterol es un compuesto biológico con funciones importantes en el cuerpo, por ejemplo, en el control de lípidos en sangre, síntesis de proteínas, en la conformación de las membranas celulares y es precursor de muchos tipos de hormonas. El consumo excesivo de dietas ricas en colesterol ha  sido  asociado  a  diferentes  enfermedades  que  afectan  al  ser  humano  tales  como  la</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55" w:lineRule="auto" w:before="69"/>
        <w:ind w:left="512" w:right="108"/>
        <w:jc w:val="both"/>
      </w:pPr>
      <w:r>
        <w:rPr/>
        <w:t>ateroesclerosis, cálculos biliares y enfermedades del corazón (Jensen y Clark, 1988; MacGibben y Taylor, 2006; Walstra </w:t>
      </w:r>
      <w:r>
        <w:rPr>
          <w:i/>
        </w:rPr>
        <w:t>et al</w:t>
      </w:r>
      <w:r>
        <w:rPr/>
        <w:t>., 2001; Wright y Maragoni, 2006).</w:t>
      </w:r>
    </w:p>
    <w:p>
      <w:pPr>
        <w:pStyle w:val="BodyText"/>
        <w:spacing w:before="9"/>
        <w:rPr>
          <w:sz w:val="18"/>
        </w:rPr>
      </w:pPr>
    </w:p>
    <w:p>
      <w:pPr>
        <w:pStyle w:val="Heading1"/>
        <w:numPr>
          <w:ilvl w:val="1"/>
          <w:numId w:val="4"/>
        </w:numPr>
        <w:tabs>
          <w:tab w:pos="1277" w:val="left" w:leader="none"/>
        </w:tabs>
        <w:spacing w:line="240" w:lineRule="auto" w:before="0" w:after="0"/>
        <w:ind w:left="1276" w:right="0" w:hanging="403"/>
        <w:jc w:val="left"/>
      </w:pPr>
      <w:bookmarkStart w:name="_TOC_250046" w:id="20"/>
      <w:bookmarkEnd w:id="20"/>
      <w:r>
        <w:rPr/>
        <w:t>Carotenoides</w:t>
      </w:r>
    </w:p>
    <w:p>
      <w:pPr>
        <w:pStyle w:val="BodyText"/>
        <w:spacing w:before="4"/>
        <w:rPr>
          <w:b/>
          <w:sz w:val="29"/>
        </w:rPr>
      </w:pPr>
    </w:p>
    <w:p>
      <w:pPr>
        <w:pStyle w:val="BodyText"/>
        <w:spacing w:line="352" w:lineRule="auto" w:before="1"/>
        <w:ind w:left="512" w:right="106"/>
        <w:jc w:val="both"/>
      </w:pPr>
      <w:r>
        <w:rPr/>
        <w:t>El principal carotenoide en </w:t>
      </w:r>
      <w:r>
        <w:rPr>
          <w:spacing w:val="-3"/>
        </w:rPr>
        <w:t>la </w:t>
      </w:r>
      <w:r>
        <w:rPr/>
        <w:t>grasa de </w:t>
      </w:r>
      <w:r>
        <w:rPr>
          <w:spacing w:val="-5"/>
        </w:rPr>
        <w:t>la </w:t>
      </w:r>
      <w:r>
        <w:rPr/>
        <w:t>leche es el β-caroteno, aproximadamente un 95% del total de carotenoides presentes. Las concentraciones de β-caroteno en </w:t>
      </w:r>
      <w:r>
        <w:rPr>
          <w:spacing w:val="-5"/>
        </w:rPr>
        <w:t>la </w:t>
      </w:r>
      <w:r>
        <w:rPr/>
        <w:t>grasa láctea es muy variado, con niveles de 2.5 a 8.5 µg/g</w:t>
      </w:r>
      <w:r>
        <w:rPr>
          <w:position w:val="11"/>
          <w:sz w:val="16"/>
        </w:rPr>
        <w:t>-1 </w:t>
      </w:r>
      <w:r>
        <w:rPr/>
        <w:t>de grasa. Estas variaciones dependen principalmente de </w:t>
      </w:r>
      <w:r>
        <w:rPr>
          <w:spacing w:val="-5"/>
        </w:rPr>
        <w:t>la </w:t>
      </w:r>
      <w:r>
        <w:rPr/>
        <w:t>raza de </w:t>
      </w:r>
      <w:r>
        <w:rPr>
          <w:spacing w:val="-5"/>
        </w:rPr>
        <w:t>la </w:t>
      </w:r>
      <w:r>
        <w:rPr/>
        <w:t>vaca y de </w:t>
      </w:r>
      <w:r>
        <w:rPr>
          <w:spacing w:val="-5"/>
        </w:rPr>
        <w:t>la </w:t>
      </w:r>
      <w:r>
        <w:rPr/>
        <w:t>alimentación. La grasa láctea de vacas Jersey contiene mayor cantidad de carotenoides en comparación con </w:t>
      </w:r>
      <w:r>
        <w:rPr>
          <w:spacing w:val="-3"/>
        </w:rPr>
        <w:t>la </w:t>
      </w:r>
      <w:r>
        <w:rPr/>
        <w:t>raza Holstein.  En el  </w:t>
      </w:r>
      <w:r>
        <w:rPr>
          <w:spacing w:val="50"/>
        </w:rPr>
        <w:t> </w:t>
      </w:r>
      <w:r>
        <w:rPr/>
        <w:t>caso</w:t>
      </w:r>
    </w:p>
    <w:p>
      <w:pPr>
        <w:pStyle w:val="BodyText"/>
        <w:spacing w:line="360" w:lineRule="auto" w:before="12"/>
        <w:ind w:left="512" w:right="104"/>
        <w:jc w:val="both"/>
      </w:pPr>
      <w:r>
        <w:rPr/>
        <w:t>de vacas alimentadas con pastos frescos, </w:t>
      </w:r>
      <w:r>
        <w:rPr>
          <w:spacing w:val="-5"/>
        </w:rPr>
        <w:t>la </w:t>
      </w:r>
      <w:r>
        <w:rPr/>
        <w:t>grasa de </w:t>
      </w:r>
      <w:r>
        <w:rPr>
          <w:spacing w:val="-5"/>
        </w:rPr>
        <w:t>la </w:t>
      </w:r>
      <w:r>
        <w:rPr/>
        <w:t>leche contiene una mayor cantidad  de carotenoides comparado con vacas alimentadas con concentrados y henos, debido a que los carotenoides son abundantes en pastos y forrajes verdes (MacGibben y Taylor, 2006; Walstra </w:t>
      </w:r>
      <w:r>
        <w:rPr>
          <w:i/>
        </w:rPr>
        <w:t>et al</w:t>
      </w:r>
      <w:r>
        <w:rPr/>
        <w:t>., 2001; Wright y Maragoni,</w:t>
      </w:r>
      <w:r>
        <w:rPr>
          <w:spacing w:val="-16"/>
        </w:rPr>
        <w:t> </w:t>
      </w:r>
      <w:r>
        <w:rPr/>
        <w:t>2006).</w:t>
      </w:r>
    </w:p>
    <w:p>
      <w:pPr>
        <w:pStyle w:val="Heading1"/>
        <w:numPr>
          <w:ilvl w:val="1"/>
          <w:numId w:val="4"/>
        </w:numPr>
        <w:tabs>
          <w:tab w:pos="1277" w:val="left" w:leader="none"/>
        </w:tabs>
        <w:spacing w:line="240" w:lineRule="auto" w:before="210" w:after="0"/>
        <w:ind w:left="1276" w:right="0" w:hanging="403"/>
        <w:jc w:val="left"/>
      </w:pPr>
      <w:bookmarkStart w:name="_TOC_250045" w:id="21"/>
      <w:r>
        <w:rPr/>
        <w:t>Vitaminas</w:t>
      </w:r>
      <w:r>
        <w:rPr>
          <w:spacing w:val="-11"/>
        </w:rPr>
        <w:t> </w:t>
      </w:r>
      <w:bookmarkEnd w:id="21"/>
      <w:r>
        <w:rPr/>
        <w:t>liposolubles</w:t>
      </w:r>
    </w:p>
    <w:p>
      <w:pPr>
        <w:pStyle w:val="BodyText"/>
        <w:spacing w:before="4"/>
        <w:rPr>
          <w:b/>
          <w:sz w:val="29"/>
        </w:rPr>
      </w:pPr>
    </w:p>
    <w:p>
      <w:pPr>
        <w:pStyle w:val="BodyText"/>
        <w:spacing w:line="348" w:lineRule="auto" w:before="1"/>
        <w:ind w:left="512" w:right="101"/>
        <w:jc w:val="both"/>
      </w:pPr>
      <w:r>
        <w:rPr/>
        <w:t>La grasa de </w:t>
      </w:r>
      <w:r>
        <w:rPr>
          <w:spacing w:val="-5"/>
        </w:rPr>
        <w:t>la </w:t>
      </w:r>
      <w:r>
        <w:rPr/>
        <w:t>leche es rica en vitamina A pero es pobre en vitaminas D, E y </w:t>
      </w:r>
      <w:r>
        <w:rPr>
          <w:spacing w:val="-3"/>
        </w:rPr>
        <w:t>K. </w:t>
      </w:r>
      <w:r>
        <w:rPr/>
        <w:t>La vitamina A esta presente en dos formas, como retinol y como provitamina A o β-caroteno. En promedio </w:t>
      </w:r>
      <w:r>
        <w:rPr>
          <w:spacing w:val="-5"/>
        </w:rPr>
        <w:t>la </w:t>
      </w:r>
      <w:r>
        <w:rPr/>
        <w:t>concentración de esta vitamina es de 40 UI/g</w:t>
      </w:r>
      <w:r>
        <w:rPr>
          <w:position w:val="11"/>
          <w:sz w:val="16"/>
        </w:rPr>
        <w:t>-1 </w:t>
      </w:r>
      <w:r>
        <w:rPr/>
        <w:t>de grasa de </w:t>
      </w:r>
      <w:r>
        <w:rPr>
          <w:spacing w:val="-5"/>
        </w:rPr>
        <w:t>la </w:t>
      </w:r>
      <w:r>
        <w:rPr/>
        <w:t>leche. Los niveles de vitamina D en </w:t>
      </w:r>
      <w:r>
        <w:rPr>
          <w:spacing w:val="-5"/>
        </w:rPr>
        <w:t>la </w:t>
      </w:r>
      <w:r>
        <w:rPr/>
        <w:t>grasa de </w:t>
      </w:r>
      <w:r>
        <w:rPr>
          <w:spacing w:val="-5"/>
        </w:rPr>
        <w:t>la </w:t>
      </w:r>
      <w:r>
        <w:rPr/>
        <w:t>leche son muy bajos, entre 0.4 a 0.8 UI/g</w:t>
      </w:r>
      <w:r>
        <w:rPr>
          <w:position w:val="11"/>
          <w:sz w:val="16"/>
        </w:rPr>
        <w:t>-1 </w:t>
      </w:r>
      <w:r>
        <w:rPr/>
        <w:t>de grasa. La cantidad de vitamina D en </w:t>
      </w:r>
      <w:r>
        <w:rPr>
          <w:spacing w:val="-3"/>
        </w:rPr>
        <w:t>la </w:t>
      </w:r>
      <w:r>
        <w:rPr/>
        <w:t>leche de vacas puede ser afectada por </w:t>
      </w:r>
      <w:r>
        <w:rPr>
          <w:spacing w:val="-5"/>
        </w:rPr>
        <w:t>la </w:t>
      </w:r>
      <w:r>
        <w:rPr/>
        <w:t>cantidad de </w:t>
      </w:r>
      <w:r>
        <w:rPr>
          <w:spacing w:val="-4"/>
        </w:rPr>
        <w:t>luz </w:t>
      </w:r>
      <w:r>
        <w:rPr/>
        <w:t>solar   a </w:t>
      </w:r>
      <w:r>
        <w:rPr>
          <w:spacing w:val="-3"/>
        </w:rPr>
        <w:t>la </w:t>
      </w:r>
      <w:r>
        <w:rPr/>
        <w:t>que son expuestas, por </w:t>
      </w:r>
      <w:r>
        <w:rPr>
          <w:spacing w:val="-3"/>
        </w:rPr>
        <w:t>ejemplo </w:t>
      </w:r>
      <w:r>
        <w:rPr/>
        <w:t>encontramos mayores cantidades de vitamina D en el verano en comparación con </w:t>
      </w:r>
      <w:r>
        <w:rPr>
          <w:spacing w:val="-3"/>
        </w:rPr>
        <w:t>la </w:t>
      </w:r>
      <w:r>
        <w:rPr/>
        <w:t>época de invierno (Walstra </w:t>
      </w:r>
      <w:r>
        <w:rPr>
          <w:i/>
        </w:rPr>
        <w:t>et al.,</w:t>
      </w:r>
      <w:r>
        <w:rPr>
          <w:i/>
          <w:spacing w:val="-10"/>
        </w:rPr>
        <w:t> </w:t>
      </w:r>
      <w:r>
        <w:rPr/>
        <w:t>2001).</w:t>
      </w:r>
    </w:p>
    <w:p>
      <w:pPr>
        <w:pStyle w:val="BodyText"/>
        <w:spacing w:line="352" w:lineRule="auto" w:before="189"/>
        <w:ind w:left="512" w:right="107"/>
        <w:jc w:val="both"/>
      </w:pPr>
      <w:r>
        <w:rPr/>
        <w:t>La vitamina E o α-tocoferol está presente en concentración de 0.05 UI/g</w:t>
      </w:r>
      <w:r>
        <w:rPr>
          <w:position w:val="11"/>
          <w:sz w:val="16"/>
        </w:rPr>
        <w:t>-1 </w:t>
      </w:r>
      <w:r>
        <w:rPr/>
        <w:t>de grasa láctea. En general esta vitamina actúa como antioxidante, reaccionando ante radicales libres, protegiendo así a ácidos grasos insaturados y β-carotenos de </w:t>
      </w:r>
      <w:r>
        <w:rPr>
          <w:spacing w:val="-5"/>
        </w:rPr>
        <w:t>la </w:t>
      </w:r>
      <w:r>
        <w:rPr/>
        <w:t>oxidación. La vitamina K es indispensable para </w:t>
      </w:r>
      <w:r>
        <w:rPr>
          <w:spacing w:val="-5"/>
        </w:rPr>
        <w:t>la </w:t>
      </w:r>
      <w:r>
        <w:rPr/>
        <w:t>síntesis de compuestos que intervienen en </w:t>
      </w:r>
      <w:r>
        <w:rPr>
          <w:spacing w:val="-5"/>
        </w:rPr>
        <w:t>la </w:t>
      </w:r>
      <w:r>
        <w:rPr/>
        <w:t>coagulación sanguínea, en </w:t>
      </w:r>
      <w:r>
        <w:rPr>
          <w:spacing w:val="-3"/>
        </w:rPr>
        <w:t>la </w:t>
      </w:r>
      <w:r>
        <w:rPr/>
        <w:t>leche se encuentra en concentraciones muy bajas (0.1-0.2 µg/g</w:t>
      </w:r>
      <w:r>
        <w:rPr>
          <w:position w:val="11"/>
          <w:sz w:val="16"/>
        </w:rPr>
        <w:t>-1  </w:t>
      </w:r>
      <w:r>
        <w:rPr/>
        <w:t>de grasa) en forma</w:t>
      </w:r>
      <w:r>
        <w:rPr>
          <w:spacing w:val="-11"/>
        </w:rPr>
        <w:t> </w:t>
      </w:r>
      <w:r>
        <w:rPr/>
        <w:t>de</w:t>
      </w:r>
    </w:p>
    <w:p>
      <w:pPr>
        <w:pStyle w:val="BodyText"/>
        <w:spacing w:line="278" w:lineRule="exact"/>
        <w:ind w:left="512"/>
        <w:jc w:val="both"/>
      </w:pPr>
      <w:r>
        <w:rPr/>
        <w:t>filoquinona o vitamina K</w:t>
      </w:r>
      <w:r>
        <w:rPr>
          <w:position w:val="-2"/>
          <w:sz w:val="16"/>
        </w:rPr>
        <w:t>1 </w:t>
      </w:r>
      <w:r>
        <w:rPr/>
        <w:t>(MacGibben y Taylor, 2006; Walstra </w:t>
      </w:r>
      <w:r>
        <w:rPr>
          <w:i/>
        </w:rPr>
        <w:t>et al., </w:t>
      </w:r>
      <w:r>
        <w:rPr/>
        <w:t>2001).</w:t>
      </w:r>
    </w:p>
    <w:p>
      <w:pPr>
        <w:spacing w:after="0" w:line="278" w:lineRule="exact"/>
        <w:jc w:val="both"/>
        <w:sectPr>
          <w:pgSz w:w="12240" w:h="15840"/>
          <w:pgMar w:header="1150" w:footer="1382" w:top="1420" w:bottom="1580" w:left="1360" w:right="1420"/>
        </w:sectPr>
      </w:pPr>
    </w:p>
    <w:p>
      <w:pPr>
        <w:pStyle w:val="BodyText"/>
        <w:spacing w:before="3"/>
        <w:rPr>
          <w:sz w:val="27"/>
        </w:rPr>
      </w:pPr>
    </w:p>
    <w:p>
      <w:pPr>
        <w:pStyle w:val="Heading1"/>
        <w:numPr>
          <w:ilvl w:val="1"/>
          <w:numId w:val="4"/>
        </w:numPr>
        <w:tabs>
          <w:tab w:pos="1277" w:val="left" w:leader="none"/>
        </w:tabs>
        <w:spacing w:line="240" w:lineRule="auto" w:before="69" w:after="0"/>
        <w:ind w:left="1276" w:right="0" w:hanging="403"/>
        <w:jc w:val="left"/>
      </w:pPr>
      <w:bookmarkStart w:name="_TOC_250044" w:id="22"/>
      <w:r>
        <w:rPr/>
        <w:t>Componentes del</w:t>
      </w:r>
      <w:r>
        <w:rPr>
          <w:spacing w:val="-9"/>
        </w:rPr>
        <w:t> </w:t>
      </w:r>
      <w:bookmarkEnd w:id="22"/>
      <w:r>
        <w:rPr/>
        <w:t>sabor</w:t>
      </w:r>
    </w:p>
    <w:p>
      <w:pPr>
        <w:pStyle w:val="BodyText"/>
        <w:spacing w:before="5"/>
        <w:rPr>
          <w:b/>
          <w:sz w:val="29"/>
        </w:rPr>
      </w:pPr>
    </w:p>
    <w:p>
      <w:pPr>
        <w:pStyle w:val="BodyText"/>
        <w:spacing w:line="360" w:lineRule="auto"/>
        <w:ind w:left="512" w:right="108"/>
        <w:jc w:val="both"/>
      </w:pPr>
      <w:r>
        <w:rPr/>
        <w:t>Una gran cantidad de componentes contribuyen al aroma y sabor de la leche. Se han identificado aproximadamente 120 compuestos volátiles en la grasa de la leche, algunos de los cuales actúan de manera sinérgica para contribuir al sabor de la leche. Las principales clases de compuestos volátiles que intervienen en el sabor de la grasa láctea son los ácidos grasos, aldehídos, lactonas y cetonas. Los procesos de oxidación y lipólisis de triglicéridos tiende a aumentar la proporción de ácidos grasos de cadena corta y media, lo que puede conducir a sabores rancios indeseables en la grasa. Las lactonas por su parte contribuyen en el sabor dulce de la grasa de la leche (Jensen y Clark, 1988; Kinsella, 1975).</w:t>
      </w:r>
    </w:p>
    <w:p>
      <w:pPr>
        <w:pStyle w:val="Heading1"/>
        <w:numPr>
          <w:ilvl w:val="0"/>
          <w:numId w:val="4"/>
        </w:numPr>
        <w:tabs>
          <w:tab w:pos="1233" w:val="left" w:leader="none"/>
        </w:tabs>
        <w:spacing w:line="360" w:lineRule="auto" w:before="211" w:after="0"/>
        <w:ind w:left="1233" w:right="116" w:hanging="360"/>
        <w:jc w:val="left"/>
      </w:pPr>
      <w:bookmarkStart w:name="_TOC_250043" w:id="23"/>
      <w:bookmarkEnd w:id="23"/>
      <w:r>
        <w:rPr/>
        <w:t>ÁCIDOS GRASOS EN LA LECHE Y SUS EFECTOS EN LA SALUD HUMANA</w:t>
      </w:r>
    </w:p>
    <w:p>
      <w:pPr>
        <w:pStyle w:val="BodyText"/>
        <w:spacing w:line="360" w:lineRule="auto" w:before="205"/>
        <w:ind w:left="512" w:right="107"/>
        <w:jc w:val="both"/>
      </w:pPr>
      <w:r>
        <w:rPr/>
        <w:t>La grasa de </w:t>
      </w:r>
      <w:r>
        <w:rPr>
          <w:spacing w:val="-3"/>
        </w:rPr>
        <w:t>la </w:t>
      </w:r>
      <w:r>
        <w:rPr/>
        <w:t>leche está constituida por unos 400 ácidos grasos (AG) </w:t>
      </w:r>
      <w:r>
        <w:rPr>
          <w:spacing w:val="-3"/>
        </w:rPr>
        <w:t>ya </w:t>
      </w:r>
      <w:r>
        <w:rPr/>
        <w:t>sea libres o unidos al glicerol; los más abundantes son el mirístico, el palmítico, el esteárico y el oleico (Jensen, 2002). Los </w:t>
      </w:r>
      <w:r>
        <w:rPr>
          <w:spacing w:val="-3"/>
        </w:rPr>
        <w:t>AG </w:t>
      </w:r>
      <w:r>
        <w:rPr/>
        <w:t>se pueden clasificar en función del número de carbonos de su cadena en ácidos de cadena corta (4 a 10 átomos), de cadena intermedia (12 a 16 átomos) y ácidos de cadena larga con </w:t>
      </w:r>
      <w:r>
        <w:rPr>
          <w:spacing w:val="-3"/>
        </w:rPr>
        <w:t>más </w:t>
      </w:r>
      <w:r>
        <w:rPr/>
        <w:t>de 18 átomos de carbono (Álvarez-Nogal,</w:t>
      </w:r>
      <w:r>
        <w:rPr>
          <w:spacing w:val="-6"/>
        </w:rPr>
        <w:t> </w:t>
      </w:r>
      <w:r>
        <w:rPr/>
        <w:t>2004).</w:t>
      </w:r>
    </w:p>
    <w:p>
      <w:pPr>
        <w:pStyle w:val="BodyText"/>
        <w:spacing w:line="360" w:lineRule="auto" w:before="206"/>
        <w:ind w:left="512" w:right="107"/>
        <w:jc w:val="both"/>
      </w:pPr>
      <w:r>
        <w:rPr/>
        <w:t>Los ácidos grasos de cadena corta, y parte de los de cadena intermedia, se generan en las células epiteliales mamarias; el acetato y el β-hidroxibutirato de origen ruminal actúan como principales precursores y fuentes de átomos de carbono para el alargamiento de </w:t>
      </w:r>
      <w:r>
        <w:rPr>
          <w:spacing w:val="-3"/>
        </w:rPr>
        <w:t>las </w:t>
      </w:r>
      <w:r>
        <w:rPr/>
        <w:t>cadenas, hasta un </w:t>
      </w:r>
      <w:r>
        <w:rPr>
          <w:spacing w:val="-3"/>
        </w:rPr>
        <w:t>máximo </w:t>
      </w:r>
      <w:r>
        <w:rPr/>
        <w:t>de 16 carbonos en las células mamarias, y de 18 carbonos en los adipocitos (Salter </w:t>
      </w:r>
      <w:r>
        <w:rPr>
          <w:i/>
        </w:rPr>
        <w:t>et al</w:t>
      </w:r>
      <w:r>
        <w:rPr/>
        <w:t>., 2002). La otra parte de </w:t>
      </w:r>
      <w:r>
        <w:rPr>
          <w:spacing w:val="-3"/>
        </w:rPr>
        <w:t>AG </w:t>
      </w:r>
      <w:r>
        <w:rPr/>
        <w:t>de cadena intermedia y todos los de cadena larga llegan a </w:t>
      </w:r>
      <w:r>
        <w:rPr>
          <w:spacing w:val="-3"/>
        </w:rPr>
        <w:t>la </w:t>
      </w:r>
      <w:r>
        <w:rPr/>
        <w:t>glándula mamaria por vía sanguínea desde el tejido adiposo o producto del metabolismo ruminal de los lípidos (Bauman y Griinari,</w:t>
      </w:r>
      <w:r>
        <w:rPr>
          <w:spacing w:val="-37"/>
        </w:rPr>
        <w:t> </w:t>
      </w:r>
      <w:r>
        <w:rPr/>
        <w:t>2001).</w:t>
      </w:r>
    </w:p>
    <w:p>
      <w:pPr>
        <w:pStyle w:val="BodyText"/>
        <w:spacing w:line="360" w:lineRule="auto" w:before="210"/>
        <w:ind w:left="512" w:right="104"/>
        <w:jc w:val="both"/>
      </w:pPr>
      <w:r>
        <w:rPr/>
        <w:t>Los AG también se pueden clasificar de acuerdo al grado de saturación en ácidos grasos saturados (AGS), ácidos grasos monoinsaturados (AGM) y ácidos grasos piliinsaturados (AGPI). La grasa de la leche contiene un 70-75% de AGS, un 20-25% de AGM y un 5% de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55" w:lineRule="auto" w:before="69"/>
        <w:ind w:left="512" w:right="155"/>
        <w:jc w:val="both"/>
      </w:pPr>
      <w:r>
        <w:rPr/>
        <w:t>AGPI (Lock y Shingfield, 2004). En el Cuadro 2 se muestra la composición porcentual de AG de la grasa de la leche de bovinos.</w:t>
      </w:r>
    </w:p>
    <w:p>
      <w:pPr>
        <w:pStyle w:val="BodyText"/>
        <w:spacing w:before="9"/>
        <w:rPr>
          <w:sz w:val="18"/>
        </w:rPr>
      </w:pPr>
    </w:p>
    <w:p>
      <w:pPr>
        <w:pStyle w:val="Heading1"/>
        <w:numPr>
          <w:ilvl w:val="1"/>
          <w:numId w:val="4"/>
        </w:numPr>
        <w:tabs>
          <w:tab w:pos="1277" w:val="left" w:leader="none"/>
        </w:tabs>
        <w:spacing w:line="240" w:lineRule="auto" w:before="0" w:after="0"/>
        <w:ind w:left="1276" w:right="0" w:hanging="403"/>
        <w:jc w:val="left"/>
      </w:pPr>
      <w:bookmarkStart w:name="_TOC_250042" w:id="24"/>
      <w:r>
        <w:rPr/>
        <w:t>Importancia de los ácidos grasos en </w:t>
      </w:r>
      <w:r>
        <w:rPr>
          <w:spacing w:val="-3"/>
        </w:rPr>
        <w:t>la </w:t>
      </w:r>
      <w:r>
        <w:rPr/>
        <w:t>salud</w:t>
      </w:r>
      <w:r>
        <w:rPr>
          <w:spacing w:val="-16"/>
        </w:rPr>
        <w:t> </w:t>
      </w:r>
      <w:bookmarkEnd w:id="24"/>
      <w:r>
        <w:rPr/>
        <w:t>humana</w:t>
      </w:r>
    </w:p>
    <w:p>
      <w:pPr>
        <w:pStyle w:val="BodyText"/>
        <w:spacing w:before="4"/>
        <w:rPr>
          <w:b/>
          <w:sz w:val="29"/>
        </w:rPr>
      </w:pPr>
    </w:p>
    <w:p>
      <w:pPr>
        <w:pStyle w:val="BodyText"/>
        <w:spacing w:line="360" w:lineRule="auto" w:before="1"/>
        <w:ind w:left="512" w:right="147"/>
        <w:jc w:val="both"/>
      </w:pPr>
      <w:r>
        <w:rPr/>
        <w:t>En nuestro país, la obesidad, la diabetes, el cáncer y las enfermedades cardiovasculares, constituyen las principales causas de muerte y éstas están asociadas principalmente a dietas hipercalóricas por los altos contendidos de carbohidratos y grasas. Los excesos de grasa en la dieta, con altos contenidos de AGS se han relacionado principalmente con enfermedades cardiovasculares (Williams, 2000).</w:t>
      </w:r>
    </w:p>
    <w:p>
      <w:pPr>
        <w:pStyle w:val="BodyText"/>
        <w:spacing w:before="206"/>
        <w:ind w:left="512"/>
        <w:jc w:val="both"/>
      </w:pPr>
      <w:r>
        <w:rPr>
          <w:b/>
        </w:rPr>
        <w:t>Cuadro 2. </w:t>
      </w:r>
      <w:r>
        <w:rPr/>
        <w:t>Composición de ácidos grasos de la leche de bovino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spacing w:before="79"/>
        <w:ind w:left="512" w:right="0" w:firstLine="0"/>
        <w:jc w:val="both"/>
        <w:rPr>
          <w:sz w:val="18"/>
        </w:rPr>
      </w:pPr>
      <w:r>
        <w:rPr/>
        <w:pict>
          <v:shape style="position:absolute;margin-left:88.103996pt;margin-top:-222.911224pt;width:449.25pt;height:229.3pt;mso-position-horizontal-relative:page;mso-position-vertical-relative:paragraph;z-index:15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3"/>
                    <w:gridCol w:w="1909"/>
                    <w:gridCol w:w="2581"/>
                    <w:gridCol w:w="2082"/>
                  </w:tblGrid>
                  <w:tr>
                    <w:trPr>
                      <w:trHeight w:val="422" w:hRule="exact"/>
                    </w:trPr>
                    <w:tc>
                      <w:tcPr>
                        <w:tcW w:w="2413" w:type="dxa"/>
                        <w:tcBorders>
                          <w:left w:val="nil"/>
                          <w:right w:val="nil"/>
                        </w:tcBorders>
                      </w:tcPr>
                      <w:p>
                        <w:pPr>
                          <w:pStyle w:val="TableParagraph"/>
                          <w:spacing w:line="273" w:lineRule="exact"/>
                          <w:ind w:left="492" w:right="660"/>
                          <w:rPr>
                            <w:b/>
                            <w:sz w:val="24"/>
                          </w:rPr>
                        </w:pPr>
                        <w:r>
                          <w:rPr>
                            <w:b/>
                            <w:sz w:val="24"/>
                          </w:rPr>
                          <w:t>Ácido graso</w:t>
                        </w:r>
                      </w:p>
                    </w:tc>
                    <w:tc>
                      <w:tcPr>
                        <w:tcW w:w="1909" w:type="dxa"/>
                        <w:tcBorders>
                          <w:left w:val="nil"/>
                          <w:right w:val="nil"/>
                        </w:tcBorders>
                      </w:tcPr>
                      <w:p>
                        <w:pPr>
                          <w:pStyle w:val="TableParagraph"/>
                          <w:spacing w:line="273" w:lineRule="exact"/>
                          <w:ind w:right="1"/>
                          <w:rPr>
                            <w:b/>
                            <w:sz w:val="24"/>
                          </w:rPr>
                        </w:pPr>
                        <w:r>
                          <w:rPr>
                            <w:b/>
                            <w:sz w:val="24"/>
                          </w:rPr>
                          <w:t>%</w:t>
                        </w:r>
                      </w:p>
                    </w:tc>
                    <w:tc>
                      <w:tcPr>
                        <w:tcW w:w="2581" w:type="dxa"/>
                        <w:tcBorders>
                          <w:left w:val="nil"/>
                          <w:right w:val="nil"/>
                        </w:tcBorders>
                      </w:tcPr>
                      <w:p>
                        <w:pPr>
                          <w:pStyle w:val="TableParagraph"/>
                          <w:spacing w:line="273" w:lineRule="exact"/>
                          <w:ind w:left="660" w:right="660"/>
                          <w:rPr>
                            <w:b/>
                            <w:sz w:val="24"/>
                          </w:rPr>
                        </w:pPr>
                        <w:r>
                          <w:rPr>
                            <w:b/>
                            <w:sz w:val="24"/>
                          </w:rPr>
                          <w:t>Ácido graso</w:t>
                        </w:r>
                      </w:p>
                    </w:tc>
                    <w:tc>
                      <w:tcPr>
                        <w:tcW w:w="2082" w:type="dxa"/>
                        <w:tcBorders>
                          <w:left w:val="nil"/>
                          <w:right w:val="nil"/>
                        </w:tcBorders>
                      </w:tcPr>
                      <w:p>
                        <w:pPr>
                          <w:pStyle w:val="TableParagraph"/>
                          <w:spacing w:line="273" w:lineRule="exact"/>
                          <w:ind w:right="173"/>
                          <w:rPr>
                            <w:b/>
                            <w:sz w:val="24"/>
                          </w:rPr>
                        </w:pPr>
                        <w:r>
                          <w:rPr>
                            <w:b/>
                            <w:sz w:val="24"/>
                          </w:rPr>
                          <w:t>%</w:t>
                        </w:r>
                      </w:p>
                    </w:tc>
                  </w:tr>
                  <w:tr>
                    <w:trPr>
                      <w:trHeight w:val="332" w:hRule="exact"/>
                    </w:trPr>
                    <w:tc>
                      <w:tcPr>
                        <w:tcW w:w="2413" w:type="dxa"/>
                        <w:tcBorders>
                          <w:left w:val="nil"/>
                          <w:bottom w:val="nil"/>
                          <w:right w:val="nil"/>
                        </w:tcBorders>
                      </w:tcPr>
                      <w:p>
                        <w:pPr>
                          <w:pStyle w:val="TableParagraph"/>
                          <w:spacing w:line="268" w:lineRule="exact"/>
                          <w:ind w:left="492" w:right="660"/>
                          <w:rPr>
                            <w:sz w:val="24"/>
                          </w:rPr>
                        </w:pPr>
                        <w:r>
                          <w:rPr>
                            <w:sz w:val="24"/>
                          </w:rPr>
                          <w:t>C4:0</w:t>
                        </w:r>
                      </w:p>
                    </w:tc>
                    <w:tc>
                      <w:tcPr>
                        <w:tcW w:w="1909" w:type="dxa"/>
                        <w:tcBorders>
                          <w:left w:val="nil"/>
                          <w:bottom w:val="nil"/>
                          <w:right w:val="nil"/>
                        </w:tcBorders>
                      </w:tcPr>
                      <w:p>
                        <w:pPr>
                          <w:pStyle w:val="TableParagraph"/>
                          <w:spacing w:line="268" w:lineRule="exact"/>
                          <w:ind w:left="742"/>
                          <w:jc w:val="left"/>
                          <w:rPr>
                            <w:sz w:val="24"/>
                          </w:rPr>
                        </w:pPr>
                        <w:r>
                          <w:rPr>
                            <w:sz w:val="24"/>
                          </w:rPr>
                          <w:t>1.61</w:t>
                        </w:r>
                      </w:p>
                    </w:tc>
                    <w:tc>
                      <w:tcPr>
                        <w:tcW w:w="2581" w:type="dxa"/>
                        <w:tcBorders>
                          <w:left w:val="nil"/>
                          <w:bottom w:val="nil"/>
                          <w:right w:val="nil"/>
                        </w:tcBorders>
                      </w:tcPr>
                      <w:p>
                        <w:pPr>
                          <w:pStyle w:val="TableParagraph"/>
                          <w:spacing w:line="268" w:lineRule="exact"/>
                          <w:ind w:left="660" w:right="658"/>
                          <w:rPr>
                            <w:sz w:val="24"/>
                          </w:rPr>
                        </w:pPr>
                        <w:r>
                          <w:rPr>
                            <w:sz w:val="24"/>
                          </w:rPr>
                          <w:t>C15:0</w:t>
                        </w:r>
                      </w:p>
                    </w:tc>
                    <w:tc>
                      <w:tcPr>
                        <w:tcW w:w="2082" w:type="dxa"/>
                        <w:tcBorders>
                          <w:left w:val="nil"/>
                          <w:bottom w:val="nil"/>
                          <w:right w:val="nil"/>
                        </w:tcBorders>
                      </w:tcPr>
                      <w:p>
                        <w:pPr>
                          <w:pStyle w:val="TableParagraph"/>
                          <w:spacing w:line="268" w:lineRule="exact"/>
                          <w:ind w:left="667" w:right="830"/>
                          <w:rPr>
                            <w:sz w:val="24"/>
                          </w:rPr>
                        </w:pPr>
                        <w:r>
                          <w:rPr>
                            <w:sz w:val="24"/>
                          </w:rPr>
                          <w:t>1.38</w:t>
                        </w:r>
                      </w:p>
                    </w:tc>
                  </w:tr>
                  <w:tr>
                    <w:trPr>
                      <w:trHeight w:val="438" w:hRule="exact"/>
                    </w:trPr>
                    <w:tc>
                      <w:tcPr>
                        <w:tcW w:w="2413" w:type="dxa"/>
                        <w:tcBorders>
                          <w:top w:val="nil"/>
                          <w:left w:val="nil"/>
                          <w:bottom w:val="nil"/>
                          <w:right w:val="nil"/>
                        </w:tcBorders>
                      </w:tcPr>
                      <w:p>
                        <w:pPr>
                          <w:pStyle w:val="TableParagraph"/>
                          <w:spacing w:before="78"/>
                          <w:ind w:left="492" w:right="660"/>
                          <w:rPr>
                            <w:sz w:val="24"/>
                          </w:rPr>
                        </w:pPr>
                        <w:r>
                          <w:rPr>
                            <w:sz w:val="24"/>
                          </w:rPr>
                          <w:t>C6:0</w:t>
                        </w:r>
                      </w:p>
                    </w:tc>
                    <w:tc>
                      <w:tcPr>
                        <w:tcW w:w="1909" w:type="dxa"/>
                        <w:tcBorders>
                          <w:top w:val="nil"/>
                          <w:left w:val="nil"/>
                          <w:bottom w:val="nil"/>
                          <w:right w:val="nil"/>
                        </w:tcBorders>
                      </w:tcPr>
                      <w:p>
                        <w:pPr>
                          <w:pStyle w:val="TableParagraph"/>
                          <w:spacing w:before="78"/>
                          <w:ind w:left="742"/>
                          <w:jc w:val="left"/>
                          <w:rPr>
                            <w:sz w:val="24"/>
                          </w:rPr>
                        </w:pPr>
                        <w:r>
                          <w:rPr>
                            <w:sz w:val="24"/>
                          </w:rPr>
                          <w:t>1.90</w:t>
                        </w:r>
                      </w:p>
                    </w:tc>
                    <w:tc>
                      <w:tcPr>
                        <w:tcW w:w="2581" w:type="dxa"/>
                        <w:tcBorders>
                          <w:top w:val="nil"/>
                          <w:left w:val="nil"/>
                          <w:bottom w:val="nil"/>
                          <w:right w:val="nil"/>
                        </w:tcBorders>
                      </w:tcPr>
                      <w:p>
                        <w:pPr>
                          <w:pStyle w:val="TableParagraph"/>
                          <w:spacing w:before="42"/>
                          <w:ind w:left="660" w:right="655"/>
                          <w:rPr>
                            <w:sz w:val="16"/>
                          </w:rPr>
                        </w:pPr>
                        <w:r>
                          <w:rPr>
                            <w:sz w:val="24"/>
                          </w:rPr>
                          <w:t>C16:0</w:t>
                        </w:r>
                        <w:r>
                          <w:rPr>
                            <w:position w:val="11"/>
                            <w:sz w:val="16"/>
                          </w:rPr>
                          <w:t>†</w:t>
                        </w:r>
                      </w:p>
                    </w:tc>
                    <w:tc>
                      <w:tcPr>
                        <w:tcW w:w="2082" w:type="dxa"/>
                        <w:tcBorders>
                          <w:top w:val="nil"/>
                          <w:left w:val="nil"/>
                          <w:bottom w:val="nil"/>
                          <w:right w:val="nil"/>
                        </w:tcBorders>
                      </w:tcPr>
                      <w:p>
                        <w:pPr>
                          <w:pStyle w:val="TableParagraph"/>
                          <w:spacing w:before="78"/>
                          <w:ind w:left="667" w:right="830"/>
                          <w:rPr>
                            <w:sz w:val="24"/>
                          </w:rPr>
                        </w:pPr>
                        <w:r>
                          <w:rPr>
                            <w:sz w:val="24"/>
                          </w:rPr>
                          <w:t>0.35</w:t>
                        </w:r>
                      </w:p>
                    </w:tc>
                  </w:tr>
                  <w:tr>
                    <w:trPr>
                      <w:trHeight w:val="415" w:hRule="exact"/>
                    </w:trPr>
                    <w:tc>
                      <w:tcPr>
                        <w:tcW w:w="2413" w:type="dxa"/>
                        <w:tcBorders>
                          <w:top w:val="nil"/>
                          <w:left w:val="nil"/>
                          <w:bottom w:val="nil"/>
                          <w:right w:val="nil"/>
                        </w:tcBorders>
                      </w:tcPr>
                      <w:p>
                        <w:pPr>
                          <w:pStyle w:val="TableParagraph"/>
                          <w:spacing w:before="58"/>
                          <w:ind w:left="492" w:right="660"/>
                          <w:rPr>
                            <w:sz w:val="24"/>
                          </w:rPr>
                        </w:pPr>
                        <w:r>
                          <w:rPr>
                            <w:sz w:val="24"/>
                          </w:rPr>
                          <w:t>C8:0</w:t>
                        </w:r>
                      </w:p>
                    </w:tc>
                    <w:tc>
                      <w:tcPr>
                        <w:tcW w:w="1909" w:type="dxa"/>
                        <w:tcBorders>
                          <w:top w:val="nil"/>
                          <w:left w:val="nil"/>
                          <w:bottom w:val="nil"/>
                          <w:right w:val="nil"/>
                        </w:tcBorders>
                      </w:tcPr>
                      <w:p>
                        <w:pPr>
                          <w:pStyle w:val="TableParagraph"/>
                          <w:spacing w:before="58"/>
                          <w:ind w:left="742"/>
                          <w:jc w:val="left"/>
                          <w:rPr>
                            <w:sz w:val="24"/>
                          </w:rPr>
                        </w:pPr>
                        <w:r>
                          <w:rPr>
                            <w:sz w:val="24"/>
                          </w:rPr>
                          <w:t>1.30</w:t>
                        </w:r>
                      </w:p>
                    </w:tc>
                    <w:tc>
                      <w:tcPr>
                        <w:tcW w:w="2581" w:type="dxa"/>
                        <w:tcBorders>
                          <w:top w:val="nil"/>
                          <w:left w:val="nil"/>
                          <w:bottom w:val="nil"/>
                          <w:right w:val="nil"/>
                        </w:tcBorders>
                      </w:tcPr>
                      <w:p>
                        <w:pPr>
                          <w:pStyle w:val="TableParagraph"/>
                          <w:spacing w:before="58"/>
                          <w:ind w:left="660" w:right="658"/>
                          <w:rPr>
                            <w:sz w:val="24"/>
                          </w:rPr>
                        </w:pPr>
                        <w:r>
                          <w:rPr>
                            <w:sz w:val="24"/>
                          </w:rPr>
                          <w:t>C16:0</w:t>
                        </w:r>
                      </w:p>
                    </w:tc>
                    <w:tc>
                      <w:tcPr>
                        <w:tcW w:w="2082" w:type="dxa"/>
                        <w:tcBorders>
                          <w:top w:val="nil"/>
                          <w:left w:val="nil"/>
                          <w:bottom w:val="nil"/>
                          <w:right w:val="nil"/>
                        </w:tcBorders>
                      </w:tcPr>
                      <w:p>
                        <w:pPr>
                          <w:pStyle w:val="TableParagraph"/>
                          <w:spacing w:before="58"/>
                          <w:ind w:left="667" w:right="835"/>
                          <w:rPr>
                            <w:sz w:val="24"/>
                          </w:rPr>
                        </w:pPr>
                        <w:r>
                          <w:rPr>
                            <w:sz w:val="24"/>
                          </w:rPr>
                          <w:t>32.31</w:t>
                        </w:r>
                      </w:p>
                    </w:tc>
                  </w:tr>
                  <w:tr>
                    <w:trPr>
                      <w:trHeight w:val="413" w:hRule="exact"/>
                    </w:trPr>
                    <w:tc>
                      <w:tcPr>
                        <w:tcW w:w="2413" w:type="dxa"/>
                        <w:tcBorders>
                          <w:top w:val="nil"/>
                          <w:left w:val="nil"/>
                          <w:bottom w:val="nil"/>
                          <w:right w:val="nil"/>
                        </w:tcBorders>
                      </w:tcPr>
                      <w:p>
                        <w:pPr>
                          <w:pStyle w:val="TableParagraph"/>
                          <w:spacing w:before="55"/>
                          <w:ind w:left="492" w:right="655"/>
                          <w:rPr>
                            <w:sz w:val="24"/>
                          </w:rPr>
                        </w:pPr>
                        <w:r>
                          <w:rPr>
                            <w:sz w:val="24"/>
                          </w:rPr>
                          <w:t>C10:0</w:t>
                        </w:r>
                      </w:p>
                    </w:tc>
                    <w:tc>
                      <w:tcPr>
                        <w:tcW w:w="1909" w:type="dxa"/>
                        <w:tcBorders>
                          <w:top w:val="nil"/>
                          <w:left w:val="nil"/>
                          <w:bottom w:val="nil"/>
                          <w:right w:val="nil"/>
                        </w:tcBorders>
                      </w:tcPr>
                      <w:p>
                        <w:pPr>
                          <w:pStyle w:val="TableParagraph"/>
                          <w:spacing w:before="55"/>
                          <w:ind w:left="742"/>
                          <w:jc w:val="left"/>
                          <w:rPr>
                            <w:sz w:val="24"/>
                          </w:rPr>
                        </w:pPr>
                        <w:r>
                          <w:rPr>
                            <w:sz w:val="24"/>
                          </w:rPr>
                          <w:t>3.25</w:t>
                        </w:r>
                      </w:p>
                    </w:tc>
                    <w:tc>
                      <w:tcPr>
                        <w:tcW w:w="2581" w:type="dxa"/>
                        <w:tcBorders>
                          <w:top w:val="nil"/>
                          <w:left w:val="nil"/>
                          <w:bottom w:val="nil"/>
                          <w:right w:val="nil"/>
                        </w:tcBorders>
                      </w:tcPr>
                      <w:p>
                        <w:pPr>
                          <w:pStyle w:val="TableParagraph"/>
                          <w:spacing w:before="55"/>
                          <w:ind w:left="660" w:right="658"/>
                          <w:rPr>
                            <w:sz w:val="24"/>
                          </w:rPr>
                        </w:pPr>
                        <w:r>
                          <w:rPr>
                            <w:sz w:val="24"/>
                          </w:rPr>
                          <w:t>C16:1</w:t>
                        </w:r>
                      </w:p>
                    </w:tc>
                    <w:tc>
                      <w:tcPr>
                        <w:tcW w:w="2082" w:type="dxa"/>
                        <w:tcBorders>
                          <w:top w:val="nil"/>
                          <w:left w:val="nil"/>
                          <w:bottom w:val="nil"/>
                          <w:right w:val="nil"/>
                        </w:tcBorders>
                      </w:tcPr>
                      <w:p>
                        <w:pPr>
                          <w:pStyle w:val="TableParagraph"/>
                          <w:spacing w:before="55"/>
                          <w:ind w:left="667" w:right="830"/>
                          <w:rPr>
                            <w:sz w:val="24"/>
                          </w:rPr>
                        </w:pPr>
                        <w:r>
                          <w:rPr>
                            <w:sz w:val="24"/>
                          </w:rPr>
                          <w:t>3.55</w:t>
                        </w:r>
                      </w:p>
                    </w:tc>
                  </w:tr>
                  <w:tr>
                    <w:trPr>
                      <w:trHeight w:val="390" w:hRule="exact"/>
                    </w:trPr>
                    <w:tc>
                      <w:tcPr>
                        <w:tcW w:w="2413" w:type="dxa"/>
                        <w:tcBorders>
                          <w:top w:val="nil"/>
                          <w:left w:val="nil"/>
                          <w:bottom w:val="nil"/>
                          <w:right w:val="nil"/>
                        </w:tcBorders>
                      </w:tcPr>
                      <w:p>
                        <w:pPr>
                          <w:pStyle w:val="TableParagraph"/>
                          <w:spacing w:before="55"/>
                          <w:ind w:left="492" w:right="655"/>
                          <w:rPr>
                            <w:sz w:val="24"/>
                          </w:rPr>
                        </w:pPr>
                        <w:r>
                          <w:rPr>
                            <w:sz w:val="24"/>
                          </w:rPr>
                          <w:t>C10:1</w:t>
                        </w:r>
                      </w:p>
                    </w:tc>
                    <w:tc>
                      <w:tcPr>
                        <w:tcW w:w="1909" w:type="dxa"/>
                        <w:tcBorders>
                          <w:top w:val="nil"/>
                          <w:left w:val="nil"/>
                          <w:bottom w:val="nil"/>
                          <w:right w:val="nil"/>
                        </w:tcBorders>
                      </w:tcPr>
                      <w:p>
                        <w:pPr>
                          <w:pStyle w:val="TableParagraph"/>
                          <w:spacing w:before="55"/>
                          <w:ind w:left="742"/>
                          <w:jc w:val="left"/>
                          <w:rPr>
                            <w:sz w:val="24"/>
                          </w:rPr>
                        </w:pPr>
                        <w:r>
                          <w:rPr>
                            <w:sz w:val="24"/>
                          </w:rPr>
                          <w:t>0.32</w:t>
                        </w:r>
                      </w:p>
                    </w:tc>
                    <w:tc>
                      <w:tcPr>
                        <w:tcW w:w="2581" w:type="dxa"/>
                        <w:tcBorders>
                          <w:top w:val="nil"/>
                          <w:left w:val="nil"/>
                          <w:bottom w:val="nil"/>
                          <w:right w:val="nil"/>
                        </w:tcBorders>
                      </w:tcPr>
                      <w:p>
                        <w:pPr>
                          <w:pStyle w:val="TableParagraph"/>
                          <w:spacing w:before="55"/>
                          <w:ind w:left="660" w:right="658"/>
                          <w:rPr>
                            <w:sz w:val="24"/>
                          </w:rPr>
                        </w:pPr>
                        <w:r>
                          <w:rPr>
                            <w:sz w:val="24"/>
                          </w:rPr>
                          <w:t>C17:0</w:t>
                        </w:r>
                      </w:p>
                    </w:tc>
                    <w:tc>
                      <w:tcPr>
                        <w:tcW w:w="2082" w:type="dxa"/>
                        <w:tcBorders>
                          <w:top w:val="nil"/>
                          <w:left w:val="nil"/>
                          <w:bottom w:val="nil"/>
                          <w:right w:val="nil"/>
                        </w:tcBorders>
                      </w:tcPr>
                      <w:p>
                        <w:pPr>
                          <w:pStyle w:val="TableParagraph"/>
                          <w:spacing w:before="55"/>
                          <w:ind w:left="667" w:right="830"/>
                          <w:rPr>
                            <w:sz w:val="24"/>
                          </w:rPr>
                        </w:pPr>
                        <w:r>
                          <w:rPr>
                            <w:sz w:val="24"/>
                          </w:rPr>
                          <w:t>1.11</w:t>
                        </w:r>
                      </w:p>
                    </w:tc>
                  </w:tr>
                  <w:tr>
                    <w:trPr>
                      <w:trHeight w:val="438" w:hRule="exact"/>
                    </w:trPr>
                    <w:tc>
                      <w:tcPr>
                        <w:tcW w:w="2413" w:type="dxa"/>
                        <w:tcBorders>
                          <w:top w:val="nil"/>
                          <w:left w:val="nil"/>
                          <w:bottom w:val="nil"/>
                          <w:right w:val="nil"/>
                        </w:tcBorders>
                      </w:tcPr>
                      <w:p>
                        <w:pPr>
                          <w:pStyle w:val="TableParagraph"/>
                          <w:spacing w:before="78"/>
                          <w:ind w:left="492" w:right="655"/>
                          <w:rPr>
                            <w:sz w:val="24"/>
                          </w:rPr>
                        </w:pPr>
                        <w:r>
                          <w:rPr>
                            <w:sz w:val="24"/>
                          </w:rPr>
                          <w:t>C12:0</w:t>
                        </w:r>
                      </w:p>
                    </w:tc>
                    <w:tc>
                      <w:tcPr>
                        <w:tcW w:w="1909" w:type="dxa"/>
                        <w:tcBorders>
                          <w:top w:val="nil"/>
                          <w:left w:val="nil"/>
                          <w:bottom w:val="nil"/>
                          <w:right w:val="nil"/>
                        </w:tcBorders>
                      </w:tcPr>
                      <w:p>
                        <w:pPr>
                          <w:pStyle w:val="TableParagraph"/>
                          <w:spacing w:before="78"/>
                          <w:ind w:left="742"/>
                          <w:jc w:val="left"/>
                          <w:rPr>
                            <w:sz w:val="24"/>
                          </w:rPr>
                        </w:pPr>
                        <w:r>
                          <w:rPr>
                            <w:sz w:val="24"/>
                          </w:rPr>
                          <w:t>3.66</w:t>
                        </w:r>
                      </w:p>
                    </w:tc>
                    <w:tc>
                      <w:tcPr>
                        <w:tcW w:w="2581" w:type="dxa"/>
                        <w:tcBorders>
                          <w:top w:val="nil"/>
                          <w:left w:val="nil"/>
                          <w:bottom w:val="nil"/>
                          <w:right w:val="nil"/>
                        </w:tcBorders>
                      </w:tcPr>
                      <w:p>
                        <w:pPr>
                          <w:pStyle w:val="TableParagraph"/>
                          <w:spacing w:before="42"/>
                          <w:ind w:left="660" w:right="655"/>
                          <w:rPr>
                            <w:sz w:val="16"/>
                          </w:rPr>
                        </w:pPr>
                        <w:r>
                          <w:rPr>
                            <w:sz w:val="24"/>
                          </w:rPr>
                          <w:t>C18:0</w:t>
                        </w:r>
                        <w:r>
                          <w:rPr>
                            <w:position w:val="11"/>
                            <w:sz w:val="16"/>
                          </w:rPr>
                          <w:t>†</w:t>
                        </w:r>
                      </w:p>
                    </w:tc>
                    <w:tc>
                      <w:tcPr>
                        <w:tcW w:w="2082" w:type="dxa"/>
                        <w:tcBorders>
                          <w:top w:val="nil"/>
                          <w:left w:val="nil"/>
                          <w:bottom w:val="nil"/>
                          <w:right w:val="nil"/>
                        </w:tcBorders>
                      </w:tcPr>
                      <w:p>
                        <w:pPr>
                          <w:pStyle w:val="TableParagraph"/>
                          <w:spacing w:before="78"/>
                          <w:ind w:left="667" w:right="830"/>
                          <w:rPr>
                            <w:sz w:val="24"/>
                          </w:rPr>
                        </w:pPr>
                        <w:r>
                          <w:rPr>
                            <w:sz w:val="24"/>
                          </w:rPr>
                          <w:t>0.50</w:t>
                        </w:r>
                      </w:p>
                    </w:tc>
                  </w:tr>
                  <w:tr>
                    <w:trPr>
                      <w:trHeight w:val="415" w:hRule="exact"/>
                    </w:trPr>
                    <w:tc>
                      <w:tcPr>
                        <w:tcW w:w="2413" w:type="dxa"/>
                        <w:tcBorders>
                          <w:top w:val="nil"/>
                          <w:left w:val="nil"/>
                          <w:bottom w:val="nil"/>
                          <w:right w:val="nil"/>
                        </w:tcBorders>
                      </w:tcPr>
                      <w:p>
                        <w:pPr>
                          <w:pStyle w:val="TableParagraph"/>
                          <w:spacing w:before="58"/>
                          <w:ind w:left="492" w:right="655"/>
                          <w:rPr>
                            <w:sz w:val="24"/>
                          </w:rPr>
                        </w:pPr>
                        <w:r>
                          <w:rPr>
                            <w:sz w:val="24"/>
                          </w:rPr>
                          <w:t>C12:1</w:t>
                        </w:r>
                      </w:p>
                    </w:tc>
                    <w:tc>
                      <w:tcPr>
                        <w:tcW w:w="1909" w:type="dxa"/>
                        <w:tcBorders>
                          <w:top w:val="nil"/>
                          <w:left w:val="nil"/>
                          <w:bottom w:val="nil"/>
                          <w:right w:val="nil"/>
                        </w:tcBorders>
                      </w:tcPr>
                      <w:p>
                        <w:pPr>
                          <w:pStyle w:val="TableParagraph"/>
                          <w:spacing w:before="58"/>
                          <w:ind w:left="742"/>
                          <w:jc w:val="left"/>
                          <w:rPr>
                            <w:sz w:val="24"/>
                          </w:rPr>
                        </w:pPr>
                        <w:r>
                          <w:rPr>
                            <w:sz w:val="24"/>
                          </w:rPr>
                          <w:t>0.12</w:t>
                        </w:r>
                      </w:p>
                    </w:tc>
                    <w:tc>
                      <w:tcPr>
                        <w:tcW w:w="2581" w:type="dxa"/>
                        <w:tcBorders>
                          <w:top w:val="nil"/>
                          <w:left w:val="nil"/>
                          <w:bottom w:val="nil"/>
                          <w:right w:val="nil"/>
                        </w:tcBorders>
                      </w:tcPr>
                      <w:p>
                        <w:pPr>
                          <w:pStyle w:val="TableParagraph"/>
                          <w:spacing w:before="58"/>
                          <w:ind w:left="660" w:right="658"/>
                          <w:rPr>
                            <w:sz w:val="24"/>
                          </w:rPr>
                        </w:pPr>
                        <w:r>
                          <w:rPr>
                            <w:sz w:val="24"/>
                          </w:rPr>
                          <w:t>C18:0</w:t>
                        </w:r>
                      </w:p>
                    </w:tc>
                    <w:tc>
                      <w:tcPr>
                        <w:tcW w:w="2082" w:type="dxa"/>
                        <w:tcBorders>
                          <w:top w:val="nil"/>
                          <w:left w:val="nil"/>
                          <w:bottom w:val="nil"/>
                          <w:right w:val="nil"/>
                        </w:tcBorders>
                      </w:tcPr>
                      <w:p>
                        <w:pPr>
                          <w:pStyle w:val="TableParagraph"/>
                          <w:spacing w:before="58"/>
                          <w:ind w:left="667" w:right="830"/>
                          <w:rPr>
                            <w:sz w:val="24"/>
                          </w:rPr>
                        </w:pPr>
                        <w:r>
                          <w:rPr>
                            <w:sz w:val="24"/>
                          </w:rPr>
                          <w:t>7.82</w:t>
                        </w:r>
                      </w:p>
                    </w:tc>
                  </w:tr>
                  <w:tr>
                    <w:trPr>
                      <w:trHeight w:val="413" w:hRule="exact"/>
                    </w:trPr>
                    <w:tc>
                      <w:tcPr>
                        <w:tcW w:w="2413" w:type="dxa"/>
                        <w:tcBorders>
                          <w:top w:val="nil"/>
                          <w:left w:val="nil"/>
                          <w:bottom w:val="nil"/>
                          <w:right w:val="nil"/>
                        </w:tcBorders>
                      </w:tcPr>
                      <w:p>
                        <w:pPr>
                          <w:pStyle w:val="TableParagraph"/>
                          <w:spacing w:before="55"/>
                          <w:ind w:left="492" w:right="655"/>
                          <w:rPr>
                            <w:sz w:val="24"/>
                          </w:rPr>
                        </w:pPr>
                        <w:r>
                          <w:rPr>
                            <w:sz w:val="24"/>
                          </w:rPr>
                          <w:t>C13:0</w:t>
                        </w:r>
                      </w:p>
                    </w:tc>
                    <w:tc>
                      <w:tcPr>
                        <w:tcW w:w="1909" w:type="dxa"/>
                        <w:tcBorders>
                          <w:top w:val="nil"/>
                          <w:left w:val="nil"/>
                          <w:bottom w:val="nil"/>
                          <w:right w:val="nil"/>
                        </w:tcBorders>
                      </w:tcPr>
                      <w:p>
                        <w:pPr>
                          <w:pStyle w:val="TableParagraph"/>
                          <w:spacing w:before="55"/>
                          <w:ind w:left="742"/>
                          <w:jc w:val="left"/>
                          <w:rPr>
                            <w:sz w:val="24"/>
                          </w:rPr>
                        </w:pPr>
                        <w:r>
                          <w:rPr>
                            <w:sz w:val="24"/>
                          </w:rPr>
                          <w:t>0.21</w:t>
                        </w:r>
                      </w:p>
                    </w:tc>
                    <w:tc>
                      <w:tcPr>
                        <w:tcW w:w="2581" w:type="dxa"/>
                        <w:tcBorders>
                          <w:top w:val="nil"/>
                          <w:left w:val="nil"/>
                          <w:bottom w:val="nil"/>
                          <w:right w:val="nil"/>
                        </w:tcBorders>
                      </w:tcPr>
                      <w:p>
                        <w:pPr>
                          <w:pStyle w:val="TableParagraph"/>
                          <w:spacing w:before="55"/>
                          <w:ind w:left="660" w:right="658"/>
                          <w:rPr>
                            <w:sz w:val="24"/>
                          </w:rPr>
                        </w:pPr>
                        <w:r>
                          <w:rPr>
                            <w:sz w:val="24"/>
                          </w:rPr>
                          <w:t>C18:1</w:t>
                        </w:r>
                      </w:p>
                    </w:tc>
                    <w:tc>
                      <w:tcPr>
                        <w:tcW w:w="2082" w:type="dxa"/>
                        <w:tcBorders>
                          <w:top w:val="nil"/>
                          <w:left w:val="nil"/>
                          <w:bottom w:val="nil"/>
                          <w:right w:val="nil"/>
                        </w:tcBorders>
                      </w:tcPr>
                      <w:p>
                        <w:pPr>
                          <w:pStyle w:val="TableParagraph"/>
                          <w:spacing w:before="55"/>
                          <w:ind w:left="667" w:right="835"/>
                          <w:rPr>
                            <w:sz w:val="24"/>
                          </w:rPr>
                        </w:pPr>
                        <w:r>
                          <w:rPr>
                            <w:sz w:val="24"/>
                          </w:rPr>
                          <w:t>22.44</w:t>
                        </w:r>
                      </w:p>
                    </w:tc>
                  </w:tr>
                  <w:tr>
                    <w:trPr>
                      <w:trHeight w:val="413" w:hRule="exact"/>
                    </w:trPr>
                    <w:tc>
                      <w:tcPr>
                        <w:tcW w:w="2413" w:type="dxa"/>
                        <w:tcBorders>
                          <w:top w:val="nil"/>
                          <w:left w:val="nil"/>
                          <w:bottom w:val="nil"/>
                          <w:right w:val="nil"/>
                        </w:tcBorders>
                      </w:tcPr>
                      <w:p>
                        <w:pPr>
                          <w:pStyle w:val="TableParagraph"/>
                          <w:spacing w:before="55"/>
                          <w:ind w:left="492" w:right="655"/>
                          <w:rPr>
                            <w:sz w:val="24"/>
                          </w:rPr>
                        </w:pPr>
                        <w:r>
                          <w:rPr>
                            <w:sz w:val="24"/>
                          </w:rPr>
                          <w:t>C14:0</w:t>
                        </w:r>
                      </w:p>
                    </w:tc>
                    <w:tc>
                      <w:tcPr>
                        <w:tcW w:w="1909" w:type="dxa"/>
                        <w:tcBorders>
                          <w:top w:val="nil"/>
                          <w:left w:val="nil"/>
                          <w:bottom w:val="nil"/>
                          <w:right w:val="nil"/>
                        </w:tcBorders>
                      </w:tcPr>
                      <w:p>
                        <w:pPr>
                          <w:pStyle w:val="TableParagraph"/>
                          <w:spacing w:before="55"/>
                          <w:ind w:left="684"/>
                          <w:jc w:val="left"/>
                          <w:rPr>
                            <w:sz w:val="24"/>
                          </w:rPr>
                        </w:pPr>
                        <w:r>
                          <w:rPr>
                            <w:sz w:val="24"/>
                          </w:rPr>
                          <w:t>11.28</w:t>
                        </w:r>
                      </w:p>
                    </w:tc>
                    <w:tc>
                      <w:tcPr>
                        <w:tcW w:w="2581" w:type="dxa"/>
                        <w:tcBorders>
                          <w:top w:val="nil"/>
                          <w:left w:val="nil"/>
                          <w:bottom w:val="nil"/>
                          <w:right w:val="nil"/>
                        </w:tcBorders>
                      </w:tcPr>
                      <w:p>
                        <w:pPr>
                          <w:pStyle w:val="TableParagraph"/>
                          <w:spacing w:before="55"/>
                          <w:ind w:left="660" w:right="658"/>
                          <w:rPr>
                            <w:sz w:val="24"/>
                          </w:rPr>
                        </w:pPr>
                        <w:r>
                          <w:rPr>
                            <w:sz w:val="24"/>
                          </w:rPr>
                          <w:t>C18:3</w:t>
                        </w:r>
                      </w:p>
                    </w:tc>
                    <w:tc>
                      <w:tcPr>
                        <w:tcW w:w="2082" w:type="dxa"/>
                        <w:tcBorders>
                          <w:top w:val="nil"/>
                          <w:left w:val="nil"/>
                          <w:bottom w:val="nil"/>
                          <w:right w:val="nil"/>
                        </w:tcBorders>
                      </w:tcPr>
                      <w:p>
                        <w:pPr>
                          <w:pStyle w:val="TableParagraph"/>
                          <w:spacing w:before="55"/>
                          <w:ind w:left="667" w:right="830"/>
                          <w:rPr>
                            <w:sz w:val="24"/>
                          </w:rPr>
                        </w:pPr>
                        <w:r>
                          <w:rPr>
                            <w:sz w:val="24"/>
                          </w:rPr>
                          <w:t>1.33</w:t>
                        </w:r>
                      </w:p>
                    </w:tc>
                  </w:tr>
                  <w:tr>
                    <w:trPr>
                      <w:trHeight w:val="487" w:hRule="exact"/>
                    </w:trPr>
                    <w:tc>
                      <w:tcPr>
                        <w:tcW w:w="2413" w:type="dxa"/>
                        <w:tcBorders>
                          <w:top w:val="nil"/>
                          <w:left w:val="nil"/>
                          <w:right w:val="nil"/>
                        </w:tcBorders>
                      </w:tcPr>
                      <w:p>
                        <w:pPr>
                          <w:pStyle w:val="TableParagraph"/>
                          <w:spacing w:before="55"/>
                          <w:ind w:left="492" w:right="655"/>
                          <w:rPr>
                            <w:sz w:val="24"/>
                          </w:rPr>
                        </w:pPr>
                        <w:r>
                          <w:rPr>
                            <w:sz w:val="24"/>
                          </w:rPr>
                          <w:t>C14:1</w:t>
                        </w:r>
                      </w:p>
                    </w:tc>
                    <w:tc>
                      <w:tcPr>
                        <w:tcW w:w="1909" w:type="dxa"/>
                        <w:tcBorders>
                          <w:top w:val="nil"/>
                          <w:left w:val="nil"/>
                          <w:right w:val="nil"/>
                        </w:tcBorders>
                      </w:tcPr>
                      <w:p>
                        <w:pPr>
                          <w:pStyle w:val="TableParagraph"/>
                          <w:spacing w:before="55"/>
                          <w:ind w:left="742"/>
                          <w:jc w:val="left"/>
                          <w:rPr>
                            <w:sz w:val="24"/>
                          </w:rPr>
                        </w:pPr>
                        <w:r>
                          <w:rPr>
                            <w:sz w:val="24"/>
                          </w:rPr>
                          <w:t>1.34</w:t>
                        </w:r>
                      </w:p>
                    </w:tc>
                    <w:tc>
                      <w:tcPr>
                        <w:tcW w:w="2581" w:type="dxa"/>
                        <w:tcBorders>
                          <w:top w:val="nil"/>
                          <w:left w:val="nil"/>
                          <w:right w:val="nil"/>
                        </w:tcBorders>
                      </w:tcPr>
                      <w:p>
                        <w:pPr>
                          <w:pStyle w:val="TableParagraph"/>
                          <w:spacing w:before="55"/>
                          <w:ind w:left="660" w:right="658"/>
                          <w:rPr>
                            <w:sz w:val="24"/>
                          </w:rPr>
                        </w:pPr>
                        <w:r>
                          <w:rPr>
                            <w:sz w:val="24"/>
                          </w:rPr>
                          <w:t>C20:0</w:t>
                        </w:r>
                      </w:p>
                    </w:tc>
                    <w:tc>
                      <w:tcPr>
                        <w:tcW w:w="2082" w:type="dxa"/>
                        <w:tcBorders>
                          <w:top w:val="nil"/>
                          <w:left w:val="nil"/>
                          <w:right w:val="nil"/>
                        </w:tcBorders>
                      </w:tcPr>
                      <w:p>
                        <w:pPr>
                          <w:pStyle w:val="TableParagraph"/>
                          <w:spacing w:before="55"/>
                          <w:ind w:left="667" w:right="830"/>
                          <w:rPr>
                            <w:sz w:val="24"/>
                          </w:rPr>
                        </w:pPr>
                        <w:r>
                          <w:rPr>
                            <w:sz w:val="24"/>
                          </w:rPr>
                          <w:t>0.15</w:t>
                        </w:r>
                      </w:p>
                    </w:tc>
                  </w:tr>
                </w:tbl>
                <w:p>
                  <w:pPr>
                    <w:pStyle w:val="BodyText"/>
                  </w:pPr>
                </w:p>
              </w:txbxContent>
            </v:textbox>
            <w10:wrap type="none"/>
          </v:shape>
        </w:pict>
      </w:r>
      <w:r>
        <w:rPr>
          <w:position w:val="11"/>
          <w:sz w:val="16"/>
        </w:rPr>
        <w:t>†  </w:t>
      </w:r>
      <w:r>
        <w:rPr>
          <w:sz w:val="18"/>
        </w:rPr>
        <w:t>AG de cadena ramificada</w:t>
      </w:r>
    </w:p>
    <w:p>
      <w:pPr>
        <w:pStyle w:val="BodyText"/>
        <w:spacing w:before="6"/>
        <w:rPr>
          <w:sz w:val="30"/>
        </w:rPr>
      </w:pPr>
    </w:p>
    <w:p>
      <w:pPr>
        <w:pStyle w:val="BodyText"/>
        <w:ind w:left="512"/>
        <w:jc w:val="both"/>
      </w:pPr>
      <w:r>
        <w:rPr/>
        <w:t>(Adaptado de Jensen </w:t>
      </w:r>
      <w:r>
        <w:rPr>
          <w:i/>
        </w:rPr>
        <w:t>et al</w:t>
      </w:r>
      <w:r>
        <w:rPr/>
        <w:t>., 1991).</w:t>
      </w:r>
    </w:p>
    <w:p>
      <w:pPr>
        <w:pStyle w:val="BodyText"/>
        <w:spacing w:before="9"/>
        <w:rPr>
          <w:sz w:val="29"/>
        </w:rPr>
      </w:pPr>
    </w:p>
    <w:p>
      <w:pPr>
        <w:pStyle w:val="BodyText"/>
        <w:spacing w:line="357" w:lineRule="auto"/>
        <w:ind w:left="512" w:right="144"/>
        <w:jc w:val="both"/>
      </w:pPr>
      <w:r>
        <w:rPr/>
        <w:t>En consecuencia, por el alto contenido de grasa en la leche surgió una mala apreciación por los consumidores en los últimos años, la grasa de la leche tiene una alta proporción de AGS como el láurico, mirístico y palmítico, que tienen una acción hipercolesteromiante y se asocian a enfermedades cardiovasculares (Grundy, 1994).</w:t>
      </w:r>
    </w:p>
    <w:p>
      <w:pPr>
        <w:spacing w:after="0" w:line="357" w:lineRule="auto"/>
        <w:jc w:val="both"/>
        <w:sectPr>
          <w:pgSz w:w="12240" w:h="15840"/>
          <w:pgMar w:header="1150" w:footer="1382" w:top="1420" w:bottom="1580" w:left="1360" w:right="1380"/>
        </w:sectPr>
      </w:pPr>
    </w:p>
    <w:p>
      <w:pPr>
        <w:pStyle w:val="BodyText"/>
        <w:spacing w:before="3"/>
        <w:rPr>
          <w:sz w:val="27"/>
        </w:rPr>
      </w:pPr>
    </w:p>
    <w:p>
      <w:pPr>
        <w:pStyle w:val="BodyText"/>
        <w:spacing w:line="360" w:lineRule="auto" w:before="69"/>
        <w:ind w:left="512" w:right="102"/>
        <w:jc w:val="both"/>
      </w:pPr>
      <w:r>
        <w:rPr/>
        <w:t>Sin embargo, </w:t>
      </w:r>
      <w:r>
        <w:rPr>
          <w:spacing w:val="-5"/>
        </w:rPr>
        <w:t>la </w:t>
      </w:r>
      <w:r>
        <w:rPr/>
        <w:t>grasa de </w:t>
      </w:r>
      <w:r>
        <w:rPr>
          <w:spacing w:val="-3"/>
        </w:rPr>
        <w:t>la leche </w:t>
      </w:r>
      <w:r>
        <w:rPr/>
        <w:t>también cuenta con cualidades desde el punto de vista de </w:t>
      </w:r>
      <w:r>
        <w:rPr>
          <w:spacing w:val="-3"/>
        </w:rPr>
        <w:t>la </w:t>
      </w:r>
      <w:r>
        <w:rPr/>
        <w:t>salud humana y son atribuidas en espacial a algunos </w:t>
      </w:r>
      <w:r>
        <w:rPr>
          <w:spacing w:val="-3"/>
        </w:rPr>
        <w:t>AG </w:t>
      </w:r>
      <w:r>
        <w:rPr/>
        <w:t>presentes en </w:t>
      </w:r>
      <w:r>
        <w:rPr>
          <w:spacing w:val="-3"/>
        </w:rPr>
        <w:t>la leche. AG </w:t>
      </w:r>
      <w:r>
        <w:rPr/>
        <w:t>insaturados (AGI) como el oleico y linoleico presentan una acción hipocolesteromiante (Grundy, 1994); el butírico y algunos esfingolípidos han demostrado tener acciones anticancerígenas en modelos animales (Parodi, </w:t>
      </w:r>
      <w:r>
        <w:rPr>
          <w:spacing w:val="2"/>
        </w:rPr>
        <w:t>1999). </w:t>
      </w:r>
      <w:r>
        <w:rPr/>
        <w:t>Los ácidos omega 3 han suscitado un enorme interés en </w:t>
      </w:r>
      <w:r>
        <w:rPr>
          <w:spacing w:val="-5"/>
        </w:rPr>
        <w:t>la </w:t>
      </w:r>
      <w:r>
        <w:rPr/>
        <w:t>actualidad por sus efectos beneficiosos, entre ellos propiedades anticancerígenas y prevención de enfermedades cardiovasculares (Yashodhara </w:t>
      </w:r>
      <w:r>
        <w:rPr>
          <w:i/>
        </w:rPr>
        <w:t>et al</w:t>
      </w:r>
      <w:r>
        <w:rPr/>
        <w:t>., 2009) y propiedades antinflamatorias (Dong-Soon, 2012). Algunos AGPI tienen potenciales beneficios para </w:t>
      </w:r>
      <w:r>
        <w:rPr>
          <w:spacing w:val="-3"/>
        </w:rPr>
        <w:t>la </w:t>
      </w:r>
      <w:r>
        <w:rPr/>
        <w:t>salud humana, como el ácido linoleico conjugado (CLA, por sus siglas en ingles), específicamente el isómero C18:2 </w:t>
      </w:r>
      <w:r>
        <w:rPr>
          <w:i/>
        </w:rPr>
        <w:t>cis-</w:t>
      </w:r>
      <w:r>
        <w:rPr/>
        <w:t>9 </w:t>
      </w:r>
      <w:r>
        <w:rPr>
          <w:i/>
        </w:rPr>
        <w:t>tras-</w:t>
      </w:r>
      <w:r>
        <w:rPr/>
        <w:t>11 (ácido ruménico), al que se </w:t>
      </w:r>
      <w:r>
        <w:rPr>
          <w:spacing w:val="-5"/>
        </w:rPr>
        <w:t>le </w:t>
      </w:r>
      <w:r>
        <w:rPr/>
        <w:t>han atribuido propiedades anticarcinogénicas en modelos animales (Ip </w:t>
      </w:r>
      <w:r>
        <w:rPr>
          <w:i/>
        </w:rPr>
        <w:t>et al</w:t>
      </w:r>
      <w:r>
        <w:rPr/>
        <w:t>., 1994; Corl </w:t>
      </w:r>
      <w:r>
        <w:rPr>
          <w:i/>
        </w:rPr>
        <w:t>et al</w:t>
      </w:r>
      <w:r>
        <w:rPr/>
        <w:t>., 2003), y posiblemente en humanos (Belury, 2002). Otros isómeros de CLA como el C18:2 </w:t>
      </w:r>
      <w:r>
        <w:rPr>
          <w:i/>
        </w:rPr>
        <w:t>trans-</w:t>
      </w:r>
      <w:r>
        <w:rPr/>
        <w:t>10 </w:t>
      </w:r>
      <w:r>
        <w:rPr>
          <w:i/>
        </w:rPr>
        <w:t>cis-</w:t>
      </w:r>
      <w:r>
        <w:rPr/>
        <w:t>12 que disminuyen el depósito de grasa en modelos animales (Park </w:t>
      </w:r>
      <w:r>
        <w:rPr>
          <w:i/>
        </w:rPr>
        <w:t>et al</w:t>
      </w:r>
      <w:r>
        <w:rPr/>
        <w:t>.,  1999) y </w:t>
      </w:r>
      <w:r>
        <w:rPr>
          <w:spacing w:val="-3"/>
        </w:rPr>
        <w:t>la </w:t>
      </w:r>
      <w:r>
        <w:rPr/>
        <w:t>concentración de grasa en </w:t>
      </w:r>
      <w:r>
        <w:rPr>
          <w:spacing w:val="-5"/>
        </w:rPr>
        <w:t>la </w:t>
      </w:r>
      <w:r>
        <w:rPr/>
        <w:t>leche de vaca (Petterson </w:t>
      </w:r>
      <w:r>
        <w:rPr>
          <w:i/>
        </w:rPr>
        <w:t>et al</w:t>
      </w:r>
      <w:r>
        <w:rPr/>
        <w:t>.,</w:t>
      </w:r>
      <w:r>
        <w:rPr>
          <w:spacing w:val="6"/>
        </w:rPr>
        <w:t> </w:t>
      </w:r>
      <w:r>
        <w:rPr/>
        <w:t>2002).</w:t>
      </w:r>
    </w:p>
    <w:p>
      <w:pPr>
        <w:pStyle w:val="Heading1"/>
        <w:numPr>
          <w:ilvl w:val="0"/>
          <w:numId w:val="4"/>
        </w:numPr>
        <w:tabs>
          <w:tab w:pos="1233" w:val="left" w:leader="none"/>
        </w:tabs>
        <w:spacing w:line="240" w:lineRule="auto" w:before="210" w:after="0"/>
        <w:ind w:left="1233" w:right="0" w:hanging="360"/>
        <w:jc w:val="left"/>
      </w:pPr>
      <w:r>
        <w:rPr/>
        <w:t>El CLA Y SU IMPORTANCIA EN LA SULUD</w:t>
      </w:r>
      <w:r>
        <w:rPr>
          <w:spacing w:val="-12"/>
        </w:rPr>
        <w:t> </w:t>
      </w:r>
      <w:r>
        <w:rPr/>
        <w:t>HUMANA</w:t>
      </w:r>
    </w:p>
    <w:p>
      <w:pPr>
        <w:pStyle w:val="BodyText"/>
        <w:spacing w:before="4"/>
        <w:rPr>
          <w:b/>
          <w:sz w:val="29"/>
        </w:rPr>
      </w:pPr>
    </w:p>
    <w:p>
      <w:pPr>
        <w:pStyle w:val="BodyText"/>
        <w:spacing w:line="360" w:lineRule="auto" w:before="1"/>
        <w:ind w:left="512" w:right="104"/>
        <w:jc w:val="both"/>
      </w:pPr>
      <w:r>
        <w:rPr/>
        <w:t>La </w:t>
      </w:r>
      <w:r>
        <w:rPr>
          <w:spacing w:val="-3"/>
        </w:rPr>
        <w:t>leche </w:t>
      </w:r>
      <w:r>
        <w:rPr/>
        <w:t>es </w:t>
      </w:r>
      <w:r>
        <w:rPr>
          <w:spacing w:val="-5"/>
        </w:rPr>
        <w:t>la </w:t>
      </w:r>
      <w:r>
        <w:rPr>
          <w:spacing w:val="-3"/>
        </w:rPr>
        <w:t>mejor </w:t>
      </w:r>
      <w:r>
        <w:rPr/>
        <w:t>fuente natural de </w:t>
      </w:r>
      <w:r>
        <w:rPr>
          <w:spacing w:val="-3"/>
        </w:rPr>
        <w:t>ácido </w:t>
      </w:r>
      <w:r>
        <w:rPr/>
        <w:t>linoleico conjugado (CLA C18:2 </w:t>
      </w:r>
      <w:r>
        <w:rPr>
          <w:i/>
        </w:rPr>
        <w:t>cis9 trans11</w:t>
      </w:r>
      <w:r>
        <w:rPr/>
        <w:t>) para el consumo en seres humanos (Chouinard </w:t>
      </w:r>
      <w:r>
        <w:rPr>
          <w:i/>
        </w:rPr>
        <w:t>et al</w:t>
      </w:r>
      <w:r>
        <w:rPr/>
        <w:t>., 1999) y se </w:t>
      </w:r>
      <w:r>
        <w:rPr>
          <w:spacing w:val="-3"/>
        </w:rPr>
        <w:t>ha </w:t>
      </w:r>
      <w:r>
        <w:rPr/>
        <w:t>demostrado que </w:t>
      </w:r>
      <w:r>
        <w:rPr>
          <w:spacing w:val="-5"/>
        </w:rPr>
        <w:t>la </w:t>
      </w:r>
      <w:r>
        <w:rPr/>
        <w:t>manipulación de </w:t>
      </w:r>
      <w:r>
        <w:rPr>
          <w:spacing w:val="-5"/>
        </w:rPr>
        <w:t>la </w:t>
      </w:r>
      <w:r>
        <w:rPr/>
        <w:t>dieta del animal es </w:t>
      </w:r>
      <w:r>
        <w:rPr>
          <w:spacing w:val="-5"/>
        </w:rPr>
        <w:t>la </w:t>
      </w:r>
      <w:r>
        <w:rPr/>
        <w:t>principal forma de modificar el incrementar su contenido en </w:t>
      </w:r>
      <w:r>
        <w:rPr>
          <w:spacing w:val="-3"/>
        </w:rPr>
        <w:t>la </w:t>
      </w:r>
      <w:r>
        <w:rPr/>
        <w:t>leche (Key </w:t>
      </w:r>
      <w:r>
        <w:rPr>
          <w:i/>
        </w:rPr>
        <w:t>et al</w:t>
      </w:r>
      <w:r>
        <w:rPr/>
        <w:t>., 2004). Si bien existen preparaciones sintéticas de CLA que pueden utilizarse en </w:t>
      </w:r>
      <w:r>
        <w:rPr>
          <w:spacing w:val="-5"/>
        </w:rPr>
        <w:t>la </w:t>
      </w:r>
      <w:r>
        <w:rPr/>
        <w:t>fabricación de leches artificiales, consumir leche o sus derivados enriquecidos naturalmente presenta diferentes ventajas. En primera, el consumidor en </w:t>
      </w:r>
      <w:r>
        <w:rPr>
          <w:spacing w:val="-5"/>
        </w:rPr>
        <w:t>la </w:t>
      </w:r>
      <w:r>
        <w:rPr/>
        <w:t>actualidad tiende a rechazar productos sintéticos y opta por </w:t>
      </w:r>
      <w:r>
        <w:rPr>
          <w:spacing w:val="-5"/>
        </w:rPr>
        <w:t>lo </w:t>
      </w:r>
      <w:r>
        <w:rPr/>
        <w:t>natural. En segunda, enriquecer </w:t>
      </w:r>
      <w:r>
        <w:rPr>
          <w:spacing w:val="-5"/>
        </w:rPr>
        <w:t>la </w:t>
      </w:r>
      <w:r>
        <w:rPr/>
        <w:t>leche con estos productos es difícil, puesto que son productos de importación, por </w:t>
      </w:r>
      <w:r>
        <w:rPr>
          <w:spacing w:val="-5"/>
        </w:rPr>
        <w:t>lo </w:t>
      </w:r>
      <w:r>
        <w:rPr/>
        <w:t>tanto incrementan el costo de producción. Desde el punto de vista de </w:t>
      </w:r>
      <w:r>
        <w:rPr>
          <w:spacing w:val="-5"/>
        </w:rPr>
        <w:t>la </w:t>
      </w:r>
      <w:r>
        <w:rPr/>
        <w:t>salud humana, algunos estudios han demostrado que el consumo de grasa natural alta en CLA en </w:t>
      </w:r>
      <w:r>
        <w:rPr>
          <w:spacing w:val="-3"/>
        </w:rPr>
        <w:t>la </w:t>
      </w:r>
      <w:r>
        <w:rPr/>
        <w:t>dieta de animales experimentales produjo una mayor acumulación de CLA en los tejidos, en comparación con animales alimentados con CLA sintético (Ip </w:t>
      </w:r>
      <w:r>
        <w:rPr>
          <w:i/>
        </w:rPr>
        <w:t>et al., </w:t>
      </w:r>
      <w:r>
        <w:rPr/>
        <w:t>1999). Esto es debido a que </w:t>
      </w:r>
      <w:r>
        <w:rPr>
          <w:spacing w:val="-5"/>
        </w:rPr>
        <w:t>la </w:t>
      </w:r>
      <w:r>
        <w:rPr/>
        <w:t>grasa enriquecida de </w:t>
      </w:r>
      <w:r>
        <w:rPr>
          <w:spacing w:val="-3"/>
        </w:rPr>
        <w:t>forma </w:t>
      </w:r>
      <w:r>
        <w:rPr/>
        <w:t>natural también contiene altas  </w:t>
      </w:r>
      <w:r>
        <w:rPr>
          <w:spacing w:val="56"/>
        </w:rPr>
        <w:t> </w:t>
      </w:r>
      <w:r>
        <w:rPr/>
        <w:t>concentraciones</w:t>
      </w:r>
    </w:p>
    <w:p>
      <w:pPr>
        <w:spacing w:after="0" w:line="360" w:lineRule="auto"/>
        <w:jc w:val="both"/>
        <w:sectPr>
          <w:footerReference w:type="default" r:id="rId16"/>
          <w:pgSz w:w="12240" w:h="15840"/>
          <w:pgMar w:footer="1382" w:header="1150" w:top="1420" w:bottom="1580" w:left="1360" w:right="1420"/>
        </w:sectPr>
      </w:pPr>
    </w:p>
    <w:p>
      <w:pPr>
        <w:pStyle w:val="BodyText"/>
        <w:spacing w:before="3"/>
        <w:rPr>
          <w:sz w:val="27"/>
        </w:rPr>
      </w:pPr>
    </w:p>
    <w:p>
      <w:pPr>
        <w:pStyle w:val="BodyText"/>
        <w:spacing w:line="360" w:lineRule="auto" w:before="69"/>
        <w:ind w:left="512" w:right="101"/>
        <w:jc w:val="both"/>
      </w:pPr>
      <w:r>
        <w:rPr/>
        <w:t>de ácido vaccénico (C18:1 </w:t>
      </w:r>
      <w:r>
        <w:rPr>
          <w:i/>
        </w:rPr>
        <w:t>trans-</w:t>
      </w:r>
      <w:r>
        <w:rPr/>
        <w:t>11), principal precursor de C18:2 </w:t>
      </w:r>
      <w:r>
        <w:rPr>
          <w:i/>
        </w:rPr>
        <w:t>cis-</w:t>
      </w:r>
      <w:r>
        <w:rPr/>
        <w:t>9 </w:t>
      </w:r>
      <w:r>
        <w:rPr>
          <w:i/>
        </w:rPr>
        <w:t>trans-</w:t>
      </w:r>
      <w:r>
        <w:rPr/>
        <w:t>11, lo que sugiere una síntesis endógena por parte del consumidor. Por lo tanto, la producción de leche enriquecida de forma natural con CLA va sistemáticamente acompañada con un enriquecimiento paralelo de C18:1 trans11 (Chilliard </w:t>
      </w:r>
      <w:r>
        <w:rPr>
          <w:i/>
        </w:rPr>
        <w:t>et al</w:t>
      </w:r>
      <w:r>
        <w:rPr/>
        <w:t>., 2004); así, el consumidor de lácteos naturales altos en CLA recibirá una dosis directa por absorción intestinal del producto y otra dosis indirecta por síntesis endógena a partir de su precursor C18:1 </w:t>
      </w:r>
      <w:r>
        <w:rPr>
          <w:i/>
        </w:rPr>
        <w:t>trans11 </w:t>
      </w:r>
      <w:r>
        <w:rPr/>
        <w:t>(Gagliostro, 2004).</w:t>
      </w:r>
    </w:p>
    <w:p>
      <w:pPr>
        <w:pStyle w:val="BodyText"/>
        <w:spacing w:line="360" w:lineRule="auto" w:before="210"/>
        <w:ind w:left="512" w:right="99"/>
        <w:jc w:val="both"/>
      </w:pPr>
      <w:r>
        <w:rPr/>
        <w:t>Estas razones han motivado a que se realicen investigaciones para el desarrollo de estrategias alimentarias para mejorar </w:t>
      </w:r>
      <w:r>
        <w:rPr>
          <w:spacing w:val="-5"/>
        </w:rPr>
        <w:t>la </w:t>
      </w:r>
      <w:r>
        <w:rPr/>
        <w:t>composición de los </w:t>
      </w:r>
      <w:r>
        <w:rPr>
          <w:spacing w:val="-3"/>
        </w:rPr>
        <w:t>AG </w:t>
      </w:r>
      <w:r>
        <w:rPr/>
        <w:t>de </w:t>
      </w:r>
      <w:r>
        <w:rPr>
          <w:spacing w:val="-3"/>
        </w:rPr>
        <w:t>la </w:t>
      </w:r>
      <w:r>
        <w:rPr/>
        <w:t>leche, disminuyendo   </w:t>
      </w:r>
      <w:r>
        <w:rPr>
          <w:spacing w:val="-3"/>
        </w:rPr>
        <w:t>la </w:t>
      </w:r>
      <w:r>
        <w:rPr/>
        <w:t>concentración de AGS e incrementado </w:t>
      </w:r>
      <w:r>
        <w:rPr>
          <w:spacing w:val="-5"/>
        </w:rPr>
        <w:t>la </w:t>
      </w:r>
      <w:r>
        <w:rPr/>
        <w:t>concentración de CLA, ácido oleico y otros AGPI omega 3 (Dewhurst </w:t>
      </w:r>
      <w:r>
        <w:rPr>
          <w:i/>
        </w:rPr>
        <w:t>et al</w:t>
      </w:r>
      <w:r>
        <w:rPr/>
        <w:t>.,</w:t>
      </w:r>
      <w:r>
        <w:rPr>
          <w:spacing w:val="-8"/>
        </w:rPr>
        <w:t> </w:t>
      </w:r>
      <w:r>
        <w:rPr/>
        <w:t>2006).</w:t>
      </w:r>
    </w:p>
    <w:p>
      <w:pPr>
        <w:pStyle w:val="Heading1"/>
        <w:numPr>
          <w:ilvl w:val="1"/>
          <w:numId w:val="4"/>
        </w:numPr>
        <w:tabs>
          <w:tab w:pos="1277" w:val="left" w:leader="none"/>
        </w:tabs>
        <w:spacing w:line="240" w:lineRule="auto" w:before="210" w:after="0"/>
        <w:ind w:left="1276" w:right="0" w:hanging="403"/>
        <w:jc w:val="left"/>
      </w:pPr>
      <w:bookmarkStart w:name="_TOC_250041" w:id="25"/>
      <w:r>
        <w:rPr/>
        <w:t>Estructura del</w:t>
      </w:r>
      <w:r>
        <w:rPr>
          <w:spacing w:val="-10"/>
        </w:rPr>
        <w:t> </w:t>
      </w:r>
      <w:bookmarkEnd w:id="25"/>
      <w:r>
        <w:rPr/>
        <w:t>CLA</w:t>
      </w:r>
    </w:p>
    <w:p>
      <w:pPr>
        <w:pStyle w:val="BodyText"/>
        <w:spacing w:before="5"/>
        <w:rPr>
          <w:b/>
          <w:sz w:val="29"/>
        </w:rPr>
      </w:pPr>
    </w:p>
    <w:p>
      <w:pPr>
        <w:pStyle w:val="BodyText"/>
        <w:spacing w:line="360" w:lineRule="auto"/>
        <w:ind w:left="512" w:right="102"/>
        <w:jc w:val="both"/>
      </w:pPr>
      <w:r>
        <w:rPr/>
        <w:t>El ácido linoleico conjugado involucra diferentes isómeros del ácido linoleico que tienen una doble ligadura en las posiciones 8 y 10, 9 y 11, ó 11 y 13, y cada una de las posiciones de estos isómeros pueden ocurrir en configuración geométrico </w:t>
      </w:r>
      <w:r>
        <w:rPr>
          <w:i/>
        </w:rPr>
        <w:t>cis-tras, trans-cis, cis-cis </w:t>
      </w:r>
      <w:r>
        <w:rPr/>
        <w:t>o </w:t>
      </w:r>
      <w:r>
        <w:rPr>
          <w:i/>
        </w:rPr>
        <w:t>trans-trans </w:t>
      </w:r>
      <w:r>
        <w:rPr/>
        <w:t>(Eulitz., 1999). Existe una gran variedad de isómeros de CLA, en la grasa de la leche se han identificado 14 isómeros (Lock y Bauman, 2004). El isómero del CLA mayoritario en la leche es el C18:2 </w:t>
      </w:r>
      <w:r>
        <w:rPr>
          <w:i/>
        </w:rPr>
        <w:t>cis-</w:t>
      </w:r>
      <w:r>
        <w:rPr/>
        <w:t>9 </w:t>
      </w:r>
      <w:r>
        <w:rPr>
          <w:i/>
        </w:rPr>
        <w:t>trans-</w:t>
      </w:r>
      <w:r>
        <w:rPr/>
        <w:t>11 (Palmquist </w:t>
      </w:r>
      <w:r>
        <w:rPr>
          <w:i/>
        </w:rPr>
        <w:t>et al., </w:t>
      </w:r>
      <w:r>
        <w:rPr/>
        <w:t>2005), también llamado ácido ruménico, que representa entre 75 y 90% del CLA (Bauman </w:t>
      </w:r>
      <w:r>
        <w:rPr>
          <w:i/>
        </w:rPr>
        <w:t>et al., </w:t>
      </w:r>
      <w:r>
        <w:rPr/>
        <w:t>2006; Sehat </w:t>
      </w:r>
      <w:r>
        <w:rPr>
          <w:i/>
        </w:rPr>
        <w:t>et al., </w:t>
      </w:r>
      <w:r>
        <w:rPr/>
        <w:t>1998).</w:t>
      </w:r>
    </w:p>
    <w:p>
      <w:pPr>
        <w:pStyle w:val="Heading1"/>
        <w:numPr>
          <w:ilvl w:val="1"/>
          <w:numId w:val="4"/>
        </w:numPr>
        <w:tabs>
          <w:tab w:pos="1277" w:val="left" w:leader="none"/>
        </w:tabs>
        <w:spacing w:line="240" w:lineRule="auto" w:before="206" w:after="0"/>
        <w:ind w:left="1276" w:right="0" w:hanging="403"/>
        <w:jc w:val="left"/>
      </w:pPr>
      <w:bookmarkStart w:name="_TOC_250040" w:id="26"/>
      <w:r>
        <w:rPr/>
        <w:t>Origen del</w:t>
      </w:r>
      <w:r>
        <w:rPr>
          <w:spacing w:val="-12"/>
        </w:rPr>
        <w:t> </w:t>
      </w:r>
      <w:bookmarkEnd w:id="26"/>
      <w:r>
        <w:rPr/>
        <w:t>CLA</w:t>
      </w:r>
    </w:p>
    <w:p>
      <w:pPr>
        <w:pStyle w:val="BodyText"/>
        <w:spacing w:before="4"/>
        <w:rPr>
          <w:b/>
          <w:sz w:val="29"/>
        </w:rPr>
      </w:pPr>
    </w:p>
    <w:p>
      <w:pPr>
        <w:pStyle w:val="BodyText"/>
        <w:spacing w:line="355" w:lineRule="auto" w:before="1"/>
        <w:ind w:left="512" w:right="100"/>
        <w:jc w:val="both"/>
      </w:pPr>
      <w:r>
        <w:rPr/>
        <w:t>El CLA es generado por las bacterias del rumen como producto intermediario de la biohidrogenación (BH) del ácido linoleico a ácido esteárico (C18:0), (Chin </w:t>
      </w:r>
      <w:r>
        <w:rPr>
          <w:i/>
        </w:rPr>
        <w:t>et al., </w:t>
      </w:r>
      <w:r>
        <w:rPr/>
        <w:t>1992; Kepler </w:t>
      </w:r>
      <w:r>
        <w:rPr>
          <w:i/>
        </w:rPr>
        <w:t>et al., </w:t>
      </w:r>
      <w:r>
        <w:rPr/>
        <w:t>1966). Esta fracción de CLA sintetizada en el rumen puede ser absorbida y secretada como parte de la leche (Bauman </w:t>
      </w:r>
      <w:r>
        <w:rPr>
          <w:i/>
        </w:rPr>
        <w:t>et al., </w:t>
      </w:r>
      <w:r>
        <w:rPr/>
        <w:t>1999). Aunque el ácido ruménico es sintetizado por las bacterias del rumen, su principal origen en la grasa de la leche proviene de la síntesis endógena en la glándula mamaria por la acción de la enzima ∆</w:t>
      </w:r>
      <w:r>
        <w:rPr>
          <w:position w:val="11"/>
          <w:sz w:val="16"/>
        </w:rPr>
        <w:t>9</w:t>
      </w:r>
      <w:r>
        <w:rPr/>
        <w:t>-desaturaza a</w:t>
      </w:r>
    </w:p>
    <w:p>
      <w:pPr>
        <w:spacing w:after="0" w:line="355" w:lineRule="auto"/>
        <w:jc w:val="both"/>
        <w:sectPr>
          <w:footerReference w:type="default" r:id="rId17"/>
          <w:pgSz w:w="12240" w:h="15840"/>
          <w:pgMar w:footer="1382" w:header="1150" w:top="1420" w:bottom="1580" w:left="1360" w:right="1420"/>
          <w:pgNumType w:start="21"/>
        </w:sectPr>
      </w:pPr>
    </w:p>
    <w:p>
      <w:pPr>
        <w:pStyle w:val="BodyText"/>
        <w:spacing w:before="3"/>
        <w:rPr>
          <w:sz w:val="27"/>
        </w:rPr>
      </w:pPr>
    </w:p>
    <w:p>
      <w:pPr>
        <w:pStyle w:val="BodyText"/>
        <w:spacing w:line="360" w:lineRule="auto" w:before="69"/>
        <w:ind w:left="512" w:right="101"/>
        <w:jc w:val="both"/>
      </w:pPr>
      <w:r>
        <w:rPr/>
        <w:t>partir del precursor C18:1 </w:t>
      </w:r>
      <w:r>
        <w:rPr>
          <w:i/>
        </w:rPr>
        <w:t>trans</w:t>
      </w:r>
      <w:r>
        <w:rPr/>
        <w:t>11, un intermediario formado por biohidrogenación en </w:t>
      </w:r>
      <w:r>
        <w:rPr>
          <w:spacing w:val="4"/>
        </w:rPr>
        <w:t>el </w:t>
      </w:r>
      <w:r>
        <w:rPr/>
        <w:t>rumen a partir de ácido linoleico y linolénico (Griinari </w:t>
      </w:r>
      <w:r>
        <w:rPr>
          <w:i/>
        </w:rPr>
        <w:t>et al., </w:t>
      </w:r>
      <w:r>
        <w:rPr/>
        <w:t>2000; Corl </w:t>
      </w:r>
      <w:r>
        <w:rPr>
          <w:i/>
        </w:rPr>
        <w:t>et al., </w:t>
      </w:r>
      <w:r>
        <w:rPr/>
        <w:t>2001). La concentración de esta enzima en </w:t>
      </w:r>
      <w:r>
        <w:rPr>
          <w:spacing w:val="-3"/>
        </w:rPr>
        <w:t>la </w:t>
      </w:r>
      <w:r>
        <w:rPr/>
        <w:t>glándula mamaria y </w:t>
      </w:r>
      <w:r>
        <w:rPr>
          <w:spacing w:val="-3"/>
        </w:rPr>
        <w:t>la </w:t>
      </w:r>
      <w:r>
        <w:rPr/>
        <w:t>biohidrogenación del ácido linoleico por </w:t>
      </w:r>
      <w:r>
        <w:rPr>
          <w:spacing w:val="-5"/>
        </w:rPr>
        <w:t>la </w:t>
      </w:r>
      <w:r>
        <w:rPr/>
        <w:t>población microbiana ruminal son procesos metabólicos sumamente variables y pueden estar afectados por factores inherentes a </w:t>
      </w:r>
      <w:r>
        <w:rPr>
          <w:spacing w:val="-5"/>
        </w:rPr>
        <w:t>la </w:t>
      </w:r>
      <w:r>
        <w:rPr/>
        <w:t>dieta consumida </w:t>
      </w:r>
      <w:r>
        <w:rPr>
          <w:spacing w:val="4"/>
        </w:rPr>
        <w:t>por </w:t>
      </w:r>
      <w:r>
        <w:rPr/>
        <w:t>el animal, debido al efecto sobre </w:t>
      </w:r>
      <w:r>
        <w:rPr>
          <w:spacing w:val="-4"/>
        </w:rPr>
        <w:t>las </w:t>
      </w:r>
      <w:r>
        <w:rPr/>
        <w:t>bacterias ruminales involucradas en </w:t>
      </w:r>
      <w:r>
        <w:rPr>
          <w:spacing w:val="-3"/>
        </w:rPr>
        <w:t>la </w:t>
      </w:r>
      <w:r>
        <w:rPr/>
        <w:t>biohidrogenación  o por cambios en el ambiente ruminal atribuidos principalmente al tipo de dieta, al complemento y a </w:t>
      </w:r>
      <w:r>
        <w:rPr>
          <w:spacing w:val="-3"/>
        </w:rPr>
        <w:t>la </w:t>
      </w:r>
      <w:r>
        <w:rPr/>
        <w:t>relación forraje-concentrado </w:t>
      </w:r>
      <w:r>
        <w:rPr>
          <w:spacing w:val="-3"/>
        </w:rPr>
        <w:t>de </w:t>
      </w:r>
      <w:r>
        <w:rPr>
          <w:spacing w:val="-5"/>
        </w:rPr>
        <w:t>la </w:t>
      </w:r>
      <w:r>
        <w:rPr/>
        <w:t>dieta (Bauman </w:t>
      </w:r>
      <w:r>
        <w:rPr>
          <w:i/>
        </w:rPr>
        <w:t>et al., </w:t>
      </w:r>
      <w:r>
        <w:rPr/>
        <w:t>2001; Bargo </w:t>
      </w:r>
      <w:r>
        <w:rPr>
          <w:i/>
        </w:rPr>
        <w:t>et </w:t>
      </w:r>
      <w:r>
        <w:rPr>
          <w:i/>
        </w:rPr>
        <w:t>al., </w:t>
      </w:r>
      <w:r>
        <w:rPr/>
        <w:t>2006; Morales-Almaráz </w:t>
      </w:r>
      <w:r>
        <w:rPr>
          <w:i/>
        </w:rPr>
        <w:t>et al</w:t>
      </w:r>
      <w:r>
        <w:rPr/>
        <w:t>.,</w:t>
      </w:r>
      <w:r>
        <w:rPr>
          <w:spacing w:val="-8"/>
        </w:rPr>
        <w:t> </w:t>
      </w:r>
      <w:r>
        <w:rPr/>
        <w:t>2010).</w:t>
      </w:r>
    </w:p>
    <w:p>
      <w:pPr>
        <w:pStyle w:val="Heading1"/>
        <w:numPr>
          <w:ilvl w:val="1"/>
          <w:numId w:val="4"/>
        </w:numPr>
        <w:tabs>
          <w:tab w:pos="1277" w:val="left" w:leader="none"/>
        </w:tabs>
        <w:spacing w:line="240" w:lineRule="auto" w:before="211" w:after="0"/>
        <w:ind w:left="1276" w:right="0" w:hanging="403"/>
        <w:jc w:val="left"/>
      </w:pPr>
      <w:bookmarkStart w:name="_TOC_250039" w:id="27"/>
      <w:r>
        <w:rPr/>
        <w:t>Efectos del CLA en </w:t>
      </w:r>
      <w:r>
        <w:rPr>
          <w:spacing w:val="-3"/>
        </w:rPr>
        <w:t>la </w:t>
      </w:r>
      <w:r>
        <w:rPr/>
        <w:t>salud</w:t>
      </w:r>
      <w:r>
        <w:rPr>
          <w:spacing w:val="-9"/>
        </w:rPr>
        <w:t> </w:t>
      </w:r>
      <w:bookmarkEnd w:id="27"/>
      <w:r>
        <w:rPr/>
        <w:t>humana</w:t>
      </w:r>
    </w:p>
    <w:p>
      <w:pPr>
        <w:pStyle w:val="BodyText"/>
        <w:spacing w:before="4"/>
        <w:rPr>
          <w:b/>
          <w:sz w:val="29"/>
        </w:rPr>
      </w:pPr>
    </w:p>
    <w:p>
      <w:pPr>
        <w:pStyle w:val="BodyText"/>
        <w:spacing w:line="360" w:lineRule="auto" w:before="1"/>
        <w:ind w:left="512" w:right="102"/>
        <w:jc w:val="both"/>
      </w:pPr>
      <w:r>
        <w:rPr/>
        <w:t>Una estrategia para mejorar </w:t>
      </w:r>
      <w:r>
        <w:rPr>
          <w:spacing w:val="-3"/>
        </w:rPr>
        <w:t>la </w:t>
      </w:r>
      <w:r>
        <w:rPr/>
        <w:t>salud humana y por </w:t>
      </w:r>
      <w:r>
        <w:rPr>
          <w:spacing w:val="-5"/>
        </w:rPr>
        <w:t>lo </w:t>
      </w:r>
      <w:r>
        <w:rPr/>
        <w:t>tanto </w:t>
      </w:r>
      <w:r>
        <w:rPr>
          <w:spacing w:val="-5"/>
        </w:rPr>
        <w:t>la </w:t>
      </w:r>
      <w:r>
        <w:rPr/>
        <w:t>calidad de vida, es el mejorar el contenido nutricional de los alimentos que consumimos. Ahora bien en </w:t>
      </w:r>
      <w:r>
        <w:rPr>
          <w:spacing w:val="-3"/>
        </w:rPr>
        <w:t>la </w:t>
      </w:r>
      <w:r>
        <w:rPr/>
        <w:t>actualidad se han descubierto que ciertos alimentos “nutracéuticos” llamados así porque algunos de sus componentes tienen efectos benéficos sobre </w:t>
      </w:r>
      <w:r>
        <w:rPr>
          <w:spacing w:val="-5"/>
        </w:rPr>
        <w:t>la </w:t>
      </w:r>
      <w:r>
        <w:rPr/>
        <w:t>salud del consumidor y esto </w:t>
      </w:r>
      <w:r>
        <w:rPr>
          <w:spacing w:val="-3"/>
        </w:rPr>
        <w:t>ha </w:t>
      </w:r>
      <w:r>
        <w:rPr/>
        <w:t>motivado a </w:t>
      </w:r>
      <w:r>
        <w:rPr>
          <w:spacing w:val="-5"/>
        </w:rPr>
        <w:t>la </w:t>
      </w:r>
      <w:r>
        <w:rPr/>
        <w:t>investigación para descubrir los métodos para incrementar los contenidos de estos nutrientes y así poder ofrecer un producto con una </w:t>
      </w:r>
      <w:r>
        <w:rPr>
          <w:spacing w:val="-3"/>
        </w:rPr>
        <w:t>mejor </w:t>
      </w:r>
      <w:r>
        <w:rPr/>
        <w:t>calidad nutricional. </w:t>
      </w:r>
      <w:r>
        <w:rPr>
          <w:spacing w:val="-3"/>
        </w:rPr>
        <w:t>Bajo </w:t>
      </w:r>
      <w:r>
        <w:rPr/>
        <w:t>este contexto, </w:t>
      </w:r>
      <w:r>
        <w:rPr>
          <w:spacing w:val="-5"/>
        </w:rPr>
        <w:t>la </w:t>
      </w:r>
      <w:r>
        <w:rPr/>
        <w:t>leche contiene ciertos </w:t>
      </w:r>
      <w:r>
        <w:rPr>
          <w:spacing w:val="-3"/>
        </w:rPr>
        <w:t>AG </w:t>
      </w:r>
      <w:r>
        <w:rPr/>
        <w:t>como el CLA con diferentes propiedades, se han publicado diferentes trabajos en los que se estudian los efectos de sus diferentes isómeros sobre </w:t>
      </w:r>
      <w:r>
        <w:rPr>
          <w:spacing w:val="-5"/>
        </w:rPr>
        <w:t>la </w:t>
      </w:r>
      <w:r>
        <w:rPr/>
        <w:t>carcinogénesis, condición corporal, sistema inmune y prevención de diabetes mellitus (Pariza, 1999). Entre los efectos positivos de los isómeros del CLA en modelos experimentales están </w:t>
      </w:r>
      <w:r>
        <w:rPr>
          <w:spacing w:val="-5"/>
        </w:rPr>
        <w:t>la </w:t>
      </w:r>
      <w:r>
        <w:rPr/>
        <w:t>reducción de </w:t>
      </w:r>
      <w:r>
        <w:rPr>
          <w:spacing w:val="-3"/>
        </w:rPr>
        <w:t>la </w:t>
      </w:r>
      <w:r>
        <w:rPr/>
        <w:t>acumulación de grasa corporal y efectos antioxidantes (Park </w:t>
      </w:r>
      <w:r>
        <w:rPr>
          <w:i/>
        </w:rPr>
        <w:t>et al</w:t>
      </w:r>
      <w:r>
        <w:rPr/>
        <w:t>., 1997), reducción del desarrollo de aterosclerosis (Lee </w:t>
      </w:r>
      <w:r>
        <w:rPr>
          <w:i/>
        </w:rPr>
        <w:t>et  al., </w:t>
      </w:r>
      <w:r>
        <w:rPr/>
        <w:t>1994) efectos antidiabéticos, aumento de </w:t>
      </w:r>
      <w:r>
        <w:rPr>
          <w:spacing w:val="-5"/>
        </w:rPr>
        <w:t>la </w:t>
      </w:r>
      <w:r>
        <w:rPr/>
        <w:t>mineralización ósea y </w:t>
      </w:r>
      <w:r>
        <w:rPr>
          <w:spacing w:val="-5"/>
        </w:rPr>
        <w:t>la </w:t>
      </w:r>
      <w:r>
        <w:rPr/>
        <w:t>modulación de sistema inmune (Belury, 1995; Banni y Martin, 1998; Houseknecht </w:t>
      </w:r>
      <w:r>
        <w:rPr>
          <w:i/>
        </w:rPr>
        <w:t>et al., </w:t>
      </w:r>
      <w:r>
        <w:rPr/>
        <w:t>1998) y supresión de </w:t>
      </w:r>
      <w:r>
        <w:rPr>
          <w:spacing w:val="-5"/>
        </w:rPr>
        <w:t>la </w:t>
      </w:r>
      <w:r>
        <w:rPr/>
        <w:t>carcinogénesis (Ip </w:t>
      </w:r>
      <w:r>
        <w:rPr>
          <w:i/>
        </w:rPr>
        <w:t>et al</w:t>
      </w:r>
      <w:r>
        <w:rPr/>
        <w:t>.,</w:t>
      </w:r>
      <w:r>
        <w:rPr>
          <w:spacing w:val="-7"/>
        </w:rPr>
        <w:t> </w:t>
      </w:r>
      <w:r>
        <w:rPr/>
        <w:t>1994).</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Heading1"/>
        <w:numPr>
          <w:ilvl w:val="2"/>
          <w:numId w:val="4"/>
        </w:numPr>
        <w:tabs>
          <w:tab w:pos="1592" w:val="left" w:leader="none"/>
          <w:tab w:pos="1593" w:val="left" w:leader="none"/>
        </w:tabs>
        <w:spacing w:line="240" w:lineRule="auto" w:before="69" w:after="0"/>
        <w:ind w:left="1593" w:right="0" w:hanging="720"/>
        <w:jc w:val="left"/>
      </w:pPr>
      <w:bookmarkStart w:name="_TOC_250038" w:id="28"/>
      <w:r>
        <w:rPr/>
        <w:t>Propiedades</w:t>
      </w:r>
      <w:r>
        <w:rPr>
          <w:spacing w:val="-13"/>
        </w:rPr>
        <w:t> </w:t>
      </w:r>
      <w:bookmarkEnd w:id="28"/>
      <w:r>
        <w:rPr/>
        <w:t>anticarcinogénicas</w:t>
      </w:r>
    </w:p>
    <w:p>
      <w:pPr>
        <w:pStyle w:val="BodyText"/>
        <w:spacing w:before="5"/>
        <w:rPr>
          <w:b/>
          <w:sz w:val="29"/>
        </w:rPr>
      </w:pPr>
    </w:p>
    <w:p>
      <w:pPr>
        <w:pStyle w:val="BodyText"/>
        <w:spacing w:line="360" w:lineRule="auto"/>
        <w:ind w:left="512" w:right="100"/>
        <w:jc w:val="both"/>
      </w:pPr>
      <w:r>
        <w:rPr/>
        <w:t>El ácido ruménico (CLA </w:t>
      </w:r>
      <w:r>
        <w:rPr>
          <w:i/>
        </w:rPr>
        <w:t>cis</w:t>
      </w:r>
      <w:r>
        <w:rPr/>
        <w:t>-9 </w:t>
      </w:r>
      <w:r>
        <w:rPr>
          <w:i/>
        </w:rPr>
        <w:t>trans</w:t>
      </w:r>
      <w:r>
        <w:rPr/>
        <w:t>-11) es el isómero de CLA </w:t>
      </w:r>
      <w:r>
        <w:rPr>
          <w:spacing w:val="-3"/>
        </w:rPr>
        <w:t>más </w:t>
      </w:r>
      <w:r>
        <w:rPr/>
        <w:t>abundante en </w:t>
      </w:r>
      <w:r>
        <w:rPr>
          <w:spacing w:val="-5"/>
        </w:rPr>
        <w:t>la </w:t>
      </w:r>
      <w:r>
        <w:rPr/>
        <w:t>leche y constituye el único </w:t>
      </w:r>
      <w:r>
        <w:rPr>
          <w:spacing w:val="-3"/>
        </w:rPr>
        <w:t>AG </w:t>
      </w:r>
      <w:r>
        <w:rPr/>
        <w:t>capaz de </w:t>
      </w:r>
      <w:r>
        <w:rPr>
          <w:spacing w:val="-3"/>
        </w:rPr>
        <w:t>inhibir la </w:t>
      </w:r>
      <w:r>
        <w:rPr/>
        <w:t>carcinogénesis en animales experimentales, Ip </w:t>
      </w:r>
      <w:r>
        <w:rPr>
          <w:i/>
        </w:rPr>
        <w:t>et </w:t>
      </w:r>
      <w:r>
        <w:rPr>
          <w:i/>
        </w:rPr>
        <w:t>al</w:t>
      </w:r>
      <w:r>
        <w:rPr/>
        <w:t>. (1991) indujeron </w:t>
      </w:r>
      <w:r>
        <w:rPr>
          <w:spacing w:val="-5"/>
        </w:rPr>
        <w:t>la </w:t>
      </w:r>
      <w:r>
        <w:rPr/>
        <w:t>producción de tumores mamarios en ratas por </w:t>
      </w:r>
      <w:r>
        <w:rPr>
          <w:spacing w:val="-4"/>
        </w:rPr>
        <w:t>medio</w:t>
      </w:r>
      <w:r>
        <w:rPr>
          <w:spacing w:val="52"/>
        </w:rPr>
        <w:t> </w:t>
      </w:r>
      <w:r>
        <w:rPr/>
        <w:t>de en compuesto </w:t>
      </w:r>
      <w:r>
        <w:rPr>
          <w:spacing w:val="-3"/>
        </w:rPr>
        <w:t>aromático </w:t>
      </w:r>
      <w:r>
        <w:rPr/>
        <w:t>carcinogénico, con </w:t>
      </w:r>
      <w:r>
        <w:rPr>
          <w:spacing w:val="-5"/>
        </w:rPr>
        <w:t>la </w:t>
      </w:r>
      <w:r>
        <w:rPr/>
        <w:t>incorporación de grasa enriquecida  con distintos niveles de CLA en </w:t>
      </w:r>
      <w:r>
        <w:rPr>
          <w:spacing w:val="-5"/>
        </w:rPr>
        <w:t>la </w:t>
      </w:r>
      <w:r>
        <w:rPr/>
        <w:t>dieta de </w:t>
      </w:r>
      <w:r>
        <w:rPr>
          <w:spacing w:val="-3"/>
        </w:rPr>
        <w:t>las </w:t>
      </w:r>
      <w:r>
        <w:rPr/>
        <w:t>ratas, demostraron efectos significativos sobre </w:t>
      </w:r>
      <w:r>
        <w:rPr>
          <w:spacing w:val="-5"/>
        </w:rPr>
        <w:t>la </w:t>
      </w:r>
      <w:r>
        <w:rPr/>
        <w:t>reducción de los tumores, además se demostró que está condicionada por </w:t>
      </w:r>
      <w:r>
        <w:rPr>
          <w:spacing w:val="-5"/>
        </w:rPr>
        <w:t>la </w:t>
      </w:r>
      <w:r>
        <w:rPr/>
        <w:t>dosis de CLA utilizada en </w:t>
      </w:r>
      <w:r>
        <w:rPr>
          <w:spacing w:val="-5"/>
        </w:rPr>
        <w:t>la </w:t>
      </w:r>
      <w:r>
        <w:rPr/>
        <w:t>dieta. La reducción de los tumores fue de un 32 y 56 % con dietas de 0.5 y 1.5% de CLA en </w:t>
      </w:r>
      <w:r>
        <w:rPr>
          <w:spacing w:val="-3"/>
        </w:rPr>
        <w:t>la </w:t>
      </w:r>
      <w:r>
        <w:rPr/>
        <w:t>dieta, respectivamente. A partir de dosis de CLA de 1%, </w:t>
      </w:r>
      <w:r>
        <w:rPr>
          <w:spacing w:val="-3"/>
        </w:rPr>
        <w:t>no </w:t>
      </w:r>
      <w:r>
        <w:rPr/>
        <w:t>se observaron correlaciones entre </w:t>
      </w:r>
      <w:r>
        <w:rPr>
          <w:spacing w:val="-5"/>
        </w:rPr>
        <w:t>la </w:t>
      </w:r>
      <w:r>
        <w:rPr/>
        <w:t>dosis y </w:t>
      </w:r>
      <w:r>
        <w:rPr>
          <w:spacing w:val="-3"/>
        </w:rPr>
        <w:t>la </w:t>
      </w:r>
      <w:r>
        <w:rPr/>
        <w:t>respuesta del animal, pero tampoco se observaron efectos negativos. Ip </w:t>
      </w:r>
      <w:r>
        <w:rPr>
          <w:i/>
        </w:rPr>
        <w:t>et al</w:t>
      </w:r>
      <w:r>
        <w:rPr/>
        <w:t>. (1994), señalan que pequeñas cantidades de CLA son eficientes para reducir </w:t>
      </w:r>
      <w:r>
        <w:rPr>
          <w:spacing w:val="-5"/>
        </w:rPr>
        <w:t>la </w:t>
      </w:r>
      <w:r>
        <w:rPr/>
        <w:t>eficiencia y numero de tumores mamarios, 0.1% de CLA en </w:t>
      </w:r>
      <w:r>
        <w:rPr>
          <w:spacing w:val="-3"/>
        </w:rPr>
        <w:t>la </w:t>
      </w:r>
      <w:r>
        <w:rPr/>
        <w:t>dieta reduce el número total de tumores encontrados a </w:t>
      </w:r>
      <w:r>
        <w:rPr>
          <w:spacing w:val="-5"/>
        </w:rPr>
        <w:t>la </w:t>
      </w:r>
      <w:r>
        <w:rPr/>
        <w:t>necropsia en tratamientos con roedores a partir del destete y hasta los cinco meses de</w:t>
      </w:r>
      <w:r>
        <w:rPr>
          <w:spacing w:val="-16"/>
        </w:rPr>
        <w:t> </w:t>
      </w:r>
      <w:r>
        <w:rPr/>
        <w:t>edad.</w:t>
      </w:r>
    </w:p>
    <w:p>
      <w:pPr>
        <w:pStyle w:val="BodyText"/>
        <w:spacing w:line="360" w:lineRule="auto" w:before="210"/>
        <w:ind w:left="512" w:right="104"/>
        <w:jc w:val="both"/>
      </w:pPr>
      <w:r>
        <w:rPr/>
        <w:t>Los mecanismos de acción del CLA sobre </w:t>
      </w:r>
      <w:r>
        <w:rPr>
          <w:spacing w:val="-5"/>
        </w:rPr>
        <w:t>la </w:t>
      </w:r>
      <w:r>
        <w:rPr/>
        <w:t>carcinogénesis mamaria indican que el CLA </w:t>
      </w:r>
      <w:r>
        <w:rPr>
          <w:spacing w:val="-3"/>
        </w:rPr>
        <w:t>no </w:t>
      </w:r>
      <w:r>
        <w:rPr/>
        <w:t>afecta al nivel total de fosfolípidos en el tejido mamario, sino que disminuye </w:t>
      </w:r>
      <w:r>
        <w:rPr>
          <w:spacing w:val="-5"/>
        </w:rPr>
        <w:t>la </w:t>
      </w:r>
      <w:r>
        <w:rPr/>
        <w:t>densidad del epitelio mamario y </w:t>
      </w:r>
      <w:r>
        <w:rPr>
          <w:spacing w:val="-3"/>
        </w:rPr>
        <w:t>la </w:t>
      </w:r>
      <w:r>
        <w:rPr/>
        <w:t>síntesis de ADN tanto en los brotes de las terminaciones como en los brotes lóbuloalveolares (Thompson </w:t>
      </w:r>
      <w:r>
        <w:rPr>
          <w:i/>
        </w:rPr>
        <w:t>et al</w:t>
      </w:r>
      <w:r>
        <w:rPr/>
        <w:t>., 1997). Existen algunos trabajos que evidencian el efecto que </w:t>
      </w:r>
      <w:r>
        <w:rPr>
          <w:spacing w:val="-2"/>
        </w:rPr>
        <w:t>ejerce </w:t>
      </w:r>
      <w:r>
        <w:rPr/>
        <w:t>el CLA en los humanos contra el cáncer de mama (Visonneau </w:t>
      </w:r>
      <w:r>
        <w:rPr>
          <w:i/>
        </w:rPr>
        <w:t>et al</w:t>
      </w:r>
      <w:r>
        <w:rPr/>
        <w:t>., 1997; Aro </w:t>
      </w:r>
      <w:r>
        <w:rPr>
          <w:i/>
        </w:rPr>
        <w:t>et al., </w:t>
      </w:r>
      <w:r>
        <w:rPr/>
        <w:t>2000), aunque hay poca información disponible y probatoria de </w:t>
      </w:r>
      <w:r>
        <w:rPr>
          <w:spacing w:val="-3"/>
        </w:rPr>
        <w:t>la </w:t>
      </w:r>
      <w:r>
        <w:rPr/>
        <w:t>actividad anticancerígena en</w:t>
      </w:r>
      <w:r>
        <w:rPr>
          <w:spacing w:val="-15"/>
        </w:rPr>
        <w:t> </w:t>
      </w:r>
      <w:r>
        <w:rPr/>
        <w:t>humanos.</w:t>
      </w:r>
    </w:p>
    <w:p>
      <w:pPr>
        <w:pStyle w:val="Heading1"/>
        <w:numPr>
          <w:ilvl w:val="2"/>
          <w:numId w:val="4"/>
        </w:numPr>
        <w:tabs>
          <w:tab w:pos="1592" w:val="left" w:leader="none"/>
          <w:tab w:pos="1593" w:val="left" w:leader="none"/>
        </w:tabs>
        <w:spacing w:line="240" w:lineRule="auto" w:before="211" w:after="0"/>
        <w:ind w:left="1593" w:right="0" w:hanging="720"/>
        <w:jc w:val="left"/>
      </w:pPr>
      <w:bookmarkStart w:name="_TOC_250037" w:id="29"/>
      <w:r>
        <w:rPr/>
        <w:t>Efectos sobre </w:t>
      </w:r>
      <w:r>
        <w:rPr>
          <w:spacing w:val="-3"/>
        </w:rPr>
        <w:t>la</w:t>
      </w:r>
      <w:r>
        <w:rPr>
          <w:spacing w:val="-12"/>
        </w:rPr>
        <w:t> </w:t>
      </w:r>
      <w:bookmarkEnd w:id="29"/>
      <w:r>
        <w:rPr/>
        <w:t>aterosclerosis</w:t>
      </w:r>
    </w:p>
    <w:p>
      <w:pPr>
        <w:pStyle w:val="BodyText"/>
        <w:spacing w:before="4"/>
        <w:rPr>
          <w:b/>
          <w:sz w:val="29"/>
        </w:rPr>
      </w:pPr>
    </w:p>
    <w:p>
      <w:pPr>
        <w:pStyle w:val="BodyText"/>
        <w:spacing w:line="360" w:lineRule="auto" w:before="1"/>
        <w:ind w:left="512" w:right="104"/>
        <w:jc w:val="both"/>
      </w:pPr>
      <w:r>
        <w:rPr>
          <w:spacing w:val="2"/>
        </w:rPr>
        <w:t>Si </w:t>
      </w:r>
      <w:r>
        <w:rPr/>
        <w:t>bien las propiedades anticancerígenas del CLA han sido </w:t>
      </w:r>
      <w:r>
        <w:rPr>
          <w:spacing w:val="-3"/>
        </w:rPr>
        <w:t>las </w:t>
      </w:r>
      <w:r>
        <w:rPr/>
        <w:t>más estudiadas, también se han observado propiedades curativas sobre enfermedades degenerativas como </w:t>
      </w:r>
      <w:r>
        <w:rPr>
          <w:spacing w:val="-3"/>
        </w:rPr>
        <w:t>la </w:t>
      </w:r>
      <w:r>
        <w:rPr/>
        <w:t>aterosclerosis en animales de laboratorio. Lee </w:t>
      </w:r>
      <w:r>
        <w:rPr>
          <w:i/>
        </w:rPr>
        <w:t>et al. </w:t>
      </w:r>
      <w:r>
        <w:rPr/>
        <w:t>(1994) alimentaron durante  22  semanas a conejos con dietas aterogénicas con o sin CLA, observando reducciones notables de niveles de colesterol total,  lipoproteínas de baja densidad  (LDL)  y de triglicéridos   </w:t>
      </w:r>
      <w:r>
        <w:rPr>
          <w:spacing w:val="14"/>
        </w:rPr>
        <w:t> </w:t>
      </w:r>
      <w:r>
        <w:rPr/>
        <w:t>en</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6"/>
        <w:jc w:val="both"/>
      </w:pPr>
      <w:r>
        <w:rPr/>
        <w:t>plasma a partir de la semana doce. Los estudios histológicos revelaron que los animales tratados con CLA redujeron en un 12% las lesiones en la superficie de la aorta. Por otra parte, la evolución histológica del depósito de reservas de grasa en las aortas torácica y abdominal indicó menor incidencia de casos severos en animales suplementados con CLA en comparación con el grupo testigo.</w:t>
      </w:r>
    </w:p>
    <w:p>
      <w:pPr>
        <w:pStyle w:val="Heading1"/>
        <w:numPr>
          <w:ilvl w:val="2"/>
          <w:numId w:val="4"/>
        </w:numPr>
        <w:tabs>
          <w:tab w:pos="1592" w:val="left" w:leader="none"/>
          <w:tab w:pos="1593" w:val="left" w:leader="none"/>
        </w:tabs>
        <w:spacing w:line="240" w:lineRule="auto" w:before="210" w:after="0"/>
        <w:ind w:left="1593" w:right="0" w:hanging="720"/>
        <w:jc w:val="left"/>
      </w:pPr>
      <w:bookmarkStart w:name="_TOC_250036" w:id="30"/>
      <w:r>
        <w:rPr/>
        <w:t>Efecto antidiabético y sobre el control de </w:t>
      </w:r>
      <w:r>
        <w:rPr>
          <w:spacing w:val="-3"/>
        </w:rPr>
        <w:t>la</w:t>
      </w:r>
      <w:r>
        <w:rPr>
          <w:spacing w:val="-13"/>
        </w:rPr>
        <w:t> </w:t>
      </w:r>
      <w:bookmarkEnd w:id="30"/>
      <w:r>
        <w:rPr/>
        <w:t>obesidad</w:t>
      </w:r>
    </w:p>
    <w:p>
      <w:pPr>
        <w:pStyle w:val="BodyText"/>
        <w:spacing w:before="4"/>
        <w:rPr>
          <w:b/>
          <w:sz w:val="29"/>
        </w:rPr>
      </w:pPr>
    </w:p>
    <w:p>
      <w:pPr>
        <w:pStyle w:val="BodyText"/>
        <w:spacing w:line="360" w:lineRule="auto" w:before="1"/>
        <w:ind w:left="512" w:right="106"/>
        <w:jc w:val="both"/>
      </w:pPr>
      <w:r>
        <w:rPr/>
        <w:t>El efecto antidiabético atribuido al CLA es confuso por </w:t>
      </w:r>
      <w:r>
        <w:rPr>
          <w:spacing w:val="-3"/>
        </w:rPr>
        <w:t>las </w:t>
      </w:r>
      <w:r>
        <w:rPr/>
        <w:t>diferencias observadas en las respuestas de distintas especies. Belury y Vanden Heuvel (1999) en un estudio en ratas obesas y diabéticas observaron que animales alimentados con CLA restablecieron </w:t>
      </w:r>
      <w:r>
        <w:rPr>
          <w:spacing w:val="-5"/>
        </w:rPr>
        <w:t>la </w:t>
      </w:r>
      <w:r>
        <w:rPr/>
        <w:t>sensibilidad a </w:t>
      </w:r>
      <w:r>
        <w:rPr>
          <w:spacing w:val="-5"/>
        </w:rPr>
        <w:t>la </w:t>
      </w:r>
      <w:r>
        <w:rPr/>
        <w:t>insulina. Por otro lado, estudios en humanos reportan en pacientes obesos que los niveles de insulina y glucosa en el plasma </w:t>
      </w:r>
      <w:r>
        <w:rPr>
          <w:spacing w:val="-3"/>
        </w:rPr>
        <w:t>no  </w:t>
      </w:r>
      <w:r>
        <w:rPr/>
        <w:t>cambiaron comparando un grupo  </w:t>
      </w:r>
      <w:r>
        <w:rPr>
          <w:spacing w:val="51"/>
        </w:rPr>
        <w:t> </w:t>
      </w:r>
      <w:r>
        <w:rPr/>
        <w:t>de</w:t>
      </w:r>
    </w:p>
    <w:p>
      <w:pPr>
        <w:pStyle w:val="BodyText"/>
        <w:spacing w:line="280" w:lineRule="exact"/>
        <w:ind w:left="512"/>
        <w:jc w:val="both"/>
      </w:pPr>
      <w:r>
        <w:rPr/>
        <w:t>individuos alimentados con complementos de CLA (3.0 g/d</w:t>
      </w:r>
      <w:r>
        <w:rPr>
          <w:position w:val="11"/>
          <w:sz w:val="16"/>
        </w:rPr>
        <w:t>-1</w:t>
      </w:r>
      <w:r>
        <w:rPr/>
        <w:t>) con un grupo control  (Pariza</w:t>
      </w:r>
    </w:p>
    <w:p>
      <w:pPr>
        <w:pStyle w:val="BodyText"/>
        <w:spacing w:line="360" w:lineRule="auto" w:before="137"/>
        <w:ind w:left="512" w:right="105"/>
        <w:jc w:val="both"/>
      </w:pPr>
      <w:r>
        <w:rPr>
          <w:i/>
        </w:rPr>
        <w:t>et al., </w:t>
      </w:r>
      <w:r>
        <w:rPr/>
        <w:t>2001). Se </w:t>
      </w:r>
      <w:r>
        <w:rPr>
          <w:spacing w:val="-3"/>
        </w:rPr>
        <w:t>ha </w:t>
      </w:r>
      <w:r>
        <w:rPr/>
        <w:t>demostrado que el CLA puede mejorar </w:t>
      </w:r>
      <w:r>
        <w:rPr>
          <w:spacing w:val="-5"/>
        </w:rPr>
        <w:t>la </w:t>
      </w:r>
      <w:r>
        <w:rPr/>
        <w:t>homeostasis de </w:t>
      </w:r>
      <w:r>
        <w:rPr>
          <w:spacing w:val="-3"/>
        </w:rPr>
        <w:t>la </w:t>
      </w:r>
      <w:r>
        <w:rPr/>
        <w:t>glucosa e inhibir </w:t>
      </w:r>
      <w:r>
        <w:rPr>
          <w:spacing w:val="-3"/>
        </w:rPr>
        <w:t>la </w:t>
      </w:r>
      <w:r>
        <w:rPr/>
        <w:t>acumulación de grasa en los organismos como ratones, ratas y cerdos, por </w:t>
      </w:r>
      <w:r>
        <w:rPr>
          <w:spacing w:val="-5"/>
        </w:rPr>
        <w:t>lo </w:t>
      </w:r>
      <w:r>
        <w:rPr/>
        <w:t>tanto tendría que ser efectivo en el caso de humanos padeciendo diabetes (McGuire y McGuire 2000), por </w:t>
      </w:r>
      <w:r>
        <w:rPr>
          <w:spacing w:val="-5"/>
        </w:rPr>
        <w:t>lo </w:t>
      </w:r>
      <w:r>
        <w:rPr/>
        <w:t>que se requiere de </w:t>
      </w:r>
      <w:r>
        <w:rPr>
          <w:spacing w:val="-3"/>
        </w:rPr>
        <w:t>más </w:t>
      </w:r>
      <w:r>
        <w:rPr/>
        <w:t>investigación en el área para poder tener </w:t>
      </w:r>
      <w:r>
        <w:rPr>
          <w:spacing w:val="-4"/>
        </w:rPr>
        <w:t>más </w:t>
      </w:r>
      <w:r>
        <w:rPr/>
        <w:t>claro </w:t>
      </w:r>
      <w:r>
        <w:rPr>
          <w:spacing w:val="-4"/>
        </w:rPr>
        <w:t>las</w:t>
      </w:r>
      <w:r>
        <w:rPr>
          <w:spacing w:val="52"/>
        </w:rPr>
        <w:t> </w:t>
      </w:r>
      <w:r>
        <w:rPr/>
        <w:t>propiedades del CLA en este tema.</w:t>
      </w:r>
    </w:p>
    <w:p>
      <w:pPr>
        <w:pStyle w:val="BodyText"/>
        <w:spacing w:line="360" w:lineRule="auto" w:before="210"/>
        <w:ind w:left="512" w:right="100"/>
        <w:jc w:val="both"/>
      </w:pPr>
      <w:r>
        <w:rPr/>
        <w:t>El isómero C18:2 </w:t>
      </w:r>
      <w:r>
        <w:rPr>
          <w:i/>
        </w:rPr>
        <w:t>trans-</w:t>
      </w:r>
      <w:r>
        <w:rPr/>
        <w:t>10 </w:t>
      </w:r>
      <w:r>
        <w:rPr>
          <w:i/>
        </w:rPr>
        <w:t>cis-</w:t>
      </w:r>
      <w:r>
        <w:rPr/>
        <w:t>12 </w:t>
      </w:r>
      <w:r>
        <w:rPr>
          <w:spacing w:val="-3"/>
        </w:rPr>
        <w:t>ha </w:t>
      </w:r>
      <w:r>
        <w:rPr/>
        <w:t>demostrado disminuir </w:t>
      </w:r>
      <w:r>
        <w:rPr>
          <w:spacing w:val="-5"/>
        </w:rPr>
        <w:t>la </w:t>
      </w:r>
      <w:r>
        <w:rPr/>
        <w:t>grasa (Park </w:t>
      </w:r>
      <w:r>
        <w:rPr>
          <w:i/>
        </w:rPr>
        <w:t>et al., </w:t>
      </w:r>
      <w:r>
        <w:rPr/>
        <w:t>1999). Se supone que este efecto se debe principalmente a una reducción de </w:t>
      </w:r>
      <w:r>
        <w:rPr>
          <w:spacing w:val="-5"/>
        </w:rPr>
        <w:t>la </w:t>
      </w:r>
      <w:r>
        <w:rPr/>
        <w:t>absorción de lípidos por parte de los adipocitos (Evans </w:t>
      </w:r>
      <w:r>
        <w:rPr>
          <w:i/>
        </w:rPr>
        <w:t>et al., </w:t>
      </w:r>
      <w:r>
        <w:rPr/>
        <w:t>2002), pero otros autores indican que se debe a </w:t>
      </w:r>
      <w:r>
        <w:rPr>
          <w:spacing w:val="-3"/>
        </w:rPr>
        <w:t>la </w:t>
      </w:r>
      <w:r>
        <w:rPr/>
        <w:t>acción directa del isómero y </w:t>
      </w:r>
      <w:r>
        <w:rPr>
          <w:spacing w:val="-3"/>
        </w:rPr>
        <w:t>no </w:t>
      </w:r>
      <w:r>
        <w:rPr/>
        <w:t>a </w:t>
      </w:r>
      <w:r>
        <w:rPr>
          <w:spacing w:val="-5"/>
        </w:rPr>
        <w:t>la </w:t>
      </w:r>
      <w:r>
        <w:rPr/>
        <w:t>del metabolito (Pariza </w:t>
      </w:r>
      <w:r>
        <w:rPr>
          <w:i/>
        </w:rPr>
        <w:t>et al.,</w:t>
      </w:r>
      <w:r>
        <w:rPr>
          <w:i/>
          <w:spacing w:val="2"/>
        </w:rPr>
        <w:t> </w:t>
      </w:r>
      <w:r>
        <w:rPr/>
        <w:t>2001).</w:t>
      </w:r>
    </w:p>
    <w:p>
      <w:pPr>
        <w:pStyle w:val="Heading1"/>
        <w:numPr>
          <w:ilvl w:val="2"/>
          <w:numId w:val="4"/>
        </w:numPr>
        <w:tabs>
          <w:tab w:pos="1592" w:val="left" w:leader="none"/>
          <w:tab w:pos="1593" w:val="left" w:leader="none"/>
        </w:tabs>
        <w:spacing w:line="240" w:lineRule="auto" w:before="211" w:after="0"/>
        <w:ind w:left="1593" w:right="0" w:hanging="720"/>
        <w:jc w:val="left"/>
      </w:pPr>
      <w:bookmarkStart w:name="_TOC_250035" w:id="31"/>
      <w:r>
        <w:rPr/>
        <w:t>Efectos sobre el sistema inmunitario y </w:t>
      </w:r>
      <w:r>
        <w:rPr>
          <w:spacing w:val="-3"/>
        </w:rPr>
        <w:t>la </w:t>
      </w:r>
      <w:r>
        <w:rPr/>
        <w:t>mineralización</w:t>
      </w:r>
      <w:r>
        <w:rPr>
          <w:spacing w:val="-20"/>
        </w:rPr>
        <w:t> </w:t>
      </w:r>
      <w:bookmarkEnd w:id="31"/>
      <w:r>
        <w:rPr/>
        <w:t>ósea</w:t>
      </w:r>
    </w:p>
    <w:p>
      <w:pPr>
        <w:pStyle w:val="BodyText"/>
        <w:spacing w:before="4"/>
        <w:rPr>
          <w:b/>
          <w:sz w:val="29"/>
        </w:rPr>
      </w:pPr>
    </w:p>
    <w:p>
      <w:pPr>
        <w:pStyle w:val="BodyText"/>
        <w:spacing w:line="360" w:lineRule="auto" w:before="1"/>
        <w:ind w:left="512" w:right="107"/>
        <w:jc w:val="both"/>
        <w:rPr>
          <w:i/>
        </w:rPr>
      </w:pPr>
      <w:r>
        <w:rPr/>
        <w:t>En estudios </w:t>
      </w:r>
      <w:r>
        <w:rPr>
          <w:i/>
        </w:rPr>
        <w:t>in vitro </w:t>
      </w:r>
      <w:r>
        <w:rPr/>
        <w:t>de linfocitos porcinos que se les administró CLA se incrementó la blastogénesis de linfocitos, la actividad citotóxica y la capacidad letal de los macrófagos (Michal </w:t>
      </w:r>
      <w:r>
        <w:rPr>
          <w:i/>
        </w:rPr>
        <w:t>et al., </w:t>
      </w:r>
      <w:r>
        <w:rPr/>
        <w:t>1996). En ratones se ha observado un incremento de la actividad fagocitaria de los macrófagos en animales alimentados con dietas adicionadas con CLA (Cook    </w:t>
      </w:r>
      <w:r>
        <w:rPr>
          <w:i/>
        </w:rPr>
        <w:t>et al.,</w:t>
      </w:r>
    </w:p>
    <w:p>
      <w:pPr>
        <w:spacing w:after="0" w:line="360" w:lineRule="auto"/>
        <w:jc w:val="both"/>
        <w:sectPr>
          <w:pgSz w:w="12240" w:h="15840"/>
          <w:pgMar w:header="1150" w:footer="1382" w:top="1420" w:bottom="1580" w:left="1360" w:right="1420"/>
        </w:sectPr>
      </w:pPr>
    </w:p>
    <w:p>
      <w:pPr>
        <w:pStyle w:val="BodyText"/>
        <w:spacing w:before="3"/>
        <w:rPr>
          <w:i/>
          <w:sz w:val="27"/>
        </w:rPr>
      </w:pPr>
    </w:p>
    <w:p>
      <w:pPr>
        <w:pStyle w:val="BodyText"/>
        <w:spacing w:line="355" w:lineRule="auto" w:before="69"/>
        <w:ind w:left="512" w:right="122"/>
        <w:jc w:val="both"/>
      </w:pPr>
      <w:r>
        <w:rPr/>
        <w:t>1993). Estudios en humanos han demostrado incrementos en las inmunoglobulinas de tipo A y M en individuos alimentados con dietas suplementadas con CLA (Song </w:t>
      </w:r>
      <w:r>
        <w:rPr>
          <w:i/>
        </w:rPr>
        <w:t>et al</w:t>
      </w:r>
      <w:r>
        <w:rPr/>
        <w:t>., 2005).</w:t>
      </w:r>
    </w:p>
    <w:p>
      <w:pPr>
        <w:pStyle w:val="BodyText"/>
        <w:spacing w:before="9"/>
        <w:rPr>
          <w:sz w:val="18"/>
        </w:rPr>
      </w:pPr>
    </w:p>
    <w:p>
      <w:pPr>
        <w:pStyle w:val="BodyText"/>
        <w:spacing w:line="360" w:lineRule="auto"/>
        <w:ind w:left="512" w:right="101"/>
        <w:jc w:val="both"/>
      </w:pPr>
      <w:r>
        <w:rPr/>
        <w:t>Los efectos del CLA sobre </w:t>
      </w:r>
      <w:r>
        <w:rPr>
          <w:spacing w:val="-3"/>
        </w:rPr>
        <w:t>la </w:t>
      </w:r>
      <w:r>
        <w:rPr/>
        <w:t>absorción de calcio </w:t>
      </w:r>
      <w:r>
        <w:rPr>
          <w:spacing w:val="-3"/>
        </w:rPr>
        <w:t>ya </w:t>
      </w:r>
      <w:r>
        <w:rPr/>
        <w:t>han sido reportados. Park </w:t>
      </w:r>
      <w:r>
        <w:rPr>
          <w:i/>
        </w:rPr>
        <w:t>et al. </w:t>
      </w:r>
      <w:r>
        <w:rPr/>
        <w:t>(1997) indicaron que el CLA incrementa el contenido de cenizas en ratones a consecuencia de una mejor mineralización del tejido óseo. Otros estudios en pollos alimentados con CLA tuvieron un nivel más alto de cenizas en </w:t>
      </w:r>
      <w:r>
        <w:rPr>
          <w:spacing w:val="-5"/>
        </w:rPr>
        <w:t>la </w:t>
      </w:r>
      <w:r>
        <w:rPr/>
        <w:t>tibia que los animales control (Cook </w:t>
      </w:r>
      <w:r>
        <w:rPr>
          <w:i/>
        </w:rPr>
        <w:t>et al.,  </w:t>
      </w:r>
      <w:r>
        <w:rPr/>
        <w:t>1993).</w:t>
      </w:r>
    </w:p>
    <w:p>
      <w:pPr>
        <w:pStyle w:val="Heading1"/>
        <w:numPr>
          <w:ilvl w:val="0"/>
          <w:numId w:val="4"/>
        </w:numPr>
        <w:tabs>
          <w:tab w:pos="1233" w:val="left" w:leader="none"/>
        </w:tabs>
        <w:spacing w:line="240" w:lineRule="auto" w:before="210" w:after="0"/>
        <w:ind w:left="1233" w:right="0" w:hanging="360"/>
        <w:jc w:val="left"/>
      </w:pPr>
      <w:bookmarkStart w:name="_TOC_250034" w:id="32"/>
      <w:r>
        <w:rPr/>
        <w:t>METABOLISMO DE LÍPIDOS Y SÍNTESIS DE ÁCIDOS</w:t>
      </w:r>
      <w:r>
        <w:rPr>
          <w:spacing w:val="-19"/>
        </w:rPr>
        <w:t> </w:t>
      </w:r>
      <w:bookmarkEnd w:id="32"/>
      <w:r>
        <w:rPr/>
        <w:t>GRASOS</w:t>
      </w:r>
    </w:p>
    <w:p>
      <w:pPr>
        <w:pStyle w:val="BodyText"/>
        <w:spacing w:before="5"/>
        <w:rPr>
          <w:b/>
          <w:sz w:val="29"/>
        </w:rPr>
      </w:pPr>
    </w:p>
    <w:p>
      <w:pPr>
        <w:pStyle w:val="BodyText"/>
        <w:spacing w:line="360" w:lineRule="auto"/>
        <w:ind w:left="512" w:right="111"/>
        <w:jc w:val="both"/>
      </w:pPr>
      <w:r>
        <w:rPr/>
        <w:t>Hay dos importantes transformaciones de los lípidos provenientes de </w:t>
      </w:r>
      <w:r>
        <w:rPr>
          <w:spacing w:val="-3"/>
        </w:rPr>
        <w:t>la </w:t>
      </w:r>
      <w:r>
        <w:rPr/>
        <w:t>dieta en el rumen,  </w:t>
      </w:r>
      <w:r>
        <w:rPr>
          <w:spacing w:val="-3"/>
        </w:rPr>
        <w:t>la </w:t>
      </w:r>
      <w:r>
        <w:rPr/>
        <w:t>lipólisis y </w:t>
      </w:r>
      <w:r>
        <w:rPr>
          <w:spacing w:val="-3"/>
        </w:rPr>
        <w:t>la </w:t>
      </w:r>
      <w:r>
        <w:rPr/>
        <w:t>biohidrogenación, efectuados por </w:t>
      </w:r>
      <w:r>
        <w:rPr>
          <w:spacing w:val="-3"/>
        </w:rPr>
        <w:t>la </w:t>
      </w:r>
      <w:r>
        <w:rPr/>
        <w:t>microflora ruminal. Una vez que </w:t>
      </w:r>
      <w:r>
        <w:rPr>
          <w:spacing w:val="-3"/>
        </w:rPr>
        <w:t>la </w:t>
      </w:r>
      <w:r>
        <w:rPr/>
        <w:t>grasa llega a rumen sufre importantes cambios químicos originando </w:t>
      </w:r>
      <w:r>
        <w:rPr>
          <w:spacing w:val="-3"/>
        </w:rPr>
        <w:t>AG </w:t>
      </w:r>
      <w:r>
        <w:rPr/>
        <w:t>libres y glicerol. </w:t>
      </w:r>
      <w:r>
        <w:rPr>
          <w:spacing w:val="3"/>
        </w:rPr>
        <w:t>El </w:t>
      </w:r>
      <w:r>
        <w:rPr/>
        <w:t>glicerol es fermentado para producir ácido propiónico principalmente, que será absorbido junto con el resto de los ácidos grasos volátiles (AGV) a través de </w:t>
      </w:r>
      <w:r>
        <w:rPr>
          <w:spacing w:val="-5"/>
        </w:rPr>
        <w:t>la </w:t>
      </w:r>
      <w:r>
        <w:rPr/>
        <w:t>pared ruminal. Los  </w:t>
      </w:r>
      <w:r>
        <w:rPr>
          <w:spacing w:val="-3"/>
        </w:rPr>
        <w:t>AG </w:t>
      </w:r>
      <w:r>
        <w:rPr/>
        <w:t>libres son saturados debido a que en el ambiente ruminal se produce una hidrogenación de AGI para saturarlos. Un 70 a 90% de los AGPI son saturados principalmente a </w:t>
      </w:r>
      <w:r>
        <w:rPr>
          <w:spacing w:val="-3"/>
        </w:rPr>
        <w:t>ácido </w:t>
      </w:r>
      <w:r>
        <w:rPr/>
        <w:t>esteárico o isómeros </w:t>
      </w:r>
      <w:r>
        <w:rPr>
          <w:i/>
        </w:rPr>
        <w:t>trans </w:t>
      </w:r>
      <w:r>
        <w:rPr/>
        <w:t>de AGMI (Palmquist y Jenkins, 1980). Como resultado, </w:t>
      </w:r>
      <w:r>
        <w:rPr>
          <w:spacing w:val="-5"/>
        </w:rPr>
        <w:t>la </w:t>
      </w:r>
      <w:r>
        <w:rPr/>
        <w:t>grasa que abandona el rumen es mayoritariamente saturada, por </w:t>
      </w:r>
      <w:r>
        <w:rPr>
          <w:spacing w:val="-5"/>
        </w:rPr>
        <w:t>lo </w:t>
      </w:r>
      <w:r>
        <w:rPr/>
        <w:t>que los productos de los rumiantes tienden a ser </w:t>
      </w:r>
      <w:r>
        <w:rPr>
          <w:spacing w:val="-4"/>
        </w:rPr>
        <w:t>más </w:t>
      </w:r>
      <w:r>
        <w:rPr/>
        <w:t>saturados que los de monogástricos (Jenkins </w:t>
      </w:r>
      <w:r>
        <w:rPr>
          <w:i/>
        </w:rPr>
        <w:t>et al</w:t>
      </w:r>
      <w:r>
        <w:rPr/>
        <w:t>.,</w:t>
      </w:r>
      <w:r>
        <w:rPr>
          <w:spacing w:val="-8"/>
        </w:rPr>
        <w:t> </w:t>
      </w:r>
      <w:r>
        <w:rPr/>
        <w:t>2008).</w:t>
      </w:r>
    </w:p>
    <w:p>
      <w:pPr>
        <w:pStyle w:val="Heading1"/>
        <w:numPr>
          <w:ilvl w:val="1"/>
          <w:numId w:val="4"/>
        </w:numPr>
        <w:tabs>
          <w:tab w:pos="1277" w:val="left" w:leader="none"/>
        </w:tabs>
        <w:spacing w:line="240" w:lineRule="auto" w:before="210" w:after="0"/>
        <w:ind w:left="1276" w:right="0" w:hanging="403"/>
        <w:jc w:val="left"/>
      </w:pPr>
      <w:bookmarkStart w:name="_TOC_250033" w:id="33"/>
      <w:r>
        <w:rPr/>
        <w:t>Metabolismo de los lípidos en el</w:t>
      </w:r>
      <w:r>
        <w:rPr>
          <w:spacing w:val="-14"/>
        </w:rPr>
        <w:t> </w:t>
      </w:r>
      <w:bookmarkEnd w:id="33"/>
      <w:r>
        <w:rPr/>
        <w:t>rumen</w:t>
      </w:r>
    </w:p>
    <w:p>
      <w:pPr>
        <w:pStyle w:val="BodyText"/>
        <w:spacing w:before="4"/>
        <w:rPr>
          <w:b/>
          <w:sz w:val="29"/>
        </w:rPr>
      </w:pPr>
    </w:p>
    <w:p>
      <w:pPr>
        <w:pStyle w:val="BodyText"/>
        <w:spacing w:line="360" w:lineRule="auto" w:before="1"/>
        <w:ind w:left="512" w:right="107"/>
        <w:jc w:val="both"/>
      </w:pPr>
      <w:r>
        <w:rPr/>
        <w:t>Se han identificado dos importantes transformaciones de los lípidos de la dieta en el rumen: la lipolisis y la biohidrogenación (BH) (Harfoot, 1978; Palmquist y Jenkins, 1980). Ambos procesos tienen lugar por acción de la población microbiana, llegan a una reducción de 70 a90% de los ácidos grasos poliinsaturados (PUFA) transformándolos a saturados, principalmente a acido esteárico, o a isómeros </w:t>
      </w:r>
      <w:r>
        <w:rPr>
          <w:i/>
        </w:rPr>
        <w:t>trans </w:t>
      </w:r>
      <w:r>
        <w:rPr/>
        <w:t>de ácidos grasos monoinsaturados (Palmquist y Jenkins, 1980).</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Heading1"/>
        <w:numPr>
          <w:ilvl w:val="2"/>
          <w:numId w:val="4"/>
        </w:numPr>
        <w:tabs>
          <w:tab w:pos="1592" w:val="left" w:leader="none"/>
          <w:tab w:pos="1593" w:val="left" w:leader="none"/>
        </w:tabs>
        <w:spacing w:line="240" w:lineRule="auto" w:before="69" w:after="0"/>
        <w:ind w:left="1593" w:right="0" w:hanging="720"/>
        <w:jc w:val="left"/>
      </w:pPr>
      <w:bookmarkStart w:name="_TOC_250032" w:id="34"/>
      <w:bookmarkEnd w:id="34"/>
      <w:r>
        <w:rPr/>
        <w:t>Lipólisis</w:t>
      </w:r>
    </w:p>
    <w:p>
      <w:pPr>
        <w:pStyle w:val="BodyText"/>
        <w:spacing w:before="5"/>
        <w:rPr>
          <w:b/>
          <w:sz w:val="29"/>
        </w:rPr>
      </w:pPr>
    </w:p>
    <w:p>
      <w:pPr>
        <w:pStyle w:val="BodyText"/>
        <w:spacing w:line="360" w:lineRule="auto"/>
        <w:ind w:left="512" w:right="105"/>
        <w:jc w:val="both"/>
      </w:pPr>
      <w:r>
        <w:rPr/>
        <w:t>Una vez llegados los lípidos esterificados al rumen son hidrolizados por enzimas microbianas liberando los ácidos grasos (Jenkins, 1993). La hidrólisis de los lípidos esterificados se atribuye a galactosidasas y fosfolipasas producidas por </w:t>
      </w:r>
      <w:r>
        <w:rPr>
          <w:spacing w:val="-5"/>
        </w:rPr>
        <w:t>la </w:t>
      </w:r>
      <w:r>
        <w:rPr/>
        <w:t>microflora  ruminal (Harfoot y Hazlewood, 1988). Las bacterias ruminales son </w:t>
      </w:r>
      <w:r>
        <w:rPr>
          <w:spacing w:val="-3"/>
        </w:rPr>
        <w:t>las </w:t>
      </w:r>
      <w:r>
        <w:rPr/>
        <w:t>que llevan a cabo </w:t>
      </w:r>
      <w:r>
        <w:rPr>
          <w:spacing w:val="-5"/>
        </w:rPr>
        <w:t>la </w:t>
      </w:r>
      <w:r>
        <w:rPr/>
        <w:t>lipólisis por </w:t>
      </w:r>
      <w:r>
        <w:rPr>
          <w:spacing w:val="-3"/>
        </w:rPr>
        <w:t>medio </w:t>
      </w:r>
      <w:r>
        <w:rPr/>
        <w:t>de </w:t>
      </w:r>
      <w:r>
        <w:rPr>
          <w:spacing w:val="-3"/>
        </w:rPr>
        <w:t>las </w:t>
      </w:r>
      <w:r>
        <w:rPr/>
        <w:t>lipasas bacterianas, principalmente de </w:t>
      </w:r>
      <w:r>
        <w:rPr>
          <w:i/>
        </w:rPr>
        <w:t>Anaerovibrio lipolytica </w:t>
      </w:r>
      <w:r>
        <w:rPr/>
        <w:t>(Henderson, 1975), aunque también se ven involucrados los protozoos (Wright, 1961). Algunas cepas de </w:t>
      </w:r>
      <w:r>
        <w:rPr>
          <w:i/>
        </w:rPr>
        <w:t>Butyrivibrio fibrisolvens </w:t>
      </w:r>
      <w:r>
        <w:rPr/>
        <w:t>poseen actividad esterasa, pero pocas pueden hidrolizar ésteres de ácidos grasos de cadena</w:t>
      </w:r>
      <w:r>
        <w:rPr>
          <w:spacing w:val="-24"/>
        </w:rPr>
        <w:t> </w:t>
      </w:r>
      <w:r>
        <w:rPr/>
        <w:t>larga.</w:t>
      </w:r>
    </w:p>
    <w:p>
      <w:pPr>
        <w:pStyle w:val="Heading1"/>
        <w:numPr>
          <w:ilvl w:val="2"/>
          <w:numId w:val="4"/>
        </w:numPr>
        <w:tabs>
          <w:tab w:pos="1592" w:val="left" w:leader="none"/>
          <w:tab w:pos="1593" w:val="left" w:leader="none"/>
        </w:tabs>
        <w:spacing w:line="240" w:lineRule="auto" w:before="206" w:after="0"/>
        <w:ind w:left="1593" w:right="0" w:hanging="720"/>
        <w:jc w:val="left"/>
      </w:pPr>
      <w:bookmarkStart w:name="_TOC_250031" w:id="35"/>
      <w:r>
        <w:rPr/>
        <w:t>Biohidrogenación</w:t>
      </w:r>
      <w:r>
        <w:rPr>
          <w:spacing w:val="-11"/>
        </w:rPr>
        <w:t> </w:t>
      </w:r>
      <w:bookmarkEnd w:id="35"/>
      <w:r>
        <w:rPr/>
        <w:t>ruminal</w:t>
      </w:r>
    </w:p>
    <w:p>
      <w:pPr>
        <w:pStyle w:val="BodyText"/>
        <w:spacing w:before="4"/>
        <w:rPr>
          <w:b/>
          <w:sz w:val="29"/>
        </w:rPr>
      </w:pPr>
    </w:p>
    <w:p>
      <w:pPr>
        <w:pStyle w:val="BodyText"/>
        <w:spacing w:line="360" w:lineRule="auto" w:before="1"/>
        <w:ind w:left="512" w:right="102"/>
        <w:jc w:val="both"/>
      </w:pPr>
      <w:r>
        <w:rPr/>
        <w:t>Los AGPI que predominan en los alimentos de origen vegetal para los rumiantes son  tóxicos para </w:t>
      </w:r>
      <w:r>
        <w:rPr>
          <w:spacing w:val="-5"/>
        </w:rPr>
        <w:t>la </w:t>
      </w:r>
      <w:r>
        <w:rPr/>
        <w:t>población microbiana ruminal (Harfoot y Hazlewood, 1997), por </w:t>
      </w:r>
      <w:r>
        <w:rPr>
          <w:spacing w:val="-5"/>
        </w:rPr>
        <w:t>lo </w:t>
      </w:r>
      <w:r>
        <w:rPr/>
        <w:t>tanto los microrganismos ruminales se encargan de </w:t>
      </w:r>
      <w:r>
        <w:rPr>
          <w:spacing w:val="-5"/>
        </w:rPr>
        <w:t>la </w:t>
      </w:r>
      <w:r>
        <w:rPr/>
        <w:t>desintoxicación mediante el proceso de hidrogenación (Doreau </w:t>
      </w:r>
      <w:r>
        <w:rPr>
          <w:i/>
        </w:rPr>
        <w:t>et al</w:t>
      </w:r>
      <w:r>
        <w:rPr/>
        <w:t>., 1999). Esta reacción afecta a una elevada proporción de AGI que llegan a rumen y pasan al torrente sanguíneo una vez saturados, siendo esto determinante para el alto contenido en AGS en </w:t>
      </w:r>
      <w:r>
        <w:rPr>
          <w:spacing w:val="-3"/>
        </w:rPr>
        <w:t>las </w:t>
      </w:r>
      <w:r>
        <w:rPr/>
        <w:t>grasas corporales de los rumiantes. Los ácidos grasos que </w:t>
      </w:r>
      <w:r>
        <w:rPr>
          <w:spacing w:val="-3"/>
        </w:rPr>
        <w:t>no </w:t>
      </w:r>
      <w:r>
        <w:rPr/>
        <w:t>son hidrogenados atraviesan intactos el rumen y llegan al intestino delgado donde son absorbidos con los demás AG. A continuación pueden llegar a </w:t>
      </w:r>
      <w:r>
        <w:rPr>
          <w:spacing w:val="-3"/>
        </w:rPr>
        <w:t>la </w:t>
      </w:r>
      <w:r>
        <w:rPr/>
        <w:t>glándula mamaria explicando así </w:t>
      </w:r>
      <w:r>
        <w:rPr>
          <w:spacing w:val="-5"/>
        </w:rPr>
        <w:t>la </w:t>
      </w:r>
      <w:r>
        <w:rPr/>
        <w:t>aparición en grasa de </w:t>
      </w:r>
      <w:r>
        <w:rPr>
          <w:spacing w:val="-5"/>
        </w:rPr>
        <w:t>la </w:t>
      </w:r>
      <w:r>
        <w:rPr/>
        <w:t>leche de AGI idénticos a los existentes en otros ingredientes alimenticios (Chilliard </w:t>
      </w:r>
      <w:r>
        <w:rPr>
          <w:i/>
        </w:rPr>
        <w:t>et al</w:t>
      </w:r>
      <w:r>
        <w:rPr/>
        <w:t>.,</w:t>
      </w:r>
      <w:r>
        <w:rPr>
          <w:spacing w:val="-22"/>
        </w:rPr>
        <w:t> </w:t>
      </w:r>
      <w:r>
        <w:rPr/>
        <w:t>2001).</w:t>
      </w:r>
    </w:p>
    <w:p>
      <w:pPr>
        <w:pStyle w:val="BodyText"/>
        <w:spacing w:line="360" w:lineRule="auto" w:before="206"/>
        <w:ind w:left="512" w:right="106"/>
        <w:jc w:val="both"/>
      </w:pPr>
      <w:r>
        <w:rPr/>
        <w:t>La biohidrogenación (BH) mas estudiada y mejor conocida es </w:t>
      </w:r>
      <w:r>
        <w:rPr>
          <w:spacing w:val="-3"/>
        </w:rPr>
        <w:t>la </w:t>
      </w:r>
      <w:r>
        <w:rPr/>
        <w:t>de los dos AGPI mayoritarios en </w:t>
      </w:r>
      <w:r>
        <w:rPr>
          <w:spacing w:val="-5"/>
        </w:rPr>
        <w:t>la </w:t>
      </w:r>
      <w:r>
        <w:rPr/>
        <w:t>fracción lipídica de los alimentos vegetales para el ganado, el ácido linoleico y linolénico (Figura 5). Su desarrollo conforma dos rutas metabólicas que se denominan ordinaria y alternativa (Bauman </w:t>
      </w:r>
      <w:r>
        <w:rPr>
          <w:i/>
        </w:rPr>
        <w:t>et al.</w:t>
      </w:r>
      <w:r>
        <w:rPr/>
        <w:t>, 2001). La primera es </w:t>
      </w:r>
      <w:r>
        <w:rPr>
          <w:spacing w:val="-3"/>
        </w:rPr>
        <w:t>la </w:t>
      </w:r>
      <w:r>
        <w:rPr/>
        <w:t>que prevalece  con una ingestión diaria y constante que permita el desarrollo de una flora bacteriana característica y equilibrada </w:t>
      </w:r>
      <w:r>
        <w:rPr>
          <w:spacing w:val="2"/>
        </w:rPr>
        <w:t>del </w:t>
      </w:r>
      <w:r>
        <w:rPr/>
        <w:t>rumen. En ella, partiendo del ácido linoleico, tienen lugar dos</w:t>
      </w:r>
      <w:r>
        <w:rPr>
          <w:spacing w:val="12"/>
        </w:rPr>
        <w:t> </w:t>
      </w:r>
      <w:r>
        <w:rPr/>
        <w:t>reacciones</w:t>
      </w:r>
      <w:r>
        <w:rPr>
          <w:spacing w:val="12"/>
        </w:rPr>
        <w:t> </w:t>
      </w:r>
      <w:r>
        <w:rPr/>
        <w:t>en</w:t>
      </w:r>
      <w:r>
        <w:rPr>
          <w:spacing w:val="13"/>
        </w:rPr>
        <w:t> </w:t>
      </w:r>
      <w:r>
        <w:rPr>
          <w:spacing w:val="-5"/>
        </w:rPr>
        <w:t>la</w:t>
      </w:r>
      <w:r>
        <w:rPr>
          <w:spacing w:val="13"/>
        </w:rPr>
        <w:t> </w:t>
      </w:r>
      <w:r>
        <w:rPr/>
        <w:t>primera</w:t>
      </w:r>
      <w:r>
        <w:rPr>
          <w:spacing w:val="13"/>
        </w:rPr>
        <w:t> </w:t>
      </w:r>
      <w:r>
        <w:rPr/>
        <w:t>etapa</w:t>
      </w:r>
      <w:r>
        <w:rPr>
          <w:spacing w:val="13"/>
        </w:rPr>
        <w:t> </w:t>
      </w:r>
      <w:r>
        <w:rPr/>
        <w:t>de</w:t>
      </w:r>
      <w:r>
        <w:rPr>
          <w:spacing w:val="13"/>
        </w:rPr>
        <w:t> </w:t>
      </w:r>
      <w:r>
        <w:rPr>
          <w:spacing w:val="-5"/>
        </w:rPr>
        <w:t>la</w:t>
      </w:r>
      <w:r>
        <w:rPr>
          <w:spacing w:val="13"/>
        </w:rPr>
        <w:t> </w:t>
      </w:r>
      <w:r>
        <w:rPr/>
        <w:t>BH.</w:t>
      </w:r>
      <w:r>
        <w:rPr>
          <w:spacing w:val="15"/>
        </w:rPr>
        <w:t> </w:t>
      </w:r>
      <w:r>
        <w:rPr/>
        <w:t>La</w:t>
      </w:r>
      <w:r>
        <w:rPr>
          <w:spacing w:val="13"/>
        </w:rPr>
        <w:t> </w:t>
      </w:r>
      <w:r>
        <w:rPr/>
        <w:t>primera</w:t>
      </w:r>
      <w:r>
        <w:rPr>
          <w:spacing w:val="13"/>
        </w:rPr>
        <w:t> </w:t>
      </w:r>
      <w:r>
        <w:rPr/>
        <w:t>es</w:t>
      </w:r>
      <w:r>
        <w:rPr>
          <w:spacing w:val="12"/>
        </w:rPr>
        <w:t> </w:t>
      </w:r>
      <w:r>
        <w:rPr/>
        <w:t>una</w:t>
      </w:r>
      <w:r>
        <w:rPr>
          <w:spacing w:val="13"/>
        </w:rPr>
        <w:t> </w:t>
      </w:r>
      <w:r>
        <w:rPr/>
        <w:t>reacción</w:t>
      </w:r>
      <w:r>
        <w:rPr>
          <w:spacing w:val="9"/>
        </w:rPr>
        <w:t> </w:t>
      </w:r>
      <w:r>
        <w:rPr/>
        <w:t>de</w:t>
      </w:r>
      <w:r>
        <w:rPr>
          <w:spacing w:val="17"/>
        </w:rPr>
        <w:t> </w:t>
      </w:r>
      <w:r>
        <w:rPr/>
        <w:t>isomerización</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1"/>
        <w:jc w:val="both"/>
      </w:pPr>
      <w:r>
        <w:rPr/>
        <w:t>del doble enlace </w:t>
      </w:r>
      <w:r>
        <w:rPr>
          <w:i/>
        </w:rPr>
        <w:t>cis</w:t>
      </w:r>
      <w:r>
        <w:rPr/>
        <w:t>-12 a </w:t>
      </w:r>
      <w:r>
        <w:rPr>
          <w:i/>
        </w:rPr>
        <w:t>trans</w:t>
      </w:r>
      <w:r>
        <w:rPr/>
        <w:t>-11 por la enzima </w:t>
      </w:r>
      <w:r>
        <w:rPr>
          <w:i/>
        </w:rPr>
        <w:t>cis</w:t>
      </w:r>
      <w:r>
        <w:rPr/>
        <w:t>-9 </w:t>
      </w:r>
      <w:r>
        <w:rPr>
          <w:i/>
        </w:rPr>
        <w:t>trans</w:t>
      </w:r>
      <w:r>
        <w:rPr/>
        <w:t>-11 isomerasa o linoleato isomerasa. Conduce a la formación de uno de los isómeros de ácido linoleico conjugado, el C18:2 </w:t>
      </w:r>
      <w:r>
        <w:rPr>
          <w:i/>
        </w:rPr>
        <w:t>cis</w:t>
      </w:r>
      <w:r>
        <w:rPr/>
        <w:t>-9 </w:t>
      </w:r>
      <w:r>
        <w:rPr>
          <w:i/>
        </w:rPr>
        <w:t>trans</w:t>
      </w:r>
      <w:r>
        <w:rPr/>
        <w:t>-11, esta isomerización es muy rápida (Kepler </w:t>
      </w:r>
      <w:r>
        <w:rPr>
          <w:i/>
        </w:rPr>
        <w:t>et al</w:t>
      </w:r>
      <w:r>
        <w:rPr/>
        <w:t>., 1966). La segunda reacción es la reducción del C18:2 </w:t>
      </w:r>
      <w:r>
        <w:rPr>
          <w:i/>
        </w:rPr>
        <w:t>cis</w:t>
      </w:r>
      <w:r>
        <w:rPr/>
        <w:t>-9 </w:t>
      </w:r>
      <w:r>
        <w:rPr>
          <w:i/>
        </w:rPr>
        <w:t>trans</w:t>
      </w:r>
      <w:r>
        <w:rPr/>
        <w:t>-11 a C18:1 </w:t>
      </w:r>
      <w:r>
        <w:rPr>
          <w:i/>
        </w:rPr>
        <w:t>trans</w:t>
      </w:r>
      <w:r>
        <w:rPr/>
        <w:t>-11 o ácido vaccénico y también C18:1 </w:t>
      </w:r>
      <w:r>
        <w:rPr>
          <w:i/>
        </w:rPr>
        <w:t>cis</w:t>
      </w:r>
      <w:r>
        <w:rPr/>
        <w:t>-11 en menor medida (Fellner </w:t>
      </w:r>
      <w:r>
        <w:rPr>
          <w:i/>
        </w:rPr>
        <w:t>et al.</w:t>
      </w:r>
      <w:r>
        <w:rPr/>
        <w:t>, 1995). Cuando se parte del ácido linolénico sus dos isómeros </w:t>
      </w:r>
      <w:r>
        <w:rPr>
          <w:i/>
        </w:rPr>
        <w:t>cis </w:t>
      </w:r>
      <w:r>
        <w:rPr/>
        <w:t>(α-linolénico o C18:3 </w:t>
      </w:r>
      <w:r>
        <w:rPr>
          <w:i/>
        </w:rPr>
        <w:t>cis</w:t>
      </w:r>
      <w:r>
        <w:rPr/>
        <w:t>-9 </w:t>
      </w:r>
      <w:r>
        <w:rPr>
          <w:i/>
        </w:rPr>
        <w:t>cis</w:t>
      </w:r>
      <w:r>
        <w:rPr/>
        <w:t>-12 </w:t>
      </w:r>
      <w:r>
        <w:rPr>
          <w:i/>
        </w:rPr>
        <w:t>cis</w:t>
      </w:r>
      <w:r>
        <w:rPr/>
        <w:t>-15 y γ-linolénico o C18:3 </w:t>
      </w:r>
      <w:r>
        <w:rPr>
          <w:i/>
        </w:rPr>
        <w:t>cis</w:t>
      </w:r>
      <w:r>
        <w:rPr/>
        <w:t>-6 </w:t>
      </w:r>
      <w:r>
        <w:rPr>
          <w:i/>
        </w:rPr>
        <w:t>cis</w:t>
      </w:r>
      <w:r>
        <w:rPr/>
        <w:t>-9 </w:t>
      </w:r>
      <w:r>
        <w:rPr>
          <w:i/>
        </w:rPr>
        <w:t>cis</w:t>
      </w:r>
      <w:r>
        <w:rPr/>
        <w:t>-12) son isomerizados en el doble enlace </w:t>
      </w:r>
      <w:r>
        <w:rPr>
          <w:i/>
        </w:rPr>
        <w:t>cis</w:t>
      </w:r>
      <w:r>
        <w:rPr/>
        <w:t>-12 a </w:t>
      </w:r>
      <w:r>
        <w:rPr>
          <w:i/>
        </w:rPr>
        <w:t>tras</w:t>
      </w:r>
      <w:r>
        <w:rPr/>
        <w:t>-11 seguido de una reacción de dobles enlaces </w:t>
      </w:r>
      <w:r>
        <w:rPr>
          <w:i/>
        </w:rPr>
        <w:t>cis </w:t>
      </w:r>
      <w:r>
        <w:rPr/>
        <w:t>hasta formar C18:1 </w:t>
      </w:r>
      <w:r>
        <w:rPr>
          <w:i/>
        </w:rPr>
        <w:t>trans</w:t>
      </w:r>
      <w:r>
        <w:rPr/>
        <w:t>-11, C18:1 </w:t>
      </w:r>
      <w:r>
        <w:rPr>
          <w:i/>
        </w:rPr>
        <w:t>cis</w:t>
      </w:r>
      <w:r>
        <w:rPr/>
        <w:t>-15 ó C18:1 </w:t>
      </w:r>
      <w:r>
        <w:rPr>
          <w:i/>
        </w:rPr>
        <w:t>trans</w:t>
      </w:r>
      <w:r>
        <w:rPr/>
        <w:t>-15. La segunda etapa de la BH convierte los isómeros C18:1 a ácido esteárico, esta etapa se realiza de una manera más lenta, por tanto puede tener lugar en el rumen un incremento de productos intermedios como C18:1 </w:t>
      </w:r>
      <w:r>
        <w:rPr>
          <w:i/>
        </w:rPr>
        <w:t>trans</w:t>
      </w:r>
      <w:r>
        <w:rPr/>
        <w:t>-11 principalmente, facilitando que pueda haber una mayor disponibilidad del mismo y una mayor absorción en intestino (Bauman </w:t>
      </w:r>
      <w:r>
        <w:rPr>
          <w:i/>
        </w:rPr>
        <w:t>et al</w:t>
      </w:r>
      <w:r>
        <w:rPr/>
        <w:t>., 1999).</w:t>
      </w:r>
    </w:p>
    <w:p>
      <w:pPr>
        <w:pStyle w:val="BodyText"/>
        <w:spacing w:line="357" w:lineRule="auto" w:before="210"/>
        <w:ind w:left="512" w:right="101"/>
        <w:jc w:val="both"/>
      </w:pPr>
      <w:r>
        <w:rPr/>
        <w:t>La BH de los AGI no tiene que ser completa, lo que significa que hay metabolitos intermedios que abandonan el rumen y llegan a intestino donde pueden ser absorbidos. Tal es el caso de los CLA </w:t>
      </w:r>
      <w:r>
        <w:rPr>
          <w:i/>
        </w:rPr>
        <w:t>cis</w:t>
      </w:r>
      <w:r>
        <w:rPr/>
        <w:t>-9 </w:t>
      </w:r>
      <w:r>
        <w:rPr>
          <w:i/>
        </w:rPr>
        <w:t>trans</w:t>
      </w:r>
      <w:r>
        <w:rPr/>
        <w:t>-11 y CLA </w:t>
      </w:r>
      <w:r>
        <w:rPr>
          <w:i/>
        </w:rPr>
        <w:t>trans</w:t>
      </w:r>
      <w:r>
        <w:rPr/>
        <w:t>-10 </w:t>
      </w:r>
      <w:r>
        <w:rPr>
          <w:i/>
        </w:rPr>
        <w:t>cis</w:t>
      </w:r>
      <w:r>
        <w:rPr/>
        <w:t>-12 y de ácido vaccénico. Diversos estudios han demostrado que existe una correlación lineal entre la concentración del ácido vaccénico y del CLA </w:t>
      </w:r>
      <w:r>
        <w:rPr>
          <w:i/>
        </w:rPr>
        <w:t>cis</w:t>
      </w:r>
      <w:r>
        <w:rPr/>
        <w:t>-9 </w:t>
      </w:r>
      <w:r>
        <w:rPr>
          <w:i/>
        </w:rPr>
        <w:t>trans</w:t>
      </w:r>
      <w:r>
        <w:rPr/>
        <w:t>-11 en la leche de la vaca (Chilliard </w:t>
      </w:r>
      <w:r>
        <w:rPr>
          <w:i/>
        </w:rPr>
        <w:t>et al</w:t>
      </w:r>
      <w:r>
        <w:rPr/>
        <w:t>., 2001; Wijesundera </w:t>
      </w:r>
      <w:r>
        <w:rPr>
          <w:i/>
        </w:rPr>
        <w:t>et al</w:t>
      </w:r>
      <w:r>
        <w:rPr/>
        <w:t>., 2003), hecho que está relacionado con la síntesis de CLA </w:t>
      </w:r>
      <w:r>
        <w:rPr>
          <w:i/>
        </w:rPr>
        <w:t>cis</w:t>
      </w:r>
      <w:r>
        <w:rPr/>
        <w:t>-9 </w:t>
      </w:r>
      <w:r>
        <w:rPr>
          <w:i/>
        </w:rPr>
        <w:t>trans</w:t>
      </w:r>
      <w:r>
        <w:rPr/>
        <w:t>-11 a partir de vaccénico en la glándula mamaria por la acción de la enzima </w:t>
      </w:r>
      <w:r>
        <w:rPr>
          <w:rFonts w:ascii="Calibri" w:hAnsi="Calibri"/>
        </w:rPr>
        <w:t>∆</w:t>
      </w:r>
      <w:r>
        <w:rPr>
          <w:position w:val="11"/>
          <w:sz w:val="16"/>
        </w:rPr>
        <w:t>9</w:t>
      </w:r>
      <w:r>
        <w:rPr/>
        <w:t>-desaturasa, una enzima que actúa sobre el vaccénico introduciéndole un doble enlace </w:t>
      </w:r>
      <w:r>
        <w:rPr>
          <w:i/>
        </w:rPr>
        <w:t>cis </w:t>
      </w:r>
      <w:r>
        <w:rPr/>
        <w:t>en la posición de carbono 9 (Bauman </w:t>
      </w:r>
      <w:r>
        <w:rPr>
          <w:i/>
        </w:rPr>
        <w:t>et al., </w:t>
      </w:r>
      <w:r>
        <w:rPr/>
        <w:t>1999). Pese a que CLA </w:t>
      </w:r>
      <w:r>
        <w:rPr>
          <w:i/>
        </w:rPr>
        <w:t>cis</w:t>
      </w:r>
      <w:r>
        <w:rPr/>
        <w:t>-9 </w:t>
      </w:r>
      <w:r>
        <w:rPr>
          <w:i/>
        </w:rPr>
        <w:t>trans</w:t>
      </w:r>
      <w:r>
        <w:rPr/>
        <w:t>-11 puede ser absorbido en la pared intestinal proveniente de la BH de rumen y posteriormente llegar a la glándula mamaria para ser secretado en leche, la mayor parte de éste (75 %) proviene de la desaturación del ácido vaccénico en la glándula mamaria (Chilliard </w:t>
      </w:r>
      <w:r>
        <w:rPr>
          <w:i/>
        </w:rPr>
        <w:t>et al</w:t>
      </w:r>
      <w:r>
        <w:rPr/>
        <w:t>., 2001).</w:t>
      </w:r>
    </w:p>
    <w:p>
      <w:pPr>
        <w:spacing w:after="0" w:line="357" w:lineRule="auto"/>
        <w:jc w:val="both"/>
        <w:sectPr>
          <w:pgSz w:w="12240" w:h="15840"/>
          <w:pgMar w:header="1150" w:footer="1382" w:top="1420" w:bottom="1580" w:left="1360" w:right="1420"/>
        </w:sectPr>
      </w:pPr>
    </w:p>
    <w:p>
      <w:pPr>
        <w:pStyle w:val="BodyText"/>
        <w:rPr>
          <w:sz w:val="20"/>
        </w:rPr>
      </w:pPr>
    </w:p>
    <w:p>
      <w:pPr>
        <w:pStyle w:val="BodyText"/>
        <w:spacing w:before="11"/>
        <w:rPr>
          <w:sz w:val="13"/>
        </w:rPr>
      </w:pPr>
    </w:p>
    <w:p>
      <w:pPr>
        <w:pStyle w:val="BodyText"/>
        <w:ind w:left="511"/>
        <w:rPr>
          <w:sz w:val="20"/>
        </w:rPr>
      </w:pPr>
      <w:r>
        <w:rPr>
          <w:sz w:val="20"/>
        </w:rPr>
        <w:drawing>
          <wp:inline distT="0" distB="0" distL="0" distR="0">
            <wp:extent cx="5588823" cy="3740467"/>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8" cstate="print"/>
                    <a:stretch>
                      <a:fillRect/>
                    </a:stretch>
                  </pic:blipFill>
                  <pic:spPr>
                    <a:xfrm>
                      <a:off x="0" y="0"/>
                      <a:ext cx="5588823" cy="3740467"/>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3"/>
        <w:rPr>
          <w:sz w:val="20"/>
        </w:rPr>
      </w:pPr>
    </w:p>
    <w:p>
      <w:pPr>
        <w:spacing w:line="360" w:lineRule="auto" w:before="0"/>
        <w:ind w:left="512" w:right="133" w:firstLine="0"/>
        <w:jc w:val="both"/>
        <w:rPr>
          <w:sz w:val="20"/>
        </w:rPr>
      </w:pPr>
      <w:r>
        <w:rPr>
          <w:b/>
          <w:sz w:val="20"/>
        </w:rPr>
        <w:t>Figura 5. </w:t>
      </w:r>
      <w:r>
        <w:rPr>
          <w:sz w:val="20"/>
        </w:rPr>
        <w:t>Ruta de biohidrogenación de los ácidos grasos insaturados (AGI): linoleico, linolénico y oleico (Adaptado de Harfoot y Hazlewood, 1988).</w:t>
      </w:r>
    </w:p>
    <w:p>
      <w:pPr>
        <w:pStyle w:val="BodyText"/>
        <w:rPr>
          <w:sz w:val="20"/>
        </w:rPr>
      </w:pPr>
    </w:p>
    <w:p>
      <w:pPr>
        <w:pStyle w:val="BodyText"/>
        <w:rPr>
          <w:sz w:val="20"/>
        </w:rPr>
      </w:pPr>
    </w:p>
    <w:p>
      <w:pPr>
        <w:pStyle w:val="BodyText"/>
        <w:rPr>
          <w:sz w:val="20"/>
        </w:rPr>
      </w:pPr>
    </w:p>
    <w:p>
      <w:pPr>
        <w:pStyle w:val="BodyText"/>
        <w:spacing w:line="360" w:lineRule="auto" w:before="132"/>
        <w:ind w:left="512" w:right="122"/>
        <w:jc w:val="both"/>
      </w:pPr>
      <w:r>
        <w:rPr/>
        <w:t>El proceso de BH se lleva a cabo por efecto de las bacterias ruminales, </w:t>
      </w:r>
      <w:r>
        <w:rPr>
          <w:i/>
        </w:rPr>
        <w:t>Butyrivibrio </w:t>
      </w:r>
      <w:r>
        <w:rPr>
          <w:i/>
        </w:rPr>
        <w:t>fibrisolvens</w:t>
      </w:r>
      <w:r>
        <w:rPr/>
        <w:t>, es la principal bacteria capaz de realizar la hidrogenación de AGI (Qiu </w:t>
      </w:r>
      <w:r>
        <w:rPr>
          <w:i/>
        </w:rPr>
        <w:t>et al</w:t>
      </w:r>
      <w:r>
        <w:rPr/>
        <w:t>., 2001; Bell y Kenelly, 2003), aunque otras bacterias pueden estar implicadas en el proceso como las del género </w:t>
      </w:r>
      <w:r>
        <w:rPr>
          <w:i/>
        </w:rPr>
        <w:t>Treponema </w:t>
      </w:r>
      <w:r>
        <w:rPr/>
        <w:t>(Yokohama y Davis, 1971), </w:t>
      </w:r>
      <w:r>
        <w:rPr>
          <w:i/>
        </w:rPr>
        <w:t>Eubacterium </w:t>
      </w:r>
      <w:r>
        <w:rPr/>
        <w:t>y </w:t>
      </w:r>
      <w:r>
        <w:rPr>
          <w:i/>
        </w:rPr>
        <w:t>Ruminococcus </w:t>
      </w:r>
      <w:r>
        <w:rPr/>
        <w:t>(Kemp </w:t>
      </w:r>
      <w:r>
        <w:rPr>
          <w:i/>
        </w:rPr>
        <w:t>et al</w:t>
      </w:r>
      <w:r>
        <w:rPr/>
        <w:t>., 1975). </w:t>
      </w:r>
      <w:r>
        <w:rPr>
          <w:i/>
        </w:rPr>
        <w:t>Megasphera elsdenii </w:t>
      </w:r>
      <w:r>
        <w:rPr/>
        <w:t>es de suma importancia en el proceso de BH, ya que su producto de la hidrogenación es el CLA </w:t>
      </w:r>
      <w:r>
        <w:rPr>
          <w:i/>
        </w:rPr>
        <w:t>tras</w:t>
      </w:r>
      <w:r>
        <w:rPr/>
        <w:t>-10 </w:t>
      </w:r>
      <w:r>
        <w:rPr>
          <w:i/>
        </w:rPr>
        <w:t>cis</w:t>
      </w:r>
      <w:r>
        <w:rPr/>
        <w:t>-12 (Kim </w:t>
      </w:r>
      <w:r>
        <w:rPr>
          <w:i/>
        </w:rPr>
        <w:t>et al., </w:t>
      </w:r>
      <w:r>
        <w:rPr/>
        <w:t>2002). Aunque los protozoos juegan un papel importante en la BH, las bacterias son las más activas en este proceso, siendo las bacterias celulolíticas las más involucradas en el proceso de BH de los AG (Martín y Jenkins. 2002). Recientemente, Nam y Garnsworthy (2007) han   demostrado</w:t>
      </w:r>
    </w:p>
    <w:p>
      <w:pPr>
        <w:spacing w:after="0" w:line="360" w:lineRule="auto"/>
        <w:jc w:val="both"/>
        <w:sectPr>
          <w:pgSz w:w="12240" w:h="15840"/>
          <w:pgMar w:header="1150" w:footer="1382" w:top="1420" w:bottom="1580" w:left="1360" w:right="1400"/>
        </w:sectPr>
      </w:pPr>
    </w:p>
    <w:p>
      <w:pPr>
        <w:pStyle w:val="BodyText"/>
        <w:spacing w:before="3"/>
        <w:rPr>
          <w:sz w:val="27"/>
        </w:rPr>
      </w:pPr>
    </w:p>
    <w:p>
      <w:pPr>
        <w:pStyle w:val="BodyText"/>
        <w:spacing w:line="355" w:lineRule="auto" w:before="69"/>
        <w:ind w:left="512" w:right="116"/>
        <w:jc w:val="both"/>
      </w:pPr>
      <w:r>
        <w:rPr/>
        <w:t>que los hongos del rumen también pueden biohidrogenar ácidos grasos de cadena larga, aunque con una tasa considerablemente más lenta que la de las bacterias.</w:t>
      </w:r>
    </w:p>
    <w:p>
      <w:pPr>
        <w:pStyle w:val="BodyText"/>
        <w:spacing w:before="9"/>
        <w:rPr>
          <w:sz w:val="18"/>
        </w:rPr>
      </w:pPr>
    </w:p>
    <w:p>
      <w:pPr>
        <w:spacing w:before="0"/>
        <w:ind w:left="873" w:right="105" w:firstLine="0"/>
        <w:jc w:val="left"/>
        <w:rPr>
          <w:b/>
          <w:i/>
          <w:sz w:val="24"/>
        </w:rPr>
      </w:pPr>
      <w:r>
        <w:rPr>
          <w:b/>
          <w:i/>
          <w:sz w:val="24"/>
        </w:rPr>
        <w:t>7.2  </w:t>
      </w:r>
      <w:r>
        <w:rPr>
          <w:b/>
          <w:sz w:val="24"/>
        </w:rPr>
        <w:t>Síntesis de </w:t>
      </w:r>
      <w:r>
        <w:rPr>
          <w:b/>
          <w:i/>
          <w:sz w:val="24"/>
        </w:rPr>
        <w:t>novo</w:t>
      </w:r>
    </w:p>
    <w:p>
      <w:pPr>
        <w:pStyle w:val="BodyText"/>
        <w:spacing w:before="4"/>
        <w:rPr>
          <w:b/>
          <w:i/>
          <w:sz w:val="29"/>
        </w:rPr>
      </w:pPr>
    </w:p>
    <w:p>
      <w:pPr>
        <w:pStyle w:val="BodyText"/>
        <w:spacing w:line="360" w:lineRule="auto" w:before="1"/>
        <w:ind w:left="512" w:right="99"/>
        <w:jc w:val="both"/>
      </w:pPr>
      <w:r>
        <w:rPr/>
        <w:t>Los </w:t>
      </w:r>
      <w:r>
        <w:rPr>
          <w:spacing w:val="-3"/>
        </w:rPr>
        <w:t>AG </w:t>
      </w:r>
      <w:r>
        <w:rPr/>
        <w:t>en </w:t>
      </w:r>
      <w:r>
        <w:rPr>
          <w:spacing w:val="-3"/>
        </w:rPr>
        <w:t>la </w:t>
      </w:r>
      <w:r>
        <w:rPr/>
        <w:t>leche de los bovinos son sintetizados </w:t>
      </w:r>
      <w:r>
        <w:rPr>
          <w:i/>
        </w:rPr>
        <w:t>de novo </w:t>
      </w:r>
      <w:r>
        <w:rPr/>
        <w:t>en </w:t>
      </w:r>
      <w:r>
        <w:rPr>
          <w:spacing w:val="-5"/>
        </w:rPr>
        <w:t>la </w:t>
      </w:r>
      <w:r>
        <w:rPr/>
        <w:t>glándula mamaria desde acetato, </w:t>
      </w:r>
      <w:r>
        <w:rPr>
          <w:spacing w:val="-3"/>
        </w:rPr>
        <w:t>como </w:t>
      </w:r>
      <w:r>
        <w:rPr/>
        <w:t>fuente de carbonos, producido en el rumen por </w:t>
      </w:r>
      <w:r>
        <w:rPr>
          <w:spacing w:val="-5"/>
        </w:rPr>
        <w:t>la </w:t>
      </w:r>
      <w:r>
        <w:rPr/>
        <w:t>fermentación de carbohidratos y β-hidroxibutirato (BHBA), producido por el epitelio del rumen desde el butirato absorbido, proporcionando aproximadamente </w:t>
      </w:r>
      <w:r>
        <w:rPr>
          <w:spacing w:val="-5"/>
        </w:rPr>
        <w:t>la </w:t>
      </w:r>
      <w:r>
        <w:rPr>
          <w:spacing w:val="-3"/>
        </w:rPr>
        <w:t>mitad </w:t>
      </w:r>
      <w:r>
        <w:rPr/>
        <w:t>de los primeros cuatro carbonos de los </w:t>
      </w:r>
      <w:r>
        <w:rPr>
          <w:spacing w:val="-3"/>
        </w:rPr>
        <w:t>AG </w:t>
      </w:r>
      <w:r>
        <w:rPr/>
        <w:t>sintetizados </w:t>
      </w:r>
      <w:r>
        <w:rPr>
          <w:i/>
        </w:rPr>
        <w:t>de novo </w:t>
      </w:r>
      <w:r>
        <w:rPr/>
        <w:t>(Bauman y Davis, 1974). Los </w:t>
      </w:r>
      <w:r>
        <w:rPr>
          <w:spacing w:val="-3"/>
        </w:rPr>
        <w:t>AG </w:t>
      </w:r>
      <w:r>
        <w:rPr/>
        <w:t>de longitud de cadena de C4 a C14 y aproximadamente </w:t>
      </w:r>
      <w:r>
        <w:rPr>
          <w:spacing w:val="-5"/>
        </w:rPr>
        <w:t>la </w:t>
      </w:r>
      <w:r>
        <w:rPr/>
        <w:t>mitad del ácido palmítico (C16:0) son derivados de </w:t>
      </w:r>
      <w:r>
        <w:rPr>
          <w:spacing w:val="-5"/>
        </w:rPr>
        <w:t>la </w:t>
      </w:r>
      <w:r>
        <w:rPr/>
        <w:t>síntesis </w:t>
      </w:r>
      <w:r>
        <w:rPr>
          <w:i/>
        </w:rPr>
        <w:t>de novo </w:t>
      </w:r>
      <w:r>
        <w:rPr/>
        <w:t>en </w:t>
      </w:r>
      <w:r>
        <w:rPr>
          <w:spacing w:val="-4"/>
        </w:rPr>
        <w:t>las </w:t>
      </w:r>
      <w:r>
        <w:rPr/>
        <w:t>células epiteliales mamarias. El resto de C16:0 y todos los </w:t>
      </w:r>
      <w:r>
        <w:rPr>
          <w:spacing w:val="-3"/>
        </w:rPr>
        <w:t>AG </w:t>
      </w:r>
      <w:r>
        <w:rPr/>
        <w:t>de cadena más larga son de origen circulatorio provenientes de </w:t>
      </w:r>
      <w:r>
        <w:rPr>
          <w:spacing w:val="-5"/>
        </w:rPr>
        <w:t>la </w:t>
      </w:r>
      <w:r>
        <w:rPr/>
        <w:t>absorción intestinal de los </w:t>
      </w:r>
      <w:r>
        <w:rPr>
          <w:spacing w:val="-3"/>
        </w:rPr>
        <w:t>AG </w:t>
      </w:r>
      <w:r>
        <w:rPr/>
        <w:t>de </w:t>
      </w:r>
      <w:r>
        <w:rPr>
          <w:spacing w:val="-5"/>
        </w:rPr>
        <w:t>la </w:t>
      </w:r>
      <w:r>
        <w:rPr/>
        <w:t>dieta o de </w:t>
      </w:r>
      <w:r>
        <w:rPr>
          <w:spacing w:val="-5"/>
        </w:rPr>
        <w:t>la </w:t>
      </w:r>
      <w:r>
        <w:rPr/>
        <w:t>movilización de reservas corporales (Bauman y Griinari, 2001). Se puede considerar que el 50% de los </w:t>
      </w:r>
      <w:r>
        <w:rPr>
          <w:spacing w:val="-3"/>
        </w:rPr>
        <w:t>AG </w:t>
      </w:r>
      <w:r>
        <w:rPr>
          <w:spacing w:val="2"/>
        </w:rPr>
        <w:t>de </w:t>
      </w:r>
      <w:r>
        <w:rPr>
          <w:spacing w:val="-3"/>
        </w:rPr>
        <w:t>la </w:t>
      </w:r>
      <w:r>
        <w:rPr/>
        <w:t>leche proceden de </w:t>
      </w:r>
      <w:r>
        <w:rPr>
          <w:spacing w:val="-3"/>
        </w:rPr>
        <w:t>la </w:t>
      </w:r>
      <w:r>
        <w:rPr/>
        <w:t>síntesis endógena a  partir del acetato (40 %) y β-hidroxibutirato (10 %), mientras que el restante procederá de los triglicéridos</w:t>
      </w:r>
      <w:r>
        <w:rPr>
          <w:spacing w:val="-16"/>
        </w:rPr>
        <w:t> </w:t>
      </w:r>
      <w:r>
        <w:rPr/>
        <w:t>plasmáticos.</w:t>
      </w:r>
    </w:p>
    <w:p>
      <w:pPr>
        <w:pStyle w:val="BodyText"/>
        <w:spacing w:line="355" w:lineRule="auto" w:before="184"/>
        <w:ind w:left="512" w:right="103"/>
        <w:jc w:val="both"/>
      </w:pPr>
      <w:r>
        <w:rPr/>
        <w:t>La actividad de </w:t>
      </w:r>
      <w:r>
        <w:rPr>
          <w:spacing w:val="-3"/>
        </w:rPr>
        <w:t>la </w:t>
      </w:r>
      <w:r>
        <w:rPr/>
        <w:t>enzima </w:t>
      </w:r>
      <w:r>
        <w:rPr>
          <w:rFonts w:ascii="Calibri" w:hAnsi="Calibri"/>
        </w:rPr>
        <w:t>∆</w:t>
      </w:r>
      <w:r>
        <w:rPr>
          <w:position w:val="11"/>
          <w:sz w:val="16"/>
        </w:rPr>
        <w:t>9</w:t>
      </w:r>
      <w:r>
        <w:rPr/>
        <w:t>-desaturasa está relacionada con </w:t>
      </w:r>
      <w:r>
        <w:rPr>
          <w:spacing w:val="-3"/>
        </w:rPr>
        <w:t>la </w:t>
      </w:r>
      <w:r>
        <w:rPr/>
        <w:t>síntesis de algunos </w:t>
      </w:r>
      <w:r>
        <w:rPr>
          <w:spacing w:val="-3"/>
        </w:rPr>
        <w:t>AG </w:t>
      </w:r>
      <w:r>
        <w:rPr/>
        <w:t>en  </w:t>
      </w:r>
      <w:r>
        <w:rPr>
          <w:spacing w:val="-3"/>
        </w:rPr>
        <w:t>la </w:t>
      </w:r>
      <w:r>
        <w:rPr/>
        <w:t>glándula mamaria por </w:t>
      </w:r>
      <w:r>
        <w:rPr>
          <w:spacing w:val="-4"/>
        </w:rPr>
        <w:t>medio </w:t>
      </w:r>
      <w:r>
        <w:rPr/>
        <w:t>de </w:t>
      </w:r>
      <w:r>
        <w:rPr>
          <w:spacing w:val="-3"/>
        </w:rPr>
        <w:t>la </w:t>
      </w:r>
      <w:r>
        <w:rPr/>
        <w:t>síntesis </w:t>
      </w:r>
      <w:r>
        <w:rPr>
          <w:i/>
        </w:rPr>
        <w:t>de novo </w:t>
      </w:r>
      <w:r>
        <w:rPr/>
        <w:t>y determina </w:t>
      </w:r>
      <w:r>
        <w:rPr>
          <w:spacing w:val="-3"/>
        </w:rPr>
        <w:t>la </w:t>
      </w:r>
      <w:r>
        <w:rPr/>
        <w:t>presencia de estos ácidos en </w:t>
      </w:r>
      <w:r>
        <w:rPr>
          <w:spacing w:val="-3"/>
        </w:rPr>
        <w:t>la </w:t>
      </w:r>
      <w:r>
        <w:rPr/>
        <w:t>leche. La acción de esta </w:t>
      </w:r>
      <w:r>
        <w:rPr>
          <w:spacing w:val="-3"/>
        </w:rPr>
        <w:t>enzima </w:t>
      </w:r>
      <w:r>
        <w:rPr/>
        <w:t>consiste en introducir un doble enlace </w:t>
      </w:r>
      <w:r>
        <w:rPr>
          <w:i/>
        </w:rPr>
        <w:t>cis</w:t>
      </w:r>
      <w:r>
        <w:rPr/>
        <w:t>-9 a los ácidos mirístico, palmítico, esteárico y vaccénico, los cuales sirven como sustrato para dar </w:t>
      </w:r>
      <w:r>
        <w:rPr>
          <w:spacing w:val="-3"/>
        </w:rPr>
        <w:t>lugar </w:t>
      </w:r>
      <w:r>
        <w:rPr/>
        <w:t>a </w:t>
      </w:r>
      <w:r>
        <w:rPr>
          <w:spacing w:val="-5"/>
        </w:rPr>
        <w:t>la </w:t>
      </w:r>
      <w:r>
        <w:rPr/>
        <w:t>síntesis de los ácidos miristoleico, palmitoleico, oleico y ácido linoleico conjugado (CLA, C18:2 </w:t>
      </w:r>
      <w:r>
        <w:rPr>
          <w:i/>
        </w:rPr>
        <w:t>cis-</w:t>
      </w:r>
      <w:r>
        <w:rPr/>
        <w:t>9 </w:t>
      </w:r>
      <w:r>
        <w:rPr>
          <w:i/>
        </w:rPr>
        <w:t>trans-</w:t>
      </w:r>
      <w:r>
        <w:rPr/>
        <w:t>11), respectivamente. La relación de estos pares de ácidos grasos definen </w:t>
      </w:r>
      <w:r>
        <w:rPr>
          <w:spacing w:val="-3"/>
        </w:rPr>
        <w:t>la </w:t>
      </w:r>
      <w:r>
        <w:rPr/>
        <w:t>actividad de </w:t>
      </w:r>
      <w:r>
        <w:rPr>
          <w:spacing w:val="-5"/>
        </w:rPr>
        <w:t>la </w:t>
      </w:r>
      <w:r>
        <w:rPr/>
        <w:t>enzima </w:t>
      </w:r>
      <w:r>
        <w:rPr>
          <w:rFonts w:ascii="Calibri" w:hAnsi="Calibri"/>
        </w:rPr>
        <w:t>∆</w:t>
      </w:r>
      <w:r>
        <w:rPr>
          <w:position w:val="11"/>
          <w:sz w:val="16"/>
        </w:rPr>
        <w:t>9</w:t>
      </w:r>
      <w:r>
        <w:rPr/>
        <w:t>-desaturasa en </w:t>
      </w:r>
      <w:r>
        <w:rPr>
          <w:spacing w:val="-5"/>
        </w:rPr>
        <w:t>la </w:t>
      </w:r>
      <w:r>
        <w:rPr/>
        <w:t>glándula mamaria (Griinari </w:t>
      </w:r>
      <w:r>
        <w:rPr>
          <w:i/>
        </w:rPr>
        <w:t>et al</w:t>
      </w:r>
      <w:r>
        <w:rPr/>
        <w:t>.,</w:t>
      </w:r>
      <w:r>
        <w:rPr>
          <w:spacing w:val="-8"/>
        </w:rPr>
        <w:t> </w:t>
      </w:r>
      <w:r>
        <w:rPr/>
        <w:t>2000).</w:t>
      </w:r>
    </w:p>
    <w:p>
      <w:pPr>
        <w:pStyle w:val="BodyText"/>
        <w:spacing w:before="1"/>
        <w:rPr>
          <w:sz w:val="19"/>
        </w:rPr>
      </w:pPr>
    </w:p>
    <w:p>
      <w:pPr>
        <w:pStyle w:val="Heading1"/>
        <w:numPr>
          <w:ilvl w:val="0"/>
          <w:numId w:val="4"/>
        </w:numPr>
        <w:tabs>
          <w:tab w:pos="1233" w:val="left" w:leader="none"/>
        </w:tabs>
        <w:spacing w:line="355" w:lineRule="auto" w:before="1" w:after="0"/>
        <w:ind w:left="1233" w:right="111" w:hanging="360"/>
        <w:jc w:val="left"/>
      </w:pPr>
      <w:bookmarkStart w:name="_TOC_250030" w:id="36"/>
      <w:r>
        <w:rPr/>
        <w:t>FACTORES QUE DETERMINAN EL PERFIL DE ÁCIDOS GRASOS Y ÁCIDO LINOLEICO CONJUGADO EN LA</w:t>
      </w:r>
      <w:r>
        <w:rPr>
          <w:spacing w:val="-12"/>
        </w:rPr>
        <w:t> </w:t>
      </w:r>
      <w:bookmarkEnd w:id="36"/>
      <w:r>
        <w:rPr/>
        <w:t>LECHE</w:t>
      </w:r>
    </w:p>
    <w:p>
      <w:pPr>
        <w:pStyle w:val="BodyText"/>
        <w:spacing w:line="360" w:lineRule="auto" w:before="211"/>
        <w:ind w:left="512" w:right="113"/>
        <w:jc w:val="both"/>
      </w:pPr>
      <w:r>
        <w:rPr/>
        <w:t>La leche y sus derivados lácteos representan una fuente valiosa de nutrientes como proteínas, vitaminas, energía, calcio y otros minerales. La grasa de la leche es una fuente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1"/>
        <w:jc w:val="both"/>
      </w:pPr>
      <w:r>
        <w:rPr/>
        <w:t>muy rica en AG, en especial CLA (C18:2 </w:t>
      </w:r>
      <w:r>
        <w:rPr>
          <w:i/>
        </w:rPr>
        <w:t>cis-</w:t>
      </w:r>
      <w:r>
        <w:rPr/>
        <w:t>9 </w:t>
      </w:r>
      <w:r>
        <w:rPr>
          <w:i/>
        </w:rPr>
        <w:t>tras-</w:t>
      </w:r>
      <w:r>
        <w:rPr/>
        <w:t>11), que </w:t>
      </w:r>
      <w:r>
        <w:rPr>
          <w:spacing w:val="-3"/>
        </w:rPr>
        <w:t>como </w:t>
      </w:r>
      <w:r>
        <w:rPr>
          <w:spacing w:val="-5"/>
        </w:rPr>
        <w:t>ya </w:t>
      </w:r>
      <w:r>
        <w:rPr/>
        <w:t>se </w:t>
      </w:r>
      <w:r>
        <w:rPr>
          <w:spacing w:val="-3"/>
        </w:rPr>
        <w:t>ha </w:t>
      </w:r>
      <w:r>
        <w:rPr/>
        <w:t>mencionado anteriormente, </w:t>
      </w:r>
      <w:r>
        <w:rPr>
          <w:spacing w:val="-3"/>
        </w:rPr>
        <w:t>podría </w:t>
      </w:r>
      <w:r>
        <w:rPr/>
        <w:t>representar un nutriente con potenciales beneficios sobre </w:t>
      </w:r>
      <w:r>
        <w:rPr>
          <w:spacing w:val="-3"/>
        </w:rPr>
        <w:t>la </w:t>
      </w:r>
      <w:r>
        <w:rPr/>
        <w:t>salud. Por </w:t>
      </w:r>
      <w:r>
        <w:rPr>
          <w:spacing w:val="-5"/>
        </w:rPr>
        <w:t>lo </w:t>
      </w:r>
      <w:r>
        <w:rPr/>
        <w:t>tanto, los investigadores y </w:t>
      </w:r>
      <w:r>
        <w:rPr>
          <w:spacing w:val="-3"/>
        </w:rPr>
        <w:t>la </w:t>
      </w:r>
      <w:r>
        <w:rPr/>
        <w:t>industria lechera han mostrado gran interés por el desarrollo de estrategias para alterar el perfil de </w:t>
      </w:r>
      <w:r>
        <w:rPr>
          <w:spacing w:val="-3"/>
        </w:rPr>
        <w:t>AG </w:t>
      </w:r>
      <w:r>
        <w:rPr/>
        <w:t>en </w:t>
      </w:r>
      <w:r>
        <w:rPr>
          <w:spacing w:val="-5"/>
        </w:rPr>
        <w:t>la </w:t>
      </w:r>
      <w:r>
        <w:rPr/>
        <w:t>leche y sus derivados, disminuyendo </w:t>
      </w:r>
      <w:r>
        <w:rPr>
          <w:spacing w:val="-5"/>
        </w:rPr>
        <w:t>la </w:t>
      </w:r>
      <w:r>
        <w:rPr/>
        <w:t>proporción de AGS, particularmente de ácidos de cadena </w:t>
      </w:r>
      <w:r>
        <w:rPr>
          <w:spacing w:val="-3"/>
        </w:rPr>
        <w:t>media </w:t>
      </w:r>
      <w:r>
        <w:rPr/>
        <w:t>como C12:0, C14:0 y C16:0, asociados con problemas cardiovasculares (Grundy, 1994), e incrementando </w:t>
      </w:r>
      <w:r>
        <w:rPr>
          <w:spacing w:val="-4"/>
        </w:rPr>
        <w:t>las</w:t>
      </w:r>
      <w:r>
        <w:rPr>
          <w:spacing w:val="52"/>
        </w:rPr>
        <w:t> </w:t>
      </w:r>
      <w:r>
        <w:rPr/>
        <w:t>concentraciones de ácido oleico (C18:1 </w:t>
      </w:r>
      <w:r>
        <w:rPr>
          <w:i/>
        </w:rPr>
        <w:t>cis</w:t>
      </w:r>
      <w:r>
        <w:rPr/>
        <w:t>-9), AGPI omega 3 y CLA (C18:2 </w:t>
      </w:r>
      <w:r>
        <w:rPr>
          <w:i/>
        </w:rPr>
        <w:t>cis-</w:t>
      </w:r>
      <w:r>
        <w:rPr/>
        <w:t>9 </w:t>
      </w:r>
      <w:r>
        <w:rPr>
          <w:i/>
        </w:rPr>
        <w:t>tras-</w:t>
      </w:r>
      <w:r>
        <w:rPr/>
        <w:t>11) como estrategia para mejorar </w:t>
      </w:r>
      <w:r>
        <w:rPr>
          <w:spacing w:val="-5"/>
        </w:rPr>
        <w:t>la </w:t>
      </w:r>
      <w:r>
        <w:rPr/>
        <w:t>salud humana a largo </w:t>
      </w:r>
      <w:r>
        <w:rPr>
          <w:spacing w:val="-3"/>
        </w:rPr>
        <w:t>plazo </w:t>
      </w:r>
      <w:r>
        <w:rPr/>
        <w:t>(Dewhurst, 2005), </w:t>
      </w:r>
      <w:r>
        <w:rPr>
          <w:spacing w:val="-5"/>
        </w:rPr>
        <w:t>ya </w:t>
      </w:r>
      <w:r>
        <w:rPr/>
        <w:t>que representa un producto para </w:t>
      </w:r>
      <w:r>
        <w:rPr>
          <w:spacing w:val="-3"/>
        </w:rPr>
        <w:t>consumo </w:t>
      </w:r>
      <w:r>
        <w:rPr>
          <w:spacing w:val="-4"/>
        </w:rPr>
        <w:t>más </w:t>
      </w:r>
      <w:r>
        <w:rPr/>
        <w:t>saludable al contener una menor proporción de grasas saturadas y un alto contenido de nutrientes con potenciales beneficios a </w:t>
      </w:r>
      <w:r>
        <w:rPr>
          <w:spacing w:val="-3"/>
        </w:rPr>
        <w:t>la </w:t>
      </w:r>
      <w:r>
        <w:rPr/>
        <w:t>salud.</w:t>
      </w:r>
    </w:p>
    <w:p>
      <w:pPr>
        <w:pStyle w:val="BodyText"/>
        <w:spacing w:line="360" w:lineRule="auto" w:before="211"/>
        <w:ind w:left="512" w:right="102"/>
        <w:jc w:val="both"/>
      </w:pPr>
      <w:r>
        <w:rPr/>
        <w:t>Existen diferentes factores que pueden modificar el perfil de AG y los contenidos de CLA en la leche y están relacionados principalmente con el medio ambiente, el animal y la dieta. La manipulación de la dieta del animal ha sido el factor más importante en la modificación del perfil de AG y las concentraciones de CLA en la leche de los bovinos (Bauman </w:t>
      </w:r>
      <w:r>
        <w:rPr>
          <w:i/>
        </w:rPr>
        <w:t>et al., </w:t>
      </w:r>
      <w:r>
        <w:rPr/>
        <w:t>2001; Chilliard </w:t>
      </w:r>
      <w:r>
        <w:rPr>
          <w:i/>
        </w:rPr>
        <w:t>et al., </w:t>
      </w:r>
      <w:r>
        <w:rPr/>
        <w:t>2000; Morales-Almaráz </w:t>
      </w:r>
      <w:r>
        <w:rPr>
          <w:i/>
        </w:rPr>
        <w:t>et al</w:t>
      </w:r>
      <w:r>
        <w:rPr/>
        <w:t>., 2010).</w:t>
      </w:r>
    </w:p>
    <w:p>
      <w:pPr>
        <w:pStyle w:val="Heading1"/>
        <w:numPr>
          <w:ilvl w:val="1"/>
          <w:numId w:val="4"/>
        </w:numPr>
        <w:tabs>
          <w:tab w:pos="1277" w:val="left" w:leader="none"/>
        </w:tabs>
        <w:spacing w:line="240" w:lineRule="auto" w:before="210" w:after="0"/>
        <w:ind w:left="1276" w:right="0" w:hanging="403"/>
        <w:jc w:val="left"/>
      </w:pPr>
      <w:bookmarkStart w:name="_TOC_250029" w:id="37"/>
      <w:r>
        <w:rPr/>
        <w:t>La</w:t>
      </w:r>
      <w:r>
        <w:rPr>
          <w:spacing w:val="-10"/>
        </w:rPr>
        <w:t> </w:t>
      </w:r>
      <w:bookmarkEnd w:id="37"/>
      <w:r>
        <w:rPr/>
        <w:t>alimentación</w:t>
      </w:r>
    </w:p>
    <w:p>
      <w:pPr>
        <w:pStyle w:val="BodyText"/>
        <w:spacing w:before="5"/>
        <w:rPr>
          <w:b/>
          <w:sz w:val="29"/>
        </w:rPr>
      </w:pPr>
    </w:p>
    <w:p>
      <w:pPr>
        <w:pStyle w:val="BodyText"/>
        <w:spacing w:line="360" w:lineRule="auto"/>
        <w:ind w:left="512" w:right="101"/>
        <w:jc w:val="both"/>
      </w:pPr>
      <w:r>
        <w:rPr/>
        <w:t>La variación en el contenido de </w:t>
      </w:r>
      <w:r>
        <w:rPr>
          <w:spacing w:val="-3"/>
        </w:rPr>
        <w:t>AG </w:t>
      </w:r>
      <w:r>
        <w:rPr/>
        <w:t>y de CLA en </w:t>
      </w:r>
      <w:r>
        <w:rPr>
          <w:spacing w:val="-3"/>
        </w:rPr>
        <w:t>la </w:t>
      </w:r>
      <w:r>
        <w:rPr/>
        <w:t>leche se produce principalmente por el efecto de </w:t>
      </w:r>
      <w:r>
        <w:rPr>
          <w:spacing w:val="-5"/>
        </w:rPr>
        <w:t>la </w:t>
      </w:r>
      <w:r>
        <w:rPr/>
        <w:t>dieta (Bauman </w:t>
      </w:r>
      <w:r>
        <w:rPr>
          <w:i/>
        </w:rPr>
        <w:t>et al., </w:t>
      </w:r>
      <w:r>
        <w:rPr/>
        <w:t>2001). La manipulación de </w:t>
      </w:r>
      <w:r>
        <w:rPr>
          <w:spacing w:val="-3"/>
        </w:rPr>
        <w:t>la </w:t>
      </w:r>
      <w:r>
        <w:rPr/>
        <w:t>dieta del animal ha sido </w:t>
      </w:r>
      <w:r>
        <w:rPr>
          <w:spacing w:val="-5"/>
        </w:rPr>
        <w:t>la </w:t>
      </w:r>
      <w:r>
        <w:rPr/>
        <w:t>más estudiada para incrementar el contenido de C18:2 </w:t>
      </w:r>
      <w:r>
        <w:rPr>
          <w:i/>
        </w:rPr>
        <w:t>cis-</w:t>
      </w:r>
      <w:r>
        <w:rPr/>
        <w:t>9 </w:t>
      </w:r>
      <w:r>
        <w:rPr>
          <w:i/>
        </w:rPr>
        <w:t>trans-</w:t>
      </w:r>
      <w:r>
        <w:rPr/>
        <w:t>11 en los alimentos de  los rumiantes (Jiang </w:t>
      </w:r>
      <w:r>
        <w:rPr>
          <w:i/>
        </w:rPr>
        <w:t>et al., </w:t>
      </w:r>
      <w:r>
        <w:rPr/>
        <w:t>1996; Jahreis </w:t>
      </w:r>
      <w:r>
        <w:rPr>
          <w:i/>
        </w:rPr>
        <w:t>et al</w:t>
      </w:r>
      <w:r>
        <w:rPr/>
        <w:t>., 1997; Lawless </w:t>
      </w:r>
      <w:r>
        <w:rPr>
          <w:i/>
        </w:rPr>
        <w:t>et al., </w:t>
      </w:r>
      <w:r>
        <w:rPr/>
        <w:t>1998; Dhiman </w:t>
      </w:r>
      <w:r>
        <w:rPr>
          <w:i/>
        </w:rPr>
        <w:t>et al</w:t>
      </w:r>
      <w:r>
        <w:rPr/>
        <w:t>., 2000). Diferentes estudios reportan incrementos del contenido de CLA y disminución del contenido de AGS en leche por </w:t>
      </w:r>
      <w:r>
        <w:rPr>
          <w:spacing w:val="-4"/>
        </w:rPr>
        <w:t>medio </w:t>
      </w:r>
      <w:r>
        <w:rPr/>
        <w:t>del pastoreo (Dhiman </w:t>
      </w:r>
      <w:r>
        <w:rPr>
          <w:i/>
        </w:rPr>
        <w:t>et al.</w:t>
      </w:r>
      <w:r>
        <w:rPr/>
        <w:t>, 1999; Loor </w:t>
      </w:r>
      <w:r>
        <w:rPr>
          <w:i/>
        </w:rPr>
        <w:t>et al</w:t>
      </w:r>
      <w:r>
        <w:rPr/>
        <w:t>., 2002; Khanal </w:t>
      </w:r>
      <w:r>
        <w:rPr>
          <w:i/>
        </w:rPr>
        <w:t>et al</w:t>
      </w:r>
      <w:r>
        <w:rPr/>
        <w:t>., 2003; Kay </w:t>
      </w:r>
      <w:r>
        <w:rPr>
          <w:i/>
        </w:rPr>
        <w:t>et al., </w:t>
      </w:r>
      <w:r>
        <w:rPr/>
        <w:t>2004; Morales-Almaráz </w:t>
      </w:r>
      <w:r>
        <w:rPr>
          <w:i/>
        </w:rPr>
        <w:t>et al</w:t>
      </w:r>
      <w:r>
        <w:rPr/>
        <w:t>., 2010; 2011), </w:t>
      </w:r>
      <w:r>
        <w:rPr>
          <w:spacing w:val="-5"/>
        </w:rPr>
        <w:t>la </w:t>
      </w:r>
      <w:r>
        <w:rPr/>
        <w:t>complementación con aceite de plantas y semillas (Dhiman </w:t>
      </w:r>
      <w:r>
        <w:rPr>
          <w:i/>
        </w:rPr>
        <w:t>et al</w:t>
      </w:r>
      <w:r>
        <w:rPr/>
        <w:t>., 2000; Khanal </w:t>
      </w:r>
      <w:r>
        <w:rPr>
          <w:i/>
        </w:rPr>
        <w:t>et al</w:t>
      </w:r>
      <w:r>
        <w:rPr/>
        <w:t>.,  2002) y por </w:t>
      </w:r>
      <w:r>
        <w:rPr>
          <w:spacing w:val="-5"/>
        </w:rPr>
        <w:t>la </w:t>
      </w:r>
      <w:r>
        <w:rPr/>
        <w:t>complementación con aceite de pescado (Donovan </w:t>
      </w:r>
      <w:r>
        <w:rPr>
          <w:i/>
        </w:rPr>
        <w:t>et al</w:t>
      </w:r>
      <w:r>
        <w:rPr/>
        <w:t>., 2000; </w:t>
      </w:r>
      <w:r>
        <w:rPr>
          <w:spacing w:val="-3"/>
        </w:rPr>
        <w:t>Abu- </w:t>
      </w:r>
      <w:r>
        <w:rPr/>
        <w:t>Ghazaleh </w:t>
      </w:r>
      <w:r>
        <w:rPr>
          <w:i/>
        </w:rPr>
        <w:t>et al</w:t>
      </w:r>
      <w:r>
        <w:rPr/>
        <w:t>., 2003). Los factos alimenticios más importantes que modifican el contenido de </w:t>
      </w:r>
      <w:r>
        <w:rPr>
          <w:spacing w:val="-3"/>
        </w:rPr>
        <w:t>AG </w:t>
      </w:r>
      <w:r>
        <w:rPr/>
        <w:t>en </w:t>
      </w:r>
      <w:r>
        <w:rPr>
          <w:spacing w:val="-3"/>
        </w:rPr>
        <w:t>la </w:t>
      </w:r>
      <w:r>
        <w:rPr/>
        <w:t>leche son el pastoreo, </w:t>
      </w:r>
      <w:r>
        <w:rPr>
          <w:spacing w:val="-5"/>
        </w:rPr>
        <w:t>la </w:t>
      </w:r>
      <w:r>
        <w:rPr/>
        <w:t>complementación con ensilados </w:t>
      </w:r>
      <w:r>
        <w:rPr>
          <w:spacing w:val="-4"/>
        </w:rPr>
        <w:t>y/o </w:t>
      </w:r>
      <w:r>
        <w:rPr/>
        <w:t>concentrados y </w:t>
      </w:r>
      <w:r>
        <w:rPr>
          <w:spacing w:val="-3"/>
        </w:rPr>
        <w:t>la </w:t>
      </w:r>
      <w:r>
        <w:rPr/>
        <w:t>utilización de grasas y aceites en </w:t>
      </w:r>
      <w:r>
        <w:rPr>
          <w:spacing w:val="-5"/>
        </w:rPr>
        <w:t>la </w:t>
      </w:r>
      <w:r>
        <w:rPr/>
        <w:t>dieta del</w:t>
      </w:r>
      <w:r>
        <w:rPr>
          <w:spacing w:val="-17"/>
        </w:rPr>
        <w:t> </w:t>
      </w:r>
      <w:r>
        <w:rPr/>
        <w:t>animal.</w:t>
      </w:r>
    </w:p>
    <w:p>
      <w:pPr>
        <w:spacing w:after="0" w:line="360" w:lineRule="auto"/>
        <w:jc w:val="both"/>
        <w:sectPr>
          <w:footerReference w:type="default" r:id="rId19"/>
          <w:pgSz w:w="12240" w:h="15840"/>
          <w:pgMar w:footer="1382" w:header="1150" w:top="1420" w:bottom="1580" w:left="1360" w:right="1420"/>
        </w:sectPr>
      </w:pPr>
    </w:p>
    <w:p>
      <w:pPr>
        <w:pStyle w:val="BodyText"/>
        <w:spacing w:before="3"/>
        <w:rPr>
          <w:sz w:val="27"/>
        </w:rPr>
      </w:pPr>
    </w:p>
    <w:p>
      <w:pPr>
        <w:pStyle w:val="Heading1"/>
        <w:numPr>
          <w:ilvl w:val="2"/>
          <w:numId w:val="4"/>
        </w:numPr>
        <w:tabs>
          <w:tab w:pos="1592" w:val="left" w:leader="none"/>
          <w:tab w:pos="1593" w:val="left" w:leader="none"/>
        </w:tabs>
        <w:spacing w:line="240" w:lineRule="auto" w:before="69" w:after="0"/>
        <w:ind w:left="1593" w:right="0" w:hanging="720"/>
        <w:jc w:val="left"/>
      </w:pPr>
      <w:bookmarkStart w:name="_TOC_250028" w:id="38"/>
      <w:r>
        <w:rPr/>
        <w:t>Efecto del</w:t>
      </w:r>
      <w:r>
        <w:rPr>
          <w:spacing w:val="-15"/>
        </w:rPr>
        <w:t> </w:t>
      </w:r>
      <w:bookmarkEnd w:id="38"/>
      <w:r>
        <w:rPr/>
        <w:t>pastoreo</w:t>
      </w:r>
    </w:p>
    <w:p>
      <w:pPr>
        <w:pStyle w:val="BodyText"/>
        <w:spacing w:before="5"/>
        <w:rPr>
          <w:b/>
          <w:sz w:val="29"/>
        </w:rPr>
      </w:pPr>
    </w:p>
    <w:p>
      <w:pPr>
        <w:pStyle w:val="BodyText"/>
        <w:spacing w:line="360" w:lineRule="auto"/>
        <w:ind w:left="512" w:right="100"/>
        <w:jc w:val="both"/>
      </w:pPr>
      <w:r>
        <w:rPr/>
        <w:t>El contenido de </w:t>
      </w:r>
      <w:r>
        <w:rPr>
          <w:spacing w:val="-3"/>
        </w:rPr>
        <w:t>AG </w:t>
      </w:r>
      <w:r>
        <w:rPr/>
        <w:t>en los forrajes verdes está conformado aproximadamente por un 95% de ácidos linolénico (C18:3 </w:t>
      </w:r>
      <w:r>
        <w:rPr>
          <w:i/>
        </w:rPr>
        <w:t>cis-</w:t>
      </w:r>
      <w:r>
        <w:rPr/>
        <w:t>9 </w:t>
      </w:r>
      <w:r>
        <w:rPr>
          <w:i/>
        </w:rPr>
        <w:t>cis-</w:t>
      </w:r>
      <w:r>
        <w:rPr/>
        <w:t>12 </w:t>
      </w:r>
      <w:r>
        <w:rPr>
          <w:i/>
        </w:rPr>
        <w:t>cis-</w:t>
      </w:r>
      <w:r>
        <w:rPr/>
        <w:t>15), linoleico (C18:2 </w:t>
      </w:r>
      <w:r>
        <w:rPr>
          <w:i/>
        </w:rPr>
        <w:t>cis-</w:t>
      </w:r>
      <w:r>
        <w:rPr/>
        <w:t>9 </w:t>
      </w:r>
      <w:r>
        <w:rPr>
          <w:i/>
        </w:rPr>
        <w:t>cis-</w:t>
      </w:r>
      <w:r>
        <w:rPr/>
        <w:t>12) y palmítico (C16:0) (Hawke, 1973; Bauchard </w:t>
      </w:r>
      <w:r>
        <w:rPr>
          <w:i/>
        </w:rPr>
        <w:t>et al., </w:t>
      </w:r>
      <w:r>
        <w:rPr/>
        <w:t>1984; Elgersma </w:t>
      </w:r>
      <w:r>
        <w:rPr>
          <w:i/>
        </w:rPr>
        <w:t>et al., </w:t>
      </w:r>
      <w:r>
        <w:rPr/>
        <w:t>2003). Una alta proporción (50-75%) se encuentra en forma de linolénico, por </w:t>
      </w:r>
      <w:r>
        <w:rPr>
          <w:spacing w:val="-5"/>
        </w:rPr>
        <w:t>lo </w:t>
      </w:r>
      <w:r>
        <w:rPr/>
        <w:t>que representaría una fuente natural y ambientalmente sostenible como sustrato para síntesis de CLA y ácido vaccénico en el rumen, y de forma indirecta en </w:t>
      </w:r>
      <w:r>
        <w:rPr>
          <w:spacing w:val="-5"/>
        </w:rPr>
        <w:t>la </w:t>
      </w:r>
      <w:r>
        <w:rPr/>
        <w:t>leche por su aporte de vaccénico a </w:t>
      </w:r>
      <w:r>
        <w:rPr>
          <w:spacing w:val="-5"/>
        </w:rPr>
        <w:t>la </w:t>
      </w:r>
      <w:r>
        <w:rPr/>
        <w:t>glándula mamaria como sustrato para </w:t>
      </w:r>
      <w:r>
        <w:rPr>
          <w:spacing w:val="-5"/>
        </w:rPr>
        <w:t>la </w:t>
      </w:r>
      <w:r>
        <w:rPr/>
        <w:t>síntesis de CLA (Elgersma </w:t>
      </w:r>
      <w:r>
        <w:rPr>
          <w:i/>
        </w:rPr>
        <w:t>et al., </w:t>
      </w:r>
      <w:r>
        <w:rPr/>
        <w:t>2005; Griinari </w:t>
      </w:r>
      <w:r>
        <w:rPr>
          <w:i/>
        </w:rPr>
        <w:t>et al</w:t>
      </w:r>
      <w:r>
        <w:rPr/>
        <w:t>., 2000). Por esta razón </w:t>
      </w:r>
      <w:r>
        <w:rPr>
          <w:spacing w:val="-5"/>
        </w:rPr>
        <w:t>la </w:t>
      </w:r>
      <w:r>
        <w:rPr/>
        <w:t>alimentación con forrajes frescos representa </w:t>
      </w:r>
      <w:r>
        <w:rPr>
          <w:spacing w:val="-3"/>
        </w:rPr>
        <w:t>la </w:t>
      </w:r>
      <w:r>
        <w:rPr/>
        <w:t>principal y más económica forma  de modificar el perfil de </w:t>
      </w:r>
      <w:r>
        <w:rPr>
          <w:spacing w:val="-3"/>
        </w:rPr>
        <w:t>AG </w:t>
      </w:r>
      <w:r>
        <w:rPr/>
        <w:t>e incrementar aquellos </w:t>
      </w:r>
      <w:r>
        <w:rPr>
          <w:spacing w:val="-3"/>
        </w:rPr>
        <w:t>AG </w:t>
      </w:r>
      <w:r>
        <w:rPr/>
        <w:t>con beneficios a </w:t>
      </w:r>
      <w:r>
        <w:rPr>
          <w:spacing w:val="-5"/>
        </w:rPr>
        <w:t>la </w:t>
      </w:r>
      <w:r>
        <w:rPr/>
        <w:t>salud. En los últimos 20 años se han realizado diferentes investigaciones relacionadas con el efecto del pastoreo sobre los AG en </w:t>
      </w:r>
      <w:r>
        <w:rPr>
          <w:spacing w:val="-5"/>
        </w:rPr>
        <w:t>la </w:t>
      </w:r>
      <w:r>
        <w:rPr/>
        <w:t>leche, en los cuales se reportan una menor cantidad de AGS y un incremento en </w:t>
      </w:r>
      <w:r>
        <w:rPr>
          <w:spacing w:val="-3"/>
        </w:rPr>
        <w:t>CLA, </w:t>
      </w:r>
      <w:r>
        <w:rPr/>
        <w:t>AGPI y oleico por el efecto del pastoreo en comparación con animales en </w:t>
      </w:r>
      <w:r>
        <w:rPr>
          <w:spacing w:val="-3"/>
        </w:rPr>
        <w:t>la</w:t>
      </w:r>
      <w:r>
        <w:rPr>
          <w:spacing w:val="-12"/>
        </w:rPr>
        <w:t> </w:t>
      </w:r>
      <w:r>
        <w:rPr/>
        <w:t>estabulación.</w:t>
      </w:r>
    </w:p>
    <w:p>
      <w:pPr>
        <w:pStyle w:val="BodyText"/>
        <w:spacing w:line="328" w:lineRule="auto" w:before="210"/>
        <w:ind w:left="512" w:right="106"/>
        <w:jc w:val="both"/>
      </w:pPr>
      <w:r>
        <w:rPr/>
        <w:t>Bargo </w:t>
      </w:r>
      <w:r>
        <w:rPr>
          <w:i/>
        </w:rPr>
        <w:t>et al. </w:t>
      </w:r>
      <w:r>
        <w:rPr/>
        <w:t>(2006b) reportaron las mayores concentraciones de los ácidos grasos C16:0, C18:2   </w:t>
      </w:r>
      <w:r>
        <w:rPr>
          <w:i/>
        </w:rPr>
        <w:t>cis-</w:t>
      </w:r>
      <w:r>
        <w:rPr/>
        <w:t>9   </w:t>
      </w:r>
      <w:r>
        <w:rPr>
          <w:i/>
        </w:rPr>
        <w:t>cis-</w:t>
      </w:r>
      <w:r>
        <w:rPr/>
        <w:t>12   y  C18:3   </w:t>
      </w:r>
      <w:r>
        <w:rPr>
          <w:i/>
        </w:rPr>
        <w:t>cis-</w:t>
      </w:r>
      <w:r>
        <w:rPr/>
        <w:t>9   </w:t>
      </w:r>
      <w:r>
        <w:rPr>
          <w:i/>
        </w:rPr>
        <w:t>cis-</w:t>
      </w:r>
      <w:r>
        <w:rPr/>
        <w:t>12   </w:t>
      </w:r>
      <w:r>
        <w:rPr>
          <w:i/>
        </w:rPr>
        <w:t>cis-</w:t>
      </w:r>
      <w:r>
        <w:rPr/>
        <w:t>15   (15.58,   13.01  y  57.41   g   100g</w:t>
      </w:r>
      <w:r>
        <w:rPr>
          <w:position w:val="11"/>
          <w:sz w:val="16"/>
        </w:rPr>
        <w:t>-1</w:t>
      </w:r>
      <w:r>
        <w:rPr/>
        <w:t>,</w:t>
      </w:r>
    </w:p>
    <w:p>
      <w:pPr>
        <w:pStyle w:val="BodyText"/>
        <w:spacing w:line="360" w:lineRule="auto" w:before="24"/>
        <w:ind w:left="512" w:right="100"/>
        <w:jc w:val="both"/>
      </w:pPr>
      <w:r>
        <w:rPr/>
        <w:t>respectivamente), en praderas de pasto bromo y dáctilo, valores relativamente constantes desde mayo a septiembre. Estos investigadores compararon tres tipos de sistemas de alimentación sobre el contenido de AG en leche observando mayor concentración de CLA </w:t>
      </w:r>
      <w:r>
        <w:rPr>
          <w:i/>
        </w:rPr>
        <w:t>cis</w:t>
      </w:r>
      <w:r>
        <w:rPr/>
        <w:t>-9 </w:t>
      </w:r>
      <w:r>
        <w:rPr>
          <w:i/>
        </w:rPr>
        <w:t>trans</w:t>
      </w:r>
      <w:r>
        <w:rPr/>
        <w:t>-11 en vacas en pastoreo comparadas con aquellas alimentadas con TMR (dietas totalmente mezcladas, por sus siglas en ingles) en confinamiento (1.21 </w:t>
      </w:r>
      <w:r>
        <w:rPr>
          <w:i/>
        </w:rPr>
        <w:t>vs </w:t>
      </w:r>
      <w:r>
        <w:rPr/>
        <w:t>0.59 g/100g AG, respectivamente); así mismo, reportan una menor concentración de AGS (43.85  g/100g AG) en el sistema bajo pastoreo comparado con las vacas alimentadas con TMR (38.58 g/100g AG). Esto podría explicar por qué en sistemas de alimentación basados en pastoreo se han observado contenidos más altos del isómero CLA </w:t>
      </w:r>
      <w:r>
        <w:rPr>
          <w:i/>
        </w:rPr>
        <w:t>cis-</w:t>
      </w:r>
      <w:r>
        <w:rPr/>
        <w:t>9 </w:t>
      </w:r>
      <w:r>
        <w:rPr>
          <w:i/>
        </w:rPr>
        <w:t>trans-</w:t>
      </w:r>
      <w:r>
        <w:rPr/>
        <w:t>11 en leche que en los que utilizan TMR sin aporte de forraje verde (Kelly </w:t>
      </w:r>
      <w:r>
        <w:rPr>
          <w:i/>
        </w:rPr>
        <w:t>et al., </w:t>
      </w:r>
      <w:r>
        <w:rPr/>
        <w:t>1998; White </w:t>
      </w:r>
      <w:r>
        <w:rPr>
          <w:i/>
        </w:rPr>
        <w:t>et al., </w:t>
      </w:r>
      <w:r>
        <w:rPr/>
        <w:t>2001; Schroeder </w:t>
      </w:r>
      <w:r>
        <w:rPr>
          <w:i/>
        </w:rPr>
        <w:t>et al., </w:t>
      </w:r>
      <w:r>
        <w:rPr/>
        <w:t>2003; Khanal </w:t>
      </w:r>
      <w:r>
        <w:rPr>
          <w:i/>
        </w:rPr>
        <w:t>et al., </w:t>
      </w:r>
      <w:r>
        <w:rPr/>
        <w:t>2005; Schroeder </w:t>
      </w:r>
      <w:r>
        <w:rPr>
          <w:i/>
        </w:rPr>
        <w:t>et al., </w:t>
      </w:r>
      <w:r>
        <w:rPr/>
        <w:t>2005).</w:t>
      </w:r>
    </w:p>
    <w:p>
      <w:pPr>
        <w:spacing w:after="0" w:line="360" w:lineRule="auto"/>
        <w:jc w:val="both"/>
        <w:sectPr>
          <w:footerReference w:type="default" r:id="rId20"/>
          <w:pgSz w:w="12240" w:h="15840"/>
          <w:pgMar w:footer="1382" w:header="1150" w:top="1420" w:bottom="1580" w:left="1360" w:right="1420"/>
          <w:pgNumType w:start="31"/>
        </w:sectPr>
      </w:pPr>
    </w:p>
    <w:p>
      <w:pPr>
        <w:pStyle w:val="BodyText"/>
        <w:spacing w:before="3"/>
        <w:rPr>
          <w:sz w:val="27"/>
        </w:rPr>
      </w:pPr>
    </w:p>
    <w:p>
      <w:pPr>
        <w:pStyle w:val="BodyText"/>
        <w:spacing w:line="360" w:lineRule="auto" w:before="69"/>
        <w:ind w:left="512" w:right="104"/>
        <w:jc w:val="both"/>
      </w:pPr>
      <w:r>
        <w:rPr/>
        <w:t>Dhiman </w:t>
      </w:r>
      <w:r>
        <w:rPr>
          <w:i/>
        </w:rPr>
        <w:t>et al. </w:t>
      </w:r>
      <w:r>
        <w:rPr/>
        <w:t>(1999) encontraron que vacas en pastoreo tuvieron 5.7 veces más alta </w:t>
      </w:r>
      <w:r>
        <w:rPr>
          <w:spacing w:val="-3"/>
        </w:rPr>
        <w:t>la </w:t>
      </w:r>
      <w:r>
        <w:rPr/>
        <w:t>concentración de CLA en </w:t>
      </w:r>
      <w:r>
        <w:rPr>
          <w:spacing w:val="-3"/>
        </w:rPr>
        <w:t>leche </w:t>
      </w:r>
      <w:r>
        <w:rPr/>
        <w:t>que </w:t>
      </w:r>
      <w:r>
        <w:rPr>
          <w:spacing w:val="-3"/>
        </w:rPr>
        <w:t>las </w:t>
      </w:r>
      <w:r>
        <w:rPr/>
        <w:t>que consumían dietas con </w:t>
      </w:r>
      <w:r>
        <w:rPr>
          <w:spacing w:val="-3"/>
        </w:rPr>
        <w:t>sólo </w:t>
      </w:r>
      <w:r>
        <w:rPr/>
        <w:t>forraje conservado. Vibart </w:t>
      </w:r>
      <w:r>
        <w:rPr>
          <w:i/>
        </w:rPr>
        <w:t>et al</w:t>
      </w:r>
      <w:r>
        <w:rPr/>
        <w:t>. (2008) reportaron una mayor concentración de CLA </w:t>
      </w:r>
      <w:r>
        <w:rPr>
          <w:i/>
        </w:rPr>
        <w:t>cis-</w:t>
      </w:r>
      <w:r>
        <w:rPr/>
        <w:t>9 </w:t>
      </w:r>
      <w:r>
        <w:rPr>
          <w:i/>
        </w:rPr>
        <w:t>trans-</w:t>
      </w:r>
      <w:r>
        <w:rPr/>
        <w:t>11 y menor contenido de AGS cuando se incrementó </w:t>
      </w:r>
      <w:r>
        <w:rPr>
          <w:spacing w:val="-5"/>
        </w:rPr>
        <w:t>la </w:t>
      </w:r>
      <w:r>
        <w:rPr/>
        <w:t>proporción de forraje en </w:t>
      </w:r>
      <w:r>
        <w:rPr>
          <w:spacing w:val="-3"/>
        </w:rPr>
        <w:t>la </w:t>
      </w:r>
      <w:r>
        <w:rPr/>
        <w:t>dieta ofertado mediante el pastoreo. Ferlay </w:t>
      </w:r>
      <w:r>
        <w:rPr>
          <w:i/>
        </w:rPr>
        <w:t>et al. </w:t>
      </w:r>
      <w:r>
        <w:rPr/>
        <w:t>(2006) observaron que </w:t>
      </w:r>
      <w:r>
        <w:rPr>
          <w:spacing w:val="-5"/>
        </w:rPr>
        <w:t>la </w:t>
      </w:r>
      <w:r>
        <w:rPr/>
        <w:t>concentración de los ácidos esteárico, oleico, vaccénico y CLA </w:t>
      </w:r>
      <w:r>
        <w:rPr>
          <w:i/>
        </w:rPr>
        <w:t>cis-</w:t>
      </w:r>
      <w:r>
        <w:rPr/>
        <w:t>9 </w:t>
      </w:r>
      <w:r>
        <w:rPr>
          <w:i/>
        </w:rPr>
        <w:t>trans-</w:t>
      </w:r>
      <w:r>
        <w:rPr/>
        <w:t>11 estuvo estrechamente relacionada cuando los animales consumieron exclusivamente pasto natural de montaña, mientras que </w:t>
      </w:r>
      <w:r>
        <w:rPr>
          <w:spacing w:val="4"/>
        </w:rPr>
        <w:t>el </w:t>
      </w:r>
      <w:r>
        <w:rPr/>
        <w:t>contenido de </w:t>
      </w:r>
      <w:r>
        <w:rPr>
          <w:spacing w:val="-3"/>
        </w:rPr>
        <w:t>AG </w:t>
      </w:r>
      <w:r>
        <w:rPr/>
        <w:t>de cadena corta y </w:t>
      </w:r>
      <w:r>
        <w:rPr>
          <w:spacing w:val="-3"/>
        </w:rPr>
        <w:t>media </w:t>
      </w:r>
      <w:r>
        <w:rPr/>
        <w:t>estuvieron relacionados con una alimentación  rica en concentrados (65% MS de </w:t>
      </w:r>
      <w:r>
        <w:rPr>
          <w:spacing w:val="-5"/>
        </w:rPr>
        <w:t>la </w:t>
      </w:r>
      <w:r>
        <w:rPr/>
        <w:t>dieta). Loor </w:t>
      </w:r>
      <w:r>
        <w:rPr>
          <w:i/>
        </w:rPr>
        <w:t>et al</w:t>
      </w:r>
      <w:r>
        <w:rPr/>
        <w:t>., (2003) observaron una mayor concentración en leche del ácido vaccénico (2.2 </w:t>
      </w:r>
      <w:r>
        <w:rPr>
          <w:i/>
          <w:spacing w:val="-3"/>
        </w:rPr>
        <w:t>vs </w:t>
      </w:r>
      <w:r>
        <w:rPr/>
        <w:t>1.4 g/100 g AG) y de CLA </w:t>
      </w:r>
      <w:r>
        <w:rPr>
          <w:i/>
        </w:rPr>
        <w:t>cis-</w:t>
      </w:r>
      <w:r>
        <w:rPr/>
        <w:t>9 </w:t>
      </w:r>
      <w:r>
        <w:rPr>
          <w:i/>
        </w:rPr>
        <w:t>trans- </w:t>
      </w:r>
      <w:r>
        <w:rPr/>
        <w:t>11 (1.0 </w:t>
      </w:r>
      <w:r>
        <w:rPr>
          <w:i/>
        </w:rPr>
        <w:t>vs </w:t>
      </w:r>
      <w:r>
        <w:rPr/>
        <w:t>0.60 g/100 g AG) cuando los animales estuvieron en pastoreo contra los que consumieron exclusivamente TMR, respectivamente; mientras que el contenido de ácido linolénico </w:t>
      </w:r>
      <w:r>
        <w:rPr>
          <w:spacing w:val="-3"/>
        </w:rPr>
        <w:t>fue </w:t>
      </w:r>
      <w:r>
        <w:rPr/>
        <w:t>60% </w:t>
      </w:r>
      <w:r>
        <w:rPr>
          <w:spacing w:val="-3"/>
        </w:rPr>
        <w:t>mayor </w:t>
      </w:r>
      <w:r>
        <w:rPr/>
        <w:t>para las vacas en pastoreo. Couvreur </w:t>
      </w:r>
      <w:r>
        <w:rPr>
          <w:i/>
        </w:rPr>
        <w:t>et al</w:t>
      </w:r>
      <w:r>
        <w:rPr/>
        <w:t>. (2006) realizaron un trabajo con distintos niveles de oferta de MS de forraje </w:t>
      </w:r>
      <w:r>
        <w:rPr>
          <w:spacing w:val="-2"/>
        </w:rPr>
        <w:t>fresco </w:t>
      </w:r>
      <w:r>
        <w:rPr/>
        <w:t>en </w:t>
      </w:r>
      <w:r>
        <w:rPr>
          <w:spacing w:val="-5"/>
        </w:rPr>
        <w:t>la </w:t>
      </w:r>
      <w:r>
        <w:rPr/>
        <w:t>dieta de vacas lecheras (0, 30, 60 y 100%) en sustitución de ensilado de maíz. El contenido de CLA </w:t>
      </w:r>
      <w:r>
        <w:rPr>
          <w:i/>
        </w:rPr>
        <w:t>cis-</w:t>
      </w:r>
      <w:r>
        <w:rPr/>
        <w:t>9 </w:t>
      </w:r>
      <w:r>
        <w:rPr>
          <w:i/>
        </w:rPr>
        <w:t>trans-</w:t>
      </w:r>
      <w:r>
        <w:rPr/>
        <w:t>11 aumentó conforme incrementaba </w:t>
      </w:r>
      <w:r>
        <w:rPr>
          <w:spacing w:val="-3"/>
        </w:rPr>
        <w:t>la </w:t>
      </w:r>
      <w:r>
        <w:rPr/>
        <w:t>cantidad de forraje </w:t>
      </w:r>
      <w:r>
        <w:rPr>
          <w:spacing w:val="-2"/>
        </w:rPr>
        <w:t>fresco </w:t>
      </w:r>
      <w:r>
        <w:rPr/>
        <w:t>en </w:t>
      </w:r>
      <w:r>
        <w:rPr>
          <w:spacing w:val="-3"/>
        </w:rPr>
        <w:t>la </w:t>
      </w:r>
      <w:r>
        <w:rPr/>
        <w:t>dieta, siendo </w:t>
      </w:r>
      <w:r>
        <w:rPr>
          <w:spacing w:val="-3"/>
        </w:rPr>
        <w:t>mayor </w:t>
      </w:r>
      <w:r>
        <w:rPr/>
        <w:t>en las vacas alimentadas totalmente con forrajes frescos de aquellas cuya dieta era únicamente ensilado de </w:t>
      </w:r>
      <w:r>
        <w:rPr>
          <w:spacing w:val="-3"/>
        </w:rPr>
        <w:t>maíz </w:t>
      </w:r>
      <w:r>
        <w:rPr/>
        <w:t>(1.65 </w:t>
      </w:r>
      <w:r>
        <w:rPr>
          <w:i/>
        </w:rPr>
        <w:t>vs </w:t>
      </w:r>
      <w:r>
        <w:rPr/>
        <w:t>0.48 g/100g AG). Morales-Almaráz </w:t>
      </w:r>
      <w:r>
        <w:rPr>
          <w:i/>
        </w:rPr>
        <w:t>et al</w:t>
      </w:r>
      <w:r>
        <w:rPr/>
        <w:t>., (2010) observaron una mayor concentración en leche del ácido vaccénico (4.09 </w:t>
      </w:r>
      <w:r>
        <w:rPr>
          <w:i/>
        </w:rPr>
        <w:t>vs </w:t>
      </w:r>
      <w:r>
        <w:rPr/>
        <w:t>2.26 g/100 g de AG) y de CLA </w:t>
      </w:r>
      <w:r>
        <w:rPr>
          <w:i/>
        </w:rPr>
        <w:t>cis-</w:t>
      </w:r>
      <w:r>
        <w:rPr/>
        <w:t>9 </w:t>
      </w:r>
      <w:r>
        <w:rPr>
          <w:i/>
        </w:rPr>
        <w:t>trans-</w:t>
      </w:r>
      <w:r>
        <w:rPr/>
        <w:t>11 (0.60 </w:t>
      </w:r>
      <w:r>
        <w:rPr>
          <w:i/>
        </w:rPr>
        <w:t>vs </w:t>
      </w:r>
      <w:r>
        <w:rPr/>
        <w:t>0.30 g/100 g de AG) cuando vacas permanecieron 12 horas al día en </w:t>
      </w:r>
      <w:r>
        <w:rPr>
          <w:spacing w:val="-3"/>
        </w:rPr>
        <w:t>la </w:t>
      </w:r>
      <w:r>
        <w:rPr/>
        <w:t>pradera con complementación con TMR en el corral, que vacas en estabulación con  dietas TMR, respectivamente; mientras que el contenido de AGS </w:t>
      </w:r>
      <w:r>
        <w:rPr>
          <w:spacing w:val="-3"/>
        </w:rPr>
        <w:t>fue mayor </w:t>
      </w:r>
      <w:r>
        <w:rPr/>
        <w:t>para </w:t>
      </w:r>
      <w:r>
        <w:rPr>
          <w:spacing w:val="-4"/>
        </w:rPr>
        <w:t>las </w:t>
      </w:r>
      <w:r>
        <w:rPr/>
        <w:t>vacas en estabulación comparado con </w:t>
      </w:r>
      <w:r>
        <w:rPr>
          <w:spacing w:val="-3"/>
        </w:rPr>
        <w:t>las </w:t>
      </w:r>
      <w:r>
        <w:rPr/>
        <w:t>vacas en pastoreo (71.4 </w:t>
      </w:r>
      <w:r>
        <w:rPr>
          <w:i/>
        </w:rPr>
        <w:t>vs </w:t>
      </w:r>
      <w:r>
        <w:rPr/>
        <w:t>69.4 g/100</w:t>
      </w:r>
      <w:r>
        <w:rPr>
          <w:spacing w:val="-6"/>
        </w:rPr>
        <w:t> </w:t>
      </w:r>
      <w:r>
        <w:rPr/>
        <w:t>AG).</w:t>
      </w:r>
    </w:p>
    <w:p>
      <w:pPr>
        <w:pStyle w:val="Heading1"/>
        <w:numPr>
          <w:ilvl w:val="2"/>
          <w:numId w:val="4"/>
        </w:numPr>
        <w:tabs>
          <w:tab w:pos="1592" w:val="left" w:leader="none"/>
          <w:tab w:pos="1593" w:val="left" w:leader="none"/>
        </w:tabs>
        <w:spacing w:line="240" w:lineRule="auto" w:before="210" w:after="0"/>
        <w:ind w:left="1593" w:right="0" w:hanging="720"/>
        <w:jc w:val="left"/>
      </w:pPr>
      <w:bookmarkStart w:name="_TOC_250027" w:id="39"/>
      <w:r>
        <w:rPr/>
        <w:t>Complementación al</w:t>
      </w:r>
      <w:r>
        <w:rPr>
          <w:spacing w:val="-15"/>
        </w:rPr>
        <w:t> </w:t>
      </w:r>
      <w:bookmarkEnd w:id="39"/>
      <w:r>
        <w:rPr/>
        <w:t>pastoreo</w:t>
      </w:r>
    </w:p>
    <w:p>
      <w:pPr>
        <w:pStyle w:val="BodyText"/>
        <w:spacing w:before="4"/>
        <w:rPr>
          <w:b/>
          <w:sz w:val="29"/>
        </w:rPr>
      </w:pPr>
    </w:p>
    <w:p>
      <w:pPr>
        <w:pStyle w:val="BodyText"/>
        <w:spacing w:line="360" w:lineRule="auto" w:before="1"/>
        <w:ind w:left="512" w:right="101"/>
        <w:jc w:val="both"/>
      </w:pPr>
      <w:r>
        <w:rPr/>
        <w:t>El objetivo de </w:t>
      </w:r>
      <w:r>
        <w:rPr>
          <w:spacing w:val="-5"/>
        </w:rPr>
        <w:t>la </w:t>
      </w:r>
      <w:r>
        <w:rPr/>
        <w:t>complementación de vacas lecheras en pastoreo es incrementar  el  consumo total de MS y el consumo de energía para incrementar a su vez </w:t>
      </w:r>
      <w:r>
        <w:rPr>
          <w:spacing w:val="-5"/>
        </w:rPr>
        <w:t>la </w:t>
      </w:r>
      <w:r>
        <w:rPr/>
        <w:t>producción láctea y evitar un balance de energía negativo (Peyraud y Delaby, 2001). Ahora </w:t>
      </w:r>
      <w:r>
        <w:rPr>
          <w:spacing w:val="-3"/>
        </w:rPr>
        <w:t>bien, </w:t>
      </w:r>
      <w:r>
        <w:rPr/>
        <w:t>es de suma importancia conocer el efecto de </w:t>
      </w:r>
      <w:r>
        <w:rPr>
          <w:spacing w:val="-5"/>
        </w:rPr>
        <w:t>la </w:t>
      </w:r>
      <w:r>
        <w:rPr/>
        <w:t>complementación sobre el perfil de AG y a su</w:t>
      </w:r>
      <w:r>
        <w:rPr>
          <w:spacing w:val="21"/>
        </w:rPr>
        <w:t> </w:t>
      </w:r>
      <w:r>
        <w:rPr/>
        <w:t>vez</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55" w:lineRule="auto" w:before="69"/>
        <w:ind w:left="512" w:right="101"/>
        <w:jc w:val="both"/>
      </w:pPr>
      <w:r>
        <w:rPr/>
        <w:t>determinar el nivel adecuado de complementación, de forma que no afecte los parámetros productivos y ni la calidad nutritiva de la leche.</w:t>
      </w:r>
    </w:p>
    <w:p>
      <w:pPr>
        <w:pStyle w:val="BodyText"/>
        <w:spacing w:before="9"/>
        <w:rPr>
          <w:sz w:val="18"/>
        </w:rPr>
      </w:pPr>
    </w:p>
    <w:p>
      <w:pPr>
        <w:pStyle w:val="Heading1"/>
        <w:numPr>
          <w:ilvl w:val="3"/>
          <w:numId w:val="4"/>
        </w:numPr>
        <w:tabs>
          <w:tab w:pos="1953" w:val="left" w:leader="none"/>
          <w:tab w:pos="1954" w:val="left" w:leader="none"/>
        </w:tabs>
        <w:spacing w:line="240" w:lineRule="auto" w:before="0" w:after="0"/>
        <w:ind w:left="1953" w:right="0" w:hanging="1080"/>
        <w:jc w:val="left"/>
      </w:pPr>
      <w:r>
        <w:rPr/>
        <w:t>Forrajes conservados: ensilados y</w:t>
      </w:r>
      <w:r>
        <w:rPr>
          <w:spacing w:val="-16"/>
        </w:rPr>
        <w:t> </w:t>
      </w:r>
      <w:r>
        <w:rPr/>
        <w:t>henos</w:t>
      </w:r>
    </w:p>
    <w:p>
      <w:pPr>
        <w:pStyle w:val="BodyText"/>
        <w:spacing w:before="4"/>
        <w:rPr>
          <w:b/>
          <w:sz w:val="29"/>
        </w:rPr>
      </w:pPr>
    </w:p>
    <w:p>
      <w:pPr>
        <w:pStyle w:val="BodyText"/>
        <w:spacing w:line="360" w:lineRule="auto" w:before="1"/>
        <w:ind w:left="512" w:right="106"/>
        <w:jc w:val="both"/>
      </w:pPr>
      <w:r>
        <w:rPr/>
        <w:t>La conservación del forraje, como </w:t>
      </w:r>
      <w:r>
        <w:rPr>
          <w:spacing w:val="-3"/>
        </w:rPr>
        <w:t>heno </w:t>
      </w:r>
      <w:r>
        <w:rPr/>
        <w:t>o ensilado, afecta el contenido de ácido linolénico  y de CLA </w:t>
      </w:r>
      <w:r>
        <w:rPr>
          <w:i/>
        </w:rPr>
        <w:t>cis-</w:t>
      </w:r>
      <w:r>
        <w:rPr/>
        <w:t>9 </w:t>
      </w:r>
      <w:r>
        <w:rPr>
          <w:i/>
        </w:rPr>
        <w:t>trans-</w:t>
      </w:r>
      <w:r>
        <w:rPr/>
        <w:t>11 en </w:t>
      </w:r>
      <w:r>
        <w:rPr>
          <w:spacing w:val="-3"/>
        </w:rPr>
        <w:t>la </w:t>
      </w:r>
      <w:r>
        <w:rPr/>
        <w:t>grasa de </w:t>
      </w:r>
      <w:r>
        <w:rPr>
          <w:spacing w:val="-5"/>
        </w:rPr>
        <w:t>la </w:t>
      </w:r>
      <w:r>
        <w:rPr/>
        <w:t>leche, como consecuencia de que en el forraje conservado disminuye </w:t>
      </w:r>
      <w:r>
        <w:rPr>
          <w:spacing w:val="-3"/>
        </w:rPr>
        <w:t>la </w:t>
      </w:r>
      <w:r>
        <w:rPr/>
        <w:t>concentración de linolénico y aumenta </w:t>
      </w:r>
      <w:r>
        <w:rPr>
          <w:spacing w:val="-3"/>
        </w:rPr>
        <w:t>la </w:t>
      </w:r>
      <w:r>
        <w:rPr/>
        <w:t>de palmítico (Noble </w:t>
      </w:r>
      <w:r>
        <w:rPr>
          <w:i/>
        </w:rPr>
        <w:t>et </w:t>
      </w:r>
      <w:r>
        <w:rPr>
          <w:i/>
        </w:rPr>
        <w:t>al</w:t>
      </w:r>
      <w:r>
        <w:rPr/>
        <w:t>., 1974). En </w:t>
      </w:r>
      <w:r>
        <w:rPr>
          <w:spacing w:val="-5"/>
        </w:rPr>
        <w:t>la </w:t>
      </w:r>
      <w:r>
        <w:rPr/>
        <w:t>elaboración de heno se reducen los </w:t>
      </w:r>
      <w:r>
        <w:rPr>
          <w:spacing w:val="-3"/>
        </w:rPr>
        <w:t>AG </w:t>
      </w:r>
      <w:r>
        <w:rPr/>
        <w:t>totales con una </w:t>
      </w:r>
      <w:r>
        <w:rPr>
          <w:spacing w:val="-3"/>
        </w:rPr>
        <w:t>mayor </w:t>
      </w:r>
      <w:r>
        <w:rPr/>
        <w:t>pérdida de ácido linolénico (Doreau y Poncet, 2000). La alimentación con forrajes frescos presenta un efecto </w:t>
      </w:r>
      <w:r>
        <w:rPr>
          <w:spacing w:val="-3"/>
        </w:rPr>
        <w:t>más </w:t>
      </w:r>
      <w:r>
        <w:rPr/>
        <w:t>positivo que con alimentación basada en forrajes conservados, </w:t>
      </w:r>
      <w:r>
        <w:rPr>
          <w:spacing w:val="-5"/>
        </w:rPr>
        <w:t>ya </w:t>
      </w:r>
      <w:r>
        <w:rPr/>
        <w:t>que en el forraje fresco existe un </w:t>
      </w:r>
      <w:r>
        <w:rPr>
          <w:spacing w:val="-3"/>
        </w:rPr>
        <w:t>mayor </w:t>
      </w:r>
      <w:r>
        <w:rPr/>
        <w:t>contenido de ácido linolénico (Chilliard </w:t>
      </w:r>
      <w:r>
        <w:rPr>
          <w:i/>
        </w:rPr>
        <w:t>et al</w:t>
      </w:r>
      <w:r>
        <w:rPr/>
        <w:t>.,</w:t>
      </w:r>
      <w:r>
        <w:rPr>
          <w:spacing w:val="-10"/>
        </w:rPr>
        <w:t> </w:t>
      </w:r>
      <w:r>
        <w:rPr/>
        <w:t>2001).</w:t>
      </w:r>
    </w:p>
    <w:p>
      <w:pPr>
        <w:pStyle w:val="BodyText"/>
        <w:spacing w:line="360" w:lineRule="auto" w:before="210"/>
        <w:ind w:left="512" w:right="99"/>
        <w:jc w:val="both"/>
      </w:pPr>
      <w:r>
        <w:rPr/>
        <w:t>Shingfield </w:t>
      </w:r>
      <w:r>
        <w:rPr>
          <w:i/>
        </w:rPr>
        <w:t>et al</w:t>
      </w:r>
      <w:r>
        <w:rPr/>
        <w:t>. (2005) evaluaron </w:t>
      </w:r>
      <w:r>
        <w:rPr>
          <w:spacing w:val="-5"/>
        </w:rPr>
        <w:t>la </w:t>
      </w:r>
      <w:r>
        <w:rPr/>
        <w:t>concentración de </w:t>
      </w:r>
      <w:r>
        <w:rPr>
          <w:spacing w:val="-3"/>
        </w:rPr>
        <w:t>AG </w:t>
      </w:r>
      <w:r>
        <w:rPr/>
        <w:t>de </w:t>
      </w:r>
      <w:r>
        <w:rPr>
          <w:spacing w:val="-5"/>
        </w:rPr>
        <w:t>la </w:t>
      </w:r>
      <w:r>
        <w:rPr/>
        <w:t>grasa de </w:t>
      </w:r>
      <w:r>
        <w:rPr>
          <w:spacing w:val="-5"/>
        </w:rPr>
        <w:t>la </w:t>
      </w:r>
      <w:r>
        <w:rPr>
          <w:spacing w:val="-3"/>
        </w:rPr>
        <w:t>leche </w:t>
      </w:r>
      <w:r>
        <w:rPr/>
        <w:t>de vacas por el efecto del tipo de ensilado (de </w:t>
      </w:r>
      <w:r>
        <w:rPr>
          <w:spacing w:val="-3"/>
        </w:rPr>
        <w:t>maíz </w:t>
      </w:r>
      <w:r>
        <w:rPr/>
        <w:t>o de pasto) con diferentes niveles de  concentrado. </w:t>
      </w:r>
      <w:r>
        <w:rPr>
          <w:spacing w:val="-3"/>
        </w:rPr>
        <w:t>No </w:t>
      </w:r>
      <w:r>
        <w:rPr/>
        <w:t>encontraron diferencias en los contenidos de CLA </w:t>
      </w:r>
      <w:r>
        <w:rPr>
          <w:i/>
        </w:rPr>
        <w:t>cis-</w:t>
      </w:r>
      <w:r>
        <w:rPr/>
        <w:t>9 </w:t>
      </w:r>
      <w:r>
        <w:rPr>
          <w:i/>
        </w:rPr>
        <w:t>trans-</w:t>
      </w:r>
      <w:r>
        <w:rPr/>
        <w:t>11 y </w:t>
      </w:r>
      <w:r>
        <w:rPr>
          <w:spacing w:val="-3"/>
        </w:rPr>
        <w:t>la </w:t>
      </w:r>
      <w:r>
        <w:rPr/>
        <w:t>concentración total de AGS y AGPI por el efecto del tipo de ensilado. Los ácidos grasos de cadena </w:t>
      </w:r>
      <w:r>
        <w:rPr>
          <w:spacing w:val="-3"/>
        </w:rPr>
        <w:t>media </w:t>
      </w:r>
      <w:r>
        <w:rPr/>
        <w:t>como el láurico y mirístico los reportan con mayor concentración en </w:t>
      </w:r>
      <w:r>
        <w:rPr>
          <w:spacing w:val="-3"/>
        </w:rPr>
        <w:t>la </w:t>
      </w:r>
      <w:r>
        <w:rPr/>
        <w:t>grasa láctea de vacas alimentadas con ensilado de </w:t>
      </w:r>
      <w:r>
        <w:rPr>
          <w:spacing w:val="-3"/>
        </w:rPr>
        <w:t>maíz, </w:t>
      </w:r>
      <w:r>
        <w:rPr/>
        <w:t>en contraste </w:t>
      </w:r>
      <w:r>
        <w:rPr>
          <w:spacing w:val="-3"/>
        </w:rPr>
        <w:t>las </w:t>
      </w:r>
      <w:r>
        <w:rPr/>
        <w:t>concentraciones de </w:t>
      </w:r>
      <w:r>
        <w:rPr>
          <w:spacing w:val="-3"/>
        </w:rPr>
        <w:t>ácido </w:t>
      </w:r>
      <w:r>
        <w:rPr/>
        <w:t>esteárico y linolénico que fueron mayores en </w:t>
      </w:r>
      <w:r>
        <w:rPr>
          <w:spacing w:val="-4"/>
        </w:rPr>
        <w:t>las </w:t>
      </w:r>
      <w:r>
        <w:rPr/>
        <w:t>vacas alimentadas con ensilado de pasto. Nielsen </w:t>
      </w:r>
      <w:r>
        <w:rPr>
          <w:i/>
        </w:rPr>
        <w:t>et al. </w:t>
      </w:r>
      <w:r>
        <w:rPr/>
        <w:t>(2006) en un estudio similar observaron una </w:t>
      </w:r>
      <w:r>
        <w:rPr>
          <w:spacing w:val="-3"/>
        </w:rPr>
        <w:t>mayor </w:t>
      </w:r>
      <w:r>
        <w:rPr/>
        <w:t>concentración de ácido láurico, mirístico, palmítico, esteárico y linolénico en vacas alimentadas con ensilado de pasto. En contraste reportan una mayor concentración de CLA </w:t>
      </w:r>
      <w:r>
        <w:rPr>
          <w:i/>
        </w:rPr>
        <w:t>cis-</w:t>
      </w:r>
      <w:r>
        <w:rPr/>
        <w:t>9 </w:t>
      </w:r>
      <w:r>
        <w:rPr>
          <w:i/>
        </w:rPr>
        <w:t>trans-</w:t>
      </w:r>
      <w:r>
        <w:rPr/>
        <w:t>11 en vacas alimentadas con ensilado de </w:t>
      </w:r>
      <w:r>
        <w:rPr>
          <w:spacing w:val="-3"/>
        </w:rPr>
        <w:t>maíz </w:t>
      </w:r>
      <w:r>
        <w:rPr/>
        <w:t>en comparación con ensilado de pasto (1.39 </w:t>
      </w:r>
      <w:r>
        <w:rPr>
          <w:i/>
        </w:rPr>
        <w:t>vs </w:t>
      </w:r>
      <w:r>
        <w:rPr/>
        <w:t>0.90 g/100g AG), de manera similar </w:t>
      </w:r>
      <w:r>
        <w:rPr>
          <w:spacing w:val="-3"/>
        </w:rPr>
        <w:t>la </w:t>
      </w:r>
      <w:r>
        <w:rPr/>
        <w:t>concentración de ácido linoleico </w:t>
      </w:r>
      <w:r>
        <w:rPr>
          <w:spacing w:val="-3"/>
        </w:rPr>
        <w:t>fue </w:t>
      </w:r>
      <w:r>
        <w:rPr/>
        <w:t>mayor con </w:t>
      </w:r>
      <w:r>
        <w:rPr>
          <w:spacing w:val="-5"/>
        </w:rPr>
        <w:t>la </w:t>
      </w:r>
      <w:r>
        <w:rPr/>
        <w:t>alimentación de ensilado de </w:t>
      </w:r>
      <w:r>
        <w:rPr>
          <w:spacing w:val="-3"/>
        </w:rPr>
        <w:t>maíz </w:t>
      </w:r>
      <w:r>
        <w:rPr/>
        <w:t>(1.76 </w:t>
      </w:r>
      <w:r>
        <w:rPr>
          <w:i/>
        </w:rPr>
        <w:t>vs </w:t>
      </w:r>
      <w:r>
        <w:rPr/>
        <w:t>1.37 g/100g AG). Estos resultados </w:t>
      </w:r>
      <w:r>
        <w:rPr>
          <w:spacing w:val="-3"/>
        </w:rPr>
        <w:t>no </w:t>
      </w:r>
      <w:r>
        <w:rPr/>
        <w:t>son consistentes por </w:t>
      </w:r>
      <w:r>
        <w:rPr>
          <w:spacing w:val="-5"/>
        </w:rPr>
        <w:t>lo  </w:t>
      </w:r>
      <w:r>
        <w:rPr/>
        <w:t>que se requiere de </w:t>
      </w:r>
      <w:r>
        <w:rPr>
          <w:spacing w:val="-3"/>
        </w:rPr>
        <w:t>más </w:t>
      </w:r>
      <w:r>
        <w:rPr/>
        <w:t>investigaciones para una </w:t>
      </w:r>
      <w:r>
        <w:rPr>
          <w:spacing w:val="-3"/>
        </w:rPr>
        <w:t>mejor </w:t>
      </w:r>
      <w:r>
        <w:rPr/>
        <w:t>compresión de  los efectos del tipo de ensilado y su complementación al</w:t>
      </w:r>
      <w:r>
        <w:rPr>
          <w:spacing w:val="-22"/>
        </w:rPr>
        <w:t> </w:t>
      </w:r>
      <w:r>
        <w:rPr/>
        <w:t>pastoreo.</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Heading1"/>
        <w:numPr>
          <w:ilvl w:val="3"/>
          <w:numId w:val="4"/>
        </w:numPr>
        <w:tabs>
          <w:tab w:pos="1953" w:val="left" w:leader="none"/>
          <w:tab w:pos="1954" w:val="left" w:leader="none"/>
        </w:tabs>
        <w:spacing w:line="240" w:lineRule="auto" w:before="69" w:after="0"/>
        <w:ind w:left="1953" w:right="0" w:hanging="1080"/>
        <w:jc w:val="left"/>
      </w:pPr>
      <w:bookmarkStart w:name="_TOC_250026" w:id="40"/>
      <w:r>
        <w:rPr/>
        <w:t>Complementación con</w:t>
      </w:r>
      <w:r>
        <w:rPr>
          <w:spacing w:val="-15"/>
        </w:rPr>
        <w:t> </w:t>
      </w:r>
      <w:bookmarkEnd w:id="40"/>
      <w:r>
        <w:rPr/>
        <w:t>concentrados</w:t>
      </w:r>
    </w:p>
    <w:p>
      <w:pPr>
        <w:pStyle w:val="BodyText"/>
        <w:spacing w:before="5"/>
        <w:rPr>
          <w:b/>
          <w:sz w:val="29"/>
        </w:rPr>
      </w:pPr>
    </w:p>
    <w:p>
      <w:pPr>
        <w:pStyle w:val="BodyText"/>
        <w:spacing w:line="360" w:lineRule="auto"/>
        <w:ind w:left="512" w:right="102"/>
        <w:jc w:val="both"/>
      </w:pPr>
      <w:r>
        <w:rPr/>
        <w:t>El objetivo de </w:t>
      </w:r>
      <w:r>
        <w:rPr>
          <w:spacing w:val="-5"/>
        </w:rPr>
        <w:t>la </w:t>
      </w:r>
      <w:r>
        <w:rPr/>
        <w:t>complementación de vacas lecheras en pastoreo es incrementar  el  consumo total de MS y el consumo de energía para incrementar a su vez </w:t>
      </w:r>
      <w:r>
        <w:rPr>
          <w:spacing w:val="-5"/>
        </w:rPr>
        <w:t>la </w:t>
      </w:r>
      <w:r>
        <w:rPr/>
        <w:t>producción láctea y evitar el un balance de energía negativo (Peyraud y Delaby, 2001). Los concentrados son ricos en almidón y son complementados en periodos de escases de pasto o bien para cubrir los requerimientos nutricionales que </w:t>
      </w:r>
      <w:r>
        <w:rPr>
          <w:spacing w:val="-3"/>
        </w:rPr>
        <w:t>no </w:t>
      </w:r>
      <w:r>
        <w:rPr/>
        <w:t>aporta el forraje (Stockdale, 1999). Ahora </w:t>
      </w:r>
      <w:r>
        <w:rPr>
          <w:spacing w:val="-3"/>
        </w:rPr>
        <w:t>bien, </w:t>
      </w:r>
      <w:r>
        <w:rPr/>
        <w:t>complementar con altos niveles de concentrado afecta los procesos de biohidrogenación como resultado del </w:t>
      </w:r>
      <w:r>
        <w:rPr>
          <w:spacing w:val="-3"/>
        </w:rPr>
        <w:t>bajo </w:t>
      </w:r>
      <w:r>
        <w:rPr/>
        <w:t>pH ruminal (Lathamn </w:t>
      </w:r>
      <w:r>
        <w:rPr>
          <w:i/>
        </w:rPr>
        <w:t>et al</w:t>
      </w:r>
      <w:r>
        <w:rPr/>
        <w:t>., 1972; Bargo </w:t>
      </w:r>
      <w:r>
        <w:rPr>
          <w:i/>
        </w:rPr>
        <w:t>et al</w:t>
      </w:r>
      <w:r>
        <w:rPr/>
        <w:t>., 2006) y esto a su vez promueve cambios en </w:t>
      </w:r>
      <w:r>
        <w:rPr>
          <w:spacing w:val="-3"/>
        </w:rPr>
        <w:t>la </w:t>
      </w:r>
      <w:r>
        <w:rPr/>
        <w:t>producción de </w:t>
      </w:r>
      <w:r>
        <w:rPr>
          <w:spacing w:val="-3"/>
        </w:rPr>
        <w:t>AG </w:t>
      </w:r>
      <w:r>
        <w:rPr/>
        <w:t>en rumen y en glándula mamaria (Enjalber </w:t>
      </w:r>
      <w:r>
        <w:rPr>
          <w:i/>
        </w:rPr>
        <w:t>et al</w:t>
      </w:r>
      <w:r>
        <w:rPr/>
        <w:t>., 2008) resultando en un incremento en </w:t>
      </w:r>
      <w:r>
        <w:rPr>
          <w:spacing w:val="-5"/>
        </w:rPr>
        <w:t>la </w:t>
      </w:r>
      <w:r>
        <w:rPr/>
        <w:t>insaturación de </w:t>
      </w:r>
      <w:r>
        <w:rPr>
          <w:spacing w:val="-5"/>
        </w:rPr>
        <w:t>la </w:t>
      </w:r>
      <w:r>
        <w:rPr/>
        <w:t>grasa de </w:t>
      </w:r>
      <w:r>
        <w:rPr>
          <w:spacing w:val="-5"/>
        </w:rPr>
        <w:t>la </w:t>
      </w:r>
      <w:r>
        <w:rPr/>
        <w:t>leche (Kemp </w:t>
      </w:r>
      <w:r>
        <w:rPr>
          <w:i/>
        </w:rPr>
        <w:t>et al</w:t>
      </w:r>
      <w:r>
        <w:rPr/>
        <w:t>., 1991). Stockdale </w:t>
      </w:r>
      <w:r>
        <w:rPr>
          <w:i/>
        </w:rPr>
        <w:t>et al</w:t>
      </w:r>
      <w:r>
        <w:rPr/>
        <w:t>. (2003) en vacas en pastoreo complementadas con 7 a 9 kg/día de concentrado reportan un incremento de </w:t>
      </w:r>
      <w:r>
        <w:rPr>
          <w:spacing w:val="-3"/>
        </w:rPr>
        <w:t>AG </w:t>
      </w:r>
      <w:r>
        <w:rPr/>
        <w:t>de cadena corta </w:t>
      </w:r>
      <w:r>
        <w:rPr>
          <w:spacing w:val="-3"/>
        </w:rPr>
        <w:t>como </w:t>
      </w:r>
      <w:r>
        <w:rPr/>
        <w:t>C6:0 a C10:0 y de cadena </w:t>
      </w:r>
      <w:r>
        <w:rPr>
          <w:spacing w:val="-3"/>
        </w:rPr>
        <w:t>media </w:t>
      </w:r>
      <w:r>
        <w:rPr/>
        <w:t>como C12:0 a C16:0 con respecto a vacas </w:t>
      </w:r>
      <w:r>
        <w:rPr>
          <w:spacing w:val="-3"/>
        </w:rPr>
        <w:t>no </w:t>
      </w:r>
      <w:r>
        <w:rPr/>
        <w:t>complementadas.</w:t>
      </w:r>
    </w:p>
    <w:p>
      <w:pPr>
        <w:pStyle w:val="BodyText"/>
      </w:pPr>
    </w:p>
    <w:p>
      <w:pPr>
        <w:pStyle w:val="BodyText"/>
        <w:spacing w:line="360" w:lineRule="auto" w:before="140"/>
        <w:ind w:left="512" w:right="109"/>
        <w:jc w:val="both"/>
      </w:pPr>
      <w:r>
        <w:rPr/>
        <w:t>Bargo </w:t>
      </w:r>
      <w:r>
        <w:rPr>
          <w:i/>
        </w:rPr>
        <w:t>et al</w:t>
      </w:r>
      <w:r>
        <w:rPr/>
        <w:t>. (2006) en un estudio de vacas en pastoreo complementadas con concentrado (1kg concentrado/4kg leche) reportan una mayor concentración de C12:0 y C14:0 en comparación con vacas no complementadas (2.50 vs 1.80 y 9.31 vs 7.59 g/100g AG). Ácidos grasos de cadena larga como oleico y linolénico fueron afectados negativamente por la complementación con concentrados observando mayores concentraciones en vacas no complementadas (30.89 vs 27.18 y 1.16 vs 0.79 g/100g AG). Las concentraciones de ácido vaccénico y CLA </w:t>
      </w:r>
      <w:r>
        <w:rPr>
          <w:i/>
        </w:rPr>
        <w:t>cis</w:t>
      </w:r>
      <w:r>
        <w:rPr/>
        <w:t>-9 </w:t>
      </w:r>
      <w:r>
        <w:rPr>
          <w:i/>
        </w:rPr>
        <w:t>trans</w:t>
      </w:r>
      <w:r>
        <w:rPr/>
        <w:t>-11 reportadas por estos autores disminuyeron en vacas complementadas con respecto a aquellas que no recibieron concentrados (1.18 vs 1.36 y</w:t>
      </w:r>
    </w:p>
    <w:p>
      <w:pPr>
        <w:pStyle w:val="BodyText"/>
        <w:spacing w:line="360" w:lineRule="auto" w:before="4"/>
        <w:ind w:left="512" w:right="101"/>
        <w:jc w:val="both"/>
      </w:pPr>
      <w:r>
        <w:rPr/>
        <w:t>2.79 </w:t>
      </w:r>
      <w:r>
        <w:rPr>
          <w:spacing w:val="-3"/>
        </w:rPr>
        <w:t>vs </w:t>
      </w:r>
      <w:r>
        <w:rPr/>
        <w:t>3.48 g/100g AG). La concentración de AGS incrementó y los AGI disminuyeron  por efecto de </w:t>
      </w:r>
      <w:r>
        <w:rPr>
          <w:spacing w:val="-3"/>
        </w:rPr>
        <w:t>la </w:t>
      </w:r>
      <w:r>
        <w:rPr/>
        <w:t>complementación de concentrados. En otro estudio Nielsen </w:t>
      </w:r>
      <w:r>
        <w:rPr>
          <w:i/>
        </w:rPr>
        <w:t>et al. </w:t>
      </w:r>
      <w:r>
        <w:rPr/>
        <w:t>(2006) evaluaron el efecto del tipo de ensilado </w:t>
      </w:r>
      <w:r>
        <w:rPr>
          <w:spacing w:val="-3"/>
        </w:rPr>
        <w:t>(maíz </w:t>
      </w:r>
      <w:r>
        <w:rPr/>
        <w:t>o pasto) y el nivel de concentrado  (alto o bajo) sobre </w:t>
      </w:r>
      <w:r>
        <w:rPr>
          <w:spacing w:val="-5"/>
        </w:rPr>
        <w:t>la </w:t>
      </w:r>
      <w:r>
        <w:rPr/>
        <w:t>concentración de </w:t>
      </w:r>
      <w:r>
        <w:rPr>
          <w:spacing w:val="-3"/>
        </w:rPr>
        <w:t>AG </w:t>
      </w:r>
      <w:r>
        <w:rPr/>
        <w:t>en leche de vacas, el nivel de concentrado </w:t>
      </w:r>
      <w:r>
        <w:rPr>
          <w:spacing w:val="-3"/>
        </w:rPr>
        <w:t>no modifico </w:t>
      </w:r>
      <w:r>
        <w:rPr/>
        <w:t>las concentraciones de AGS como C12:0, C14:0 y C16:0. Las concentraciones de CLA </w:t>
      </w:r>
      <w:r>
        <w:rPr>
          <w:i/>
        </w:rPr>
        <w:t>cis</w:t>
      </w:r>
      <w:r>
        <w:rPr/>
        <w:t>- 9  </w:t>
      </w:r>
      <w:r>
        <w:rPr>
          <w:i/>
        </w:rPr>
        <w:t>trans</w:t>
      </w:r>
      <w:r>
        <w:rPr/>
        <w:t>-11  y ácido  vaccénico  fueron  mayores  en  vacas  alimentadas  con  </w:t>
      </w:r>
      <w:r>
        <w:rPr>
          <w:spacing w:val="-3"/>
        </w:rPr>
        <w:t>bajo  </w:t>
      </w:r>
      <w:r>
        <w:rPr/>
        <w:t>nivel</w:t>
      </w:r>
      <w:r>
        <w:rPr>
          <w:spacing w:val="32"/>
        </w:rPr>
        <w:t> </w:t>
      </w:r>
      <w:r>
        <w:rPr/>
        <w:t>de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5"/>
      </w:pPr>
      <w:r>
        <w:rPr/>
        <w:t>concentrado (1.61 </w:t>
      </w:r>
      <w:r>
        <w:rPr>
          <w:spacing w:val="-3"/>
        </w:rPr>
        <w:t>vs </w:t>
      </w:r>
      <w:r>
        <w:rPr/>
        <w:t>1.17 y 2.80 </w:t>
      </w:r>
      <w:r>
        <w:rPr>
          <w:spacing w:val="-3"/>
        </w:rPr>
        <w:t>vs </w:t>
      </w:r>
      <w:r>
        <w:rPr/>
        <w:t>1.55 g/100g AG). No reportan diferencias en cuanto a </w:t>
      </w:r>
      <w:r>
        <w:rPr>
          <w:spacing w:val="-3"/>
        </w:rPr>
        <w:t>la </w:t>
      </w:r>
      <w:r>
        <w:rPr/>
        <w:t>concentración de ácido estérico, oleico y linolénico por efecto del nivel de concentrado. Shingfield </w:t>
      </w:r>
      <w:r>
        <w:rPr>
          <w:i/>
        </w:rPr>
        <w:t>et al</w:t>
      </w:r>
      <w:r>
        <w:rPr/>
        <w:t>. (2005) evaluaron el efecto del tipo de forraje (ensilado de </w:t>
      </w:r>
      <w:r>
        <w:rPr>
          <w:spacing w:val="-3"/>
        </w:rPr>
        <w:t>maíz </w:t>
      </w:r>
      <w:r>
        <w:rPr/>
        <w:t>vs ensilado de pasto) y </w:t>
      </w:r>
      <w:r>
        <w:rPr>
          <w:spacing w:val="-3"/>
        </w:rPr>
        <w:t>la </w:t>
      </w:r>
      <w:r>
        <w:rPr/>
        <w:t>proporción de concentrado en </w:t>
      </w:r>
      <w:r>
        <w:rPr>
          <w:spacing w:val="-5"/>
        </w:rPr>
        <w:t>la </w:t>
      </w:r>
      <w:r>
        <w:rPr/>
        <w:t>dieta (65:35 y 35:65; relación forraje: concentrado en MS) con suplementación en </w:t>
      </w:r>
      <w:r>
        <w:rPr>
          <w:spacing w:val="-5"/>
        </w:rPr>
        <w:t>la </w:t>
      </w:r>
      <w:r>
        <w:rPr/>
        <w:t>dieta de aceites de </w:t>
      </w:r>
      <w:r>
        <w:rPr>
          <w:spacing w:val="-3"/>
        </w:rPr>
        <w:t>soya </w:t>
      </w:r>
      <w:r>
        <w:rPr/>
        <w:t>y pescado sobre el perfil de </w:t>
      </w:r>
      <w:r>
        <w:rPr>
          <w:spacing w:val="-3"/>
        </w:rPr>
        <w:t>AG </w:t>
      </w:r>
      <w:r>
        <w:rPr/>
        <w:t>de </w:t>
      </w:r>
      <w:r>
        <w:rPr>
          <w:spacing w:val="-3"/>
        </w:rPr>
        <w:t>la </w:t>
      </w:r>
      <w:r>
        <w:rPr/>
        <w:t>leche de vacas en estabulación. Las concentraciones de AGS como C12:0, C14:0, C16:0 y C18:0 </w:t>
      </w:r>
      <w:r>
        <w:rPr>
          <w:spacing w:val="-3"/>
        </w:rPr>
        <w:t>no </w:t>
      </w:r>
      <w:r>
        <w:rPr/>
        <w:t>se modificaron por el efecto del nivel </w:t>
      </w:r>
      <w:r>
        <w:rPr>
          <w:spacing w:val="4"/>
        </w:rPr>
        <w:t>del </w:t>
      </w:r>
      <w:r>
        <w:rPr/>
        <w:t>concentrado en </w:t>
      </w:r>
      <w:r>
        <w:rPr>
          <w:spacing w:val="-3"/>
        </w:rPr>
        <w:t>la </w:t>
      </w:r>
      <w:r>
        <w:rPr/>
        <w:t>dieta. El ácido linoleico (C18:2 </w:t>
      </w:r>
      <w:r>
        <w:rPr>
          <w:i/>
        </w:rPr>
        <w:t>cis</w:t>
      </w:r>
      <w:r>
        <w:rPr/>
        <w:t>-9 </w:t>
      </w:r>
      <w:r>
        <w:rPr>
          <w:i/>
        </w:rPr>
        <w:t>cis</w:t>
      </w:r>
      <w:r>
        <w:rPr/>
        <w:t>-12) </w:t>
      </w:r>
      <w:r>
        <w:rPr>
          <w:spacing w:val="-3"/>
        </w:rPr>
        <w:t>fue mayor </w:t>
      </w:r>
      <w:r>
        <w:rPr/>
        <w:t>en vacas alimentadas con alta proporción de concentrado comparadas con vacas alimentadas con dietas bajas en concentrado (3.79 </w:t>
      </w:r>
      <w:r>
        <w:rPr>
          <w:spacing w:val="-3"/>
        </w:rPr>
        <w:t>vs </w:t>
      </w:r>
      <w:r>
        <w:rPr/>
        <w:t>3.25 g/100g AG). De forma contraria vacas alimentadas con bajos niveles de concentrado  mostraron concentraciones  </w:t>
      </w:r>
      <w:r>
        <w:rPr>
          <w:spacing w:val="-3"/>
        </w:rPr>
        <w:t>más  </w:t>
      </w:r>
      <w:r>
        <w:rPr/>
        <w:t>altas de ácido  linolénico  (0.32</w:t>
      </w:r>
      <w:r>
        <w:rPr>
          <w:spacing w:val="23"/>
        </w:rPr>
        <w:t> </w:t>
      </w:r>
      <w:r>
        <w:rPr>
          <w:spacing w:val="-3"/>
        </w:rPr>
        <w:t>vs</w:t>
      </w:r>
    </w:p>
    <w:p>
      <w:pPr>
        <w:pStyle w:val="BodyText"/>
        <w:spacing w:line="360" w:lineRule="auto" w:before="8"/>
        <w:ind w:left="512" w:right="108"/>
        <w:jc w:val="both"/>
      </w:pPr>
      <w:r>
        <w:rPr/>
        <w:t>0.26 g/100g AG). Las concentraciones de CLA </w:t>
      </w:r>
      <w:r>
        <w:rPr>
          <w:i/>
        </w:rPr>
        <w:t>cis</w:t>
      </w:r>
      <w:r>
        <w:rPr/>
        <w:t>-9 </w:t>
      </w:r>
      <w:r>
        <w:rPr>
          <w:i/>
        </w:rPr>
        <w:t>trans</w:t>
      </w:r>
      <w:r>
        <w:rPr/>
        <w:t>-11 y ácido oleico no fueron afectadas por el efecto del nivel de concentrado.</w:t>
      </w:r>
    </w:p>
    <w:p>
      <w:pPr>
        <w:pStyle w:val="BodyText"/>
      </w:pPr>
    </w:p>
    <w:p>
      <w:pPr>
        <w:pStyle w:val="Heading1"/>
        <w:tabs>
          <w:tab w:pos="1592" w:val="left" w:leader="none"/>
        </w:tabs>
        <w:spacing w:before="146"/>
        <w:ind w:left="873" w:right="105" w:firstLine="0"/>
      </w:pPr>
      <w:bookmarkStart w:name="_TOC_250025" w:id="41"/>
      <w:r>
        <w:rPr/>
        <w:t>8.1.3</w:t>
        <w:tab/>
        <w:t>Utilización de grasas y aceites en </w:t>
      </w:r>
      <w:r>
        <w:rPr>
          <w:spacing w:val="-3"/>
        </w:rPr>
        <w:t>la </w:t>
      </w:r>
      <w:r>
        <w:rPr/>
        <w:t>dieta</w:t>
      </w:r>
      <w:r>
        <w:rPr>
          <w:spacing w:val="-6"/>
        </w:rPr>
        <w:t> </w:t>
      </w:r>
      <w:bookmarkEnd w:id="41"/>
      <w:r>
        <w:rPr/>
        <w:t>animal</w:t>
      </w:r>
    </w:p>
    <w:p>
      <w:pPr>
        <w:pStyle w:val="BodyText"/>
        <w:spacing w:line="360" w:lineRule="auto" w:before="137"/>
        <w:ind w:left="512" w:right="101"/>
        <w:jc w:val="both"/>
      </w:pPr>
      <w:r>
        <w:rPr/>
        <w:t>Diferentes estudios se han realizado para evaluar el efecto del contenido de AG y CLA </w:t>
      </w:r>
      <w:r>
        <w:rPr>
          <w:i/>
        </w:rPr>
        <w:t>cis</w:t>
      </w:r>
      <w:r>
        <w:rPr/>
        <w:t>- 9 </w:t>
      </w:r>
      <w:r>
        <w:rPr>
          <w:i/>
        </w:rPr>
        <w:t>trans</w:t>
      </w:r>
      <w:r>
        <w:rPr/>
        <w:t>-11 con la complementación con grasas protegidas o con aceites de origen animal o vegetal puesto que son una fuente rica en energía y a su vez proporcionan AG utilizados como sustrato en la BH de AGPI o para la síntesis </w:t>
      </w:r>
      <w:r>
        <w:rPr>
          <w:i/>
        </w:rPr>
        <w:t>de novo </w:t>
      </w:r>
      <w:r>
        <w:rPr/>
        <w:t>en la glándula mamaria y promover la presencia de ácidos grasos de cadena larga en la grasa de la leche (AbuGhazaleh </w:t>
      </w:r>
      <w:r>
        <w:rPr>
          <w:i/>
        </w:rPr>
        <w:t>et al</w:t>
      </w:r>
      <w:r>
        <w:rPr/>
        <w:t>., 2002; 2003; Schroeder </w:t>
      </w:r>
      <w:r>
        <w:rPr>
          <w:i/>
        </w:rPr>
        <w:t>et al., </w:t>
      </w:r>
      <w:r>
        <w:rPr/>
        <w:t>2002; 2003).</w:t>
      </w:r>
    </w:p>
    <w:p>
      <w:pPr>
        <w:pStyle w:val="BodyText"/>
      </w:pPr>
    </w:p>
    <w:p>
      <w:pPr>
        <w:pStyle w:val="BodyText"/>
        <w:spacing w:line="360" w:lineRule="auto" w:before="141"/>
        <w:ind w:left="512" w:right="101"/>
        <w:jc w:val="both"/>
      </w:pPr>
      <w:r>
        <w:rPr/>
        <w:t>Carrol </w:t>
      </w:r>
      <w:r>
        <w:rPr>
          <w:i/>
        </w:rPr>
        <w:t>et al. </w:t>
      </w:r>
      <w:r>
        <w:rPr/>
        <w:t>(2006) evaluaron </w:t>
      </w:r>
      <w:r>
        <w:rPr>
          <w:spacing w:val="-5"/>
        </w:rPr>
        <w:t>la </w:t>
      </w:r>
      <w:r>
        <w:rPr/>
        <w:t>composición de </w:t>
      </w:r>
      <w:r>
        <w:rPr>
          <w:spacing w:val="-3"/>
        </w:rPr>
        <w:t>AG </w:t>
      </w:r>
      <w:r>
        <w:rPr/>
        <w:t>de </w:t>
      </w:r>
      <w:r>
        <w:rPr>
          <w:spacing w:val="-3"/>
        </w:rPr>
        <w:t>la </w:t>
      </w:r>
      <w:r>
        <w:rPr/>
        <w:t>leche de vacas de distinto genotipo en respuesta a incrementar distintos niveles de </w:t>
      </w:r>
      <w:r>
        <w:rPr>
          <w:spacing w:val="-3"/>
        </w:rPr>
        <w:t>sebo </w:t>
      </w:r>
      <w:r>
        <w:rPr/>
        <w:t>como complemento en </w:t>
      </w:r>
      <w:r>
        <w:rPr>
          <w:spacing w:val="-5"/>
        </w:rPr>
        <w:t>la  </w:t>
      </w:r>
      <w:r>
        <w:rPr/>
        <w:t>dieta (0, 15, 30 y 45 g/kg de </w:t>
      </w:r>
      <w:r>
        <w:rPr>
          <w:spacing w:val="-5"/>
        </w:rPr>
        <w:t>la </w:t>
      </w:r>
      <w:r>
        <w:rPr/>
        <w:t>dieta como alimento). Estos autores encontraron que los AGS con C12:0, C14:0 y C16:0 disminuyeron su concentración conforme se incremento el nivel de grasa en </w:t>
      </w:r>
      <w:r>
        <w:rPr>
          <w:spacing w:val="-5"/>
        </w:rPr>
        <w:t>la </w:t>
      </w:r>
      <w:r>
        <w:rPr/>
        <w:t>dieta. Las concentraciones de C18:0 y C18:1 </w:t>
      </w:r>
      <w:r>
        <w:rPr>
          <w:i/>
        </w:rPr>
        <w:t>cis</w:t>
      </w:r>
      <w:r>
        <w:rPr/>
        <w:t>-9 se incrementaron linealmente con el aumento de </w:t>
      </w:r>
      <w:r>
        <w:rPr>
          <w:spacing w:val="-5"/>
        </w:rPr>
        <w:t>la </w:t>
      </w:r>
      <w:r>
        <w:rPr/>
        <w:t>grasa complementada, de </w:t>
      </w:r>
      <w:r>
        <w:rPr>
          <w:spacing w:val="-3"/>
        </w:rPr>
        <w:t>forma </w:t>
      </w:r>
      <w:r>
        <w:rPr/>
        <w:t>contraria los ácidos linoleico y linolénico disminuyeron con el incremento de grasa. El CLA </w:t>
      </w:r>
      <w:r>
        <w:rPr>
          <w:i/>
        </w:rPr>
        <w:t>cis</w:t>
      </w:r>
      <w:r>
        <w:rPr/>
        <w:t>-9 </w:t>
      </w:r>
      <w:r>
        <w:rPr>
          <w:i/>
        </w:rPr>
        <w:t>trans</w:t>
      </w:r>
      <w:r>
        <w:rPr/>
        <w:t>-11  </w:t>
      </w:r>
      <w:r>
        <w:rPr>
          <w:spacing w:val="5"/>
        </w:rPr>
        <w:t> </w:t>
      </w:r>
      <w:r>
        <w:rPr>
          <w:spacing w:val="-3"/>
        </w:rPr>
        <w:t>fue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14"/>
        <w:jc w:val="both"/>
      </w:pPr>
      <w:r>
        <w:rPr/>
        <w:t>mayor en vacas complementadas con 45 g de grasa con respecto a vacas no complementadas (0.76 </w:t>
      </w:r>
      <w:r>
        <w:rPr>
          <w:i/>
        </w:rPr>
        <w:t>vs </w:t>
      </w:r>
      <w:r>
        <w:rPr/>
        <w:t>0.33 g/100g AG).</w:t>
      </w:r>
    </w:p>
    <w:p>
      <w:pPr>
        <w:pStyle w:val="BodyText"/>
        <w:spacing w:line="360" w:lineRule="auto" w:before="4"/>
        <w:ind w:left="512" w:right="101"/>
        <w:jc w:val="both"/>
      </w:pPr>
      <w:r>
        <w:rPr/>
        <w:t>Algunos tratamientos tecnológicos son usados para proteger los </w:t>
      </w:r>
      <w:r>
        <w:rPr>
          <w:spacing w:val="-3"/>
        </w:rPr>
        <w:t>AG </w:t>
      </w:r>
      <w:r>
        <w:rPr/>
        <w:t>de </w:t>
      </w:r>
      <w:r>
        <w:rPr>
          <w:spacing w:val="-3"/>
        </w:rPr>
        <w:t>la </w:t>
      </w:r>
      <w:r>
        <w:rPr/>
        <w:t>dieta contra los microrganismos ruminales o proteger </w:t>
      </w:r>
      <w:r>
        <w:rPr>
          <w:spacing w:val="-5"/>
        </w:rPr>
        <w:t>la </w:t>
      </w:r>
      <w:r>
        <w:rPr/>
        <w:t>fermentación ruminal contra los efectos de los lípidos de </w:t>
      </w:r>
      <w:r>
        <w:rPr>
          <w:spacing w:val="-5"/>
        </w:rPr>
        <w:t>la </w:t>
      </w:r>
      <w:r>
        <w:rPr/>
        <w:t>dieta (Doreau </w:t>
      </w:r>
      <w:r>
        <w:rPr>
          <w:i/>
        </w:rPr>
        <w:t>et al., </w:t>
      </w:r>
      <w:r>
        <w:rPr/>
        <w:t>1989). La encapsulación de los lípidos consiste en protegerlos de </w:t>
      </w:r>
      <w:r>
        <w:rPr>
          <w:spacing w:val="-5"/>
        </w:rPr>
        <w:t>la </w:t>
      </w:r>
      <w:r>
        <w:rPr/>
        <w:t>BH del rumen rodeándolos de una matriz de caseína tratada con formaldehídos. El objetivo es intentar mejorar </w:t>
      </w:r>
      <w:r>
        <w:rPr>
          <w:spacing w:val="-3"/>
        </w:rPr>
        <w:t>la </w:t>
      </w:r>
      <w:r>
        <w:rPr/>
        <w:t>transferencia de AGPI de </w:t>
      </w:r>
      <w:r>
        <w:rPr>
          <w:spacing w:val="-5"/>
        </w:rPr>
        <w:t>la </w:t>
      </w:r>
      <w:r>
        <w:rPr/>
        <w:t>ración a </w:t>
      </w:r>
      <w:r>
        <w:rPr>
          <w:spacing w:val="-5"/>
        </w:rPr>
        <w:t>la </w:t>
      </w:r>
      <w:r>
        <w:rPr/>
        <w:t>leche con un </w:t>
      </w:r>
      <w:r>
        <w:rPr>
          <w:spacing w:val="-3"/>
        </w:rPr>
        <w:t>bajo </w:t>
      </w:r>
      <w:r>
        <w:rPr/>
        <w:t>contenido de AGS y han sido ampliamente utilizados en el ganado  vacuno (Chilliard </w:t>
      </w:r>
      <w:r>
        <w:rPr>
          <w:i/>
        </w:rPr>
        <w:t>et al</w:t>
      </w:r>
      <w:r>
        <w:rPr/>
        <w:t>., 1993). Los jabones cálcicos de </w:t>
      </w:r>
      <w:r>
        <w:rPr>
          <w:spacing w:val="-3"/>
        </w:rPr>
        <w:t>AG </w:t>
      </w:r>
      <w:r>
        <w:rPr/>
        <w:t>de cadena larga son lípidos  cuya protección se basa en el efecto benéfico de </w:t>
      </w:r>
      <w:r>
        <w:rPr>
          <w:spacing w:val="-3"/>
        </w:rPr>
        <w:t>la </w:t>
      </w:r>
      <w:r>
        <w:rPr/>
        <w:t>adición de calcio, que </w:t>
      </w:r>
      <w:r>
        <w:rPr>
          <w:spacing w:val="-3"/>
        </w:rPr>
        <w:t>forma </w:t>
      </w:r>
      <w:r>
        <w:rPr/>
        <w:t>una unión estable en el rumen, estos jabones se disocian en abomaso liberándose así los </w:t>
      </w:r>
      <w:r>
        <w:rPr>
          <w:spacing w:val="-3"/>
        </w:rPr>
        <w:t>AG </w:t>
      </w:r>
      <w:r>
        <w:rPr/>
        <w:t>que pueden ser absorbidos posteriormente en intestino (Jenkins y Palmquist, 1984). Schroeder </w:t>
      </w:r>
      <w:r>
        <w:rPr>
          <w:i/>
        </w:rPr>
        <w:t>et al. </w:t>
      </w:r>
      <w:r>
        <w:rPr/>
        <w:t>(2003) reportan que disminuye </w:t>
      </w:r>
      <w:r>
        <w:rPr>
          <w:spacing w:val="-3"/>
        </w:rPr>
        <w:t>la </w:t>
      </w:r>
      <w:r>
        <w:rPr/>
        <w:t>concentración (g/100g AG) de AGS como C12:0, C14:0 y C16:0 e incrementa </w:t>
      </w:r>
      <w:r>
        <w:rPr>
          <w:spacing w:val="-5"/>
        </w:rPr>
        <w:t>la </w:t>
      </w:r>
      <w:r>
        <w:rPr/>
        <w:t>de ácidos grasos </w:t>
      </w:r>
      <w:r>
        <w:rPr>
          <w:spacing w:val="-3"/>
        </w:rPr>
        <w:t>de </w:t>
      </w:r>
      <w:r>
        <w:rPr/>
        <w:t>cadena larga como CLA </w:t>
      </w:r>
      <w:r>
        <w:rPr>
          <w:i/>
        </w:rPr>
        <w:t>cis</w:t>
      </w:r>
      <w:r>
        <w:rPr/>
        <w:t>-9 </w:t>
      </w:r>
      <w:r>
        <w:rPr>
          <w:i/>
        </w:rPr>
        <w:t>trans</w:t>
      </w:r>
      <w:r>
        <w:rPr/>
        <w:t>-11  al adicionar jabones calcios de ácidos grasos insaturados en comparación con vacas complementadas solo con</w:t>
      </w:r>
      <w:r>
        <w:rPr>
          <w:spacing w:val="-16"/>
        </w:rPr>
        <w:t> </w:t>
      </w:r>
      <w:r>
        <w:rPr/>
        <w:t>concentrados.</w:t>
      </w:r>
    </w:p>
    <w:p>
      <w:pPr>
        <w:pStyle w:val="BodyText"/>
      </w:pPr>
    </w:p>
    <w:p>
      <w:pPr>
        <w:pStyle w:val="BodyText"/>
        <w:spacing w:line="360" w:lineRule="auto" w:before="140"/>
        <w:ind w:left="512" w:right="104"/>
        <w:jc w:val="both"/>
      </w:pPr>
      <w:r>
        <w:rPr/>
        <w:t>La adición de aceites vegetales como girasol, soya, </w:t>
      </w:r>
      <w:r>
        <w:rPr>
          <w:spacing w:val="-3"/>
        </w:rPr>
        <w:t>maíz, </w:t>
      </w:r>
      <w:r>
        <w:rPr/>
        <w:t>colza, </w:t>
      </w:r>
      <w:r>
        <w:rPr>
          <w:spacing w:val="-3"/>
        </w:rPr>
        <w:t>lino, </w:t>
      </w:r>
      <w:r>
        <w:rPr/>
        <w:t>cártamo y cacahuate como complemento en </w:t>
      </w:r>
      <w:r>
        <w:rPr>
          <w:spacing w:val="-5"/>
        </w:rPr>
        <w:t>la </w:t>
      </w:r>
      <w:r>
        <w:rPr/>
        <w:t>dieta suele producir incrementos importantes en </w:t>
      </w:r>
      <w:r>
        <w:rPr>
          <w:spacing w:val="-5"/>
        </w:rPr>
        <w:t>la </w:t>
      </w:r>
      <w:r>
        <w:rPr/>
        <w:t>concentración de CLA y ácidos grasos </w:t>
      </w:r>
      <w:r>
        <w:rPr>
          <w:i/>
        </w:rPr>
        <w:t>trans </w:t>
      </w:r>
      <w:r>
        <w:rPr/>
        <w:t>(Chilliard </w:t>
      </w:r>
      <w:r>
        <w:rPr>
          <w:i/>
        </w:rPr>
        <w:t>et al.</w:t>
      </w:r>
      <w:r>
        <w:rPr/>
        <w:t>, 2001). Varios autores observaron efectos positivos de </w:t>
      </w:r>
      <w:r>
        <w:rPr>
          <w:spacing w:val="-5"/>
        </w:rPr>
        <w:t>la </w:t>
      </w:r>
      <w:r>
        <w:rPr/>
        <w:t>complementación con aceite de </w:t>
      </w:r>
      <w:r>
        <w:rPr>
          <w:spacing w:val="-3"/>
        </w:rPr>
        <w:t>soya </w:t>
      </w:r>
      <w:r>
        <w:rPr/>
        <w:t>sobre </w:t>
      </w:r>
      <w:r>
        <w:rPr>
          <w:spacing w:val="-5"/>
        </w:rPr>
        <w:t>la </w:t>
      </w:r>
      <w:r>
        <w:rPr/>
        <w:t>concentración de CLA en </w:t>
      </w:r>
      <w:r>
        <w:rPr>
          <w:spacing w:val="-5"/>
        </w:rPr>
        <w:t>la </w:t>
      </w:r>
      <w:r>
        <w:rPr/>
        <w:t>leche de vaca (Dhiman </w:t>
      </w:r>
      <w:r>
        <w:rPr>
          <w:i/>
        </w:rPr>
        <w:t>et al</w:t>
      </w:r>
      <w:r>
        <w:rPr/>
        <w:t>., 2000, Chouniard </w:t>
      </w:r>
      <w:r>
        <w:rPr>
          <w:i/>
        </w:rPr>
        <w:t>et al</w:t>
      </w:r>
      <w:r>
        <w:rPr/>
        <w:t>., 2001). Dhiman </w:t>
      </w:r>
      <w:r>
        <w:rPr>
          <w:i/>
        </w:rPr>
        <w:t>et al</w:t>
      </w:r>
      <w:r>
        <w:rPr/>
        <w:t>. (2000) complementaron vacas con aceite de soya (3.6%) o con aceite de </w:t>
      </w:r>
      <w:r>
        <w:rPr>
          <w:spacing w:val="-4"/>
        </w:rPr>
        <w:t>lino </w:t>
      </w:r>
      <w:r>
        <w:rPr/>
        <w:t>a dosis baja (2.2%) y alta (4.4%) observando concentraciones de CLA </w:t>
      </w:r>
      <w:r>
        <w:rPr>
          <w:i/>
        </w:rPr>
        <w:t>cis</w:t>
      </w:r>
      <w:r>
        <w:rPr/>
        <w:t>-9 </w:t>
      </w:r>
      <w:r>
        <w:rPr>
          <w:i/>
        </w:rPr>
        <w:t>trans</w:t>
      </w:r>
      <w:r>
        <w:rPr/>
        <w:t>-11 de 2.10, 1.63 y 1.58 g/100g </w:t>
      </w:r>
      <w:r>
        <w:rPr>
          <w:spacing w:val="-3"/>
        </w:rPr>
        <w:t>AG </w:t>
      </w:r>
      <w:r>
        <w:rPr/>
        <w:t>respectivamente con respecto a 0.39 g/100g </w:t>
      </w:r>
      <w:r>
        <w:rPr>
          <w:spacing w:val="-3"/>
        </w:rPr>
        <w:t>AG </w:t>
      </w:r>
      <w:r>
        <w:rPr/>
        <w:t>del grupo control. Kelly </w:t>
      </w:r>
      <w:r>
        <w:rPr>
          <w:i/>
        </w:rPr>
        <w:t>et al</w:t>
      </w:r>
      <w:r>
        <w:rPr/>
        <w:t>. (1998) reportan mayores concentraciones de CLA </w:t>
      </w:r>
      <w:r>
        <w:rPr>
          <w:i/>
        </w:rPr>
        <w:t>cis</w:t>
      </w:r>
      <w:r>
        <w:rPr/>
        <w:t>-9 </w:t>
      </w:r>
      <w:r>
        <w:rPr>
          <w:i/>
        </w:rPr>
        <w:t>tras</w:t>
      </w:r>
      <w:r>
        <w:rPr/>
        <w:t>-11 en vacas complementadas con aceite de girasol (2.44g/100g AG) con respecto a vacas complementadas con aceite de </w:t>
      </w:r>
      <w:r>
        <w:rPr>
          <w:spacing w:val="-4"/>
        </w:rPr>
        <w:t>lino </w:t>
      </w:r>
      <w:r>
        <w:rPr/>
        <w:t>o aceite de cacahuate (1.97 y 1.33 g/100g AG). Aceites ricos en ácido linoleico como el girasol son </w:t>
      </w:r>
      <w:r>
        <w:rPr>
          <w:spacing w:val="-3"/>
        </w:rPr>
        <w:t>más </w:t>
      </w:r>
      <w:r>
        <w:rPr/>
        <w:t>eficientes para incrementar el CLA, un alto nivel de ácido linoleico  </w:t>
      </w:r>
      <w:r>
        <w:rPr>
          <w:spacing w:val="52"/>
        </w:rPr>
        <w:t> </w:t>
      </w:r>
      <w:r>
        <w:rPr/>
        <w:t>puede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4"/>
        <w:jc w:val="both"/>
      </w:pPr>
      <w:r>
        <w:rPr/>
        <w:t>llegar a saturar las bacterias responsables de la BH en rumen y por consiguiente inhibir la BH del ácido vaccénico representando una fuente disponible para la síntesis de CLA </w:t>
      </w:r>
      <w:r>
        <w:rPr>
          <w:i/>
        </w:rPr>
        <w:t>cis</w:t>
      </w:r>
      <w:r>
        <w:rPr/>
        <w:t>-9 </w:t>
      </w:r>
      <w:r>
        <w:rPr>
          <w:i/>
        </w:rPr>
        <w:t>trans</w:t>
      </w:r>
      <w:r>
        <w:rPr/>
        <w:t>-11 en la glándula mamaria (Loor y Herbein, 2003).</w:t>
      </w:r>
    </w:p>
    <w:p>
      <w:pPr>
        <w:pStyle w:val="BodyText"/>
      </w:pPr>
    </w:p>
    <w:p>
      <w:pPr>
        <w:pStyle w:val="BodyText"/>
        <w:spacing w:line="360" w:lineRule="auto" w:before="145"/>
        <w:ind w:left="512" w:right="102"/>
        <w:jc w:val="both"/>
      </w:pPr>
      <w:r>
        <w:rPr/>
        <w:t>El aceite de pescado </w:t>
      </w:r>
      <w:r>
        <w:rPr>
          <w:spacing w:val="-3"/>
        </w:rPr>
        <w:t>ha </w:t>
      </w:r>
      <w:r>
        <w:rPr/>
        <w:t>sido utilizado para suministrar AGPI de cadena larga, eicosapentaenóico (EPA, C20:5) y docosohexaenóico (DHA, C22:6) y pueden estimular niveles altos de CLA </w:t>
      </w:r>
      <w:r>
        <w:rPr>
          <w:i/>
        </w:rPr>
        <w:t>cis</w:t>
      </w:r>
      <w:r>
        <w:rPr/>
        <w:t>-9 </w:t>
      </w:r>
      <w:r>
        <w:rPr>
          <w:i/>
        </w:rPr>
        <w:t>trans</w:t>
      </w:r>
      <w:r>
        <w:rPr/>
        <w:t>-11. Estudios previos han demostrado que </w:t>
      </w:r>
      <w:r>
        <w:rPr>
          <w:spacing w:val="-5"/>
        </w:rPr>
        <w:t>la </w:t>
      </w:r>
      <w:r>
        <w:rPr/>
        <w:t>inclusión de aceite de pescado interrumpe </w:t>
      </w:r>
      <w:r>
        <w:rPr>
          <w:spacing w:val="-5"/>
        </w:rPr>
        <w:t>la </w:t>
      </w:r>
      <w:r>
        <w:rPr/>
        <w:t>BH completa de los AGPI de cadena larga, resultando en  un incremento de </w:t>
      </w:r>
      <w:r>
        <w:rPr>
          <w:spacing w:val="-5"/>
        </w:rPr>
        <w:t>la </w:t>
      </w:r>
      <w:r>
        <w:rPr/>
        <w:t>producción de ácido vaccénico (Harfoot y Hazlewood, 1997; Lee </w:t>
      </w:r>
      <w:r>
        <w:rPr>
          <w:i/>
        </w:rPr>
        <w:t>et al., </w:t>
      </w:r>
      <w:r>
        <w:rPr/>
        <w:t>2005; 2008). Los aceites de pescado son más eficientes que los aceites vegetales para incrementar </w:t>
      </w:r>
      <w:r>
        <w:rPr>
          <w:spacing w:val="-5"/>
        </w:rPr>
        <w:t>la </w:t>
      </w:r>
      <w:r>
        <w:rPr/>
        <w:t>concentración de CLA (Chilliard </w:t>
      </w:r>
      <w:r>
        <w:rPr>
          <w:i/>
        </w:rPr>
        <w:t>et al., </w:t>
      </w:r>
      <w:r>
        <w:rPr/>
        <w:t>2001) y aún </w:t>
      </w:r>
      <w:r>
        <w:rPr>
          <w:spacing w:val="-3"/>
        </w:rPr>
        <w:t>más </w:t>
      </w:r>
      <w:r>
        <w:rPr/>
        <w:t>cuando se combina este aceite con otros ricos en ácidos linoleico y linolénico (AbuGhazaleh </w:t>
      </w:r>
      <w:r>
        <w:rPr>
          <w:i/>
        </w:rPr>
        <w:t>et al</w:t>
      </w:r>
      <w:r>
        <w:rPr/>
        <w:t>.,</w:t>
      </w:r>
      <w:r>
        <w:rPr>
          <w:spacing w:val="-21"/>
        </w:rPr>
        <w:t> </w:t>
      </w:r>
      <w:r>
        <w:rPr/>
        <w:t>2002).</w:t>
      </w:r>
    </w:p>
    <w:p>
      <w:pPr>
        <w:pStyle w:val="BodyText"/>
      </w:pPr>
    </w:p>
    <w:p>
      <w:pPr>
        <w:pStyle w:val="Heading1"/>
        <w:numPr>
          <w:ilvl w:val="1"/>
          <w:numId w:val="6"/>
        </w:numPr>
        <w:tabs>
          <w:tab w:pos="1339" w:val="left" w:leader="none"/>
        </w:tabs>
        <w:spacing w:line="240" w:lineRule="auto" w:before="145" w:after="0"/>
        <w:ind w:left="1338" w:right="0" w:hanging="465"/>
        <w:jc w:val="left"/>
      </w:pPr>
      <w:bookmarkStart w:name="_TOC_250024" w:id="42"/>
      <w:r>
        <w:rPr/>
        <w:t>La raza o genotipo</w:t>
      </w:r>
      <w:r>
        <w:rPr>
          <w:spacing w:val="-7"/>
        </w:rPr>
        <w:t> </w:t>
      </w:r>
      <w:bookmarkEnd w:id="42"/>
      <w:r>
        <w:rPr/>
        <w:t>animal</w:t>
      </w:r>
    </w:p>
    <w:p>
      <w:pPr>
        <w:pStyle w:val="BodyText"/>
        <w:spacing w:line="360" w:lineRule="auto" w:before="132"/>
        <w:ind w:left="512" w:right="101"/>
        <w:jc w:val="both"/>
      </w:pPr>
      <w:r>
        <w:rPr/>
        <w:t>Se han realizado diversos estudios para evaluar el efecto de la raza sobre el contenido de grasa en leche y su composición de ácidos grasos. Stull y Brown (1964) encontraron que la grasa de la leche de vacas Holstein fue más baja en C10:0, C12:0 y C16:0 y más alta en C18:1 que la de vacas Jersey o Guernesey. White </w:t>
      </w:r>
      <w:r>
        <w:rPr>
          <w:i/>
        </w:rPr>
        <w:t>et al. </w:t>
      </w:r>
      <w:r>
        <w:rPr/>
        <w:t>(2001) evaluaron vacas en producción de las razas Holstein y Jersey bajo dos sistemas de alimentación (pastoreo </w:t>
      </w:r>
      <w:r>
        <w:rPr>
          <w:i/>
        </w:rPr>
        <w:t>vs </w:t>
      </w:r>
      <w:r>
        <w:rPr/>
        <w:t>confinamiento), estos autores reportan una mayor concentración de CLA en la leche de vacas Holstein con respecto al efecto de genotipo (0.56 </w:t>
      </w:r>
      <w:r>
        <w:rPr>
          <w:i/>
        </w:rPr>
        <w:t>vs </w:t>
      </w:r>
      <w:r>
        <w:rPr/>
        <w:t>0.45 g/100g AG, respectivamente), y por el efecto del sistema de alimentación, siendo mayor el contenido de CLA en la raza Holstein en pastoreo (0.72 </w:t>
      </w:r>
      <w:r>
        <w:rPr>
          <w:i/>
        </w:rPr>
        <w:t>vs </w:t>
      </w:r>
      <w:r>
        <w:rPr/>
        <w:t>0.59) y en confinamiento (0.41 </w:t>
      </w:r>
      <w:r>
        <w:rPr>
          <w:i/>
        </w:rPr>
        <w:t>vs </w:t>
      </w:r>
      <w:r>
        <w:rPr/>
        <w:t>0.32 g/100g AG); las concentraciones de AGS como C6:0, C8:0, C10:0, C12:0 y C14:0 fueron mayores en  la  raza  Jersey para  ambos sistemas de  alimentación.  Lawless  </w:t>
      </w:r>
      <w:r>
        <w:rPr>
          <w:i/>
        </w:rPr>
        <w:t>et  al. </w:t>
      </w:r>
      <w:r>
        <w:rPr/>
        <w:t>(1999) evaluaron</w:t>
      </w:r>
    </w:p>
    <w:p>
      <w:pPr>
        <w:pStyle w:val="BodyText"/>
        <w:spacing w:line="338" w:lineRule="auto" w:before="4"/>
        <w:ind w:left="512" w:right="111"/>
        <w:jc w:val="both"/>
      </w:pPr>
      <w:r>
        <w:rPr/>
        <w:t>cuatro razas de ganado lechero y observaron que </w:t>
      </w:r>
      <w:r>
        <w:rPr>
          <w:spacing w:val="-5"/>
        </w:rPr>
        <w:t>la </w:t>
      </w:r>
      <w:r>
        <w:rPr/>
        <w:t>raza Montbeliardde mostro </w:t>
      </w:r>
      <w:r>
        <w:rPr>
          <w:spacing w:val="-3"/>
        </w:rPr>
        <w:t>la mayor </w:t>
      </w:r>
      <w:r>
        <w:rPr/>
        <w:t>concentración de CLA en </w:t>
      </w:r>
      <w:r>
        <w:rPr>
          <w:spacing w:val="-5"/>
        </w:rPr>
        <w:t>la </w:t>
      </w:r>
      <w:r>
        <w:rPr/>
        <w:t>grasa de </w:t>
      </w:r>
      <w:r>
        <w:rPr>
          <w:spacing w:val="-5"/>
        </w:rPr>
        <w:t>la </w:t>
      </w:r>
      <w:r>
        <w:rPr>
          <w:spacing w:val="-3"/>
        </w:rPr>
        <w:t>leche </w:t>
      </w:r>
      <w:r>
        <w:rPr/>
        <w:t>(1.99 </w:t>
      </w:r>
      <w:r>
        <w:rPr>
          <w:spacing w:val="-5"/>
        </w:rPr>
        <w:t>mg </w:t>
      </w:r>
      <w:r>
        <w:rPr/>
        <w:t>g</w:t>
      </w:r>
      <w:r>
        <w:rPr>
          <w:position w:val="11"/>
          <w:sz w:val="16"/>
        </w:rPr>
        <w:t>-1 </w:t>
      </w:r>
      <w:r>
        <w:rPr/>
        <w:t>de grasa), seguida por </w:t>
      </w:r>
      <w:r>
        <w:rPr>
          <w:spacing w:val="-5"/>
        </w:rPr>
        <w:t>la </w:t>
      </w:r>
      <w:r>
        <w:rPr/>
        <w:t>Holstein-Friesian Irish (18.4) y Holstein-Friesian Dutch (17.6) y con </w:t>
      </w:r>
      <w:r>
        <w:rPr>
          <w:spacing w:val="-5"/>
        </w:rPr>
        <w:t>la </w:t>
      </w:r>
      <w:r>
        <w:rPr/>
        <w:t>menor concentración </w:t>
      </w:r>
      <w:r>
        <w:rPr>
          <w:spacing w:val="-3"/>
        </w:rPr>
        <w:t>la </w:t>
      </w:r>
      <w:r>
        <w:rPr/>
        <w:t>raza Normanda (16.7 </w:t>
      </w:r>
      <w:r>
        <w:rPr>
          <w:spacing w:val="-5"/>
        </w:rPr>
        <w:t>mg </w:t>
      </w:r>
      <w:r>
        <w:rPr/>
        <w:t>g</w:t>
      </w:r>
      <w:r>
        <w:rPr>
          <w:position w:val="11"/>
          <w:sz w:val="16"/>
        </w:rPr>
        <w:t>-1  </w:t>
      </w:r>
      <w:r>
        <w:rPr/>
        <w:t>de</w:t>
      </w:r>
      <w:r>
        <w:rPr>
          <w:spacing w:val="-14"/>
        </w:rPr>
        <w:t> </w:t>
      </w:r>
      <w:r>
        <w:rPr/>
        <w:t>grasa).</w:t>
      </w:r>
    </w:p>
    <w:p>
      <w:pPr>
        <w:spacing w:after="0" w:line="338"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1"/>
        <w:jc w:val="both"/>
      </w:pPr>
      <w:r>
        <w:rPr/>
        <w:t>Carrol </w:t>
      </w:r>
      <w:r>
        <w:rPr>
          <w:i/>
        </w:rPr>
        <w:t>et al</w:t>
      </w:r>
      <w:r>
        <w:rPr/>
        <w:t>. (2006) evaluaron el efecto del genotipo sobre </w:t>
      </w:r>
      <w:r>
        <w:rPr>
          <w:spacing w:val="-5"/>
        </w:rPr>
        <w:t>la </w:t>
      </w:r>
      <w:r>
        <w:rPr/>
        <w:t>composición de AG de  </w:t>
      </w:r>
      <w:r>
        <w:rPr>
          <w:spacing w:val="-3"/>
        </w:rPr>
        <w:t>la </w:t>
      </w:r>
      <w:r>
        <w:rPr/>
        <w:t>leche de vacas Holstein, Jersey y Pardo </w:t>
      </w:r>
      <w:r>
        <w:rPr>
          <w:spacing w:val="-3"/>
        </w:rPr>
        <w:t>Suizo </w:t>
      </w:r>
      <w:r>
        <w:rPr/>
        <w:t>incluyendo diferentes niveles de grasa en </w:t>
      </w:r>
      <w:r>
        <w:rPr>
          <w:spacing w:val="-5"/>
        </w:rPr>
        <w:t>la </w:t>
      </w:r>
      <w:r>
        <w:rPr/>
        <w:t>dieta, encontrando </w:t>
      </w:r>
      <w:r>
        <w:rPr>
          <w:spacing w:val="-3"/>
        </w:rPr>
        <w:t>mayor </w:t>
      </w:r>
      <w:r>
        <w:rPr/>
        <w:t>proporción en leche de </w:t>
      </w:r>
      <w:r>
        <w:rPr>
          <w:spacing w:val="-3"/>
        </w:rPr>
        <w:t>AG </w:t>
      </w:r>
      <w:r>
        <w:rPr/>
        <w:t>de cadena corta y media en vacas Jersey que en Holstein y Pardo Suizo. El contenido de </w:t>
      </w:r>
      <w:r>
        <w:rPr>
          <w:spacing w:val="-3"/>
        </w:rPr>
        <w:t>AG </w:t>
      </w:r>
      <w:r>
        <w:rPr/>
        <w:t>de cadena larga </w:t>
      </w:r>
      <w:r>
        <w:rPr>
          <w:spacing w:val="-3"/>
        </w:rPr>
        <w:t>fue mayor </w:t>
      </w:r>
      <w:r>
        <w:rPr/>
        <w:t>en Pardo </w:t>
      </w:r>
      <w:r>
        <w:rPr>
          <w:spacing w:val="-3"/>
        </w:rPr>
        <w:t>Suizo </w:t>
      </w:r>
      <w:r>
        <w:rPr/>
        <w:t>y menor en vacas Jersey. Las concentraciones de ácidos grasos de cadena media como C12:0, C14:0 y C16:0 </w:t>
      </w:r>
      <w:r>
        <w:rPr>
          <w:spacing w:val="-3"/>
        </w:rPr>
        <w:t>no </w:t>
      </w:r>
      <w:r>
        <w:rPr/>
        <w:t>se vieron afectadas por el efecto del genotipo. Los contenidos de C18:1 </w:t>
      </w:r>
      <w:r>
        <w:rPr>
          <w:i/>
        </w:rPr>
        <w:t>trans</w:t>
      </w:r>
      <w:r>
        <w:rPr/>
        <w:t>-11 fueron mayores en </w:t>
      </w:r>
      <w:r>
        <w:rPr>
          <w:spacing w:val="-3"/>
        </w:rPr>
        <w:t>la </w:t>
      </w:r>
      <w:r>
        <w:rPr/>
        <w:t>raza Holstein comparadas con Pardo Suizo y Jersey (1.28, 1.07 y 1.08 g/100g AG, respectivamente). En contraste, C18:1 </w:t>
      </w:r>
      <w:r>
        <w:rPr>
          <w:i/>
        </w:rPr>
        <w:t>cis</w:t>
      </w:r>
      <w:r>
        <w:rPr/>
        <w:t>-9 fue </w:t>
      </w:r>
      <w:r>
        <w:rPr>
          <w:spacing w:val="-3"/>
        </w:rPr>
        <w:t>mayor </w:t>
      </w:r>
      <w:r>
        <w:rPr/>
        <w:t>en </w:t>
      </w:r>
      <w:r>
        <w:rPr>
          <w:spacing w:val="-5"/>
        </w:rPr>
        <w:t>la </w:t>
      </w:r>
      <w:r>
        <w:rPr/>
        <w:t>raza Pardo </w:t>
      </w:r>
      <w:r>
        <w:rPr>
          <w:spacing w:val="-3"/>
        </w:rPr>
        <w:t>Suizo </w:t>
      </w:r>
      <w:r>
        <w:rPr/>
        <w:t>comparado con </w:t>
      </w:r>
      <w:r>
        <w:rPr>
          <w:spacing w:val="-3"/>
        </w:rPr>
        <w:t>la </w:t>
      </w:r>
      <w:r>
        <w:rPr/>
        <w:t>Holstein y Jersey (23.23, 19.98 y 18.77 g/100g AG). Los ácidos grasos linoleico, linolénico y CLA </w:t>
      </w:r>
      <w:r>
        <w:rPr>
          <w:i/>
        </w:rPr>
        <w:t>cis</w:t>
      </w:r>
      <w:r>
        <w:rPr/>
        <w:t>-9 </w:t>
      </w:r>
      <w:r>
        <w:rPr>
          <w:i/>
        </w:rPr>
        <w:t>trans</w:t>
      </w:r>
      <w:r>
        <w:rPr/>
        <w:t>-11 </w:t>
      </w:r>
      <w:r>
        <w:rPr>
          <w:spacing w:val="-3"/>
        </w:rPr>
        <w:t>no </w:t>
      </w:r>
      <w:r>
        <w:rPr/>
        <w:t>mostraron diferencia por efecto del</w:t>
      </w:r>
      <w:r>
        <w:rPr>
          <w:spacing w:val="-11"/>
        </w:rPr>
        <w:t> </w:t>
      </w:r>
      <w:r>
        <w:rPr/>
        <w:t>genotipo.</w:t>
      </w:r>
    </w:p>
    <w:p>
      <w:pPr>
        <w:pStyle w:val="BodyText"/>
      </w:pPr>
    </w:p>
    <w:p>
      <w:pPr>
        <w:pStyle w:val="BodyText"/>
        <w:spacing w:line="360" w:lineRule="auto" w:before="145"/>
        <w:ind w:left="512" w:right="100"/>
        <w:jc w:val="both"/>
      </w:pPr>
      <w:r>
        <w:rPr/>
        <w:t>Kelsey </w:t>
      </w:r>
      <w:r>
        <w:rPr>
          <w:i/>
        </w:rPr>
        <w:t>et al</w:t>
      </w:r>
      <w:r>
        <w:rPr/>
        <w:t>. (2003) reportan que AGS como C12:0 y C14:0 se encuentran en </w:t>
      </w:r>
      <w:r>
        <w:rPr>
          <w:spacing w:val="-3"/>
        </w:rPr>
        <w:t>mayor </w:t>
      </w:r>
      <w:r>
        <w:rPr/>
        <w:t>concentración (P&lt;0.05) en </w:t>
      </w:r>
      <w:r>
        <w:rPr>
          <w:spacing w:val="-3"/>
        </w:rPr>
        <w:t>la </w:t>
      </w:r>
      <w:r>
        <w:rPr/>
        <w:t>grasas de </w:t>
      </w:r>
      <w:r>
        <w:rPr>
          <w:spacing w:val="-3"/>
        </w:rPr>
        <w:t>la </w:t>
      </w:r>
      <w:r>
        <w:rPr/>
        <w:t>leche de vacas Pardo Suizo comparadas con </w:t>
      </w:r>
      <w:r>
        <w:rPr>
          <w:spacing w:val="-3"/>
        </w:rPr>
        <w:t>la </w:t>
      </w:r>
      <w:r>
        <w:rPr/>
        <w:t>raza Holstein (2.62 </w:t>
      </w:r>
      <w:r>
        <w:rPr>
          <w:i/>
        </w:rPr>
        <w:t>vs </w:t>
      </w:r>
      <w:r>
        <w:rPr/>
        <w:t>2.29 y 8.53 </w:t>
      </w:r>
      <w:r>
        <w:rPr>
          <w:i/>
        </w:rPr>
        <w:t>vs </w:t>
      </w:r>
      <w:r>
        <w:rPr/>
        <w:t>8.15 g/100g AG); </w:t>
      </w:r>
      <w:r>
        <w:rPr>
          <w:spacing w:val="-3"/>
        </w:rPr>
        <w:t>las </w:t>
      </w:r>
      <w:r>
        <w:rPr/>
        <w:t>concentraciones de ácidos vaccénico, linoleico y CLA </w:t>
      </w:r>
      <w:r>
        <w:rPr>
          <w:i/>
        </w:rPr>
        <w:t>cis</w:t>
      </w:r>
      <w:r>
        <w:rPr/>
        <w:t>-9 </w:t>
      </w:r>
      <w:r>
        <w:rPr>
          <w:i/>
        </w:rPr>
        <w:t>trans</w:t>
      </w:r>
      <w:r>
        <w:rPr/>
        <w:t>-11 reportados por estos autores son mayores (P&lt;0.05) en </w:t>
      </w:r>
      <w:r>
        <w:rPr>
          <w:spacing w:val="-5"/>
        </w:rPr>
        <w:t>la </w:t>
      </w:r>
      <w:r>
        <w:rPr/>
        <w:t>raza Holstein que en </w:t>
      </w:r>
      <w:r>
        <w:rPr>
          <w:spacing w:val="-3"/>
        </w:rPr>
        <w:t>la </w:t>
      </w:r>
      <w:r>
        <w:rPr/>
        <w:t>Pardo Suizo (1.14 </w:t>
      </w:r>
      <w:r>
        <w:rPr>
          <w:i/>
        </w:rPr>
        <w:t>vs </w:t>
      </w:r>
      <w:r>
        <w:rPr/>
        <w:t>0.95, 3.62 </w:t>
      </w:r>
      <w:r>
        <w:rPr>
          <w:i/>
        </w:rPr>
        <w:t>vs </w:t>
      </w:r>
      <w:r>
        <w:rPr/>
        <w:t>3.41 y 0.44 </w:t>
      </w:r>
      <w:r>
        <w:rPr>
          <w:i/>
        </w:rPr>
        <w:t>vs </w:t>
      </w:r>
      <w:r>
        <w:rPr/>
        <w:t>0.41 g/100g</w:t>
      </w:r>
      <w:r>
        <w:rPr>
          <w:spacing w:val="-5"/>
        </w:rPr>
        <w:t> </w:t>
      </w:r>
      <w:r>
        <w:rPr/>
        <w:t>AG).</w:t>
      </w:r>
    </w:p>
    <w:p>
      <w:pPr>
        <w:pStyle w:val="BodyText"/>
        <w:spacing w:line="360" w:lineRule="auto" w:before="210"/>
        <w:ind w:left="512" w:right="110"/>
        <w:jc w:val="both"/>
      </w:pPr>
      <w:r>
        <w:rPr/>
        <w:t>Es importante tener en cuenta que, dada </w:t>
      </w:r>
      <w:r>
        <w:rPr>
          <w:spacing w:val="-5"/>
        </w:rPr>
        <w:t>la </w:t>
      </w:r>
      <w:r>
        <w:rPr/>
        <w:t>excesiva variación entre individuos, se requiere un alto número de animales para el diseño de este tipo de experimentos. Los efectos vinculados al genotipo son significativos (P&lt;0.05), pero generalmente de alcance limitado (Palmquist </w:t>
      </w:r>
      <w:r>
        <w:rPr>
          <w:i/>
        </w:rPr>
        <w:t>et al., </w:t>
      </w:r>
      <w:r>
        <w:rPr/>
        <w:t>1993, Chilliard y Ferlay, 2004); además, es de una heredabilidad moderada, por </w:t>
      </w:r>
      <w:r>
        <w:rPr>
          <w:spacing w:val="-5"/>
        </w:rPr>
        <w:t>lo </w:t>
      </w:r>
      <w:r>
        <w:rPr/>
        <w:t>cual tiene sentido </w:t>
      </w:r>
      <w:r>
        <w:rPr>
          <w:spacing w:val="-5"/>
        </w:rPr>
        <w:t>la </w:t>
      </w:r>
      <w:r>
        <w:rPr/>
        <w:t>selección de animales con alto contenido de CLA en leche, aunque los resultados se obtendrían a largo plazo. Con </w:t>
      </w:r>
      <w:r>
        <w:rPr>
          <w:spacing w:val="-5"/>
        </w:rPr>
        <w:t>la </w:t>
      </w:r>
      <w:r>
        <w:rPr/>
        <w:t>misma dieta, se observan diferencias entre individuos de hasta el doble en el contenido de CLA en leche, diferencias que se mantienen durante todo el periodo experimental (Peterson </w:t>
      </w:r>
      <w:r>
        <w:rPr>
          <w:i/>
        </w:rPr>
        <w:t>et al., </w:t>
      </w:r>
      <w:r>
        <w:rPr/>
        <w:t>2002). Algunos animales tuvieron consistentemente una respuesta significativa en el contenido de CLA  con el cambio de dieta, mientras que otros mostraron poca o </w:t>
      </w:r>
      <w:r>
        <w:rPr>
          <w:spacing w:val="-3"/>
        </w:rPr>
        <w:t>nula </w:t>
      </w:r>
      <w:r>
        <w:rPr/>
        <w:t>respuesta. En general, los niveles</w:t>
      </w:r>
      <w:r>
        <w:rPr>
          <w:spacing w:val="30"/>
        </w:rPr>
        <w:t> </w:t>
      </w:r>
      <w:r>
        <w:rPr/>
        <w:t>de</w:t>
      </w:r>
      <w:r>
        <w:rPr>
          <w:spacing w:val="31"/>
        </w:rPr>
        <w:t> </w:t>
      </w:r>
      <w:r>
        <w:rPr/>
        <w:t>CLA</w:t>
      </w:r>
      <w:r>
        <w:rPr>
          <w:spacing w:val="27"/>
        </w:rPr>
        <w:t> </w:t>
      </w:r>
      <w:r>
        <w:rPr/>
        <w:t>difieren</w:t>
      </w:r>
      <w:r>
        <w:rPr>
          <w:spacing w:val="27"/>
        </w:rPr>
        <w:t> </w:t>
      </w:r>
      <w:r>
        <w:rPr/>
        <w:t>entre</w:t>
      </w:r>
      <w:r>
        <w:rPr>
          <w:spacing w:val="31"/>
        </w:rPr>
        <w:t> </w:t>
      </w:r>
      <w:r>
        <w:rPr/>
        <w:t>vacas,</w:t>
      </w:r>
      <w:r>
        <w:rPr>
          <w:spacing w:val="34"/>
        </w:rPr>
        <w:t> </w:t>
      </w:r>
      <w:r>
        <w:rPr/>
        <w:t>pero</w:t>
      </w:r>
      <w:r>
        <w:rPr>
          <w:spacing w:val="32"/>
        </w:rPr>
        <w:t> </w:t>
      </w:r>
      <w:r>
        <w:rPr/>
        <w:t>los</w:t>
      </w:r>
      <w:r>
        <w:rPr>
          <w:spacing w:val="30"/>
        </w:rPr>
        <w:t> </w:t>
      </w:r>
      <w:r>
        <w:rPr/>
        <w:t>patrones</w:t>
      </w:r>
      <w:r>
        <w:rPr>
          <w:spacing w:val="30"/>
        </w:rPr>
        <w:t> </w:t>
      </w:r>
      <w:r>
        <w:rPr/>
        <w:t>de</w:t>
      </w:r>
      <w:r>
        <w:rPr>
          <w:spacing w:val="31"/>
        </w:rPr>
        <w:t> </w:t>
      </w:r>
      <w:r>
        <w:rPr/>
        <w:t>respuesta</w:t>
      </w:r>
      <w:r>
        <w:rPr>
          <w:spacing w:val="31"/>
        </w:rPr>
        <w:t> </w:t>
      </w:r>
      <w:r>
        <w:rPr/>
        <w:t>a</w:t>
      </w:r>
      <w:r>
        <w:rPr>
          <w:spacing w:val="31"/>
        </w:rPr>
        <w:t> </w:t>
      </w:r>
      <w:r>
        <w:rPr/>
        <w:t>los</w:t>
      </w:r>
      <w:r>
        <w:rPr>
          <w:spacing w:val="30"/>
        </w:rPr>
        <w:t> </w:t>
      </w:r>
      <w:r>
        <w:rPr/>
        <w:t>cambios</w:t>
      </w:r>
      <w:r>
        <w:rPr>
          <w:spacing w:val="30"/>
        </w:rPr>
        <w:t> </w:t>
      </w:r>
      <w:r>
        <w:rPr/>
        <w:t>en</w:t>
      </w:r>
      <w:r>
        <w:rPr>
          <w:spacing w:val="32"/>
        </w:rPr>
        <w:t> </w:t>
      </w:r>
      <w:r>
        <w:rPr>
          <w:spacing w:val="-3"/>
        </w:rPr>
        <w:t>la</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57" w:lineRule="auto" w:before="69"/>
        <w:ind w:left="512" w:right="117"/>
        <w:jc w:val="both"/>
      </w:pPr>
      <w:r>
        <w:rPr/>
        <w:t>dieta son similares. Esto sugiere que factores adicionales, tales como la regulación genética individual de la microflora del rumen, podrían también operar en el control de la síntesis ruminal de CLA (Moore </w:t>
      </w:r>
      <w:r>
        <w:rPr>
          <w:i/>
        </w:rPr>
        <w:t>et al., </w:t>
      </w:r>
      <w:r>
        <w:rPr/>
        <w:t>1993).</w:t>
      </w:r>
    </w:p>
    <w:p>
      <w:pPr>
        <w:pStyle w:val="BodyText"/>
        <w:spacing w:line="350" w:lineRule="auto" w:before="213"/>
        <w:ind w:left="512" w:right="103"/>
        <w:jc w:val="both"/>
      </w:pPr>
      <w:r>
        <w:rPr/>
        <w:t>Resulta difícil deslindar los efectos de genotipo de los de alimentación sobre </w:t>
      </w:r>
      <w:r>
        <w:rPr>
          <w:spacing w:val="-3"/>
        </w:rPr>
        <w:t>la  </w:t>
      </w:r>
      <w:r>
        <w:rPr/>
        <w:t>composición en ácidos graso de </w:t>
      </w:r>
      <w:r>
        <w:rPr>
          <w:spacing w:val="-3"/>
        </w:rPr>
        <w:t>la </w:t>
      </w:r>
      <w:r>
        <w:rPr/>
        <w:t>leche. La variación genética incluye diferencias relacionada con </w:t>
      </w:r>
      <w:r>
        <w:rPr>
          <w:spacing w:val="-3"/>
        </w:rPr>
        <w:t>la </w:t>
      </w:r>
      <w:r>
        <w:rPr/>
        <w:t>biohidrogenación en rumen y </w:t>
      </w:r>
      <w:r>
        <w:rPr>
          <w:spacing w:val="2"/>
        </w:rPr>
        <w:t>con </w:t>
      </w:r>
      <w:r>
        <w:rPr>
          <w:spacing w:val="-5"/>
        </w:rPr>
        <w:t>la </w:t>
      </w:r>
      <w:r>
        <w:rPr/>
        <w:t>actividad de </w:t>
      </w:r>
      <w:r>
        <w:rPr>
          <w:spacing w:val="-5"/>
        </w:rPr>
        <w:t>la </w:t>
      </w:r>
      <w:r>
        <w:rPr>
          <w:spacing w:val="4"/>
        </w:rPr>
        <w:t>∆</w:t>
      </w:r>
      <w:r>
        <w:rPr>
          <w:spacing w:val="4"/>
          <w:position w:val="11"/>
          <w:sz w:val="16"/>
        </w:rPr>
        <w:t>9- </w:t>
      </w:r>
      <w:r>
        <w:rPr/>
        <w:t>desaturasa en </w:t>
      </w:r>
      <w:r>
        <w:rPr>
          <w:spacing w:val="-3"/>
        </w:rPr>
        <w:t>la </w:t>
      </w:r>
      <w:r>
        <w:rPr/>
        <w:t>glándula mamaria (Peterson </w:t>
      </w:r>
      <w:r>
        <w:rPr>
          <w:i/>
        </w:rPr>
        <w:t>et al</w:t>
      </w:r>
      <w:r>
        <w:rPr/>
        <w:t>., 2002). Se especula que las diferencias genéticas entre individuos son </w:t>
      </w:r>
      <w:r>
        <w:rPr>
          <w:spacing w:val="-4"/>
        </w:rPr>
        <w:t>más </w:t>
      </w:r>
      <w:r>
        <w:rPr/>
        <w:t>bien imputables a </w:t>
      </w:r>
      <w:r>
        <w:rPr>
          <w:spacing w:val="-5"/>
        </w:rPr>
        <w:t>la </w:t>
      </w:r>
      <w:r>
        <w:rPr/>
        <w:t>producción ruminal de C18:1 </w:t>
      </w:r>
      <w:r>
        <w:rPr>
          <w:i/>
        </w:rPr>
        <w:t>trans-</w:t>
      </w:r>
      <w:r>
        <w:rPr/>
        <w:t>11 y en menor grado a </w:t>
      </w:r>
      <w:r>
        <w:rPr>
          <w:spacing w:val="-5"/>
        </w:rPr>
        <w:t>la </w:t>
      </w:r>
      <w:r>
        <w:rPr/>
        <w:t>de CLA y a </w:t>
      </w:r>
      <w:r>
        <w:rPr>
          <w:spacing w:val="-3"/>
        </w:rPr>
        <w:t>la </w:t>
      </w:r>
      <w:r>
        <w:rPr/>
        <w:t>actividad de </w:t>
      </w:r>
      <w:r>
        <w:rPr>
          <w:spacing w:val="-3"/>
        </w:rPr>
        <w:t>la </w:t>
      </w:r>
      <w:r>
        <w:rPr/>
        <w:t>enzima ∆</w:t>
      </w:r>
      <w:r>
        <w:rPr>
          <w:position w:val="11"/>
          <w:sz w:val="16"/>
        </w:rPr>
        <w:t>9-</w:t>
      </w:r>
      <w:r>
        <w:rPr/>
        <w:t>desaturasa en </w:t>
      </w:r>
      <w:r>
        <w:rPr>
          <w:spacing w:val="-3"/>
        </w:rPr>
        <w:t>la </w:t>
      </w:r>
      <w:r>
        <w:rPr/>
        <w:t>glándula mamaria (Kelsey </w:t>
      </w:r>
      <w:r>
        <w:rPr>
          <w:i/>
        </w:rPr>
        <w:t>et al.,</w:t>
      </w:r>
      <w:r>
        <w:rPr>
          <w:i/>
          <w:spacing w:val="-6"/>
        </w:rPr>
        <w:t> </w:t>
      </w:r>
      <w:r>
        <w:rPr/>
        <w:t>2003).</w:t>
      </w:r>
    </w:p>
    <w:p>
      <w:pPr>
        <w:pStyle w:val="BodyText"/>
        <w:spacing w:before="2"/>
        <w:rPr>
          <w:sz w:val="19"/>
        </w:rPr>
      </w:pPr>
    </w:p>
    <w:p>
      <w:pPr>
        <w:pStyle w:val="Heading1"/>
        <w:numPr>
          <w:ilvl w:val="1"/>
          <w:numId w:val="6"/>
        </w:numPr>
        <w:tabs>
          <w:tab w:pos="1277" w:val="left" w:leader="none"/>
        </w:tabs>
        <w:spacing w:line="240" w:lineRule="auto" w:before="0" w:after="0"/>
        <w:ind w:left="1276" w:right="0" w:hanging="403"/>
        <w:jc w:val="left"/>
      </w:pPr>
      <w:bookmarkStart w:name="_TOC_250023" w:id="43"/>
      <w:r>
        <w:rPr/>
        <w:t>Etapa de</w:t>
      </w:r>
      <w:r>
        <w:rPr>
          <w:spacing w:val="-5"/>
        </w:rPr>
        <w:t> </w:t>
      </w:r>
      <w:bookmarkEnd w:id="43"/>
      <w:r>
        <w:rPr/>
        <w:t>lactación</w:t>
      </w:r>
    </w:p>
    <w:p>
      <w:pPr>
        <w:pStyle w:val="BodyText"/>
        <w:spacing w:before="4"/>
        <w:rPr>
          <w:b/>
          <w:sz w:val="29"/>
        </w:rPr>
      </w:pPr>
    </w:p>
    <w:p>
      <w:pPr>
        <w:pStyle w:val="BodyText"/>
        <w:spacing w:line="360" w:lineRule="auto" w:before="1"/>
        <w:ind w:left="512" w:right="100"/>
        <w:jc w:val="both"/>
      </w:pPr>
      <w:r>
        <w:rPr/>
        <w:t>Los efectos de </w:t>
      </w:r>
      <w:r>
        <w:rPr>
          <w:spacing w:val="-3"/>
        </w:rPr>
        <w:t>la </w:t>
      </w:r>
      <w:r>
        <w:rPr/>
        <w:t>etapa de lactación sobre niveles de CLA en leche </w:t>
      </w:r>
      <w:r>
        <w:rPr>
          <w:spacing w:val="-3"/>
        </w:rPr>
        <w:t>no </w:t>
      </w:r>
      <w:r>
        <w:rPr/>
        <w:t>están claros (Lock </w:t>
      </w:r>
      <w:r>
        <w:rPr>
          <w:i/>
        </w:rPr>
        <w:t>et </w:t>
      </w:r>
      <w:r>
        <w:rPr>
          <w:i/>
        </w:rPr>
        <w:t>al., </w:t>
      </w:r>
      <w:r>
        <w:rPr/>
        <w:t>2005). MacGibbon </w:t>
      </w:r>
      <w:r>
        <w:rPr>
          <w:i/>
        </w:rPr>
        <w:t>et al. </w:t>
      </w:r>
      <w:r>
        <w:rPr/>
        <w:t>(2001) y Auldist </w:t>
      </w:r>
      <w:r>
        <w:rPr>
          <w:i/>
        </w:rPr>
        <w:t>et al. </w:t>
      </w:r>
      <w:r>
        <w:rPr/>
        <w:t>(2002) con vacas lecheras en pastoreo, hallaron mayores concentraciones de CLA </w:t>
      </w:r>
      <w:r>
        <w:rPr>
          <w:i/>
        </w:rPr>
        <w:t>cis</w:t>
      </w:r>
      <w:r>
        <w:rPr/>
        <w:t>-9 </w:t>
      </w:r>
      <w:r>
        <w:rPr>
          <w:i/>
        </w:rPr>
        <w:t>trans</w:t>
      </w:r>
      <w:r>
        <w:rPr/>
        <w:t>-11 al inicio y final de </w:t>
      </w:r>
      <w:r>
        <w:rPr>
          <w:spacing w:val="-3"/>
        </w:rPr>
        <w:t>la </w:t>
      </w:r>
      <w:r>
        <w:rPr/>
        <w:t>lactación  que a </w:t>
      </w:r>
      <w:r>
        <w:rPr>
          <w:spacing w:val="-5"/>
        </w:rPr>
        <w:t>la </w:t>
      </w:r>
      <w:r>
        <w:rPr/>
        <w:t>mitad, pero estos efectos se enmascaran con los cambios de digestibilidad por </w:t>
      </w:r>
      <w:r>
        <w:rPr>
          <w:spacing w:val="-5"/>
        </w:rPr>
        <w:t>la </w:t>
      </w:r>
      <w:r>
        <w:rPr/>
        <w:t>madurez de las plantas y </w:t>
      </w:r>
      <w:r>
        <w:rPr>
          <w:spacing w:val="-3"/>
        </w:rPr>
        <w:t>la </w:t>
      </w:r>
      <w:r>
        <w:rPr/>
        <w:t>asignación del pasto (Stockdale </w:t>
      </w:r>
      <w:r>
        <w:rPr>
          <w:i/>
        </w:rPr>
        <w:t>et al</w:t>
      </w:r>
      <w:r>
        <w:rPr/>
        <w:t>., 2003). Por otro lado, se confunde fácilmente </w:t>
      </w:r>
      <w:r>
        <w:rPr>
          <w:spacing w:val="-5"/>
        </w:rPr>
        <w:t>la </w:t>
      </w:r>
      <w:r>
        <w:rPr/>
        <w:t>época del año con </w:t>
      </w:r>
      <w:r>
        <w:rPr>
          <w:spacing w:val="-5"/>
        </w:rPr>
        <w:t>la </w:t>
      </w:r>
      <w:r>
        <w:rPr/>
        <w:t>fase de lactación (Lock y Garnsworthy, 2003). Auldist </w:t>
      </w:r>
      <w:r>
        <w:rPr>
          <w:i/>
        </w:rPr>
        <w:t>et al. </w:t>
      </w:r>
      <w:r>
        <w:rPr/>
        <w:t>(1998) utilizaron cuatro hatos </w:t>
      </w:r>
      <w:r>
        <w:rPr>
          <w:spacing w:val="-3"/>
        </w:rPr>
        <w:t>en </w:t>
      </w:r>
      <w:r>
        <w:rPr/>
        <w:t>pastoreo, en cuatro épocas de parto diferentes; ellos reportan un incremento en el contenido de CLA </w:t>
      </w:r>
      <w:r>
        <w:rPr>
          <w:i/>
        </w:rPr>
        <w:t>cis</w:t>
      </w:r>
      <w:r>
        <w:rPr/>
        <w:t>-9 </w:t>
      </w:r>
      <w:r>
        <w:rPr>
          <w:i/>
        </w:rPr>
        <w:t>trans</w:t>
      </w:r>
      <w:r>
        <w:rPr/>
        <w:t>-11 en </w:t>
      </w:r>
      <w:r>
        <w:rPr>
          <w:spacing w:val="-5"/>
        </w:rPr>
        <w:t>la </w:t>
      </w:r>
      <w:r>
        <w:rPr/>
        <w:t>grasa de </w:t>
      </w:r>
      <w:r>
        <w:rPr>
          <w:spacing w:val="-5"/>
        </w:rPr>
        <w:t>la </w:t>
      </w:r>
      <w:r>
        <w:rPr/>
        <w:t>leche con el avance de </w:t>
      </w:r>
      <w:r>
        <w:rPr>
          <w:spacing w:val="-5"/>
        </w:rPr>
        <w:t>la </w:t>
      </w:r>
      <w:r>
        <w:rPr/>
        <w:t>lactación. Sin embargo Kelsey </w:t>
      </w:r>
      <w:r>
        <w:rPr>
          <w:i/>
        </w:rPr>
        <w:t>et al. </w:t>
      </w:r>
      <w:r>
        <w:rPr/>
        <w:t>(2003), muestrearon  200 vacas que consumían </w:t>
      </w:r>
      <w:r>
        <w:rPr>
          <w:spacing w:val="-5"/>
        </w:rPr>
        <w:t>la </w:t>
      </w:r>
      <w:r>
        <w:rPr>
          <w:spacing w:val="-3"/>
        </w:rPr>
        <w:t>misma </w:t>
      </w:r>
      <w:r>
        <w:rPr/>
        <w:t>dieta TMR, y reportaron que el contenido de CLA </w:t>
      </w:r>
      <w:r>
        <w:rPr>
          <w:i/>
        </w:rPr>
        <w:t>cis</w:t>
      </w:r>
      <w:r>
        <w:rPr/>
        <w:t>-9 </w:t>
      </w:r>
      <w:r>
        <w:rPr>
          <w:i/>
        </w:rPr>
        <w:t>trans</w:t>
      </w:r>
      <w:r>
        <w:rPr/>
        <w:t>-11 </w:t>
      </w:r>
      <w:r>
        <w:rPr>
          <w:spacing w:val="-3"/>
        </w:rPr>
        <w:t>no </w:t>
      </w:r>
      <w:r>
        <w:rPr/>
        <w:t>se </w:t>
      </w:r>
      <w:r>
        <w:rPr>
          <w:spacing w:val="-5"/>
        </w:rPr>
        <w:t>vio </w:t>
      </w:r>
      <w:r>
        <w:rPr/>
        <w:t>afectado por </w:t>
      </w:r>
      <w:r>
        <w:rPr>
          <w:spacing w:val="-5"/>
        </w:rPr>
        <w:t>la </w:t>
      </w:r>
      <w:r>
        <w:rPr/>
        <w:t>etapa de lactación. La gran variabilidad individual en los niveles de CLA </w:t>
      </w:r>
      <w:r>
        <w:rPr>
          <w:i/>
        </w:rPr>
        <w:t>cis</w:t>
      </w:r>
      <w:r>
        <w:rPr/>
        <w:t>-9 </w:t>
      </w:r>
      <w:r>
        <w:rPr>
          <w:i/>
        </w:rPr>
        <w:t>trans</w:t>
      </w:r>
      <w:r>
        <w:rPr/>
        <w:t>-11 probablemente requiere medidas repetidas en el tiempo para detectar los efectos de </w:t>
      </w:r>
      <w:r>
        <w:rPr>
          <w:spacing w:val="-5"/>
        </w:rPr>
        <w:t>la </w:t>
      </w:r>
      <w:r>
        <w:rPr/>
        <w:t>fase de lactación (Bargo </w:t>
      </w:r>
      <w:r>
        <w:rPr>
          <w:i/>
          <w:spacing w:val="-3"/>
        </w:rPr>
        <w:t>et </w:t>
      </w:r>
      <w:r>
        <w:rPr>
          <w:i/>
        </w:rPr>
        <w:t>al.,</w:t>
      </w:r>
      <w:r>
        <w:rPr>
          <w:i/>
          <w:spacing w:val="12"/>
        </w:rPr>
        <w:t> </w:t>
      </w:r>
      <w:r>
        <w:rPr/>
        <w:t>2006).</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0"/>
          <w:numId w:val="4"/>
        </w:numPr>
        <w:tabs>
          <w:tab w:pos="1233" w:val="left" w:leader="none"/>
        </w:tabs>
        <w:spacing w:line="360" w:lineRule="auto" w:before="69" w:after="0"/>
        <w:ind w:left="1233" w:right="109" w:hanging="360"/>
        <w:jc w:val="left"/>
      </w:pPr>
      <w:bookmarkStart w:name="_TOC_250022" w:id="44"/>
      <w:r>
        <w:rPr/>
        <w:t>FACTORES QUE INFLUYEN EN EL CONSUMO DE MATERIA SECA DE VACAS EN</w:t>
      </w:r>
      <w:r>
        <w:rPr>
          <w:spacing w:val="-9"/>
        </w:rPr>
        <w:t> </w:t>
      </w:r>
      <w:bookmarkEnd w:id="44"/>
      <w:r>
        <w:rPr/>
        <w:t>PASTOREO</w:t>
      </w:r>
    </w:p>
    <w:p>
      <w:pPr>
        <w:pStyle w:val="BodyText"/>
        <w:spacing w:before="2"/>
        <w:rPr>
          <w:b/>
        </w:rPr>
      </w:pPr>
    </w:p>
    <w:p>
      <w:pPr>
        <w:pStyle w:val="BodyText"/>
        <w:spacing w:line="360" w:lineRule="auto"/>
        <w:ind w:left="512" w:right="106"/>
        <w:jc w:val="both"/>
      </w:pPr>
      <w:r>
        <w:rPr/>
        <w:t>El uso de praderas en </w:t>
      </w:r>
      <w:r>
        <w:rPr>
          <w:spacing w:val="-3"/>
        </w:rPr>
        <w:t>la </w:t>
      </w:r>
      <w:r>
        <w:rPr/>
        <w:t>alimentación de vacas lecheras resulta en un sistema de alimentación de </w:t>
      </w:r>
      <w:r>
        <w:rPr>
          <w:spacing w:val="-3"/>
        </w:rPr>
        <w:t>bajo </w:t>
      </w:r>
      <w:r>
        <w:rPr/>
        <w:t>costo </w:t>
      </w:r>
      <w:r>
        <w:rPr>
          <w:spacing w:val="-5"/>
        </w:rPr>
        <w:t>ya </w:t>
      </w:r>
      <w:r>
        <w:rPr/>
        <w:t>que los forrajes son </w:t>
      </w:r>
      <w:r>
        <w:rPr>
          <w:spacing w:val="-3"/>
        </w:rPr>
        <w:t>la </w:t>
      </w:r>
      <w:r>
        <w:rPr/>
        <w:t>fuente de nutrientes más barata (Clark y Kanneganti, 1998; Peyraud y Delaby, 2001). Además, se </w:t>
      </w:r>
      <w:r>
        <w:rPr>
          <w:spacing w:val="-3"/>
        </w:rPr>
        <w:t>ha </w:t>
      </w:r>
      <w:r>
        <w:rPr/>
        <w:t>reportado que </w:t>
      </w:r>
      <w:r>
        <w:rPr>
          <w:spacing w:val="-5"/>
        </w:rPr>
        <w:t>la </w:t>
      </w:r>
      <w:r>
        <w:rPr>
          <w:spacing w:val="-3"/>
        </w:rPr>
        <w:t>leche </w:t>
      </w:r>
      <w:r>
        <w:rPr/>
        <w:t>producida por vacas en pastoreo o consumiendo forraje fresco contiene mayores concentraciones de ácidos grasos insaturados que </w:t>
      </w:r>
      <w:r>
        <w:rPr>
          <w:spacing w:val="-3"/>
        </w:rPr>
        <w:t>la </w:t>
      </w:r>
      <w:r>
        <w:rPr/>
        <w:t>de vacas alimentadas en confinamiento con ensilados y concentrados (Elgersma </w:t>
      </w:r>
      <w:r>
        <w:rPr>
          <w:i/>
        </w:rPr>
        <w:t>et al</w:t>
      </w:r>
      <w:r>
        <w:rPr/>
        <w:t>., 2003). Sin embargo, </w:t>
      </w:r>
      <w:r>
        <w:rPr>
          <w:spacing w:val="-5"/>
        </w:rPr>
        <w:t>la </w:t>
      </w:r>
      <w:r>
        <w:rPr/>
        <w:t>ingestión de forraje como único ingrediente en </w:t>
      </w:r>
      <w:r>
        <w:rPr>
          <w:spacing w:val="-5"/>
        </w:rPr>
        <w:t>la </w:t>
      </w:r>
      <w:r>
        <w:rPr/>
        <w:t>dieta del animal es considerado uno de los principales factores limitantes en </w:t>
      </w:r>
      <w:r>
        <w:rPr>
          <w:spacing w:val="-5"/>
        </w:rPr>
        <w:t>la </w:t>
      </w:r>
      <w:r>
        <w:rPr/>
        <w:t>producción (Forbes, 1995). La cantidad de forraje consumido depende de gran diversidad de factores relacionados principalmente con </w:t>
      </w:r>
      <w:r>
        <w:rPr>
          <w:spacing w:val="-5"/>
        </w:rPr>
        <w:t>la </w:t>
      </w:r>
      <w:r>
        <w:rPr/>
        <w:t>alimentación, el animal y </w:t>
      </w:r>
      <w:r>
        <w:rPr>
          <w:spacing w:val="4"/>
        </w:rPr>
        <w:t>el </w:t>
      </w:r>
      <w:r>
        <w:rPr>
          <w:spacing w:val="-3"/>
        </w:rPr>
        <w:t>medio </w:t>
      </w:r>
      <w:r>
        <w:rPr/>
        <w:t>ambiente, de los cuales se mencionarán los más</w:t>
      </w:r>
      <w:r>
        <w:rPr>
          <w:spacing w:val="-11"/>
        </w:rPr>
        <w:t> </w:t>
      </w:r>
      <w:r>
        <w:rPr/>
        <w:t>importantes.</w:t>
      </w:r>
    </w:p>
    <w:p>
      <w:pPr>
        <w:pStyle w:val="BodyText"/>
        <w:rPr>
          <w:sz w:val="25"/>
        </w:rPr>
      </w:pPr>
    </w:p>
    <w:p>
      <w:pPr>
        <w:pStyle w:val="Heading1"/>
        <w:numPr>
          <w:ilvl w:val="1"/>
          <w:numId w:val="4"/>
        </w:numPr>
        <w:tabs>
          <w:tab w:pos="1272" w:val="left" w:leader="none"/>
        </w:tabs>
        <w:spacing w:line="240" w:lineRule="auto" w:before="0" w:after="0"/>
        <w:ind w:left="1271" w:right="0" w:hanging="403"/>
        <w:jc w:val="left"/>
      </w:pPr>
      <w:bookmarkStart w:name="_TOC_250021" w:id="45"/>
      <w:r>
        <w:rPr/>
        <w:t>Factores relacionados con el</w:t>
      </w:r>
      <w:r>
        <w:rPr>
          <w:spacing w:val="-14"/>
        </w:rPr>
        <w:t> </w:t>
      </w:r>
      <w:bookmarkEnd w:id="45"/>
      <w:r>
        <w:rPr/>
        <w:t>alimento</w:t>
      </w:r>
    </w:p>
    <w:p>
      <w:pPr>
        <w:pStyle w:val="BodyText"/>
        <w:rPr>
          <w:b/>
        </w:rPr>
      </w:pPr>
    </w:p>
    <w:p>
      <w:pPr>
        <w:pStyle w:val="BodyText"/>
        <w:spacing w:line="360" w:lineRule="auto" w:before="139"/>
        <w:ind w:left="512" w:right="120"/>
        <w:jc w:val="both"/>
      </w:pPr>
      <w:r>
        <w:rPr/>
        <w:t>Los factores relacionados con la dieta que afectan su consumo están relacionados con la estructura física y calidad del forraje, la disponibilidad forrajera y la complementación.</w:t>
      </w:r>
    </w:p>
    <w:p>
      <w:pPr>
        <w:pStyle w:val="BodyText"/>
        <w:spacing w:before="4"/>
        <w:rPr>
          <w:sz w:val="25"/>
        </w:rPr>
      </w:pPr>
    </w:p>
    <w:p>
      <w:pPr>
        <w:pStyle w:val="Heading1"/>
        <w:numPr>
          <w:ilvl w:val="2"/>
          <w:numId w:val="4"/>
        </w:numPr>
        <w:tabs>
          <w:tab w:pos="1592" w:val="left" w:leader="none"/>
          <w:tab w:pos="1593" w:val="left" w:leader="none"/>
        </w:tabs>
        <w:spacing w:line="240" w:lineRule="auto" w:before="1" w:after="0"/>
        <w:ind w:left="1593" w:right="0" w:hanging="720"/>
        <w:jc w:val="left"/>
      </w:pPr>
      <w:bookmarkStart w:name="_TOC_250020" w:id="46"/>
      <w:r>
        <w:rPr/>
        <w:t>Características físicas y nutricionales del</w:t>
      </w:r>
      <w:r>
        <w:rPr>
          <w:spacing w:val="-22"/>
        </w:rPr>
        <w:t> </w:t>
      </w:r>
      <w:bookmarkEnd w:id="46"/>
      <w:r>
        <w:rPr/>
        <w:t>forraje</w:t>
      </w:r>
    </w:p>
    <w:p>
      <w:pPr>
        <w:pStyle w:val="BodyText"/>
        <w:spacing w:before="7"/>
        <w:rPr>
          <w:b/>
          <w:sz w:val="35"/>
        </w:rPr>
      </w:pPr>
    </w:p>
    <w:p>
      <w:pPr>
        <w:pStyle w:val="BodyText"/>
        <w:spacing w:line="360" w:lineRule="auto" w:before="1"/>
        <w:ind w:left="512" w:right="100"/>
        <w:jc w:val="both"/>
      </w:pPr>
      <w:r>
        <w:rPr/>
        <w:t>Las propiedades físicas y químicas del alimento determinan, en parte, el nivel de ingestión de alimento (Van Soest, 1977). Particularidades del forraje como la fragilidad, el contenido de fibra neutro detergente o la proporción de la fracción indigestible, afectan de manera importante su digestibilidad debido a la acumulación de partículas sólidas en el rumen que suponen una limitación importante en el ritmo de paso de la digesta y por lo tanto de la ingestión del mismo (Hodson y Brookes, 1999). Las variaciones que sufre la composición química y física de las plantas conforme maduran, sea el aumento en la proporción de fibras y lignina, y la reducción de proteínas y carbohidratos, son acompañadas de un descenso de la digestibilidad del forraje, limitando su ingestión por el incremento en el tiempo de retención en el rumen (Lamb </w:t>
      </w:r>
      <w:r>
        <w:rPr>
          <w:i/>
        </w:rPr>
        <w:t>et al</w:t>
      </w:r>
      <w:r>
        <w:rPr/>
        <w:t>., 2002).</w:t>
      </w:r>
    </w:p>
    <w:p>
      <w:pPr>
        <w:spacing w:after="0" w:line="360" w:lineRule="auto"/>
        <w:jc w:val="both"/>
        <w:sectPr>
          <w:footerReference w:type="default" r:id="rId21"/>
          <w:pgSz w:w="12240" w:h="15840"/>
          <w:pgMar w:footer="1382" w:header="1150" w:top="1420" w:bottom="1580" w:left="1360" w:right="1420"/>
        </w:sectPr>
      </w:pPr>
    </w:p>
    <w:p>
      <w:pPr>
        <w:pStyle w:val="BodyText"/>
        <w:spacing w:before="8"/>
        <w:rPr>
          <w:sz w:val="27"/>
        </w:rPr>
      </w:pPr>
    </w:p>
    <w:p>
      <w:pPr>
        <w:pStyle w:val="Heading1"/>
        <w:numPr>
          <w:ilvl w:val="2"/>
          <w:numId w:val="4"/>
        </w:numPr>
        <w:tabs>
          <w:tab w:pos="1592" w:val="left" w:leader="none"/>
          <w:tab w:pos="1593" w:val="left" w:leader="none"/>
        </w:tabs>
        <w:spacing w:line="240" w:lineRule="auto" w:before="69" w:after="0"/>
        <w:ind w:left="1593" w:right="0" w:hanging="720"/>
        <w:jc w:val="left"/>
      </w:pPr>
      <w:bookmarkStart w:name="_TOC_250019" w:id="47"/>
      <w:r>
        <w:rPr/>
        <w:t>Disponibilidad de</w:t>
      </w:r>
      <w:r>
        <w:rPr>
          <w:spacing w:val="-10"/>
        </w:rPr>
        <w:t> </w:t>
      </w:r>
      <w:bookmarkEnd w:id="47"/>
      <w:r>
        <w:rPr/>
        <w:t>forraje</w:t>
      </w:r>
    </w:p>
    <w:p>
      <w:pPr>
        <w:pStyle w:val="BodyText"/>
        <w:spacing w:before="8"/>
        <w:rPr>
          <w:b/>
          <w:sz w:val="35"/>
        </w:rPr>
      </w:pPr>
    </w:p>
    <w:p>
      <w:pPr>
        <w:pStyle w:val="BodyText"/>
        <w:spacing w:line="360" w:lineRule="auto"/>
        <w:ind w:left="512" w:right="102"/>
        <w:jc w:val="both"/>
      </w:pPr>
      <w:r>
        <w:rPr/>
        <w:t>Diversos factores del forraje afectan el consumo de materia seca (CMS), incluyendo </w:t>
      </w:r>
      <w:r>
        <w:rPr>
          <w:spacing w:val="-5"/>
        </w:rPr>
        <w:t>la </w:t>
      </w:r>
      <w:r>
        <w:rPr/>
        <w:t>cantidad de forraje previa al pastoreo (kg MS/ha) y </w:t>
      </w:r>
      <w:r>
        <w:rPr>
          <w:spacing w:val="-3"/>
        </w:rPr>
        <w:t>la </w:t>
      </w:r>
      <w:r>
        <w:rPr/>
        <w:t>disponibilidad de forraje (cantidad de forraje ofrecido, kg MS/vaca/d). Diversos investigadores (Dalley </w:t>
      </w:r>
      <w:r>
        <w:rPr>
          <w:i/>
        </w:rPr>
        <w:t>et al</w:t>
      </w:r>
      <w:r>
        <w:rPr/>
        <w:t>., 1999; Stockdale, 1985) han reportado que el consumo de MS </w:t>
      </w:r>
      <w:r>
        <w:rPr>
          <w:spacing w:val="2"/>
        </w:rPr>
        <w:t>está </w:t>
      </w:r>
      <w:r>
        <w:rPr/>
        <w:t>estrechamente correlacionado con </w:t>
      </w:r>
      <w:r>
        <w:rPr>
          <w:spacing w:val="-5"/>
        </w:rPr>
        <w:t>la </w:t>
      </w:r>
      <w:r>
        <w:rPr/>
        <w:t>disponibilidad del </w:t>
      </w:r>
      <w:r>
        <w:rPr>
          <w:spacing w:val="-3"/>
        </w:rPr>
        <w:t>mismo. </w:t>
      </w:r>
      <w:r>
        <w:rPr/>
        <w:t>No se conoce con precisión que disponibilidad de forraje es requerida para maximizar el consumo de MS. Leaver (1985) propuso que el máximo consumo de MS se obtiene con una disponibilidad de forraje entre 27 a 33 kg MS/vaca/d, para una vaca de 600 kg. En otros estudios </w:t>
      </w:r>
      <w:r>
        <w:rPr>
          <w:spacing w:val="-3"/>
        </w:rPr>
        <w:t>más </w:t>
      </w:r>
      <w:r>
        <w:rPr/>
        <w:t>recientes Bargo </w:t>
      </w:r>
      <w:r>
        <w:rPr>
          <w:i/>
        </w:rPr>
        <w:t>et al</w:t>
      </w:r>
      <w:r>
        <w:rPr/>
        <w:t>. (2003) una asignación de forraje de 25 kg MS/vaca/d es adecuada para no comprometer </w:t>
      </w:r>
      <w:r>
        <w:rPr>
          <w:spacing w:val="-5"/>
        </w:rPr>
        <w:t>la </w:t>
      </w:r>
      <w:r>
        <w:rPr/>
        <w:t>producción de leche si el forraje </w:t>
      </w:r>
      <w:r>
        <w:rPr>
          <w:spacing w:val="-3"/>
        </w:rPr>
        <w:t>no </w:t>
      </w:r>
      <w:r>
        <w:rPr/>
        <w:t>es </w:t>
      </w:r>
      <w:r>
        <w:rPr>
          <w:spacing w:val="-3"/>
        </w:rPr>
        <w:t>la </w:t>
      </w:r>
      <w:r>
        <w:rPr/>
        <w:t>única alimentación. Burke </w:t>
      </w:r>
      <w:r>
        <w:rPr>
          <w:i/>
        </w:rPr>
        <w:t>et al</w:t>
      </w:r>
      <w:r>
        <w:rPr/>
        <w:t>. (2008) evaluaron </w:t>
      </w:r>
      <w:r>
        <w:rPr>
          <w:spacing w:val="-5"/>
        </w:rPr>
        <w:t>la </w:t>
      </w:r>
      <w:r>
        <w:rPr/>
        <w:t>asignación de forraje de 15 kg de MS/vaca/d en bovinos Holstein en pastoreo, cuyo consumo fue de 14.6 kg </w:t>
      </w:r>
      <w:r>
        <w:rPr>
          <w:spacing w:val="3"/>
        </w:rPr>
        <w:t>de </w:t>
      </w:r>
      <w:r>
        <w:rPr/>
        <w:t>MS/d, por </w:t>
      </w:r>
      <w:r>
        <w:rPr>
          <w:spacing w:val="-5"/>
        </w:rPr>
        <w:t>lo </w:t>
      </w:r>
      <w:r>
        <w:rPr/>
        <w:t>que consideraron que hubo restricción de alimento en términos de disponibilidad para consumo de forraje cuando </w:t>
      </w:r>
      <w:r>
        <w:rPr>
          <w:spacing w:val="-3"/>
        </w:rPr>
        <w:t>las </w:t>
      </w:r>
      <w:r>
        <w:rPr/>
        <w:t>vacas </w:t>
      </w:r>
      <w:r>
        <w:rPr>
          <w:spacing w:val="-3"/>
        </w:rPr>
        <w:t>no </w:t>
      </w:r>
      <w:r>
        <w:rPr/>
        <w:t>recibieron un complemento; sin embargo, ofertando </w:t>
      </w:r>
      <w:r>
        <w:rPr>
          <w:spacing w:val="-5"/>
        </w:rPr>
        <w:t>la </w:t>
      </w:r>
      <w:r>
        <w:rPr/>
        <w:t>misma cantidad de forraje y complementando concentrado o ensilado de </w:t>
      </w:r>
      <w:r>
        <w:rPr>
          <w:spacing w:val="-3"/>
        </w:rPr>
        <w:t>maíz, </w:t>
      </w:r>
      <w:r>
        <w:rPr/>
        <w:t>el consumo de forraje en pastoreo </w:t>
      </w:r>
      <w:r>
        <w:rPr>
          <w:spacing w:val="-3"/>
        </w:rPr>
        <w:t>solo </w:t>
      </w:r>
      <w:r>
        <w:rPr/>
        <w:t>disminuyo de 1.5 a 2.0 kg MS/vaca/d, esto sugirió que los complementos ofrecidos causaron una reducción en el consumo de MS de forraje en pastoreo por el efecto sustitución. Kay </w:t>
      </w:r>
      <w:r>
        <w:rPr>
          <w:i/>
        </w:rPr>
        <w:t>et al</w:t>
      </w:r>
      <w:r>
        <w:rPr/>
        <w:t>. (2007) evaluaron </w:t>
      </w:r>
      <w:r>
        <w:rPr>
          <w:spacing w:val="-5"/>
        </w:rPr>
        <w:t>la </w:t>
      </w:r>
      <w:r>
        <w:rPr/>
        <w:t>restricción </w:t>
      </w:r>
      <w:r>
        <w:rPr>
          <w:spacing w:val="2"/>
        </w:rPr>
        <w:t>del </w:t>
      </w:r>
      <w:r>
        <w:rPr/>
        <w:t>forraje mediante una alta (42 kg de MS/vaca/d) y baja (22 kg de MS/vaca/d) asignación de forraje en pastoreo, los autores concluyeron que </w:t>
      </w:r>
      <w:r>
        <w:rPr>
          <w:spacing w:val="-5"/>
        </w:rPr>
        <w:t>la </w:t>
      </w:r>
      <w:r>
        <w:rPr/>
        <w:t>restricción de forraje redujo el consumo de MS (de 13.4 a 11.6 kg/d) y tuvo un efecto </w:t>
      </w:r>
      <w:r>
        <w:rPr>
          <w:spacing w:val="-4"/>
        </w:rPr>
        <w:t>más </w:t>
      </w:r>
      <w:r>
        <w:rPr/>
        <w:t>marcado en </w:t>
      </w:r>
      <w:r>
        <w:rPr>
          <w:spacing w:val="-3"/>
        </w:rPr>
        <w:t>la </w:t>
      </w:r>
      <w:r>
        <w:rPr/>
        <w:t>reducción del rendimiento de </w:t>
      </w:r>
      <w:r>
        <w:rPr>
          <w:spacing w:val="-3"/>
        </w:rPr>
        <w:t>leche </w:t>
      </w:r>
      <w:r>
        <w:rPr/>
        <w:t>en torno a un 25% (de 15.7 a 11.9</w:t>
      </w:r>
      <w:r>
        <w:rPr>
          <w:spacing w:val="8"/>
        </w:rPr>
        <w:t> </w:t>
      </w:r>
      <w:r>
        <w:rPr/>
        <w:t>kg/d).</w:t>
      </w:r>
    </w:p>
    <w:p>
      <w:pPr>
        <w:spacing w:after="0" w:line="360" w:lineRule="auto"/>
        <w:jc w:val="both"/>
        <w:sectPr>
          <w:footerReference w:type="default" r:id="rId22"/>
          <w:pgSz w:w="12240" w:h="15840"/>
          <w:pgMar w:footer="1382" w:header="1150" w:top="1420" w:bottom="1580" w:left="1360" w:right="1420"/>
          <w:pgNumType w:start="41"/>
        </w:sectPr>
      </w:pPr>
    </w:p>
    <w:p>
      <w:pPr>
        <w:pStyle w:val="BodyText"/>
        <w:spacing w:before="8"/>
        <w:rPr>
          <w:sz w:val="27"/>
        </w:rPr>
      </w:pPr>
    </w:p>
    <w:p>
      <w:pPr>
        <w:pStyle w:val="Heading1"/>
        <w:numPr>
          <w:ilvl w:val="2"/>
          <w:numId w:val="4"/>
        </w:numPr>
        <w:tabs>
          <w:tab w:pos="1592" w:val="left" w:leader="none"/>
          <w:tab w:pos="1593" w:val="left" w:leader="none"/>
        </w:tabs>
        <w:spacing w:line="240" w:lineRule="auto" w:before="69" w:after="0"/>
        <w:ind w:left="1593" w:right="0" w:hanging="720"/>
        <w:jc w:val="left"/>
      </w:pPr>
      <w:bookmarkStart w:name="_TOC_250018" w:id="48"/>
      <w:r>
        <w:rPr/>
        <w:t>Efecto de </w:t>
      </w:r>
      <w:r>
        <w:rPr>
          <w:spacing w:val="-3"/>
        </w:rPr>
        <w:t>la </w:t>
      </w:r>
      <w:r>
        <w:rPr/>
        <w:t>complementación sobre el consumo de</w:t>
      </w:r>
      <w:r>
        <w:rPr>
          <w:spacing w:val="-20"/>
        </w:rPr>
        <w:t> </w:t>
      </w:r>
      <w:bookmarkEnd w:id="48"/>
      <w:r>
        <w:rPr/>
        <w:t>forraje</w:t>
      </w:r>
    </w:p>
    <w:p>
      <w:pPr>
        <w:pStyle w:val="Heading1"/>
        <w:numPr>
          <w:ilvl w:val="3"/>
          <w:numId w:val="4"/>
        </w:numPr>
        <w:tabs>
          <w:tab w:pos="1953" w:val="left" w:leader="none"/>
          <w:tab w:pos="1954" w:val="left" w:leader="none"/>
        </w:tabs>
        <w:spacing w:line="240" w:lineRule="auto" w:before="137" w:after="0"/>
        <w:ind w:left="1953" w:right="0" w:hanging="1080"/>
        <w:jc w:val="left"/>
      </w:pPr>
      <w:bookmarkStart w:name="_TOC_250017" w:id="49"/>
      <w:r>
        <w:rPr/>
        <w:t>Tasa de sustitución y respuesta a </w:t>
      </w:r>
      <w:r>
        <w:rPr>
          <w:spacing w:val="-3"/>
        </w:rPr>
        <w:t>la</w:t>
      </w:r>
      <w:r>
        <w:rPr>
          <w:spacing w:val="-16"/>
        </w:rPr>
        <w:t> </w:t>
      </w:r>
      <w:bookmarkEnd w:id="49"/>
      <w:r>
        <w:rPr/>
        <w:t>complementación</w:t>
      </w:r>
    </w:p>
    <w:p>
      <w:pPr>
        <w:pStyle w:val="BodyText"/>
        <w:spacing w:before="8"/>
        <w:rPr>
          <w:b/>
          <w:sz w:val="35"/>
        </w:rPr>
      </w:pPr>
    </w:p>
    <w:p>
      <w:pPr>
        <w:pStyle w:val="BodyText"/>
        <w:spacing w:line="360" w:lineRule="auto"/>
        <w:ind w:left="512" w:right="107"/>
        <w:jc w:val="both"/>
      </w:pPr>
      <w:r>
        <w:rPr/>
        <w:t>Cuando </w:t>
      </w:r>
      <w:r>
        <w:rPr>
          <w:spacing w:val="-3"/>
        </w:rPr>
        <w:t>las </w:t>
      </w:r>
      <w:r>
        <w:rPr/>
        <w:t>vacas en pastoreo reciben complementos, el consumo de MS de forraje generalmente disminuye, </w:t>
      </w:r>
      <w:r>
        <w:rPr>
          <w:spacing w:val="-5"/>
        </w:rPr>
        <w:t>lo </w:t>
      </w:r>
      <w:r>
        <w:rPr/>
        <w:t>cual es conocido </w:t>
      </w:r>
      <w:r>
        <w:rPr>
          <w:spacing w:val="-3"/>
        </w:rPr>
        <w:t>como </w:t>
      </w:r>
      <w:r>
        <w:rPr/>
        <w:t>tasa de sustitución (TS) (Kellaway y Porta, 1993). La tasa de sustitución es calculada como: TS (kg/kg) = (consumo de MS de forraje en vacas </w:t>
      </w:r>
      <w:r>
        <w:rPr>
          <w:spacing w:val="-3"/>
        </w:rPr>
        <w:t>no </w:t>
      </w:r>
      <w:r>
        <w:rPr/>
        <w:t>complementadas - consumo de MS en vacas complementadas)/consumo de MS del complemento. Una tasa de sustitución &lt; 1 kg/kg significa que el consumo total de MS en </w:t>
      </w:r>
      <w:r>
        <w:rPr>
          <w:spacing w:val="-3"/>
        </w:rPr>
        <w:t>las </w:t>
      </w:r>
      <w:r>
        <w:rPr/>
        <w:t>vacas complementadas es </w:t>
      </w:r>
      <w:r>
        <w:rPr>
          <w:spacing w:val="-3"/>
        </w:rPr>
        <w:t>mayor </w:t>
      </w:r>
      <w:r>
        <w:rPr/>
        <w:t>que el consumo total de MS en </w:t>
      </w:r>
      <w:r>
        <w:rPr>
          <w:spacing w:val="-4"/>
        </w:rPr>
        <w:t>las </w:t>
      </w:r>
      <w:r>
        <w:rPr/>
        <w:t>vacas </w:t>
      </w:r>
      <w:r>
        <w:rPr>
          <w:spacing w:val="-3"/>
        </w:rPr>
        <w:t>no </w:t>
      </w:r>
      <w:r>
        <w:rPr/>
        <w:t>complementadas. Una tasa de sustitución = 1 kg/kg significa que el consumo total de MS en las vacas complementadas es el </w:t>
      </w:r>
      <w:r>
        <w:rPr>
          <w:spacing w:val="-3"/>
        </w:rPr>
        <w:t>mismo </w:t>
      </w:r>
      <w:r>
        <w:rPr/>
        <w:t>que en las vacas </w:t>
      </w:r>
      <w:r>
        <w:rPr>
          <w:spacing w:val="-3"/>
        </w:rPr>
        <w:t>no </w:t>
      </w:r>
      <w:r>
        <w:rPr/>
        <w:t>complementadas. La tasa de sustitución es uno de los principales factores que explican </w:t>
      </w:r>
      <w:r>
        <w:rPr>
          <w:spacing w:val="-5"/>
        </w:rPr>
        <w:t>la </w:t>
      </w:r>
      <w:r>
        <w:rPr/>
        <w:t>variación observada en </w:t>
      </w:r>
      <w:r>
        <w:rPr>
          <w:spacing w:val="-3"/>
        </w:rPr>
        <w:t>la</w:t>
      </w:r>
      <w:r>
        <w:rPr>
          <w:spacing w:val="54"/>
        </w:rPr>
        <w:t> </w:t>
      </w:r>
      <w:r>
        <w:rPr/>
        <w:t>respuesta en leche a </w:t>
      </w:r>
      <w:r>
        <w:rPr>
          <w:spacing w:val="-5"/>
        </w:rPr>
        <w:t>la </w:t>
      </w:r>
      <w:r>
        <w:rPr/>
        <w:t>complementación (Kellaway y Porta, 1993; Stockdale,</w:t>
      </w:r>
      <w:r>
        <w:rPr>
          <w:spacing w:val="-8"/>
        </w:rPr>
        <w:t> </w:t>
      </w:r>
      <w:r>
        <w:rPr/>
        <w:t>2000).</w:t>
      </w:r>
    </w:p>
    <w:p>
      <w:pPr>
        <w:pStyle w:val="BodyText"/>
        <w:spacing w:before="6"/>
      </w:pPr>
    </w:p>
    <w:p>
      <w:pPr>
        <w:pStyle w:val="BodyText"/>
        <w:spacing w:line="360" w:lineRule="auto"/>
        <w:ind w:left="512" w:right="101"/>
        <w:jc w:val="both"/>
      </w:pPr>
      <w:r>
        <w:rPr/>
        <w:t>La tasa de sustitución puede ser causada por efectos asociativos negativos que ocurren en </w:t>
      </w:r>
      <w:r>
        <w:rPr>
          <w:spacing w:val="4"/>
        </w:rPr>
        <w:t>el </w:t>
      </w:r>
      <w:r>
        <w:rPr/>
        <w:t>rumen (Dixon y Stockdale, 1999) o por reducciones en el tiempo de pastoreo (McGilloway y Mayne, 1996). Cuando los concentrados son incluidos en </w:t>
      </w:r>
      <w:r>
        <w:rPr>
          <w:spacing w:val="-4"/>
        </w:rPr>
        <w:t>las </w:t>
      </w:r>
      <w:r>
        <w:rPr/>
        <w:t>dietas pastoriles, efectos asociativos pueden ocurrir si las interacciones digestivas y metabólicas entre concentrado y pasto cambian el consumo de energía (Dixon y Stockdale, 1999). Un aumento en </w:t>
      </w:r>
      <w:r>
        <w:rPr>
          <w:spacing w:val="-5"/>
        </w:rPr>
        <w:t>la </w:t>
      </w:r>
      <w:r>
        <w:rPr/>
        <w:t>digestibilidad total puede ser esperado con </w:t>
      </w:r>
      <w:r>
        <w:rPr>
          <w:spacing w:val="-5"/>
        </w:rPr>
        <w:t>la </w:t>
      </w:r>
      <w:r>
        <w:rPr/>
        <w:t>inclusión de concentrados en </w:t>
      </w:r>
      <w:r>
        <w:rPr>
          <w:spacing w:val="-5"/>
        </w:rPr>
        <w:t>la </w:t>
      </w:r>
      <w:r>
        <w:rPr/>
        <w:t>dieta porque usualmente son más digestibles que el forraje. Sin embargo, interacciones entre </w:t>
      </w:r>
      <w:r>
        <w:rPr>
          <w:spacing w:val="-5"/>
        </w:rPr>
        <w:t>la </w:t>
      </w:r>
      <w:r>
        <w:rPr/>
        <w:t>digestión de concentrados y el forraje pueden reducir </w:t>
      </w:r>
      <w:r>
        <w:rPr>
          <w:spacing w:val="-5"/>
        </w:rPr>
        <w:t>la </w:t>
      </w:r>
      <w:r>
        <w:rPr/>
        <w:t>digestión de </w:t>
      </w:r>
      <w:r>
        <w:rPr>
          <w:spacing w:val="-3"/>
        </w:rPr>
        <w:t>la </w:t>
      </w:r>
      <w:r>
        <w:rPr/>
        <w:t>fibra (Dixon y Stockdale, 1999). La energía provista por el concentrado (carbohidratos fermentables) puede resultar en reducciones en pH ruminal, </w:t>
      </w:r>
      <w:r>
        <w:rPr>
          <w:spacing w:val="-5"/>
        </w:rPr>
        <w:t>lo </w:t>
      </w:r>
      <w:r>
        <w:rPr/>
        <w:t>cual puede disminuir </w:t>
      </w:r>
      <w:r>
        <w:rPr>
          <w:spacing w:val="-5"/>
        </w:rPr>
        <w:t>la </w:t>
      </w:r>
      <w:r>
        <w:rPr/>
        <w:t>actividad o el número de bacterias celulolíticas, reducir </w:t>
      </w:r>
      <w:r>
        <w:rPr>
          <w:spacing w:val="-5"/>
        </w:rPr>
        <w:t>la </w:t>
      </w:r>
      <w:r>
        <w:rPr/>
        <w:t>tasa de digestión de </w:t>
      </w:r>
      <w:r>
        <w:rPr>
          <w:spacing w:val="-3"/>
        </w:rPr>
        <w:t>la </w:t>
      </w:r>
      <w:r>
        <w:rPr/>
        <w:t>fibra del pasto y por </w:t>
      </w:r>
      <w:r>
        <w:rPr>
          <w:spacing w:val="-5"/>
        </w:rPr>
        <w:t>lo </w:t>
      </w:r>
      <w:r>
        <w:rPr/>
        <w:t>tanto reducir </w:t>
      </w:r>
      <w:r>
        <w:rPr>
          <w:spacing w:val="4"/>
        </w:rPr>
        <w:t>el </w:t>
      </w:r>
      <w:r>
        <w:rPr/>
        <w:t>consumo de MS (Dixon y Stockdale, 1999). La segunda causa posible para explicar </w:t>
      </w:r>
      <w:r>
        <w:rPr>
          <w:spacing w:val="-5"/>
        </w:rPr>
        <w:t>la </w:t>
      </w:r>
      <w:r>
        <w:rPr/>
        <w:t>tasa de sustitución está relacionada con el tiempo de pastoreo. Se </w:t>
      </w:r>
      <w:r>
        <w:rPr>
          <w:spacing w:val="-3"/>
        </w:rPr>
        <w:t>ha </w:t>
      </w:r>
      <w:r>
        <w:rPr/>
        <w:t>sugerido que </w:t>
      </w:r>
      <w:r>
        <w:rPr>
          <w:spacing w:val="-5"/>
        </w:rPr>
        <w:t>la </w:t>
      </w:r>
      <w:r>
        <w:rPr/>
        <w:t>reducción en tiempo de pastoreo debido a </w:t>
      </w:r>
      <w:r>
        <w:rPr>
          <w:spacing w:val="-5"/>
        </w:rPr>
        <w:t>la </w:t>
      </w:r>
      <w:r>
        <w:rPr/>
        <w:t>complementación explicaría </w:t>
      </w:r>
      <w:r>
        <w:rPr>
          <w:spacing w:val="-3"/>
        </w:rPr>
        <w:t>la </w:t>
      </w:r>
      <w:r>
        <w:rPr/>
        <w:t>tasa de  sustitución  (Mayne y Wright, 1988; McGilloway y Mayne,</w:t>
      </w:r>
      <w:r>
        <w:rPr>
          <w:spacing w:val="-16"/>
        </w:rPr>
        <w:t> </w:t>
      </w:r>
      <w:r>
        <w:rPr/>
        <w:t>1996).</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1"/>
        <w:jc w:val="both"/>
      </w:pPr>
      <w:r>
        <w:rPr/>
        <w:t>Bargo </w:t>
      </w:r>
      <w:r>
        <w:rPr>
          <w:i/>
        </w:rPr>
        <w:t>et al. </w:t>
      </w:r>
      <w:r>
        <w:rPr/>
        <w:t>(2002) estudiaron la digestión ruminal y el tiempo de pastoreo de vacas de alta producción pastoreando comparando la baja o alta disponibilidad de forraje sobre la tasa de sustitución. La tasa de sustitución fue mayor (0.55 </w:t>
      </w:r>
      <w:r>
        <w:rPr>
          <w:i/>
        </w:rPr>
        <w:t>vs </w:t>
      </w:r>
      <w:r>
        <w:rPr/>
        <w:t>0.26 kg forraje/kg concentrado) cuando las vacas complementadas pastorearon a alta disponibilidad de forraje (40 </w:t>
      </w:r>
      <w:r>
        <w:rPr>
          <w:i/>
        </w:rPr>
        <w:t>vs </w:t>
      </w:r>
      <w:r>
        <w:rPr/>
        <w:t>25 kg MS/vaca/d) lo cual estuvo relacionado con efectos asociativos negativos en el rumen y reducciones en el tiempo de pastoreo. La complementación con 7.9 kg/d de un concentrado a base de grano de maíz redujo el pH ruminal, la tasa de degradación en el rumen y la digestibilidad de la fibra del forraje (Bargo </w:t>
      </w:r>
      <w:r>
        <w:rPr>
          <w:i/>
        </w:rPr>
        <w:t>et al</w:t>
      </w:r>
      <w:r>
        <w:rPr/>
        <w:t>., 2002). El tiempo de pastoreo fue reducido 75 min/d con la complementación a baja disponibilidad de forraje y explicó los 2.0 kg/d de reducción en el consumo de MS de forraje encontrados al medir consumo de MS usando oxido crómico (75 min/d x 55 bites/min x 0.55 g DM/bite = 2.3 kg/d). A alta disponibilidad de forraje y la complementación con concentrado redujo el tiempo de pastoreo 104 min/d y explicó 80% de los 4.4 kg/d de reducción en el consumo de MS de forrajes medidos (104 min/d x 56 bites/min x 0.60 g DM/bite = 3.5 kg). El restante 20% de la reducción podría estar relacionado con efectos asociativos negativos en el rumen, por ejemplo, la reducción en digestibilidad aparente de FDN con la complementación fue mayor a alta que a baja disponibilidad de forraje (4.3 </w:t>
      </w:r>
      <w:r>
        <w:rPr>
          <w:i/>
        </w:rPr>
        <w:t>vs </w:t>
      </w:r>
      <w:r>
        <w:rPr/>
        <w:t>1.1 unidades porcentuales).</w:t>
      </w:r>
    </w:p>
    <w:p>
      <w:pPr>
        <w:pStyle w:val="BodyText"/>
      </w:pPr>
    </w:p>
    <w:p>
      <w:pPr>
        <w:pStyle w:val="Heading1"/>
        <w:numPr>
          <w:ilvl w:val="3"/>
          <w:numId w:val="4"/>
        </w:numPr>
        <w:tabs>
          <w:tab w:pos="1953" w:val="left" w:leader="none"/>
          <w:tab w:pos="1954" w:val="left" w:leader="none"/>
        </w:tabs>
        <w:spacing w:line="240" w:lineRule="auto" w:before="146" w:after="0"/>
        <w:ind w:left="1953" w:right="0" w:hanging="1080"/>
        <w:jc w:val="left"/>
      </w:pPr>
      <w:bookmarkStart w:name="_TOC_250016" w:id="50"/>
      <w:r>
        <w:rPr/>
        <w:t>Complementación con</w:t>
      </w:r>
      <w:r>
        <w:rPr>
          <w:spacing w:val="-11"/>
        </w:rPr>
        <w:t> </w:t>
      </w:r>
      <w:bookmarkEnd w:id="50"/>
      <w:r>
        <w:rPr/>
        <w:t>concentrados</w:t>
      </w:r>
    </w:p>
    <w:p>
      <w:pPr>
        <w:pStyle w:val="BodyText"/>
        <w:rPr>
          <w:b/>
        </w:rPr>
      </w:pPr>
    </w:p>
    <w:p>
      <w:pPr>
        <w:pStyle w:val="BodyText"/>
        <w:spacing w:line="360" w:lineRule="auto" w:before="139"/>
        <w:ind w:left="512" w:right="107"/>
        <w:jc w:val="both"/>
      </w:pPr>
      <w:r>
        <w:rPr/>
        <w:t>La complementación con concentrados tiene efectos sobre el consumo de materia seca </w:t>
      </w:r>
      <w:r>
        <w:rPr>
          <w:spacing w:val="2"/>
        </w:rPr>
        <w:t>del </w:t>
      </w:r>
      <w:r>
        <w:rPr/>
        <w:t>forraje, principalmente por el nivel de concentrado complementado. Diversos estudios en vacas lecheras de alta producción en pastoreo reportan que el CMS del pasto disminuye conforme se aumenta </w:t>
      </w:r>
      <w:r>
        <w:rPr>
          <w:spacing w:val="-3"/>
        </w:rPr>
        <w:t>la </w:t>
      </w:r>
      <w:r>
        <w:rPr/>
        <w:t>cantidad de concentrado en comparación con vacas </w:t>
      </w:r>
      <w:r>
        <w:rPr>
          <w:spacing w:val="-3"/>
        </w:rPr>
        <w:t>no </w:t>
      </w:r>
      <w:r>
        <w:rPr/>
        <w:t>complementadas (Arriaga-Jordán y Holmes, 1986; Bargo </w:t>
      </w:r>
      <w:r>
        <w:rPr>
          <w:i/>
        </w:rPr>
        <w:t>et al</w:t>
      </w:r>
      <w:r>
        <w:rPr/>
        <w:t>., 2002). Riquelme y Pulido (2008) evaluaron </w:t>
      </w:r>
      <w:r>
        <w:rPr>
          <w:spacing w:val="-3"/>
        </w:rPr>
        <w:t>la </w:t>
      </w:r>
      <w:r>
        <w:rPr/>
        <w:t>complementación de cuatro niveles de concentrado (0, 3, 6 y 9 kg) en ganado Holstein en pastoreo en </w:t>
      </w:r>
      <w:r>
        <w:rPr>
          <w:spacing w:val="-5"/>
        </w:rPr>
        <w:t>la </w:t>
      </w:r>
      <w:r>
        <w:rPr/>
        <w:t>época primaveral, y concluyeron que utilizando praderas de elevada calidad nutritiva y con gran disponibilidad de forraje (con una asignación de pastoreo de 36 kg de MS/vaca/día) el consumo de materia seca de </w:t>
      </w:r>
      <w:r>
        <w:rPr>
          <w:spacing w:val="-3"/>
        </w:rPr>
        <w:t>la </w:t>
      </w:r>
      <w:r>
        <w:rPr/>
        <w:t>pradera disminuye</w:t>
      </w:r>
      <w:r>
        <w:rPr>
          <w:spacing w:val="52"/>
        </w:rPr>
        <w:t> </w:t>
      </w:r>
      <w:r>
        <w:rPr/>
        <w:t>(de</w:t>
      </w:r>
    </w:p>
    <w:p>
      <w:pPr>
        <w:pStyle w:val="BodyText"/>
        <w:spacing w:before="4"/>
        <w:ind w:left="512"/>
        <w:jc w:val="both"/>
      </w:pPr>
      <w:r>
        <w:rPr/>
        <w:t>17.6  a  7.7  kg  MS/d) al aumentar  el nivel de  concentrado,  sin  mostrar  incremento en el</w:t>
      </w:r>
    </w:p>
    <w:p>
      <w:pPr>
        <w:spacing w:after="0"/>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5"/>
        <w:jc w:val="both"/>
      </w:pPr>
      <w:r>
        <w:rPr/>
        <w:t>consumo de materia seca total (17.6 a 15.6 kg MS/d). Estos autores, afirmaron que el nivel máximo de concentrado complementado disminuye el tiempo de pastoreo del animal y aumenta el tiempo de rumia.</w:t>
      </w:r>
    </w:p>
    <w:p>
      <w:pPr>
        <w:pStyle w:val="BodyText"/>
        <w:spacing w:before="4"/>
        <w:rPr>
          <w:sz w:val="25"/>
        </w:rPr>
      </w:pPr>
    </w:p>
    <w:p>
      <w:pPr>
        <w:pStyle w:val="Heading1"/>
        <w:tabs>
          <w:tab w:pos="1953" w:val="left" w:leader="none"/>
        </w:tabs>
        <w:spacing w:before="0"/>
        <w:ind w:left="873" w:right="105" w:firstLine="0"/>
      </w:pPr>
      <w:bookmarkStart w:name="_TOC_250015" w:id="51"/>
      <w:r>
        <w:rPr/>
        <w:t>9.1.3.3</w:t>
        <w:tab/>
        <w:t>Complementación con ensilado de</w:t>
      </w:r>
      <w:r>
        <w:rPr>
          <w:spacing w:val="-16"/>
        </w:rPr>
        <w:t> </w:t>
      </w:r>
      <w:bookmarkEnd w:id="51"/>
      <w:r>
        <w:rPr/>
        <w:t>maíz</w:t>
      </w:r>
    </w:p>
    <w:p>
      <w:pPr>
        <w:pStyle w:val="BodyText"/>
        <w:spacing w:before="8"/>
        <w:rPr>
          <w:b/>
          <w:sz w:val="35"/>
        </w:rPr>
      </w:pPr>
    </w:p>
    <w:p>
      <w:pPr>
        <w:pStyle w:val="BodyText"/>
        <w:spacing w:line="360" w:lineRule="auto"/>
        <w:ind w:left="512" w:right="101"/>
        <w:jc w:val="both"/>
      </w:pPr>
      <w:r>
        <w:rPr/>
        <w:t>En diferentes estudios cuando el ensilado de maíz fue complementado a vacas lecheras en dietas de </w:t>
      </w:r>
      <w:r>
        <w:rPr>
          <w:spacing w:val="-3"/>
        </w:rPr>
        <w:t>solo </w:t>
      </w:r>
      <w:r>
        <w:rPr/>
        <w:t>forraje (Stockdale, 1994) o forraje más concentrado suministrado a bajas (3.2 kg/d) (Valk, 1994) o altas (8.7 kg/d) (Holden </w:t>
      </w:r>
      <w:r>
        <w:rPr>
          <w:i/>
        </w:rPr>
        <w:t>et al</w:t>
      </w:r>
      <w:r>
        <w:rPr/>
        <w:t>., 1995) cantidades. La complementación con ensilado de </w:t>
      </w:r>
      <w:r>
        <w:rPr>
          <w:spacing w:val="-3"/>
        </w:rPr>
        <w:t>maíz </w:t>
      </w:r>
      <w:r>
        <w:rPr/>
        <w:t>tuvo un efecto positivo sobre </w:t>
      </w:r>
      <w:r>
        <w:rPr>
          <w:spacing w:val="-5"/>
        </w:rPr>
        <w:t>la </w:t>
      </w:r>
      <w:r>
        <w:rPr/>
        <w:t>producción de leche cuando </w:t>
      </w:r>
      <w:r>
        <w:rPr>
          <w:spacing w:val="-5"/>
        </w:rPr>
        <w:t>la </w:t>
      </w:r>
      <w:r>
        <w:rPr/>
        <w:t>cantidad de forraje ofrecida fue baja (Stockdale, 1994). Cuando </w:t>
      </w:r>
      <w:r>
        <w:rPr>
          <w:spacing w:val="-3"/>
        </w:rPr>
        <w:t>la </w:t>
      </w:r>
      <w:r>
        <w:rPr/>
        <w:t>disponibilidad de forraje fue alta, </w:t>
      </w:r>
      <w:r>
        <w:rPr>
          <w:spacing w:val="-5"/>
        </w:rPr>
        <w:t>la </w:t>
      </w:r>
      <w:r>
        <w:rPr/>
        <w:t>complementación con 2.3 kg MS/d de ensilado redujo el CMS de forraje y resultó en un CMS total similar y </w:t>
      </w:r>
      <w:r>
        <w:rPr>
          <w:spacing w:val="3"/>
        </w:rPr>
        <w:t>por </w:t>
      </w:r>
      <w:r>
        <w:rPr>
          <w:spacing w:val="-5"/>
        </w:rPr>
        <w:t>lo </w:t>
      </w:r>
      <w:r>
        <w:rPr/>
        <w:t>tanto en una similar producción de leche (Holden  </w:t>
      </w:r>
      <w:r>
        <w:rPr>
          <w:i/>
        </w:rPr>
        <w:t>et al</w:t>
      </w:r>
      <w:r>
        <w:rPr/>
        <w:t>., 1995). Holden </w:t>
      </w:r>
      <w:r>
        <w:rPr>
          <w:i/>
        </w:rPr>
        <w:t>et al. </w:t>
      </w:r>
      <w:r>
        <w:rPr/>
        <w:t>(1995) reportó contenido similar de proteína en leche cuando </w:t>
      </w:r>
      <w:r>
        <w:rPr>
          <w:spacing w:val="-3"/>
        </w:rPr>
        <w:t>la </w:t>
      </w:r>
      <w:r>
        <w:rPr/>
        <w:t>complementación con ensilado de maíz </w:t>
      </w:r>
      <w:r>
        <w:rPr>
          <w:spacing w:val="-3"/>
        </w:rPr>
        <w:t>no </w:t>
      </w:r>
      <w:r>
        <w:rPr/>
        <w:t>modificó el CMS total. Sin embargo, Stockdale (1994) reportó un mayor porcentaje de proteína cuando </w:t>
      </w:r>
      <w:r>
        <w:rPr>
          <w:spacing w:val="-5"/>
        </w:rPr>
        <w:t>la </w:t>
      </w:r>
      <w:r>
        <w:rPr/>
        <w:t>complementación con 6.5 kg MS/d de ensilado de </w:t>
      </w:r>
      <w:r>
        <w:rPr>
          <w:spacing w:val="-3"/>
        </w:rPr>
        <w:t>maíz </w:t>
      </w:r>
      <w:r>
        <w:rPr/>
        <w:t>aumento el CMS total. Phillips (1988) </w:t>
      </w:r>
      <w:r>
        <w:rPr>
          <w:spacing w:val="-3"/>
        </w:rPr>
        <w:t>concluyó </w:t>
      </w:r>
      <w:r>
        <w:rPr/>
        <w:t>que </w:t>
      </w:r>
      <w:r>
        <w:rPr>
          <w:spacing w:val="-5"/>
        </w:rPr>
        <w:t>la </w:t>
      </w:r>
      <w:r>
        <w:rPr/>
        <w:t>complementación con ensilado de </w:t>
      </w:r>
      <w:r>
        <w:rPr>
          <w:spacing w:val="-3"/>
        </w:rPr>
        <w:t>maíz </w:t>
      </w:r>
      <w:r>
        <w:rPr/>
        <w:t>aumenta </w:t>
      </w:r>
      <w:r>
        <w:rPr>
          <w:spacing w:val="-3"/>
        </w:rPr>
        <w:t>la </w:t>
      </w:r>
      <w:r>
        <w:rPr/>
        <w:t>producción de leche si </w:t>
      </w:r>
      <w:r>
        <w:rPr>
          <w:spacing w:val="-3"/>
        </w:rPr>
        <w:t>la </w:t>
      </w:r>
      <w:r>
        <w:rPr/>
        <w:t>cantidad de forraje ofrecido es limitante pero si </w:t>
      </w:r>
      <w:r>
        <w:rPr>
          <w:spacing w:val="-3"/>
        </w:rPr>
        <w:t>la </w:t>
      </w:r>
      <w:r>
        <w:rPr/>
        <w:t>cantidad de forraje ofrecido </w:t>
      </w:r>
      <w:r>
        <w:rPr>
          <w:spacing w:val="-3"/>
        </w:rPr>
        <w:t>no </w:t>
      </w:r>
      <w:r>
        <w:rPr/>
        <w:t>es limitante esta </w:t>
      </w:r>
      <w:r>
        <w:rPr>
          <w:spacing w:val="-3"/>
        </w:rPr>
        <w:t>no </w:t>
      </w:r>
      <w:r>
        <w:rPr/>
        <w:t>se </w:t>
      </w:r>
      <w:r>
        <w:rPr>
          <w:spacing w:val="-3"/>
        </w:rPr>
        <w:t>ve </w:t>
      </w:r>
      <w:r>
        <w:rPr/>
        <w:t>afectada, por </w:t>
      </w:r>
      <w:r>
        <w:rPr>
          <w:spacing w:val="-5"/>
        </w:rPr>
        <w:t>lo </w:t>
      </w:r>
      <w:r>
        <w:rPr/>
        <w:t>tanto, </w:t>
      </w:r>
      <w:r>
        <w:rPr>
          <w:spacing w:val="-5"/>
        </w:rPr>
        <w:t>la </w:t>
      </w:r>
      <w:r>
        <w:rPr/>
        <w:t>respuesta en leche a </w:t>
      </w:r>
      <w:r>
        <w:rPr>
          <w:spacing w:val="-3"/>
        </w:rPr>
        <w:t>la </w:t>
      </w:r>
      <w:r>
        <w:rPr/>
        <w:t>complementación con ensilado de </w:t>
      </w:r>
      <w:r>
        <w:rPr>
          <w:spacing w:val="-3"/>
        </w:rPr>
        <w:t>maíz </w:t>
      </w:r>
      <w:r>
        <w:rPr/>
        <w:t>depende de </w:t>
      </w:r>
      <w:r>
        <w:rPr>
          <w:spacing w:val="-5"/>
        </w:rPr>
        <w:t>la </w:t>
      </w:r>
      <w:r>
        <w:rPr/>
        <w:t>cantidad de forraje ofrecido, </w:t>
      </w:r>
      <w:r>
        <w:rPr>
          <w:spacing w:val="-5"/>
        </w:rPr>
        <w:t>lo </w:t>
      </w:r>
      <w:r>
        <w:rPr/>
        <w:t>cual determina </w:t>
      </w:r>
      <w:r>
        <w:rPr>
          <w:spacing w:val="-5"/>
        </w:rPr>
        <w:t>la </w:t>
      </w:r>
      <w:r>
        <w:rPr/>
        <w:t>tasa de sustitución y el consumo de MS</w:t>
      </w:r>
      <w:r>
        <w:rPr>
          <w:spacing w:val="-15"/>
        </w:rPr>
        <w:t> </w:t>
      </w:r>
      <w:r>
        <w:rPr/>
        <w:t>total.</w:t>
      </w:r>
    </w:p>
    <w:p>
      <w:pPr>
        <w:pStyle w:val="BodyText"/>
        <w:spacing w:before="5"/>
        <w:rPr>
          <w:sz w:val="25"/>
        </w:rPr>
      </w:pPr>
    </w:p>
    <w:p>
      <w:pPr>
        <w:pStyle w:val="Heading1"/>
        <w:numPr>
          <w:ilvl w:val="1"/>
          <w:numId w:val="7"/>
        </w:numPr>
        <w:tabs>
          <w:tab w:pos="1277" w:val="left" w:leader="none"/>
        </w:tabs>
        <w:spacing w:line="240" w:lineRule="auto" w:before="0" w:after="0"/>
        <w:ind w:left="1276" w:right="0" w:hanging="403"/>
        <w:jc w:val="left"/>
      </w:pPr>
      <w:bookmarkStart w:name="_TOC_250014" w:id="52"/>
      <w:r>
        <w:rPr/>
        <w:t>Factores relacionados con el</w:t>
      </w:r>
      <w:r>
        <w:rPr>
          <w:spacing w:val="-13"/>
        </w:rPr>
        <w:t> </w:t>
      </w:r>
      <w:bookmarkEnd w:id="52"/>
      <w:r>
        <w:rPr/>
        <w:t>animal</w:t>
      </w:r>
    </w:p>
    <w:p>
      <w:pPr>
        <w:pStyle w:val="BodyText"/>
        <w:spacing w:before="7"/>
        <w:rPr>
          <w:b/>
          <w:sz w:val="35"/>
        </w:rPr>
      </w:pPr>
    </w:p>
    <w:p>
      <w:pPr>
        <w:pStyle w:val="BodyText"/>
        <w:spacing w:line="360" w:lineRule="auto" w:before="1"/>
        <w:ind w:left="512" w:right="106"/>
        <w:jc w:val="both"/>
      </w:pPr>
      <w:r>
        <w:rPr/>
        <w:t>Los factores relacionados al animal son aquellos que regulan sus necesidades energéticas y que condicionan su capacidad digestiva. El peso corporal y el estado fisiológico parecen ser los parámetros que mayor influencia tienen sobre la regulación de las necesidades energéticas y la determinación de la capacidad digestiva de los animales y por lo tanto de su capacidad de ingestión (Allison, 1985).</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2"/>
          <w:numId w:val="7"/>
        </w:numPr>
        <w:tabs>
          <w:tab w:pos="1592" w:val="left" w:leader="none"/>
          <w:tab w:pos="1593" w:val="left" w:leader="none"/>
        </w:tabs>
        <w:spacing w:line="240" w:lineRule="auto" w:before="69" w:after="0"/>
        <w:ind w:left="1593" w:right="0" w:hanging="720"/>
        <w:jc w:val="left"/>
      </w:pPr>
      <w:bookmarkStart w:name="_TOC_250013" w:id="53"/>
      <w:r>
        <w:rPr/>
        <w:t>Peso corporal y estado</w:t>
      </w:r>
      <w:r>
        <w:rPr>
          <w:spacing w:val="-19"/>
        </w:rPr>
        <w:t> </w:t>
      </w:r>
      <w:bookmarkEnd w:id="53"/>
      <w:r>
        <w:rPr/>
        <w:t>fisiológico</w:t>
      </w:r>
    </w:p>
    <w:p>
      <w:pPr>
        <w:pStyle w:val="BodyText"/>
        <w:spacing w:before="8"/>
        <w:rPr>
          <w:b/>
          <w:sz w:val="35"/>
        </w:rPr>
      </w:pPr>
    </w:p>
    <w:p>
      <w:pPr>
        <w:pStyle w:val="BodyText"/>
        <w:spacing w:line="360" w:lineRule="auto"/>
        <w:ind w:left="512" w:right="101"/>
        <w:jc w:val="both"/>
      </w:pPr>
      <w:r>
        <w:rPr/>
        <w:t>El consumo de alimento tiende a ser mayor en animales de peso </w:t>
      </w:r>
      <w:r>
        <w:rPr>
          <w:spacing w:val="-3"/>
        </w:rPr>
        <w:t>vivo </w:t>
      </w:r>
      <w:r>
        <w:rPr/>
        <w:t>más alto con respecto a aquellos con peso más ligeros porque las necesidades energéticas y el tamaño del rumen son mayores en los primeros (Conrad </w:t>
      </w:r>
      <w:r>
        <w:rPr>
          <w:i/>
        </w:rPr>
        <w:t>et al</w:t>
      </w:r>
      <w:r>
        <w:rPr/>
        <w:t>., 1964). Por otra parte, al aumentar el tamaño corporal </w:t>
      </w:r>
      <w:r>
        <w:rPr>
          <w:spacing w:val="-3"/>
        </w:rPr>
        <w:t>las </w:t>
      </w:r>
      <w:r>
        <w:rPr/>
        <w:t>necesidades de mantenimiento por unidad de peso disminuyen, debido a que el metabolismo se vuelve </w:t>
      </w:r>
      <w:r>
        <w:rPr>
          <w:spacing w:val="-3"/>
        </w:rPr>
        <w:t>más </w:t>
      </w:r>
      <w:r>
        <w:rPr/>
        <w:t>lento en los animales que llegan al estado adulto, por </w:t>
      </w:r>
      <w:r>
        <w:rPr>
          <w:spacing w:val="-5"/>
        </w:rPr>
        <w:t>lo </w:t>
      </w:r>
      <w:r>
        <w:rPr/>
        <w:t>que resulta </w:t>
      </w:r>
      <w:r>
        <w:rPr>
          <w:spacing w:val="-3"/>
        </w:rPr>
        <w:t>lógico </w:t>
      </w:r>
      <w:r>
        <w:rPr/>
        <w:t>esperar que </w:t>
      </w:r>
      <w:r>
        <w:rPr>
          <w:spacing w:val="-5"/>
        </w:rPr>
        <w:t>la </w:t>
      </w:r>
      <w:r>
        <w:rPr/>
        <w:t>ingestión expresada de esta manera también disminuya. Ferrer </w:t>
      </w:r>
      <w:r>
        <w:rPr>
          <w:i/>
        </w:rPr>
        <w:t>et al</w:t>
      </w:r>
      <w:r>
        <w:rPr/>
        <w:t>. (1996) señalan que el peso</w:t>
      </w:r>
      <w:r>
        <w:rPr>
          <w:spacing w:val="51"/>
        </w:rPr>
        <w:t> </w:t>
      </w:r>
      <w:r>
        <w:rPr>
          <w:spacing w:val="-3"/>
        </w:rPr>
        <w:t>vivo</w:t>
      </w:r>
      <w:r>
        <w:rPr>
          <w:spacing w:val="51"/>
        </w:rPr>
        <w:t> </w:t>
      </w:r>
      <w:r>
        <w:rPr/>
        <w:t>explica</w:t>
      </w:r>
      <w:r>
        <w:rPr>
          <w:spacing w:val="51"/>
        </w:rPr>
        <w:t> </w:t>
      </w:r>
      <w:r>
        <w:rPr/>
        <w:t>mejor</w:t>
      </w:r>
      <w:r>
        <w:rPr>
          <w:spacing w:val="53"/>
        </w:rPr>
        <w:t> </w:t>
      </w:r>
      <w:r>
        <w:rPr>
          <w:spacing w:val="-3"/>
        </w:rPr>
        <w:t>las </w:t>
      </w:r>
      <w:r>
        <w:rPr/>
        <w:t>diferencias de</w:t>
      </w:r>
      <w:r>
        <w:rPr>
          <w:spacing w:val="51"/>
        </w:rPr>
        <w:t> </w:t>
      </w:r>
      <w:r>
        <w:rPr/>
        <w:t>ingestión entre</w:t>
      </w:r>
    </w:p>
    <w:p>
      <w:pPr>
        <w:pStyle w:val="BodyText"/>
        <w:spacing w:line="350" w:lineRule="auto" w:before="4"/>
        <w:ind w:left="512" w:right="101"/>
        <w:jc w:val="both"/>
      </w:pPr>
      <w:r>
        <w:rPr/>
        <w:t>animales en comparación con la edad. La relación entre la capacidad de ingestión y el peso de los animales suele considerarse exponencial en forma de peso metabólico (PV </w:t>
      </w:r>
      <w:r>
        <w:rPr>
          <w:position w:val="11"/>
          <w:sz w:val="16"/>
        </w:rPr>
        <w:t>0.75</w:t>
      </w:r>
      <w:r>
        <w:rPr/>
        <w:t>). En animales en pastoreo o con dietas de forraje el peso se eleva a exponentes mayores (0.81 y 0.93) debido a que la relación alométrica de la ingestión es más proporcional al peso vivo</w:t>
      </w:r>
    </w:p>
    <w:p>
      <w:pPr>
        <w:pStyle w:val="BodyText"/>
        <w:spacing w:line="362" w:lineRule="auto" w:before="14"/>
        <w:ind w:left="512" w:right="107"/>
        <w:jc w:val="both"/>
      </w:pPr>
      <w:r>
        <w:rPr/>
        <w:t>que al peso metabólico (Illius y Gordon, 1991), lo que indicaría que en </w:t>
      </w:r>
      <w:r>
        <w:rPr>
          <w:spacing w:val="-3"/>
        </w:rPr>
        <w:t>las </w:t>
      </w:r>
      <w:r>
        <w:rPr/>
        <w:t>dietas a base de forrajes </w:t>
      </w:r>
      <w:r>
        <w:rPr>
          <w:spacing w:val="-5"/>
        </w:rPr>
        <w:t>la </w:t>
      </w:r>
      <w:r>
        <w:rPr/>
        <w:t>ingestión estaría </w:t>
      </w:r>
      <w:r>
        <w:rPr>
          <w:spacing w:val="-3"/>
        </w:rPr>
        <w:t>más </w:t>
      </w:r>
      <w:r>
        <w:rPr/>
        <w:t>relacionada con </w:t>
      </w:r>
      <w:r>
        <w:rPr>
          <w:spacing w:val="-3"/>
        </w:rPr>
        <w:t>la </w:t>
      </w:r>
      <w:r>
        <w:rPr/>
        <w:t>capacidad ruminal, que es proporcional al peso </w:t>
      </w:r>
      <w:r>
        <w:rPr>
          <w:spacing w:val="-3"/>
        </w:rPr>
        <w:t>vivo </w:t>
      </w:r>
      <w:r>
        <w:rPr/>
        <w:t>(Robelin </w:t>
      </w:r>
      <w:r>
        <w:rPr>
          <w:i/>
        </w:rPr>
        <w:t>et al</w:t>
      </w:r>
      <w:r>
        <w:rPr/>
        <w:t>.,</w:t>
      </w:r>
      <w:r>
        <w:rPr>
          <w:spacing w:val="8"/>
        </w:rPr>
        <w:t> </w:t>
      </w:r>
      <w:r>
        <w:rPr/>
        <w:t>1990).</w:t>
      </w:r>
    </w:p>
    <w:p>
      <w:pPr>
        <w:pStyle w:val="BodyText"/>
        <w:spacing w:before="3"/>
      </w:pPr>
    </w:p>
    <w:p>
      <w:pPr>
        <w:pStyle w:val="BodyText"/>
        <w:spacing w:line="360" w:lineRule="auto"/>
        <w:ind w:left="512" w:right="102"/>
        <w:jc w:val="both"/>
      </w:pPr>
      <w:r>
        <w:rPr/>
        <w:t>Las variaciones en el estado fisiológico pueden modificar </w:t>
      </w:r>
      <w:r>
        <w:rPr>
          <w:spacing w:val="-5"/>
        </w:rPr>
        <w:t>la </w:t>
      </w:r>
      <w:r>
        <w:rPr/>
        <w:t>capacidad de ingestión de los animales a </w:t>
      </w:r>
      <w:r>
        <w:rPr>
          <w:spacing w:val="-5"/>
        </w:rPr>
        <w:t>lo </w:t>
      </w:r>
      <w:r>
        <w:rPr/>
        <w:t>largo del ciclo reproductivo. Durante el primer tercio de gestación existe un incremento de </w:t>
      </w:r>
      <w:r>
        <w:rPr>
          <w:spacing w:val="-4"/>
        </w:rPr>
        <w:t>las </w:t>
      </w:r>
      <w:r>
        <w:rPr/>
        <w:t>necesidades energéticas y por </w:t>
      </w:r>
      <w:r>
        <w:rPr>
          <w:spacing w:val="-5"/>
        </w:rPr>
        <w:t>lo </w:t>
      </w:r>
      <w:r>
        <w:rPr/>
        <w:t>tanto, un incremento en el CMS para cubrir dichas necesidades (Forbes, 1971). </w:t>
      </w:r>
      <w:r>
        <w:rPr>
          <w:spacing w:val="-3"/>
        </w:rPr>
        <w:t>Pese </w:t>
      </w:r>
      <w:r>
        <w:rPr/>
        <w:t>a que </w:t>
      </w:r>
      <w:r>
        <w:rPr>
          <w:spacing w:val="-4"/>
        </w:rPr>
        <w:t>las</w:t>
      </w:r>
      <w:r>
        <w:rPr>
          <w:spacing w:val="52"/>
        </w:rPr>
        <w:t> </w:t>
      </w:r>
      <w:r>
        <w:rPr/>
        <w:t>necesidades energéticas incrementan en el último tercio de gestación disminuye el CMS por </w:t>
      </w:r>
      <w:r>
        <w:rPr>
          <w:spacing w:val="-5"/>
        </w:rPr>
        <w:t>la </w:t>
      </w:r>
      <w:r>
        <w:rPr/>
        <w:t>compresión del feto al aparato digestivo (Weston, 1982), aunque se puede compensar </w:t>
      </w:r>
      <w:r>
        <w:rPr>
          <w:spacing w:val="-3"/>
        </w:rPr>
        <w:t>ya </w:t>
      </w:r>
      <w:r>
        <w:rPr/>
        <w:t>que disminuye </w:t>
      </w:r>
      <w:r>
        <w:rPr>
          <w:spacing w:val="4"/>
        </w:rPr>
        <w:t>el </w:t>
      </w:r>
      <w:r>
        <w:rPr/>
        <w:t>tiempo de retención de </w:t>
      </w:r>
      <w:r>
        <w:rPr>
          <w:spacing w:val="-5"/>
        </w:rPr>
        <w:t>la </w:t>
      </w:r>
      <w:r>
        <w:rPr/>
        <w:t>digesta manteniéndose estable el consumo de alimento (Forbes., 1986). Progresivamente se incrementa el consumo de alimento durante </w:t>
      </w:r>
      <w:r>
        <w:rPr>
          <w:spacing w:val="-5"/>
        </w:rPr>
        <w:t>la </w:t>
      </w:r>
      <w:r>
        <w:rPr/>
        <w:t>lactación debido al incremento en </w:t>
      </w:r>
      <w:r>
        <w:rPr>
          <w:spacing w:val="-4"/>
        </w:rPr>
        <w:t>las </w:t>
      </w:r>
      <w:r>
        <w:rPr/>
        <w:t>necesidades nutricionales con </w:t>
      </w:r>
      <w:r>
        <w:rPr>
          <w:spacing w:val="-3"/>
        </w:rPr>
        <w:t>la </w:t>
      </w:r>
      <w:r>
        <w:rPr/>
        <w:t>producción de leche (Dynes,</w:t>
      </w:r>
      <w:r>
        <w:rPr>
          <w:spacing w:val="-1"/>
        </w:rPr>
        <w:t> </w:t>
      </w:r>
      <w:r>
        <w:rPr/>
        <w:t>1996).</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2"/>
          <w:numId w:val="7"/>
        </w:numPr>
        <w:tabs>
          <w:tab w:pos="1592" w:val="left" w:leader="none"/>
          <w:tab w:pos="1593" w:val="left" w:leader="none"/>
        </w:tabs>
        <w:spacing w:line="240" w:lineRule="auto" w:before="69" w:after="0"/>
        <w:ind w:left="1593" w:right="0" w:hanging="720"/>
        <w:jc w:val="left"/>
      </w:pPr>
      <w:bookmarkStart w:name="_TOC_250012" w:id="54"/>
      <w:r>
        <w:rPr/>
        <w:t>Relación edad, </w:t>
      </w:r>
      <w:r>
        <w:rPr>
          <w:spacing w:val="-3"/>
        </w:rPr>
        <w:t>sexo </w:t>
      </w:r>
      <w:r>
        <w:rPr/>
        <w:t>y estado</w:t>
      </w:r>
      <w:r>
        <w:rPr>
          <w:spacing w:val="2"/>
        </w:rPr>
        <w:t> </w:t>
      </w:r>
      <w:bookmarkEnd w:id="54"/>
      <w:r>
        <w:rPr/>
        <w:t>nutricional</w:t>
      </w:r>
    </w:p>
    <w:p>
      <w:pPr>
        <w:pStyle w:val="BodyText"/>
        <w:spacing w:before="8"/>
        <w:rPr>
          <w:b/>
          <w:sz w:val="35"/>
        </w:rPr>
      </w:pPr>
    </w:p>
    <w:p>
      <w:pPr>
        <w:pStyle w:val="BodyText"/>
        <w:spacing w:line="360" w:lineRule="auto"/>
        <w:ind w:left="512" w:right="104"/>
        <w:jc w:val="both"/>
      </w:pPr>
      <w:r>
        <w:rPr/>
        <w:t>En animales jóvenes </w:t>
      </w:r>
      <w:r>
        <w:rPr>
          <w:spacing w:val="-5"/>
        </w:rPr>
        <w:t>la </w:t>
      </w:r>
      <w:r>
        <w:rPr/>
        <w:t>demanda de energía se incrementa con el peso corporal a través de un aumento en el metabolismo basal, </w:t>
      </w:r>
      <w:r>
        <w:rPr>
          <w:spacing w:val="-5"/>
        </w:rPr>
        <w:t>ya </w:t>
      </w:r>
      <w:r>
        <w:rPr/>
        <w:t>que </w:t>
      </w:r>
      <w:r>
        <w:rPr>
          <w:spacing w:val="-4"/>
        </w:rPr>
        <w:t>las </w:t>
      </w:r>
      <w:r>
        <w:rPr/>
        <w:t>demandas energéticas deben cubrir tanto  las necesidades de mantenimiento </w:t>
      </w:r>
      <w:r>
        <w:rPr>
          <w:spacing w:val="-3"/>
        </w:rPr>
        <w:t>como </w:t>
      </w:r>
      <w:r>
        <w:rPr/>
        <w:t>de crecimiento animal hasta </w:t>
      </w:r>
      <w:r>
        <w:rPr>
          <w:spacing w:val="-2"/>
        </w:rPr>
        <w:t>llegar </w:t>
      </w:r>
      <w:r>
        <w:rPr/>
        <w:t>a </w:t>
      </w:r>
      <w:r>
        <w:rPr>
          <w:spacing w:val="-5"/>
        </w:rPr>
        <w:t>la </w:t>
      </w:r>
      <w:r>
        <w:rPr/>
        <w:t>edad adulta, durante </w:t>
      </w:r>
      <w:r>
        <w:rPr>
          <w:spacing w:val="-5"/>
        </w:rPr>
        <w:t>la </w:t>
      </w:r>
      <w:r>
        <w:rPr/>
        <w:t>cual se produce una disminución del metabolismo basal que se manifiesta en un menor CMS por unidad de peso </w:t>
      </w:r>
      <w:r>
        <w:rPr>
          <w:spacing w:val="-3"/>
        </w:rPr>
        <w:t>vivo </w:t>
      </w:r>
      <w:r>
        <w:rPr/>
        <w:t>(Freer, 1981; Weston, 1982). Las diferencias entre sexos sobre el CMS se manifiestan con un mayor </w:t>
      </w:r>
      <w:r>
        <w:rPr>
          <w:spacing w:val="-3"/>
        </w:rPr>
        <w:t>consumo </w:t>
      </w:r>
      <w:r>
        <w:rPr/>
        <w:t>de alimento en los machos (Illius, 1989). Estas variaciones son debidas a los efectos del peso vivo, tamaño y composición corporal, siendo </w:t>
      </w:r>
      <w:r>
        <w:rPr>
          <w:spacing w:val="-3"/>
        </w:rPr>
        <w:t>las </w:t>
      </w:r>
      <w:r>
        <w:rPr/>
        <w:t>diferencias fundamentalmente en términos absolutos. Cuando las ingestiones se expresan con relación al peso metabólico, </w:t>
      </w:r>
      <w:r>
        <w:rPr>
          <w:spacing w:val="-3"/>
        </w:rPr>
        <w:t>las </w:t>
      </w:r>
      <w:r>
        <w:rPr/>
        <w:t>diferencias entre sexos se minimizan (Illius y Gordon, 1987). Bines </w:t>
      </w:r>
      <w:r>
        <w:rPr>
          <w:i/>
        </w:rPr>
        <w:t>et al</w:t>
      </w:r>
      <w:r>
        <w:rPr/>
        <w:t>. (1969) demostraron una relación negativa entre </w:t>
      </w:r>
      <w:r>
        <w:rPr>
          <w:spacing w:val="-5"/>
        </w:rPr>
        <w:t>la </w:t>
      </w:r>
      <w:r>
        <w:rPr/>
        <w:t>cantidad de grasa corporal y </w:t>
      </w:r>
      <w:r>
        <w:rPr>
          <w:spacing w:val="-3"/>
        </w:rPr>
        <w:t>la </w:t>
      </w:r>
      <w:r>
        <w:rPr/>
        <w:t>ingestión voluntaria de los bovinos, por </w:t>
      </w:r>
      <w:r>
        <w:rPr>
          <w:spacing w:val="-5"/>
        </w:rPr>
        <w:t>lo </w:t>
      </w:r>
      <w:r>
        <w:rPr/>
        <w:t>que se espera que animales con estado nutricional deficiente tengan un CMS mayor para compensar su</w:t>
      </w:r>
      <w:r>
        <w:rPr>
          <w:spacing w:val="-7"/>
        </w:rPr>
        <w:t> </w:t>
      </w:r>
      <w:r>
        <w:rPr/>
        <w:t>peso.</w:t>
      </w:r>
    </w:p>
    <w:p>
      <w:pPr>
        <w:pStyle w:val="BodyText"/>
        <w:spacing w:before="4"/>
        <w:rPr>
          <w:sz w:val="25"/>
        </w:rPr>
      </w:pPr>
    </w:p>
    <w:p>
      <w:pPr>
        <w:pStyle w:val="Heading1"/>
        <w:numPr>
          <w:ilvl w:val="1"/>
          <w:numId w:val="7"/>
        </w:numPr>
        <w:tabs>
          <w:tab w:pos="1277" w:val="left" w:leader="none"/>
        </w:tabs>
        <w:spacing w:line="240" w:lineRule="auto" w:before="0" w:after="0"/>
        <w:ind w:left="1276" w:right="0" w:hanging="403"/>
        <w:jc w:val="left"/>
      </w:pPr>
      <w:bookmarkStart w:name="_TOC_250011" w:id="55"/>
      <w:r>
        <w:rPr/>
        <w:t>Factores relacionados con el manejo y el medio</w:t>
      </w:r>
      <w:r>
        <w:rPr>
          <w:spacing w:val="-19"/>
        </w:rPr>
        <w:t> </w:t>
      </w:r>
      <w:bookmarkEnd w:id="55"/>
      <w:r>
        <w:rPr/>
        <w:t>ambiente</w:t>
      </w:r>
    </w:p>
    <w:p>
      <w:pPr>
        <w:pStyle w:val="BodyText"/>
        <w:spacing w:before="7"/>
        <w:rPr>
          <w:b/>
          <w:sz w:val="35"/>
        </w:rPr>
      </w:pPr>
    </w:p>
    <w:p>
      <w:pPr>
        <w:pStyle w:val="BodyText"/>
        <w:spacing w:line="360" w:lineRule="auto" w:before="1"/>
        <w:ind w:left="512" w:right="105"/>
        <w:jc w:val="both"/>
      </w:pPr>
      <w:r>
        <w:rPr/>
        <w:t>En los forrajes de </w:t>
      </w:r>
      <w:r>
        <w:rPr>
          <w:spacing w:val="-3"/>
        </w:rPr>
        <w:t>manejo </w:t>
      </w:r>
      <w:r>
        <w:rPr/>
        <w:t>continuo, </w:t>
      </w:r>
      <w:r>
        <w:rPr>
          <w:spacing w:val="-3"/>
        </w:rPr>
        <w:t>la </w:t>
      </w:r>
      <w:r>
        <w:rPr/>
        <w:t>dieta ingerida suele mantener valores relativamente altos de digestibilidad, por el hecho de que los animales habitualmente pastan los rebrotes jóvenes que se van produciendo. En estas circunstancias, el comportamiento del consumo del ganado dependerá fundamentalmente de </w:t>
      </w:r>
      <w:r>
        <w:rPr>
          <w:spacing w:val="-3"/>
        </w:rPr>
        <w:t>la </w:t>
      </w:r>
      <w:r>
        <w:rPr/>
        <w:t>altura y estructura </w:t>
      </w:r>
      <w:r>
        <w:rPr>
          <w:spacing w:val="4"/>
        </w:rPr>
        <w:t>del </w:t>
      </w:r>
      <w:r>
        <w:rPr/>
        <w:t>pasto, sin embargo cuando el </w:t>
      </w:r>
      <w:r>
        <w:rPr>
          <w:spacing w:val="-3"/>
        </w:rPr>
        <w:t>manejo </w:t>
      </w:r>
      <w:r>
        <w:rPr/>
        <w:t>es de tipo rotacional, el pastoreo del animal es menos selectivo, por </w:t>
      </w:r>
      <w:r>
        <w:rPr>
          <w:spacing w:val="-5"/>
        </w:rPr>
        <w:t>lo  </w:t>
      </w:r>
      <w:r>
        <w:rPr/>
        <w:t>que el valor nutritivo de </w:t>
      </w:r>
      <w:r>
        <w:rPr>
          <w:spacing w:val="-5"/>
        </w:rPr>
        <w:t>la </w:t>
      </w:r>
      <w:r>
        <w:rPr/>
        <w:t>dieta pasa a tener una mayor importancia (Hodgson, 1982). Las condiciones ambientales como </w:t>
      </w:r>
      <w:r>
        <w:rPr>
          <w:spacing w:val="-5"/>
        </w:rPr>
        <w:t>la </w:t>
      </w:r>
      <w:r>
        <w:rPr/>
        <w:t>temperatura pueden modificar el CMS por el animal, cuando son altas puede actuar reduciendo el tiempo de pastoreo y por consiguiente </w:t>
      </w:r>
      <w:r>
        <w:rPr>
          <w:spacing w:val="-5"/>
        </w:rPr>
        <w:t>la </w:t>
      </w:r>
      <w:r>
        <w:rPr/>
        <w:t>ingestión de forraje (Arnold, 1985). Bajas temperaturas pueden estimular el CMS, excepto en casos extremos (Weston,</w:t>
      </w:r>
      <w:r>
        <w:rPr>
          <w:spacing w:val="-10"/>
        </w:rPr>
        <w:t> </w:t>
      </w:r>
      <w:r>
        <w:rPr/>
        <w:t>1982).</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0"/>
          <w:numId w:val="4"/>
        </w:numPr>
        <w:tabs>
          <w:tab w:pos="1233" w:val="left" w:leader="none"/>
          <w:tab w:pos="3598" w:val="left" w:leader="none"/>
          <w:tab w:pos="4339" w:val="left" w:leader="none"/>
          <w:tab w:pos="5841" w:val="left" w:leader="none"/>
          <w:tab w:pos="6417" w:val="left" w:leader="none"/>
          <w:tab w:pos="7794" w:val="left" w:leader="none"/>
          <w:tab w:pos="9013" w:val="left" w:leader="none"/>
        </w:tabs>
        <w:spacing w:line="360" w:lineRule="auto" w:before="69" w:after="0"/>
        <w:ind w:left="1233" w:right="112" w:hanging="360"/>
        <w:jc w:val="left"/>
      </w:pPr>
      <w:bookmarkStart w:name="_TOC_250010" w:id="56"/>
      <w:r>
        <w:rPr/>
        <w:t>DETERMINACIÓN</w:t>
        <w:tab/>
        <w:t>DEL</w:t>
        <w:tab/>
        <w:t>CONSUMO</w:t>
        <w:tab/>
      </w:r>
      <w:r>
        <w:rPr>
          <w:spacing w:val="-3"/>
        </w:rPr>
        <w:t>DE</w:t>
        <w:tab/>
      </w:r>
      <w:r>
        <w:rPr/>
        <w:t>FORRAJE</w:t>
        <w:tab/>
        <w:t>FRESCO</w:t>
        <w:tab/>
        <w:t>EN</w:t>
      </w:r>
      <w:r>
        <w:rPr>
          <w:w w:val="99"/>
        </w:rPr>
        <w:t> </w:t>
      </w:r>
      <w:r>
        <w:rPr/>
        <w:t>GANADO LECHERO EN</w:t>
      </w:r>
      <w:r>
        <w:rPr>
          <w:spacing w:val="-12"/>
        </w:rPr>
        <w:t> </w:t>
      </w:r>
      <w:bookmarkEnd w:id="56"/>
      <w:r>
        <w:rPr/>
        <w:t>PASTOREO</w:t>
      </w:r>
    </w:p>
    <w:p>
      <w:pPr>
        <w:pStyle w:val="BodyText"/>
        <w:spacing w:before="2"/>
        <w:rPr>
          <w:b/>
        </w:rPr>
      </w:pPr>
    </w:p>
    <w:p>
      <w:pPr>
        <w:pStyle w:val="BodyText"/>
        <w:spacing w:line="360" w:lineRule="auto"/>
        <w:ind w:left="512" w:right="101"/>
        <w:jc w:val="both"/>
      </w:pPr>
      <w:r>
        <w:rPr/>
        <w:t>Cuantificar </w:t>
      </w:r>
      <w:r>
        <w:rPr>
          <w:spacing w:val="-5"/>
        </w:rPr>
        <w:t>la </w:t>
      </w:r>
      <w:r>
        <w:rPr/>
        <w:t>ingesta de alimentos en los rumiantes es de gran importancia para poder estimar el consumo de nutrientes aportados en el alimento, pero resulta difícil poder </w:t>
      </w:r>
      <w:r>
        <w:rPr>
          <w:spacing w:val="-3"/>
        </w:rPr>
        <w:t>medir </w:t>
      </w:r>
      <w:r>
        <w:rPr/>
        <w:t>con exactitud el consumo de forraje en los sistemas a base de pastoreo (Burns </w:t>
      </w:r>
      <w:r>
        <w:rPr>
          <w:i/>
        </w:rPr>
        <w:t>et al</w:t>
      </w:r>
      <w:r>
        <w:rPr/>
        <w:t>., 1994; Moore, 1996). Las técnicas para estimar el consumo de forraje están basadas en diferentes métodos </w:t>
      </w:r>
      <w:r>
        <w:rPr>
          <w:spacing w:val="-3"/>
        </w:rPr>
        <w:t>como </w:t>
      </w:r>
      <w:r>
        <w:rPr/>
        <w:t>el uso de marcadores, el comportamiento ingestivo, desaparición de </w:t>
      </w:r>
      <w:r>
        <w:rPr>
          <w:spacing w:val="-3"/>
        </w:rPr>
        <w:t>la </w:t>
      </w:r>
      <w:r>
        <w:rPr/>
        <w:t>masa forrajera, predicción por </w:t>
      </w:r>
      <w:r>
        <w:rPr>
          <w:spacing w:val="-4"/>
        </w:rPr>
        <w:t>las </w:t>
      </w:r>
      <w:r>
        <w:rPr/>
        <w:t>características del forraje o el rendimiento animal (Moore, 1996). Estos métodos tienen sus ventajas y desventajas y los resultados obtenidos  en general son estimaciones del consumo de forraje con cierto margen de error (Burns </w:t>
      </w:r>
      <w:r>
        <w:rPr>
          <w:i/>
        </w:rPr>
        <w:t>et al</w:t>
      </w:r>
      <w:r>
        <w:rPr/>
        <w:t>., 1994; Moore, 1996). Moore (1996) sugieren que los métodos basados en marcadores o en  el comportamiento ingestivo son considerados adecuados para estimar el consumo de forma individual en el animal y que los métodos de desaparición de </w:t>
      </w:r>
      <w:r>
        <w:rPr>
          <w:spacing w:val="-3"/>
        </w:rPr>
        <w:t>masa </w:t>
      </w:r>
      <w:r>
        <w:rPr/>
        <w:t>forrajera, predicción por las características del forraje o en </w:t>
      </w:r>
      <w:r>
        <w:rPr>
          <w:spacing w:val="-3"/>
        </w:rPr>
        <w:t>base </w:t>
      </w:r>
      <w:r>
        <w:rPr/>
        <w:t>a los cálculos de los requerimientos de energía son más adecuados para estimar el consumo en grupos de animales. En el presente trabajo haremos mención de tres métodos de uso común para </w:t>
      </w:r>
      <w:r>
        <w:rPr>
          <w:spacing w:val="-3"/>
        </w:rPr>
        <w:t>la </w:t>
      </w:r>
      <w:r>
        <w:rPr/>
        <w:t>estimación </w:t>
      </w:r>
      <w:r>
        <w:rPr>
          <w:spacing w:val="4"/>
        </w:rPr>
        <w:t>del </w:t>
      </w:r>
      <w:r>
        <w:rPr/>
        <w:t>CMS de vacas en pastoreo.</w:t>
      </w:r>
    </w:p>
    <w:p>
      <w:pPr>
        <w:pStyle w:val="BodyText"/>
        <w:spacing w:before="4"/>
        <w:rPr>
          <w:sz w:val="25"/>
        </w:rPr>
      </w:pPr>
    </w:p>
    <w:p>
      <w:pPr>
        <w:pStyle w:val="Heading1"/>
        <w:numPr>
          <w:ilvl w:val="1"/>
          <w:numId w:val="4"/>
        </w:numPr>
        <w:tabs>
          <w:tab w:pos="1929" w:val="left" w:leader="none"/>
          <w:tab w:pos="1930" w:val="left" w:leader="none"/>
        </w:tabs>
        <w:spacing w:line="240" w:lineRule="auto" w:before="1" w:after="0"/>
        <w:ind w:left="1929" w:right="0" w:hanging="1056"/>
        <w:jc w:val="left"/>
      </w:pPr>
      <w:bookmarkStart w:name="_TOC_250009" w:id="57"/>
      <w:r>
        <w:rPr/>
        <w:t>Método de corte de pradera o desaparición de </w:t>
      </w:r>
      <w:r>
        <w:rPr>
          <w:spacing w:val="-3"/>
        </w:rPr>
        <w:t>la </w:t>
      </w:r>
      <w:r>
        <w:rPr/>
        <w:t>masa</w:t>
      </w:r>
      <w:r>
        <w:rPr>
          <w:spacing w:val="-20"/>
        </w:rPr>
        <w:t> </w:t>
      </w:r>
      <w:bookmarkEnd w:id="57"/>
      <w:r>
        <w:rPr/>
        <w:t>forrajera</w:t>
      </w:r>
    </w:p>
    <w:p>
      <w:pPr>
        <w:pStyle w:val="BodyText"/>
        <w:spacing w:before="7"/>
        <w:rPr>
          <w:b/>
          <w:sz w:val="35"/>
        </w:rPr>
      </w:pPr>
    </w:p>
    <w:p>
      <w:pPr>
        <w:pStyle w:val="BodyText"/>
        <w:spacing w:line="360" w:lineRule="auto" w:before="1"/>
        <w:ind w:left="512" w:right="102"/>
        <w:jc w:val="both"/>
      </w:pPr>
      <w:r>
        <w:rPr/>
        <w:t>Este método proporciona una estimación del consumo de forraje y es idealmente adecuado en sistemas de pastoreo por franjas, sin embargo puede ser muy laborioso (Leaver, 1985). Consiste en </w:t>
      </w:r>
      <w:r>
        <w:rPr>
          <w:spacing w:val="-3"/>
        </w:rPr>
        <w:t>medir </w:t>
      </w:r>
      <w:r>
        <w:rPr/>
        <w:t>una proporción de </w:t>
      </w:r>
      <w:r>
        <w:rPr>
          <w:spacing w:val="-3"/>
        </w:rPr>
        <w:t>la </w:t>
      </w:r>
      <w:r>
        <w:rPr/>
        <w:t>superficie asignada al animal y calcular el total </w:t>
      </w:r>
      <w:r>
        <w:rPr>
          <w:spacing w:val="2"/>
        </w:rPr>
        <w:t>del </w:t>
      </w:r>
      <w:r>
        <w:rPr/>
        <w:t>forraje. </w:t>
      </w:r>
      <w:r>
        <w:rPr>
          <w:spacing w:val="3"/>
        </w:rPr>
        <w:t>El </w:t>
      </w:r>
      <w:r>
        <w:rPr/>
        <w:t>forraje rechazado después del pastoreo es determinado de </w:t>
      </w:r>
      <w:r>
        <w:rPr>
          <w:spacing w:val="-5"/>
        </w:rPr>
        <w:t>la </w:t>
      </w:r>
      <w:r>
        <w:rPr/>
        <w:t>misma manera. La diferencia entre </w:t>
      </w:r>
      <w:r>
        <w:rPr>
          <w:spacing w:val="-4"/>
        </w:rPr>
        <w:t>las </w:t>
      </w:r>
      <w:r>
        <w:rPr/>
        <w:t>dos </w:t>
      </w:r>
      <w:r>
        <w:rPr>
          <w:spacing w:val="-3"/>
        </w:rPr>
        <w:t>masas </w:t>
      </w:r>
      <w:r>
        <w:rPr/>
        <w:t>de forraje proporciona una estimación aparente de  </w:t>
      </w:r>
      <w:r>
        <w:rPr>
          <w:spacing w:val="-5"/>
        </w:rPr>
        <w:t>la  </w:t>
      </w:r>
      <w:r>
        <w:rPr/>
        <w:t>cantidad de forraje consumido en el área pastada. Este método presenta inconvenientes debido a que permite </w:t>
      </w:r>
      <w:r>
        <w:rPr>
          <w:spacing w:val="-5"/>
        </w:rPr>
        <w:t>la </w:t>
      </w:r>
      <w:r>
        <w:rPr/>
        <w:t>estimación de </w:t>
      </w:r>
      <w:r>
        <w:rPr>
          <w:spacing w:val="-5"/>
        </w:rPr>
        <w:t>la </w:t>
      </w:r>
      <w:r>
        <w:rPr/>
        <w:t>ingesta </w:t>
      </w:r>
      <w:r>
        <w:rPr>
          <w:spacing w:val="-3"/>
        </w:rPr>
        <w:t>sólo </w:t>
      </w:r>
      <w:r>
        <w:rPr/>
        <w:t>del conjunto del rebaño y su precisión es baja en periodos largos de pastoreo continuo de comunidades vegetales heterogéneas (Meijis </w:t>
      </w:r>
      <w:r>
        <w:rPr>
          <w:i/>
        </w:rPr>
        <w:t>et al</w:t>
      </w:r>
      <w:r>
        <w:rPr/>
        <w:t>., 1982). La estimación de </w:t>
      </w:r>
      <w:r>
        <w:rPr>
          <w:spacing w:val="-3"/>
        </w:rPr>
        <w:t>la </w:t>
      </w:r>
      <w:r>
        <w:rPr/>
        <w:t>biomasa al </w:t>
      </w:r>
      <w:r>
        <w:rPr>
          <w:spacing w:val="-3"/>
        </w:rPr>
        <w:t>inicio  </w:t>
      </w:r>
      <w:r>
        <w:rPr/>
        <w:t>y final del periodo   </w:t>
      </w:r>
      <w:r>
        <w:rPr>
          <w:spacing w:val="7"/>
        </w:rPr>
        <w:t> </w:t>
      </w:r>
      <w:r>
        <w:rPr/>
        <w:t>de pastoreo</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8"/>
        <w:jc w:val="both"/>
      </w:pPr>
      <w:r>
        <w:rPr/>
        <w:t>se puede realizar con razonable exactitud, aunque en praderas donde el crecimiento es muy activo, </w:t>
      </w:r>
      <w:r>
        <w:rPr>
          <w:spacing w:val="-3"/>
        </w:rPr>
        <w:t>la </w:t>
      </w:r>
      <w:r>
        <w:rPr/>
        <w:t>acumulación de material durante el periodo de aprovechamiento representa una fuente de error para obtener un valor fiable. Por </w:t>
      </w:r>
      <w:r>
        <w:rPr>
          <w:spacing w:val="-5"/>
        </w:rPr>
        <w:t>lo </w:t>
      </w:r>
      <w:r>
        <w:rPr/>
        <w:t>que este método proporciona una estimación real del consumo de forraje cuando se realiza en periodos de pastoreo cortos de 1 a 3 días (Burns </w:t>
      </w:r>
      <w:r>
        <w:rPr>
          <w:i/>
        </w:rPr>
        <w:t>et al.</w:t>
      </w:r>
      <w:r>
        <w:rPr/>
        <w:t>, 1994). La precisión de </w:t>
      </w:r>
      <w:r>
        <w:rPr>
          <w:spacing w:val="-5"/>
        </w:rPr>
        <w:t>la </w:t>
      </w:r>
      <w:r>
        <w:rPr/>
        <w:t>estimación dependerá de </w:t>
      </w:r>
      <w:r>
        <w:rPr>
          <w:spacing w:val="-5"/>
        </w:rPr>
        <w:t>la </w:t>
      </w:r>
      <w:r>
        <w:rPr/>
        <w:t>estructura y variabilidad de </w:t>
      </w:r>
      <w:r>
        <w:rPr>
          <w:spacing w:val="-5"/>
        </w:rPr>
        <w:t>la </w:t>
      </w:r>
      <w:r>
        <w:rPr/>
        <w:t>biomasa forrajera, del tiempo e intensidad de pastoreo, </w:t>
      </w:r>
      <w:r>
        <w:rPr>
          <w:spacing w:val="-3"/>
        </w:rPr>
        <w:t>la </w:t>
      </w:r>
      <w:r>
        <w:rPr/>
        <w:t>altura de corte y el número y tamaño de unidades muestreadas (Meijis </w:t>
      </w:r>
      <w:r>
        <w:rPr>
          <w:i/>
        </w:rPr>
        <w:t>et al</w:t>
      </w:r>
      <w:r>
        <w:rPr/>
        <w:t>.,</w:t>
      </w:r>
      <w:r>
        <w:rPr>
          <w:spacing w:val="-15"/>
        </w:rPr>
        <w:t> </w:t>
      </w:r>
      <w:r>
        <w:rPr/>
        <w:t>1982).</w:t>
      </w:r>
    </w:p>
    <w:p>
      <w:pPr>
        <w:pStyle w:val="BodyText"/>
        <w:spacing w:before="11"/>
      </w:pPr>
    </w:p>
    <w:p>
      <w:pPr>
        <w:pStyle w:val="BodyText"/>
        <w:spacing w:line="360" w:lineRule="auto"/>
        <w:ind w:left="512" w:right="103"/>
        <w:jc w:val="both"/>
      </w:pPr>
      <w:r>
        <w:rPr/>
        <w:t>Otra técnica utilizada para estimar el consumo por </w:t>
      </w:r>
      <w:r>
        <w:rPr>
          <w:spacing w:val="-4"/>
        </w:rPr>
        <w:t>medio </w:t>
      </w:r>
      <w:r>
        <w:rPr/>
        <w:t>de </w:t>
      </w:r>
      <w:r>
        <w:rPr>
          <w:spacing w:val="-3"/>
        </w:rPr>
        <w:t>la </w:t>
      </w:r>
      <w:r>
        <w:rPr/>
        <w:t>desaparición de forraje consiste en el lanzamiento de cuadros de una superficie determinada y se corta a ras de suelo </w:t>
      </w:r>
      <w:r>
        <w:rPr>
          <w:spacing w:val="-5"/>
        </w:rPr>
        <w:t>la </w:t>
      </w:r>
      <w:r>
        <w:rPr/>
        <w:t>vegetación contenida en el cuadro, con el </w:t>
      </w:r>
      <w:r>
        <w:rPr>
          <w:spacing w:val="-3"/>
        </w:rPr>
        <w:t>fin </w:t>
      </w:r>
      <w:r>
        <w:rPr/>
        <w:t>de estimar </w:t>
      </w:r>
      <w:r>
        <w:rPr>
          <w:spacing w:val="-5"/>
        </w:rPr>
        <w:t>la </w:t>
      </w:r>
      <w:r>
        <w:rPr/>
        <w:t>ingestión de pasto por cambios en </w:t>
      </w:r>
      <w:r>
        <w:rPr>
          <w:spacing w:val="-5"/>
        </w:rPr>
        <w:t>la </w:t>
      </w:r>
      <w:r>
        <w:rPr/>
        <w:t>biomasa forrajera antes y después del pastoreo. Esta técnica puede variar dependiendo del tamaño y forma del cuadro, </w:t>
      </w:r>
      <w:r>
        <w:rPr>
          <w:spacing w:val="-5"/>
        </w:rPr>
        <w:t>la </w:t>
      </w:r>
      <w:r>
        <w:rPr/>
        <w:t>anchura y altura de corte, </w:t>
      </w:r>
      <w:r>
        <w:rPr>
          <w:spacing w:val="-5"/>
        </w:rPr>
        <w:t>la </w:t>
      </w:r>
      <w:r>
        <w:rPr>
          <w:spacing w:val="-3"/>
        </w:rPr>
        <w:t>forma </w:t>
      </w:r>
      <w:r>
        <w:rPr/>
        <w:t>de corte del forraje, el numero de cuadros y su localización en </w:t>
      </w:r>
      <w:r>
        <w:rPr>
          <w:spacing w:val="-3"/>
        </w:rPr>
        <w:t>la </w:t>
      </w:r>
      <w:r>
        <w:rPr/>
        <w:t>pradera (McInttyre,</w:t>
      </w:r>
      <w:r>
        <w:rPr>
          <w:spacing w:val="-12"/>
        </w:rPr>
        <w:t> </w:t>
      </w:r>
      <w:r>
        <w:rPr/>
        <w:t>1978).</w:t>
      </w:r>
    </w:p>
    <w:p>
      <w:pPr>
        <w:pStyle w:val="BodyText"/>
      </w:pPr>
    </w:p>
    <w:p>
      <w:pPr>
        <w:pStyle w:val="BodyText"/>
      </w:pPr>
    </w:p>
    <w:p>
      <w:pPr>
        <w:pStyle w:val="BodyText"/>
      </w:pPr>
    </w:p>
    <w:p>
      <w:pPr>
        <w:pStyle w:val="Heading1"/>
        <w:numPr>
          <w:ilvl w:val="1"/>
          <w:numId w:val="4"/>
        </w:numPr>
        <w:tabs>
          <w:tab w:pos="1929" w:val="left" w:leader="none"/>
          <w:tab w:pos="1930" w:val="left" w:leader="none"/>
        </w:tabs>
        <w:spacing w:line="240" w:lineRule="auto" w:before="155" w:after="0"/>
        <w:ind w:left="1929" w:right="0" w:hanging="1056"/>
        <w:jc w:val="left"/>
      </w:pPr>
      <w:bookmarkStart w:name="_TOC_250008" w:id="58"/>
      <w:r>
        <w:rPr/>
        <w:t>Uso de</w:t>
      </w:r>
      <w:r>
        <w:rPr>
          <w:spacing w:val="-8"/>
        </w:rPr>
        <w:t> </w:t>
      </w:r>
      <w:bookmarkEnd w:id="58"/>
      <w:r>
        <w:rPr/>
        <w:t>Marcadores</w:t>
      </w:r>
    </w:p>
    <w:p>
      <w:pPr>
        <w:pStyle w:val="BodyText"/>
        <w:rPr>
          <w:b/>
        </w:rPr>
      </w:pPr>
    </w:p>
    <w:p>
      <w:pPr>
        <w:pStyle w:val="BodyText"/>
        <w:spacing w:line="360" w:lineRule="auto" w:before="139"/>
        <w:ind w:left="512" w:right="99"/>
        <w:jc w:val="both"/>
      </w:pPr>
      <w:r>
        <w:rPr/>
        <w:t>Se trata de </w:t>
      </w:r>
      <w:r>
        <w:rPr>
          <w:spacing w:val="-5"/>
        </w:rPr>
        <w:t>la </w:t>
      </w:r>
      <w:r>
        <w:rPr/>
        <w:t>infusión continua de una sustancia indicadora durante al menos cuatro días, posterior muestreo de </w:t>
      </w:r>
      <w:r>
        <w:rPr>
          <w:spacing w:val="-4"/>
        </w:rPr>
        <w:t>las</w:t>
      </w:r>
      <w:r>
        <w:rPr>
          <w:spacing w:val="52"/>
        </w:rPr>
        <w:t> </w:t>
      </w:r>
      <w:r>
        <w:rPr/>
        <w:t>heces durante un periodo y con frecuencia variable y determinación de </w:t>
      </w:r>
      <w:r>
        <w:rPr>
          <w:spacing w:val="-5"/>
        </w:rPr>
        <w:t>la </w:t>
      </w:r>
      <w:r>
        <w:rPr/>
        <w:t>sustancia indicadora o marcador (Producción fecal = Dosis de marcador/Concentración de marcador en heces). La sustancia indicadora debería reunir las siguientes características: ser químicamente discreta, cuantitativamente recuperable en las heces, </w:t>
      </w:r>
      <w:r>
        <w:rPr>
          <w:spacing w:val="-3"/>
        </w:rPr>
        <w:t>no </w:t>
      </w:r>
      <w:r>
        <w:rPr/>
        <w:t>tóxica, accesible económicamente, de fácil análisis por métodos químicos o  físicos y estar ausente en </w:t>
      </w:r>
      <w:r>
        <w:rPr>
          <w:spacing w:val="-3"/>
        </w:rPr>
        <w:t>la </w:t>
      </w:r>
      <w:r>
        <w:rPr/>
        <w:t>dieta original (Raymond y Minson, 1955). </w:t>
      </w:r>
      <w:r>
        <w:rPr>
          <w:spacing w:val="-2"/>
        </w:rPr>
        <w:t>Varias </w:t>
      </w:r>
      <w:r>
        <w:rPr/>
        <w:t>sustancias indicadoras han sido utilizadas para </w:t>
      </w:r>
      <w:r>
        <w:rPr>
          <w:spacing w:val="-5"/>
        </w:rPr>
        <w:t>la </w:t>
      </w:r>
      <w:r>
        <w:rPr/>
        <w:t>determinación del consumo de forraje entre ellas están el óxido de cromo (Cr</w:t>
      </w:r>
      <w:r>
        <w:rPr>
          <w:position w:val="-2"/>
          <w:sz w:val="16"/>
        </w:rPr>
        <w:t>2</w:t>
      </w:r>
      <w:r>
        <w:rPr/>
        <w:t>O</w:t>
      </w:r>
      <w:r>
        <w:rPr>
          <w:position w:val="-2"/>
          <w:sz w:val="16"/>
        </w:rPr>
        <w:t>3</w:t>
      </w:r>
      <w:r>
        <w:rPr/>
        <w:t>), óxido de titanio (TiO</w:t>
      </w:r>
      <w:r>
        <w:rPr>
          <w:position w:val="-2"/>
          <w:sz w:val="16"/>
        </w:rPr>
        <w:t>2</w:t>
      </w:r>
      <w:r>
        <w:rPr/>
        <w:t>), sulfato de </w:t>
      </w:r>
      <w:r>
        <w:rPr>
          <w:spacing w:val="-3"/>
        </w:rPr>
        <w:t>bario </w:t>
      </w:r>
      <w:r>
        <w:rPr/>
        <w:t>(BaSO</w:t>
      </w:r>
      <w:r>
        <w:rPr>
          <w:position w:val="-2"/>
          <w:sz w:val="16"/>
        </w:rPr>
        <w:t>4</w:t>
      </w:r>
      <w:r>
        <w:rPr/>
        <w:t>), disprosio (Dy), Cr-mordiente, alcanos artificiales, Cr-EDTA, Co-EDTA o polietilenglicol, etc. El método </w:t>
      </w:r>
      <w:r>
        <w:rPr>
          <w:spacing w:val="-4"/>
        </w:rPr>
        <w:t>más </w:t>
      </w:r>
      <w:r>
        <w:rPr/>
        <w:t>utilizado en los bovinos es el Cr</w:t>
      </w:r>
      <w:r>
        <w:rPr>
          <w:position w:val="-2"/>
          <w:sz w:val="16"/>
        </w:rPr>
        <w:t>2</w:t>
      </w:r>
      <w:r>
        <w:rPr/>
        <w:t>O</w:t>
      </w:r>
      <w:r>
        <w:rPr>
          <w:position w:val="-2"/>
          <w:sz w:val="16"/>
        </w:rPr>
        <w:t>3   </w:t>
      </w:r>
      <w:r>
        <w:rPr/>
        <w:t>(Baker </w:t>
      </w:r>
      <w:r>
        <w:rPr>
          <w:i/>
        </w:rPr>
        <w:t>et al</w:t>
      </w:r>
      <w:r>
        <w:rPr/>
        <w:t>., 1981; Illius, 1989)  </w:t>
      </w:r>
      <w:r>
        <w:rPr>
          <w:spacing w:val="22"/>
        </w:rPr>
        <w:t> </w:t>
      </w:r>
      <w:r>
        <w:rPr/>
        <w:t>a</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2"/>
        <w:jc w:val="both"/>
      </w:pPr>
      <w:r>
        <w:rPr/>
        <w:t>pesar de tener algunos inconvenientes como potenciales propiedades cancerígenas, recuperación incompleta o variaciones diurnas en </w:t>
      </w:r>
      <w:r>
        <w:rPr>
          <w:spacing w:val="-5"/>
        </w:rPr>
        <w:t>la </w:t>
      </w:r>
      <w:r>
        <w:rPr/>
        <w:t>concentración fecal (Dove  </w:t>
      </w:r>
      <w:r>
        <w:rPr>
          <w:i/>
        </w:rPr>
        <w:t>et  al</w:t>
      </w:r>
      <w:r>
        <w:rPr/>
        <w:t>., 2000). Uno de los mayores problemas en </w:t>
      </w:r>
      <w:r>
        <w:rPr>
          <w:spacing w:val="-5"/>
        </w:rPr>
        <w:t>la </w:t>
      </w:r>
      <w:r>
        <w:rPr/>
        <w:t>utilización de un marcador es </w:t>
      </w:r>
      <w:r>
        <w:rPr>
          <w:spacing w:val="-5"/>
        </w:rPr>
        <w:t>la </w:t>
      </w:r>
      <w:r>
        <w:rPr/>
        <w:t>variación que existe a </w:t>
      </w:r>
      <w:r>
        <w:rPr>
          <w:spacing w:val="-5"/>
        </w:rPr>
        <w:t>lo </w:t>
      </w:r>
      <w:r>
        <w:rPr/>
        <w:t>largo del día en </w:t>
      </w:r>
      <w:r>
        <w:rPr>
          <w:spacing w:val="-3"/>
        </w:rPr>
        <w:t>la </w:t>
      </w:r>
      <w:r>
        <w:rPr/>
        <w:t>concentración </w:t>
      </w:r>
      <w:r>
        <w:rPr>
          <w:spacing w:val="-3"/>
        </w:rPr>
        <w:t>fecal, </w:t>
      </w:r>
      <w:r>
        <w:rPr/>
        <w:t>con </w:t>
      </w:r>
      <w:r>
        <w:rPr>
          <w:spacing w:val="-5"/>
        </w:rPr>
        <w:t>la </w:t>
      </w:r>
      <w:r>
        <w:rPr/>
        <w:t>consecuente dificultad de obtener una muestra representativa de </w:t>
      </w:r>
      <w:r>
        <w:rPr>
          <w:spacing w:val="-5"/>
        </w:rPr>
        <w:t>la </w:t>
      </w:r>
      <w:r>
        <w:rPr/>
        <w:t>media diaria. El origen de esta variación puede ser debida  a </w:t>
      </w:r>
      <w:r>
        <w:rPr>
          <w:spacing w:val="-3"/>
        </w:rPr>
        <w:t>la forma, </w:t>
      </w:r>
      <w:r>
        <w:rPr/>
        <w:t>momento y frecuencia de </w:t>
      </w:r>
      <w:r>
        <w:rPr>
          <w:spacing w:val="-5"/>
        </w:rPr>
        <w:t>la </w:t>
      </w:r>
      <w:r>
        <w:rPr/>
        <w:t>dosificación o a fenómenos digestivos que pueden influir en </w:t>
      </w:r>
      <w:r>
        <w:rPr>
          <w:spacing w:val="-5"/>
        </w:rPr>
        <w:t>la </w:t>
      </w:r>
      <w:r>
        <w:rPr/>
        <w:t>mezcla del marcador con </w:t>
      </w:r>
      <w:r>
        <w:rPr>
          <w:spacing w:val="-5"/>
        </w:rPr>
        <w:t>la </w:t>
      </w:r>
      <w:r>
        <w:rPr/>
        <w:t>digesta. Existen varias alternativas para disminuir los problemas de dosificación como lo son dispositivos intraruminales de liberación continua y uniforme (Ellis </w:t>
      </w:r>
      <w:r>
        <w:rPr>
          <w:i/>
        </w:rPr>
        <w:t>et al</w:t>
      </w:r>
      <w:r>
        <w:rPr/>
        <w:t>.,</w:t>
      </w:r>
      <w:r>
        <w:rPr>
          <w:spacing w:val="-9"/>
        </w:rPr>
        <w:t> </w:t>
      </w:r>
      <w:r>
        <w:rPr/>
        <w:t>1981).</w:t>
      </w:r>
    </w:p>
    <w:p>
      <w:pPr>
        <w:pStyle w:val="BodyText"/>
        <w:rPr>
          <w:sz w:val="25"/>
        </w:rPr>
      </w:pPr>
    </w:p>
    <w:p>
      <w:pPr>
        <w:pStyle w:val="Heading1"/>
        <w:numPr>
          <w:ilvl w:val="1"/>
          <w:numId w:val="4"/>
        </w:numPr>
        <w:tabs>
          <w:tab w:pos="1929" w:val="left" w:leader="none"/>
          <w:tab w:pos="1930" w:val="left" w:leader="none"/>
        </w:tabs>
        <w:spacing w:line="240" w:lineRule="auto" w:before="0" w:after="0"/>
        <w:ind w:left="1929" w:right="0" w:hanging="1056"/>
        <w:jc w:val="left"/>
      </w:pPr>
      <w:bookmarkStart w:name="_TOC_250007" w:id="59"/>
      <w:r>
        <w:rPr/>
        <w:t>Determinación del consumo de forraje mediante el rendimiento</w:t>
      </w:r>
      <w:r>
        <w:rPr>
          <w:spacing w:val="-21"/>
        </w:rPr>
        <w:t> </w:t>
      </w:r>
      <w:bookmarkEnd w:id="59"/>
      <w:r>
        <w:rPr/>
        <w:t>animal</w:t>
      </w:r>
    </w:p>
    <w:p>
      <w:pPr>
        <w:pStyle w:val="BodyText"/>
        <w:rPr>
          <w:b/>
        </w:rPr>
      </w:pPr>
    </w:p>
    <w:p>
      <w:pPr>
        <w:pStyle w:val="BodyText"/>
        <w:spacing w:line="360" w:lineRule="auto" w:before="139"/>
        <w:ind w:left="512" w:right="103"/>
        <w:jc w:val="both"/>
      </w:pPr>
      <w:r>
        <w:rPr/>
        <w:t>El consumo de MS también puede ser estimado a partir de los requerimientos de energía neta del animal y el contenido de energía en el pasto </w:t>
      </w:r>
      <w:r>
        <w:rPr>
          <w:spacing w:val="-3"/>
        </w:rPr>
        <w:t>(Smit </w:t>
      </w:r>
      <w:r>
        <w:rPr>
          <w:i/>
        </w:rPr>
        <w:t>et al</w:t>
      </w:r>
      <w:r>
        <w:rPr/>
        <w:t>., 2005). Para estimar el consumo con este método se asume que el animal </w:t>
      </w:r>
      <w:r>
        <w:rPr>
          <w:spacing w:val="-3"/>
        </w:rPr>
        <w:t>ha </w:t>
      </w:r>
      <w:r>
        <w:rPr/>
        <w:t>de ingerir una cantidad de forraje que </w:t>
      </w:r>
      <w:r>
        <w:rPr>
          <w:spacing w:val="-3"/>
        </w:rPr>
        <w:t>le </w:t>
      </w:r>
      <w:r>
        <w:rPr/>
        <w:t>permita cubrir </w:t>
      </w:r>
      <w:r>
        <w:rPr>
          <w:spacing w:val="-3"/>
        </w:rPr>
        <w:t>las </w:t>
      </w:r>
      <w:r>
        <w:rPr/>
        <w:t>necesidades para mantenimiento, crecimiento, gestación o lactación según sea el caso. Este método está diseñado para experimentos continuos donde se pueden hacer mediciones exactas de </w:t>
      </w:r>
      <w:r>
        <w:rPr>
          <w:spacing w:val="-5"/>
        </w:rPr>
        <w:t>la </w:t>
      </w:r>
      <w:r>
        <w:rPr/>
        <w:t>producción de leche, composición de </w:t>
      </w:r>
      <w:r>
        <w:rPr>
          <w:spacing w:val="-3"/>
        </w:rPr>
        <w:t>la </w:t>
      </w:r>
      <w:r>
        <w:rPr/>
        <w:t>leche y peso </w:t>
      </w:r>
      <w:r>
        <w:rPr>
          <w:spacing w:val="-3"/>
        </w:rPr>
        <w:t>vivo  </w:t>
      </w:r>
      <w:r>
        <w:rPr/>
        <w:t>del animal. </w:t>
      </w:r>
      <w:r>
        <w:rPr>
          <w:spacing w:val="3"/>
        </w:rPr>
        <w:t>El </w:t>
      </w:r>
      <w:r>
        <w:rPr/>
        <w:t>consumo de forraje puede ser estimado por </w:t>
      </w:r>
      <w:r>
        <w:rPr>
          <w:spacing w:val="-5"/>
        </w:rPr>
        <w:t>la </w:t>
      </w:r>
      <w:r>
        <w:rPr/>
        <w:t>aplicación de los estándares de los requerimientos de energía a esos datos de rendimiento (Baker, 1982). Aunque se considera que es un sistema simple con una aplicación potencialmente </w:t>
      </w:r>
      <w:r>
        <w:rPr>
          <w:spacing w:val="-3"/>
        </w:rPr>
        <w:t>mayor </w:t>
      </w:r>
      <w:r>
        <w:rPr/>
        <w:t>en estudios  en pastoreo presenta ciertos errores que pueden atribuirse a una mala medición del cambio en el peso </w:t>
      </w:r>
      <w:r>
        <w:rPr>
          <w:spacing w:val="-3"/>
        </w:rPr>
        <w:t>vivo </w:t>
      </w:r>
      <w:r>
        <w:rPr/>
        <w:t>y a una subestimación de los requerimientos de mantenimiento (Leaver, 1985). Determinar el CMS del forraje con el uso del cálculo de los requerimientos de energía del animal, implica </w:t>
      </w:r>
      <w:r>
        <w:rPr>
          <w:spacing w:val="-5"/>
        </w:rPr>
        <w:t>la </w:t>
      </w:r>
      <w:r>
        <w:rPr/>
        <w:t>elección de un adecuado sistema de ecuaciones para estimar las necesidades energéticas y </w:t>
      </w:r>
      <w:r>
        <w:rPr>
          <w:spacing w:val="-3"/>
        </w:rPr>
        <w:t>la </w:t>
      </w:r>
      <w:r>
        <w:rPr/>
        <w:t>descripción correcta de </w:t>
      </w:r>
      <w:r>
        <w:rPr>
          <w:spacing w:val="-3"/>
        </w:rPr>
        <w:t>las </w:t>
      </w:r>
      <w:r>
        <w:rPr/>
        <w:t>características fisiológicas y productivas del animal. Este método integra </w:t>
      </w:r>
      <w:r>
        <w:rPr>
          <w:spacing w:val="-5"/>
        </w:rPr>
        <w:t>la </w:t>
      </w:r>
      <w:r>
        <w:rPr/>
        <w:t>respuesta de consumo sobre un periodo entero de estudio y también podría ser útil para plantear el </w:t>
      </w:r>
      <w:r>
        <w:rPr>
          <w:spacing w:val="-3"/>
        </w:rPr>
        <w:t>manejo </w:t>
      </w:r>
      <w:r>
        <w:rPr/>
        <w:t>de estrategias de alimentación eficientes que sincronicen los requerimientos de nutrientes con los niveles de producción animal (Macoon </w:t>
      </w:r>
      <w:r>
        <w:rPr>
          <w:i/>
        </w:rPr>
        <w:t>et al</w:t>
      </w:r>
      <w:r>
        <w:rPr/>
        <w:t>.,</w:t>
      </w:r>
      <w:r>
        <w:rPr>
          <w:spacing w:val="-11"/>
        </w:rPr>
        <w:t> </w:t>
      </w:r>
      <w:r>
        <w:rPr/>
        <w:t>2003).</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5"/>
        <w:jc w:val="both"/>
      </w:pPr>
      <w:r>
        <w:rPr/>
        <w:t>Una desventaja de este método es que el cálculo se deriva de ecuaciones generales, las cuales </w:t>
      </w:r>
      <w:r>
        <w:rPr>
          <w:spacing w:val="-3"/>
        </w:rPr>
        <w:t>no </w:t>
      </w:r>
      <w:r>
        <w:rPr/>
        <w:t>necesariamente podrían representar el consumo individual del animal (Reeves </w:t>
      </w:r>
      <w:r>
        <w:rPr>
          <w:i/>
        </w:rPr>
        <w:t>et </w:t>
      </w:r>
      <w:r>
        <w:rPr>
          <w:i/>
        </w:rPr>
        <w:t>al</w:t>
      </w:r>
      <w:r>
        <w:rPr/>
        <w:t>., 1996). Esta limitante puede ser superada si </w:t>
      </w:r>
      <w:r>
        <w:rPr>
          <w:spacing w:val="-3"/>
        </w:rPr>
        <w:t>las </w:t>
      </w:r>
      <w:r>
        <w:rPr/>
        <w:t>inferencias son hechas para </w:t>
      </w:r>
      <w:r>
        <w:rPr>
          <w:spacing w:val="-4"/>
        </w:rPr>
        <w:t>las </w:t>
      </w:r>
      <w:r>
        <w:rPr/>
        <w:t>praderas con </w:t>
      </w:r>
      <w:r>
        <w:rPr>
          <w:spacing w:val="-4"/>
        </w:rPr>
        <w:t>más </w:t>
      </w:r>
      <w:r>
        <w:rPr/>
        <w:t>de un animal representando </w:t>
      </w:r>
      <w:r>
        <w:rPr>
          <w:spacing w:val="-5"/>
        </w:rPr>
        <w:t>la </w:t>
      </w:r>
      <w:r>
        <w:rPr/>
        <w:t>unidad de muestreo, teniendo en cuenta </w:t>
      </w:r>
      <w:r>
        <w:rPr>
          <w:spacing w:val="-5"/>
        </w:rPr>
        <w:t>la </w:t>
      </w:r>
      <w:r>
        <w:rPr/>
        <w:t>reducción de </w:t>
      </w:r>
      <w:r>
        <w:rPr>
          <w:spacing w:val="-3"/>
        </w:rPr>
        <w:t>la </w:t>
      </w:r>
      <w:r>
        <w:rPr/>
        <w:t>variación entre animales (Macoon </w:t>
      </w:r>
      <w:r>
        <w:rPr>
          <w:i/>
        </w:rPr>
        <w:t>et al</w:t>
      </w:r>
      <w:r>
        <w:rPr/>
        <w:t>., 2003) y una estimación precisa del consumo de complementos (Moore, 1996). Otra limitación que presenta el método es que el peso </w:t>
      </w:r>
      <w:r>
        <w:rPr>
          <w:spacing w:val="-3"/>
        </w:rPr>
        <w:t>vivo </w:t>
      </w:r>
      <w:r>
        <w:rPr/>
        <w:t>de los animales debe de ser adecuado en el tiempo que comprende el estudio, </w:t>
      </w:r>
      <w:r>
        <w:rPr>
          <w:spacing w:val="-5"/>
        </w:rPr>
        <w:t>ya </w:t>
      </w:r>
      <w:r>
        <w:rPr/>
        <w:t>que  de </w:t>
      </w:r>
      <w:r>
        <w:rPr>
          <w:spacing w:val="-5"/>
        </w:rPr>
        <w:t>lo </w:t>
      </w:r>
      <w:r>
        <w:rPr/>
        <w:t>contrario el consumo de forraje podría </w:t>
      </w:r>
      <w:r>
        <w:rPr>
          <w:spacing w:val="-3"/>
        </w:rPr>
        <w:t>no </w:t>
      </w:r>
      <w:r>
        <w:rPr/>
        <w:t>ser preciso (Stuedemann y Matches,</w:t>
      </w:r>
      <w:r>
        <w:rPr>
          <w:spacing w:val="-8"/>
        </w:rPr>
        <w:t> </w:t>
      </w:r>
      <w:r>
        <w:rPr/>
        <w:t>1989).</w:t>
      </w:r>
    </w:p>
    <w:p>
      <w:pPr>
        <w:spacing w:after="0" w:line="360" w:lineRule="auto"/>
        <w:jc w:val="both"/>
        <w:sectPr>
          <w:footerReference w:type="default" r:id="rId23"/>
          <w:pgSz w:w="12240" w:h="15840"/>
          <w:pgMar w:footer="1382" w:header="1150" w:top="1420" w:bottom="1580" w:left="1360" w:right="1420"/>
        </w:sectPr>
      </w:pPr>
    </w:p>
    <w:p>
      <w:pPr>
        <w:pStyle w:val="BodyText"/>
        <w:spacing w:before="8"/>
        <w:rPr>
          <w:sz w:val="27"/>
        </w:rPr>
      </w:pPr>
    </w:p>
    <w:p>
      <w:pPr>
        <w:pStyle w:val="Heading1"/>
        <w:numPr>
          <w:ilvl w:val="0"/>
          <w:numId w:val="8"/>
        </w:numPr>
        <w:tabs>
          <w:tab w:pos="4344" w:val="left" w:leader="none"/>
          <w:tab w:pos="4345" w:val="left" w:leader="none"/>
        </w:tabs>
        <w:spacing w:line="240" w:lineRule="auto" w:before="69" w:after="0"/>
        <w:ind w:left="4344" w:right="0" w:hanging="701"/>
        <w:jc w:val="left"/>
      </w:pPr>
      <w:bookmarkStart w:name="_TOC_250006" w:id="60"/>
      <w:bookmarkEnd w:id="60"/>
      <w:r>
        <w:rPr/>
        <w:t>JUSTIFICACIÓN</w:t>
      </w:r>
    </w:p>
    <w:p>
      <w:pPr>
        <w:pStyle w:val="BodyText"/>
        <w:rPr>
          <w:b/>
        </w:rPr>
      </w:pPr>
    </w:p>
    <w:p>
      <w:pPr>
        <w:pStyle w:val="BodyText"/>
        <w:spacing w:before="4"/>
        <w:rPr>
          <w:b/>
          <w:sz w:val="23"/>
        </w:rPr>
      </w:pPr>
    </w:p>
    <w:p>
      <w:pPr>
        <w:pStyle w:val="BodyText"/>
        <w:spacing w:line="360" w:lineRule="auto" w:before="1"/>
        <w:ind w:left="512" w:right="105"/>
        <w:jc w:val="both"/>
      </w:pPr>
      <w:r>
        <w:rPr/>
        <w:t>La mayoría de las unidades de producción de ganado lechero tienen un sistema de alimentación basado en forrajes conservados y concentrados; sin embargo, las vacas alimentadas solo con forraje representan el sistema con menor costo debido a que el forraje pastoreado es la fuente más barata de nutrientes. Con la complementación en el ganado lechero en pastoreo se busca incrementar la producción de leche por vaca, mantener o mejorar la condición corporal, así como el consumo total de materia seca respecto a lo aportado por el forraje.</w:t>
      </w:r>
    </w:p>
    <w:p>
      <w:pPr>
        <w:pStyle w:val="BodyText"/>
      </w:pPr>
    </w:p>
    <w:p>
      <w:pPr>
        <w:pStyle w:val="BodyText"/>
        <w:spacing w:line="360" w:lineRule="auto" w:before="141"/>
        <w:ind w:left="512" w:right="101"/>
        <w:jc w:val="both"/>
      </w:pPr>
      <w:r>
        <w:rPr/>
        <w:t>La composición de la leche está determinada por muchos factores, entre ellos la nutrición y el genotipo, modificando entre otros, los contenidos de grasa y ácidos grasos, éstos han tenido considerable atención por los posibles beneficios en la salud humana, en especial los ácidos grasos poliinsaturados (AGPI). Distintos niveles de concentrado en la dieta pueden modificar el contenido de AGPI por cambios en el pH ruminal, así como en el proceso de biohidrogenación de éstos. Pocas investigaciones han evaluado el efecto de la estrategia de alimentación basada en pastoreo, asociada al genotipo animal, sobre el perfil de ácidos grasos de la leche.</w:t>
      </w:r>
    </w:p>
    <w:p>
      <w:pPr>
        <w:pStyle w:val="BodyText"/>
      </w:pPr>
    </w:p>
    <w:p>
      <w:pPr>
        <w:pStyle w:val="BodyText"/>
        <w:spacing w:line="360" w:lineRule="auto" w:before="146"/>
        <w:ind w:left="512" w:right="104"/>
        <w:jc w:val="both"/>
      </w:pPr>
      <w:r>
        <w:rPr/>
        <w:t>En nuestro país existe poca información sobre la composición química de </w:t>
      </w:r>
      <w:r>
        <w:rPr>
          <w:spacing w:val="-3"/>
        </w:rPr>
        <w:t>la </w:t>
      </w:r>
      <w:r>
        <w:rPr/>
        <w:t>leche y el  perfil de ácidos grasos del ganado lechero en pastoreo, por </w:t>
      </w:r>
      <w:r>
        <w:rPr>
          <w:spacing w:val="-4"/>
        </w:rPr>
        <w:t>ello </w:t>
      </w:r>
      <w:r>
        <w:rPr/>
        <w:t>el objetivo </w:t>
      </w:r>
      <w:r>
        <w:rPr>
          <w:spacing w:val="-3"/>
        </w:rPr>
        <w:t>fue </w:t>
      </w:r>
      <w:r>
        <w:rPr/>
        <w:t>evaluar </w:t>
      </w:r>
      <w:r>
        <w:rPr>
          <w:spacing w:val="-5"/>
        </w:rPr>
        <w:t>la </w:t>
      </w:r>
      <w:r>
        <w:rPr/>
        <w:t>respuesta productiva, </w:t>
      </w:r>
      <w:r>
        <w:rPr>
          <w:spacing w:val="-5"/>
        </w:rPr>
        <w:t>la </w:t>
      </w:r>
      <w:r>
        <w:rPr/>
        <w:t>composición química y el perfil de los ácidos grasos de </w:t>
      </w:r>
      <w:r>
        <w:rPr>
          <w:spacing w:val="-5"/>
        </w:rPr>
        <w:t>la </w:t>
      </w:r>
      <w:r>
        <w:rPr/>
        <w:t>leche de vacas de las razas Holstein y Pardo </w:t>
      </w:r>
      <w:r>
        <w:rPr>
          <w:spacing w:val="-3"/>
        </w:rPr>
        <w:t>Suizo </w:t>
      </w:r>
      <w:r>
        <w:rPr/>
        <w:t>en condiciones de pastoreo, complementado con distintos niveles de concentrado en el valle de Toluca,</w:t>
      </w:r>
      <w:r>
        <w:rPr>
          <w:spacing w:val="-19"/>
        </w:rPr>
        <w:t> </w:t>
      </w:r>
      <w:r>
        <w:rPr/>
        <w:t>México.</w:t>
      </w:r>
    </w:p>
    <w:p>
      <w:pPr>
        <w:spacing w:after="0" w:line="360" w:lineRule="auto"/>
        <w:jc w:val="both"/>
        <w:sectPr>
          <w:footerReference w:type="default" r:id="rId24"/>
          <w:pgSz w:w="12240" w:h="15840"/>
          <w:pgMar w:footer="1382" w:header="1150" w:top="1420" w:bottom="1580" w:left="1360" w:right="1420"/>
          <w:pgNumType w:start="5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1"/>
        <w:numPr>
          <w:ilvl w:val="0"/>
          <w:numId w:val="8"/>
        </w:numPr>
        <w:tabs>
          <w:tab w:pos="4642" w:val="left" w:leader="none"/>
          <w:tab w:pos="4643" w:val="left" w:leader="none"/>
        </w:tabs>
        <w:spacing w:line="240" w:lineRule="auto" w:before="70" w:after="0"/>
        <w:ind w:left="4642" w:right="0" w:hanging="687"/>
        <w:jc w:val="left"/>
      </w:pPr>
      <w:bookmarkStart w:name="_TOC_250005" w:id="61"/>
      <w:bookmarkEnd w:id="61"/>
      <w:r>
        <w:rPr/>
        <w:t>HIPÓTESIS</w:t>
      </w:r>
    </w:p>
    <w:p>
      <w:pPr>
        <w:pStyle w:val="BodyText"/>
        <w:rPr>
          <w:b/>
        </w:rPr>
      </w:pPr>
    </w:p>
    <w:p>
      <w:pPr>
        <w:pStyle w:val="BodyText"/>
        <w:rPr>
          <w:b/>
        </w:rPr>
      </w:pPr>
    </w:p>
    <w:p>
      <w:pPr>
        <w:pStyle w:val="BodyText"/>
        <w:spacing w:before="7"/>
        <w:rPr>
          <w:b/>
          <w:sz w:val="20"/>
        </w:rPr>
      </w:pPr>
    </w:p>
    <w:p>
      <w:pPr>
        <w:pStyle w:val="BodyText"/>
        <w:spacing w:line="360" w:lineRule="auto"/>
        <w:ind w:left="512" w:right="102"/>
        <w:jc w:val="both"/>
      </w:pPr>
      <w:r>
        <w:rPr/>
        <w:t>El efecto de </w:t>
      </w:r>
      <w:r>
        <w:rPr>
          <w:spacing w:val="-3"/>
        </w:rPr>
        <w:t>la </w:t>
      </w:r>
      <w:r>
        <w:rPr/>
        <w:t>estrategia de alimentación basada en pastoreo con distintos niveles de complementación con concentrado asociada al genotipo animal en el ganado bovino  lechero modifica </w:t>
      </w:r>
      <w:r>
        <w:rPr>
          <w:spacing w:val="-3"/>
        </w:rPr>
        <w:t>la </w:t>
      </w:r>
      <w:r>
        <w:rPr/>
        <w:t>composición química de </w:t>
      </w:r>
      <w:r>
        <w:rPr>
          <w:spacing w:val="-5"/>
        </w:rPr>
        <w:t>la </w:t>
      </w:r>
      <w:r>
        <w:rPr>
          <w:spacing w:val="-3"/>
        </w:rPr>
        <w:t>leche </w:t>
      </w:r>
      <w:r>
        <w:rPr/>
        <w:t>y el contenido de ácidos grasos de </w:t>
      </w:r>
      <w:r>
        <w:rPr>
          <w:spacing w:val="-3"/>
        </w:rPr>
        <w:t>la </w:t>
      </w:r>
      <w:r>
        <w:rPr/>
        <w:t>grasa láctea, con un efecto importante sobre al contenido de grasa láctea y en los ácidos grasos de 18 átomos de carbono provocando, principalmente, incrementos en </w:t>
      </w:r>
      <w:r>
        <w:rPr>
          <w:spacing w:val="-5"/>
        </w:rPr>
        <w:t>la </w:t>
      </w:r>
      <w:r>
        <w:rPr/>
        <w:t>concentración de ácidos grasos omega-3, ácido linoleico conjugado y C18:1 </w:t>
      </w:r>
      <w:r>
        <w:rPr>
          <w:i/>
        </w:rPr>
        <w:t>trans</w:t>
      </w:r>
      <w:r>
        <w:rPr/>
        <w:t>-11, debido principalmente a los efectos de </w:t>
      </w:r>
      <w:r>
        <w:rPr>
          <w:spacing w:val="-5"/>
        </w:rPr>
        <w:t>la</w:t>
      </w:r>
      <w:r>
        <w:rPr>
          <w:spacing w:val="-3"/>
        </w:rPr>
        <w:t> </w:t>
      </w:r>
      <w:r>
        <w:rPr/>
        <w:t>dieta.</w:t>
      </w:r>
    </w:p>
    <w:p>
      <w:pPr>
        <w:spacing w:after="0" w:line="360" w:lineRule="auto"/>
        <w:jc w:val="both"/>
        <w:sectPr>
          <w:pgSz w:w="12240" w:h="15840"/>
          <w:pgMar w:header="1150" w:footer="1382" w:top="1420" w:bottom="1580" w:left="136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1"/>
        <w:numPr>
          <w:ilvl w:val="0"/>
          <w:numId w:val="8"/>
        </w:numPr>
        <w:tabs>
          <w:tab w:pos="4603" w:val="left" w:leader="none"/>
          <w:tab w:pos="4604" w:val="left" w:leader="none"/>
        </w:tabs>
        <w:spacing w:line="240" w:lineRule="auto" w:before="70" w:after="0"/>
        <w:ind w:left="4604" w:right="0" w:hanging="596"/>
        <w:jc w:val="left"/>
      </w:pPr>
      <w:bookmarkStart w:name="_TOC_250004" w:id="62"/>
      <w:bookmarkEnd w:id="62"/>
      <w:r>
        <w:rPr/>
        <w:t>OBJETIVOS</w:t>
      </w:r>
    </w:p>
    <w:p>
      <w:pPr>
        <w:pStyle w:val="BodyText"/>
        <w:rPr>
          <w:b/>
          <w:sz w:val="20"/>
        </w:rPr>
      </w:pPr>
    </w:p>
    <w:p>
      <w:pPr>
        <w:pStyle w:val="BodyText"/>
        <w:rPr>
          <w:b/>
          <w:sz w:val="20"/>
        </w:rPr>
      </w:pPr>
    </w:p>
    <w:p>
      <w:pPr>
        <w:pStyle w:val="BodyText"/>
        <w:spacing w:before="3"/>
        <w:rPr>
          <w:b/>
          <w:sz w:val="19"/>
        </w:rPr>
      </w:pPr>
    </w:p>
    <w:p>
      <w:pPr>
        <w:pStyle w:val="ListParagraph"/>
        <w:numPr>
          <w:ilvl w:val="0"/>
          <w:numId w:val="9"/>
        </w:numPr>
        <w:tabs>
          <w:tab w:pos="1233" w:val="left" w:leader="none"/>
        </w:tabs>
        <w:spacing w:line="240" w:lineRule="auto" w:before="69" w:after="0"/>
        <w:ind w:left="1233" w:right="0" w:hanging="360"/>
        <w:jc w:val="left"/>
        <w:rPr>
          <w:b/>
          <w:sz w:val="24"/>
        </w:rPr>
      </w:pPr>
      <w:r>
        <w:rPr>
          <w:b/>
          <w:sz w:val="24"/>
        </w:rPr>
        <w:t>Objetivo</w:t>
      </w:r>
      <w:r>
        <w:rPr>
          <w:b/>
          <w:spacing w:val="-5"/>
          <w:sz w:val="24"/>
        </w:rPr>
        <w:t> </w:t>
      </w:r>
      <w:r>
        <w:rPr>
          <w:b/>
          <w:sz w:val="24"/>
        </w:rPr>
        <w:t>general</w:t>
      </w:r>
    </w:p>
    <w:p>
      <w:pPr>
        <w:pStyle w:val="BodyText"/>
        <w:rPr>
          <w:b/>
          <w:sz w:val="29"/>
        </w:rPr>
      </w:pPr>
    </w:p>
    <w:p>
      <w:pPr>
        <w:pStyle w:val="BodyText"/>
        <w:spacing w:line="360" w:lineRule="auto"/>
        <w:ind w:left="512" w:right="111"/>
        <w:jc w:val="both"/>
      </w:pPr>
      <w:r>
        <w:rPr/>
        <w:t>Evaluar el efecto del sistema de alimentación basado en el pastoreo complementario  a dietas completas con ensilado de maíz como base forrajera y distintos niveles de concentrados sobre la producción, composición química y perfil de ácidos grasos  de  la leche de vacas de las razas Holstein y Pardo Suizo.</w:t>
      </w:r>
    </w:p>
    <w:p>
      <w:pPr>
        <w:pStyle w:val="Heading1"/>
        <w:numPr>
          <w:ilvl w:val="0"/>
          <w:numId w:val="9"/>
        </w:numPr>
        <w:tabs>
          <w:tab w:pos="1233" w:val="left" w:leader="none"/>
        </w:tabs>
        <w:spacing w:line="240" w:lineRule="auto" w:before="215" w:after="0"/>
        <w:ind w:left="1233" w:right="0" w:hanging="360"/>
        <w:jc w:val="left"/>
      </w:pPr>
      <w:r>
        <w:rPr/>
        <w:t>Objetivos</w:t>
      </w:r>
      <w:r>
        <w:rPr>
          <w:spacing w:val="-8"/>
        </w:rPr>
        <w:t> </w:t>
      </w:r>
      <w:r>
        <w:rPr/>
        <w:t>específicos</w:t>
      </w:r>
    </w:p>
    <w:p>
      <w:pPr>
        <w:pStyle w:val="BodyText"/>
        <w:rPr>
          <w:b/>
        </w:rPr>
      </w:pPr>
    </w:p>
    <w:p>
      <w:pPr>
        <w:pStyle w:val="BodyText"/>
        <w:spacing w:before="9"/>
        <w:rPr>
          <w:b/>
          <w:sz w:val="23"/>
        </w:rPr>
      </w:pPr>
    </w:p>
    <w:p>
      <w:pPr>
        <w:pStyle w:val="ListParagraph"/>
        <w:numPr>
          <w:ilvl w:val="1"/>
          <w:numId w:val="9"/>
        </w:numPr>
        <w:tabs>
          <w:tab w:pos="1671" w:val="left" w:leader="none"/>
        </w:tabs>
        <w:spacing w:line="360" w:lineRule="auto" w:before="0" w:after="0"/>
        <w:ind w:left="1607" w:right="108" w:hanging="360"/>
        <w:jc w:val="both"/>
        <w:rPr>
          <w:sz w:val="24"/>
        </w:rPr>
      </w:pPr>
      <w:r>
        <w:rPr>
          <w:sz w:val="24"/>
        </w:rPr>
        <w:t>Evaluar el efecto de </w:t>
      </w:r>
      <w:r>
        <w:rPr>
          <w:spacing w:val="-5"/>
          <w:sz w:val="24"/>
        </w:rPr>
        <w:t>la </w:t>
      </w:r>
      <w:r>
        <w:rPr>
          <w:sz w:val="24"/>
        </w:rPr>
        <w:t>estrategia de alimentación basada en el pastoreo complementario a dietas basadas en ensilado de </w:t>
      </w:r>
      <w:r>
        <w:rPr>
          <w:spacing w:val="-3"/>
          <w:sz w:val="24"/>
        </w:rPr>
        <w:t>maíz </w:t>
      </w:r>
      <w:r>
        <w:rPr>
          <w:sz w:val="24"/>
        </w:rPr>
        <w:t>y distintos niveles de concentrado sobre </w:t>
      </w:r>
      <w:r>
        <w:rPr>
          <w:spacing w:val="-5"/>
          <w:sz w:val="24"/>
        </w:rPr>
        <w:t>la </w:t>
      </w:r>
      <w:r>
        <w:rPr>
          <w:sz w:val="24"/>
        </w:rPr>
        <w:t>producción, composición y perfil de ácidos grasos de </w:t>
      </w:r>
      <w:r>
        <w:rPr>
          <w:spacing w:val="-5"/>
          <w:sz w:val="24"/>
        </w:rPr>
        <w:t>la </w:t>
      </w:r>
      <w:r>
        <w:rPr>
          <w:sz w:val="24"/>
        </w:rPr>
        <w:t>leche de</w:t>
      </w:r>
      <w:r>
        <w:rPr>
          <w:spacing w:val="-9"/>
          <w:sz w:val="24"/>
        </w:rPr>
        <w:t> </w:t>
      </w:r>
      <w:r>
        <w:rPr>
          <w:sz w:val="24"/>
        </w:rPr>
        <w:t>vaca.</w:t>
      </w:r>
    </w:p>
    <w:p>
      <w:pPr>
        <w:pStyle w:val="ListParagraph"/>
        <w:numPr>
          <w:ilvl w:val="1"/>
          <w:numId w:val="9"/>
        </w:numPr>
        <w:tabs>
          <w:tab w:pos="1671" w:val="left" w:leader="none"/>
        </w:tabs>
        <w:spacing w:line="360" w:lineRule="auto" w:before="8" w:after="0"/>
        <w:ind w:left="1607" w:right="101" w:hanging="360"/>
        <w:jc w:val="both"/>
        <w:rPr>
          <w:sz w:val="24"/>
        </w:rPr>
      </w:pPr>
      <w:r>
        <w:rPr>
          <w:sz w:val="24"/>
        </w:rPr>
        <w:t>Evaluar el efecto del genotipo sobre </w:t>
      </w:r>
      <w:r>
        <w:rPr>
          <w:spacing w:val="-5"/>
          <w:sz w:val="24"/>
        </w:rPr>
        <w:t>la </w:t>
      </w:r>
      <w:r>
        <w:rPr>
          <w:sz w:val="24"/>
        </w:rPr>
        <w:t>producción, composición química y perfil de ácidos grasos de </w:t>
      </w:r>
      <w:r>
        <w:rPr>
          <w:spacing w:val="-5"/>
          <w:sz w:val="24"/>
        </w:rPr>
        <w:t>la </w:t>
      </w:r>
      <w:r>
        <w:rPr>
          <w:sz w:val="24"/>
        </w:rPr>
        <w:t>leche de</w:t>
      </w:r>
      <w:r>
        <w:rPr>
          <w:spacing w:val="-6"/>
          <w:sz w:val="24"/>
        </w:rPr>
        <w:t> </w:t>
      </w:r>
      <w:r>
        <w:rPr>
          <w:sz w:val="24"/>
        </w:rPr>
        <w:t>vaca.</w:t>
      </w:r>
    </w:p>
    <w:p>
      <w:pPr>
        <w:pStyle w:val="ListParagraph"/>
        <w:numPr>
          <w:ilvl w:val="1"/>
          <w:numId w:val="9"/>
        </w:numPr>
        <w:tabs>
          <w:tab w:pos="1671" w:val="left" w:leader="none"/>
        </w:tabs>
        <w:spacing w:line="360" w:lineRule="auto" w:before="4" w:after="0"/>
        <w:ind w:left="1607" w:right="107" w:hanging="360"/>
        <w:jc w:val="both"/>
        <w:rPr>
          <w:sz w:val="24"/>
        </w:rPr>
      </w:pPr>
      <w:r>
        <w:rPr>
          <w:sz w:val="24"/>
        </w:rPr>
        <w:t>Evaluar el consumo de MS en estabulación y el consumo de forraje de vacas Holstein y Pardo </w:t>
      </w:r>
      <w:r>
        <w:rPr>
          <w:spacing w:val="-3"/>
          <w:sz w:val="24"/>
        </w:rPr>
        <w:t>Suizo </w:t>
      </w:r>
      <w:r>
        <w:rPr>
          <w:sz w:val="24"/>
        </w:rPr>
        <w:t>en pastoreo complementadas con dietas basadas en ensilado de </w:t>
      </w:r>
      <w:r>
        <w:rPr>
          <w:spacing w:val="-3"/>
          <w:sz w:val="24"/>
        </w:rPr>
        <w:t>maíz </w:t>
      </w:r>
      <w:r>
        <w:rPr>
          <w:sz w:val="24"/>
        </w:rPr>
        <w:t>y</w:t>
      </w:r>
      <w:r>
        <w:rPr>
          <w:spacing w:val="6"/>
          <w:sz w:val="24"/>
        </w:rPr>
        <w:t> </w:t>
      </w:r>
      <w:r>
        <w:rPr>
          <w:sz w:val="24"/>
        </w:rPr>
        <w:t>concentrados.</w:t>
      </w:r>
    </w:p>
    <w:p>
      <w:pPr>
        <w:pStyle w:val="ListParagraph"/>
        <w:numPr>
          <w:ilvl w:val="1"/>
          <w:numId w:val="9"/>
        </w:numPr>
        <w:tabs>
          <w:tab w:pos="1671" w:val="left" w:leader="none"/>
        </w:tabs>
        <w:spacing w:line="360" w:lineRule="auto" w:before="4" w:after="0"/>
        <w:ind w:left="1607" w:right="114" w:hanging="360"/>
        <w:jc w:val="both"/>
        <w:rPr>
          <w:sz w:val="24"/>
        </w:rPr>
      </w:pPr>
      <w:r>
        <w:rPr>
          <w:sz w:val="24"/>
        </w:rPr>
        <w:t>Determinar el efecto de </w:t>
      </w:r>
      <w:r>
        <w:rPr>
          <w:spacing w:val="-3"/>
          <w:sz w:val="24"/>
        </w:rPr>
        <w:t>la </w:t>
      </w:r>
      <w:r>
        <w:rPr>
          <w:sz w:val="24"/>
        </w:rPr>
        <w:t>estrategia de alimentación sobre el perfil de ácidos grasos de </w:t>
      </w:r>
      <w:r>
        <w:rPr>
          <w:spacing w:val="-5"/>
          <w:sz w:val="24"/>
        </w:rPr>
        <w:t>la </w:t>
      </w:r>
      <w:r>
        <w:rPr>
          <w:sz w:val="24"/>
        </w:rPr>
        <w:t>leche de vacas Holstein y Pardo Suizo.</w:t>
      </w:r>
    </w:p>
    <w:p>
      <w:pPr>
        <w:spacing w:after="0" w:line="360" w:lineRule="auto"/>
        <w:jc w:val="both"/>
        <w:rPr>
          <w:sz w:val="24"/>
        </w:rPr>
        <w:sectPr>
          <w:pgSz w:w="12240" w:h="15840"/>
          <w:pgMar w:header="1150" w:footer="1382" w:top="1420" w:bottom="1580" w:left="1360" w:right="1420"/>
        </w:sectPr>
      </w:pPr>
    </w:p>
    <w:p>
      <w:pPr>
        <w:pStyle w:val="BodyText"/>
        <w:spacing w:before="8"/>
        <w:rPr>
          <w:sz w:val="27"/>
        </w:rPr>
      </w:pPr>
    </w:p>
    <w:p>
      <w:pPr>
        <w:pStyle w:val="Heading1"/>
        <w:numPr>
          <w:ilvl w:val="0"/>
          <w:numId w:val="10"/>
        </w:numPr>
        <w:tabs>
          <w:tab w:pos="3869" w:val="left" w:leader="none"/>
          <w:tab w:pos="3870" w:val="left" w:leader="none"/>
        </w:tabs>
        <w:spacing w:line="240" w:lineRule="auto" w:before="69" w:after="0"/>
        <w:ind w:left="512" w:right="0" w:firstLine="2670"/>
        <w:jc w:val="left"/>
      </w:pPr>
      <w:bookmarkStart w:name="_TOC_250003" w:id="63"/>
      <w:r>
        <w:rPr/>
        <w:t>MATERIAL Y</w:t>
      </w:r>
      <w:r>
        <w:rPr>
          <w:spacing w:val="-6"/>
        </w:rPr>
        <w:t> </w:t>
      </w:r>
      <w:bookmarkEnd w:id="63"/>
      <w:r>
        <w:rPr/>
        <w:t>MÉTODOS</w:t>
      </w:r>
    </w:p>
    <w:p>
      <w:pPr>
        <w:pStyle w:val="BodyText"/>
        <w:rPr>
          <w:b/>
        </w:rPr>
      </w:pPr>
    </w:p>
    <w:p>
      <w:pPr>
        <w:pStyle w:val="BodyText"/>
        <w:spacing w:before="4"/>
        <w:rPr>
          <w:b/>
          <w:sz w:val="23"/>
        </w:rPr>
      </w:pPr>
    </w:p>
    <w:p>
      <w:pPr>
        <w:pStyle w:val="ListParagraph"/>
        <w:numPr>
          <w:ilvl w:val="0"/>
          <w:numId w:val="11"/>
        </w:numPr>
        <w:tabs>
          <w:tab w:pos="1233" w:val="left" w:leader="none"/>
        </w:tabs>
        <w:spacing w:line="240" w:lineRule="auto" w:before="1" w:after="0"/>
        <w:ind w:left="1233" w:right="0" w:hanging="360"/>
        <w:jc w:val="left"/>
        <w:rPr>
          <w:b/>
          <w:sz w:val="24"/>
        </w:rPr>
      </w:pPr>
      <w:r>
        <w:rPr>
          <w:b/>
          <w:sz w:val="24"/>
        </w:rPr>
        <w:t>Zona  y tiempo de realización del</w:t>
      </w:r>
      <w:r>
        <w:rPr>
          <w:b/>
          <w:spacing w:val="-11"/>
          <w:sz w:val="24"/>
        </w:rPr>
        <w:t> </w:t>
      </w:r>
      <w:r>
        <w:rPr>
          <w:b/>
          <w:sz w:val="24"/>
        </w:rPr>
        <w:t>estudio</w:t>
      </w:r>
    </w:p>
    <w:p>
      <w:pPr>
        <w:pStyle w:val="BodyText"/>
        <w:spacing w:before="4"/>
        <w:rPr>
          <w:b/>
          <w:sz w:val="29"/>
        </w:rPr>
      </w:pPr>
    </w:p>
    <w:p>
      <w:pPr>
        <w:pStyle w:val="BodyText"/>
        <w:spacing w:line="360" w:lineRule="auto" w:before="1"/>
        <w:ind w:left="512" w:right="109"/>
        <w:jc w:val="both"/>
      </w:pPr>
      <w:r>
        <w:rPr/>
        <w:t>El trabajo se realizó en los meses de </w:t>
      </w:r>
      <w:r>
        <w:rPr>
          <w:spacing w:val="-5"/>
        </w:rPr>
        <w:t>mayo </w:t>
      </w:r>
      <w:r>
        <w:rPr/>
        <w:t>y </w:t>
      </w:r>
      <w:r>
        <w:rPr>
          <w:spacing w:val="-4"/>
        </w:rPr>
        <w:t>junio </w:t>
      </w:r>
      <w:r>
        <w:rPr/>
        <w:t>de 2011, en el área de bovinos productores de leche de </w:t>
      </w:r>
      <w:r>
        <w:rPr>
          <w:spacing w:val="-5"/>
        </w:rPr>
        <w:t>la </w:t>
      </w:r>
      <w:r>
        <w:rPr/>
        <w:t>posta Zootécnica de </w:t>
      </w:r>
      <w:r>
        <w:rPr>
          <w:spacing w:val="-5"/>
        </w:rPr>
        <w:t>la </w:t>
      </w:r>
      <w:r>
        <w:rPr/>
        <w:t>Facultad de Medicina Veterinaria y Zootecnia de </w:t>
      </w:r>
      <w:r>
        <w:rPr>
          <w:spacing w:val="-5"/>
        </w:rPr>
        <w:t>la </w:t>
      </w:r>
      <w:r>
        <w:rPr/>
        <w:t>Universidad Autónoma del Estado de México, ubicada a una longitud de 19° 24’ 48’’, latitud de 99° 40’ 45’’ y una altura </w:t>
      </w:r>
      <w:r>
        <w:rPr>
          <w:spacing w:val="-3"/>
        </w:rPr>
        <w:t>de </w:t>
      </w:r>
      <w:r>
        <w:rPr/>
        <w:t>2632 metros sobre el nivel del mar. La temperatura </w:t>
      </w:r>
      <w:r>
        <w:rPr>
          <w:spacing w:val="-3"/>
        </w:rPr>
        <w:t>media </w:t>
      </w:r>
      <w:r>
        <w:rPr/>
        <w:t>durante el desarrollo de </w:t>
      </w:r>
      <w:r>
        <w:rPr>
          <w:spacing w:val="-3"/>
        </w:rPr>
        <w:t>la </w:t>
      </w:r>
      <w:r>
        <w:rPr/>
        <w:t>investigación </w:t>
      </w:r>
      <w:r>
        <w:rPr>
          <w:spacing w:val="-3"/>
        </w:rPr>
        <w:t>fue </w:t>
      </w:r>
      <w:r>
        <w:rPr/>
        <w:t>de 15.3º C, con valores máximos y mínimos de 21.6º C y 9.3º C, respectivamente. La precipitación promedio de los meses de </w:t>
      </w:r>
      <w:r>
        <w:rPr>
          <w:spacing w:val="-5"/>
        </w:rPr>
        <w:t>mayo </w:t>
      </w:r>
      <w:r>
        <w:rPr/>
        <w:t>y junio registrada </w:t>
      </w:r>
      <w:r>
        <w:rPr>
          <w:spacing w:val="-3"/>
        </w:rPr>
        <w:t>fue </w:t>
      </w:r>
      <w:r>
        <w:rPr/>
        <w:t>de 176 </w:t>
      </w:r>
      <w:r>
        <w:rPr>
          <w:spacing w:val="-3"/>
        </w:rPr>
        <w:t>mm </w:t>
      </w:r>
      <w:r>
        <w:rPr/>
        <w:t>(SMN,</w:t>
      </w:r>
      <w:r>
        <w:rPr>
          <w:spacing w:val="31"/>
        </w:rPr>
        <w:t> </w:t>
      </w:r>
      <w:r>
        <w:rPr/>
        <w:t>2012).</w:t>
      </w:r>
    </w:p>
    <w:p>
      <w:pPr>
        <w:pStyle w:val="Heading1"/>
        <w:numPr>
          <w:ilvl w:val="0"/>
          <w:numId w:val="11"/>
        </w:numPr>
        <w:tabs>
          <w:tab w:pos="1233" w:val="left" w:leader="none"/>
        </w:tabs>
        <w:spacing w:line="240" w:lineRule="auto" w:before="210" w:after="0"/>
        <w:ind w:left="1233" w:right="0" w:hanging="360"/>
        <w:jc w:val="left"/>
      </w:pPr>
      <w:r>
        <w:rPr/>
        <w:t>Animales, dieta y</w:t>
      </w:r>
      <w:r>
        <w:rPr>
          <w:spacing w:val="-11"/>
        </w:rPr>
        <w:t> </w:t>
      </w:r>
      <w:r>
        <w:rPr/>
        <w:t>tratamientos</w:t>
      </w:r>
    </w:p>
    <w:p>
      <w:pPr>
        <w:pStyle w:val="BodyText"/>
        <w:spacing w:before="4"/>
        <w:rPr>
          <w:b/>
          <w:sz w:val="29"/>
        </w:rPr>
      </w:pPr>
    </w:p>
    <w:p>
      <w:pPr>
        <w:pStyle w:val="BodyText"/>
        <w:spacing w:line="360" w:lineRule="auto" w:before="1"/>
        <w:ind w:left="512" w:right="101"/>
        <w:jc w:val="both"/>
      </w:pPr>
      <w:r>
        <w:rPr/>
        <w:t>Un total de 15 vacas multíparas, diez de la raza Holstein (</w:t>
      </w:r>
      <w:r>
        <w:rPr>
          <w:b/>
        </w:rPr>
        <w:t>H</w:t>
      </w:r>
      <w:r>
        <w:rPr/>
        <w:t>, producción de leche de 22.6±4.0 kg/d; 99.0±42.8 días en lactación) y cinco de la raza Pardo Suizo (</w:t>
      </w:r>
      <w:r>
        <w:rPr>
          <w:b/>
        </w:rPr>
        <w:t>PS</w:t>
      </w:r>
      <w:r>
        <w:rPr/>
        <w:t>, producción de leche de 20.3±4.7 kg/d; 108.2±52.3 días en lactación) fueron agrupadas en un diseño cross-over 3x3, con tres periodos experimentales. La alimentación de las vacas estuvo basada en un sistema de producción mixto, con tiempos de acceso al pastoreo y complementación en el establo. Se estableció un sistema de pastoreo rotacional en praderas polífitas con predominio de las especies </w:t>
      </w:r>
      <w:r>
        <w:rPr>
          <w:i/>
        </w:rPr>
        <w:t>Lolium perenne</w:t>
      </w:r>
      <w:r>
        <w:rPr/>
        <w:t>, </w:t>
      </w:r>
      <w:r>
        <w:rPr>
          <w:i/>
        </w:rPr>
        <w:t>Trifolium repens</w:t>
      </w:r>
      <w:r>
        <w:rPr/>
        <w:t>, </w:t>
      </w:r>
      <w:r>
        <w:rPr>
          <w:i/>
        </w:rPr>
        <w:t>Festuca </w:t>
      </w:r>
      <w:r>
        <w:rPr>
          <w:i/>
        </w:rPr>
        <w:t>arundinacea</w:t>
      </w:r>
      <w:r>
        <w:rPr/>
        <w:t>, </w:t>
      </w:r>
      <w:r>
        <w:rPr>
          <w:i/>
        </w:rPr>
        <w:t>Dactylis glomerata </w:t>
      </w:r>
      <w:r>
        <w:rPr/>
        <w:t>y </w:t>
      </w:r>
      <w:r>
        <w:rPr>
          <w:i/>
        </w:rPr>
        <w:t>Penissetum clandestinum</w:t>
      </w:r>
      <w:r>
        <w:rPr/>
        <w:t>. El manejo de la pradera fue convencional con abonados nitrogenados a razón de 50 kg urea/ha. Se complementó con un concentrado en la estabulación, con 18% de proteína cruda y 2.0 Mcal de energía neta para lactación (ENL), elaborado a base de sorgo, pasta de soya, canola, salvado de trigo y una premezcla de vitaminas y minerales (Cuadro 3). El nivel de concentrado complementado a ambos genotipos (</w:t>
      </w:r>
      <w:r>
        <w:rPr>
          <w:b/>
        </w:rPr>
        <w:t>H </w:t>
      </w:r>
      <w:r>
        <w:rPr/>
        <w:t>y </w:t>
      </w:r>
      <w:r>
        <w:rPr>
          <w:b/>
        </w:rPr>
        <w:t>PS</w:t>
      </w:r>
      <w:r>
        <w:rPr/>
        <w:t>) asociado al tiempo de pastoreo, fue de la siguiente forma: 1) </w:t>
      </w:r>
      <w:r>
        <w:rPr>
          <w:b/>
        </w:rPr>
        <w:t>8c</w:t>
      </w:r>
      <w:r>
        <w:rPr/>
        <w:t>, suministro de 8.0 kg de concentrado por vaca por día, con un tiempo de pastoreo de 07:00 a 15:00h; 2) </w:t>
      </w:r>
      <w:r>
        <w:rPr>
          <w:b/>
        </w:rPr>
        <w:t>5c</w:t>
      </w:r>
      <w:r>
        <w:rPr/>
        <w:t>, suministro de 5.0 kg de concentrado por vaca y día, con tiempos de pastoreo de 7:00 a 15:00h y después de 16:00 a 20:00h; 3) </w:t>
      </w:r>
      <w:r>
        <w:rPr>
          <w:b/>
        </w:rPr>
        <w:t>3c</w:t>
      </w:r>
      <w:r>
        <w:rPr/>
        <w:t>, suministro de 3.0 kg de concentrado por vaca por día, en el tiempo de pastoreo descrito para </w:t>
      </w:r>
      <w:r>
        <w:rPr>
          <w:b/>
        </w:rPr>
        <w:t>5c</w:t>
      </w:r>
      <w:r>
        <w:rPr/>
        <w:t>. El concentrado ofertado en el</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230"/>
        <w:jc w:val="both"/>
      </w:pPr>
      <w:r>
        <w:rPr/>
        <w:t>establo </w:t>
      </w:r>
      <w:r>
        <w:rPr>
          <w:spacing w:val="-3"/>
        </w:rPr>
        <w:t>fue </w:t>
      </w:r>
      <w:r>
        <w:rPr/>
        <w:t>común para todos los tratamientos. Así mismo, se ofertó ensilado de </w:t>
      </w:r>
      <w:r>
        <w:rPr>
          <w:spacing w:val="-3"/>
        </w:rPr>
        <w:t>maíz </w:t>
      </w:r>
      <w:r>
        <w:rPr/>
        <w:t>a  libre acceso en </w:t>
      </w:r>
      <w:r>
        <w:rPr>
          <w:spacing w:val="-3"/>
        </w:rPr>
        <w:t>la </w:t>
      </w:r>
      <w:r>
        <w:rPr/>
        <w:t>estabulación. Tanto en </w:t>
      </w:r>
      <w:r>
        <w:rPr>
          <w:spacing w:val="-5"/>
        </w:rPr>
        <w:t>la </w:t>
      </w:r>
      <w:r>
        <w:rPr/>
        <w:t>pradera como en el establo  los  animales tuvieron libre acceso a agua de</w:t>
      </w:r>
      <w:r>
        <w:rPr>
          <w:spacing w:val="-19"/>
        </w:rPr>
        <w:t> </w:t>
      </w:r>
      <w:r>
        <w:rPr/>
        <w:t>bebida.</w:t>
      </w:r>
    </w:p>
    <w:p>
      <w:pPr>
        <w:pStyle w:val="BodyText"/>
      </w:pPr>
    </w:p>
    <w:p>
      <w:pPr>
        <w:pStyle w:val="BodyText"/>
        <w:spacing w:before="8"/>
        <w:rPr>
          <w:sz w:val="29"/>
        </w:rPr>
      </w:pPr>
    </w:p>
    <w:p>
      <w:pPr>
        <w:pStyle w:val="BodyText"/>
        <w:spacing w:before="1"/>
        <w:ind w:left="512"/>
        <w:jc w:val="both"/>
      </w:pPr>
      <w:r>
        <w:rPr/>
        <w:pict>
          <v:shape style="position:absolute;margin-left:88.103996pt;margin-top:31.433092pt;width:453.1pt;height:128.2pt;mso-position-horizontal-relative:page;mso-position-vertical-relative:paragraph;z-index:16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49"/>
                    <w:gridCol w:w="3813"/>
                  </w:tblGrid>
                  <w:tr>
                    <w:trPr>
                      <w:trHeight w:val="422" w:hRule="exact"/>
                    </w:trPr>
                    <w:tc>
                      <w:tcPr>
                        <w:tcW w:w="5249" w:type="dxa"/>
                        <w:tcBorders>
                          <w:left w:val="nil"/>
                          <w:right w:val="nil"/>
                        </w:tcBorders>
                      </w:tcPr>
                      <w:p>
                        <w:pPr>
                          <w:pStyle w:val="TableParagraph"/>
                          <w:spacing w:line="273" w:lineRule="exact"/>
                          <w:ind w:left="110"/>
                          <w:jc w:val="left"/>
                          <w:rPr>
                            <w:b/>
                            <w:sz w:val="24"/>
                          </w:rPr>
                        </w:pPr>
                        <w:r>
                          <w:rPr>
                            <w:b/>
                            <w:sz w:val="24"/>
                          </w:rPr>
                          <w:t>Ingredientes</w:t>
                        </w:r>
                      </w:p>
                    </w:tc>
                    <w:tc>
                      <w:tcPr>
                        <w:tcW w:w="3813" w:type="dxa"/>
                        <w:tcBorders>
                          <w:left w:val="nil"/>
                          <w:right w:val="nil"/>
                        </w:tcBorders>
                      </w:tcPr>
                      <w:p>
                        <w:pPr>
                          <w:pStyle w:val="TableParagraph"/>
                          <w:spacing w:line="273" w:lineRule="exact"/>
                          <w:ind w:right="105"/>
                          <w:jc w:val="right"/>
                          <w:rPr>
                            <w:b/>
                            <w:sz w:val="24"/>
                          </w:rPr>
                        </w:pPr>
                        <w:r>
                          <w:rPr>
                            <w:b/>
                            <w:sz w:val="24"/>
                          </w:rPr>
                          <w:t>g/kg MS</w:t>
                        </w:r>
                      </w:p>
                    </w:tc>
                  </w:tr>
                  <w:tr>
                    <w:trPr>
                      <w:trHeight w:val="354" w:hRule="exact"/>
                    </w:trPr>
                    <w:tc>
                      <w:tcPr>
                        <w:tcW w:w="5249" w:type="dxa"/>
                        <w:tcBorders>
                          <w:left w:val="nil"/>
                          <w:bottom w:val="nil"/>
                          <w:right w:val="nil"/>
                        </w:tcBorders>
                      </w:tcPr>
                      <w:p>
                        <w:pPr>
                          <w:pStyle w:val="TableParagraph"/>
                          <w:spacing w:line="268" w:lineRule="exact"/>
                          <w:ind w:left="110"/>
                          <w:jc w:val="left"/>
                          <w:rPr>
                            <w:sz w:val="24"/>
                          </w:rPr>
                        </w:pPr>
                        <w:r>
                          <w:rPr>
                            <w:sz w:val="24"/>
                          </w:rPr>
                          <w:t>Sorgo</w:t>
                        </w:r>
                      </w:p>
                    </w:tc>
                    <w:tc>
                      <w:tcPr>
                        <w:tcW w:w="3813" w:type="dxa"/>
                        <w:tcBorders>
                          <w:left w:val="nil"/>
                          <w:bottom w:val="nil"/>
                          <w:right w:val="nil"/>
                        </w:tcBorders>
                      </w:tcPr>
                      <w:p>
                        <w:pPr>
                          <w:pStyle w:val="TableParagraph"/>
                          <w:spacing w:line="268" w:lineRule="exact"/>
                          <w:ind w:right="103"/>
                          <w:jc w:val="right"/>
                          <w:rPr>
                            <w:sz w:val="24"/>
                          </w:rPr>
                        </w:pPr>
                        <w:r>
                          <w:rPr>
                            <w:sz w:val="24"/>
                          </w:rPr>
                          <w:t>486.7</w:t>
                        </w:r>
                      </w:p>
                    </w:tc>
                  </w:tr>
                  <w:tr>
                    <w:trPr>
                      <w:trHeight w:val="415" w:hRule="exact"/>
                    </w:trPr>
                    <w:tc>
                      <w:tcPr>
                        <w:tcW w:w="5249" w:type="dxa"/>
                        <w:tcBorders>
                          <w:top w:val="nil"/>
                          <w:left w:val="nil"/>
                          <w:bottom w:val="nil"/>
                          <w:right w:val="nil"/>
                        </w:tcBorders>
                      </w:tcPr>
                      <w:p>
                        <w:pPr>
                          <w:pStyle w:val="TableParagraph"/>
                          <w:spacing w:before="55"/>
                          <w:ind w:left="110"/>
                          <w:jc w:val="left"/>
                          <w:rPr>
                            <w:sz w:val="24"/>
                          </w:rPr>
                        </w:pPr>
                        <w:r>
                          <w:rPr>
                            <w:sz w:val="24"/>
                          </w:rPr>
                          <w:t>Soya</w:t>
                        </w:r>
                      </w:p>
                    </w:tc>
                    <w:tc>
                      <w:tcPr>
                        <w:tcW w:w="3813" w:type="dxa"/>
                        <w:tcBorders>
                          <w:top w:val="nil"/>
                          <w:left w:val="nil"/>
                          <w:bottom w:val="nil"/>
                          <w:right w:val="nil"/>
                        </w:tcBorders>
                      </w:tcPr>
                      <w:p>
                        <w:pPr>
                          <w:pStyle w:val="TableParagraph"/>
                          <w:spacing w:before="55"/>
                          <w:ind w:right="103"/>
                          <w:jc w:val="right"/>
                          <w:rPr>
                            <w:sz w:val="24"/>
                          </w:rPr>
                        </w:pPr>
                        <w:r>
                          <w:rPr>
                            <w:sz w:val="24"/>
                          </w:rPr>
                          <w:t>200.4</w:t>
                        </w:r>
                      </w:p>
                    </w:tc>
                  </w:tr>
                  <w:tr>
                    <w:trPr>
                      <w:trHeight w:val="415" w:hRule="exact"/>
                    </w:trPr>
                    <w:tc>
                      <w:tcPr>
                        <w:tcW w:w="5249" w:type="dxa"/>
                        <w:tcBorders>
                          <w:top w:val="nil"/>
                          <w:left w:val="nil"/>
                          <w:bottom w:val="nil"/>
                          <w:right w:val="nil"/>
                        </w:tcBorders>
                      </w:tcPr>
                      <w:p>
                        <w:pPr>
                          <w:pStyle w:val="TableParagraph"/>
                          <w:spacing w:before="58"/>
                          <w:ind w:left="110"/>
                          <w:jc w:val="left"/>
                          <w:rPr>
                            <w:sz w:val="24"/>
                          </w:rPr>
                        </w:pPr>
                        <w:r>
                          <w:rPr>
                            <w:sz w:val="24"/>
                          </w:rPr>
                          <w:t>Canola</w:t>
                        </w:r>
                      </w:p>
                    </w:tc>
                    <w:tc>
                      <w:tcPr>
                        <w:tcW w:w="3813" w:type="dxa"/>
                        <w:tcBorders>
                          <w:top w:val="nil"/>
                          <w:left w:val="nil"/>
                          <w:bottom w:val="nil"/>
                          <w:right w:val="nil"/>
                        </w:tcBorders>
                      </w:tcPr>
                      <w:p>
                        <w:pPr>
                          <w:pStyle w:val="TableParagraph"/>
                          <w:spacing w:before="58"/>
                          <w:ind w:right="103"/>
                          <w:jc w:val="right"/>
                          <w:rPr>
                            <w:sz w:val="24"/>
                          </w:rPr>
                        </w:pPr>
                        <w:r>
                          <w:rPr>
                            <w:sz w:val="24"/>
                          </w:rPr>
                          <w:t>147.5</w:t>
                        </w:r>
                      </w:p>
                    </w:tc>
                  </w:tr>
                  <w:tr>
                    <w:trPr>
                      <w:trHeight w:val="411" w:hRule="exact"/>
                    </w:trPr>
                    <w:tc>
                      <w:tcPr>
                        <w:tcW w:w="5249" w:type="dxa"/>
                        <w:tcBorders>
                          <w:top w:val="nil"/>
                          <w:left w:val="nil"/>
                          <w:bottom w:val="nil"/>
                          <w:right w:val="nil"/>
                        </w:tcBorders>
                      </w:tcPr>
                      <w:p>
                        <w:pPr>
                          <w:pStyle w:val="TableParagraph"/>
                          <w:spacing w:before="55"/>
                          <w:ind w:left="110"/>
                          <w:jc w:val="left"/>
                          <w:rPr>
                            <w:sz w:val="24"/>
                          </w:rPr>
                        </w:pPr>
                        <w:r>
                          <w:rPr>
                            <w:sz w:val="24"/>
                          </w:rPr>
                          <w:t>Salvado</w:t>
                        </w:r>
                      </w:p>
                    </w:tc>
                    <w:tc>
                      <w:tcPr>
                        <w:tcW w:w="3813" w:type="dxa"/>
                        <w:tcBorders>
                          <w:top w:val="nil"/>
                          <w:left w:val="nil"/>
                          <w:bottom w:val="nil"/>
                          <w:right w:val="nil"/>
                        </w:tcBorders>
                      </w:tcPr>
                      <w:p>
                        <w:pPr>
                          <w:pStyle w:val="TableParagraph"/>
                          <w:spacing w:before="55"/>
                          <w:ind w:right="103"/>
                          <w:jc w:val="right"/>
                          <w:rPr>
                            <w:sz w:val="24"/>
                          </w:rPr>
                        </w:pPr>
                        <w:r>
                          <w:rPr>
                            <w:sz w:val="24"/>
                          </w:rPr>
                          <w:t>146.7</w:t>
                        </w:r>
                      </w:p>
                    </w:tc>
                  </w:tr>
                  <w:tr>
                    <w:trPr>
                      <w:trHeight w:val="536" w:hRule="exact"/>
                    </w:trPr>
                    <w:tc>
                      <w:tcPr>
                        <w:tcW w:w="5249" w:type="dxa"/>
                        <w:tcBorders>
                          <w:top w:val="nil"/>
                          <w:left w:val="nil"/>
                          <w:right w:val="nil"/>
                        </w:tcBorders>
                      </w:tcPr>
                      <w:p>
                        <w:pPr>
                          <w:pStyle w:val="TableParagraph"/>
                          <w:spacing w:before="41"/>
                          <w:ind w:left="110"/>
                          <w:jc w:val="left"/>
                          <w:rPr>
                            <w:rFonts w:ascii="MS Mincho" w:hAnsi="MS Mincho"/>
                            <w:sz w:val="14"/>
                          </w:rPr>
                        </w:pPr>
                        <w:r>
                          <w:rPr>
                            <w:sz w:val="24"/>
                          </w:rPr>
                          <w:t>Vitaminas y minerales</w:t>
                        </w:r>
                        <w:r>
                          <w:rPr>
                            <w:rFonts w:ascii="MS Mincho" w:hAnsi="MS Mincho"/>
                            <w:position w:val="10"/>
                            <w:sz w:val="14"/>
                          </w:rPr>
                          <w:t>†</w:t>
                        </w:r>
                      </w:p>
                    </w:tc>
                    <w:tc>
                      <w:tcPr>
                        <w:tcW w:w="3813" w:type="dxa"/>
                        <w:tcBorders>
                          <w:top w:val="nil"/>
                          <w:left w:val="nil"/>
                          <w:right w:val="nil"/>
                        </w:tcBorders>
                      </w:tcPr>
                      <w:p>
                        <w:pPr>
                          <w:pStyle w:val="TableParagraph"/>
                          <w:spacing w:before="57"/>
                          <w:ind w:right="103"/>
                          <w:jc w:val="right"/>
                          <w:rPr>
                            <w:sz w:val="24"/>
                          </w:rPr>
                        </w:pPr>
                        <w:r>
                          <w:rPr>
                            <w:sz w:val="24"/>
                          </w:rPr>
                          <w:t>18.7</w:t>
                        </w:r>
                      </w:p>
                    </w:tc>
                  </w:tr>
                </w:tbl>
                <w:p>
                  <w:pPr>
                    <w:pStyle w:val="BodyText"/>
                  </w:pPr>
                </w:p>
              </w:txbxContent>
            </v:textbox>
            <w10:wrap type="none"/>
          </v:shape>
        </w:pict>
      </w:r>
      <w:r>
        <w:rPr>
          <w:b/>
        </w:rPr>
        <w:t>Cuadro 3. </w:t>
      </w:r>
      <w:r>
        <w:rPr/>
        <w:t>Ingredientes usados en la elaboración del concentrado suministrado.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4"/>
        </w:rPr>
      </w:pPr>
    </w:p>
    <w:p>
      <w:pPr>
        <w:spacing w:line="360" w:lineRule="auto" w:before="1"/>
        <w:ind w:left="512" w:right="226" w:firstLine="0"/>
        <w:jc w:val="both"/>
        <w:rPr>
          <w:sz w:val="20"/>
        </w:rPr>
      </w:pPr>
      <w:r>
        <w:rPr>
          <w:position w:val="9"/>
          <w:sz w:val="13"/>
        </w:rPr>
        <w:t>† </w:t>
      </w:r>
      <w:r>
        <w:rPr>
          <w:sz w:val="20"/>
        </w:rPr>
        <w:t>Multitec, lechero bovino ®. Vitamina A: 231 </w:t>
      </w:r>
      <w:r>
        <w:rPr>
          <w:spacing w:val="-3"/>
          <w:sz w:val="20"/>
        </w:rPr>
        <w:t>UI, </w:t>
      </w:r>
      <w:r>
        <w:rPr>
          <w:sz w:val="20"/>
        </w:rPr>
        <w:t>VitaminaD3: 58.5 </w:t>
      </w:r>
      <w:r>
        <w:rPr>
          <w:spacing w:val="-3"/>
          <w:sz w:val="20"/>
        </w:rPr>
        <w:t>UI, </w:t>
      </w:r>
      <w:r>
        <w:rPr>
          <w:sz w:val="20"/>
        </w:rPr>
        <w:t>Vitamina E: 566 mg, Cobre: 400  mg, Hierro: 2,560 mg, Manganeso: 1,860 mg, Cobalto: 5.85 mg, </w:t>
      </w:r>
      <w:r>
        <w:rPr>
          <w:spacing w:val="-3"/>
          <w:sz w:val="20"/>
        </w:rPr>
        <w:t>Yodo: </w:t>
      </w:r>
      <w:r>
        <w:rPr>
          <w:sz w:val="20"/>
        </w:rPr>
        <w:t>19.84 mg, Zinc: 2,000.16 mg,  Selenio: </w:t>
      </w:r>
      <w:r>
        <w:rPr>
          <w:spacing w:val="-3"/>
          <w:sz w:val="20"/>
        </w:rPr>
        <w:t>12 </w:t>
      </w:r>
      <w:r>
        <w:rPr>
          <w:sz w:val="20"/>
        </w:rPr>
        <w:t>mg, Fosforo: 38,220 mg, Magnesio: 39,959.92, Carbonato de Calcio: 195 </w:t>
      </w:r>
      <w:r>
        <w:rPr>
          <w:spacing w:val="-3"/>
          <w:sz w:val="20"/>
        </w:rPr>
        <w:t>g, </w:t>
      </w:r>
      <w:r>
        <w:rPr>
          <w:sz w:val="20"/>
        </w:rPr>
        <w:t>Sal: 236.621g, Bicarbonato de Sodio: 150 </w:t>
      </w:r>
      <w:r>
        <w:rPr>
          <w:spacing w:val="-3"/>
          <w:sz w:val="20"/>
        </w:rPr>
        <w:t>g, </w:t>
      </w:r>
      <w:r>
        <w:rPr>
          <w:sz w:val="20"/>
        </w:rPr>
        <w:t>Sodio: 1851.60 mg, Potasio: 2,439</w:t>
      </w:r>
      <w:r>
        <w:rPr>
          <w:spacing w:val="-6"/>
          <w:sz w:val="20"/>
        </w:rPr>
        <w:t> </w:t>
      </w:r>
      <w:r>
        <w:rPr>
          <w:sz w:val="20"/>
        </w:rPr>
        <w:t>mg.</w:t>
      </w:r>
    </w:p>
    <w:p>
      <w:pPr>
        <w:pStyle w:val="BodyText"/>
        <w:rPr>
          <w:sz w:val="20"/>
        </w:rPr>
      </w:pPr>
    </w:p>
    <w:p>
      <w:pPr>
        <w:pStyle w:val="BodyText"/>
        <w:rPr>
          <w:sz w:val="20"/>
        </w:rPr>
      </w:pPr>
    </w:p>
    <w:p>
      <w:pPr>
        <w:pStyle w:val="BodyText"/>
        <w:spacing w:before="2"/>
        <w:rPr>
          <w:sz w:val="25"/>
        </w:rPr>
      </w:pPr>
    </w:p>
    <w:p>
      <w:pPr>
        <w:pStyle w:val="Heading1"/>
        <w:numPr>
          <w:ilvl w:val="0"/>
          <w:numId w:val="11"/>
        </w:numPr>
        <w:tabs>
          <w:tab w:pos="1233" w:val="left" w:leader="none"/>
        </w:tabs>
        <w:spacing w:line="240" w:lineRule="auto" w:before="0" w:after="0"/>
        <w:ind w:left="1233" w:right="0" w:hanging="360"/>
        <w:jc w:val="left"/>
      </w:pPr>
      <w:r>
        <w:rPr/>
        <w:t>Desarrollo</w:t>
      </w:r>
      <w:r>
        <w:rPr>
          <w:spacing w:val="-11"/>
        </w:rPr>
        <w:t> </w:t>
      </w:r>
      <w:r>
        <w:rPr/>
        <w:t>experimental</w:t>
      </w:r>
    </w:p>
    <w:p>
      <w:pPr>
        <w:pStyle w:val="BodyText"/>
        <w:spacing w:before="5"/>
        <w:rPr>
          <w:b/>
          <w:sz w:val="29"/>
        </w:rPr>
      </w:pPr>
    </w:p>
    <w:p>
      <w:pPr>
        <w:pStyle w:val="BodyText"/>
        <w:spacing w:line="360" w:lineRule="auto"/>
        <w:ind w:left="512" w:right="224"/>
        <w:jc w:val="both"/>
      </w:pPr>
      <w:r>
        <w:rPr/>
        <w:t>El estudio comprendió tres periodos experimentales, de 19 días cada uno (14 </w:t>
      </w:r>
      <w:r>
        <w:rPr>
          <w:spacing w:val="-3"/>
        </w:rPr>
        <w:t>días </w:t>
      </w:r>
      <w:r>
        <w:rPr/>
        <w:t>de adaptación y 5 días de muestreo). Se realizaron dos ordeños al día (06:00 y 15:00h) en una sala de ordeño tipo espina de pescado. La asignación de forraje en pastoreo </w:t>
      </w:r>
      <w:r>
        <w:rPr>
          <w:spacing w:val="-3"/>
        </w:rPr>
        <w:t>fue </w:t>
      </w:r>
      <w:r>
        <w:rPr/>
        <w:t>de 25 kg de MS/vaca/d,  </w:t>
      </w:r>
      <w:r>
        <w:rPr>
          <w:spacing w:val="-3"/>
        </w:rPr>
        <w:t>la  </w:t>
      </w:r>
      <w:r>
        <w:rPr/>
        <w:t>cual  se  determinó  por  </w:t>
      </w:r>
      <w:r>
        <w:rPr>
          <w:spacing w:val="-3"/>
        </w:rPr>
        <w:t>la  </w:t>
      </w:r>
      <w:r>
        <w:rPr/>
        <w:t>medición  de  </w:t>
      </w:r>
      <w:r>
        <w:rPr>
          <w:spacing w:val="-5"/>
        </w:rPr>
        <w:t>la  </w:t>
      </w:r>
      <w:r>
        <w:rPr/>
        <w:t>biomasa  herbácea pre-pastoreo</w:t>
      </w:r>
    </w:p>
    <w:p>
      <w:pPr>
        <w:pStyle w:val="BodyText"/>
        <w:spacing w:line="350" w:lineRule="auto" w:before="4"/>
        <w:ind w:left="512" w:right="224"/>
        <w:jc w:val="both"/>
      </w:pPr>
      <w:r>
        <w:rPr/>
        <w:t>realizado con un control de producción de forraje que fue medido por el corte de forraje en ocho cuadrantes (0.25m</w:t>
      </w:r>
      <w:r>
        <w:rPr>
          <w:position w:val="11"/>
          <w:sz w:val="16"/>
        </w:rPr>
        <w:t>2</w:t>
      </w:r>
      <w:r>
        <w:rPr/>
        <w:t>/cuadrante) a ras de suelo, y la muestra se seco a 60º C en estufa de aire forzado. De acuerdo con los datos de producción de forraje se designó el área de pastoreo según la asignación de forraje por animal; la superficie de pastoreo fue ajustada</w:t>
      </w:r>
    </w:p>
    <w:p>
      <w:pPr>
        <w:pStyle w:val="BodyText"/>
        <w:spacing w:line="355" w:lineRule="auto" w:before="14"/>
        <w:ind w:left="512" w:right="240"/>
        <w:jc w:val="both"/>
      </w:pPr>
      <w:r>
        <w:rPr/>
        <w:t>cada día durante la etapa de medición. El manejo de los animales en cada tratamiento fue realizado de la siguiente manera (Figura 6).</w:t>
      </w:r>
    </w:p>
    <w:p>
      <w:pPr>
        <w:spacing w:after="0" w:line="355" w:lineRule="auto"/>
        <w:jc w:val="both"/>
        <w:sectPr>
          <w:pgSz w:w="12240" w:h="15840"/>
          <w:pgMar w:header="1150" w:footer="1382" w:top="1420" w:bottom="1580" w:left="1360" w:right="1300"/>
        </w:sectPr>
      </w:pPr>
    </w:p>
    <w:p>
      <w:pPr>
        <w:pStyle w:val="BodyText"/>
        <w:spacing w:before="3"/>
        <w:rPr>
          <w:sz w:val="27"/>
        </w:rPr>
      </w:pPr>
    </w:p>
    <w:p>
      <w:pPr>
        <w:pStyle w:val="BodyText"/>
        <w:spacing w:line="360" w:lineRule="auto" w:before="69"/>
        <w:ind w:left="512" w:right="102"/>
        <w:jc w:val="both"/>
      </w:pPr>
      <w:r>
        <w:rPr/>
        <w:t>Finalizado el ordeño matutino, los tres grupos </w:t>
      </w:r>
      <w:r>
        <w:rPr>
          <w:spacing w:val="-3"/>
        </w:rPr>
        <w:t>de </w:t>
      </w:r>
      <w:r>
        <w:rPr/>
        <w:t>vacas fueron llevados a </w:t>
      </w:r>
      <w:r>
        <w:rPr>
          <w:spacing w:val="-5"/>
        </w:rPr>
        <w:t>la </w:t>
      </w:r>
      <w:r>
        <w:rPr/>
        <w:t>pradera, en donde permanecieron hasta el comienzo del ordeño vespertino (15:00h), al término de este, las vacas del tratamiento </w:t>
      </w:r>
      <w:r>
        <w:rPr>
          <w:b/>
        </w:rPr>
        <w:t>8c </w:t>
      </w:r>
      <w:r>
        <w:rPr/>
        <w:t>fueron alojadas en el establo donde se les suministró el concentrado y el ensilado de maíz; mientras que </w:t>
      </w:r>
      <w:r>
        <w:rPr>
          <w:spacing w:val="-3"/>
        </w:rPr>
        <w:t>las </w:t>
      </w:r>
      <w:r>
        <w:rPr/>
        <w:t>vacas de los tratamientos </w:t>
      </w:r>
      <w:r>
        <w:rPr>
          <w:b/>
        </w:rPr>
        <w:t>5c </w:t>
      </w:r>
      <w:r>
        <w:rPr/>
        <w:t>y </w:t>
      </w:r>
      <w:r>
        <w:rPr>
          <w:b/>
        </w:rPr>
        <w:t>3c</w:t>
      </w:r>
      <w:r>
        <w:rPr/>
        <w:t>, concluido el ordeño PM, se trasladaron nuevamente a </w:t>
      </w:r>
      <w:r>
        <w:rPr>
          <w:spacing w:val="-3"/>
        </w:rPr>
        <w:t>la </w:t>
      </w:r>
      <w:r>
        <w:rPr/>
        <w:t>pradera donde cumplieron cuatro horas </w:t>
      </w:r>
      <w:r>
        <w:rPr>
          <w:spacing w:val="-3"/>
        </w:rPr>
        <w:t>más </w:t>
      </w:r>
      <w:r>
        <w:rPr/>
        <w:t>de pastoreo, a </w:t>
      </w:r>
      <w:r>
        <w:rPr>
          <w:spacing w:val="-3"/>
        </w:rPr>
        <w:t>las </w:t>
      </w:r>
      <w:r>
        <w:rPr/>
        <w:t>20:00h fueron llevadas al establo donde se les suministró el concentrado y el ensilado de maíz. Para todos los tratamientos, </w:t>
      </w:r>
      <w:r>
        <w:rPr>
          <w:spacing w:val="-5"/>
        </w:rPr>
        <w:t>la </w:t>
      </w:r>
      <w:r>
        <w:rPr/>
        <w:t>alimentación de los animales en </w:t>
      </w:r>
      <w:r>
        <w:rPr>
          <w:spacing w:val="-3"/>
        </w:rPr>
        <w:t>la </w:t>
      </w:r>
      <w:r>
        <w:rPr/>
        <w:t>estabulación fue a las 20:00 y 24:00h, y para el tratamiento </w:t>
      </w:r>
      <w:r>
        <w:rPr>
          <w:b/>
        </w:rPr>
        <w:t>8c </w:t>
      </w:r>
      <w:r>
        <w:rPr/>
        <w:t>una comida previa a las 16:00h. El concentrado se ofertó en dos comidas, suministrándoles en cada una </w:t>
      </w:r>
      <w:r>
        <w:rPr>
          <w:spacing w:val="-3"/>
        </w:rPr>
        <w:t>la </w:t>
      </w:r>
      <w:r>
        <w:rPr/>
        <w:t>mitad de </w:t>
      </w:r>
      <w:r>
        <w:rPr>
          <w:spacing w:val="-3"/>
        </w:rPr>
        <w:t>la </w:t>
      </w:r>
      <w:r>
        <w:rPr/>
        <w:t>cantidad diaria de concentrado. La oferta de los alimentos se realizó en comederos individuales, el concentrado </w:t>
      </w:r>
      <w:r>
        <w:rPr>
          <w:spacing w:val="-3"/>
        </w:rPr>
        <w:t>fue </w:t>
      </w:r>
      <w:r>
        <w:rPr/>
        <w:t>proporcionado junto con el ensilado de </w:t>
      </w:r>
      <w:r>
        <w:rPr>
          <w:spacing w:val="-3"/>
        </w:rPr>
        <w:t>maíz.  </w:t>
      </w:r>
      <w:r>
        <w:rPr/>
        <w:t>En el tratamiento </w:t>
      </w:r>
      <w:r>
        <w:rPr>
          <w:b/>
        </w:rPr>
        <w:t>8c </w:t>
      </w:r>
      <w:r>
        <w:rPr/>
        <w:t>en </w:t>
      </w:r>
      <w:r>
        <w:rPr>
          <w:spacing w:val="-5"/>
        </w:rPr>
        <w:t>la </w:t>
      </w:r>
      <w:r>
        <w:rPr/>
        <w:t>comida de </w:t>
      </w:r>
      <w:r>
        <w:rPr>
          <w:spacing w:val="-3"/>
        </w:rPr>
        <w:t>las </w:t>
      </w:r>
      <w:r>
        <w:rPr/>
        <w:t>24:00h únicamente se </w:t>
      </w:r>
      <w:r>
        <w:rPr>
          <w:spacing w:val="-3"/>
        </w:rPr>
        <w:t>les </w:t>
      </w:r>
      <w:r>
        <w:rPr/>
        <w:t>suministró ensilado de maíz. Al </w:t>
      </w:r>
      <w:r>
        <w:rPr>
          <w:spacing w:val="-3"/>
        </w:rPr>
        <w:t>inicio </w:t>
      </w:r>
      <w:r>
        <w:rPr/>
        <w:t>y final de cada periodo experimental los animales fueron pesados. En los cinco días de control, diariamente se </w:t>
      </w:r>
      <w:r>
        <w:rPr>
          <w:spacing w:val="-4"/>
        </w:rPr>
        <w:t>midió </w:t>
      </w:r>
      <w:r>
        <w:rPr/>
        <w:t>el consumo de alimento en el establo y </w:t>
      </w:r>
      <w:r>
        <w:rPr>
          <w:spacing w:val="-5"/>
        </w:rPr>
        <w:t>la </w:t>
      </w:r>
      <w:r>
        <w:rPr/>
        <w:t>producción de leche en </w:t>
      </w:r>
      <w:r>
        <w:rPr>
          <w:spacing w:val="-3"/>
        </w:rPr>
        <w:t>la </w:t>
      </w:r>
      <w:r>
        <w:rPr/>
        <w:t>ordeña. </w:t>
      </w:r>
      <w:r>
        <w:rPr>
          <w:spacing w:val="3"/>
        </w:rPr>
        <w:t>El </w:t>
      </w:r>
      <w:r>
        <w:rPr/>
        <w:t>consumo de alimento en </w:t>
      </w:r>
      <w:r>
        <w:rPr>
          <w:spacing w:val="-5"/>
        </w:rPr>
        <w:t>la </w:t>
      </w:r>
      <w:r>
        <w:rPr/>
        <w:t>estabulación se estimó por diferencia de </w:t>
      </w:r>
      <w:r>
        <w:rPr>
          <w:spacing w:val="-5"/>
        </w:rPr>
        <w:t>la </w:t>
      </w:r>
      <w:r>
        <w:rPr/>
        <w:t>oferta y rechazo del alimento. El consumo de forraje en pastoreo se </w:t>
      </w:r>
      <w:r>
        <w:rPr>
          <w:spacing w:val="-3"/>
        </w:rPr>
        <w:t>estimó </w:t>
      </w:r>
      <w:r>
        <w:rPr/>
        <w:t>mediante el método descrito por Macoon </w:t>
      </w:r>
      <w:r>
        <w:rPr>
          <w:i/>
        </w:rPr>
        <w:t>et al</w:t>
      </w:r>
      <w:r>
        <w:rPr/>
        <w:t>. (2003), a partir de los requerimientos de energía neta mediante el cálculo de los requerimientos de energía neta total del ganado lechero (ENL) estimados a partir de </w:t>
      </w:r>
      <w:r>
        <w:rPr>
          <w:spacing w:val="-5"/>
        </w:rPr>
        <w:t>la </w:t>
      </w:r>
      <w:r>
        <w:rPr/>
        <w:t>aplicación de las ecuaciones de predicción del NRC (2001), y de los aportes de energía neta de los alimentos consumidos en </w:t>
      </w:r>
      <w:r>
        <w:rPr>
          <w:spacing w:val="-3"/>
        </w:rPr>
        <w:t>la </w:t>
      </w:r>
      <w:r>
        <w:rPr/>
        <w:t>estabulación. Para </w:t>
      </w:r>
      <w:r>
        <w:rPr>
          <w:spacing w:val="-3"/>
        </w:rPr>
        <w:t>dicha </w:t>
      </w:r>
      <w:r>
        <w:rPr/>
        <w:t>estimación se aplicó el procedimiento de ecuaciones de los requerimientos de energía neta total del ganado lechero incluyendo </w:t>
      </w:r>
      <w:r>
        <w:rPr>
          <w:spacing w:val="-3"/>
        </w:rPr>
        <w:t>las </w:t>
      </w:r>
      <w:r>
        <w:rPr/>
        <w:t>necesidades de energía neta</w:t>
      </w:r>
      <w:r>
        <w:rPr>
          <w:spacing w:val="-18"/>
        </w:rPr>
        <w:t> </w:t>
      </w:r>
      <w:r>
        <w:rPr/>
        <w:t>para:</w:t>
      </w:r>
    </w:p>
    <w:p>
      <w:pPr>
        <w:pStyle w:val="ListParagraph"/>
        <w:numPr>
          <w:ilvl w:val="0"/>
          <w:numId w:val="12"/>
        </w:numPr>
        <w:tabs>
          <w:tab w:pos="859" w:val="left" w:leader="none"/>
        </w:tabs>
        <w:spacing w:line="355" w:lineRule="auto" w:before="211" w:after="0"/>
        <w:ind w:left="512" w:right="118" w:firstLine="0"/>
        <w:jc w:val="both"/>
        <w:rPr>
          <w:sz w:val="24"/>
        </w:rPr>
      </w:pPr>
      <w:r>
        <w:rPr>
          <w:sz w:val="24"/>
        </w:rPr>
        <w:t>Lactación (ENLL), </w:t>
      </w:r>
      <w:r>
        <w:rPr>
          <w:spacing w:val="-3"/>
          <w:sz w:val="24"/>
        </w:rPr>
        <w:t>calculo </w:t>
      </w:r>
      <w:r>
        <w:rPr>
          <w:sz w:val="24"/>
        </w:rPr>
        <w:t>basado en </w:t>
      </w:r>
      <w:r>
        <w:rPr>
          <w:spacing w:val="-3"/>
          <w:sz w:val="24"/>
        </w:rPr>
        <w:t>la </w:t>
      </w:r>
      <w:r>
        <w:rPr>
          <w:sz w:val="24"/>
        </w:rPr>
        <w:t>producción diaria de leche (kg/d) y </w:t>
      </w:r>
      <w:r>
        <w:rPr>
          <w:spacing w:val="-3"/>
          <w:sz w:val="24"/>
        </w:rPr>
        <w:t>la </w:t>
      </w:r>
      <w:r>
        <w:rPr>
          <w:sz w:val="24"/>
        </w:rPr>
        <w:t>concentración de grasa en </w:t>
      </w:r>
      <w:r>
        <w:rPr>
          <w:spacing w:val="-5"/>
          <w:sz w:val="24"/>
        </w:rPr>
        <w:t>la </w:t>
      </w:r>
      <w:r>
        <w:rPr>
          <w:sz w:val="24"/>
        </w:rPr>
        <w:t>leche,</w:t>
      </w:r>
      <w:r>
        <w:rPr>
          <w:spacing w:val="-3"/>
          <w:sz w:val="24"/>
        </w:rPr>
        <w:t> </w:t>
      </w:r>
      <w:r>
        <w:rPr>
          <w:sz w:val="24"/>
        </w:rPr>
        <w:t>así:</w:t>
      </w:r>
    </w:p>
    <w:p>
      <w:pPr>
        <w:pStyle w:val="BodyText"/>
        <w:spacing w:before="211"/>
        <w:ind w:left="1223" w:right="105"/>
      </w:pPr>
      <w:r>
        <w:rPr/>
        <w:t>ENLL = kg de leche por día * (0.3512 + [0.0962 * % grasa en leche])</w:t>
      </w:r>
    </w:p>
    <w:p>
      <w:pPr>
        <w:pStyle w:val="BodyText"/>
        <w:spacing w:before="10"/>
        <w:rPr>
          <w:sz w:val="29"/>
        </w:rPr>
      </w:pPr>
    </w:p>
    <w:p>
      <w:pPr>
        <w:pStyle w:val="ListParagraph"/>
        <w:numPr>
          <w:ilvl w:val="0"/>
          <w:numId w:val="12"/>
        </w:numPr>
        <w:tabs>
          <w:tab w:pos="787" w:val="left" w:leader="none"/>
        </w:tabs>
        <w:spacing w:line="360" w:lineRule="auto" w:before="0" w:after="0"/>
        <w:ind w:left="512" w:right="113" w:firstLine="0"/>
        <w:jc w:val="both"/>
        <w:rPr>
          <w:sz w:val="24"/>
        </w:rPr>
      </w:pPr>
      <w:r>
        <w:rPr>
          <w:sz w:val="24"/>
        </w:rPr>
        <w:t>Mantenimiento (EELM), basadas en el peso vivo (PV) del animal y el número de parto, </w:t>
      </w:r>
      <w:r>
        <w:rPr>
          <w:spacing w:val="-3"/>
          <w:sz w:val="24"/>
        </w:rPr>
        <w:t>así:</w:t>
      </w:r>
    </w:p>
    <w:p>
      <w:pPr>
        <w:pStyle w:val="ListParagraph"/>
        <w:numPr>
          <w:ilvl w:val="1"/>
          <w:numId w:val="12"/>
        </w:numPr>
        <w:tabs>
          <w:tab w:pos="1473" w:val="left" w:leader="none"/>
        </w:tabs>
        <w:spacing w:line="280" w:lineRule="exact" w:before="0" w:after="0"/>
        <w:ind w:left="1472" w:right="0" w:hanging="249"/>
        <w:jc w:val="left"/>
        <w:rPr>
          <w:sz w:val="24"/>
        </w:rPr>
      </w:pPr>
      <w:r>
        <w:rPr>
          <w:sz w:val="24"/>
        </w:rPr>
        <w:t>primer parto: ENLM = 1.2 (0.080 * PV</w:t>
      </w:r>
      <w:r>
        <w:rPr>
          <w:spacing w:val="-10"/>
          <w:sz w:val="24"/>
        </w:rPr>
        <w:t> </w:t>
      </w:r>
      <w:r>
        <w:rPr>
          <w:position w:val="11"/>
          <w:sz w:val="16"/>
        </w:rPr>
        <w:t>0.75</w:t>
      </w:r>
      <w:r>
        <w:rPr>
          <w:sz w:val="24"/>
        </w:rPr>
        <w:t>)</w:t>
      </w:r>
    </w:p>
    <w:p>
      <w:pPr>
        <w:spacing w:after="0" w:line="280" w:lineRule="exact"/>
        <w:jc w:val="left"/>
        <w:rPr>
          <w:sz w:val="24"/>
        </w:rPr>
        <w:sectPr>
          <w:pgSz w:w="12240" w:h="15840"/>
          <w:pgMar w:header="1150" w:footer="1382" w:top="1420" w:bottom="1580" w:left="1360" w:right="1420"/>
        </w:sectPr>
      </w:pPr>
    </w:p>
    <w:p>
      <w:pPr>
        <w:pStyle w:val="BodyText"/>
        <w:spacing w:before="4"/>
        <w:rPr>
          <w:sz w:val="23"/>
        </w:rPr>
      </w:pPr>
    </w:p>
    <w:p>
      <w:pPr>
        <w:pStyle w:val="ListParagraph"/>
        <w:numPr>
          <w:ilvl w:val="1"/>
          <w:numId w:val="12"/>
        </w:numPr>
        <w:tabs>
          <w:tab w:pos="1483" w:val="left" w:leader="none"/>
        </w:tabs>
        <w:spacing w:line="240" w:lineRule="auto" w:before="79" w:after="0"/>
        <w:ind w:left="1482" w:right="0" w:hanging="259"/>
        <w:jc w:val="left"/>
        <w:rPr>
          <w:sz w:val="24"/>
        </w:rPr>
      </w:pPr>
      <w:r>
        <w:rPr>
          <w:sz w:val="24"/>
        </w:rPr>
        <w:t>segundo parto: ENLM = 1.1 (0.080 * PV</w:t>
      </w:r>
      <w:r>
        <w:rPr>
          <w:spacing w:val="-4"/>
          <w:sz w:val="24"/>
        </w:rPr>
        <w:t> </w:t>
      </w:r>
      <w:r>
        <w:rPr>
          <w:position w:val="11"/>
          <w:sz w:val="16"/>
        </w:rPr>
        <w:t>0.75</w:t>
      </w:r>
      <w:r>
        <w:rPr>
          <w:sz w:val="24"/>
        </w:rPr>
        <w:t>)</w:t>
      </w:r>
    </w:p>
    <w:p>
      <w:pPr>
        <w:pStyle w:val="ListParagraph"/>
        <w:numPr>
          <w:ilvl w:val="1"/>
          <w:numId w:val="12"/>
        </w:numPr>
        <w:tabs>
          <w:tab w:pos="1468" w:val="left" w:leader="none"/>
        </w:tabs>
        <w:spacing w:line="240" w:lineRule="auto" w:before="101" w:after="0"/>
        <w:ind w:left="1467" w:right="0" w:hanging="244"/>
        <w:jc w:val="left"/>
        <w:rPr>
          <w:sz w:val="16"/>
        </w:rPr>
      </w:pPr>
      <w:r>
        <w:rPr>
          <w:sz w:val="24"/>
        </w:rPr>
        <w:t>tercer parto o </w:t>
      </w:r>
      <w:r>
        <w:rPr>
          <w:spacing w:val="-3"/>
          <w:sz w:val="24"/>
        </w:rPr>
        <w:t>más: </w:t>
      </w:r>
      <w:r>
        <w:rPr>
          <w:sz w:val="24"/>
        </w:rPr>
        <w:t>ENLM = 0.080 * PV</w:t>
      </w:r>
      <w:r>
        <w:rPr>
          <w:spacing w:val="7"/>
          <w:sz w:val="24"/>
        </w:rPr>
        <w:t> </w:t>
      </w:r>
      <w:r>
        <w:rPr>
          <w:position w:val="11"/>
          <w:sz w:val="16"/>
        </w:rPr>
        <w:t>0.75</w:t>
      </w:r>
    </w:p>
    <w:p>
      <w:pPr>
        <w:pStyle w:val="ListParagraph"/>
        <w:numPr>
          <w:ilvl w:val="0"/>
          <w:numId w:val="12"/>
        </w:numPr>
        <w:tabs>
          <w:tab w:pos="806" w:val="left" w:leader="none"/>
        </w:tabs>
        <w:spacing w:line="362" w:lineRule="auto" w:before="214" w:after="0"/>
        <w:ind w:left="512" w:right="111" w:firstLine="0"/>
        <w:jc w:val="both"/>
        <w:rPr>
          <w:sz w:val="24"/>
        </w:rPr>
      </w:pPr>
      <w:r>
        <w:rPr>
          <w:spacing w:val="-3"/>
          <w:sz w:val="24"/>
        </w:rPr>
        <w:t>Cambio </w:t>
      </w:r>
      <w:r>
        <w:rPr>
          <w:sz w:val="24"/>
        </w:rPr>
        <w:t>de peso corporal (ENLBW), de acuerdo con el NRC (2001) para </w:t>
      </w:r>
      <w:r>
        <w:rPr>
          <w:spacing w:val="-5"/>
          <w:sz w:val="24"/>
        </w:rPr>
        <w:t>la </w:t>
      </w:r>
      <w:r>
        <w:rPr>
          <w:sz w:val="24"/>
        </w:rPr>
        <w:t>ganancia promedio de peso </w:t>
      </w:r>
      <w:r>
        <w:rPr>
          <w:spacing w:val="-2"/>
          <w:sz w:val="24"/>
        </w:rPr>
        <w:t>fue </w:t>
      </w:r>
      <w:r>
        <w:rPr>
          <w:sz w:val="24"/>
        </w:rPr>
        <w:t>asignado el requerimiento de ENL 5.12 Mcal/kg PV, mientras que para </w:t>
      </w:r>
      <w:r>
        <w:rPr>
          <w:spacing w:val="-5"/>
          <w:sz w:val="24"/>
        </w:rPr>
        <w:t>la </w:t>
      </w:r>
      <w:r>
        <w:rPr>
          <w:sz w:val="24"/>
        </w:rPr>
        <w:t>pérdida de PV se previeron 4.92 Mcal/kg PV de energía disponible, adicional a </w:t>
      </w:r>
      <w:r>
        <w:rPr>
          <w:spacing w:val="-3"/>
          <w:sz w:val="24"/>
        </w:rPr>
        <w:t>la </w:t>
      </w:r>
      <w:r>
        <w:rPr>
          <w:sz w:val="24"/>
        </w:rPr>
        <w:t>energía proporcionada por el</w:t>
      </w:r>
      <w:r>
        <w:rPr>
          <w:spacing w:val="-14"/>
          <w:sz w:val="24"/>
        </w:rPr>
        <w:t> </w:t>
      </w:r>
      <w:r>
        <w:rPr>
          <w:sz w:val="24"/>
        </w:rPr>
        <w:t>alimento.</w:t>
      </w:r>
    </w:p>
    <w:p>
      <w:pPr>
        <w:pStyle w:val="BodyText"/>
        <w:spacing w:before="4"/>
      </w:pPr>
    </w:p>
    <w:p>
      <w:pPr>
        <w:pStyle w:val="ListParagraph"/>
        <w:numPr>
          <w:ilvl w:val="0"/>
          <w:numId w:val="12"/>
        </w:numPr>
        <w:tabs>
          <w:tab w:pos="796" w:val="left" w:leader="none"/>
        </w:tabs>
        <w:spacing w:line="360" w:lineRule="auto" w:before="0" w:after="0"/>
        <w:ind w:left="512" w:right="106" w:firstLine="0"/>
        <w:jc w:val="both"/>
        <w:rPr>
          <w:sz w:val="24"/>
        </w:rPr>
      </w:pPr>
      <w:r>
        <w:rPr>
          <w:sz w:val="24"/>
        </w:rPr>
        <w:t>Actividad de pastoreo (ENLG), este </w:t>
      </w:r>
      <w:r>
        <w:rPr>
          <w:spacing w:val="-3"/>
          <w:sz w:val="24"/>
        </w:rPr>
        <w:t>cálculo </w:t>
      </w:r>
      <w:r>
        <w:rPr>
          <w:sz w:val="24"/>
        </w:rPr>
        <w:t>fue hecho usando </w:t>
      </w:r>
      <w:r>
        <w:rPr>
          <w:spacing w:val="-5"/>
          <w:sz w:val="24"/>
        </w:rPr>
        <w:t>la </w:t>
      </w:r>
      <w:r>
        <w:rPr>
          <w:sz w:val="24"/>
        </w:rPr>
        <w:t>ecuación sugerida por Rochinotti</w:t>
      </w:r>
      <w:r>
        <w:rPr>
          <w:spacing w:val="-3"/>
          <w:sz w:val="24"/>
        </w:rPr>
        <w:t> </w:t>
      </w:r>
      <w:r>
        <w:rPr>
          <w:sz w:val="24"/>
        </w:rPr>
        <w:t>(1998):</w:t>
      </w:r>
    </w:p>
    <w:p>
      <w:pPr>
        <w:pStyle w:val="BodyText"/>
        <w:spacing w:before="171"/>
        <w:ind w:left="1223" w:right="105"/>
        <w:rPr>
          <w:sz w:val="16"/>
        </w:rPr>
      </w:pPr>
      <w:r>
        <w:rPr/>
        <w:t>ENLG = 1.2 kcal * tiempo de pastoreo, h* PV </w:t>
      </w:r>
      <w:r>
        <w:rPr>
          <w:position w:val="11"/>
          <w:sz w:val="16"/>
        </w:rPr>
        <w:t>0.75</w:t>
      </w:r>
    </w:p>
    <w:p>
      <w:pPr>
        <w:pStyle w:val="BodyText"/>
        <w:spacing w:before="4"/>
        <w:rPr>
          <w:sz w:val="29"/>
        </w:rPr>
      </w:pPr>
    </w:p>
    <w:p>
      <w:pPr>
        <w:pStyle w:val="ListParagraph"/>
        <w:numPr>
          <w:ilvl w:val="0"/>
          <w:numId w:val="12"/>
        </w:numPr>
        <w:tabs>
          <w:tab w:pos="796" w:val="left" w:leader="none"/>
        </w:tabs>
        <w:spacing w:line="360" w:lineRule="auto" w:before="1" w:after="0"/>
        <w:ind w:left="512" w:right="109" w:firstLine="0"/>
        <w:jc w:val="both"/>
        <w:rPr>
          <w:sz w:val="24"/>
        </w:rPr>
      </w:pPr>
      <w:r>
        <w:rPr>
          <w:sz w:val="24"/>
        </w:rPr>
        <w:t>Actividad de desplazamiento o caminata (ENLW), calculado usando </w:t>
      </w:r>
      <w:r>
        <w:rPr>
          <w:spacing w:val="-5"/>
          <w:sz w:val="24"/>
        </w:rPr>
        <w:t>la </w:t>
      </w:r>
      <w:r>
        <w:rPr>
          <w:sz w:val="24"/>
        </w:rPr>
        <w:t>estimación para el caminar horizontal según el AFRC</w:t>
      </w:r>
      <w:r>
        <w:rPr>
          <w:spacing w:val="-9"/>
          <w:sz w:val="24"/>
        </w:rPr>
        <w:t> </w:t>
      </w:r>
      <w:r>
        <w:rPr>
          <w:sz w:val="24"/>
        </w:rPr>
        <w:t>(1993):</w:t>
      </w:r>
    </w:p>
    <w:p>
      <w:pPr>
        <w:pStyle w:val="BodyText"/>
        <w:spacing w:before="205"/>
        <w:ind w:left="1223" w:right="105"/>
      </w:pPr>
      <w:r>
        <w:rPr/>
        <w:t>ENLG = 0.62 cal/(kg PV*distancia)</w:t>
      </w:r>
    </w:p>
    <w:p>
      <w:pPr>
        <w:pStyle w:val="BodyText"/>
        <w:spacing w:before="5"/>
        <w:rPr>
          <w:sz w:val="29"/>
        </w:rPr>
      </w:pPr>
    </w:p>
    <w:p>
      <w:pPr>
        <w:pStyle w:val="BodyText"/>
        <w:spacing w:line="360" w:lineRule="auto"/>
        <w:ind w:left="512" w:right="105"/>
        <w:jc w:val="both"/>
      </w:pPr>
      <w:r>
        <w:rPr/>
        <w:t>La distancia </w:t>
      </w:r>
      <w:r>
        <w:rPr>
          <w:spacing w:val="-3"/>
        </w:rPr>
        <w:t>fue </w:t>
      </w:r>
      <w:r>
        <w:rPr/>
        <w:t>estimada en 800 m (representando </w:t>
      </w:r>
      <w:r>
        <w:rPr>
          <w:spacing w:val="-3"/>
        </w:rPr>
        <w:t>la </w:t>
      </w:r>
      <w:r>
        <w:rPr/>
        <w:t>distancia recorrida desde </w:t>
      </w:r>
      <w:r>
        <w:rPr>
          <w:spacing w:val="-3"/>
        </w:rPr>
        <w:t>la </w:t>
      </w:r>
      <w:r>
        <w:rPr/>
        <w:t>parcela de pastoreo a </w:t>
      </w:r>
      <w:r>
        <w:rPr>
          <w:spacing w:val="-5"/>
        </w:rPr>
        <w:t>la </w:t>
      </w:r>
      <w:r>
        <w:rPr/>
        <w:t>sala de ordeño o corral. La distancia </w:t>
      </w:r>
      <w:r>
        <w:rPr>
          <w:spacing w:val="-3"/>
        </w:rPr>
        <w:t>media </w:t>
      </w:r>
      <w:r>
        <w:rPr/>
        <w:t>a </w:t>
      </w:r>
      <w:r>
        <w:rPr>
          <w:spacing w:val="-3"/>
        </w:rPr>
        <w:t>la </w:t>
      </w:r>
      <w:r>
        <w:rPr/>
        <w:t>parcela </w:t>
      </w:r>
      <w:r>
        <w:rPr>
          <w:spacing w:val="-3"/>
        </w:rPr>
        <w:t>fue </w:t>
      </w:r>
      <w:r>
        <w:rPr/>
        <w:t>de 400 </w:t>
      </w:r>
      <w:r>
        <w:rPr>
          <w:spacing w:val="-5"/>
        </w:rPr>
        <w:t>m, </w:t>
      </w:r>
      <w:r>
        <w:rPr/>
        <w:t>valor  que fue multiplicado por el número de veces que caminaron esa</w:t>
      </w:r>
      <w:r>
        <w:rPr>
          <w:spacing w:val="-38"/>
        </w:rPr>
        <w:t> </w:t>
      </w:r>
      <w:r>
        <w:rPr/>
        <w:t>distancia.</w:t>
      </w:r>
    </w:p>
    <w:p>
      <w:pPr>
        <w:pStyle w:val="BodyText"/>
        <w:spacing w:line="360" w:lineRule="auto" w:before="210"/>
        <w:ind w:left="512" w:right="99"/>
        <w:jc w:val="both"/>
      </w:pPr>
      <w:r>
        <w:rPr/>
        <w:t>El requerimiento de energía neta total es </w:t>
      </w:r>
      <w:r>
        <w:rPr>
          <w:spacing w:val="-3"/>
        </w:rPr>
        <w:t>la </w:t>
      </w:r>
      <w:r>
        <w:rPr/>
        <w:t>suma de </w:t>
      </w:r>
      <w:r>
        <w:rPr>
          <w:spacing w:val="-4"/>
        </w:rPr>
        <w:t>las </w:t>
      </w:r>
      <w:r>
        <w:rPr/>
        <w:t>cinco estimaciones anteriores. La energía neta para lactación a partir del consumo de forraje se </w:t>
      </w:r>
      <w:r>
        <w:rPr>
          <w:spacing w:val="-3"/>
        </w:rPr>
        <w:t>estimó </w:t>
      </w:r>
      <w:r>
        <w:rPr/>
        <w:t>por </w:t>
      </w:r>
      <w:r>
        <w:rPr>
          <w:spacing w:val="-3"/>
        </w:rPr>
        <w:t>la </w:t>
      </w:r>
      <w:r>
        <w:rPr/>
        <w:t>diferencia entre los requerimientos de ENL menos </w:t>
      </w:r>
      <w:r>
        <w:rPr>
          <w:spacing w:val="-3"/>
        </w:rPr>
        <w:t>la </w:t>
      </w:r>
      <w:r>
        <w:rPr/>
        <w:t>energía consumida en los alimentos suministrados en </w:t>
      </w:r>
      <w:r>
        <w:rPr>
          <w:spacing w:val="-3"/>
        </w:rPr>
        <w:t>la </w:t>
      </w:r>
      <w:r>
        <w:rPr/>
        <w:t>estabulación. El contenido de energía neta de los alimentos (forraje, ensilado de </w:t>
      </w:r>
      <w:r>
        <w:rPr>
          <w:spacing w:val="-3"/>
        </w:rPr>
        <w:t>maíz </w:t>
      </w:r>
      <w:r>
        <w:rPr/>
        <w:t>y concentrado) </w:t>
      </w:r>
      <w:r>
        <w:rPr>
          <w:spacing w:val="-3"/>
        </w:rPr>
        <w:t>fue </w:t>
      </w:r>
      <w:r>
        <w:rPr/>
        <w:t>calculado con las ecuaciones descritas por Menke y Steingass (1988) a partir del contenido de fibra ácido detergente y dividido entre 4.184 para dar el valor en Mcal/kg de</w:t>
      </w:r>
      <w:r>
        <w:rPr>
          <w:spacing w:val="-5"/>
        </w:rPr>
        <w:t> </w:t>
      </w:r>
      <w:r>
        <w:rPr/>
        <w:t>MS.</w:t>
      </w:r>
    </w:p>
    <w:p>
      <w:pPr>
        <w:pStyle w:val="BodyText"/>
        <w:spacing w:line="360" w:lineRule="auto" w:before="210"/>
        <w:ind w:left="512" w:right="102"/>
        <w:jc w:val="both"/>
      </w:pPr>
      <w:r>
        <w:rPr/>
        <w:t>Los alimentos se muestrearon en la fase de medición, el ensilado de maíz fue muestreado diariamente, el concentrado fue muestreado una vez por periodo, y el forraje se muestreó en el primer día de la fase de control mediante la técnica de hand plucking o pastoreo simulado</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311"/>
        <w:jc w:val="both"/>
      </w:pPr>
      <w:r>
        <w:rPr/>
        <w:drawing>
          <wp:anchor distT="0" distB="0" distL="0" distR="0" allowOverlap="1" layoutInCell="1" locked="0" behindDoc="0" simplePos="0" relativeHeight="1648">
            <wp:simplePos x="0" y="0"/>
            <wp:positionH relativeFrom="page">
              <wp:posOffset>1200911</wp:posOffset>
            </wp:positionH>
            <wp:positionV relativeFrom="paragraph">
              <wp:posOffset>1423329</wp:posOffset>
            </wp:positionV>
            <wp:extent cx="459999" cy="5632704"/>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25" cstate="print"/>
                    <a:stretch>
                      <a:fillRect/>
                    </a:stretch>
                  </pic:blipFill>
                  <pic:spPr>
                    <a:xfrm>
                      <a:off x="0" y="0"/>
                      <a:ext cx="459999" cy="5632704"/>
                    </a:xfrm>
                    <a:prstGeom prst="rect">
                      <a:avLst/>
                    </a:prstGeom>
                  </pic:spPr>
                </pic:pic>
              </a:graphicData>
            </a:graphic>
          </wp:anchor>
        </w:drawing>
      </w:r>
      <w:r>
        <w:rPr/>
        <w:pict>
          <v:shape style="position:absolute;margin-left:109.026085pt;margin-top:159.143143pt;width:14pt;height:349.5pt;mso-position-horizontal-relative:page;mso-position-vertical-relative:paragraph;z-index:1672" type="#_x0000_t202" filled="false" stroked="false">
            <v:textbox inset="0,0,0,0" style="layout-flow:vertical">
              <w:txbxContent>
                <w:p>
                  <w:pPr>
                    <w:pStyle w:val="BodyText"/>
                    <w:spacing w:line="265" w:lineRule="exact"/>
                    <w:ind w:left="20"/>
                  </w:pPr>
                  <w:r>
                    <w:rPr>
                      <w:b/>
                      <w:spacing w:val="1"/>
                    </w:rPr>
                    <w:t>F</w:t>
                  </w:r>
                  <w:r>
                    <w:rPr>
                      <w:b/>
                      <w:w w:val="99"/>
                    </w:rPr>
                    <w:t>ig</w:t>
                  </w:r>
                  <w:r>
                    <w:rPr>
                      <w:b/>
                      <w:spacing w:val="1"/>
                      <w:w w:val="99"/>
                    </w:rPr>
                    <w:t>u</w:t>
                  </w:r>
                  <w:r>
                    <w:rPr>
                      <w:b/>
                      <w:spacing w:val="-1"/>
                    </w:rPr>
                    <w:t>r</w:t>
                  </w:r>
                  <w:r>
                    <w:rPr>
                      <w:b/>
                    </w:rPr>
                    <w:t>a</w:t>
                  </w:r>
                  <w:r>
                    <w:rPr>
                      <w:b/>
                      <w:spacing w:val="2"/>
                    </w:rPr>
                    <w:t> </w:t>
                  </w:r>
                  <w:r>
                    <w:rPr>
                      <w:b/>
                      <w:spacing w:val="-5"/>
                    </w:rPr>
                    <w:t>6</w:t>
                  </w:r>
                  <w:r>
                    <w:rPr>
                      <w:b/>
                    </w:rPr>
                    <w:t>.</w:t>
                  </w:r>
                  <w:r>
                    <w:rPr>
                      <w:b/>
                      <w:spacing w:val="6"/>
                    </w:rPr>
                    <w:t> </w:t>
                  </w:r>
                  <w:r>
                    <w:rPr>
                      <w:spacing w:val="-3"/>
                      <w:w w:val="99"/>
                    </w:rPr>
                    <w:t>M</w:t>
                  </w:r>
                  <w:r>
                    <w:rPr>
                      <w:spacing w:val="-1"/>
                    </w:rPr>
                    <w:t>a</w:t>
                  </w:r>
                  <w:r>
                    <w:rPr/>
                    <w:t>n</w:t>
                  </w:r>
                  <w:r>
                    <w:rPr>
                      <w:spacing w:val="-1"/>
                    </w:rPr>
                    <w:t>e</w:t>
                  </w:r>
                  <w:r>
                    <w:rPr/>
                    <w:t>jo</w:t>
                  </w:r>
                  <w:r>
                    <w:rPr>
                      <w:spacing w:val="2"/>
                    </w:rPr>
                    <w:t> </w:t>
                  </w:r>
                  <w:r>
                    <w:rPr/>
                    <w:t>de</w:t>
                  </w:r>
                  <w:r>
                    <w:rPr>
                      <w:spacing w:val="1"/>
                    </w:rPr>
                    <w:t> </w:t>
                  </w:r>
                  <w:r>
                    <w:rPr>
                      <w:w w:val="99"/>
                    </w:rPr>
                    <w:t>los</w:t>
                  </w:r>
                  <w:r>
                    <w:rPr/>
                    <w:t> </w:t>
                  </w:r>
                  <w:r>
                    <w:rPr>
                      <w:spacing w:val="-5"/>
                    </w:rPr>
                    <w:t>g</w:t>
                  </w:r>
                  <w:r>
                    <w:rPr>
                      <w:spacing w:val="1"/>
                    </w:rPr>
                    <w:t>r</w:t>
                  </w:r>
                  <w:r>
                    <w:rPr/>
                    <w:t>upos de</w:t>
                  </w:r>
                  <w:r>
                    <w:rPr>
                      <w:spacing w:val="1"/>
                    </w:rPr>
                    <w:t> </w:t>
                  </w:r>
                  <w:r>
                    <w:rPr/>
                    <w:t>v</w:t>
                  </w:r>
                  <w:r>
                    <w:rPr>
                      <w:spacing w:val="-1"/>
                    </w:rPr>
                    <w:t>aca</w:t>
                  </w:r>
                  <w:r>
                    <w:rPr>
                      <w:w w:val="99"/>
                    </w:rPr>
                    <w:t>s</w:t>
                  </w:r>
                  <w:r>
                    <w:rPr/>
                    <w:t> por</w:t>
                  </w:r>
                  <w:r>
                    <w:rPr>
                      <w:spacing w:val="3"/>
                    </w:rPr>
                    <w:t> </w:t>
                  </w:r>
                  <w:r>
                    <w:rPr>
                      <w:spacing w:val="-1"/>
                    </w:rPr>
                    <w:t>e</w:t>
                  </w:r>
                  <w:r>
                    <w:rPr>
                      <w:spacing w:val="-3"/>
                      <w:w w:val="99"/>
                    </w:rPr>
                    <w:t>s</w:t>
                  </w:r>
                  <w:r>
                    <w:rPr>
                      <w:w w:val="99"/>
                    </w:rPr>
                    <w:t>t</w:t>
                  </w:r>
                  <w:r>
                    <w:rPr>
                      <w:spacing w:val="1"/>
                      <w:w w:val="99"/>
                    </w:rPr>
                    <w:t>r</w:t>
                  </w:r>
                  <w:r>
                    <w:rPr>
                      <w:spacing w:val="-1"/>
                      <w:w w:val="99"/>
                    </w:rPr>
                    <w:t>a</w:t>
                  </w:r>
                  <w:r>
                    <w:rPr>
                      <w:spacing w:val="-5"/>
                      <w:w w:val="99"/>
                    </w:rPr>
                    <w:t>t</w:t>
                  </w:r>
                  <w:r>
                    <w:rPr>
                      <w:spacing w:val="-1"/>
                      <w:w w:val="99"/>
                    </w:rPr>
                    <w:t>e</w:t>
                  </w:r>
                  <w:r>
                    <w:rPr>
                      <w:w w:val="99"/>
                    </w:rPr>
                    <w:t>gia</w:t>
                  </w:r>
                  <w:r>
                    <w:rPr>
                      <w:spacing w:val="1"/>
                      <w:w w:val="99"/>
                    </w:rPr>
                    <w:t> </w:t>
                  </w:r>
                  <w:r>
                    <w:rPr>
                      <w:w w:val="99"/>
                    </w:rPr>
                    <w:t>de</w:t>
                  </w:r>
                  <w:r>
                    <w:rPr>
                      <w:spacing w:val="1"/>
                      <w:w w:val="99"/>
                    </w:rPr>
                    <w:t> </w:t>
                  </w:r>
                  <w:r>
                    <w:rPr>
                      <w:spacing w:val="-1"/>
                      <w:w w:val="99"/>
                    </w:rPr>
                    <w:t>a</w:t>
                  </w:r>
                  <w:r>
                    <w:rPr>
                      <w:w w:val="99"/>
                    </w:rPr>
                    <w:t>liment</w:t>
                  </w:r>
                  <w:r>
                    <w:rPr>
                      <w:spacing w:val="-1"/>
                      <w:w w:val="99"/>
                    </w:rPr>
                    <w:t>ac</w:t>
                  </w:r>
                  <w:r>
                    <w:rPr>
                      <w:w w:val="99"/>
                    </w:rPr>
                    <w:t>ión.</w:t>
                  </w:r>
                </w:p>
              </w:txbxContent>
            </v:textbox>
            <w10:wrap type="none"/>
          </v:shape>
        </w:pict>
      </w:r>
      <w:r>
        <w:rPr/>
        <w:t>según (Wayne, 1964) Todas las muestras se mantuvieron en congelación (-20ºC) hasta su análisis en laboratorio. La leche fue muestreada individualmente en ambos ordeños, e inmediatamente se obtuvo una alícuota de 50 ml la cual fue mantenida en refrigeración (4ºC) hasta su análisis.</w:t>
      </w:r>
    </w:p>
    <w:p>
      <w:pPr>
        <w:pStyle w:val="BodyText"/>
        <w:spacing w:before="9"/>
        <w:rPr>
          <w:sz w:val="22"/>
        </w:rPr>
      </w:pPr>
      <w:r>
        <w:rPr/>
        <w:drawing>
          <wp:anchor distT="0" distB="0" distL="0" distR="0" allowOverlap="1" layoutInCell="1" locked="0" behindDoc="0" simplePos="0" relativeHeight="1624">
            <wp:simplePos x="0" y="0"/>
            <wp:positionH relativeFrom="page">
              <wp:posOffset>2010536</wp:posOffset>
            </wp:positionH>
            <wp:positionV relativeFrom="paragraph">
              <wp:posOffset>191259</wp:posOffset>
            </wp:positionV>
            <wp:extent cx="4769488" cy="6296120"/>
            <wp:effectExtent l="0" t="0" r="0" b="0"/>
            <wp:wrapTopAndBottom/>
            <wp:docPr id="9" name="image8.png" descr=""/>
            <wp:cNvGraphicFramePr>
              <a:graphicFrameLocks noChangeAspect="1"/>
            </wp:cNvGraphicFramePr>
            <a:graphic>
              <a:graphicData uri="http://schemas.openxmlformats.org/drawingml/2006/picture">
                <pic:pic>
                  <pic:nvPicPr>
                    <pic:cNvPr id="10" name="image8.png"/>
                    <pic:cNvPicPr/>
                  </pic:nvPicPr>
                  <pic:blipFill>
                    <a:blip r:embed="rId26" cstate="print"/>
                    <a:stretch>
                      <a:fillRect/>
                    </a:stretch>
                  </pic:blipFill>
                  <pic:spPr>
                    <a:xfrm>
                      <a:off x="0" y="0"/>
                      <a:ext cx="4769488" cy="6296120"/>
                    </a:xfrm>
                    <a:prstGeom prst="rect">
                      <a:avLst/>
                    </a:prstGeom>
                  </pic:spPr>
                </pic:pic>
              </a:graphicData>
            </a:graphic>
          </wp:anchor>
        </w:drawing>
      </w:r>
    </w:p>
    <w:p>
      <w:pPr>
        <w:spacing w:after="0"/>
        <w:rPr>
          <w:sz w:val="22"/>
        </w:rPr>
        <w:sectPr>
          <w:pgSz w:w="12240" w:h="15840"/>
          <w:pgMar w:header="1150" w:footer="1382" w:top="1420" w:bottom="1580" w:left="1360" w:right="220"/>
        </w:sectPr>
      </w:pPr>
    </w:p>
    <w:p>
      <w:pPr>
        <w:pStyle w:val="BodyText"/>
        <w:spacing w:before="3"/>
        <w:rPr>
          <w:sz w:val="27"/>
        </w:rPr>
      </w:pPr>
    </w:p>
    <w:p>
      <w:pPr>
        <w:pStyle w:val="Heading1"/>
        <w:numPr>
          <w:ilvl w:val="0"/>
          <w:numId w:val="11"/>
        </w:numPr>
        <w:tabs>
          <w:tab w:pos="1233" w:val="left" w:leader="none"/>
        </w:tabs>
        <w:spacing w:line="240" w:lineRule="auto" w:before="69" w:after="0"/>
        <w:ind w:left="1233" w:right="0" w:hanging="360"/>
        <w:jc w:val="left"/>
      </w:pPr>
      <w:r>
        <w:rPr/>
        <w:t>Análisis de</w:t>
      </w:r>
      <w:r>
        <w:rPr>
          <w:spacing w:val="-13"/>
        </w:rPr>
        <w:t> </w:t>
      </w:r>
      <w:r>
        <w:rPr/>
        <w:t>laboratorio</w:t>
      </w:r>
    </w:p>
    <w:p>
      <w:pPr>
        <w:pStyle w:val="BodyText"/>
        <w:spacing w:before="5"/>
        <w:rPr>
          <w:b/>
          <w:sz w:val="29"/>
        </w:rPr>
      </w:pPr>
    </w:p>
    <w:p>
      <w:pPr>
        <w:pStyle w:val="BodyText"/>
        <w:spacing w:line="360" w:lineRule="auto"/>
        <w:ind w:left="512" w:right="100"/>
        <w:jc w:val="both"/>
      </w:pPr>
      <w:r>
        <w:rPr/>
        <w:t>En los alimentos se determinó el contenido de materia seca (MS) por pérdida de peso tras desecación de </w:t>
      </w:r>
      <w:r>
        <w:rPr>
          <w:spacing w:val="-3"/>
        </w:rPr>
        <w:t>la </w:t>
      </w:r>
      <w:r>
        <w:rPr/>
        <w:t>muestra (forraje y concentrado) a 103±1º C durante 24 h en estufa de aire forzado. En el caso de ensilado de </w:t>
      </w:r>
      <w:r>
        <w:rPr>
          <w:spacing w:val="-3"/>
        </w:rPr>
        <w:t>maíz </w:t>
      </w:r>
      <w:r>
        <w:rPr/>
        <w:t>el contenido de materia seca se determinó por </w:t>
      </w:r>
      <w:r>
        <w:rPr>
          <w:spacing w:val="-5"/>
        </w:rPr>
        <w:t>la </w:t>
      </w:r>
      <w:r>
        <w:rPr/>
        <w:t>técnica de arrastre con tolueno, el contenido de proteína total mediante </w:t>
      </w:r>
      <w:r>
        <w:rPr>
          <w:spacing w:val="-5"/>
        </w:rPr>
        <w:t>la </w:t>
      </w:r>
      <w:r>
        <w:rPr/>
        <w:t>determinación de N por el método Kjeldahl (AOAC, 1990). El contenido de </w:t>
      </w:r>
      <w:r>
        <w:rPr>
          <w:spacing w:val="-3"/>
        </w:rPr>
        <w:t>fibra </w:t>
      </w:r>
      <w:r>
        <w:rPr/>
        <w:t>neutro (FND), </w:t>
      </w:r>
      <w:r>
        <w:rPr>
          <w:spacing w:val="-3"/>
        </w:rPr>
        <w:t>ácido </w:t>
      </w:r>
      <w:r>
        <w:rPr/>
        <w:t>(FAD) y lignina detergente (LAD) </w:t>
      </w:r>
      <w:r>
        <w:rPr>
          <w:spacing w:val="-3"/>
        </w:rPr>
        <w:t>fue </w:t>
      </w:r>
      <w:r>
        <w:rPr/>
        <w:t>determinada de acuerdo con Van Soest </w:t>
      </w:r>
      <w:r>
        <w:rPr>
          <w:i/>
        </w:rPr>
        <w:t>et al. </w:t>
      </w:r>
      <w:r>
        <w:rPr/>
        <w:t>(1991). El análisis de </w:t>
      </w:r>
      <w:r>
        <w:rPr>
          <w:spacing w:val="-3"/>
        </w:rPr>
        <w:t>la </w:t>
      </w:r>
      <w:r>
        <w:rPr/>
        <w:t>composición química de </w:t>
      </w:r>
      <w:r>
        <w:rPr>
          <w:spacing w:val="-3"/>
        </w:rPr>
        <w:t>la </w:t>
      </w:r>
      <w:r>
        <w:rPr/>
        <w:t>leche (proteína, grasa, lactosa) se determinó con  un equipo analizador de </w:t>
      </w:r>
      <w:r>
        <w:rPr>
          <w:spacing w:val="-3"/>
        </w:rPr>
        <w:t>leche </w:t>
      </w:r>
      <w:r>
        <w:rPr/>
        <w:t>(Lactoscan S-L 60). El contenido de ácidos grasos de los alimentos se determinó mediante </w:t>
      </w:r>
      <w:r>
        <w:rPr>
          <w:spacing w:val="-5"/>
        </w:rPr>
        <w:t>la </w:t>
      </w:r>
      <w:r>
        <w:rPr/>
        <w:t>técnica descrita por Sukhija y Palmquist (1988) con modificaciones de Palmquist y Jenkins (2003) utilizando ácido clorhídrico metanólico al 10% en </w:t>
      </w:r>
      <w:r>
        <w:rPr>
          <w:spacing w:val="-5"/>
        </w:rPr>
        <w:t>la </w:t>
      </w:r>
      <w:r>
        <w:rPr/>
        <w:t>esterificación de los ácidos grasos y hexano como solvente orgánico. El análisis de </w:t>
      </w:r>
      <w:r>
        <w:rPr>
          <w:spacing w:val="-5"/>
        </w:rPr>
        <w:t>la </w:t>
      </w:r>
      <w:r>
        <w:rPr/>
        <w:t>composición química de </w:t>
      </w:r>
      <w:r>
        <w:rPr>
          <w:spacing w:val="-3"/>
        </w:rPr>
        <w:t>la leche </w:t>
      </w:r>
      <w:r>
        <w:rPr/>
        <w:t>(proteína, grasa, lactosa) se determinó con un equipo analizador de </w:t>
      </w:r>
      <w:r>
        <w:rPr>
          <w:spacing w:val="-3"/>
        </w:rPr>
        <w:t>leche </w:t>
      </w:r>
      <w:r>
        <w:rPr/>
        <w:t>(Lactoscan S-L 60). La determinación del perfil de ácidos grasos de </w:t>
      </w:r>
      <w:r>
        <w:rPr>
          <w:spacing w:val="-5"/>
        </w:rPr>
        <w:t>la </w:t>
      </w:r>
      <w:r>
        <w:rPr/>
        <w:t>leche se hizo previa extracción de </w:t>
      </w:r>
      <w:r>
        <w:rPr>
          <w:spacing w:val="-3"/>
        </w:rPr>
        <w:t>la </w:t>
      </w:r>
      <w:r>
        <w:rPr/>
        <w:t>grasa de acuerdo con </w:t>
      </w:r>
      <w:r>
        <w:rPr>
          <w:spacing w:val="-5"/>
        </w:rPr>
        <w:t>la </w:t>
      </w:r>
      <w:r>
        <w:rPr/>
        <w:t>técnica descrita por </w:t>
      </w:r>
      <w:r>
        <w:rPr>
          <w:spacing w:val="-3"/>
        </w:rPr>
        <w:t>Feng </w:t>
      </w:r>
      <w:r>
        <w:rPr>
          <w:i/>
        </w:rPr>
        <w:t>et al</w:t>
      </w:r>
      <w:r>
        <w:rPr/>
        <w:t>. (2004), </w:t>
      </w:r>
      <w:r>
        <w:rPr>
          <w:spacing w:val="-5"/>
        </w:rPr>
        <w:t>la </w:t>
      </w:r>
      <w:r>
        <w:rPr/>
        <w:t>metilación de </w:t>
      </w:r>
      <w:r>
        <w:rPr>
          <w:spacing w:val="-3"/>
        </w:rPr>
        <w:t>la </w:t>
      </w:r>
      <w:r>
        <w:rPr/>
        <w:t>muestra se realizó de acuerdo con </w:t>
      </w:r>
      <w:r>
        <w:rPr>
          <w:spacing w:val="-5"/>
        </w:rPr>
        <w:t>la </w:t>
      </w:r>
      <w:r>
        <w:rPr/>
        <w:t>metodología descrita por Christie (1982) con modificaciones de Chouinard </w:t>
      </w:r>
      <w:r>
        <w:rPr>
          <w:i/>
        </w:rPr>
        <w:t>et al</w:t>
      </w:r>
      <w:r>
        <w:rPr/>
        <w:t>. (1999). Los esteres metílicos de los ácidos grasos de </w:t>
      </w:r>
      <w:r>
        <w:rPr>
          <w:spacing w:val="-3"/>
        </w:rPr>
        <w:t>leche </w:t>
      </w:r>
      <w:r>
        <w:rPr/>
        <w:t>y alimentos fueron separados y cuantificados por cromatografía de gases con un cromatógrafo </w:t>
      </w:r>
      <w:r>
        <w:rPr>
          <w:spacing w:val="-3"/>
        </w:rPr>
        <w:t>marca </w:t>
      </w:r>
      <w:r>
        <w:rPr/>
        <w:t>Perkin Elmer </w:t>
      </w:r>
      <w:r>
        <w:rPr>
          <w:spacing w:val="-3"/>
        </w:rPr>
        <w:t>modelo </w:t>
      </w:r>
      <w:r>
        <w:rPr/>
        <w:t>Clarus 500 con  una  columna capilar de 100m x 0.25mm x 0.2µm marca SUPELCO TM-2560 utilizando nitrógeno como gas acarreador. La temperatura del horno </w:t>
      </w:r>
      <w:r>
        <w:rPr>
          <w:spacing w:val="-3"/>
        </w:rPr>
        <w:t>fue </w:t>
      </w:r>
      <w:r>
        <w:rPr/>
        <w:t>de 140°C por 5 minutos y se elevó hasta  </w:t>
      </w:r>
      <w:r>
        <w:rPr>
          <w:spacing w:val="47"/>
        </w:rPr>
        <w:t> </w:t>
      </w:r>
      <w:r>
        <w:rPr/>
        <w:t>240</w:t>
      </w:r>
    </w:p>
    <w:p>
      <w:pPr>
        <w:pStyle w:val="BodyText"/>
        <w:spacing w:line="357" w:lineRule="auto" w:before="9"/>
        <w:ind w:left="512" w:right="102"/>
        <w:jc w:val="both"/>
      </w:pPr>
      <w:r>
        <w:rPr>
          <w:spacing w:val="-3"/>
        </w:rPr>
        <w:t>°C </w:t>
      </w:r>
      <w:r>
        <w:rPr/>
        <w:t>con incrementos de 4 </w:t>
      </w:r>
      <w:r>
        <w:rPr>
          <w:spacing w:val="-3"/>
        </w:rPr>
        <w:t>°C </w:t>
      </w:r>
      <w:r>
        <w:rPr/>
        <w:t>por minuto. El inyector y detector se mantuvieron a 260 </w:t>
      </w:r>
      <w:r>
        <w:rPr>
          <w:spacing w:val="-3"/>
        </w:rPr>
        <w:t>°C.</w:t>
      </w:r>
      <w:r>
        <w:rPr>
          <w:spacing w:val="54"/>
        </w:rPr>
        <w:t> </w:t>
      </w:r>
      <w:r>
        <w:rPr/>
        <w:t>Cada pico </w:t>
      </w:r>
      <w:r>
        <w:rPr>
          <w:spacing w:val="-3"/>
        </w:rPr>
        <w:t>fue </w:t>
      </w:r>
      <w:r>
        <w:rPr/>
        <w:t>identificado de acuerdo con los tiempos de retención de estándares de esteres metílicos </w:t>
      </w:r>
      <w:r>
        <w:rPr>
          <w:spacing w:val="-3"/>
        </w:rPr>
        <w:t>marca </w:t>
      </w:r>
      <w:r>
        <w:rPr/>
        <w:t>Supelco 37, </w:t>
      </w:r>
      <w:r>
        <w:rPr>
          <w:spacing w:val="-4"/>
        </w:rPr>
        <w:t>FAME </w:t>
      </w:r>
      <w:r>
        <w:rPr/>
        <w:t>MIX analytical SIGMA USA.</w:t>
      </w:r>
    </w:p>
    <w:p>
      <w:pPr>
        <w:pStyle w:val="Heading1"/>
        <w:numPr>
          <w:ilvl w:val="0"/>
          <w:numId w:val="11"/>
        </w:numPr>
        <w:tabs>
          <w:tab w:pos="1233" w:val="left" w:leader="none"/>
        </w:tabs>
        <w:spacing w:line="240" w:lineRule="auto" w:before="213" w:after="0"/>
        <w:ind w:left="1233" w:right="0" w:hanging="360"/>
        <w:jc w:val="left"/>
      </w:pPr>
      <w:r>
        <w:rPr/>
        <w:t>Análisis</w:t>
      </w:r>
      <w:r>
        <w:rPr>
          <w:spacing w:val="-7"/>
        </w:rPr>
        <w:t> </w:t>
      </w:r>
      <w:r>
        <w:rPr/>
        <w:t>estadístico</w:t>
      </w:r>
    </w:p>
    <w:p>
      <w:pPr>
        <w:pStyle w:val="BodyText"/>
        <w:spacing w:before="5"/>
        <w:rPr>
          <w:b/>
          <w:sz w:val="29"/>
        </w:rPr>
      </w:pPr>
    </w:p>
    <w:p>
      <w:pPr>
        <w:pStyle w:val="BodyText"/>
        <w:spacing w:line="360" w:lineRule="auto"/>
        <w:ind w:left="512" w:right="111"/>
        <w:jc w:val="both"/>
      </w:pPr>
      <w:r>
        <w:rPr/>
        <w:t>El análisis estadístico de las variables de respuesta (consumo de materia seca, producción, composición y perfil de ácidos grasos de la leche) se realizó para un diseño completamente al azar con arreglo factorial 3*2 incluyendo los efectos del nivel de concentrado y genotipo</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55" w:lineRule="auto" w:before="69"/>
        <w:ind w:left="512" w:right="105"/>
      </w:pPr>
      <w:r>
        <w:rPr/>
        <w:t>animal, aplicando el procedimiento mixed del paquete estadístico SAS (1999). El modelo lineal fue el siguiente:</w:t>
      </w:r>
    </w:p>
    <w:p>
      <w:pPr>
        <w:pStyle w:val="BodyText"/>
        <w:spacing w:before="2"/>
        <w:rPr>
          <w:sz w:val="19"/>
        </w:rPr>
      </w:pPr>
    </w:p>
    <w:p>
      <w:pPr>
        <w:spacing w:before="0"/>
        <w:ind w:left="3317" w:right="105" w:firstLine="0"/>
        <w:jc w:val="left"/>
        <w:rPr>
          <w:b/>
          <w:sz w:val="16"/>
        </w:rPr>
      </w:pPr>
      <w:r>
        <w:rPr>
          <w:b/>
          <w:sz w:val="24"/>
        </w:rPr>
        <w:t>Y</w:t>
      </w:r>
      <w:r>
        <w:rPr>
          <w:b/>
          <w:position w:val="-2"/>
          <w:sz w:val="16"/>
        </w:rPr>
        <w:t>ijk </w:t>
      </w:r>
      <w:r>
        <w:rPr>
          <w:b/>
          <w:sz w:val="24"/>
        </w:rPr>
        <w:t>= μ + G</w:t>
      </w:r>
      <w:r>
        <w:rPr>
          <w:b/>
          <w:position w:val="-2"/>
          <w:sz w:val="16"/>
        </w:rPr>
        <w:t>i </w:t>
      </w:r>
      <w:r>
        <w:rPr>
          <w:b/>
          <w:sz w:val="24"/>
        </w:rPr>
        <w:t>+ C</w:t>
      </w:r>
      <w:r>
        <w:rPr>
          <w:b/>
          <w:position w:val="-2"/>
          <w:sz w:val="16"/>
        </w:rPr>
        <w:t>j </w:t>
      </w:r>
      <w:r>
        <w:rPr>
          <w:b/>
          <w:sz w:val="24"/>
        </w:rPr>
        <w:t>+ (G*C)</w:t>
      </w:r>
      <w:r>
        <w:rPr>
          <w:b/>
          <w:position w:val="-2"/>
          <w:sz w:val="16"/>
        </w:rPr>
        <w:t>ij </w:t>
      </w:r>
      <w:r>
        <w:rPr>
          <w:b/>
          <w:sz w:val="24"/>
        </w:rPr>
        <w:t>+  E</w:t>
      </w:r>
      <w:r>
        <w:rPr>
          <w:b/>
          <w:position w:val="-2"/>
          <w:sz w:val="16"/>
        </w:rPr>
        <w:t>k</w:t>
      </w:r>
    </w:p>
    <w:p>
      <w:pPr>
        <w:pStyle w:val="BodyText"/>
        <w:rPr>
          <w:b/>
        </w:rPr>
      </w:pPr>
    </w:p>
    <w:p>
      <w:pPr>
        <w:pStyle w:val="BodyText"/>
        <w:spacing w:before="7"/>
        <w:rPr>
          <w:b/>
          <w:sz w:val="22"/>
        </w:rPr>
      </w:pPr>
    </w:p>
    <w:p>
      <w:pPr>
        <w:pStyle w:val="BodyText"/>
        <w:spacing w:before="1"/>
        <w:ind w:left="512"/>
        <w:jc w:val="both"/>
      </w:pPr>
      <w:r>
        <w:rPr/>
        <w:t>Donde:</w:t>
      </w:r>
    </w:p>
    <w:p>
      <w:pPr>
        <w:pStyle w:val="BodyText"/>
      </w:pPr>
    </w:p>
    <w:p>
      <w:pPr>
        <w:pStyle w:val="BodyText"/>
        <w:spacing w:before="9"/>
        <w:rPr>
          <w:sz w:val="23"/>
        </w:rPr>
      </w:pPr>
    </w:p>
    <w:p>
      <w:pPr>
        <w:pStyle w:val="BodyText"/>
        <w:spacing w:line="348" w:lineRule="auto"/>
        <w:ind w:left="512" w:right="5805"/>
      </w:pPr>
      <w:r>
        <w:rPr/>
        <w:t>Y</w:t>
      </w:r>
      <w:r>
        <w:rPr>
          <w:position w:val="-2"/>
          <w:sz w:val="16"/>
        </w:rPr>
        <w:t>ijk </w:t>
      </w:r>
      <w:r>
        <w:rPr/>
        <w:t>= es la variable dependiente. μ = es la media general.</w:t>
      </w:r>
    </w:p>
    <w:p>
      <w:pPr>
        <w:pStyle w:val="BodyText"/>
        <w:spacing w:before="22"/>
        <w:ind w:left="512"/>
        <w:jc w:val="both"/>
      </w:pPr>
      <w:r>
        <w:rPr/>
        <w:t>G</w:t>
      </w:r>
      <w:r>
        <w:rPr>
          <w:position w:val="-2"/>
          <w:sz w:val="16"/>
        </w:rPr>
        <w:t>i </w:t>
      </w:r>
      <w:r>
        <w:rPr/>
        <w:t>= es el efecto del genotipo animal (Holstein, Pardo Suizo).</w:t>
      </w:r>
    </w:p>
    <w:p>
      <w:pPr>
        <w:pStyle w:val="BodyText"/>
        <w:spacing w:line="348" w:lineRule="auto" w:before="124"/>
        <w:ind w:left="512" w:right="105"/>
      </w:pPr>
      <w:r>
        <w:rPr/>
        <w:t>C</w:t>
      </w:r>
      <w:r>
        <w:rPr>
          <w:position w:val="-2"/>
          <w:sz w:val="16"/>
        </w:rPr>
        <w:t>j </w:t>
      </w:r>
      <w:r>
        <w:rPr/>
        <w:t>= es el efecto del origen de la leche relacionado al nivel de concentrado complementado (3.0, 5.0 y 8.0 kg de concentrado por vaca por día).</w:t>
      </w:r>
    </w:p>
    <w:p>
      <w:pPr>
        <w:pStyle w:val="BodyText"/>
        <w:spacing w:line="348" w:lineRule="auto" w:before="17"/>
        <w:ind w:left="512" w:right="105"/>
      </w:pPr>
      <w:r>
        <w:rPr/>
        <w:t>G*C</w:t>
      </w:r>
      <w:r>
        <w:rPr>
          <w:position w:val="-2"/>
          <w:sz w:val="16"/>
        </w:rPr>
        <w:t>ij </w:t>
      </w:r>
      <w:r>
        <w:rPr/>
        <w:t>= es el efecto de la interacción del genotipo animal por el origen de la leche relacionado al nivel de concentrado complementado.</w:t>
      </w:r>
    </w:p>
    <w:p>
      <w:pPr>
        <w:pStyle w:val="BodyText"/>
        <w:spacing w:before="22"/>
        <w:ind w:left="512"/>
        <w:jc w:val="both"/>
      </w:pPr>
      <w:r>
        <w:rPr/>
        <w:t>E</w:t>
      </w:r>
      <w:r>
        <w:rPr>
          <w:position w:val="-2"/>
          <w:sz w:val="16"/>
        </w:rPr>
        <w:t>k  </w:t>
      </w:r>
      <w:r>
        <w:rPr/>
        <w:t>= es el error residual.</w:t>
      </w:r>
    </w:p>
    <w:p>
      <w:pPr>
        <w:pStyle w:val="BodyText"/>
      </w:pPr>
    </w:p>
    <w:p>
      <w:pPr>
        <w:pStyle w:val="BodyText"/>
        <w:spacing w:before="7"/>
        <w:rPr>
          <w:sz w:val="22"/>
        </w:rPr>
      </w:pPr>
    </w:p>
    <w:p>
      <w:pPr>
        <w:pStyle w:val="BodyText"/>
        <w:spacing w:line="360" w:lineRule="auto" w:before="1"/>
        <w:ind w:left="512" w:right="104"/>
        <w:jc w:val="both"/>
      </w:pPr>
      <w:r>
        <w:rPr/>
        <w:t>Los datos de composición química de los alimentos fueron procesados con análisis de varianza utilizando el procedimiento GLM (SAS, 1999) considerando el efecto del periodo y el error experimental. En aquellas variables donde se observó significancia (</w:t>
      </w:r>
      <w:r>
        <w:rPr>
          <w:i/>
        </w:rPr>
        <w:t>P&lt;</w:t>
      </w:r>
      <w:r>
        <w:rPr/>
        <w:t>0.05) se aplicó la prueba de Tukey para la comparación de medias (Steel </w:t>
      </w:r>
      <w:r>
        <w:rPr>
          <w:i/>
        </w:rPr>
        <w:t>et al</w:t>
      </w:r>
      <w:r>
        <w:rPr/>
        <w:t>., 1997).</w:t>
      </w:r>
    </w:p>
    <w:p>
      <w:pPr>
        <w:spacing w:after="0" w:line="360" w:lineRule="auto"/>
        <w:jc w:val="both"/>
        <w:sectPr>
          <w:footerReference w:type="default" r:id="rId27"/>
          <w:pgSz w:w="12240" w:h="15840"/>
          <w:pgMar w:footer="1382" w:header="1150" w:top="1420" w:bottom="1580" w:left="1360" w:right="1420"/>
        </w:sectPr>
      </w:pPr>
    </w:p>
    <w:p>
      <w:pPr>
        <w:pStyle w:val="BodyText"/>
        <w:spacing w:before="8"/>
        <w:rPr>
          <w:sz w:val="27"/>
        </w:rPr>
      </w:pPr>
    </w:p>
    <w:p>
      <w:pPr>
        <w:pStyle w:val="Heading1"/>
        <w:numPr>
          <w:ilvl w:val="0"/>
          <w:numId w:val="10"/>
        </w:numPr>
        <w:tabs>
          <w:tab w:pos="3662" w:val="left" w:leader="none"/>
          <w:tab w:pos="3663" w:val="left" w:leader="none"/>
        </w:tabs>
        <w:spacing w:line="240" w:lineRule="auto" w:before="69" w:after="0"/>
        <w:ind w:left="3662" w:right="0" w:hanging="782"/>
        <w:jc w:val="left"/>
      </w:pPr>
      <w:bookmarkStart w:name="_TOC_250002" w:id="64"/>
      <w:r>
        <w:rPr/>
        <w:t>RESULTADOS Y</w:t>
      </w:r>
      <w:r>
        <w:rPr>
          <w:spacing w:val="-13"/>
        </w:rPr>
        <w:t> </w:t>
      </w:r>
      <w:bookmarkEnd w:id="64"/>
      <w:r>
        <w:rPr/>
        <w:t>DISCUSIÓN</w:t>
      </w:r>
    </w:p>
    <w:p>
      <w:pPr>
        <w:pStyle w:val="ListParagraph"/>
        <w:numPr>
          <w:ilvl w:val="0"/>
          <w:numId w:val="13"/>
        </w:numPr>
        <w:tabs>
          <w:tab w:pos="1233" w:val="left" w:leader="none"/>
        </w:tabs>
        <w:spacing w:line="240" w:lineRule="auto" w:before="132" w:after="0"/>
        <w:ind w:left="1233" w:right="0" w:hanging="360"/>
        <w:jc w:val="left"/>
        <w:rPr>
          <w:b/>
          <w:sz w:val="24"/>
        </w:rPr>
      </w:pPr>
      <w:r>
        <w:rPr>
          <w:b/>
          <w:sz w:val="24"/>
        </w:rPr>
        <w:t>Composición química de</w:t>
      </w:r>
      <w:r>
        <w:rPr>
          <w:b/>
          <w:spacing w:val="-15"/>
          <w:sz w:val="24"/>
        </w:rPr>
        <w:t> </w:t>
      </w:r>
      <w:r>
        <w:rPr>
          <w:b/>
          <w:sz w:val="24"/>
        </w:rPr>
        <w:t>alimentos</w:t>
      </w:r>
    </w:p>
    <w:p>
      <w:pPr>
        <w:pStyle w:val="BodyText"/>
        <w:spacing w:before="5"/>
        <w:rPr>
          <w:b/>
          <w:sz w:val="29"/>
        </w:rPr>
      </w:pPr>
    </w:p>
    <w:p>
      <w:pPr>
        <w:pStyle w:val="BodyText"/>
        <w:spacing w:line="360" w:lineRule="auto"/>
        <w:ind w:left="512" w:right="182"/>
        <w:jc w:val="both"/>
      </w:pPr>
      <w:r>
        <w:rPr/>
        <w:t>La composición química de los alimentos consumidos por el ganado vacuno durante el experimento se muestra en el Cuadro 4. No se observaron diferencias (</w:t>
      </w:r>
      <w:r>
        <w:rPr>
          <w:i/>
        </w:rPr>
        <w:t>P</w:t>
      </w:r>
      <w:r>
        <w:rPr/>
        <w:t>&lt;0.05) en su composición química en los tres periodos experimentales. Recientemente, evaluando diferentes estrategias de alimentación basadas en el tiempo de pastoreo complementario a dietas completas mezcladas (TMR), Morales-Almaráz </w:t>
      </w:r>
      <w:r>
        <w:rPr>
          <w:i/>
        </w:rPr>
        <w:t>et al</w:t>
      </w:r>
      <w:r>
        <w:rPr/>
        <w:t>. (2010) no encontraron variaciones significativas (</w:t>
      </w:r>
      <w:r>
        <w:rPr>
          <w:i/>
        </w:rPr>
        <w:t>P</w:t>
      </w:r>
      <w:r>
        <w:rPr/>
        <w:t>&gt;0.05) entre periodos en la composición química de la TMR formulada a base de forrajes conservados (ensilado de maíz y haba forrajera), sin embargo, en el forraje fresco reportaron variaciones en el contenido de MS y proteína.</w:t>
      </w:r>
    </w:p>
    <w:p>
      <w:pPr>
        <w:pStyle w:val="BodyText"/>
        <w:spacing w:line="360" w:lineRule="auto" w:before="210"/>
        <w:ind w:left="512" w:right="189"/>
        <w:jc w:val="both"/>
      </w:pPr>
      <w:r>
        <w:rPr>
          <w:b/>
        </w:rPr>
        <w:t>Cuadro 4. </w:t>
      </w:r>
      <w:r>
        <w:rPr/>
        <w:t>Composición química y contenido de ácidos grasos del ensilado de maíz, forraje y concentrado.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spacing w:line="355" w:lineRule="auto" w:before="84"/>
        <w:ind w:left="512" w:right="0" w:firstLine="0"/>
        <w:jc w:val="left"/>
        <w:rPr>
          <w:sz w:val="20"/>
        </w:rPr>
      </w:pPr>
      <w:r>
        <w:rPr/>
        <w:pict>
          <v:shape style="position:absolute;margin-left:89.328003pt;margin-top:-292.521606pt;width:449.95pt;height:298.45pt;mso-position-horizontal-relative:page;mso-position-vertical-relative:paragraph;z-index:16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3"/>
                    <w:gridCol w:w="3140"/>
                    <w:gridCol w:w="1288"/>
                    <w:gridCol w:w="1858"/>
                  </w:tblGrid>
                  <w:tr>
                    <w:trPr>
                      <w:trHeight w:val="258" w:hRule="exact"/>
                    </w:trPr>
                    <w:tc>
                      <w:tcPr>
                        <w:tcW w:w="2713" w:type="dxa"/>
                        <w:tcBorders>
                          <w:left w:val="nil"/>
                          <w:bottom w:val="nil"/>
                          <w:right w:val="nil"/>
                        </w:tcBorders>
                      </w:tcPr>
                      <w:p>
                        <w:pPr/>
                      </w:p>
                    </w:tc>
                    <w:tc>
                      <w:tcPr>
                        <w:tcW w:w="3140" w:type="dxa"/>
                        <w:tcBorders>
                          <w:left w:val="nil"/>
                          <w:bottom w:val="nil"/>
                          <w:right w:val="nil"/>
                        </w:tcBorders>
                      </w:tcPr>
                      <w:p>
                        <w:pPr>
                          <w:pStyle w:val="TableParagraph"/>
                          <w:spacing w:line="273" w:lineRule="exact"/>
                          <w:ind w:left="1136" w:right="215"/>
                          <w:rPr>
                            <w:b/>
                            <w:sz w:val="24"/>
                          </w:rPr>
                        </w:pPr>
                        <w:r>
                          <w:rPr>
                            <w:b/>
                            <w:sz w:val="24"/>
                          </w:rPr>
                          <w:t>Ensilado de maíz</w:t>
                        </w:r>
                      </w:p>
                    </w:tc>
                    <w:tc>
                      <w:tcPr>
                        <w:tcW w:w="1288" w:type="dxa"/>
                        <w:tcBorders>
                          <w:left w:val="nil"/>
                          <w:bottom w:val="nil"/>
                          <w:right w:val="nil"/>
                        </w:tcBorders>
                      </w:tcPr>
                      <w:p>
                        <w:pPr>
                          <w:pStyle w:val="TableParagraph"/>
                          <w:spacing w:line="273" w:lineRule="exact"/>
                          <w:ind w:left="215" w:right="245"/>
                          <w:rPr>
                            <w:b/>
                            <w:sz w:val="24"/>
                          </w:rPr>
                        </w:pPr>
                        <w:r>
                          <w:rPr>
                            <w:b/>
                            <w:sz w:val="24"/>
                          </w:rPr>
                          <w:t>Forraje</w:t>
                        </w:r>
                      </w:p>
                    </w:tc>
                    <w:tc>
                      <w:tcPr>
                        <w:tcW w:w="1858" w:type="dxa"/>
                        <w:tcBorders>
                          <w:left w:val="nil"/>
                          <w:bottom w:val="nil"/>
                          <w:right w:val="nil"/>
                        </w:tcBorders>
                      </w:tcPr>
                      <w:p>
                        <w:pPr>
                          <w:pStyle w:val="TableParagraph"/>
                          <w:spacing w:line="273" w:lineRule="exact"/>
                          <w:ind w:left="246" w:right="238"/>
                          <w:rPr>
                            <w:b/>
                            <w:sz w:val="24"/>
                          </w:rPr>
                        </w:pPr>
                        <w:r>
                          <w:rPr>
                            <w:b/>
                            <w:sz w:val="24"/>
                          </w:rPr>
                          <w:t>Concentrado</w:t>
                        </w:r>
                      </w:p>
                    </w:tc>
                  </w:tr>
                  <w:tr>
                    <w:trPr>
                      <w:trHeight w:val="418" w:hRule="exact"/>
                    </w:trPr>
                    <w:tc>
                      <w:tcPr>
                        <w:tcW w:w="8999" w:type="dxa"/>
                        <w:gridSpan w:val="4"/>
                        <w:tcBorders>
                          <w:top w:val="nil"/>
                          <w:left w:val="nil"/>
                          <w:bottom w:val="nil"/>
                          <w:right w:val="nil"/>
                        </w:tcBorders>
                      </w:tcPr>
                      <w:p>
                        <w:pPr>
                          <w:pStyle w:val="TableParagraph"/>
                          <w:tabs>
                            <w:tab w:pos="9053" w:val="left" w:leader="none"/>
                          </w:tabs>
                          <w:spacing w:line="231" w:lineRule="exact"/>
                          <w:ind w:left="196" w:right="-56"/>
                          <w:jc w:val="left"/>
                          <w:rPr>
                            <w:b/>
                            <w:sz w:val="24"/>
                          </w:rPr>
                        </w:pPr>
                        <w:r>
                          <w:rPr>
                            <w:b/>
                            <w:sz w:val="24"/>
                          </w:rPr>
                          <w:t>Composición química (g/kg</w:t>
                        </w:r>
                        <w:r>
                          <w:rPr>
                            <w:b/>
                            <w:spacing w:val="-7"/>
                            <w:sz w:val="24"/>
                          </w:rPr>
                          <w:t> </w:t>
                        </w:r>
                        <w:r>
                          <w:rPr>
                            <w:b/>
                            <w:sz w:val="24"/>
                          </w:rPr>
                          <w:t>MS)  </w:t>
                        </w:r>
                        <w:r>
                          <w:rPr>
                            <w:b/>
                            <w:spacing w:val="5"/>
                            <w:sz w:val="24"/>
                          </w:rPr>
                          <w:t> </w:t>
                        </w:r>
                        <w:r>
                          <w:rPr>
                            <w:b/>
                            <w:sz w:val="24"/>
                            <w:u w:val="single"/>
                          </w:rPr>
                          <w:t> </w:t>
                          <w:tab/>
                        </w:r>
                      </w:p>
                    </w:tc>
                  </w:tr>
                  <w:tr>
                    <w:trPr>
                      <w:trHeight w:val="449" w:hRule="exact"/>
                    </w:trPr>
                    <w:tc>
                      <w:tcPr>
                        <w:tcW w:w="2713" w:type="dxa"/>
                        <w:tcBorders>
                          <w:top w:val="nil"/>
                          <w:left w:val="nil"/>
                          <w:bottom w:val="nil"/>
                          <w:right w:val="nil"/>
                        </w:tcBorders>
                      </w:tcPr>
                      <w:p>
                        <w:pPr>
                          <w:pStyle w:val="TableParagraph"/>
                          <w:spacing w:before="161"/>
                          <w:ind w:left="86"/>
                          <w:jc w:val="left"/>
                          <w:rPr>
                            <w:sz w:val="24"/>
                          </w:rPr>
                        </w:pPr>
                        <w:r>
                          <w:rPr>
                            <w:sz w:val="24"/>
                          </w:rPr>
                          <w:t>MS</w:t>
                        </w:r>
                      </w:p>
                    </w:tc>
                    <w:tc>
                      <w:tcPr>
                        <w:tcW w:w="3140" w:type="dxa"/>
                        <w:tcBorders>
                          <w:top w:val="nil"/>
                          <w:left w:val="nil"/>
                          <w:bottom w:val="nil"/>
                          <w:right w:val="nil"/>
                        </w:tcBorders>
                      </w:tcPr>
                      <w:p>
                        <w:pPr>
                          <w:pStyle w:val="TableParagraph"/>
                          <w:spacing w:before="161"/>
                          <w:ind w:left="1136" w:right="215"/>
                          <w:rPr>
                            <w:sz w:val="24"/>
                          </w:rPr>
                        </w:pPr>
                        <w:r>
                          <w:rPr>
                            <w:sz w:val="24"/>
                          </w:rPr>
                          <w:t>326.84</w:t>
                        </w:r>
                      </w:p>
                    </w:tc>
                    <w:tc>
                      <w:tcPr>
                        <w:tcW w:w="1288" w:type="dxa"/>
                        <w:tcBorders>
                          <w:top w:val="nil"/>
                          <w:left w:val="nil"/>
                          <w:bottom w:val="nil"/>
                          <w:right w:val="nil"/>
                        </w:tcBorders>
                      </w:tcPr>
                      <w:p>
                        <w:pPr>
                          <w:pStyle w:val="TableParagraph"/>
                          <w:spacing w:before="161"/>
                          <w:ind w:left="215" w:right="241"/>
                          <w:rPr>
                            <w:sz w:val="24"/>
                          </w:rPr>
                        </w:pPr>
                        <w:r>
                          <w:rPr>
                            <w:sz w:val="24"/>
                          </w:rPr>
                          <w:t>243.67</w:t>
                        </w:r>
                      </w:p>
                    </w:tc>
                    <w:tc>
                      <w:tcPr>
                        <w:tcW w:w="1858" w:type="dxa"/>
                        <w:tcBorders>
                          <w:top w:val="nil"/>
                          <w:left w:val="nil"/>
                          <w:bottom w:val="nil"/>
                          <w:right w:val="nil"/>
                        </w:tcBorders>
                      </w:tcPr>
                      <w:p>
                        <w:pPr>
                          <w:pStyle w:val="TableParagraph"/>
                          <w:spacing w:before="161"/>
                          <w:ind w:left="246" w:right="228"/>
                          <w:rPr>
                            <w:sz w:val="24"/>
                          </w:rPr>
                        </w:pPr>
                        <w:r>
                          <w:rPr>
                            <w:sz w:val="24"/>
                          </w:rPr>
                          <w:t>925.0</w:t>
                        </w:r>
                      </w:p>
                    </w:tc>
                  </w:tr>
                  <w:tr>
                    <w:trPr>
                      <w:trHeight w:val="276"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MO</w:t>
                        </w:r>
                      </w:p>
                    </w:tc>
                    <w:tc>
                      <w:tcPr>
                        <w:tcW w:w="3140" w:type="dxa"/>
                        <w:tcBorders>
                          <w:top w:val="nil"/>
                          <w:left w:val="nil"/>
                          <w:bottom w:val="nil"/>
                          <w:right w:val="nil"/>
                        </w:tcBorders>
                      </w:tcPr>
                      <w:p>
                        <w:pPr>
                          <w:pStyle w:val="TableParagraph"/>
                          <w:spacing w:line="262" w:lineRule="exact"/>
                          <w:ind w:left="1136" w:right="215"/>
                          <w:rPr>
                            <w:sz w:val="24"/>
                          </w:rPr>
                        </w:pPr>
                        <w:r>
                          <w:rPr>
                            <w:sz w:val="24"/>
                          </w:rPr>
                          <w:t>944.43</w:t>
                        </w:r>
                      </w:p>
                    </w:tc>
                    <w:tc>
                      <w:tcPr>
                        <w:tcW w:w="1288" w:type="dxa"/>
                        <w:tcBorders>
                          <w:top w:val="nil"/>
                          <w:left w:val="nil"/>
                          <w:bottom w:val="nil"/>
                          <w:right w:val="nil"/>
                        </w:tcBorders>
                      </w:tcPr>
                      <w:p>
                        <w:pPr>
                          <w:pStyle w:val="TableParagraph"/>
                          <w:spacing w:line="262" w:lineRule="exact"/>
                          <w:ind w:left="215" w:right="241"/>
                          <w:rPr>
                            <w:sz w:val="24"/>
                          </w:rPr>
                        </w:pPr>
                        <w:r>
                          <w:rPr>
                            <w:sz w:val="24"/>
                          </w:rPr>
                          <w:t>879.50</w:t>
                        </w:r>
                      </w:p>
                    </w:tc>
                    <w:tc>
                      <w:tcPr>
                        <w:tcW w:w="1858" w:type="dxa"/>
                        <w:tcBorders>
                          <w:top w:val="nil"/>
                          <w:left w:val="nil"/>
                          <w:bottom w:val="nil"/>
                          <w:right w:val="nil"/>
                        </w:tcBorders>
                      </w:tcPr>
                      <w:p>
                        <w:pPr>
                          <w:pStyle w:val="TableParagraph"/>
                          <w:spacing w:line="262" w:lineRule="exact"/>
                          <w:ind w:left="246" w:right="228"/>
                          <w:rPr>
                            <w:sz w:val="24"/>
                          </w:rPr>
                        </w:pPr>
                        <w:r>
                          <w:rPr>
                            <w:sz w:val="24"/>
                          </w:rPr>
                          <w:t>951.1</w:t>
                        </w:r>
                      </w:p>
                    </w:tc>
                  </w:tr>
                  <w:tr>
                    <w:trPr>
                      <w:trHeight w:val="276" w:hRule="exact"/>
                    </w:trPr>
                    <w:tc>
                      <w:tcPr>
                        <w:tcW w:w="2713" w:type="dxa"/>
                        <w:tcBorders>
                          <w:top w:val="nil"/>
                          <w:left w:val="nil"/>
                          <w:bottom w:val="nil"/>
                          <w:right w:val="nil"/>
                        </w:tcBorders>
                      </w:tcPr>
                      <w:p>
                        <w:pPr>
                          <w:pStyle w:val="TableParagraph"/>
                          <w:spacing w:line="264" w:lineRule="exact"/>
                          <w:ind w:left="86"/>
                          <w:jc w:val="left"/>
                          <w:rPr>
                            <w:sz w:val="24"/>
                          </w:rPr>
                        </w:pPr>
                        <w:r>
                          <w:rPr>
                            <w:sz w:val="24"/>
                          </w:rPr>
                          <w:t>PC</w:t>
                        </w:r>
                      </w:p>
                    </w:tc>
                    <w:tc>
                      <w:tcPr>
                        <w:tcW w:w="3140" w:type="dxa"/>
                        <w:tcBorders>
                          <w:top w:val="nil"/>
                          <w:left w:val="nil"/>
                          <w:bottom w:val="nil"/>
                          <w:right w:val="nil"/>
                        </w:tcBorders>
                      </w:tcPr>
                      <w:p>
                        <w:pPr>
                          <w:pStyle w:val="TableParagraph"/>
                          <w:spacing w:line="264" w:lineRule="exact"/>
                          <w:ind w:left="1136" w:right="210"/>
                          <w:rPr>
                            <w:sz w:val="24"/>
                          </w:rPr>
                        </w:pPr>
                        <w:r>
                          <w:rPr>
                            <w:sz w:val="24"/>
                          </w:rPr>
                          <w:t>70.11</w:t>
                        </w:r>
                      </w:p>
                    </w:tc>
                    <w:tc>
                      <w:tcPr>
                        <w:tcW w:w="1288" w:type="dxa"/>
                        <w:tcBorders>
                          <w:top w:val="nil"/>
                          <w:left w:val="nil"/>
                          <w:bottom w:val="nil"/>
                          <w:right w:val="nil"/>
                        </w:tcBorders>
                      </w:tcPr>
                      <w:p>
                        <w:pPr>
                          <w:pStyle w:val="TableParagraph"/>
                          <w:spacing w:line="264" w:lineRule="exact"/>
                          <w:ind w:left="215" w:right="241"/>
                          <w:rPr>
                            <w:sz w:val="24"/>
                          </w:rPr>
                        </w:pPr>
                        <w:r>
                          <w:rPr>
                            <w:sz w:val="24"/>
                          </w:rPr>
                          <w:t>147.97</w:t>
                        </w:r>
                      </w:p>
                    </w:tc>
                    <w:tc>
                      <w:tcPr>
                        <w:tcW w:w="1858" w:type="dxa"/>
                        <w:tcBorders>
                          <w:top w:val="nil"/>
                          <w:left w:val="nil"/>
                          <w:bottom w:val="nil"/>
                          <w:right w:val="nil"/>
                        </w:tcBorders>
                      </w:tcPr>
                      <w:p>
                        <w:pPr>
                          <w:pStyle w:val="TableParagraph"/>
                          <w:spacing w:line="264" w:lineRule="exact"/>
                          <w:ind w:left="246" w:right="228"/>
                          <w:rPr>
                            <w:sz w:val="24"/>
                          </w:rPr>
                        </w:pPr>
                        <w:r>
                          <w:rPr>
                            <w:sz w:val="24"/>
                          </w:rPr>
                          <w:t>182.2</w:t>
                        </w:r>
                      </w:p>
                    </w:tc>
                  </w:tr>
                  <w:tr>
                    <w:trPr>
                      <w:trHeight w:val="276"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FDN</w:t>
                        </w:r>
                      </w:p>
                    </w:tc>
                    <w:tc>
                      <w:tcPr>
                        <w:tcW w:w="3140" w:type="dxa"/>
                        <w:tcBorders>
                          <w:top w:val="nil"/>
                          <w:left w:val="nil"/>
                          <w:bottom w:val="nil"/>
                          <w:right w:val="nil"/>
                        </w:tcBorders>
                      </w:tcPr>
                      <w:p>
                        <w:pPr>
                          <w:pStyle w:val="TableParagraph"/>
                          <w:spacing w:line="262" w:lineRule="exact"/>
                          <w:ind w:left="1136" w:right="215"/>
                          <w:rPr>
                            <w:sz w:val="24"/>
                          </w:rPr>
                        </w:pPr>
                        <w:r>
                          <w:rPr>
                            <w:sz w:val="24"/>
                          </w:rPr>
                          <w:t>608.11</w:t>
                        </w:r>
                      </w:p>
                    </w:tc>
                    <w:tc>
                      <w:tcPr>
                        <w:tcW w:w="1288" w:type="dxa"/>
                        <w:tcBorders>
                          <w:top w:val="nil"/>
                          <w:left w:val="nil"/>
                          <w:bottom w:val="nil"/>
                          <w:right w:val="nil"/>
                        </w:tcBorders>
                      </w:tcPr>
                      <w:p>
                        <w:pPr>
                          <w:pStyle w:val="TableParagraph"/>
                          <w:spacing w:line="262" w:lineRule="exact"/>
                          <w:ind w:left="215" w:right="241"/>
                          <w:rPr>
                            <w:sz w:val="24"/>
                          </w:rPr>
                        </w:pPr>
                        <w:r>
                          <w:rPr>
                            <w:sz w:val="24"/>
                          </w:rPr>
                          <w:t>559.34</w:t>
                        </w:r>
                      </w:p>
                    </w:tc>
                    <w:tc>
                      <w:tcPr>
                        <w:tcW w:w="1858" w:type="dxa"/>
                        <w:tcBorders>
                          <w:top w:val="nil"/>
                          <w:left w:val="nil"/>
                          <w:bottom w:val="nil"/>
                          <w:right w:val="nil"/>
                        </w:tcBorders>
                      </w:tcPr>
                      <w:p>
                        <w:pPr>
                          <w:pStyle w:val="TableParagraph"/>
                          <w:spacing w:line="262" w:lineRule="exact"/>
                          <w:ind w:left="246" w:right="228"/>
                          <w:rPr>
                            <w:sz w:val="24"/>
                          </w:rPr>
                        </w:pPr>
                        <w:r>
                          <w:rPr>
                            <w:sz w:val="24"/>
                          </w:rPr>
                          <w:t>155.6</w:t>
                        </w:r>
                      </w:p>
                    </w:tc>
                  </w:tr>
                  <w:tr>
                    <w:trPr>
                      <w:trHeight w:val="276" w:hRule="exact"/>
                    </w:trPr>
                    <w:tc>
                      <w:tcPr>
                        <w:tcW w:w="2713" w:type="dxa"/>
                        <w:tcBorders>
                          <w:top w:val="nil"/>
                          <w:left w:val="nil"/>
                          <w:bottom w:val="nil"/>
                          <w:right w:val="nil"/>
                        </w:tcBorders>
                      </w:tcPr>
                      <w:p>
                        <w:pPr>
                          <w:pStyle w:val="TableParagraph"/>
                          <w:spacing w:line="264" w:lineRule="exact"/>
                          <w:ind w:left="86"/>
                          <w:jc w:val="left"/>
                          <w:rPr>
                            <w:sz w:val="24"/>
                          </w:rPr>
                        </w:pPr>
                        <w:r>
                          <w:rPr>
                            <w:sz w:val="24"/>
                          </w:rPr>
                          <w:t>FDA</w:t>
                        </w:r>
                      </w:p>
                    </w:tc>
                    <w:tc>
                      <w:tcPr>
                        <w:tcW w:w="3140" w:type="dxa"/>
                        <w:tcBorders>
                          <w:top w:val="nil"/>
                          <w:left w:val="nil"/>
                          <w:bottom w:val="nil"/>
                          <w:right w:val="nil"/>
                        </w:tcBorders>
                      </w:tcPr>
                      <w:p>
                        <w:pPr>
                          <w:pStyle w:val="TableParagraph"/>
                          <w:spacing w:line="264" w:lineRule="exact"/>
                          <w:ind w:left="1136" w:right="215"/>
                          <w:rPr>
                            <w:sz w:val="24"/>
                          </w:rPr>
                        </w:pPr>
                        <w:r>
                          <w:rPr>
                            <w:sz w:val="24"/>
                          </w:rPr>
                          <w:t>328.64</w:t>
                        </w:r>
                      </w:p>
                    </w:tc>
                    <w:tc>
                      <w:tcPr>
                        <w:tcW w:w="1288" w:type="dxa"/>
                        <w:tcBorders>
                          <w:top w:val="nil"/>
                          <w:left w:val="nil"/>
                          <w:bottom w:val="nil"/>
                          <w:right w:val="nil"/>
                        </w:tcBorders>
                      </w:tcPr>
                      <w:p>
                        <w:pPr>
                          <w:pStyle w:val="TableParagraph"/>
                          <w:spacing w:line="264" w:lineRule="exact"/>
                          <w:ind w:left="215" w:right="241"/>
                          <w:rPr>
                            <w:sz w:val="24"/>
                          </w:rPr>
                        </w:pPr>
                        <w:r>
                          <w:rPr>
                            <w:sz w:val="24"/>
                          </w:rPr>
                          <w:t>281.80</w:t>
                        </w:r>
                      </w:p>
                    </w:tc>
                    <w:tc>
                      <w:tcPr>
                        <w:tcW w:w="1858" w:type="dxa"/>
                        <w:tcBorders>
                          <w:top w:val="nil"/>
                          <w:left w:val="nil"/>
                          <w:bottom w:val="nil"/>
                          <w:right w:val="nil"/>
                        </w:tcBorders>
                      </w:tcPr>
                      <w:p>
                        <w:pPr>
                          <w:pStyle w:val="TableParagraph"/>
                          <w:spacing w:line="264" w:lineRule="exact"/>
                          <w:ind w:left="246" w:right="233"/>
                          <w:rPr>
                            <w:sz w:val="24"/>
                          </w:rPr>
                        </w:pPr>
                        <w:r>
                          <w:rPr>
                            <w:sz w:val="24"/>
                          </w:rPr>
                          <w:t>64.0</w:t>
                        </w:r>
                      </w:p>
                    </w:tc>
                  </w:tr>
                  <w:tr>
                    <w:trPr>
                      <w:trHeight w:val="254"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LDA</w:t>
                        </w:r>
                      </w:p>
                    </w:tc>
                    <w:tc>
                      <w:tcPr>
                        <w:tcW w:w="3140" w:type="dxa"/>
                        <w:tcBorders>
                          <w:top w:val="nil"/>
                          <w:left w:val="nil"/>
                          <w:bottom w:val="nil"/>
                          <w:right w:val="nil"/>
                        </w:tcBorders>
                      </w:tcPr>
                      <w:p>
                        <w:pPr>
                          <w:pStyle w:val="TableParagraph"/>
                          <w:spacing w:line="262" w:lineRule="exact"/>
                          <w:ind w:left="1136" w:right="210"/>
                          <w:rPr>
                            <w:sz w:val="24"/>
                          </w:rPr>
                        </w:pPr>
                        <w:r>
                          <w:rPr>
                            <w:sz w:val="24"/>
                          </w:rPr>
                          <w:t>45.42</w:t>
                        </w:r>
                      </w:p>
                    </w:tc>
                    <w:tc>
                      <w:tcPr>
                        <w:tcW w:w="1288" w:type="dxa"/>
                        <w:tcBorders>
                          <w:top w:val="nil"/>
                          <w:left w:val="nil"/>
                          <w:bottom w:val="nil"/>
                          <w:right w:val="nil"/>
                        </w:tcBorders>
                      </w:tcPr>
                      <w:p>
                        <w:pPr>
                          <w:pStyle w:val="TableParagraph"/>
                          <w:spacing w:line="262" w:lineRule="exact"/>
                          <w:ind w:left="215" w:right="236"/>
                          <w:rPr>
                            <w:sz w:val="24"/>
                          </w:rPr>
                        </w:pPr>
                        <w:r>
                          <w:rPr>
                            <w:sz w:val="24"/>
                          </w:rPr>
                          <w:t>36.43</w:t>
                        </w:r>
                      </w:p>
                    </w:tc>
                    <w:tc>
                      <w:tcPr>
                        <w:tcW w:w="1858" w:type="dxa"/>
                        <w:tcBorders>
                          <w:top w:val="nil"/>
                          <w:left w:val="nil"/>
                          <w:bottom w:val="nil"/>
                          <w:right w:val="nil"/>
                        </w:tcBorders>
                      </w:tcPr>
                      <w:p>
                        <w:pPr>
                          <w:pStyle w:val="TableParagraph"/>
                          <w:spacing w:line="262" w:lineRule="exact"/>
                          <w:ind w:left="246" w:right="233"/>
                          <w:rPr>
                            <w:sz w:val="24"/>
                          </w:rPr>
                        </w:pPr>
                        <w:r>
                          <w:rPr>
                            <w:sz w:val="24"/>
                          </w:rPr>
                          <w:t>23.1</w:t>
                        </w:r>
                      </w:p>
                    </w:tc>
                  </w:tr>
                  <w:tr>
                    <w:trPr>
                      <w:trHeight w:val="301" w:hRule="exact"/>
                    </w:trPr>
                    <w:tc>
                      <w:tcPr>
                        <w:tcW w:w="2713" w:type="dxa"/>
                        <w:tcBorders>
                          <w:top w:val="nil"/>
                          <w:left w:val="nil"/>
                          <w:bottom w:val="nil"/>
                          <w:right w:val="nil"/>
                        </w:tcBorders>
                      </w:tcPr>
                      <w:p>
                        <w:pPr>
                          <w:pStyle w:val="TableParagraph"/>
                          <w:spacing w:line="287" w:lineRule="exact"/>
                          <w:ind w:left="86"/>
                          <w:jc w:val="left"/>
                          <w:rPr>
                            <w:sz w:val="16"/>
                          </w:rPr>
                        </w:pPr>
                        <w:r>
                          <w:rPr>
                            <w:sz w:val="24"/>
                          </w:rPr>
                          <w:t>ENL</w:t>
                        </w:r>
                        <w:r>
                          <w:rPr>
                            <w:position w:val="11"/>
                            <w:sz w:val="16"/>
                          </w:rPr>
                          <w:t>†</w:t>
                        </w:r>
                      </w:p>
                    </w:tc>
                    <w:tc>
                      <w:tcPr>
                        <w:tcW w:w="3140" w:type="dxa"/>
                        <w:tcBorders>
                          <w:top w:val="nil"/>
                          <w:left w:val="nil"/>
                          <w:bottom w:val="nil"/>
                          <w:right w:val="nil"/>
                        </w:tcBorders>
                      </w:tcPr>
                      <w:p>
                        <w:pPr>
                          <w:pStyle w:val="TableParagraph"/>
                          <w:spacing w:before="10"/>
                          <w:ind w:left="1136" w:right="215"/>
                          <w:rPr>
                            <w:sz w:val="24"/>
                          </w:rPr>
                        </w:pPr>
                        <w:r>
                          <w:rPr>
                            <w:sz w:val="24"/>
                          </w:rPr>
                          <w:t>1.41</w:t>
                        </w:r>
                      </w:p>
                    </w:tc>
                    <w:tc>
                      <w:tcPr>
                        <w:tcW w:w="1288" w:type="dxa"/>
                        <w:tcBorders>
                          <w:top w:val="nil"/>
                          <w:left w:val="nil"/>
                          <w:bottom w:val="nil"/>
                          <w:right w:val="nil"/>
                        </w:tcBorders>
                      </w:tcPr>
                      <w:p>
                        <w:pPr>
                          <w:pStyle w:val="TableParagraph"/>
                          <w:spacing w:before="10"/>
                          <w:ind w:left="215" w:right="241"/>
                          <w:rPr>
                            <w:sz w:val="24"/>
                          </w:rPr>
                        </w:pPr>
                        <w:r>
                          <w:rPr>
                            <w:sz w:val="24"/>
                          </w:rPr>
                          <w:t>1.52</w:t>
                        </w:r>
                      </w:p>
                    </w:tc>
                    <w:tc>
                      <w:tcPr>
                        <w:tcW w:w="1858" w:type="dxa"/>
                        <w:tcBorders>
                          <w:top w:val="nil"/>
                          <w:left w:val="nil"/>
                          <w:bottom w:val="nil"/>
                          <w:right w:val="nil"/>
                        </w:tcBorders>
                      </w:tcPr>
                      <w:p>
                        <w:pPr>
                          <w:pStyle w:val="TableParagraph"/>
                          <w:spacing w:before="10"/>
                          <w:ind w:left="246" w:right="228"/>
                          <w:rPr>
                            <w:sz w:val="24"/>
                          </w:rPr>
                        </w:pPr>
                        <w:r>
                          <w:rPr>
                            <w:sz w:val="24"/>
                          </w:rPr>
                          <w:t>2.0</w:t>
                        </w:r>
                      </w:p>
                    </w:tc>
                  </w:tr>
                  <w:tr>
                    <w:trPr>
                      <w:trHeight w:val="346" w:hRule="exact"/>
                    </w:trPr>
                    <w:tc>
                      <w:tcPr>
                        <w:tcW w:w="8999" w:type="dxa"/>
                        <w:gridSpan w:val="4"/>
                        <w:tcBorders>
                          <w:top w:val="nil"/>
                          <w:left w:val="nil"/>
                          <w:bottom w:val="nil"/>
                          <w:right w:val="nil"/>
                        </w:tcBorders>
                      </w:tcPr>
                      <w:p>
                        <w:pPr>
                          <w:pStyle w:val="TableParagraph"/>
                          <w:spacing w:line="264" w:lineRule="exact"/>
                          <w:ind w:left="86" w:right="-56"/>
                          <w:jc w:val="left"/>
                          <w:rPr>
                            <w:b/>
                            <w:sz w:val="24"/>
                          </w:rPr>
                        </w:pPr>
                        <w:r>
                          <w:rPr>
                            <w:b/>
                            <w:sz w:val="24"/>
                          </w:rPr>
                          <w:t>Ácidos grasos (g/100 g AG)</w:t>
                        </w:r>
                      </w:p>
                    </w:tc>
                  </w:tr>
                  <w:tr>
                    <w:trPr>
                      <w:trHeight w:val="343" w:hRule="exact"/>
                    </w:trPr>
                    <w:tc>
                      <w:tcPr>
                        <w:tcW w:w="2713" w:type="dxa"/>
                        <w:tcBorders>
                          <w:top w:val="nil"/>
                          <w:left w:val="nil"/>
                          <w:bottom w:val="nil"/>
                          <w:right w:val="nil"/>
                        </w:tcBorders>
                      </w:tcPr>
                      <w:p>
                        <w:pPr>
                          <w:pStyle w:val="TableParagraph"/>
                          <w:spacing w:before="55"/>
                          <w:ind w:left="86"/>
                          <w:jc w:val="left"/>
                          <w:rPr>
                            <w:sz w:val="24"/>
                          </w:rPr>
                        </w:pPr>
                        <w:r>
                          <w:rPr>
                            <w:sz w:val="24"/>
                          </w:rPr>
                          <w:t>C12:0</w:t>
                        </w:r>
                      </w:p>
                    </w:tc>
                    <w:tc>
                      <w:tcPr>
                        <w:tcW w:w="3140" w:type="dxa"/>
                        <w:tcBorders>
                          <w:top w:val="nil"/>
                          <w:left w:val="nil"/>
                          <w:bottom w:val="nil"/>
                          <w:right w:val="nil"/>
                        </w:tcBorders>
                      </w:tcPr>
                      <w:p>
                        <w:pPr>
                          <w:pStyle w:val="TableParagraph"/>
                          <w:spacing w:before="55"/>
                          <w:ind w:left="1136" w:right="215"/>
                          <w:rPr>
                            <w:sz w:val="24"/>
                          </w:rPr>
                        </w:pPr>
                        <w:r>
                          <w:rPr>
                            <w:sz w:val="24"/>
                          </w:rPr>
                          <w:t>0.40</w:t>
                        </w:r>
                      </w:p>
                    </w:tc>
                    <w:tc>
                      <w:tcPr>
                        <w:tcW w:w="1288" w:type="dxa"/>
                        <w:tcBorders>
                          <w:top w:val="nil"/>
                          <w:left w:val="nil"/>
                          <w:bottom w:val="nil"/>
                          <w:right w:val="nil"/>
                        </w:tcBorders>
                      </w:tcPr>
                      <w:p>
                        <w:pPr>
                          <w:pStyle w:val="TableParagraph"/>
                          <w:spacing w:before="55"/>
                          <w:ind w:left="215" w:right="241"/>
                          <w:rPr>
                            <w:sz w:val="24"/>
                          </w:rPr>
                        </w:pPr>
                        <w:r>
                          <w:rPr>
                            <w:sz w:val="24"/>
                          </w:rPr>
                          <w:t>1.63</w:t>
                        </w:r>
                      </w:p>
                    </w:tc>
                    <w:tc>
                      <w:tcPr>
                        <w:tcW w:w="1858" w:type="dxa"/>
                        <w:tcBorders>
                          <w:top w:val="nil"/>
                          <w:left w:val="nil"/>
                          <w:bottom w:val="nil"/>
                          <w:right w:val="nil"/>
                        </w:tcBorders>
                      </w:tcPr>
                      <w:p>
                        <w:pPr>
                          <w:pStyle w:val="TableParagraph"/>
                          <w:spacing w:before="55"/>
                          <w:ind w:left="246" w:right="233"/>
                          <w:rPr>
                            <w:sz w:val="24"/>
                          </w:rPr>
                        </w:pPr>
                        <w:r>
                          <w:rPr>
                            <w:sz w:val="24"/>
                          </w:rPr>
                          <w:t>0.05</w:t>
                        </w:r>
                      </w:p>
                    </w:tc>
                  </w:tr>
                  <w:tr>
                    <w:trPr>
                      <w:trHeight w:val="276"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C13:0</w:t>
                        </w:r>
                      </w:p>
                    </w:tc>
                    <w:tc>
                      <w:tcPr>
                        <w:tcW w:w="3140" w:type="dxa"/>
                        <w:tcBorders>
                          <w:top w:val="nil"/>
                          <w:left w:val="nil"/>
                          <w:bottom w:val="nil"/>
                          <w:right w:val="nil"/>
                        </w:tcBorders>
                      </w:tcPr>
                      <w:p>
                        <w:pPr>
                          <w:pStyle w:val="TableParagraph"/>
                          <w:spacing w:line="262" w:lineRule="exact"/>
                          <w:ind w:left="1136" w:right="215"/>
                          <w:rPr>
                            <w:sz w:val="24"/>
                          </w:rPr>
                        </w:pPr>
                        <w:r>
                          <w:rPr>
                            <w:sz w:val="24"/>
                          </w:rPr>
                          <w:t>0.03</w:t>
                        </w:r>
                      </w:p>
                    </w:tc>
                    <w:tc>
                      <w:tcPr>
                        <w:tcW w:w="1288" w:type="dxa"/>
                        <w:tcBorders>
                          <w:top w:val="nil"/>
                          <w:left w:val="nil"/>
                          <w:bottom w:val="nil"/>
                          <w:right w:val="nil"/>
                        </w:tcBorders>
                      </w:tcPr>
                      <w:p>
                        <w:pPr>
                          <w:pStyle w:val="TableParagraph"/>
                          <w:spacing w:line="262" w:lineRule="exact"/>
                          <w:ind w:left="215" w:right="241"/>
                          <w:rPr>
                            <w:sz w:val="24"/>
                          </w:rPr>
                        </w:pPr>
                        <w:r>
                          <w:rPr>
                            <w:sz w:val="24"/>
                          </w:rPr>
                          <w:t>1.02</w:t>
                        </w:r>
                      </w:p>
                    </w:tc>
                    <w:tc>
                      <w:tcPr>
                        <w:tcW w:w="1858" w:type="dxa"/>
                        <w:tcBorders>
                          <w:top w:val="nil"/>
                          <w:left w:val="nil"/>
                          <w:bottom w:val="nil"/>
                          <w:right w:val="nil"/>
                        </w:tcBorders>
                      </w:tcPr>
                      <w:p>
                        <w:pPr>
                          <w:pStyle w:val="TableParagraph"/>
                          <w:spacing w:line="262" w:lineRule="exact"/>
                          <w:ind w:left="246" w:right="233"/>
                          <w:rPr>
                            <w:sz w:val="24"/>
                          </w:rPr>
                        </w:pPr>
                        <w:r>
                          <w:rPr>
                            <w:sz w:val="24"/>
                          </w:rPr>
                          <w:t>0.64</w:t>
                        </w:r>
                      </w:p>
                    </w:tc>
                  </w:tr>
                  <w:tr>
                    <w:trPr>
                      <w:trHeight w:val="276" w:hRule="exact"/>
                    </w:trPr>
                    <w:tc>
                      <w:tcPr>
                        <w:tcW w:w="2713" w:type="dxa"/>
                        <w:tcBorders>
                          <w:top w:val="nil"/>
                          <w:left w:val="nil"/>
                          <w:bottom w:val="nil"/>
                          <w:right w:val="nil"/>
                        </w:tcBorders>
                      </w:tcPr>
                      <w:p>
                        <w:pPr>
                          <w:pStyle w:val="TableParagraph"/>
                          <w:spacing w:line="265" w:lineRule="exact"/>
                          <w:ind w:left="86"/>
                          <w:jc w:val="left"/>
                          <w:rPr>
                            <w:sz w:val="24"/>
                          </w:rPr>
                        </w:pPr>
                        <w:r>
                          <w:rPr>
                            <w:sz w:val="24"/>
                          </w:rPr>
                          <w:t>C14:0</w:t>
                        </w:r>
                      </w:p>
                    </w:tc>
                    <w:tc>
                      <w:tcPr>
                        <w:tcW w:w="3140" w:type="dxa"/>
                        <w:tcBorders>
                          <w:top w:val="nil"/>
                          <w:left w:val="nil"/>
                          <w:bottom w:val="nil"/>
                          <w:right w:val="nil"/>
                        </w:tcBorders>
                      </w:tcPr>
                      <w:p>
                        <w:pPr>
                          <w:pStyle w:val="TableParagraph"/>
                          <w:spacing w:line="265" w:lineRule="exact"/>
                          <w:ind w:left="1136" w:right="215"/>
                          <w:rPr>
                            <w:sz w:val="24"/>
                          </w:rPr>
                        </w:pPr>
                        <w:r>
                          <w:rPr>
                            <w:sz w:val="24"/>
                          </w:rPr>
                          <w:t>0.63</w:t>
                        </w:r>
                      </w:p>
                    </w:tc>
                    <w:tc>
                      <w:tcPr>
                        <w:tcW w:w="1288" w:type="dxa"/>
                        <w:tcBorders>
                          <w:top w:val="nil"/>
                          <w:left w:val="nil"/>
                          <w:bottom w:val="nil"/>
                          <w:right w:val="nil"/>
                        </w:tcBorders>
                      </w:tcPr>
                      <w:p>
                        <w:pPr>
                          <w:pStyle w:val="TableParagraph"/>
                          <w:spacing w:line="265" w:lineRule="exact"/>
                          <w:ind w:left="215" w:right="241"/>
                          <w:rPr>
                            <w:sz w:val="24"/>
                          </w:rPr>
                        </w:pPr>
                        <w:r>
                          <w:rPr>
                            <w:sz w:val="24"/>
                          </w:rPr>
                          <w:t>1.15</w:t>
                        </w:r>
                      </w:p>
                    </w:tc>
                    <w:tc>
                      <w:tcPr>
                        <w:tcW w:w="1858" w:type="dxa"/>
                        <w:tcBorders>
                          <w:top w:val="nil"/>
                          <w:left w:val="nil"/>
                          <w:bottom w:val="nil"/>
                          <w:right w:val="nil"/>
                        </w:tcBorders>
                      </w:tcPr>
                      <w:p>
                        <w:pPr>
                          <w:pStyle w:val="TableParagraph"/>
                          <w:spacing w:line="265" w:lineRule="exact"/>
                          <w:ind w:left="246" w:right="233"/>
                          <w:rPr>
                            <w:sz w:val="24"/>
                          </w:rPr>
                        </w:pPr>
                        <w:r>
                          <w:rPr>
                            <w:sz w:val="24"/>
                          </w:rPr>
                          <w:t>0.16</w:t>
                        </w:r>
                      </w:p>
                    </w:tc>
                  </w:tr>
                  <w:tr>
                    <w:trPr>
                      <w:trHeight w:val="276"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C16:0</w:t>
                        </w:r>
                      </w:p>
                    </w:tc>
                    <w:tc>
                      <w:tcPr>
                        <w:tcW w:w="3140" w:type="dxa"/>
                        <w:tcBorders>
                          <w:top w:val="nil"/>
                          <w:left w:val="nil"/>
                          <w:bottom w:val="nil"/>
                          <w:right w:val="nil"/>
                        </w:tcBorders>
                      </w:tcPr>
                      <w:p>
                        <w:pPr>
                          <w:pStyle w:val="TableParagraph"/>
                          <w:spacing w:line="262" w:lineRule="exact"/>
                          <w:ind w:left="1136" w:right="210"/>
                          <w:rPr>
                            <w:sz w:val="24"/>
                          </w:rPr>
                        </w:pPr>
                        <w:r>
                          <w:rPr>
                            <w:sz w:val="24"/>
                          </w:rPr>
                          <w:t>19.09</w:t>
                        </w:r>
                      </w:p>
                    </w:tc>
                    <w:tc>
                      <w:tcPr>
                        <w:tcW w:w="1288" w:type="dxa"/>
                        <w:tcBorders>
                          <w:top w:val="nil"/>
                          <w:left w:val="nil"/>
                          <w:bottom w:val="nil"/>
                          <w:right w:val="nil"/>
                        </w:tcBorders>
                      </w:tcPr>
                      <w:p>
                        <w:pPr>
                          <w:pStyle w:val="TableParagraph"/>
                          <w:spacing w:line="262" w:lineRule="exact"/>
                          <w:ind w:left="215" w:right="236"/>
                          <w:rPr>
                            <w:sz w:val="24"/>
                          </w:rPr>
                        </w:pPr>
                        <w:r>
                          <w:rPr>
                            <w:sz w:val="24"/>
                          </w:rPr>
                          <w:t>19.90</w:t>
                        </w:r>
                      </w:p>
                    </w:tc>
                    <w:tc>
                      <w:tcPr>
                        <w:tcW w:w="1858" w:type="dxa"/>
                        <w:tcBorders>
                          <w:top w:val="nil"/>
                          <w:left w:val="nil"/>
                          <w:bottom w:val="nil"/>
                          <w:right w:val="nil"/>
                        </w:tcBorders>
                      </w:tcPr>
                      <w:p>
                        <w:pPr>
                          <w:pStyle w:val="TableParagraph"/>
                          <w:spacing w:line="262" w:lineRule="exact"/>
                          <w:ind w:left="246" w:right="228"/>
                          <w:rPr>
                            <w:sz w:val="24"/>
                          </w:rPr>
                        </w:pPr>
                        <w:r>
                          <w:rPr>
                            <w:sz w:val="24"/>
                          </w:rPr>
                          <w:t>21.26</w:t>
                        </w:r>
                      </w:p>
                    </w:tc>
                  </w:tr>
                  <w:tr>
                    <w:trPr>
                      <w:trHeight w:val="276" w:hRule="exact"/>
                    </w:trPr>
                    <w:tc>
                      <w:tcPr>
                        <w:tcW w:w="2713" w:type="dxa"/>
                        <w:tcBorders>
                          <w:top w:val="nil"/>
                          <w:left w:val="nil"/>
                          <w:bottom w:val="nil"/>
                          <w:right w:val="nil"/>
                        </w:tcBorders>
                      </w:tcPr>
                      <w:p>
                        <w:pPr>
                          <w:pStyle w:val="TableParagraph"/>
                          <w:spacing w:line="264" w:lineRule="exact"/>
                          <w:ind w:left="86"/>
                          <w:jc w:val="left"/>
                          <w:rPr>
                            <w:sz w:val="24"/>
                          </w:rPr>
                        </w:pPr>
                        <w:r>
                          <w:rPr>
                            <w:sz w:val="24"/>
                          </w:rPr>
                          <w:t>C16:1</w:t>
                        </w:r>
                      </w:p>
                    </w:tc>
                    <w:tc>
                      <w:tcPr>
                        <w:tcW w:w="3140" w:type="dxa"/>
                        <w:tcBorders>
                          <w:top w:val="nil"/>
                          <w:left w:val="nil"/>
                          <w:bottom w:val="nil"/>
                          <w:right w:val="nil"/>
                        </w:tcBorders>
                      </w:tcPr>
                      <w:p>
                        <w:pPr>
                          <w:pStyle w:val="TableParagraph"/>
                          <w:spacing w:line="264" w:lineRule="exact"/>
                          <w:ind w:left="1136" w:right="215"/>
                          <w:rPr>
                            <w:sz w:val="24"/>
                          </w:rPr>
                        </w:pPr>
                        <w:r>
                          <w:rPr>
                            <w:sz w:val="24"/>
                          </w:rPr>
                          <w:t>0.47</w:t>
                        </w:r>
                      </w:p>
                    </w:tc>
                    <w:tc>
                      <w:tcPr>
                        <w:tcW w:w="1288" w:type="dxa"/>
                        <w:tcBorders>
                          <w:top w:val="nil"/>
                          <w:left w:val="nil"/>
                          <w:bottom w:val="nil"/>
                          <w:right w:val="nil"/>
                        </w:tcBorders>
                      </w:tcPr>
                      <w:p>
                        <w:pPr>
                          <w:pStyle w:val="TableParagraph"/>
                          <w:spacing w:line="264" w:lineRule="exact"/>
                          <w:ind w:left="215" w:right="241"/>
                          <w:rPr>
                            <w:sz w:val="24"/>
                          </w:rPr>
                        </w:pPr>
                        <w:r>
                          <w:rPr>
                            <w:sz w:val="24"/>
                          </w:rPr>
                          <w:t>2.36</w:t>
                        </w:r>
                      </w:p>
                    </w:tc>
                    <w:tc>
                      <w:tcPr>
                        <w:tcW w:w="1858" w:type="dxa"/>
                        <w:tcBorders>
                          <w:top w:val="nil"/>
                          <w:left w:val="nil"/>
                          <w:bottom w:val="nil"/>
                          <w:right w:val="nil"/>
                        </w:tcBorders>
                      </w:tcPr>
                      <w:p>
                        <w:pPr>
                          <w:pStyle w:val="TableParagraph"/>
                          <w:spacing w:line="264" w:lineRule="exact"/>
                          <w:ind w:left="246" w:right="233"/>
                          <w:rPr>
                            <w:sz w:val="24"/>
                          </w:rPr>
                        </w:pPr>
                        <w:r>
                          <w:rPr>
                            <w:sz w:val="24"/>
                          </w:rPr>
                          <w:t>0.69</w:t>
                        </w:r>
                      </w:p>
                    </w:tc>
                  </w:tr>
                  <w:tr>
                    <w:trPr>
                      <w:trHeight w:val="274"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C18:0</w:t>
                        </w:r>
                      </w:p>
                    </w:tc>
                    <w:tc>
                      <w:tcPr>
                        <w:tcW w:w="3140" w:type="dxa"/>
                        <w:tcBorders>
                          <w:top w:val="nil"/>
                          <w:left w:val="nil"/>
                          <w:bottom w:val="nil"/>
                          <w:right w:val="nil"/>
                        </w:tcBorders>
                      </w:tcPr>
                      <w:p>
                        <w:pPr>
                          <w:pStyle w:val="TableParagraph"/>
                          <w:spacing w:line="262" w:lineRule="exact"/>
                          <w:ind w:left="1136" w:right="215"/>
                          <w:rPr>
                            <w:sz w:val="24"/>
                          </w:rPr>
                        </w:pPr>
                        <w:r>
                          <w:rPr>
                            <w:sz w:val="24"/>
                          </w:rPr>
                          <w:t>4.59</w:t>
                        </w:r>
                      </w:p>
                    </w:tc>
                    <w:tc>
                      <w:tcPr>
                        <w:tcW w:w="1288" w:type="dxa"/>
                        <w:tcBorders>
                          <w:top w:val="nil"/>
                          <w:left w:val="nil"/>
                          <w:bottom w:val="nil"/>
                          <w:right w:val="nil"/>
                        </w:tcBorders>
                      </w:tcPr>
                      <w:p>
                        <w:pPr>
                          <w:pStyle w:val="TableParagraph"/>
                          <w:spacing w:line="262" w:lineRule="exact"/>
                          <w:ind w:left="215" w:right="241"/>
                          <w:rPr>
                            <w:sz w:val="24"/>
                          </w:rPr>
                        </w:pPr>
                        <w:r>
                          <w:rPr>
                            <w:sz w:val="24"/>
                          </w:rPr>
                          <w:t>4.00</w:t>
                        </w:r>
                      </w:p>
                    </w:tc>
                    <w:tc>
                      <w:tcPr>
                        <w:tcW w:w="1858" w:type="dxa"/>
                        <w:tcBorders>
                          <w:top w:val="nil"/>
                          <w:left w:val="nil"/>
                          <w:bottom w:val="nil"/>
                          <w:right w:val="nil"/>
                        </w:tcBorders>
                      </w:tcPr>
                      <w:p>
                        <w:pPr>
                          <w:pStyle w:val="TableParagraph"/>
                          <w:spacing w:line="262" w:lineRule="exact"/>
                          <w:ind w:left="246" w:right="233"/>
                          <w:rPr>
                            <w:sz w:val="24"/>
                          </w:rPr>
                        </w:pPr>
                        <w:r>
                          <w:rPr>
                            <w:sz w:val="24"/>
                          </w:rPr>
                          <w:t>2.30</w:t>
                        </w:r>
                      </w:p>
                    </w:tc>
                  </w:tr>
                  <w:tr>
                    <w:trPr>
                      <w:trHeight w:val="276"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C18:1n9c</w:t>
                        </w:r>
                      </w:p>
                    </w:tc>
                    <w:tc>
                      <w:tcPr>
                        <w:tcW w:w="3140" w:type="dxa"/>
                        <w:tcBorders>
                          <w:top w:val="nil"/>
                          <w:left w:val="nil"/>
                          <w:bottom w:val="nil"/>
                          <w:right w:val="nil"/>
                        </w:tcBorders>
                      </w:tcPr>
                      <w:p>
                        <w:pPr>
                          <w:pStyle w:val="TableParagraph"/>
                          <w:spacing w:line="262" w:lineRule="exact"/>
                          <w:ind w:left="1136" w:right="210"/>
                          <w:rPr>
                            <w:sz w:val="24"/>
                          </w:rPr>
                        </w:pPr>
                        <w:r>
                          <w:rPr>
                            <w:sz w:val="24"/>
                          </w:rPr>
                          <w:t>29.56</w:t>
                        </w:r>
                      </w:p>
                    </w:tc>
                    <w:tc>
                      <w:tcPr>
                        <w:tcW w:w="1288" w:type="dxa"/>
                        <w:tcBorders>
                          <w:top w:val="nil"/>
                          <w:left w:val="nil"/>
                          <w:bottom w:val="nil"/>
                          <w:right w:val="nil"/>
                        </w:tcBorders>
                      </w:tcPr>
                      <w:p>
                        <w:pPr>
                          <w:pStyle w:val="TableParagraph"/>
                          <w:spacing w:line="262" w:lineRule="exact"/>
                          <w:ind w:left="215" w:right="241"/>
                          <w:rPr>
                            <w:sz w:val="24"/>
                          </w:rPr>
                        </w:pPr>
                        <w:r>
                          <w:rPr>
                            <w:sz w:val="24"/>
                          </w:rPr>
                          <w:t>5.28</w:t>
                        </w:r>
                      </w:p>
                    </w:tc>
                    <w:tc>
                      <w:tcPr>
                        <w:tcW w:w="1858" w:type="dxa"/>
                        <w:tcBorders>
                          <w:top w:val="nil"/>
                          <w:left w:val="nil"/>
                          <w:bottom w:val="nil"/>
                          <w:right w:val="nil"/>
                        </w:tcBorders>
                      </w:tcPr>
                      <w:p>
                        <w:pPr>
                          <w:pStyle w:val="TableParagraph"/>
                          <w:spacing w:line="262" w:lineRule="exact"/>
                          <w:ind w:left="246" w:right="228"/>
                          <w:rPr>
                            <w:sz w:val="24"/>
                          </w:rPr>
                        </w:pPr>
                        <w:r>
                          <w:rPr>
                            <w:sz w:val="24"/>
                          </w:rPr>
                          <w:t>34.71</w:t>
                        </w:r>
                      </w:p>
                    </w:tc>
                  </w:tr>
                  <w:tr>
                    <w:trPr>
                      <w:trHeight w:val="276" w:hRule="exact"/>
                    </w:trPr>
                    <w:tc>
                      <w:tcPr>
                        <w:tcW w:w="2713" w:type="dxa"/>
                        <w:tcBorders>
                          <w:top w:val="nil"/>
                          <w:left w:val="nil"/>
                          <w:bottom w:val="nil"/>
                          <w:right w:val="nil"/>
                        </w:tcBorders>
                      </w:tcPr>
                      <w:p>
                        <w:pPr>
                          <w:pStyle w:val="TableParagraph"/>
                          <w:spacing w:line="264" w:lineRule="exact"/>
                          <w:ind w:left="86"/>
                          <w:jc w:val="left"/>
                          <w:rPr>
                            <w:sz w:val="24"/>
                          </w:rPr>
                        </w:pPr>
                        <w:r>
                          <w:rPr>
                            <w:sz w:val="24"/>
                          </w:rPr>
                          <w:t>C18:2n6c</w:t>
                        </w:r>
                      </w:p>
                    </w:tc>
                    <w:tc>
                      <w:tcPr>
                        <w:tcW w:w="3140" w:type="dxa"/>
                        <w:tcBorders>
                          <w:top w:val="nil"/>
                          <w:left w:val="nil"/>
                          <w:bottom w:val="nil"/>
                          <w:right w:val="nil"/>
                        </w:tcBorders>
                      </w:tcPr>
                      <w:p>
                        <w:pPr>
                          <w:pStyle w:val="TableParagraph"/>
                          <w:spacing w:line="264" w:lineRule="exact"/>
                          <w:ind w:left="1136" w:right="210"/>
                          <w:rPr>
                            <w:sz w:val="24"/>
                          </w:rPr>
                        </w:pPr>
                        <w:r>
                          <w:rPr>
                            <w:sz w:val="24"/>
                          </w:rPr>
                          <w:t>35.43</w:t>
                        </w:r>
                      </w:p>
                    </w:tc>
                    <w:tc>
                      <w:tcPr>
                        <w:tcW w:w="1288" w:type="dxa"/>
                        <w:tcBorders>
                          <w:top w:val="nil"/>
                          <w:left w:val="nil"/>
                          <w:bottom w:val="nil"/>
                          <w:right w:val="nil"/>
                        </w:tcBorders>
                      </w:tcPr>
                      <w:p>
                        <w:pPr>
                          <w:pStyle w:val="TableParagraph"/>
                          <w:spacing w:line="264" w:lineRule="exact"/>
                          <w:ind w:left="215" w:right="236"/>
                          <w:rPr>
                            <w:sz w:val="24"/>
                          </w:rPr>
                        </w:pPr>
                        <w:r>
                          <w:rPr>
                            <w:sz w:val="24"/>
                          </w:rPr>
                          <w:t>12.10</w:t>
                        </w:r>
                      </w:p>
                    </w:tc>
                    <w:tc>
                      <w:tcPr>
                        <w:tcW w:w="1858" w:type="dxa"/>
                        <w:tcBorders>
                          <w:top w:val="nil"/>
                          <w:left w:val="nil"/>
                          <w:bottom w:val="nil"/>
                          <w:right w:val="nil"/>
                        </w:tcBorders>
                      </w:tcPr>
                      <w:p>
                        <w:pPr>
                          <w:pStyle w:val="TableParagraph"/>
                          <w:spacing w:line="264" w:lineRule="exact"/>
                          <w:ind w:left="246" w:right="228"/>
                          <w:rPr>
                            <w:sz w:val="24"/>
                          </w:rPr>
                        </w:pPr>
                        <w:r>
                          <w:rPr>
                            <w:sz w:val="24"/>
                          </w:rPr>
                          <w:t>31.75</w:t>
                        </w:r>
                      </w:p>
                    </w:tc>
                  </w:tr>
                  <w:tr>
                    <w:trPr>
                      <w:trHeight w:val="276" w:hRule="exact"/>
                    </w:trPr>
                    <w:tc>
                      <w:tcPr>
                        <w:tcW w:w="2713" w:type="dxa"/>
                        <w:tcBorders>
                          <w:top w:val="nil"/>
                          <w:left w:val="nil"/>
                          <w:bottom w:val="nil"/>
                          <w:right w:val="nil"/>
                        </w:tcBorders>
                      </w:tcPr>
                      <w:p>
                        <w:pPr>
                          <w:pStyle w:val="TableParagraph"/>
                          <w:spacing w:line="262" w:lineRule="exact"/>
                          <w:ind w:left="86"/>
                          <w:jc w:val="left"/>
                          <w:rPr>
                            <w:sz w:val="24"/>
                          </w:rPr>
                        </w:pPr>
                        <w:r>
                          <w:rPr>
                            <w:sz w:val="24"/>
                          </w:rPr>
                          <w:t>C18:3n3</w:t>
                        </w:r>
                      </w:p>
                    </w:tc>
                    <w:tc>
                      <w:tcPr>
                        <w:tcW w:w="3140" w:type="dxa"/>
                        <w:tcBorders>
                          <w:top w:val="nil"/>
                          <w:left w:val="nil"/>
                          <w:bottom w:val="nil"/>
                          <w:right w:val="nil"/>
                        </w:tcBorders>
                      </w:tcPr>
                      <w:p>
                        <w:pPr>
                          <w:pStyle w:val="TableParagraph"/>
                          <w:spacing w:line="262" w:lineRule="exact"/>
                          <w:ind w:left="1136" w:right="215"/>
                          <w:rPr>
                            <w:sz w:val="24"/>
                          </w:rPr>
                        </w:pPr>
                        <w:r>
                          <w:rPr>
                            <w:sz w:val="24"/>
                          </w:rPr>
                          <w:t>4.27</w:t>
                        </w:r>
                      </w:p>
                    </w:tc>
                    <w:tc>
                      <w:tcPr>
                        <w:tcW w:w="1288" w:type="dxa"/>
                        <w:tcBorders>
                          <w:top w:val="nil"/>
                          <w:left w:val="nil"/>
                          <w:bottom w:val="nil"/>
                          <w:right w:val="nil"/>
                        </w:tcBorders>
                      </w:tcPr>
                      <w:p>
                        <w:pPr>
                          <w:pStyle w:val="TableParagraph"/>
                          <w:spacing w:line="262" w:lineRule="exact"/>
                          <w:ind w:left="215" w:right="236"/>
                          <w:rPr>
                            <w:sz w:val="24"/>
                          </w:rPr>
                        </w:pPr>
                        <w:r>
                          <w:rPr>
                            <w:sz w:val="24"/>
                          </w:rPr>
                          <w:t>45.15</w:t>
                        </w:r>
                      </w:p>
                    </w:tc>
                    <w:tc>
                      <w:tcPr>
                        <w:tcW w:w="1858" w:type="dxa"/>
                        <w:tcBorders>
                          <w:top w:val="nil"/>
                          <w:left w:val="nil"/>
                          <w:bottom w:val="nil"/>
                          <w:right w:val="nil"/>
                        </w:tcBorders>
                      </w:tcPr>
                      <w:p>
                        <w:pPr>
                          <w:pStyle w:val="TableParagraph"/>
                          <w:spacing w:line="262" w:lineRule="exact"/>
                          <w:ind w:left="246" w:right="233"/>
                          <w:rPr>
                            <w:sz w:val="24"/>
                          </w:rPr>
                        </w:pPr>
                        <w:r>
                          <w:rPr>
                            <w:sz w:val="24"/>
                          </w:rPr>
                          <w:t>2.27</w:t>
                        </w:r>
                      </w:p>
                    </w:tc>
                  </w:tr>
                  <w:tr>
                    <w:trPr>
                      <w:trHeight w:val="280" w:hRule="exact"/>
                    </w:trPr>
                    <w:tc>
                      <w:tcPr>
                        <w:tcW w:w="2713" w:type="dxa"/>
                        <w:tcBorders>
                          <w:top w:val="nil"/>
                          <w:left w:val="nil"/>
                          <w:right w:val="nil"/>
                        </w:tcBorders>
                      </w:tcPr>
                      <w:p>
                        <w:pPr>
                          <w:pStyle w:val="TableParagraph"/>
                          <w:spacing w:line="264" w:lineRule="exact"/>
                          <w:ind w:left="86"/>
                          <w:jc w:val="left"/>
                          <w:rPr>
                            <w:sz w:val="24"/>
                          </w:rPr>
                        </w:pPr>
                        <w:r>
                          <w:rPr>
                            <w:sz w:val="24"/>
                          </w:rPr>
                          <w:t>Otros</w:t>
                        </w:r>
                      </w:p>
                    </w:tc>
                    <w:tc>
                      <w:tcPr>
                        <w:tcW w:w="3140" w:type="dxa"/>
                        <w:tcBorders>
                          <w:top w:val="nil"/>
                          <w:left w:val="nil"/>
                          <w:right w:val="nil"/>
                        </w:tcBorders>
                      </w:tcPr>
                      <w:p>
                        <w:pPr>
                          <w:pStyle w:val="TableParagraph"/>
                          <w:spacing w:line="264" w:lineRule="exact"/>
                          <w:ind w:left="1136" w:right="215"/>
                          <w:rPr>
                            <w:sz w:val="24"/>
                          </w:rPr>
                        </w:pPr>
                        <w:r>
                          <w:rPr>
                            <w:sz w:val="24"/>
                          </w:rPr>
                          <w:t>5.55</w:t>
                        </w:r>
                      </w:p>
                    </w:tc>
                    <w:tc>
                      <w:tcPr>
                        <w:tcW w:w="1288" w:type="dxa"/>
                        <w:tcBorders>
                          <w:top w:val="nil"/>
                          <w:left w:val="nil"/>
                          <w:right w:val="nil"/>
                        </w:tcBorders>
                      </w:tcPr>
                      <w:p>
                        <w:pPr>
                          <w:pStyle w:val="TableParagraph"/>
                          <w:spacing w:line="264" w:lineRule="exact"/>
                          <w:ind w:left="215" w:right="241"/>
                          <w:rPr>
                            <w:sz w:val="24"/>
                          </w:rPr>
                        </w:pPr>
                        <w:r>
                          <w:rPr>
                            <w:sz w:val="24"/>
                          </w:rPr>
                          <w:t>7.40</w:t>
                        </w:r>
                      </w:p>
                    </w:tc>
                    <w:tc>
                      <w:tcPr>
                        <w:tcW w:w="1858" w:type="dxa"/>
                        <w:tcBorders>
                          <w:top w:val="nil"/>
                          <w:left w:val="nil"/>
                          <w:right w:val="nil"/>
                        </w:tcBorders>
                      </w:tcPr>
                      <w:p>
                        <w:pPr>
                          <w:pStyle w:val="TableParagraph"/>
                          <w:spacing w:line="264" w:lineRule="exact"/>
                          <w:ind w:left="246" w:right="233"/>
                          <w:rPr>
                            <w:sz w:val="24"/>
                          </w:rPr>
                        </w:pPr>
                        <w:r>
                          <w:rPr>
                            <w:sz w:val="24"/>
                          </w:rPr>
                          <w:t>6.17</w:t>
                        </w:r>
                      </w:p>
                    </w:tc>
                  </w:tr>
                </w:tbl>
                <w:p>
                  <w:pPr>
                    <w:pStyle w:val="BodyText"/>
                  </w:pPr>
                </w:p>
              </w:txbxContent>
            </v:textbox>
            <w10:wrap type="none"/>
          </v:shape>
        </w:pict>
      </w:r>
      <w:r>
        <w:rPr>
          <w:position w:val="9"/>
          <w:sz w:val="13"/>
        </w:rPr>
        <w:t>†</w:t>
      </w:r>
      <w:r>
        <w:rPr>
          <w:sz w:val="20"/>
        </w:rPr>
        <w:t>Energía neta de lactación en Mcal/kg MS, calculada según la ecuación: (9.07- 0.0097*FAD)/4.184 (Menke y Steingass, 1988).</w:t>
      </w:r>
    </w:p>
    <w:p>
      <w:pPr>
        <w:spacing w:after="0" w:line="355" w:lineRule="auto"/>
        <w:jc w:val="left"/>
        <w:rPr>
          <w:sz w:val="20"/>
        </w:rPr>
        <w:sectPr>
          <w:footerReference w:type="default" r:id="rId28"/>
          <w:pgSz w:w="12240" w:h="15840"/>
          <w:pgMar w:footer="1382" w:header="1150" w:top="1420" w:bottom="1580" w:left="1360" w:right="1340"/>
          <w:pgNumType w:start="61"/>
        </w:sectPr>
      </w:pPr>
    </w:p>
    <w:p>
      <w:pPr>
        <w:pStyle w:val="BodyText"/>
        <w:spacing w:before="3"/>
        <w:rPr>
          <w:sz w:val="27"/>
        </w:rPr>
      </w:pPr>
    </w:p>
    <w:p>
      <w:pPr>
        <w:pStyle w:val="Heading1"/>
        <w:numPr>
          <w:ilvl w:val="0"/>
          <w:numId w:val="13"/>
        </w:numPr>
        <w:tabs>
          <w:tab w:pos="1233" w:val="left" w:leader="none"/>
        </w:tabs>
        <w:spacing w:line="240" w:lineRule="auto" w:before="69" w:after="0"/>
        <w:ind w:left="1233" w:right="0" w:hanging="360"/>
        <w:jc w:val="left"/>
      </w:pPr>
      <w:r>
        <w:rPr/>
        <w:t>Consumo de alimento, producción y composición química de </w:t>
      </w:r>
      <w:r>
        <w:rPr>
          <w:spacing w:val="-3"/>
        </w:rPr>
        <w:t>la</w:t>
      </w:r>
      <w:r>
        <w:rPr>
          <w:spacing w:val="-10"/>
        </w:rPr>
        <w:t> </w:t>
      </w:r>
      <w:r>
        <w:rPr/>
        <w:t>leche</w:t>
      </w:r>
    </w:p>
    <w:p>
      <w:pPr>
        <w:pStyle w:val="BodyText"/>
        <w:spacing w:before="5"/>
        <w:rPr>
          <w:b/>
          <w:sz w:val="29"/>
        </w:rPr>
      </w:pPr>
    </w:p>
    <w:p>
      <w:pPr>
        <w:pStyle w:val="BodyText"/>
        <w:spacing w:line="360" w:lineRule="auto"/>
        <w:ind w:left="512" w:right="99"/>
        <w:jc w:val="both"/>
      </w:pPr>
      <w:r>
        <w:rPr/>
        <w:t>Los datos de </w:t>
      </w:r>
      <w:r>
        <w:rPr>
          <w:spacing w:val="-3"/>
        </w:rPr>
        <w:t>consumo </w:t>
      </w:r>
      <w:r>
        <w:rPr/>
        <w:t>de alimento, producción de leche y composición de </w:t>
      </w:r>
      <w:r>
        <w:rPr>
          <w:spacing w:val="-5"/>
        </w:rPr>
        <w:t>la </w:t>
      </w:r>
      <w:r>
        <w:rPr/>
        <w:t>leche se presentan en el Cuadro 5. Se observaron diferencias (</w:t>
      </w:r>
      <w:r>
        <w:rPr>
          <w:i/>
        </w:rPr>
        <w:t>P</w:t>
      </w:r>
      <w:r>
        <w:rPr/>
        <w:t>&lt;0.05) en el consumo de ensilado de maíz por efecto de </w:t>
      </w:r>
      <w:r>
        <w:rPr>
          <w:spacing w:val="-3"/>
        </w:rPr>
        <w:t>la </w:t>
      </w:r>
      <w:r>
        <w:rPr/>
        <w:t>interacción genotipo*nivel de concentrado. El tratamiento H 8c  mostró </w:t>
      </w:r>
      <w:r>
        <w:rPr>
          <w:spacing w:val="-3"/>
        </w:rPr>
        <w:t>la mayor </w:t>
      </w:r>
      <w:r>
        <w:rPr/>
        <w:t>ingestión de MS de ensilado de maíz, pero </w:t>
      </w:r>
      <w:r>
        <w:rPr>
          <w:spacing w:val="-3"/>
        </w:rPr>
        <w:t>fue </w:t>
      </w:r>
      <w:r>
        <w:rPr/>
        <w:t>estadísticamente igual al consumo de ensilado observado en PS 5c, contrariamente con este nivel de concentrado, H 5c mostraron cuantitativamente el menor </w:t>
      </w:r>
      <w:r>
        <w:rPr>
          <w:spacing w:val="-3"/>
        </w:rPr>
        <w:t>consumo </w:t>
      </w:r>
      <w:r>
        <w:rPr/>
        <w:t>de ensilado de </w:t>
      </w:r>
      <w:r>
        <w:rPr>
          <w:spacing w:val="-3"/>
        </w:rPr>
        <w:t>maíz, </w:t>
      </w:r>
      <w:r>
        <w:rPr/>
        <w:t>y fueron estadísticamente iguales al resto de los</w:t>
      </w:r>
      <w:r>
        <w:rPr>
          <w:spacing w:val="-30"/>
        </w:rPr>
        <w:t> </w:t>
      </w:r>
      <w:r>
        <w:rPr/>
        <w:t>tratamientos.</w:t>
      </w:r>
    </w:p>
    <w:p>
      <w:pPr>
        <w:pStyle w:val="BodyText"/>
        <w:spacing w:line="360" w:lineRule="auto" w:before="210"/>
        <w:ind w:left="512" w:right="105"/>
        <w:jc w:val="both"/>
      </w:pPr>
      <w:r>
        <w:rPr/>
        <w:t>En el ganado Holstein, </w:t>
      </w:r>
      <w:r>
        <w:rPr>
          <w:spacing w:val="-5"/>
        </w:rPr>
        <w:t>la </w:t>
      </w:r>
      <w:r>
        <w:rPr/>
        <w:t>diferencia (</w:t>
      </w:r>
      <w:r>
        <w:rPr>
          <w:i/>
        </w:rPr>
        <w:t>P</w:t>
      </w:r>
      <w:r>
        <w:rPr/>
        <w:t>&lt;0.05) en el consumo de MS de ensilado entre los tratamientos 3c y 8c fue de 600g (7.75 y 8.34 kg/d, respectivamente), mientras que en </w:t>
      </w:r>
      <w:r>
        <w:rPr>
          <w:spacing w:val="4"/>
        </w:rPr>
        <w:t>el </w:t>
      </w:r>
      <w:r>
        <w:rPr/>
        <w:t>ganado Suizo </w:t>
      </w:r>
      <w:r>
        <w:rPr>
          <w:spacing w:val="-5"/>
        </w:rPr>
        <w:t>la </w:t>
      </w:r>
      <w:r>
        <w:rPr/>
        <w:t>diferencia fue menor, 300g (7.42 y 7.67 kg/d, respectivamente), con </w:t>
      </w:r>
      <w:r>
        <w:rPr>
          <w:spacing w:val="-5"/>
        </w:rPr>
        <w:t>lo </w:t>
      </w:r>
      <w:r>
        <w:rPr/>
        <w:t>cual, </w:t>
      </w:r>
      <w:r>
        <w:rPr>
          <w:spacing w:val="-3"/>
        </w:rPr>
        <w:t>las </w:t>
      </w:r>
      <w:r>
        <w:rPr/>
        <w:t>diferencias en el CMS en </w:t>
      </w:r>
      <w:r>
        <w:rPr>
          <w:spacing w:val="-5"/>
        </w:rPr>
        <w:t>la </w:t>
      </w:r>
      <w:r>
        <w:rPr/>
        <w:t>estabulación radicaron en el nivel de concentrado complementado. </w:t>
      </w:r>
      <w:r>
        <w:rPr>
          <w:spacing w:val="-4"/>
        </w:rPr>
        <w:t>Así, </w:t>
      </w:r>
      <w:r>
        <w:rPr/>
        <w:t>dada </w:t>
      </w:r>
      <w:r>
        <w:rPr>
          <w:spacing w:val="-5"/>
        </w:rPr>
        <w:t>la </w:t>
      </w:r>
      <w:r>
        <w:rPr/>
        <w:t>ingestión completa de concentrado en todas las  combinaciones, el consumo de MS en </w:t>
      </w:r>
      <w:r>
        <w:rPr>
          <w:spacing w:val="-5"/>
        </w:rPr>
        <w:t>la </w:t>
      </w:r>
      <w:r>
        <w:rPr/>
        <w:t>estabulación (suma del consumo de ensilado de maíz más el consumo de concentrado) </w:t>
      </w:r>
      <w:r>
        <w:rPr>
          <w:spacing w:val="-3"/>
        </w:rPr>
        <w:t>fue </w:t>
      </w:r>
      <w:r>
        <w:rPr/>
        <w:t>afectado por </w:t>
      </w:r>
      <w:r>
        <w:rPr>
          <w:spacing w:val="-5"/>
        </w:rPr>
        <w:t>la </w:t>
      </w:r>
      <w:r>
        <w:rPr/>
        <w:t>interacción nivel de concentrado con genotipo (</w:t>
      </w:r>
      <w:r>
        <w:rPr>
          <w:i/>
        </w:rPr>
        <w:t>P</w:t>
      </w:r>
      <w:r>
        <w:rPr/>
        <w:t>&lt;0.05), incrementando al aumentar </w:t>
      </w:r>
      <w:r>
        <w:rPr>
          <w:spacing w:val="-5"/>
        </w:rPr>
        <w:t>la </w:t>
      </w:r>
      <w:r>
        <w:rPr/>
        <w:t>cantidad de concentrado en </w:t>
      </w:r>
      <w:r>
        <w:rPr>
          <w:spacing w:val="-3"/>
        </w:rPr>
        <w:t>la </w:t>
      </w:r>
      <w:r>
        <w:rPr/>
        <w:t>dieta  de ambos genotipos. Con las diferencias en el consumo de ensilado y concentrado, en H 8c </w:t>
      </w:r>
      <w:r>
        <w:rPr>
          <w:spacing w:val="-3"/>
        </w:rPr>
        <w:t>la </w:t>
      </w:r>
      <w:r>
        <w:rPr/>
        <w:t>ingestión de MS en </w:t>
      </w:r>
      <w:r>
        <w:rPr>
          <w:spacing w:val="-3"/>
        </w:rPr>
        <w:t>la </w:t>
      </w:r>
      <w:r>
        <w:rPr/>
        <w:t>estabulación supuso un incremento de 33 y 24% respecto a H 5c y H 3c, respectivamente. En el </w:t>
      </w:r>
      <w:r>
        <w:rPr>
          <w:spacing w:val="-4"/>
        </w:rPr>
        <w:t>mismo </w:t>
      </w:r>
      <w:r>
        <w:rPr/>
        <w:t>sentido con PS 8c </w:t>
      </w:r>
      <w:r>
        <w:rPr>
          <w:spacing w:val="-3"/>
        </w:rPr>
        <w:t>las </w:t>
      </w:r>
      <w:r>
        <w:rPr/>
        <w:t>diferencias fueron de 31 y 16% del consumo de MS en </w:t>
      </w:r>
      <w:r>
        <w:rPr>
          <w:spacing w:val="-3"/>
        </w:rPr>
        <w:t>la </w:t>
      </w:r>
      <w:r>
        <w:rPr/>
        <w:t>estabulación, comparado con PS 5c y PS 3c,</w:t>
      </w:r>
      <w:r>
        <w:rPr>
          <w:spacing w:val="-19"/>
        </w:rPr>
        <w:t> </w:t>
      </w:r>
      <w:r>
        <w:rPr/>
        <w:t>respectivamente.</w:t>
      </w:r>
    </w:p>
    <w:p>
      <w:pPr>
        <w:pStyle w:val="BodyText"/>
        <w:spacing w:line="360" w:lineRule="auto" w:before="210"/>
        <w:ind w:left="512" w:right="106"/>
        <w:jc w:val="both"/>
      </w:pPr>
      <w:r>
        <w:rPr/>
        <w:t>El consumo de forraje (10.79 kg MS/d) no difirió (</w:t>
      </w:r>
      <w:r>
        <w:rPr>
          <w:i/>
        </w:rPr>
        <w:t>P</w:t>
      </w:r>
      <w:r>
        <w:rPr/>
        <w:t>&gt;0.05) por efecto de la interacción genotipo con nivel de concentrado. La asignación de forraje utilizada (25 kg MS/vaca/d) de acuerdo con Bargo </w:t>
      </w:r>
      <w:r>
        <w:rPr>
          <w:i/>
        </w:rPr>
        <w:t>et al</w:t>
      </w:r>
      <w:r>
        <w:rPr/>
        <w:t>. (2003) es adecuada para no comprometer la producción de leche, máxime si el forraje no es la única alimentación como ocurrió en el presente estudio. Burke </w:t>
      </w:r>
      <w:r>
        <w:rPr>
          <w:i/>
        </w:rPr>
        <w:t>et al</w:t>
      </w:r>
      <w:r>
        <w:rPr/>
        <w:t>. (2008) evaluaron la asignación de forraje de 15 kg de MS/vaca/d a vacas Holstein en pastoreo, cuyo consumo fue de 14.6 kg de MS/d, por lo que consideraron que hubo restricción de alimento en términos de disponibilidad para consumo de forraje cuando las vacas no recibieron un complemento. Sin embargo, ofertando la misma cantidad de   forraje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2"/>
        <w:jc w:val="both"/>
      </w:pPr>
      <w:r>
        <w:rPr/>
        <w:t>y complementando concentrado o ensilado de maíz, el consumo de forraje en pastoreo solo disminuyo de 1.5 a 2.0 kg MS/vaca/d (Burke </w:t>
      </w:r>
      <w:r>
        <w:rPr>
          <w:i/>
        </w:rPr>
        <w:t>et al</w:t>
      </w:r>
      <w:r>
        <w:rPr/>
        <w:t>., 2008); esto sugirió que los complementos ofrecidos causaron una reducción en el consumo de MS de forraje en pastoreo por el efecto sustitución como lo han demostrado otros autores (Gordon </w:t>
      </w:r>
      <w:r>
        <w:rPr>
          <w:i/>
        </w:rPr>
        <w:t>et al</w:t>
      </w:r>
      <w:r>
        <w:rPr/>
        <w:t>., 2000). Kay </w:t>
      </w:r>
      <w:r>
        <w:rPr>
          <w:i/>
        </w:rPr>
        <w:t>et al</w:t>
      </w:r>
      <w:r>
        <w:rPr/>
        <w:t>. (2007) evaluaron la restricción del forraje mediante una alta (42 kg de MS/vaca/d) y baja (22 kg de MS/vaca/d) asignación de forraje en pastoreo, los autores concluyeron que la restricción de forraje redujo el consumo de MS (de 13.4 a 11.6 kg/d, respectivamente) y tuvo un efecto más marcado en la reducción del rendimiento de leche en torno a un 25% (de 15.7 a 11.9 kg/d).</w:t>
      </w:r>
    </w:p>
    <w:p>
      <w:pPr>
        <w:pStyle w:val="BodyText"/>
      </w:pPr>
    </w:p>
    <w:p>
      <w:pPr>
        <w:pStyle w:val="BodyText"/>
      </w:pPr>
    </w:p>
    <w:p>
      <w:pPr>
        <w:pStyle w:val="BodyText"/>
        <w:spacing w:before="8"/>
        <w:rPr>
          <w:sz w:val="23"/>
        </w:rPr>
      </w:pPr>
    </w:p>
    <w:p>
      <w:pPr>
        <w:pStyle w:val="BodyText"/>
        <w:spacing w:line="357" w:lineRule="auto" w:before="1"/>
        <w:ind w:left="512" w:right="103"/>
        <w:jc w:val="both"/>
      </w:pPr>
      <w:r>
        <w:rPr/>
        <w:pict>
          <v:shape style="position:absolute;margin-left:78.744003pt;margin-top:93.113113pt;width:453.8pt;height:231.95pt;mso-position-horizontal-relative:page;mso-position-vertical-relative:paragraph;z-index:17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6"/>
                    <w:gridCol w:w="697"/>
                    <w:gridCol w:w="819"/>
                    <w:gridCol w:w="569"/>
                    <w:gridCol w:w="221"/>
                    <w:gridCol w:w="696"/>
                    <w:gridCol w:w="692"/>
                    <w:gridCol w:w="696"/>
                    <w:gridCol w:w="672"/>
                    <w:gridCol w:w="751"/>
                    <w:gridCol w:w="735"/>
                    <w:gridCol w:w="733"/>
                  </w:tblGrid>
                  <w:tr>
                    <w:trPr>
                      <w:trHeight w:val="239" w:hRule="exact"/>
                    </w:trPr>
                    <w:tc>
                      <w:tcPr>
                        <w:tcW w:w="1796" w:type="dxa"/>
                        <w:tcBorders>
                          <w:left w:val="nil"/>
                          <w:bottom w:val="nil"/>
                          <w:right w:val="nil"/>
                        </w:tcBorders>
                      </w:tcPr>
                      <w:p>
                        <w:pPr>
                          <w:pStyle w:val="TableParagraph"/>
                          <w:ind w:left="422"/>
                          <w:jc w:val="left"/>
                          <w:rPr>
                            <w:b/>
                            <w:sz w:val="18"/>
                          </w:rPr>
                        </w:pPr>
                        <w:r>
                          <w:rPr>
                            <w:b/>
                            <w:sz w:val="18"/>
                          </w:rPr>
                          <w:t>GENOTIPO</w:t>
                        </w:r>
                      </w:p>
                    </w:tc>
                    <w:tc>
                      <w:tcPr>
                        <w:tcW w:w="1516" w:type="dxa"/>
                        <w:gridSpan w:val="2"/>
                        <w:tcBorders>
                          <w:left w:val="nil"/>
                          <w:right w:val="nil"/>
                        </w:tcBorders>
                      </w:tcPr>
                      <w:p>
                        <w:pPr>
                          <w:pStyle w:val="TableParagraph"/>
                          <w:ind w:left="571" w:right="-8"/>
                          <w:jc w:val="left"/>
                          <w:rPr>
                            <w:b/>
                            <w:sz w:val="18"/>
                          </w:rPr>
                        </w:pPr>
                        <w:r>
                          <w:rPr>
                            <w:b/>
                            <w:spacing w:val="-1"/>
                            <w:sz w:val="18"/>
                          </w:rPr>
                          <w:t>HOLSTEIN</w:t>
                        </w:r>
                      </w:p>
                    </w:tc>
                    <w:tc>
                      <w:tcPr>
                        <w:tcW w:w="569" w:type="dxa"/>
                        <w:tcBorders>
                          <w:left w:val="nil"/>
                          <w:right w:val="nil"/>
                        </w:tcBorders>
                      </w:tcPr>
                      <w:p>
                        <w:pPr/>
                      </w:p>
                    </w:tc>
                    <w:tc>
                      <w:tcPr>
                        <w:tcW w:w="2305" w:type="dxa"/>
                        <w:gridSpan w:val="4"/>
                        <w:tcBorders>
                          <w:left w:val="nil"/>
                          <w:bottom w:val="nil"/>
                          <w:right w:val="nil"/>
                        </w:tcBorders>
                      </w:tcPr>
                      <w:p>
                        <w:pPr>
                          <w:pStyle w:val="TableParagraph"/>
                          <w:ind w:left="643"/>
                          <w:jc w:val="left"/>
                          <w:rPr>
                            <w:b/>
                            <w:sz w:val="18"/>
                          </w:rPr>
                        </w:pPr>
                        <w:r>
                          <w:rPr>
                            <w:b/>
                            <w:sz w:val="18"/>
                          </w:rPr>
                          <w:t>PARDO SUIZO</w:t>
                        </w:r>
                      </w:p>
                    </w:tc>
                    <w:tc>
                      <w:tcPr>
                        <w:tcW w:w="672" w:type="dxa"/>
                        <w:tcBorders>
                          <w:left w:val="nil"/>
                          <w:bottom w:val="nil"/>
                          <w:right w:val="nil"/>
                        </w:tcBorders>
                      </w:tcPr>
                      <w:p>
                        <w:pPr/>
                      </w:p>
                    </w:tc>
                    <w:tc>
                      <w:tcPr>
                        <w:tcW w:w="751" w:type="dxa"/>
                        <w:tcBorders>
                          <w:left w:val="nil"/>
                          <w:right w:val="nil"/>
                        </w:tcBorders>
                      </w:tcPr>
                      <w:p>
                        <w:pPr/>
                      </w:p>
                    </w:tc>
                    <w:tc>
                      <w:tcPr>
                        <w:tcW w:w="735" w:type="dxa"/>
                        <w:tcBorders>
                          <w:left w:val="nil"/>
                          <w:right w:val="nil"/>
                        </w:tcBorders>
                      </w:tcPr>
                      <w:p>
                        <w:pPr>
                          <w:pStyle w:val="TableParagraph"/>
                          <w:spacing w:line="205" w:lineRule="exact"/>
                          <w:ind w:left="78" w:right="99"/>
                          <w:rPr>
                            <w:b/>
                            <w:sz w:val="12"/>
                          </w:rPr>
                        </w:pPr>
                        <w:r>
                          <w:rPr>
                            <w:b/>
                            <w:i/>
                            <w:position w:val="-7"/>
                            <w:sz w:val="18"/>
                          </w:rPr>
                          <w:t>P</w:t>
                        </w:r>
                        <w:r>
                          <w:rPr>
                            <w:b/>
                            <w:position w:val="-7"/>
                            <w:sz w:val="18"/>
                          </w:rPr>
                          <w:t>&lt;</w:t>
                        </w:r>
                        <w:r>
                          <w:rPr>
                            <w:b/>
                            <w:sz w:val="12"/>
                          </w:rPr>
                          <w:t>††</w:t>
                        </w:r>
                      </w:p>
                    </w:tc>
                    <w:tc>
                      <w:tcPr>
                        <w:tcW w:w="733" w:type="dxa"/>
                        <w:tcBorders>
                          <w:left w:val="nil"/>
                          <w:right w:val="nil"/>
                        </w:tcBorders>
                      </w:tcPr>
                      <w:p>
                        <w:pPr/>
                      </w:p>
                    </w:tc>
                  </w:tr>
                  <w:tr>
                    <w:trPr>
                      <w:trHeight w:val="255" w:hRule="exact"/>
                    </w:trPr>
                    <w:tc>
                      <w:tcPr>
                        <w:tcW w:w="1796" w:type="dxa"/>
                        <w:tcBorders>
                          <w:top w:val="nil"/>
                          <w:left w:val="nil"/>
                          <w:right w:val="nil"/>
                        </w:tcBorders>
                      </w:tcPr>
                      <w:p>
                        <w:pPr>
                          <w:pStyle w:val="TableParagraph"/>
                          <w:spacing w:before="15"/>
                          <w:ind w:left="191"/>
                          <w:jc w:val="left"/>
                          <w:rPr>
                            <w:b/>
                            <w:sz w:val="18"/>
                          </w:rPr>
                        </w:pPr>
                        <w:r>
                          <w:rPr>
                            <w:b/>
                            <w:sz w:val="18"/>
                          </w:rPr>
                          <w:t>CONCENTRADO</w:t>
                        </w:r>
                      </w:p>
                    </w:tc>
                    <w:tc>
                      <w:tcPr>
                        <w:tcW w:w="697" w:type="dxa"/>
                        <w:tcBorders>
                          <w:left w:val="nil"/>
                          <w:right w:val="nil"/>
                        </w:tcBorders>
                      </w:tcPr>
                      <w:p>
                        <w:pPr>
                          <w:pStyle w:val="TableParagraph"/>
                          <w:spacing w:line="202" w:lineRule="exact"/>
                          <w:ind w:left="100" w:right="97"/>
                          <w:rPr>
                            <w:sz w:val="18"/>
                          </w:rPr>
                        </w:pPr>
                        <w:r>
                          <w:rPr>
                            <w:sz w:val="18"/>
                          </w:rPr>
                          <w:t>3c</w:t>
                        </w:r>
                      </w:p>
                    </w:tc>
                    <w:tc>
                      <w:tcPr>
                        <w:tcW w:w="819" w:type="dxa"/>
                        <w:tcBorders>
                          <w:left w:val="nil"/>
                          <w:right w:val="nil"/>
                        </w:tcBorders>
                      </w:tcPr>
                      <w:p>
                        <w:pPr>
                          <w:pStyle w:val="TableParagraph"/>
                          <w:spacing w:line="202" w:lineRule="exact"/>
                          <w:ind w:left="264"/>
                          <w:jc w:val="left"/>
                          <w:rPr>
                            <w:sz w:val="18"/>
                          </w:rPr>
                        </w:pPr>
                        <w:r>
                          <w:rPr>
                            <w:sz w:val="18"/>
                          </w:rPr>
                          <w:t>5c</w:t>
                        </w:r>
                      </w:p>
                    </w:tc>
                    <w:tc>
                      <w:tcPr>
                        <w:tcW w:w="569" w:type="dxa"/>
                        <w:tcBorders>
                          <w:left w:val="nil"/>
                          <w:right w:val="nil"/>
                        </w:tcBorders>
                      </w:tcPr>
                      <w:p>
                        <w:pPr>
                          <w:pStyle w:val="TableParagraph"/>
                          <w:spacing w:line="202" w:lineRule="exact"/>
                          <w:ind w:left="3" w:right="115"/>
                          <w:rPr>
                            <w:sz w:val="18"/>
                          </w:rPr>
                        </w:pPr>
                        <w:r>
                          <w:rPr>
                            <w:sz w:val="18"/>
                          </w:rPr>
                          <w:t>8c</w:t>
                        </w:r>
                      </w:p>
                    </w:tc>
                    <w:tc>
                      <w:tcPr>
                        <w:tcW w:w="221" w:type="dxa"/>
                        <w:tcBorders>
                          <w:top w:val="nil"/>
                          <w:left w:val="nil"/>
                          <w:right w:val="nil"/>
                        </w:tcBorders>
                      </w:tcPr>
                      <w:p>
                        <w:pPr/>
                      </w:p>
                    </w:tc>
                    <w:tc>
                      <w:tcPr>
                        <w:tcW w:w="696" w:type="dxa"/>
                        <w:tcBorders>
                          <w:left w:val="nil"/>
                          <w:right w:val="nil"/>
                        </w:tcBorders>
                      </w:tcPr>
                      <w:p>
                        <w:pPr>
                          <w:pStyle w:val="TableParagraph"/>
                          <w:spacing w:line="202" w:lineRule="exact"/>
                          <w:ind w:left="96" w:right="93"/>
                          <w:rPr>
                            <w:sz w:val="18"/>
                          </w:rPr>
                        </w:pPr>
                        <w:r>
                          <w:rPr>
                            <w:sz w:val="18"/>
                          </w:rPr>
                          <w:t>3c</w:t>
                        </w:r>
                      </w:p>
                    </w:tc>
                    <w:tc>
                      <w:tcPr>
                        <w:tcW w:w="692" w:type="dxa"/>
                        <w:tcBorders>
                          <w:left w:val="nil"/>
                          <w:right w:val="nil"/>
                        </w:tcBorders>
                      </w:tcPr>
                      <w:p>
                        <w:pPr>
                          <w:pStyle w:val="TableParagraph"/>
                          <w:spacing w:line="202" w:lineRule="exact"/>
                          <w:ind w:left="96" w:right="96"/>
                          <w:rPr>
                            <w:sz w:val="18"/>
                          </w:rPr>
                        </w:pPr>
                        <w:r>
                          <w:rPr>
                            <w:sz w:val="18"/>
                          </w:rPr>
                          <w:t>5c</w:t>
                        </w:r>
                      </w:p>
                    </w:tc>
                    <w:tc>
                      <w:tcPr>
                        <w:tcW w:w="696" w:type="dxa"/>
                        <w:tcBorders>
                          <w:left w:val="nil"/>
                          <w:right w:val="nil"/>
                        </w:tcBorders>
                      </w:tcPr>
                      <w:p>
                        <w:pPr>
                          <w:pStyle w:val="TableParagraph"/>
                          <w:spacing w:line="202" w:lineRule="exact"/>
                          <w:ind w:left="96" w:right="93"/>
                          <w:rPr>
                            <w:sz w:val="18"/>
                          </w:rPr>
                        </w:pPr>
                        <w:r>
                          <w:rPr>
                            <w:sz w:val="18"/>
                          </w:rPr>
                          <w:t>8c</w:t>
                        </w:r>
                      </w:p>
                    </w:tc>
                    <w:tc>
                      <w:tcPr>
                        <w:tcW w:w="672" w:type="dxa"/>
                        <w:tcBorders>
                          <w:top w:val="nil"/>
                          <w:left w:val="nil"/>
                          <w:right w:val="nil"/>
                        </w:tcBorders>
                      </w:tcPr>
                      <w:p>
                        <w:pPr>
                          <w:pStyle w:val="TableParagraph"/>
                          <w:spacing w:line="217" w:lineRule="exact"/>
                          <w:ind w:left="97" w:right="95"/>
                          <w:rPr>
                            <w:sz w:val="12"/>
                          </w:rPr>
                        </w:pPr>
                        <w:r>
                          <w:rPr>
                            <w:sz w:val="18"/>
                          </w:rPr>
                          <w:t>EEM</w:t>
                        </w:r>
                        <w:r>
                          <w:rPr>
                            <w:position w:val="8"/>
                            <w:sz w:val="12"/>
                          </w:rPr>
                          <w:t>†</w:t>
                        </w:r>
                      </w:p>
                    </w:tc>
                    <w:tc>
                      <w:tcPr>
                        <w:tcW w:w="751" w:type="dxa"/>
                        <w:tcBorders>
                          <w:left w:val="nil"/>
                          <w:right w:val="nil"/>
                        </w:tcBorders>
                      </w:tcPr>
                      <w:p>
                        <w:pPr>
                          <w:pStyle w:val="TableParagraph"/>
                          <w:spacing w:line="202" w:lineRule="exact"/>
                          <w:ind w:left="3"/>
                          <w:rPr>
                            <w:sz w:val="18"/>
                          </w:rPr>
                        </w:pPr>
                        <w:r>
                          <w:rPr>
                            <w:w w:val="101"/>
                            <w:sz w:val="18"/>
                          </w:rPr>
                          <w:t>C</w:t>
                        </w:r>
                      </w:p>
                    </w:tc>
                    <w:tc>
                      <w:tcPr>
                        <w:tcW w:w="735" w:type="dxa"/>
                        <w:tcBorders>
                          <w:left w:val="nil"/>
                          <w:right w:val="nil"/>
                        </w:tcBorders>
                      </w:tcPr>
                      <w:p>
                        <w:pPr>
                          <w:pStyle w:val="TableParagraph"/>
                          <w:spacing w:line="202" w:lineRule="exact"/>
                          <w:rPr>
                            <w:sz w:val="18"/>
                          </w:rPr>
                        </w:pPr>
                        <w:r>
                          <w:rPr>
                            <w:w w:val="101"/>
                            <w:sz w:val="18"/>
                          </w:rPr>
                          <w:t>G</w:t>
                        </w:r>
                      </w:p>
                    </w:tc>
                    <w:tc>
                      <w:tcPr>
                        <w:tcW w:w="733" w:type="dxa"/>
                        <w:tcBorders>
                          <w:left w:val="nil"/>
                          <w:right w:val="nil"/>
                        </w:tcBorders>
                      </w:tcPr>
                      <w:p>
                        <w:pPr>
                          <w:pStyle w:val="TableParagraph"/>
                          <w:spacing w:line="202" w:lineRule="exact"/>
                          <w:ind w:left="98" w:right="98"/>
                          <w:rPr>
                            <w:sz w:val="18"/>
                          </w:rPr>
                        </w:pPr>
                        <w:r>
                          <w:rPr>
                            <w:sz w:val="18"/>
                          </w:rPr>
                          <w:t>C*G</w:t>
                        </w:r>
                      </w:p>
                    </w:tc>
                  </w:tr>
                  <w:tr>
                    <w:trPr>
                      <w:trHeight w:val="219" w:hRule="exact"/>
                    </w:trPr>
                    <w:tc>
                      <w:tcPr>
                        <w:tcW w:w="1796" w:type="dxa"/>
                        <w:tcBorders>
                          <w:left w:val="nil"/>
                          <w:bottom w:val="nil"/>
                          <w:right w:val="nil"/>
                        </w:tcBorders>
                      </w:tcPr>
                      <w:p>
                        <w:pPr>
                          <w:pStyle w:val="TableParagraph"/>
                          <w:ind w:left="124"/>
                          <w:jc w:val="left"/>
                          <w:rPr>
                            <w:b/>
                            <w:sz w:val="18"/>
                          </w:rPr>
                        </w:pPr>
                        <w:r>
                          <w:rPr>
                            <w:b/>
                            <w:sz w:val="18"/>
                          </w:rPr>
                          <w:t>Consumo de MS</w:t>
                        </w:r>
                      </w:p>
                    </w:tc>
                    <w:tc>
                      <w:tcPr>
                        <w:tcW w:w="697" w:type="dxa"/>
                        <w:tcBorders>
                          <w:left w:val="nil"/>
                          <w:bottom w:val="nil"/>
                          <w:right w:val="nil"/>
                        </w:tcBorders>
                      </w:tcPr>
                      <w:p>
                        <w:pPr/>
                      </w:p>
                    </w:tc>
                    <w:tc>
                      <w:tcPr>
                        <w:tcW w:w="819" w:type="dxa"/>
                        <w:tcBorders>
                          <w:left w:val="nil"/>
                          <w:bottom w:val="nil"/>
                          <w:right w:val="nil"/>
                        </w:tcBorders>
                      </w:tcPr>
                      <w:p>
                        <w:pPr/>
                      </w:p>
                    </w:tc>
                    <w:tc>
                      <w:tcPr>
                        <w:tcW w:w="569" w:type="dxa"/>
                        <w:tcBorders>
                          <w:left w:val="nil"/>
                          <w:bottom w:val="nil"/>
                          <w:right w:val="nil"/>
                        </w:tcBorders>
                      </w:tcPr>
                      <w:p>
                        <w:pPr/>
                      </w:p>
                    </w:tc>
                    <w:tc>
                      <w:tcPr>
                        <w:tcW w:w="221" w:type="dxa"/>
                        <w:tcBorders>
                          <w:left w:val="nil"/>
                          <w:bottom w:val="nil"/>
                          <w:right w:val="nil"/>
                        </w:tcBorders>
                      </w:tcPr>
                      <w:p>
                        <w:pPr/>
                      </w:p>
                    </w:tc>
                    <w:tc>
                      <w:tcPr>
                        <w:tcW w:w="696" w:type="dxa"/>
                        <w:tcBorders>
                          <w:left w:val="nil"/>
                          <w:bottom w:val="nil"/>
                          <w:right w:val="nil"/>
                        </w:tcBorders>
                      </w:tcPr>
                      <w:p>
                        <w:pPr/>
                      </w:p>
                    </w:tc>
                    <w:tc>
                      <w:tcPr>
                        <w:tcW w:w="692" w:type="dxa"/>
                        <w:tcBorders>
                          <w:left w:val="nil"/>
                          <w:bottom w:val="nil"/>
                          <w:right w:val="nil"/>
                        </w:tcBorders>
                      </w:tcPr>
                      <w:p>
                        <w:pPr/>
                      </w:p>
                    </w:tc>
                    <w:tc>
                      <w:tcPr>
                        <w:tcW w:w="696" w:type="dxa"/>
                        <w:tcBorders>
                          <w:left w:val="nil"/>
                          <w:bottom w:val="nil"/>
                          <w:right w:val="nil"/>
                        </w:tcBorders>
                      </w:tcPr>
                      <w:p>
                        <w:pPr/>
                      </w:p>
                    </w:tc>
                    <w:tc>
                      <w:tcPr>
                        <w:tcW w:w="672" w:type="dxa"/>
                        <w:tcBorders>
                          <w:left w:val="nil"/>
                          <w:bottom w:val="nil"/>
                          <w:right w:val="nil"/>
                        </w:tcBorders>
                      </w:tcPr>
                      <w:p>
                        <w:pPr/>
                      </w:p>
                    </w:tc>
                    <w:tc>
                      <w:tcPr>
                        <w:tcW w:w="751" w:type="dxa"/>
                        <w:tcBorders>
                          <w:left w:val="nil"/>
                          <w:bottom w:val="nil"/>
                          <w:right w:val="nil"/>
                        </w:tcBorders>
                      </w:tcPr>
                      <w:p>
                        <w:pPr/>
                      </w:p>
                    </w:tc>
                    <w:tc>
                      <w:tcPr>
                        <w:tcW w:w="735" w:type="dxa"/>
                        <w:tcBorders>
                          <w:left w:val="nil"/>
                          <w:bottom w:val="nil"/>
                          <w:right w:val="nil"/>
                        </w:tcBorders>
                      </w:tcPr>
                      <w:p>
                        <w:pPr/>
                      </w:p>
                    </w:tc>
                    <w:tc>
                      <w:tcPr>
                        <w:tcW w:w="733" w:type="dxa"/>
                        <w:tcBorders>
                          <w:left w:val="nil"/>
                          <w:bottom w:val="nil"/>
                          <w:right w:val="nil"/>
                        </w:tcBorders>
                      </w:tcPr>
                      <w:p>
                        <w:pPr/>
                      </w:p>
                    </w:tc>
                  </w:tr>
                  <w:tr>
                    <w:trPr>
                      <w:trHeight w:val="238" w:hRule="exact"/>
                    </w:trPr>
                    <w:tc>
                      <w:tcPr>
                        <w:tcW w:w="1796" w:type="dxa"/>
                        <w:tcBorders>
                          <w:top w:val="nil"/>
                          <w:left w:val="nil"/>
                          <w:bottom w:val="nil"/>
                          <w:right w:val="nil"/>
                        </w:tcBorders>
                      </w:tcPr>
                      <w:p>
                        <w:pPr>
                          <w:pStyle w:val="TableParagraph"/>
                          <w:spacing w:before="21"/>
                          <w:ind w:left="124"/>
                          <w:jc w:val="left"/>
                          <w:rPr>
                            <w:sz w:val="18"/>
                          </w:rPr>
                        </w:pPr>
                        <w:r>
                          <w:rPr>
                            <w:sz w:val="18"/>
                          </w:rPr>
                          <w:t>Ensilado</w:t>
                        </w:r>
                      </w:p>
                    </w:tc>
                    <w:tc>
                      <w:tcPr>
                        <w:tcW w:w="697" w:type="dxa"/>
                        <w:tcBorders>
                          <w:top w:val="nil"/>
                          <w:left w:val="nil"/>
                          <w:bottom w:val="nil"/>
                          <w:right w:val="nil"/>
                        </w:tcBorders>
                      </w:tcPr>
                      <w:p>
                        <w:pPr>
                          <w:pStyle w:val="TableParagraph"/>
                          <w:spacing w:line="228" w:lineRule="exact"/>
                          <w:ind w:left="101" w:right="94"/>
                          <w:rPr>
                            <w:sz w:val="12"/>
                          </w:rPr>
                        </w:pPr>
                        <w:r>
                          <w:rPr>
                            <w:sz w:val="18"/>
                          </w:rPr>
                          <w:t>7.75</w:t>
                        </w:r>
                        <w:r>
                          <w:rPr>
                            <w:position w:val="8"/>
                            <w:sz w:val="12"/>
                          </w:rPr>
                          <w:t>bc</w:t>
                        </w:r>
                      </w:p>
                    </w:tc>
                    <w:tc>
                      <w:tcPr>
                        <w:tcW w:w="819" w:type="dxa"/>
                        <w:tcBorders>
                          <w:top w:val="nil"/>
                          <w:left w:val="nil"/>
                          <w:bottom w:val="nil"/>
                          <w:right w:val="nil"/>
                        </w:tcBorders>
                      </w:tcPr>
                      <w:p>
                        <w:pPr>
                          <w:pStyle w:val="TableParagraph"/>
                          <w:spacing w:line="228" w:lineRule="exact"/>
                          <w:ind w:right="278"/>
                          <w:jc w:val="right"/>
                          <w:rPr>
                            <w:sz w:val="12"/>
                          </w:rPr>
                        </w:pPr>
                        <w:r>
                          <w:rPr>
                            <w:sz w:val="18"/>
                          </w:rPr>
                          <w:t>7.33</w:t>
                        </w:r>
                        <w:r>
                          <w:rPr>
                            <w:position w:val="8"/>
                            <w:sz w:val="12"/>
                          </w:rPr>
                          <w:t>c</w:t>
                        </w:r>
                      </w:p>
                    </w:tc>
                    <w:tc>
                      <w:tcPr>
                        <w:tcW w:w="569" w:type="dxa"/>
                        <w:tcBorders>
                          <w:top w:val="nil"/>
                          <w:left w:val="nil"/>
                          <w:bottom w:val="nil"/>
                          <w:right w:val="nil"/>
                        </w:tcBorders>
                      </w:tcPr>
                      <w:p>
                        <w:pPr>
                          <w:pStyle w:val="TableParagraph"/>
                          <w:spacing w:line="228" w:lineRule="exact"/>
                          <w:ind w:left="3" w:right="114"/>
                          <w:rPr>
                            <w:sz w:val="12"/>
                          </w:rPr>
                        </w:pPr>
                        <w:r>
                          <w:rPr>
                            <w:sz w:val="18"/>
                          </w:rPr>
                          <w:t>8.34</w:t>
                        </w:r>
                        <w:r>
                          <w:rPr>
                            <w:position w:val="8"/>
                            <w:sz w:val="12"/>
                          </w:rPr>
                          <w:t>a</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line="228" w:lineRule="exact"/>
                          <w:ind w:right="124"/>
                          <w:jc w:val="right"/>
                          <w:rPr>
                            <w:sz w:val="12"/>
                          </w:rPr>
                        </w:pPr>
                        <w:r>
                          <w:rPr>
                            <w:sz w:val="18"/>
                          </w:rPr>
                          <w:t>7.42</w:t>
                        </w:r>
                        <w:r>
                          <w:rPr>
                            <w:position w:val="8"/>
                            <w:sz w:val="12"/>
                          </w:rPr>
                          <w:t>bc</w:t>
                        </w:r>
                      </w:p>
                    </w:tc>
                    <w:tc>
                      <w:tcPr>
                        <w:tcW w:w="692" w:type="dxa"/>
                        <w:tcBorders>
                          <w:top w:val="nil"/>
                          <w:left w:val="nil"/>
                          <w:bottom w:val="nil"/>
                          <w:right w:val="nil"/>
                        </w:tcBorders>
                      </w:tcPr>
                      <w:p>
                        <w:pPr>
                          <w:pStyle w:val="TableParagraph"/>
                          <w:spacing w:line="228" w:lineRule="exact"/>
                          <w:ind w:left="90" w:right="96"/>
                          <w:rPr>
                            <w:sz w:val="12"/>
                          </w:rPr>
                        </w:pPr>
                        <w:r>
                          <w:rPr>
                            <w:sz w:val="18"/>
                          </w:rPr>
                          <w:t>7.94</w:t>
                        </w:r>
                        <w:r>
                          <w:rPr>
                            <w:position w:val="8"/>
                            <w:sz w:val="12"/>
                          </w:rPr>
                          <w:t>ab</w:t>
                        </w:r>
                      </w:p>
                    </w:tc>
                    <w:tc>
                      <w:tcPr>
                        <w:tcW w:w="696" w:type="dxa"/>
                        <w:tcBorders>
                          <w:top w:val="nil"/>
                          <w:left w:val="nil"/>
                          <w:bottom w:val="nil"/>
                          <w:right w:val="nil"/>
                        </w:tcBorders>
                      </w:tcPr>
                      <w:p>
                        <w:pPr>
                          <w:pStyle w:val="TableParagraph"/>
                          <w:spacing w:line="228" w:lineRule="exact"/>
                          <w:ind w:left="96" w:right="90"/>
                          <w:rPr>
                            <w:sz w:val="12"/>
                          </w:rPr>
                        </w:pPr>
                        <w:r>
                          <w:rPr>
                            <w:sz w:val="18"/>
                          </w:rPr>
                          <w:t>7.73</w:t>
                        </w:r>
                        <w:r>
                          <w:rPr>
                            <w:position w:val="8"/>
                            <w:sz w:val="12"/>
                          </w:rPr>
                          <w:t>bc</w:t>
                        </w:r>
                      </w:p>
                    </w:tc>
                    <w:tc>
                      <w:tcPr>
                        <w:tcW w:w="672" w:type="dxa"/>
                        <w:tcBorders>
                          <w:top w:val="nil"/>
                          <w:left w:val="nil"/>
                          <w:bottom w:val="nil"/>
                          <w:right w:val="nil"/>
                        </w:tcBorders>
                      </w:tcPr>
                      <w:p>
                        <w:pPr>
                          <w:pStyle w:val="TableParagraph"/>
                          <w:spacing w:before="21"/>
                          <w:ind w:left="97" w:right="93"/>
                          <w:rPr>
                            <w:sz w:val="18"/>
                          </w:rPr>
                        </w:pPr>
                        <w:r>
                          <w:rPr>
                            <w:sz w:val="18"/>
                          </w:rPr>
                          <w:t>0.208</w:t>
                        </w:r>
                      </w:p>
                    </w:tc>
                    <w:tc>
                      <w:tcPr>
                        <w:tcW w:w="751" w:type="dxa"/>
                        <w:tcBorders>
                          <w:top w:val="nil"/>
                          <w:left w:val="nil"/>
                          <w:bottom w:val="nil"/>
                          <w:right w:val="nil"/>
                        </w:tcBorders>
                      </w:tcPr>
                      <w:p>
                        <w:pPr>
                          <w:pStyle w:val="TableParagraph"/>
                          <w:spacing w:before="21"/>
                          <w:ind w:left="103" w:right="97"/>
                          <w:rPr>
                            <w:sz w:val="18"/>
                          </w:rPr>
                        </w:pPr>
                        <w:r>
                          <w:rPr>
                            <w:sz w:val="18"/>
                          </w:rPr>
                          <w:t>0.0708</w:t>
                        </w:r>
                      </w:p>
                    </w:tc>
                    <w:tc>
                      <w:tcPr>
                        <w:tcW w:w="735" w:type="dxa"/>
                        <w:tcBorders>
                          <w:top w:val="nil"/>
                          <w:left w:val="nil"/>
                          <w:bottom w:val="nil"/>
                          <w:right w:val="nil"/>
                        </w:tcBorders>
                      </w:tcPr>
                      <w:p>
                        <w:pPr>
                          <w:pStyle w:val="TableParagraph"/>
                          <w:spacing w:before="21"/>
                          <w:ind w:left="99" w:right="99"/>
                          <w:rPr>
                            <w:sz w:val="18"/>
                          </w:rPr>
                        </w:pPr>
                        <w:r>
                          <w:rPr>
                            <w:sz w:val="18"/>
                          </w:rPr>
                          <w:t>0.5271</w:t>
                        </w:r>
                      </w:p>
                    </w:tc>
                    <w:tc>
                      <w:tcPr>
                        <w:tcW w:w="733" w:type="dxa"/>
                        <w:tcBorders>
                          <w:top w:val="nil"/>
                          <w:left w:val="nil"/>
                          <w:bottom w:val="nil"/>
                          <w:right w:val="nil"/>
                        </w:tcBorders>
                      </w:tcPr>
                      <w:p>
                        <w:pPr>
                          <w:pStyle w:val="TableParagraph"/>
                          <w:spacing w:before="21"/>
                          <w:ind w:left="99" w:right="98"/>
                          <w:rPr>
                            <w:sz w:val="18"/>
                          </w:rPr>
                        </w:pPr>
                        <w:r>
                          <w:rPr>
                            <w:sz w:val="18"/>
                          </w:rPr>
                          <w:t>0.0135</w:t>
                        </w:r>
                      </w:p>
                    </w:tc>
                  </w:tr>
                  <w:tr>
                    <w:trPr>
                      <w:trHeight w:val="238" w:hRule="exact"/>
                    </w:trPr>
                    <w:tc>
                      <w:tcPr>
                        <w:tcW w:w="1796" w:type="dxa"/>
                        <w:tcBorders>
                          <w:top w:val="nil"/>
                          <w:left w:val="nil"/>
                          <w:bottom w:val="nil"/>
                          <w:right w:val="nil"/>
                        </w:tcBorders>
                      </w:tcPr>
                      <w:p>
                        <w:pPr>
                          <w:pStyle w:val="TableParagraph"/>
                          <w:spacing w:before="23"/>
                          <w:ind w:left="124"/>
                          <w:jc w:val="left"/>
                          <w:rPr>
                            <w:sz w:val="18"/>
                          </w:rPr>
                        </w:pPr>
                        <w:r>
                          <w:rPr>
                            <w:sz w:val="18"/>
                          </w:rPr>
                          <w:t>Concentrado</w:t>
                        </w:r>
                      </w:p>
                    </w:tc>
                    <w:tc>
                      <w:tcPr>
                        <w:tcW w:w="697" w:type="dxa"/>
                        <w:tcBorders>
                          <w:top w:val="nil"/>
                          <w:left w:val="nil"/>
                          <w:bottom w:val="nil"/>
                          <w:right w:val="nil"/>
                        </w:tcBorders>
                      </w:tcPr>
                      <w:p>
                        <w:pPr>
                          <w:pStyle w:val="TableParagraph"/>
                          <w:spacing w:line="230" w:lineRule="exact"/>
                          <w:ind w:left="101" w:right="97"/>
                          <w:rPr>
                            <w:sz w:val="12"/>
                          </w:rPr>
                        </w:pPr>
                        <w:r>
                          <w:rPr>
                            <w:sz w:val="18"/>
                          </w:rPr>
                          <w:t>2.70</w:t>
                        </w:r>
                        <w:r>
                          <w:rPr>
                            <w:position w:val="8"/>
                            <w:sz w:val="12"/>
                          </w:rPr>
                          <w:t>c</w:t>
                        </w:r>
                      </w:p>
                    </w:tc>
                    <w:tc>
                      <w:tcPr>
                        <w:tcW w:w="819" w:type="dxa"/>
                        <w:tcBorders>
                          <w:top w:val="nil"/>
                          <w:left w:val="nil"/>
                          <w:bottom w:val="nil"/>
                          <w:right w:val="nil"/>
                        </w:tcBorders>
                      </w:tcPr>
                      <w:p>
                        <w:pPr>
                          <w:pStyle w:val="TableParagraph"/>
                          <w:spacing w:line="230" w:lineRule="exact"/>
                          <w:ind w:right="281"/>
                          <w:jc w:val="right"/>
                          <w:rPr>
                            <w:sz w:val="12"/>
                          </w:rPr>
                        </w:pPr>
                        <w:r>
                          <w:rPr>
                            <w:sz w:val="18"/>
                          </w:rPr>
                          <w:t>4.50</w:t>
                        </w:r>
                        <w:r>
                          <w:rPr>
                            <w:position w:val="8"/>
                            <w:sz w:val="12"/>
                          </w:rPr>
                          <w:t>b</w:t>
                        </w:r>
                      </w:p>
                    </w:tc>
                    <w:tc>
                      <w:tcPr>
                        <w:tcW w:w="569" w:type="dxa"/>
                        <w:tcBorders>
                          <w:top w:val="nil"/>
                          <w:left w:val="nil"/>
                          <w:bottom w:val="nil"/>
                          <w:right w:val="nil"/>
                        </w:tcBorders>
                      </w:tcPr>
                      <w:p>
                        <w:pPr>
                          <w:pStyle w:val="TableParagraph"/>
                          <w:spacing w:line="230" w:lineRule="exact"/>
                          <w:ind w:left="3" w:right="114"/>
                          <w:rPr>
                            <w:sz w:val="12"/>
                          </w:rPr>
                        </w:pPr>
                        <w:r>
                          <w:rPr>
                            <w:sz w:val="18"/>
                          </w:rPr>
                          <w:t>7.20</w:t>
                        </w:r>
                        <w:r>
                          <w:rPr>
                            <w:position w:val="8"/>
                            <w:sz w:val="12"/>
                          </w:rPr>
                          <w:t>a</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line="230" w:lineRule="exact"/>
                          <w:ind w:right="156"/>
                          <w:jc w:val="right"/>
                          <w:rPr>
                            <w:sz w:val="12"/>
                          </w:rPr>
                        </w:pPr>
                        <w:r>
                          <w:rPr>
                            <w:sz w:val="18"/>
                          </w:rPr>
                          <w:t>2.70</w:t>
                        </w:r>
                        <w:r>
                          <w:rPr>
                            <w:position w:val="8"/>
                            <w:sz w:val="12"/>
                          </w:rPr>
                          <w:t>c</w:t>
                        </w:r>
                      </w:p>
                    </w:tc>
                    <w:tc>
                      <w:tcPr>
                        <w:tcW w:w="692" w:type="dxa"/>
                        <w:tcBorders>
                          <w:top w:val="nil"/>
                          <w:left w:val="nil"/>
                          <w:bottom w:val="nil"/>
                          <w:right w:val="nil"/>
                        </w:tcBorders>
                      </w:tcPr>
                      <w:p>
                        <w:pPr>
                          <w:pStyle w:val="TableParagraph"/>
                          <w:spacing w:line="230" w:lineRule="exact"/>
                          <w:ind w:left="91" w:right="96"/>
                          <w:rPr>
                            <w:sz w:val="12"/>
                          </w:rPr>
                        </w:pPr>
                        <w:r>
                          <w:rPr>
                            <w:sz w:val="18"/>
                          </w:rPr>
                          <w:t>4.50</w:t>
                        </w:r>
                        <w:r>
                          <w:rPr>
                            <w:position w:val="8"/>
                            <w:sz w:val="12"/>
                          </w:rPr>
                          <w:t>b</w:t>
                        </w:r>
                      </w:p>
                    </w:tc>
                    <w:tc>
                      <w:tcPr>
                        <w:tcW w:w="696" w:type="dxa"/>
                        <w:tcBorders>
                          <w:top w:val="nil"/>
                          <w:left w:val="nil"/>
                          <w:bottom w:val="nil"/>
                          <w:right w:val="nil"/>
                        </w:tcBorders>
                      </w:tcPr>
                      <w:p>
                        <w:pPr>
                          <w:pStyle w:val="TableParagraph"/>
                          <w:spacing w:line="230" w:lineRule="exact"/>
                          <w:ind w:left="96" w:right="92"/>
                          <w:rPr>
                            <w:sz w:val="12"/>
                          </w:rPr>
                        </w:pPr>
                        <w:r>
                          <w:rPr>
                            <w:sz w:val="18"/>
                          </w:rPr>
                          <w:t>7.20</w:t>
                        </w:r>
                        <w:r>
                          <w:rPr>
                            <w:position w:val="8"/>
                            <w:sz w:val="12"/>
                          </w:rPr>
                          <w:t>a</w:t>
                        </w:r>
                      </w:p>
                    </w:tc>
                    <w:tc>
                      <w:tcPr>
                        <w:tcW w:w="672" w:type="dxa"/>
                        <w:tcBorders>
                          <w:top w:val="nil"/>
                          <w:left w:val="nil"/>
                          <w:bottom w:val="nil"/>
                          <w:right w:val="nil"/>
                        </w:tcBorders>
                      </w:tcPr>
                      <w:p>
                        <w:pPr>
                          <w:pStyle w:val="TableParagraph"/>
                          <w:spacing w:before="23"/>
                          <w:ind w:left="97" w:right="93"/>
                          <w:rPr>
                            <w:sz w:val="18"/>
                          </w:rPr>
                        </w:pPr>
                        <w:r>
                          <w:rPr>
                            <w:sz w:val="18"/>
                          </w:rPr>
                          <w:t>0.000</w:t>
                        </w:r>
                      </w:p>
                    </w:tc>
                    <w:tc>
                      <w:tcPr>
                        <w:tcW w:w="751" w:type="dxa"/>
                        <w:tcBorders>
                          <w:top w:val="nil"/>
                          <w:left w:val="nil"/>
                          <w:bottom w:val="nil"/>
                          <w:right w:val="nil"/>
                        </w:tcBorders>
                      </w:tcPr>
                      <w:p>
                        <w:pPr>
                          <w:pStyle w:val="TableParagraph"/>
                          <w:spacing w:before="23"/>
                          <w:ind w:left="103" w:right="101"/>
                          <w:rPr>
                            <w:sz w:val="18"/>
                          </w:rPr>
                        </w:pPr>
                        <w:r>
                          <w:rPr>
                            <w:sz w:val="18"/>
                          </w:rPr>
                          <w:t>&lt;.0001</w:t>
                        </w:r>
                      </w:p>
                    </w:tc>
                    <w:tc>
                      <w:tcPr>
                        <w:tcW w:w="735" w:type="dxa"/>
                        <w:tcBorders>
                          <w:top w:val="nil"/>
                          <w:left w:val="nil"/>
                          <w:bottom w:val="nil"/>
                          <w:right w:val="nil"/>
                        </w:tcBorders>
                      </w:tcPr>
                      <w:p>
                        <w:pPr>
                          <w:pStyle w:val="TableParagraph"/>
                          <w:spacing w:before="23"/>
                          <w:ind w:left="3"/>
                          <w:rPr>
                            <w:sz w:val="18"/>
                          </w:rPr>
                        </w:pPr>
                        <w:r>
                          <w:rPr>
                            <w:w w:val="101"/>
                            <w:sz w:val="18"/>
                          </w:rPr>
                          <w:t>-</w:t>
                        </w:r>
                      </w:p>
                    </w:tc>
                    <w:tc>
                      <w:tcPr>
                        <w:tcW w:w="733" w:type="dxa"/>
                        <w:tcBorders>
                          <w:top w:val="nil"/>
                          <w:left w:val="nil"/>
                          <w:bottom w:val="nil"/>
                          <w:right w:val="nil"/>
                        </w:tcBorders>
                      </w:tcPr>
                      <w:p>
                        <w:pPr>
                          <w:pStyle w:val="TableParagraph"/>
                          <w:spacing w:before="23"/>
                          <w:ind w:left="6"/>
                          <w:rPr>
                            <w:sz w:val="18"/>
                          </w:rPr>
                        </w:pPr>
                        <w:r>
                          <w:rPr>
                            <w:w w:val="101"/>
                            <w:sz w:val="18"/>
                          </w:rPr>
                          <w:t>-</w:t>
                        </w:r>
                      </w:p>
                    </w:tc>
                  </w:tr>
                  <w:tr>
                    <w:trPr>
                      <w:trHeight w:val="253" w:hRule="exact"/>
                    </w:trPr>
                    <w:tc>
                      <w:tcPr>
                        <w:tcW w:w="1796" w:type="dxa"/>
                        <w:tcBorders>
                          <w:top w:val="nil"/>
                          <w:left w:val="nil"/>
                          <w:bottom w:val="nil"/>
                          <w:right w:val="nil"/>
                        </w:tcBorders>
                      </w:tcPr>
                      <w:p>
                        <w:pPr>
                          <w:pStyle w:val="TableParagraph"/>
                          <w:spacing w:line="228" w:lineRule="exact"/>
                          <w:ind w:left="124"/>
                          <w:jc w:val="left"/>
                          <w:rPr>
                            <w:sz w:val="12"/>
                          </w:rPr>
                        </w:pPr>
                        <w:r>
                          <w:rPr>
                            <w:sz w:val="18"/>
                          </w:rPr>
                          <w:t>Estabulado</w:t>
                        </w:r>
                        <w:r>
                          <w:rPr>
                            <w:position w:val="8"/>
                            <w:sz w:val="12"/>
                          </w:rPr>
                          <w:t>¶</w:t>
                        </w:r>
                      </w:p>
                    </w:tc>
                    <w:tc>
                      <w:tcPr>
                        <w:tcW w:w="697" w:type="dxa"/>
                        <w:tcBorders>
                          <w:top w:val="nil"/>
                          <w:left w:val="nil"/>
                          <w:bottom w:val="nil"/>
                          <w:right w:val="nil"/>
                        </w:tcBorders>
                      </w:tcPr>
                      <w:p>
                        <w:pPr>
                          <w:pStyle w:val="TableParagraph"/>
                          <w:spacing w:line="228" w:lineRule="exact"/>
                          <w:ind w:left="101" w:right="97"/>
                          <w:rPr>
                            <w:sz w:val="12"/>
                          </w:rPr>
                        </w:pPr>
                        <w:r>
                          <w:rPr>
                            <w:sz w:val="18"/>
                          </w:rPr>
                          <w:t>10.45</w:t>
                        </w:r>
                        <w:r>
                          <w:rPr>
                            <w:position w:val="8"/>
                            <w:sz w:val="12"/>
                          </w:rPr>
                          <w:t>e</w:t>
                        </w:r>
                      </w:p>
                    </w:tc>
                    <w:tc>
                      <w:tcPr>
                        <w:tcW w:w="819" w:type="dxa"/>
                        <w:tcBorders>
                          <w:top w:val="nil"/>
                          <w:left w:val="nil"/>
                          <w:bottom w:val="nil"/>
                          <w:right w:val="nil"/>
                        </w:tcBorders>
                      </w:tcPr>
                      <w:p>
                        <w:pPr>
                          <w:pStyle w:val="TableParagraph"/>
                          <w:spacing w:line="228" w:lineRule="exact"/>
                          <w:ind w:right="233"/>
                          <w:jc w:val="right"/>
                          <w:rPr>
                            <w:sz w:val="12"/>
                          </w:rPr>
                        </w:pPr>
                        <w:r>
                          <w:rPr>
                            <w:sz w:val="18"/>
                          </w:rPr>
                          <w:t>11.83</w:t>
                        </w:r>
                        <w:r>
                          <w:rPr>
                            <w:position w:val="8"/>
                            <w:sz w:val="12"/>
                          </w:rPr>
                          <w:t>d</w:t>
                        </w:r>
                      </w:p>
                    </w:tc>
                    <w:tc>
                      <w:tcPr>
                        <w:tcW w:w="569" w:type="dxa"/>
                        <w:tcBorders>
                          <w:top w:val="nil"/>
                          <w:left w:val="nil"/>
                          <w:bottom w:val="nil"/>
                          <w:right w:val="nil"/>
                        </w:tcBorders>
                      </w:tcPr>
                      <w:p>
                        <w:pPr>
                          <w:pStyle w:val="TableParagraph"/>
                          <w:spacing w:line="228" w:lineRule="exact"/>
                          <w:ind w:left="-3" w:right="108"/>
                          <w:rPr>
                            <w:sz w:val="12"/>
                          </w:rPr>
                        </w:pPr>
                        <w:r>
                          <w:rPr>
                            <w:spacing w:val="-1"/>
                            <w:sz w:val="18"/>
                          </w:rPr>
                          <w:t>15.54</w:t>
                        </w:r>
                        <w:r>
                          <w:rPr>
                            <w:spacing w:val="-1"/>
                            <w:position w:val="8"/>
                            <w:sz w:val="12"/>
                          </w:rPr>
                          <w:t>a</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line="228" w:lineRule="exact"/>
                          <w:ind w:right="112"/>
                          <w:jc w:val="right"/>
                          <w:rPr>
                            <w:sz w:val="12"/>
                          </w:rPr>
                        </w:pPr>
                        <w:r>
                          <w:rPr>
                            <w:sz w:val="18"/>
                          </w:rPr>
                          <w:t>10.12</w:t>
                        </w:r>
                        <w:r>
                          <w:rPr>
                            <w:position w:val="8"/>
                            <w:sz w:val="12"/>
                          </w:rPr>
                          <w:t>e</w:t>
                        </w:r>
                      </w:p>
                    </w:tc>
                    <w:tc>
                      <w:tcPr>
                        <w:tcW w:w="692" w:type="dxa"/>
                        <w:tcBorders>
                          <w:top w:val="nil"/>
                          <w:left w:val="nil"/>
                          <w:bottom w:val="nil"/>
                          <w:right w:val="nil"/>
                        </w:tcBorders>
                      </w:tcPr>
                      <w:p>
                        <w:pPr>
                          <w:pStyle w:val="TableParagraph"/>
                          <w:spacing w:line="228" w:lineRule="exact"/>
                          <w:ind w:left="96" w:right="96"/>
                          <w:rPr>
                            <w:sz w:val="12"/>
                          </w:rPr>
                        </w:pPr>
                        <w:r>
                          <w:rPr>
                            <w:sz w:val="18"/>
                          </w:rPr>
                          <w:t>12.44</w:t>
                        </w:r>
                        <w:r>
                          <w:rPr>
                            <w:position w:val="8"/>
                            <w:sz w:val="12"/>
                          </w:rPr>
                          <w:t>c</w:t>
                        </w:r>
                      </w:p>
                    </w:tc>
                    <w:tc>
                      <w:tcPr>
                        <w:tcW w:w="696" w:type="dxa"/>
                        <w:tcBorders>
                          <w:top w:val="nil"/>
                          <w:left w:val="nil"/>
                          <w:bottom w:val="nil"/>
                          <w:right w:val="nil"/>
                        </w:tcBorders>
                      </w:tcPr>
                      <w:p>
                        <w:pPr>
                          <w:pStyle w:val="TableParagraph"/>
                          <w:spacing w:line="228" w:lineRule="exact"/>
                          <w:ind w:left="96" w:right="95"/>
                          <w:rPr>
                            <w:sz w:val="12"/>
                          </w:rPr>
                        </w:pPr>
                        <w:r>
                          <w:rPr>
                            <w:sz w:val="18"/>
                          </w:rPr>
                          <w:t>14.93</w:t>
                        </w:r>
                        <w:r>
                          <w:rPr>
                            <w:position w:val="8"/>
                            <w:sz w:val="12"/>
                          </w:rPr>
                          <w:t>b</w:t>
                        </w:r>
                      </w:p>
                    </w:tc>
                    <w:tc>
                      <w:tcPr>
                        <w:tcW w:w="672" w:type="dxa"/>
                        <w:tcBorders>
                          <w:top w:val="nil"/>
                          <w:left w:val="nil"/>
                          <w:bottom w:val="nil"/>
                          <w:right w:val="nil"/>
                        </w:tcBorders>
                      </w:tcPr>
                      <w:p>
                        <w:pPr>
                          <w:pStyle w:val="TableParagraph"/>
                          <w:spacing w:before="21"/>
                          <w:ind w:left="97" w:right="93"/>
                          <w:rPr>
                            <w:sz w:val="18"/>
                          </w:rPr>
                        </w:pPr>
                        <w:r>
                          <w:rPr>
                            <w:sz w:val="18"/>
                          </w:rPr>
                          <w:t>0.208</w:t>
                        </w:r>
                      </w:p>
                    </w:tc>
                    <w:tc>
                      <w:tcPr>
                        <w:tcW w:w="751" w:type="dxa"/>
                        <w:tcBorders>
                          <w:top w:val="nil"/>
                          <w:left w:val="nil"/>
                          <w:bottom w:val="nil"/>
                          <w:right w:val="nil"/>
                        </w:tcBorders>
                      </w:tcPr>
                      <w:p>
                        <w:pPr>
                          <w:pStyle w:val="TableParagraph"/>
                          <w:spacing w:before="21"/>
                          <w:ind w:left="103" w:right="101"/>
                          <w:rPr>
                            <w:sz w:val="18"/>
                          </w:rPr>
                        </w:pPr>
                        <w:r>
                          <w:rPr>
                            <w:sz w:val="18"/>
                          </w:rPr>
                          <w:t>&lt;.0001</w:t>
                        </w:r>
                      </w:p>
                    </w:tc>
                    <w:tc>
                      <w:tcPr>
                        <w:tcW w:w="735" w:type="dxa"/>
                        <w:tcBorders>
                          <w:top w:val="nil"/>
                          <w:left w:val="nil"/>
                          <w:bottom w:val="nil"/>
                          <w:right w:val="nil"/>
                        </w:tcBorders>
                      </w:tcPr>
                      <w:p>
                        <w:pPr>
                          <w:pStyle w:val="TableParagraph"/>
                          <w:spacing w:before="21"/>
                          <w:ind w:left="99" w:right="99"/>
                          <w:rPr>
                            <w:sz w:val="18"/>
                          </w:rPr>
                        </w:pPr>
                        <w:r>
                          <w:rPr>
                            <w:sz w:val="18"/>
                          </w:rPr>
                          <w:t>0.5271</w:t>
                        </w:r>
                      </w:p>
                    </w:tc>
                    <w:tc>
                      <w:tcPr>
                        <w:tcW w:w="733" w:type="dxa"/>
                        <w:tcBorders>
                          <w:top w:val="nil"/>
                          <w:left w:val="nil"/>
                          <w:bottom w:val="nil"/>
                          <w:right w:val="nil"/>
                        </w:tcBorders>
                      </w:tcPr>
                      <w:p>
                        <w:pPr>
                          <w:pStyle w:val="TableParagraph"/>
                          <w:spacing w:before="21"/>
                          <w:ind w:left="99" w:right="98"/>
                          <w:rPr>
                            <w:sz w:val="18"/>
                          </w:rPr>
                        </w:pPr>
                        <w:r>
                          <w:rPr>
                            <w:sz w:val="18"/>
                          </w:rPr>
                          <w:t>0.0135</w:t>
                        </w:r>
                      </w:p>
                    </w:tc>
                  </w:tr>
                  <w:tr>
                    <w:trPr>
                      <w:trHeight w:val="238" w:hRule="exact"/>
                    </w:trPr>
                    <w:tc>
                      <w:tcPr>
                        <w:tcW w:w="1796" w:type="dxa"/>
                        <w:tcBorders>
                          <w:top w:val="nil"/>
                          <w:left w:val="nil"/>
                          <w:bottom w:val="nil"/>
                          <w:right w:val="nil"/>
                        </w:tcBorders>
                      </w:tcPr>
                      <w:p>
                        <w:pPr>
                          <w:pStyle w:val="TableParagraph"/>
                          <w:spacing w:before="7"/>
                          <w:ind w:left="124"/>
                          <w:jc w:val="left"/>
                          <w:rPr>
                            <w:sz w:val="18"/>
                          </w:rPr>
                        </w:pPr>
                        <w:r>
                          <w:rPr>
                            <w:sz w:val="18"/>
                          </w:rPr>
                          <w:t>Forraje</w:t>
                        </w:r>
                      </w:p>
                    </w:tc>
                    <w:tc>
                      <w:tcPr>
                        <w:tcW w:w="697" w:type="dxa"/>
                        <w:tcBorders>
                          <w:top w:val="nil"/>
                          <w:left w:val="nil"/>
                          <w:bottom w:val="nil"/>
                          <w:right w:val="nil"/>
                        </w:tcBorders>
                      </w:tcPr>
                      <w:p>
                        <w:pPr>
                          <w:pStyle w:val="TableParagraph"/>
                          <w:spacing w:before="7"/>
                          <w:ind w:left="97" w:right="97"/>
                          <w:rPr>
                            <w:sz w:val="18"/>
                          </w:rPr>
                        </w:pPr>
                        <w:r>
                          <w:rPr>
                            <w:sz w:val="18"/>
                          </w:rPr>
                          <w:t>10.34</w:t>
                        </w:r>
                      </w:p>
                    </w:tc>
                    <w:tc>
                      <w:tcPr>
                        <w:tcW w:w="819" w:type="dxa"/>
                        <w:tcBorders>
                          <w:top w:val="nil"/>
                          <w:left w:val="nil"/>
                          <w:bottom w:val="nil"/>
                          <w:right w:val="nil"/>
                        </w:tcBorders>
                      </w:tcPr>
                      <w:p>
                        <w:pPr>
                          <w:pStyle w:val="TableParagraph"/>
                          <w:spacing w:before="7"/>
                          <w:ind w:right="265"/>
                          <w:jc w:val="right"/>
                          <w:rPr>
                            <w:sz w:val="18"/>
                          </w:rPr>
                        </w:pPr>
                        <w:r>
                          <w:rPr>
                            <w:sz w:val="18"/>
                          </w:rPr>
                          <w:t>12.36</w:t>
                        </w:r>
                      </w:p>
                    </w:tc>
                    <w:tc>
                      <w:tcPr>
                        <w:tcW w:w="569" w:type="dxa"/>
                        <w:tcBorders>
                          <w:top w:val="nil"/>
                          <w:left w:val="nil"/>
                          <w:bottom w:val="nil"/>
                          <w:right w:val="nil"/>
                        </w:tcBorders>
                      </w:tcPr>
                      <w:p>
                        <w:pPr>
                          <w:pStyle w:val="TableParagraph"/>
                          <w:spacing w:before="7"/>
                          <w:ind w:left="3" w:right="119"/>
                          <w:rPr>
                            <w:sz w:val="18"/>
                          </w:rPr>
                        </w:pPr>
                        <w:r>
                          <w:rPr>
                            <w:sz w:val="18"/>
                          </w:rPr>
                          <w:t>8.44</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7"/>
                          <w:ind w:right="142"/>
                          <w:jc w:val="right"/>
                          <w:rPr>
                            <w:sz w:val="18"/>
                          </w:rPr>
                        </w:pPr>
                        <w:r>
                          <w:rPr>
                            <w:sz w:val="18"/>
                          </w:rPr>
                          <w:t>13.74</w:t>
                        </w:r>
                      </w:p>
                    </w:tc>
                    <w:tc>
                      <w:tcPr>
                        <w:tcW w:w="692" w:type="dxa"/>
                        <w:tcBorders>
                          <w:top w:val="nil"/>
                          <w:left w:val="nil"/>
                          <w:bottom w:val="nil"/>
                          <w:right w:val="nil"/>
                        </w:tcBorders>
                      </w:tcPr>
                      <w:p>
                        <w:pPr>
                          <w:pStyle w:val="TableParagraph"/>
                          <w:spacing w:before="7"/>
                          <w:ind w:left="93" w:right="96"/>
                          <w:rPr>
                            <w:sz w:val="18"/>
                          </w:rPr>
                        </w:pPr>
                        <w:r>
                          <w:rPr>
                            <w:sz w:val="18"/>
                          </w:rPr>
                          <w:t>10.68</w:t>
                        </w:r>
                      </w:p>
                    </w:tc>
                    <w:tc>
                      <w:tcPr>
                        <w:tcW w:w="696" w:type="dxa"/>
                        <w:tcBorders>
                          <w:top w:val="nil"/>
                          <w:left w:val="nil"/>
                          <w:bottom w:val="nil"/>
                          <w:right w:val="nil"/>
                        </w:tcBorders>
                      </w:tcPr>
                      <w:p>
                        <w:pPr>
                          <w:pStyle w:val="TableParagraph"/>
                          <w:spacing w:before="7"/>
                          <w:ind w:left="95" w:right="95"/>
                          <w:rPr>
                            <w:sz w:val="18"/>
                          </w:rPr>
                        </w:pPr>
                        <w:r>
                          <w:rPr>
                            <w:sz w:val="18"/>
                          </w:rPr>
                          <w:t>9.98</w:t>
                        </w:r>
                      </w:p>
                    </w:tc>
                    <w:tc>
                      <w:tcPr>
                        <w:tcW w:w="672" w:type="dxa"/>
                        <w:tcBorders>
                          <w:top w:val="nil"/>
                          <w:left w:val="nil"/>
                          <w:bottom w:val="nil"/>
                          <w:right w:val="nil"/>
                        </w:tcBorders>
                      </w:tcPr>
                      <w:p>
                        <w:pPr>
                          <w:pStyle w:val="TableParagraph"/>
                          <w:spacing w:before="7"/>
                          <w:ind w:left="97" w:right="93"/>
                          <w:rPr>
                            <w:sz w:val="18"/>
                          </w:rPr>
                        </w:pPr>
                        <w:r>
                          <w:rPr>
                            <w:sz w:val="18"/>
                          </w:rPr>
                          <w:t>1.990</w:t>
                        </w:r>
                      </w:p>
                    </w:tc>
                    <w:tc>
                      <w:tcPr>
                        <w:tcW w:w="751" w:type="dxa"/>
                        <w:tcBorders>
                          <w:top w:val="nil"/>
                          <w:left w:val="nil"/>
                          <w:bottom w:val="nil"/>
                          <w:right w:val="nil"/>
                        </w:tcBorders>
                      </w:tcPr>
                      <w:p>
                        <w:pPr>
                          <w:pStyle w:val="TableParagraph"/>
                          <w:spacing w:before="7"/>
                          <w:ind w:left="103" w:right="97"/>
                          <w:rPr>
                            <w:sz w:val="18"/>
                          </w:rPr>
                        </w:pPr>
                        <w:r>
                          <w:rPr>
                            <w:sz w:val="18"/>
                          </w:rPr>
                          <w:t>0.3735</w:t>
                        </w:r>
                      </w:p>
                    </w:tc>
                    <w:tc>
                      <w:tcPr>
                        <w:tcW w:w="735" w:type="dxa"/>
                        <w:tcBorders>
                          <w:top w:val="nil"/>
                          <w:left w:val="nil"/>
                          <w:bottom w:val="nil"/>
                          <w:right w:val="nil"/>
                        </w:tcBorders>
                      </w:tcPr>
                      <w:p>
                        <w:pPr>
                          <w:pStyle w:val="TableParagraph"/>
                          <w:spacing w:before="7"/>
                          <w:ind w:left="99" w:right="99"/>
                          <w:rPr>
                            <w:sz w:val="18"/>
                          </w:rPr>
                        </w:pPr>
                        <w:r>
                          <w:rPr>
                            <w:sz w:val="18"/>
                          </w:rPr>
                          <w:t>0.5343</w:t>
                        </w:r>
                      </w:p>
                    </w:tc>
                    <w:tc>
                      <w:tcPr>
                        <w:tcW w:w="733" w:type="dxa"/>
                        <w:tcBorders>
                          <w:top w:val="nil"/>
                          <w:left w:val="nil"/>
                          <w:bottom w:val="nil"/>
                          <w:right w:val="nil"/>
                        </w:tcBorders>
                      </w:tcPr>
                      <w:p>
                        <w:pPr>
                          <w:pStyle w:val="TableParagraph"/>
                          <w:spacing w:before="7"/>
                          <w:ind w:left="99" w:right="98"/>
                          <w:rPr>
                            <w:sz w:val="18"/>
                          </w:rPr>
                        </w:pPr>
                        <w:r>
                          <w:rPr>
                            <w:sz w:val="18"/>
                          </w:rPr>
                          <w:t>0.4823</w:t>
                        </w:r>
                      </w:p>
                    </w:tc>
                  </w:tr>
                  <w:tr>
                    <w:trPr>
                      <w:trHeight w:val="222" w:hRule="exact"/>
                    </w:trPr>
                    <w:tc>
                      <w:tcPr>
                        <w:tcW w:w="1796" w:type="dxa"/>
                        <w:tcBorders>
                          <w:top w:val="nil"/>
                          <w:left w:val="nil"/>
                          <w:bottom w:val="nil"/>
                          <w:right w:val="nil"/>
                        </w:tcBorders>
                      </w:tcPr>
                      <w:p>
                        <w:pPr>
                          <w:pStyle w:val="TableParagraph"/>
                          <w:spacing w:before="5"/>
                          <w:ind w:left="124"/>
                          <w:jc w:val="left"/>
                          <w:rPr>
                            <w:sz w:val="18"/>
                          </w:rPr>
                        </w:pPr>
                        <w:r>
                          <w:rPr>
                            <w:sz w:val="18"/>
                          </w:rPr>
                          <w:t>CMS total</w:t>
                        </w:r>
                      </w:p>
                    </w:tc>
                    <w:tc>
                      <w:tcPr>
                        <w:tcW w:w="697" w:type="dxa"/>
                        <w:tcBorders>
                          <w:top w:val="nil"/>
                          <w:left w:val="nil"/>
                          <w:bottom w:val="nil"/>
                          <w:right w:val="nil"/>
                        </w:tcBorders>
                      </w:tcPr>
                      <w:p>
                        <w:pPr>
                          <w:pStyle w:val="TableParagraph"/>
                          <w:spacing w:before="5"/>
                          <w:ind w:left="97" w:right="97"/>
                          <w:rPr>
                            <w:sz w:val="18"/>
                          </w:rPr>
                        </w:pPr>
                        <w:r>
                          <w:rPr>
                            <w:sz w:val="18"/>
                          </w:rPr>
                          <w:t>20.84</w:t>
                        </w:r>
                      </w:p>
                    </w:tc>
                    <w:tc>
                      <w:tcPr>
                        <w:tcW w:w="819" w:type="dxa"/>
                        <w:tcBorders>
                          <w:top w:val="nil"/>
                          <w:left w:val="nil"/>
                          <w:bottom w:val="nil"/>
                          <w:right w:val="nil"/>
                        </w:tcBorders>
                      </w:tcPr>
                      <w:p>
                        <w:pPr>
                          <w:pStyle w:val="TableParagraph"/>
                          <w:spacing w:before="5"/>
                          <w:ind w:right="265"/>
                          <w:jc w:val="right"/>
                          <w:rPr>
                            <w:sz w:val="18"/>
                          </w:rPr>
                        </w:pPr>
                        <w:r>
                          <w:rPr>
                            <w:sz w:val="18"/>
                          </w:rPr>
                          <w:t>24.24</w:t>
                        </w:r>
                      </w:p>
                    </w:tc>
                    <w:tc>
                      <w:tcPr>
                        <w:tcW w:w="569" w:type="dxa"/>
                        <w:tcBorders>
                          <w:top w:val="nil"/>
                          <w:left w:val="nil"/>
                          <w:bottom w:val="nil"/>
                          <w:right w:val="nil"/>
                        </w:tcBorders>
                      </w:tcPr>
                      <w:p>
                        <w:pPr>
                          <w:pStyle w:val="TableParagraph"/>
                          <w:spacing w:before="5"/>
                          <w:ind w:left="3" w:right="119"/>
                          <w:rPr>
                            <w:sz w:val="18"/>
                          </w:rPr>
                        </w:pPr>
                        <w:r>
                          <w:rPr>
                            <w:sz w:val="18"/>
                          </w:rPr>
                          <w:t>23.96</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5"/>
                          <w:ind w:right="142"/>
                          <w:jc w:val="right"/>
                          <w:rPr>
                            <w:sz w:val="18"/>
                          </w:rPr>
                        </w:pPr>
                        <w:r>
                          <w:rPr>
                            <w:sz w:val="18"/>
                          </w:rPr>
                          <w:t>23.92</w:t>
                        </w:r>
                      </w:p>
                    </w:tc>
                    <w:tc>
                      <w:tcPr>
                        <w:tcW w:w="692" w:type="dxa"/>
                        <w:tcBorders>
                          <w:top w:val="nil"/>
                          <w:left w:val="nil"/>
                          <w:bottom w:val="nil"/>
                          <w:right w:val="nil"/>
                        </w:tcBorders>
                      </w:tcPr>
                      <w:p>
                        <w:pPr>
                          <w:pStyle w:val="TableParagraph"/>
                          <w:spacing w:before="5"/>
                          <w:ind w:left="93" w:right="96"/>
                          <w:rPr>
                            <w:sz w:val="18"/>
                          </w:rPr>
                        </w:pPr>
                        <w:r>
                          <w:rPr>
                            <w:sz w:val="18"/>
                          </w:rPr>
                          <w:t>23.23</w:t>
                        </w:r>
                      </w:p>
                    </w:tc>
                    <w:tc>
                      <w:tcPr>
                        <w:tcW w:w="696" w:type="dxa"/>
                        <w:tcBorders>
                          <w:top w:val="nil"/>
                          <w:left w:val="nil"/>
                          <w:bottom w:val="nil"/>
                          <w:right w:val="nil"/>
                        </w:tcBorders>
                      </w:tcPr>
                      <w:p>
                        <w:pPr>
                          <w:pStyle w:val="TableParagraph"/>
                          <w:spacing w:before="5"/>
                          <w:ind w:left="95" w:right="95"/>
                          <w:rPr>
                            <w:sz w:val="18"/>
                          </w:rPr>
                        </w:pPr>
                        <w:r>
                          <w:rPr>
                            <w:sz w:val="18"/>
                          </w:rPr>
                          <w:t>25.05</w:t>
                        </w:r>
                      </w:p>
                    </w:tc>
                    <w:tc>
                      <w:tcPr>
                        <w:tcW w:w="672" w:type="dxa"/>
                        <w:tcBorders>
                          <w:top w:val="nil"/>
                          <w:left w:val="nil"/>
                          <w:bottom w:val="nil"/>
                          <w:right w:val="nil"/>
                        </w:tcBorders>
                      </w:tcPr>
                      <w:p>
                        <w:pPr>
                          <w:pStyle w:val="TableParagraph"/>
                          <w:spacing w:before="5"/>
                          <w:ind w:left="97" w:right="93"/>
                          <w:rPr>
                            <w:sz w:val="18"/>
                          </w:rPr>
                        </w:pPr>
                        <w:r>
                          <w:rPr>
                            <w:sz w:val="18"/>
                          </w:rPr>
                          <w:t>1.863</w:t>
                        </w:r>
                      </w:p>
                    </w:tc>
                    <w:tc>
                      <w:tcPr>
                        <w:tcW w:w="751" w:type="dxa"/>
                        <w:tcBorders>
                          <w:top w:val="nil"/>
                          <w:left w:val="nil"/>
                          <w:bottom w:val="nil"/>
                          <w:right w:val="nil"/>
                        </w:tcBorders>
                      </w:tcPr>
                      <w:p>
                        <w:pPr>
                          <w:pStyle w:val="TableParagraph"/>
                          <w:spacing w:before="5"/>
                          <w:ind w:left="103" w:right="97"/>
                          <w:rPr>
                            <w:sz w:val="18"/>
                          </w:rPr>
                        </w:pPr>
                        <w:r>
                          <w:rPr>
                            <w:sz w:val="18"/>
                          </w:rPr>
                          <w:t>0.5526</w:t>
                        </w:r>
                      </w:p>
                    </w:tc>
                    <w:tc>
                      <w:tcPr>
                        <w:tcW w:w="735" w:type="dxa"/>
                        <w:tcBorders>
                          <w:top w:val="nil"/>
                          <w:left w:val="nil"/>
                          <w:bottom w:val="nil"/>
                          <w:right w:val="nil"/>
                        </w:tcBorders>
                      </w:tcPr>
                      <w:p>
                        <w:pPr>
                          <w:pStyle w:val="TableParagraph"/>
                          <w:spacing w:before="5"/>
                          <w:ind w:left="99" w:right="99"/>
                          <w:rPr>
                            <w:sz w:val="18"/>
                          </w:rPr>
                        </w:pPr>
                        <w:r>
                          <w:rPr>
                            <w:sz w:val="18"/>
                          </w:rPr>
                          <w:t>0.5189</w:t>
                        </w:r>
                      </w:p>
                    </w:tc>
                    <w:tc>
                      <w:tcPr>
                        <w:tcW w:w="733" w:type="dxa"/>
                        <w:tcBorders>
                          <w:top w:val="nil"/>
                          <w:left w:val="nil"/>
                          <w:bottom w:val="nil"/>
                          <w:right w:val="nil"/>
                        </w:tcBorders>
                      </w:tcPr>
                      <w:p>
                        <w:pPr>
                          <w:pStyle w:val="TableParagraph"/>
                          <w:spacing w:before="5"/>
                          <w:ind w:left="99" w:right="98"/>
                          <w:rPr>
                            <w:sz w:val="18"/>
                          </w:rPr>
                        </w:pPr>
                        <w:r>
                          <w:rPr>
                            <w:sz w:val="18"/>
                          </w:rPr>
                          <w:t>0.5865</w:t>
                        </w:r>
                      </w:p>
                    </w:tc>
                  </w:tr>
                  <w:tr>
                    <w:trPr>
                      <w:trHeight w:val="253" w:hRule="exact"/>
                    </w:trPr>
                    <w:tc>
                      <w:tcPr>
                        <w:tcW w:w="1796" w:type="dxa"/>
                        <w:tcBorders>
                          <w:top w:val="nil"/>
                          <w:left w:val="nil"/>
                          <w:bottom w:val="nil"/>
                          <w:right w:val="nil"/>
                        </w:tcBorders>
                      </w:tcPr>
                      <w:p>
                        <w:pPr>
                          <w:pStyle w:val="TableParagraph"/>
                          <w:spacing w:line="230" w:lineRule="exact"/>
                          <w:ind w:left="124"/>
                          <w:jc w:val="left"/>
                          <w:rPr>
                            <w:sz w:val="12"/>
                          </w:rPr>
                        </w:pPr>
                        <w:r>
                          <w:rPr>
                            <w:sz w:val="18"/>
                          </w:rPr>
                          <w:t>CMS,%PV</w:t>
                        </w:r>
                        <w:r>
                          <w:rPr>
                            <w:position w:val="8"/>
                            <w:sz w:val="12"/>
                          </w:rPr>
                          <w:t>¶¶</w:t>
                        </w:r>
                      </w:p>
                    </w:tc>
                    <w:tc>
                      <w:tcPr>
                        <w:tcW w:w="697" w:type="dxa"/>
                        <w:tcBorders>
                          <w:top w:val="nil"/>
                          <w:left w:val="nil"/>
                          <w:bottom w:val="nil"/>
                          <w:right w:val="nil"/>
                        </w:tcBorders>
                      </w:tcPr>
                      <w:p>
                        <w:pPr>
                          <w:pStyle w:val="TableParagraph"/>
                          <w:spacing w:before="23"/>
                          <w:ind w:left="97" w:right="97"/>
                          <w:rPr>
                            <w:sz w:val="18"/>
                          </w:rPr>
                        </w:pPr>
                        <w:r>
                          <w:rPr>
                            <w:sz w:val="18"/>
                          </w:rPr>
                          <w:t>3.98</w:t>
                        </w:r>
                      </w:p>
                    </w:tc>
                    <w:tc>
                      <w:tcPr>
                        <w:tcW w:w="819" w:type="dxa"/>
                        <w:tcBorders>
                          <w:top w:val="nil"/>
                          <w:left w:val="nil"/>
                          <w:bottom w:val="nil"/>
                          <w:right w:val="nil"/>
                        </w:tcBorders>
                      </w:tcPr>
                      <w:p>
                        <w:pPr>
                          <w:pStyle w:val="TableParagraph"/>
                          <w:spacing w:before="23"/>
                          <w:ind w:left="187"/>
                          <w:jc w:val="left"/>
                          <w:rPr>
                            <w:sz w:val="18"/>
                          </w:rPr>
                        </w:pPr>
                        <w:r>
                          <w:rPr>
                            <w:sz w:val="18"/>
                          </w:rPr>
                          <w:t>4.62</w:t>
                        </w:r>
                      </w:p>
                    </w:tc>
                    <w:tc>
                      <w:tcPr>
                        <w:tcW w:w="569" w:type="dxa"/>
                        <w:tcBorders>
                          <w:top w:val="nil"/>
                          <w:left w:val="nil"/>
                          <w:bottom w:val="nil"/>
                          <w:right w:val="nil"/>
                        </w:tcBorders>
                      </w:tcPr>
                      <w:p>
                        <w:pPr>
                          <w:pStyle w:val="TableParagraph"/>
                          <w:spacing w:before="23"/>
                          <w:ind w:left="3" w:right="119"/>
                          <w:rPr>
                            <w:sz w:val="18"/>
                          </w:rPr>
                        </w:pPr>
                        <w:r>
                          <w:rPr>
                            <w:sz w:val="18"/>
                          </w:rPr>
                          <w:t>4.58</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23"/>
                          <w:ind w:left="187"/>
                          <w:jc w:val="left"/>
                          <w:rPr>
                            <w:sz w:val="18"/>
                          </w:rPr>
                        </w:pPr>
                        <w:r>
                          <w:rPr>
                            <w:sz w:val="18"/>
                          </w:rPr>
                          <w:t>4.61</w:t>
                        </w:r>
                      </w:p>
                    </w:tc>
                    <w:tc>
                      <w:tcPr>
                        <w:tcW w:w="692" w:type="dxa"/>
                        <w:tcBorders>
                          <w:top w:val="nil"/>
                          <w:left w:val="nil"/>
                          <w:bottom w:val="nil"/>
                          <w:right w:val="nil"/>
                        </w:tcBorders>
                      </w:tcPr>
                      <w:p>
                        <w:pPr>
                          <w:pStyle w:val="TableParagraph"/>
                          <w:spacing w:before="23"/>
                          <w:ind w:left="93" w:right="96"/>
                          <w:rPr>
                            <w:sz w:val="18"/>
                          </w:rPr>
                        </w:pPr>
                        <w:r>
                          <w:rPr>
                            <w:sz w:val="18"/>
                          </w:rPr>
                          <w:t>4.44</w:t>
                        </w:r>
                      </w:p>
                    </w:tc>
                    <w:tc>
                      <w:tcPr>
                        <w:tcW w:w="696" w:type="dxa"/>
                        <w:tcBorders>
                          <w:top w:val="nil"/>
                          <w:left w:val="nil"/>
                          <w:bottom w:val="nil"/>
                          <w:right w:val="nil"/>
                        </w:tcBorders>
                      </w:tcPr>
                      <w:p>
                        <w:pPr>
                          <w:pStyle w:val="TableParagraph"/>
                          <w:spacing w:before="23"/>
                          <w:ind w:left="95" w:right="95"/>
                          <w:rPr>
                            <w:sz w:val="18"/>
                          </w:rPr>
                        </w:pPr>
                        <w:r>
                          <w:rPr>
                            <w:sz w:val="18"/>
                          </w:rPr>
                          <w:t>4.76</w:t>
                        </w:r>
                      </w:p>
                    </w:tc>
                    <w:tc>
                      <w:tcPr>
                        <w:tcW w:w="672" w:type="dxa"/>
                        <w:tcBorders>
                          <w:top w:val="nil"/>
                          <w:left w:val="nil"/>
                          <w:bottom w:val="nil"/>
                          <w:right w:val="nil"/>
                        </w:tcBorders>
                      </w:tcPr>
                      <w:p>
                        <w:pPr>
                          <w:pStyle w:val="TableParagraph"/>
                          <w:spacing w:before="23"/>
                          <w:ind w:left="97" w:right="93"/>
                          <w:rPr>
                            <w:sz w:val="18"/>
                          </w:rPr>
                        </w:pPr>
                        <w:r>
                          <w:rPr>
                            <w:sz w:val="18"/>
                          </w:rPr>
                          <w:t>0.300</w:t>
                        </w:r>
                      </w:p>
                    </w:tc>
                    <w:tc>
                      <w:tcPr>
                        <w:tcW w:w="751" w:type="dxa"/>
                        <w:tcBorders>
                          <w:top w:val="nil"/>
                          <w:left w:val="nil"/>
                          <w:bottom w:val="nil"/>
                          <w:right w:val="nil"/>
                        </w:tcBorders>
                      </w:tcPr>
                      <w:p>
                        <w:pPr>
                          <w:pStyle w:val="TableParagraph"/>
                          <w:spacing w:before="23"/>
                          <w:ind w:left="103" w:right="97"/>
                          <w:rPr>
                            <w:sz w:val="18"/>
                          </w:rPr>
                        </w:pPr>
                        <w:r>
                          <w:rPr>
                            <w:sz w:val="18"/>
                          </w:rPr>
                          <w:t>0.5112</w:t>
                        </w:r>
                      </w:p>
                    </w:tc>
                    <w:tc>
                      <w:tcPr>
                        <w:tcW w:w="735" w:type="dxa"/>
                        <w:tcBorders>
                          <w:top w:val="nil"/>
                          <w:left w:val="nil"/>
                          <w:bottom w:val="nil"/>
                          <w:right w:val="nil"/>
                        </w:tcBorders>
                      </w:tcPr>
                      <w:p>
                        <w:pPr>
                          <w:pStyle w:val="TableParagraph"/>
                          <w:spacing w:before="23"/>
                          <w:ind w:left="99" w:right="99"/>
                          <w:rPr>
                            <w:sz w:val="18"/>
                          </w:rPr>
                        </w:pPr>
                        <w:r>
                          <w:rPr>
                            <w:sz w:val="18"/>
                          </w:rPr>
                          <w:t>0.4333</w:t>
                        </w:r>
                      </w:p>
                    </w:tc>
                    <w:tc>
                      <w:tcPr>
                        <w:tcW w:w="733" w:type="dxa"/>
                        <w:tcBorders>
                          <w:top w:val="nil"/>
                          <w:left w:val="nil"/>
                          <w:bottom w:val="nil"/>
                          <w:right w:val="nil"/>
                        </w:tcBorders>
                      </w:tcPr>
                      <w:p>
                        <w:pPr>
                          <w:pStyle w:val="TableParagraph"/>
                          <w:spacing w:before="23"/>
                          <w:ind w:left="99" w:right="98"/>
                          <w:rPr>
                            <w:sz w:val="18"/>
                          </w:rPr>
                        </w:pPr>
                        <w:r>
                          <w:rPr>
                            <w:sz w:val="18"/>
                          </w:rPr>
                          <w:t>0.4596</w:t>
                        </w:r>
                      </w:p>
                    </w:tc>
                  </w:tr>
                  <w:tr>
                    <w:trPr>
                      <w:trHeight w:val="242" w:hRule="exact"/>
                    </w:trPr>
                    <w:tc>
                      <w:tcPr>
                        <w:tcW w:w="1796" w:type="dxa"/>
                        <w:tcBorders>
                          <w:top w:val="nil"/>
                          <w:left w:val="nil"/>
                          <w:bottom w:val="nil"/>
                          <w:right w:val="nil"/>
                        </w:tcBorders>
                      </w:tcPr>
                      <w:p>
                        <w:pPr>
                          <w:pStyle w:val="TableParagraph"/>
                          <w:spacing w:before="10"/>
                          <w:ind w:left="124"/>
                          <w:jc w:val="left"/>
                          <w:rPr>
                            <w:b/>
                            <w:sz w:val="18"/>
                          </w:rPr>
                        </w:pPr>
                        <w:r>
                          <w:rPr>
                            <w:b/>
                            <w:sz w:val="18"/>
                          </w:rPr>
                          <w:t>Producción de leche</w:t>
                        </w:r>
                      </w:p>
                    </w:tc>
                    <w:tc>
                      <w:tcPr>
                        <w:tcW w:w="697" w:type="dxa"/>
                        <w:tcBorders>
                          <w:top w:val="nil"/>
                          <w:left w:val="nil"/>
                          <w:bottom w:val="nil"/>
                          <w:right w:val="nil"/>
                        </w:tcBorders>
                      </w:tcPr>
                      <w:p>
                        <w:pPr>
                          <w:pStyle w:val="TableParagraph"/>
                          <w:spacing w:before="5"/>
                          <w:ind w:left="97" w:right="97"/>
                          <w:rPr>
                            <w:sz w:val="18"/>
                          </w:rPr>
                        </w:pPr>
                        <w:r>
                          <w:rPr>
                            <w:sz w:val="18"/>
                          </w:rPr>
                          <w:t>15.46</w:t>
                        </w:r>
                      </w:p>
                    </w:tc>
                    <w:tc>
                      <w:tcPr>
                        <w:tcW w:w="819" w:type="dxa"/>
                        <w:tcBorders>
                          <w:top w:val="nil"/>
                          <w:left w:val="nil"/>
                          <w:bottom w:val="nil"/>
                          <w:right w:val="nil"/>
                        </w:tcBorders>
                      </w:tcPr>
                      <w:p>
                        <w:pPr>
                          <w:pStyle w:val="TableParagraph"/>
                          <w:spacing w:before="5"/>
                          <w:ind w:right="265"/>
                          <w:jc w:val="right"/>
                          <w:rPr>
                            <w:sz w:val="18"/>
                          </w:rPr>
                        </w:pPr>
                        <w:r>
                          <w:rPr>
                            <w:sz w:val="18"/>
                          </w:rPr>
                          <w:t>17.07</w:t>
                        </w:r>
                      </w:p>
                    </w:tc>
                    <w:tc>
                      <w:tcPr>
                        <w:tcW w:w="569" w:type="dxa"/>
                        <w:tcBorders>
                          <w:top w:val="nil"/>
                          <w:left w:val="nil"/>
                          <w:bottom w:val="nil"/>
                          <w:right w:val="nil"/>
                        </w:tcBorders>
                      </w:tcPr>
                      <w:p>
                        <w:pPr>
                          <w:pStyle w:val="TableParagraph"/>
                          <w:spacing w:before="5"/>
                          <w:ind w:left="3" w:right="119"/>
                          <w:rPr>
                            <w:sz w:val="18"/>
                          </w:rPr>
                        </w:pPr>
                        <w:r>
                          <w:rPr>
                            <w:sz w:val="18"/>
                          </w:rPr>
                          <w:t>19.03</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5"/>
                          <w:ind w:right="142"/>
                          <w:jc w:val="right"/>
                          <w:rPr>
                            <w:sz w:val="18"/>
                          </w:rPr>
                        </w:pPr>
                        <w:r>
                          <w:rPr>
                            <w:sz w:val="18"/>
                          </w:rPr>
                          <w:t>14.85</w:t>
                        </w:r>
                      </w:p>
                    </w:tc>
                    <w:tc>
                      <w:tcPr>
                        <w:tcW w:w="692" w:type="dxa"/>
                        <w:tcBorders>
                          <w:top w:val="nil"/>
                          <w:left w:val="nil"/>
                          <w:bottom w:val="nil"/>
                          <w:right w:val="nil"/>
                        </w:tcBorders>
                      </w:tcPr>
                      <w:p>
                        <w:pPr>
                          <w:pStyle w:val="TableParagraph"/>
                          <w:spacing w:before="5"/>
                          <w:ind w:left="93" w:right="96"/>
                          <w:rPr>
                            <w:sz w:val="18"/>
                          </w:rPr>
                        </w:pPr>
                        <w:r>
                          <w:rPr>
                            <w:sz w:val="18"/>
                          </w:rPr>
                          <w:t>16.23</w:t>
                        </w:r>
                      </w:p>
                    </w:tc>
                    <w:tc>
                      <w:tcPr>
                        <w:tcW w:w="696" w:type="dxa"/>
                        <w:tcBorders>
                          <w:top w:val="nil"/>
                          <w:left w:val="nil"/>
                          <w:bottom w:val="nil"/>
                          <w:right w:val="nil"/>
                        </w:tcBorders>
                      </w:tcPr>
                      <w:p>
                        <w:pPr>
                          <w:pStyle w:val="TableParagraph"/>
                          <w:spacing w:before="5"/>
                          <w:ind w:left="95" w:right="95"/>
                          <w:rPr>
                            <w:sz w:val="18"/>
                          </w:rPr>
                        </w:pPr>
                        <w:r>
                          <w:rPr>
                            <w:sz w:val="18"/>
                          </w:rPr>
                          <w:t>16.84</w:t>
                        </w:r>
                      </w:p>
                    </w:tc>
                    <w:tc>
                      <w:tcPr>
                        <w:tcW w:w="672" w:type="dxa"/>
                        <w:tcBorders>
                          <w:top w:val="nil"/>
                          <w:left w:val="nil"/>
                          <w:bottom w:val="nil"/>
                          <w:right w:val="nil"/>
                        </w:tcBorders>
                      </w:tcPr>
                      <w:p>
                        <w:pPr>
                          <w:pStyle w:val="TableParagraph"/>
                          <w:spacing w:before="5"/>
                          <w:ind w:left="97" w:right="93"/>
                          <w:rPr>
                            <w:sz w:val="18"/>
                          </w:rPr>
                        </w:pPr>
                        <w:r>
                          <w:rPr>
                            <w:sz w:val="18"/>
                          </w:rPr>
                          <w:t>0.476</w:t>
                        </w:r>
                      </w:p>
                    </w:tc>
                    <w:tc>
                      <w:tcPr>
                        <w:tcW w:w="751" w:type="dxa"/>
                        <w:tcBorders>
                          <w:top w:val="nil"/>
                          <w:left w:val="nil"/>
                          <w:bottom w:val="nil"/>
                          <w:right w:val="nil"/>
                        </w:tcBorders>
                      </w:tcPr>
                      <w:p>
                        <w:pPr>
                          <w:pStyle w:val="TableParagraph"/>
                          <w:spacing w:before="5"/>
                          <w:ind w:left="103" w:right="101"/>
                          <w:rPr>
                            <w:sz w:val="18"/>
                          </w:rPr>
                        </w:pPr>
                        <w:r>
                          <w:rPr>
                            <w:sz w:val="18"/>
                          </w:rPr>
                          <w:t>&lt;.0001</w:t>
                        </w:r>
                      </w:p>
                    </w:tc>
                    <w:tc>
                      <w:tcPr>
                        <w:tcW w:w="735" w:type="dxa"/>
                        <w:tcBorders>
                          <w:top w:val="nil"/>
                          <w:left w:val="nil"/>
                          <w:bottom w:val="nil"/>
                          <w:right w:val="nil"/>
                        </w:tcBorders>
                      </w:tcPr>
                      <w:p>
                        <w:pPr>
                          <w:pStyle w:val="TableParagraph"/>
                          <w:spacing w:before="5"/>
                          <w:ind w:left="99" w:right="99"/>
                          <w:rPr>
                            <w:sz w:val="18"/>
                          </w:rPr>
                        </w:pPr>
                        <w:r>
                          <w:rPr>
                            <w:sz w:val="18"/>
                          </w:rPr>
                          <w:t>0.0028</w:t>
                        </w:r>
                      </w:p>
                    </w:tc>
                    <w:tc>
                      <w:tcPr>
                        <w:tcW w:w="733" w:type="dxa"/>
                        <w:tcBorders>
                          <w:top w:val="nil"/>
                          <w:left w:val="nil"/>
                          <w:bottom w:val="nil"/>
                          <w:right w:val="nil"/>
                        </w:tcBorders>
                      </w:tcPr>
                      <w:p>
                        <w:pPr>
                          <w:pStyle w:val="TableParagraph"/>
                          <w:spacing w:before="5"/>
                          <w:ind w:left="99" w:right="98"/>
                          <w:rPr>
                            <w:sz w:val="18"/>
                          </w:rPr>
                        </w:pPr>
                        <w:r>
                          <w:rPr>
                            <w:sz w:val="18"/>
                          </w:rPr>
                          <w:t>0.2204</w:t>
                        </w:r>
                      </w:p>
                    </w:tc>
                  </w:tr>
                  <w:tr>
                    <w:trPr>
                      <w:trHeight w:val="274" w:hRule="exact"/>
                    </w:trPr>
                    <w:tc>
                      <w:tcPr>
                        <w:tcW w:w="1796" w:type="dxa"/>
                        <w:tcBorders>
                          <w:top w:val="nil"/>
                          <w:left w:val="nil"/>
                          <w:bottom w:val="nil"/>
                          <w:right w:val="nil"/>
                        </w:tcBorders>
                      </w:tcPr>
                      <w:p>
                        <w:pPr>
                          <w:pStyle w:val="TableParagraph"/>
                          <w:spacing w:before="7"/>
                          <w:ind w:left="124"/>
                          <w:jc w:val="left"/>
                          <w:rPr>
                            <w:b/>
                            <w:sz w:val="18"/>
                          </w:rPr>
                        </w:pPr>
                        <w:r>
                          <w:rPr>
                            <w:b/>
                            <w:sz w:val="18"/>
                          </w:rPr>
                          <w:t>Composición</w:t>
                        </w:r>
                      </w:p>
                    </w:tc>
                    <w:tc>
                      <w:tcPr>
                        <w:tcW w:w="697" w:type="dxa"/>
                        <w:tcBorders>
                          <w:top w:val="nil"/>
                          <w:left w:val="nil"/>
                          <w:bottom w:val="nil"/>
                          <w:right w:val="nil"/>
                        </w:tcBorders>
                      </w:tcPr>
                      <w:p>
                        <w:pPr/>
                      </w:p>
                    </w:tc>
                    <w:tc>
                      <w:tcPr>
                        <w:tcW w:w="819" w:type="dxa"/>
                        <w:tcBorders>
                          <w:top w:val="nil"/>
                          <w:left w:val="nil"/>
                          <w:bottom w:val="nil"/>
                          <w:right w:val="nil"/>
                        </w:tcBorders>
                      </w:tcPr>
                      <w:p>
                        <w:pPr/>
                      </w:p>
                    </w:tc>
                    <w:tc>
                      <w:tcPr>
                        <w:tcW w:w="569" w:type="dxa"/>
                        <w:tcBorders>
                          <w:top w:val="nil"/>
                          <w:left w:val="nil"/>
                          <w:bottom w:val="nil"/>
                          <w:right w:val="nil"/>
                        </w:tcBorders>
                      </w:tcPr>
                      <w:p>
                        <w:pPr/>
                      </w:p>
                    </w:tc>
                    <w:tc>
                      <w:tcPr>
                        <w:tcW w:w="221" w:type="dxa"/>
                        <w:tcBorders>
                          <w:top w:val="nil"/>
                          <w:left w:val="nil"/>
                          <w:bottom w:val="nil"/>
                          <w:right w:val="nil"/>
                        </w:tcBorders>
                      </w:tcPr>
                      <w:p>
                        <w:pPr/>
                      </w:p>
                    </w:tc>
                    <w:tc>
                      <w:tcPr>
                        <w:tcW w:w="696" w:type="dxa"/>
                        <w:tcBorders>
                          <w:top w:val="nil"/>
                          <w:left w:val="nil"/>
                          <w:bottom w:val="nil"/>
                          <w:right w:val="nil"/>
                        </w:tcBorders>
                      </w:tcPr>
                      <w:p>
                        <w:pPr/>
                      </w:p>
                    </w:tc>
                    <w:tc>
                      <w:tcPr>
                        <w:tcW w:w="692" w:type="dxa"/>
                        <w:tcBorders>
                          <w:top w:val="nil"/>
                          <w:left w:val="nil"/>
                          <w:bottom w:val="nil"/>
                          <w:right w:val="nil"/>
                        </w:tcBorders>
                      </w:tcPr>
                      <w:p>
                        <w:pPr/>
                      </w:p>
                    </w:tc>
                    <w:tc>
                      <w:tcPr>
                        <w:tcW w:w="696" w:type="dxa"/>
                        <w:tcBorders>
                          <w:top w:val="nil"/>
                          <w:left w:val="nil"/>
                          <w:bottom w:val="nil"/>
                          <w:right w:val="nil"/>
                        </w:tcBorders>
                      </w:tcPr>
                      <w:p>
                        <w:pPr/>
                      </w:p>
                    </w:tc>
                    <w:tc>
                      <w:tcPr>
                        <w:tcW w:w="672" w:type="dxa"/>
                        <w:tcBorders>
                          <w:top w:val="nil"/>
                          <w:left w:val="nil"/>
                          <w:bottom w:val="nil"/>
                          <w:right w:val="nil"/>
                        </w:tcBorders>
                      </w:tcPr>
                      <w:p>
                        <w:pPr/>
                      </w:p>
                    </w:tc>
                    <w:tc>
                      <w:tcPr>
                        <w:tcW w:w="751" w:type="dxa"/>
                        <w:tcBorders>
                          <w:top w:val="nil"/>
                          <w:left w:val="nil"/>
                          <w:bottom w:val="nil"/>
                          <w:right w:val="nil"/>
                        </w:tcBorders>
                      </w:tcPr>
                      <w:p>
                        <w:pPr/>
                      </w:p>
                    </w:tc>
                    <w:tc>
                      <w:tcPr>
                        <w:tcW w:w="735" w:type="dxa"/>
                        <w:tcBorders>
                          <w:top w:val="nil"/>
                          <w:left w:val="nil"/>
                          <w:bottom w:val="nil"/>
                          <w:right w:val="nil"/>
                        </w:tcBorders>
                      </w:tcPr>
                      <w:p>
                        <w:pPr/>
                      </w:p>
                    </w:tc>
                    <w:tc>
                      <w:tcPr>
                        <w:tcW w:w="733" w:type="dxa"/>
                        <w:tcBorders>
                          <w:top w:val="nil"/>
                          <w:left w:val="nil"/>
                          <w:bottom w:val="nil"/>
                          <w:right w:val="nil"/>
                        </w:tcBorders>
                      </w:tcPr>
                      <w:p>
                        <w:pPr/>
                      </w:p>
                    </w:tc>
                  </w:tr>
                  <w:tr>
                    <w:trPr>
                      <w:trHeight w:val="274" w:hRule="exact"/>
                    </w:trPr>
                    <w:tc>
                      <w:tcPr>
                        <w:tcW w:w="1796" w:type="dxa"/>
                        <w:tcBorders>
                          <w:top w:val="nil"/>
                          <w:left w:val="nil"/>
                          <w:bottom w:val="nil"/>
                          <w:right w:val="nil"/>
                        </w:tcBorders>
                      </w:tcPr>
                      <w:p>
                        <w:pPr>
                          <w:pStyle w:val="TableParagraph"/>
                          <w:spacing w:before="41"/>
                          <w:ind w:left="124"/>
                          <w:jc w:val="left"/>
                          <w:rPr>
                            <w:sz w:val="18"/>
                          </w:rPr>
                        </w:pPr>
                        <w:r>
                          <w:rPr>
                            <w:sz w:val="18"/>
                          </w:rPr>
                          <w:t>Proteína</w:t>
                        </w:r>
                      </w:p>
                    </w:tc>
                    <w:tc>
                      <w:tcPr>
                        <w:tcW w:w="697" w:type="dxa"/>
                        <w:tcBorders>
                          <w:top w:val="nil"/>
                          <w:left w:val="nil"/>
                          <w:bottom w:val="nil"/>
                          <w:right w:val="nil"/>
                        </w:tcBorders>
                      </w:tcPr>
                      <w:p>
                        <w:pPr>
                          <w:pStyle w:val="TableParagraph"/>
                          <w:spacing w:before="41"/>
                          <w:ind w:left="97" w:right="97"/>
                          <w:rPr>
                            <w:sz w:val="18"/>
                          </w:rPr>
                        </w:pPr>
                        <w:r>
                          <w:rPr>
                            <w:sz w:val="18"/>
                          </w:rPr>
                          <w:t>31.98</w:t>
                        </w:r>
                      </w:p>
                    </w:tc>
                    <w:tc>
                      <w:tcPr>
                        <w:tcW w:w="819" w:type="dxa"/>
                        <w:tcBorders>
                          <w:top w:val="nil"/>
                          <w:left w:val="nil"/>
                          <w:bottom w:val="nil"/>
                          <w:right w:val="nil"/>
                        </w:tcBorders>
                      </w:tcPr>
                      <w:p>
                        <w:pPr>
                          <w:pStyle w:val="TableParagraph"/>
                          <w:spacing w:before="41"/>
                          <w:ind w:right="265"/>
                          <w:jc w:val="right"/>
                          <w:rPr>
                            <w:sz w:val="18"/>
                          </w:rPr>
                        </w:pPr>
                        <w:r>
                          <w:rPr>
                            <w:sz w:val="18"/>
                          </w:rPr>
                          <w:t>30.74</w:t>
                        </w:r>
                      </w:p>
                    </w:tc>
                    <w:tc>
                      <w:tcPr>
                        <w:tcW w:w="569" w:type="dxa"/>
                        <w:tcBorders>
                          <w:top w:val="nil"/>
                          <w:left w:val="nil"/>
                          <w:bottom w:val="nil"/>
                          <w:right w:val="nil"/>
                        </w:tcBorders>
                      </w:tcPr>
                      <w:p>
                        <w:pPr>
                          <w:pStyle w:val="TableParagraph"/>
                          <w:spacing w:before="41"/>
                          <w:ind w:left="3" w:right="119"/>
                          <w:rPr>
                            <w:sz w:val="18"/>
                          </w:rPr>
                        </w:pPr>
                        <w:r>
                          <w:rPr>
                            <w:sz w:val="18"/>
                          </w:rPr>
                          <w:t>31.04</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41"/>
                          <w:ind w:right="142"/>
                          <w:jc w:val="right"/>
                          <w:rPr>
                            <w:sz w:val="18"/>
                          </w:rPr>
                        </w:pPr>
                        <w:r>
                          <w:rPr>
                            <w:sz w:val="18"/>
                          </w:rPr>
                          <w:t>30.63</w:t>
                        </w:r>
                      </w:p>
                    </w:tc>
                    <w:tc>
                      <w:tcPr>
                        <w:tcW w:w="692" w:type="dxa"/>
                        <w:tcBorders>
                          <w:top w:val="nil"/>
                          <w:left w:val="nil"/>
                          <w:bottom w:val="nil"/>
                          <w:right w:val="nil"/>
                        </w:tcBorders>
                      </w:tcPr>
                      <w:p>
                        <w:pPr>
                          <w:pStyle w:val="TableParagraph"/>
                          <w:spacing w:before="41"/>
                          <w:ind w:left="93" w:right="96"/>
                          <w:rPr>
                            <w:sz w:val="18"/>
                          </w:rPr>
                        </w:pPr>
                        <w:r>
                          <w:rPr>
                            <w:sz w:val="18"/>
                          </w:rPr>
                          <w:t>31.48</w:t>
                        </w:r>
                      </w:p>
                    </w:tc>
                    <w:tc>
                      <w:tcPr>
                        <w:tcW w:w="696" w:type="dxa"/>
                        <w:tcBorders>
                          <w:top w:val="nil"/>
                          <w:left w:val="nil"/>
                          <w:bottom w:val="nil"/>
                          <w:right w:val="nil"/>
                        </w:tcBorders>
                      </w:tcPr>
                      <w:p>
                        <w:pPr>
                          <w:pStyle w:val="TableParagraph"/>
                          <w:spacing w:before="41"/>
                          <w:ind w:left="95" w:right="95"/>
                          <w:rPr>
                            <w:sz w:val="18"/>
                          </w:rPr>
                        </w:pPr>
                        <w:r>
                          <w:rPr>
                            <w:sz w:val="18"/>
                          </w:rPr>
                          <w:t>31.84</w:t>
                        </w:r>
                      </w:p>
                    </w:tc>
                    <w:tc>
                      <w:tcPr>
                        <w:tcW w:w="672" w:type="dxa"/>
                        <w:tcBorders>
                          <w:top w:val="nil"/>
                          <w:left w:val="nil"/>
                          <w:bottom w:val="nil"/>
                          <w:right w:val="nil"/>
                        </w:tcBorders>
                      </w:tcPr>
                      <w:p>
                        <w:pPr>
                          <w:pStyle w:val="TableParagraph"/>
                          <w:spacing w:before="41"/>
                          <w:ind w:left="97" w:right="93"/>
                          <w:rPr>
                            <w:sz w:val="18"/>
                          </w:rPr>
                        </w:pPr>
                        <w:r>
                          <w:rPr>
                            <w:sz w:val="18"/>
                          </w:rPr>
                          <w:t>0.742</w:t>
                        </w:r>
                      </w:p>
                    </w:tc>
                    <w:tc>
                      <w:tcPr>
                        <w:tcW w:w="751" w:type="dxa"/>
                        <w:tcBorders>
                          <w:top w:val="nil"/>
                          <w:left w:val="nil"/>
                          <w:bottom w:val="nil"/>
                          <w:right w:val="nil"/>
                        </w:tcBorders>
                      </w:tcPr>
                      <w:p>
                        <w:pPr>
                          <w:pStyle w:val="TableParagraph"/>
                          <w:spacing w:before="41"/>
                          <w:ind w:left="103" w:right="97"/>
                          <w:rPr>
                            <w:sz w:val="18"/>
                          </w:rPr>
                        </w:pPr>
                        <w:r>
                          <w:rPr>
                            <w:sz w:val="18"/>
                          </w:rPr>
                          <w:t>0.9102</w:t>
                        </w:r>
                      </w:p>
                    </w:tc>
                    <w:tc>
                      <w:tcPr>
                        <w:tcW w:w="735" w:type="dxa"/>
                        <w:tcBorders>
                          <w:top w:val="nil"/>
                          <w:left w:val="nil"/>
                          <w:bottom w:val="nil"/>
                          <w:right w:val="nil"/>
                        </w:tcBorders>
                      </w:tcPr>
                      <w:p>
                        <w:pPr>
                          <w:pStyle w:val="TableParagraph"/>
                          <w:spacing w:before="41"/>
                          <w:ind w:left="99" w:right="99"/>
                          <w:rPr>
                            <w:sz w:val="18"/>
                          </w:rPr>
                        </w:pPr>
                        <w:r>
                          <w:rPr>
                            <w:sz w:val="18"/>
                          </w:rPr>
                          <w:t>0.9210</w:t>
                        </w:r>
                      </w:p>
                    </w:tc>
                    <w:tc>
                      <w:tcPr>
                        <w:tcW w:w="733" w:type="dxa"/>
                        <w:tcBorders>
                          <w:top w:val="nil"/>
                          <w:left w:val="nil"/>
                          <w:bottom w:val="nil"/>
                          <w:right w:val="nil"/>
                        </w:tcBorders>
                      </w:tcPr>
                      <w:p>
                        <w:pPr>
                          <w:pStyle w:val="TableParagraph"/>
                          <w:spacing w:before="41"/>
                          <w:ind w:left="99" w:right="98"/>
                          <w:rPr>
                            <w:sz w:val="18"/>
                          </w:rPr>
                        </w:pPr>
                        <w:r>
                          <w:rPr>
                            <w:sz w:val="18"/>
                          </w:rPr>
                          <w:t>0.2807</w:t>
                        </w:r>
                      </w:p>
                    </w:tc>
                  </w:tr>
                  <w:tr>
                    <w:trPr>
                      <w:trHeight w:val="240" w:hRule="exact"/>
                    </w:trPr>
                    <w:tc>
                      <w:tcPr>
                        <w:tcW w:w="1796" w:type="dxa"/>
                        <w:tcBorders>
                          <w:top w:val="nil"/>
                          <w:left w:val="nil"/>
                          <w:bottom w:val="nil"/>
                          <w:right w:val="nil"/>
                        </w:tcBorders>
                      </w:tcPr>
                      <w:p>
                        <w:pPr>
                          <w:pStyle w:val="TableParagraph"/>
                          <w:spacing w:before="7"/>
                          <w:ind w:left="124"/>
                          <w:jc w:val="left"/>
                          <w:rPr>
                            <w:sz w:val="18"/>
                          </w:rPr>
                        </w:pPr>
                        <w:r>
                          <w:rPr>
                            <w:sz w:val="18"/>
                          </w:rPr>
                          <w:t>Grasa</w:t>
                        </w:r>
                      </w:p>
                    </w:tc>
                    <w:tc>
                      <w:tcPr>
                        <w:tcW w:w="697" w:type="dxa"/>
                        <w:tcBorders>
                          <w:top w:val="nil"/>
                          <w:left w:val="nil"/>
                          <w:bottom w:val="nil"/>
                          <w:right w:val="nil"/>
                        </w:tcBorders>
                      </w:tcPr>
                      <w:p>
                        <w:pPr>
                          <w:pStyle w:val="TableParagraph"/>
                          <w:spacing w:before="7"/>
                          <w:ind w:left="97" w:right="97"/>
                          <w:rPr>
                            <w:sz w:val="18"/>
                          </w:rPr>
                        </w:pPr>
                        <w:r>
                          <w:rPr>
                            <w:sz w:val="18"/>
                          </w:rPr>
                          <w:t>37.39</w:t>
                        </w:r>
                      </w:p>
                    </w:tc>
                    <w:tc>
                      <w:tcPr>
                        <w:tcW w:w="819" w:type="dxa"/>
                        <w:tcBorders>
                          <w:top w:val="nil"/>
                          <w:left w:val="nil"/>
                          <w:bottom w:val="nil"/>
                          <w:right w:val="nil"/>
                        </w:tcBorders>
                      </w:tcPr>
                      <w:p>
                        <w:pPr>
                          <w:pStyle w:val="TableParagraph"/>
                          <w:spacing w:before="7"/>
                          <w:ind w:right="265"/>
                          <w:jc w:val="right"/>
                          <w:rPr>
                            <w:sz w:val="18"/>
                          </w:rPr>
                        </w:pPr>
                        <w:r>
                          <w:rPr>
                            <w:sz w:val="18"/>
                          </w:rPr>
                          <w:t>35.86</w:t>
                        </w:r>
                      </w:p>
                    </w:tc>
                    <w:tc>
                      <w:tcPr>
                        <w:tcW w:w="569" w:type="dxa"/>
                        <w:tcBorders>
                          <w:top w:val="nil"/>
                          <w:left w:val="nil"/>
                          <w:bottom w:val="nil"/>
                          <w:right w:val="nil"/>
                        </w:tcBorders>
                      </w:tcPr>
                      <w:p>
                        <w:pPr>
                          <w:pStyle w:val="TableParagraph"/>
                          <w:spacing w:before="7"/>
                          <w:ind w:left="3" w:right="119"/>
                          <w:rPr>
                            <w:sz w:val="18"/>
                          </w:rPr>
                        </w:pPr>
                        <w:r>
                          <w:rPr>
                            <w:sz w:val="18"/>
                          </w:rPr>
                          <w:t>36.63</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7"/>
                          <w:ind w:right="142"/>
                          <w:jc w:val="right"/>
                          <w:rPr>
                            <w:sz w:val="18"/>
                          </w:rPr>
                        </w:pPr>
                        <w:r>
                          <w:rPr>
                            <w:sz w:val="18"/>
                          </w:rPr>
                          <w:t>36.90</w:t>
                        </w:r>
                      </w:p>
                    </w:tc>
                    <w:tc>
                      <w:tcPr>
                        <w:tcW w:w="692" w:type="dxa"/>
                        <w:tcBorders>
                          <w:top w:val="nil"/>
                          <w:left w:val="nil"/>
                          <w:bottom w:val="nil"/>
                          <w:right w:val="nil"/>
                        </w:tcBorders>
                      </w:tcPr>
                      <w:p>
                        <w:pPr>
                          <w:pStyle w:val="TableParagraph"/>
                          <w:spacing w:before="7"/>
                          <w:ind w:left="93" w:right="96"/>
                          <w:rPr>
                            <w:sz w:val="18"/>
                          </w:rPr>
                        </w:pPr>
                        <w:r>
                          <w:rPr>
                            <w:sz w:val="18"/>
                          </w:rPr>
                          <w:t>38.02</w:t>
                        </w:r>
                      </w:p>
                    </w:tc>
                    <w:tc>
                      <w:tcPr>
                        <w:tcW w:w="696" w:type="dxa"/>
                        <w:tcBorders>
                          <w:top w:val="nil"/>
                          <w:left w:val="nil"/>
                          <w:bottom w:val="nil"/>
                          <w:right w:val="nil"/>
                        </w:tcBorders>
                      </w:tcPr>
                      <w:p>
                        <w:pPr>
                          <w:pStyle w:val="TableParagraph"/>
                          <w:spacing w:before="7"/>
                          <w:ind w:left="95" w:right="95"/>
                          <w:rPr>
                            <w:sz w:val="18"/>
                          </w:rPr>
                        </w:pPr>
                        <w:r>
                          <w:rPr>
                            <w:sz w:val="18"/>
                          </w:rPr>
                          <w:t>40.75</w:t>
                        </w:r>
                      </w:p>
                    </w:tc>
                    <w:tc>
                      <w:tcPr>
                        <w:tcW w:w="672" w:type="dxa"/>
                        <w:tcBorders>
                          <w:top w:val="nil"/>
                          <w:left w:val="nil"/>
                          <w:bottom w:val="nil"/>
                          <w:right w:val="nil"/>
                        </w:tcBorders>
                      </w:tcPr>
                      <w:p>
                        <w:pPr>
                          <w:pStyle w:val="TableParagraph"/>
                          <w:spacing w:before="7"/>
                          <w:ind w:left="97" w:right="93"/>
                          <w:rPr>
                            <w:sz w:val="18"/>
                          </w:rPr>
                        </w:pPr>
                        <w:r>
                          <w:rPr>
                            <w:sz w:val="18"/>
                          </w:rPr>
                          <w:t>1.437</w:t>
                        </w:r>
                      </w:p>
                    </w:tc>
                    <w:tc>
                      <w:tcPr>
                        <w:tcW w:w="751" w:type="dxa"/>
                        <w:tcBorders>
                          <w:top w:val="nil"/>
                          <w:left w:val="nil"/>
                          <w:bottom w:val="nil"/>
                          <w:right w:val="nil"/>
                        </w:tcBorders>
                      </w:tcPr>
                      <w:p>
                        <w:pPr>
                          <w:pStyle w:val="TableParagraph"/>
                          <w:spacing w:before="7"/>
                          <w:ind w:left="103" w:right="97"/>
                          <w:rPr>
                            <w:sz w:val="18"/>
                          </w:rPr>
                        </w:pPr>
                        <w:r>
                          <w:rPr>
                            <w:sz w:val="18"/>
                          </w:rPr>
                          <w:t>0.4372</w:t>
                        </w:r>
                      </w:p>
                    </w:tc>
                    <w:tc>
                      <w:tcPr>
                        <w:tcW w:w="735" w:type="dxa"/>
                        <w:tcBorders>
                          <w:top w:val="nil"/>
                          <w:left w:val="nil"/>
                          <w:bottom w:val="nil"/>
                          <w:right w:val="nil"/>
                        </w:tcBorders>
                      </w:tcPr>
                      <w:p>
                        <w:pPr>
                          <w:pStyle w:val="TableParagraph"/>
                          <w:spacing w:before="7"/>
                          <w:ind w:left="99" w:right="99"/>
                          <w:rPr>
                            <w:sz w:val="18"/>
                          </w:rPr>
                        </w:pPr>
                        <w:r>
                          <w:rPr>
                            <w:sz w:val="18"/>
                          </w:rPr>
                          <w:t>0.1134</w:t>
                        </w:r>
                      </w:p>
                    </w:tc>
                    <w:tc>
                      <w:tcPr>
                        <w:tcW w:w="733" w:type="dxa"/>
                        <w:tcBorders>
                          <w:top w:val="nil"/>
                          <w:left w:val="nil"/>
                          <w:bottom w:val="nil"/>
                          <w:right w:val="nil"/>
                        </w:tcBorders>
                      </w:tcPr>
                      <w:p>
                        <w:pPr>
                          <w:pStyle w:val="TableParagraph"/>
                          <w:spacing w:before="7"/>
                          <w:ind w:left="99" w:right="98"/>
                          <w:rPr>
                            <w:sz w:val="18"/>
                          </w:rPr>
                        </w:pPr>
                        <w:r>
                          <w:rPr>
                            <w:sz w:val="18"/>
                          </w:rPr>
                          <w:t>0.3004</w:t>
                        </w:r>
                      </w:p>
                    </w:tc>
                  </w:tr>
                  <w:tr>
                    <w:trPr>
                      <w:trHeight w:val="224" w:hRule="exact"/>
                    </w:trPr>
                    <w:tc>
                      <w:tcPr>
                        <w:tcW w:w="1796" w:type="dxa"/>
                        <w:tcBorders>
                          <w:top w:val="nil"/>
                          <w:left w:val="nil"/>
                          <w:bottom w:val="nil"/>
                          <w:right w:val="nil"/>
                        </w:tcBorders>
                      </w:tcPr>
                      <w:p>
                        <w:pPr>
                          <w:pStyle w:val="TableParagraph"/>
                          <w:spacing w:before="7"/>
                          <w:ind w:left="124"/>
                          <w:jc w:val="left"/>
                          <w:rPr>
                            <w:sz w:val="18"/>
                          </w:rPr>
                        </w:pPr>
                        <w:r>
                          <w:rPr>
                            <w:sz w:val="18"/>
                          </w:rPr>
                          <w:t>Lactosa</w:t>
                        </w:r>
                      </w:p>
                    </w:tc>
                    <w:tc>
                      <w:tcPr>
                        <w:tcW w:w="697" w:type="dxa"/>
                        <w:tcBorders>
                          <w:top w:val="nil"/>
                          <w:left w:val="nil"/>
                          <w:bottom w:val="nil"/>
                          <w:right w:val="nil"/>
                        </w:tcBorders>
                      </w:tcPr>
                      <w:p>
                        <w:pPr>
                          <w:pStyle w:val="TableParagraph"/>
                          <w:spacing w:before="7"/>
                          <w:ind w:left="97" w:right="97"/>
                          <w:rPr>
                            <w:sz w:val="18"/>
                          </w:rPr>
                        </w:pPr>
                        <w:r>
                          <w:rPr>
                            <w:sz w:val="18"/>
                          </w:rPr>
                          <w:t>43.70</w:t>
                        </w:r>
                      </w:p>
                    </w:tc>
                    <w:tc>
                      <w:tcPr>
                        <w:tcW w:w="819" w:type="dxa"/>
                        <w:tcBorders>
                          <w:top w:val="nil"/>
                          <w:left w:val="nil"/>
                          <w:bottom w:val="nil"/>
                          <w:right w:val="nil"/>
                        </w:tcBorders>
                      </w:tcPr>
                      <w:p>
                        <w:pPr>
                          <w:pStyle w:val="TableParagraph"/>
                          <w:spacing w:before="7"/>
                          <w:ind w:right="265"/>
                          <w:jc w:val="right"/>
                          <w:rPr>
                            <w:sz w:val="18"/>
                          </w:rPr>
                        </w:pPr>
                        <w:r>
                          <w:rPr>
                            <w:sz w:val="18"/>
                          </w:rPr>
                          <w:t>44.08</w:t>
                        </w:r>
                      </w:p>
                    </w:tc>
                    <w:tc>
                      <w:tcPr>
                        <w:tcW w:w="569" w:type="dxa"/>
                        <w:tcBorders>
                          <w:top w:val="nil"/>
                          <w:left w:val="nil"/>
                          <w:bottom w:val="nil"/>
                          <w:right w:val="nil"/>
                        </w:tcBorders>
                      </w:tcPr>
                      <w:p>
                        <w:pPr>
                          <w:pStyle w:val="TableParagraph"/>
                          <w:spacing w:before="7"/>
                          <w:ind w:left="3" w:right="119"/>
                          <w:rPr>
                            <w:sz w:val="18"/>
                          </w:rPr>
                        </w:pPr>
                        <w:r>
                          <w:rPr>
                            <w:sz w:val="18"/>
                          </w:rPr>
                          <w:t>43.73</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7"/>
                          <w:ind w:right="142"/>
                          <w:jc w:val="right"/>
                          <w:rPr>
                            <w:sz w:val="18"/>
                          </w:rPr>
                        </w:pPr>
                        <w:r>
                          <w:rPr>
                            <w:sz w:val="18"/>
                          </w:rPr>
                          <w:t>43.35</w:t>
                        </w:r>
                      </w:p>
                    </w:tc>
                    <w:tc>
                      <w:tcPr>
                        <w:tcW w:w="692" w:type="dxa"/>
                        <w:tcBorders>
                          <w:top w:val="nil"/>
                          <w:left w:val="nil"/>
                          <w:bottom w:val="nil"/>
                          <w:right w:val="nil"/>
                        </w:tcBorders>
                      </w:tcPr>
                      <w:p>
                        <w:pPr>
                          <w:pStyle w:val="TableParagraph"/>
                          <w:spacing w:before="7"/>
                          <w:ind w:left="93" w:right="96"/>
                          <w:rPr>
                            <w:sz w:val="18"/>
                          </w:rPr>
                        </w:pPr>
                        <w:r>
                          <w:rPr>
                            <w:sz w:val="18"/>
                          </w:rPr>
                          <w:t>44.31</w:t>
                        </w:r>
                      </w:p>
                    </w:tc>
                    <w:tc>
                      <w:tcPr>
                        <w:tcW w:w="696" w:type="dxa"/>
                        <w:tcBorders>
                          <w:top w:val="nil"/>
                          <w:left w:val="nil"/>
                          <w:bottom w:val="nil"/>
                          <w:right w:val="nil"/>
                        </w:tcBorders>
                      </w:tcPr>
                      <w:p>
                        <w:pPr>
                          <w:pStyle w:val="TableParagraph"/>
                          <w:spacing w:before="7"/>
                          <w:ind w:left="95" w:right="95"/>
                          <w:rPr>
                            <w:sz w:val="18"/>
                          </w:rPr>
                        </w:pPr>
                        <w:r>
                          <w:rPr>
                            <w:sz w:val="18"/>
                          </w:rPr>
                          <w:t>44.96</w:t>
                        </w:r>
                      </w:p>
                    </w:tc>
                    <w:tc>
                      <w:tcPr>
                        <w:tcW w:w="672" w:type="dxa"/>
                        <w:tcBorders>
                          <w:top w:val="nil"/>
                          <w:left w:val="nil"/>
                          <w:bottom w:val="nil"/>
                          <w:right w:val="nil"/>
                        </w:tcBorders>
                      </w:tcPr>
                      <w:p>
                        <w:pPr>
                          <w:pStyle w:val="TableParagraph"/>
                          <w:spacing w:before="7"/>
                          <w:ind w:left="97" w:right="93"/>
                          <w:rPr>
                            <w:sz w:val="18"/>
                          </w:rPr>
                        </w:pPr>
                        <w:r>
                          <w:rPr>
                            <w:sz w:val="18"/>
                          </w:rPr>
                          <w:t>0.610</w:t>
                        </w:r>
                      </w:p>
                    </w:tc>
                    <w:tc>
                      <w:tcPr>
                        <w:tcW w:w="751" w:type="dxa"/>
                        <w:tcBorders>
                          <w:top w:val="nil"/>
                          <w:left w:val="nil"/>
                          <w:bottom w:val="nil"/>
                          <w:right w:val="nil"/>
                        </w:tcBorders>
                      </w:tcPr>
                      <w:p>
                        <w:pPr>
                          <w:pStyle w:val="TableParagraph"/>
                          <w:spacing w:before="7"/>
                          <w:ind w:left="103" w:right="97"/>
                          <w:rPr>
                            <w:sz w:val="18"/>
                          </w:rPr>
                        </w:pPr>
                        <w:r>
                          <w:rPr>
                            <w:sz w:val="18"/>
                          </w:rPr>
                          <w:t>0.3849</w:t>
                        </w:r>
                      </w:p>
                    </w:tc>
                    <w:tc>
                      <w:tcPr>
                        <w:tcW w:w="735" w:type="dxa"/>
                        <w:tcBorders>
                          <w:top w:val="nil"/>
                          <w:left w:val="nil"/>
                          <w:bottom w:val="nil"/>
                          <w:right w:val="nil"/>
                        </w:tcBorders>
                      </w:tcPr>
                      <w:p>
                        <w:pPr>
                          <w:pStyle w:val="TableParagraph"/>
                          <w:spacing w:before="7"/>
                          <w:ind w:left="99" w:right="99"/>
                          <w:rPr>
                            <w:sz w:val="18"/>
                          </w:rPr>
                        </w:pPr>
                        <w:r>
                          <w:rPr>
                            <w:sz w:val="18"/>
                          </w:rPr>
                          <w:t>0.4725</w:t>
                        </w:r>
                      </w:p>
                    </w:tc>
                    <w:tc>
                      <w:tcPr>
                        <w:tcW w:w="733" w:type="dxa"/>
                        <w:tcBorders>
                          <w:top w:val="nil"/>
                          <w:left w:val="nil"/>
                          <w:bottom w:val="nil"/>
                          <w:right w:val="nil"/>
                        </w:tcBorders>
                      </w:tcPr>
                      <w:p>
                        <w:pPr>
                          <w:pStyle w:val="TableParagraph"/>
                          <w:spacing w:before="7"/>
                          <w:ind w:left="99" w:right="98"/>
                          <w:rPr>
                            <w:sz w:val="18"/>
                          </w:rPr>
                        </w:pPr>
                        <w:r>
                          <w:rPr>
                            <w:sz w:val="18"/>
                          </w:rPr>
                          <w:t>0.4494</w:t>
                        </w:r>
                      </w:p>
                    </w:tc>
                  </w:tr>
                  <w:tr>
                    <w:trPr>
                      <w:trHeight w:val="491" w:hRule="exact"/>
                    </w:trPr>
                    <w:tc>
                      <w:tcPr>
                        <w:tcW w:w="1796" w:type="dxa"/>
                        <w:tcBorders>
                          <w:top w:val="nil"/>
                          <w:left w:val="nil"/>
                          <w:bottom w:val="nil"/>
                          <w:right w:val="nil"/>
                        </w:tcBorders>
                      </w:tcPr>
                      <w:p>
                        <w:pPr>
                          <w:pStyle w:val="TableParagraph"/>
                          <w:spacing w:line="230" w:lineRule="exact"/>
                          <w:ind w:left="124"/>
                          <w:jc w:val="left"/>
                          <w:rPr>
                            <w:b/>
                            <w:sz w:val="12"/>
                          </w:rPr>
                        </w:pPr>
                        <w:r>
                          <w:rPr>
                            <w:b/>
                            <w:sz w:val="18"/>
                          </w:rPr>
                          <w:t>Rendimiento (kg/d</w:t>
                        </w:r>
                        <w:r>
                          <w:rPr>
                            <w:b/>
                            <w:position w:val="8"/>
                            <w:sz w:val="12"/>
                          </w:rPr>
                          <w:t>-</w:t>
                        </w:r>
                      </w:p>
                      <w:p>
                        <w:pPr>
                          <w:pStyle w:val="TableParagraph"/>
                          <w:spacing w:before="7"/>
                          <w:ind w:left="124"/>
                          <w:jc w:val="left"/>
                          <w:rPr>
                            <w:b/>
                            <w:sz w:val="18"/>
                          </w:rPr>
                        </w:pPr>
                        <w:r>
                          <w:rPr>
                            <w:b/>
                            <w:sz w:val="12"/>
                          </w:rPr>
                          <w:t>1</w:t>
                        </w:r>
                        <w:r>
                          <w:rPr>
                            <w:b/>
                            <w:position w:val="-7"/>
                            <w:sz w:val="18"/>
                          </w:rPr>
                          <w:t>)</w:t>
                        </w:r>
                      </w:p>
                    </w:tc>
                    <w:tc>
                      <w:tcPr>
                        <w:tcW w:w="697" w:type="dxa"/>
                        <w:tcBorders>
                          <w:top w:val="nil"/>
                          <w:left w:val="nil"/>
                          <w:bottom w:val="nil"/>
                          <w:right w:val="nil"/>
                        </w:tcBorders>
                      </w:tcPr>
                      <w:p>
                        <w:pPr/>
                      </w:p>
                    </w:tc>
                    <w:tc>
                      <w:tcPr>
                        <w:tcW w:w="819" w:type="dxa"/>
                        <w:tcBorders>
                          <w:top w:val="nil"/>
                          <w:left w:val="nil"/>
                          <w:bottom w:val="nil"/>
                          <w:right w:val="nil"/>
                        </w:tcBorders>
                      </w:tcPr>
                      <w:p>
                        <w:pPr/>
                      </w:p>
                    </w:tc>
                    <w:tc>
                      <w:tcPr>
                        <w:tcW w:w="569" w:type="dxa"/>
                        <w:tcBorders>
                          <w:top w:val="nil"/>
                          <w:left w:val="nil"/>
                          <w:bottom w:val="nil"/>
                          <w:right w:val="nil"/>
                        </w:tcBorders>
                      </w:tcPr>
                      <w:p>
                        <w:pPr/>
                      </w:p>
                    </w:tc>
                    <w:tc>
                      <w:tcPr>
                        <w:tcW w:w="221" w:type="dxa"/>
                        <w:tcBorders>
                          <w:top w:val="nil"/>
                          <w:left w:val="nil"/>
                          <w:bottom w:val="nil"/>
                          <w:right w:val="nil"/>
                        </w:tcBorders>
                      </w:tcPr>
                      <w:p>
                        <w:pPr/>
                      </w:p>
                    </w:tc>
                    <w:tc>
                      <w:tcPr>
                        <w:tcW w:w="696" w:type="dxa"/>
                        <w:tcBorders>
                          <w:top w:val="nil"/>
                          <w:left w:val="nil"/>
                          <w:bottom w:val="nil"/>
                          <w:right w:val="nil"/>
                        </w:tcBorders>
                      </w:tcPr>
                      <w:p>
                        <w:pPr/>
                      </w:p>
                    </w:tc>
                    <w:tc>
                      <w:tcPr>
                        <w:tcW w:w="692" w:type="dxa"/>
                        <w:tcBorders>
                          <w:top w:val="nil"/>
                          <w:left w:val="nil"/>
                          <w:bottom w:val="nil"/>
                          <w:right w:val="nil"/>
                        </w:tcBorders>
                      </w:tcPr>
                      <w:p>
                        <w:pPr/>
                      </w:p>
                    </w:tc>
                    <w:tc>
                      <w:tcPr>
                        <w:tcW w:w="696" w:type="dxa"/>
                        <w:tcBorders>
                          <w:top w:val="nil"/>
                          <w:left w:val="nil"/>
                          <w:bottom w:val="nil"/>
                          <w:right w:val="nil"/>
                        </w:tcBorders>
                      </w:tcPr>
                      <w:p>
                        <w:pPr/>
                      </w:p>
                    </w:tc>
                    <w:tc>
                      <w:tcPr>
                        <w:tcW w:w="672" w:type="dxa"/>
                        <w:tcBorders>
                          <w:top w:val="nil"/>
                          <w:left w:val="nil"/>
                          <w:bottom w:val="nil"/>
                          <w:right w:val="nil"/>
                        </w:tcBorders>
                      </w:tcPr>
                      <w:p>
                        <w:pPr/>
                      </w:p>
                    </w:tc>
                    <w:tc>
                      <w:tcPr>
                        <w:tcW w:w="751" w:type="dxa"/>
                        <w:tcBorders>
                          <w:top w:val="nil"/>
                          <w:left w:val="nil"/>
                          <w:bottom w:val="nil"/>
                          <w:right w:val="nil"/>
                        </w:tcBorders>
                      </w:tcPr>
                      <w:p>
                        <w:pPr/>
                      </w:p>
                    </w:tc>
                    <w:tc>
                      <w:tcPr>
                        <w:tcW w:w="735" w:type="dxa"/>
                        <w:tcBorders>
                          <w:top w:val="nil"/>
                          <w:left w:val="nil"/>
                          <w:bottom w:val="nil"/>
                          <w:right w:val="nil"/>
                        </w:tcBorders>
                      </w:tcPr>
                      <w:p>
                        <w:pPr/>
                      </w:p>
                    </w:tc>
                    <w:tc>
                      <w:tcPr>
                        <w:tcW w:w="733" w:type="dxa"/>
                        <w:tcBorders>
                          <w:top w:val="nil"/>
                          <w:left w:val="nil"/>
                          <w:bottom w:val="nil"/>
                          <w:right w:val="nil"/>
                        </w:tcBorders>
                      </w:tcPr>
                      <w:p>
                        <w:pPr/>
                      </w:p>
                    </w:tc>
                  </w:tr>
                  <w:tr>
                    <w:trPr>
                      <w:trHeight w:val="235" w:hRule="exact"/>
                    </w:trPr>
                    <w:tc>
                      <w:tcPr>
                        <w:tcW w:w="1796" w:type="dxa"/>
                        <w:tcBorders>
                          <w:top w:val="nil"/>
                          <w:left w:val="nil"/>
                          <w:bottom w:val="nil"/>
                          <w:right w:val="nil"/>
                        </w:tcBorders>
                      </w:tcPr>
                      <w:p>
                        <w:pPr>
                          <w:pStyle w:val="TableParagraph"/>
                          <w:spacing w:before="2"/>
                          <w:ind w:left="124"/>
                          <w:jc w:val="left"/>
                          <w:rPr>
                            <w:sz w:val="18"/>
                          </w:rPr>
                        </w:pPr>
                        <w:r>
                          <w:rPr>
                            <w:sz w:val="18"/>
                          </w:rPr>
                          <w:t>Proteína</w:t>
                        </w:r>
                      </w:p>
                    </w:tc>
                    <w:tc>
                      <w:tcPr>
                        <w:tcW w:w="697" w:type="dxa"/>
                        <w:tcBorders>
                          <w:top w:val="nil"/>
                          <w:left w:val="nil"/>
                          <w:bottom w:val="nil"/>
                          <w:right w:val="nil"/>
                        </w:tcBorders>
                      </w:tcPr>
                      <w:p>
                        <w:pPr>
                          <w:pStyle w:val="TableParagraph"/>
                          <w:spacing w:before="2"/>
                          <w:ind w:left="97" w:right="97"/>
                          <w:rPr>
                            <w:sz w:val="18"/>
                          </w:rPr>
                        </w:pPr>
                        <w:r>
                          <w:rPr>
                            <w:sz w:val="18"/>
                          </w:rPr>
                          <w:t>0.493</w:t>
                        </w:r>
                      </w:p>
                    </w:tc>
                    <w:tc>
                      <w:tcPr>
                        <w:tcW w:w="819" w:type="dxa"/>
                        <w:tcBorders>
                          <w:top w:val="nil"/>
                          <w:left w:val="nil"/>
                          <w:bottom w:val="nil"/>
                          <w:right w:val="nil"/>
                        </w:tcBorders>
                      </w:tcPr>
                      <w:p>
                        <w:pPr>
                          <w:pStyle w:val="TableParagraph"/>
                          <w:spacing w:before="2"/>
                          <w:ind w:right="265"/>
                          <w:jc w:val="right"/>
                          <w:rPr>
                            <w:sz w:val="18"/>
                          </w:rPr>
                        </w:pPr>
                        <w:r>
                          <w:rPr>
                            <w:sz w:val="18"/>
                          </w:rPr>
                          <w:t>0.523</w:t>
                        </w:r>
                      </w:p>
                    </w:tc>
                    <w:tc>
                      <w:tcPr>
                        <w:tcW w:w="569" w:type="dxa"/>
                        <w:tcBorders>
                          <w:top w:val="nil"/>
                          <w:left w:val="nil"/>
                          <w:bottom w:val="nil"/>
                          <w:right w:val="nil"/>
                        </w:tcBorders>
                      </w:tcPr>
                      <w:p>
                        <w:pPr>
                          <w:pStyle w:val="TableParagraph"/>
                          <w:spacing w:before="2"/>
                          <w:ind w:left="3" w:right="119"/>
                          <w:rPr>
                            <w:sz w:val="18"/>
                          </w:rPr>
                        </w:pPr>
                        <w:r>
                          <w:rPr>
                            <w:sz w:val="18"/>
                          </w:rPr>
                          <w:t>0.592</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2"/>
                          <w:ind w:right="142"/>
                          <w:jc w:val="right"/>
                          <w:rPr>
                            <w:sz w:val="18"/>
                          </w:rPr>
                        </w:pPr>
                        <w:r>
                          <w:rPr>
                            <w:sz w:val="18"/>
                          </w:rPr>
                          <w:t>0.453</w:t>
                        </w:r>
                      </w:p>
                    </w:tc>
                    <w:tc>
                      <w:tcPr>
                        <w:tcW w:w="692" w:type="dxa"/>
                        <w:tcBorders>
                          <w:top w:val="nil"/>
                          <w:left w:val="nil"/>
                          <w:bottom w:val="nil"/>
                          <w:right w:val="nil"/>
                        </w:tcBorders>
                      </w:tcPr>
                      <w:p>
                        <w:pPr>
                          <w:pStyle w:val="TableParagraph"/>
                          <w:spacing w:before="2"/>
                          <w:ind w:left="93" w:right="96"/>
                          <w:rPr>
                            <w:sz w:val="18"/>
                          </w:rPr>
                        </w:pPr>
                        <w:r>
                          <w:rPr>
                            <w:sz w:val="18"/>
                          </w:rPr>
                          <w:t>0.509</w:t>
                        </w:r>
                      </w:p>
                    </w:tc>
                    <w:tc>
                      <w:tcPr>
                        <w:tcW w:w="696" w:type="dxa"/>
                        <w:tcBorders>
                          <w:top w:val="nil"/>
                          <w:left w:val="nil"/>
                          <w:bottom w:val="nil"/>
                          <w:right w:val="nil"/>
                        </w:tcBorders>
                      </w:tcPr>
                      <w:p>
                        <w:pPr>
                          <w:pStyle w:val="TableParagraph"/>
                          <w:spacing w:before="2"/>
                          <w:ind w:left="95" w:right="95"/>
                          <w:rPr>
                            <w:sz w:val="18"/>
                          </w:rPr>
                        </w:pPr>
                        <w:r>
                          <w:rPr>
                            <w:sz w:val="18"/>
                          </w:rPr>
                          <w:t>0.539</w:t>
                        </w:r>
                      </w:p>
                    </w:tc>
                    <w:tc>
                      <w:tcPr>
                        <w:tcW w:w="672" w:type="dxa"/>
                        <w:tcBorders>
                          <w:top w:val="nil"/>
                          <w:left w:val="nil"/>
                          <w:bottom w:val="nil"/>
                          <w:right w:val="nil"/>
                        </w:tcBorders>
                      </w:tcPr>
                      <w:p>
                        <w:pPr>
                          <w:pStyle w:val="TableParagraph"/>
                          <w:spacing w:before="2"/>
                          <w:ind w:left="97" w:right="93"/>
                          <w:rPr>
                            <w:sz w:val="18"/>
                          </w:rPr>
                        </w:pPr>
                        <w:r>
                          <w:rPr>
                            <w:sz w:val="18"/>
                          </w:rPr>
                          <w:t>0.018</w:t>
                        </w:r>
                      </w:p>
                    </w:tc>
                    <w:tc>
                      <w:tcPr>
                        <w:tcW w:w="751" w:type="dxa"/>
                        <w:tcBorders>
                          <w:top w:val="nil"/>
                          <w:left w:val="nil"/>
                          <w:bottom w:val="nil"/>
                          <w:right w:val="nil"/>
                        </w:tcBorders>
                      </w:tcPr>
                      <w:p>
                        <w:pPr>
                          <w:pStyle w:val="TableParagraph"/>
                          <w:spacing w:before="2"/>
                          <w:ind w:left="103" w:right="101"/>
                          <w:rPr>
                            <w:sz w:val="18"/>
                          </w:rPr>
                        </w:pPr>
                        <w:r>
                          <w:rPr>
                            <w:sz w:val="18"/>
                          </w:rPr>
                          <w:t>&lt;.0001</w:t>
                        </w:r>
                      </w:p>
                    </w:tc>
                    <w:tc>
                      <w:tcPr>
                        <w:tcW w:w="735" w:type="dxa"/>
                        <w:tcBorders>
                          <w:top w:val="nil"/>
                          <w:left w:val="nil"/>
                          <w:bottom w:val="nil"/>
                          <w:right w:val="nil"/>
                        </w:tcBorders>
                      </w:tcPr>
                      <w:p>
                        <w:pPr>
                          <w:pStyle w:val="TableParagraph"/>
                          <w:spacing w:before="2"/>
                          <w:ind w:left="99" w:right="99"/>
                          <w:rPr>
                            <w:sz w:val="18"/>
                          </w:rPr>
                        </w:pPr>
                        <w:r>
                          <w:rPr>
                            <w:sz w:val="18"/>
                          </w:rPr>
                          <w:t>0.0219</w:t>
                        </w:r>
                      </w:p>
                    </w:tc>
                    <w:tc>
                      <w:tcPr>
                        <w:tcW w:w="733" w:type="dxa"/>
                        <w:tcBorders>
                          <w:top w:val="nil"/>
                          <w:left w:val="nil"/>
                          <w:bottom w:val="nil"/>
                          <w:right w:val="nil"/>
                        </w:tcBorders>
                      </w:tcPr>
                      <w:p>
                        <w:pPr>
                          <w:pStyle w:val="TableParagraph"/>
                          <w:spacing w:before="2"/>
                          <w:ind w:left="99" w:right="98"/>
                          <w:rPr>
                            <w:sz w:val="18"/>
                          </w:rPr>
                        </w:pPr>
                        <w:r>
                          <w:rPr>
                            <w:sz w:val="18"/>
                          </w:rPr>
                          <w:t>0.5691</w:t>
                        </w:r>
                      </w:p>
                    </w:tc>
                  </w:tr>
                  <w:tr>
                    <w:trPr>
                      <w:trHeight w:val="240" w:hRule="exact"/>
                    </w:trPr>
                    <w:tc>
                      <w:tcPr>
                        <w:tcW w:w="1796" w:type="dxa"/>
                        <w:tcBorders>
                          <w:top w:val="nil"/>
                          <w:left w:val="nil"/>
                          <w:bottom w:val="nil"/>
                          <w:right w:val="nil"/>
                        </w:tcBorders>
                      </w:tcPr>
                      <w:p>
                        <w:pPr>
                          <w:pStyle w:val="TableParagraph"/>
                          <w:spacing w:before="7"/>
                          <w:ind w:left="124"/>
                          <w:jc w:val="left"/>
                          <w:rPr>
                            <w:sz w:val="18"/>
                          </w:rPr>
                        </w:pPr>
                        <w:r>
                          <w:rPr>
                            <w:sz w:val="18"/>
                          </w:rPr>
                          <w:t>Grasa</w:t>
                        </w:r>
                      </w:p>
                    </w:tc>
                    <w:tc>
                      <w:tcPr>
                        <w:tcW w:w="697" w:type="dxa"/>
                        <w:tcBorders>
                          <w:top w:val="nil"/>
                          <w:left w:val="nil"/>
                          <w:bottom w:val="nil"/>
                          <w:right w:val="nil"/>
                        </w:tcBorders>
                      </w:tcPr>
                      <w:p>
                        <w:pPr>
                          <w:pStyle w:val="TableParagraph"/>
                          <w:spacing w:before="7"/>
                          <w:ind w:left="97" w:right="97"/>
                          <w:rPr>
                            <w:sz w:val="18"/>
                          </w:rPr>
                        </w:pPr>
                        <w:r>
                          <w:rPr>
                            <w:sz w:val="18"/>
                          </w:rPr>
                          <w:t>0.584</w:t>
                        </w:r>
                      </w:p>
                    </w:tc>
                    <w:tc>
                      <w:tcPr>
                        <w:tcW w:w="819" w:type="dxa"/>
                        <w:tcBorders>
                          <w:top w:val="nil"/>
                          <w:left w:val="nil"/>
                          <w:bottom w:val="nil"/>
                          <w:right w:val="nil"/>
                        </w:tcBorders>
                      </w:tcPr>
                      <w:p>
                        <w:pPr>
                          <w:pStyle w:val="TableParagraph"/>
                          <w:spacing w:before="7"/>
                          <w:ind w:right="265"/>
                          <w:jc w:val="right"/>
                          <w:rPr>
                            <w:sz w:val="18"/>
                          </w:rPr>
                        </w:pPr>
                        <w:r>
                          <w:rPr>
                            <w:sz w:val="18"/>
                          </w:rPr>
                          <w:t>0.612</w:t>
                        </w:r>
                      </w:p>
                    </w:tc>
                    <w:tc>
                      <w:tcPr>
                        <w:tcW w:w="569" w:type="dxa"/>
                        <w:tcBorders>
                          <w:top w:val="nil"/>
                          <w:left w:val="nil"/>
                          <w:bottom w:val="nil"/>
                          <w:right w:val="nil"/>
                        </w:tcBorders>
                      </w:tcPr>
                      <w:p>
                        <w:pPr>
                          <w:pStyle w:val="TableParagraph"/>
                          <w:spacing w:before="7"/>
                          <w:ind w:left="3" w:right="119"/>
                          <w:rPr>
                            <w:sz w:val="18"/>
                          </w:rPr>
                        </w:pPr>
                        <w:r>
                          <w:rPr>
                            <w:sz w:val="18"/>
                          </w:rPr>
                          <w:t>0.699</w:t>
                        </w:r>
                      </w:p>
                    </w:tc>
                    <w:tc>
                      <w:tcPr>
                        <w:tcW w:w="221" w:type="dxa"/>
                        <w:tcBorders>
                          <w:top w:val="nil"/>
                          <w:left w:val="nil"/>
                          <w:bottom w:val="nil"/>
                          <w:right w:val="nil"/>
                        </w:tcBorders>
                      </w:tcPr>
                      <w:p>
                        <w:pPr/>
                      </w:p>
                    </w:tc>
                    <w:tc>
                      <w:tcPr>
                        <w:tcW w:w="696" w:type="dxa"/>
                        <w:tcBorders>
                          <w:top w:val="nil"/>
                          <w:left w:val="nil"/>
                          <w:bottom w:val="nil"/>
                          <w:right w:val="nil"/>
                        </w:tcBorders>
                      </w:tcPr>
                      <w:p>
                        <w:pPr>
                          <w:pStyle w:val="TableParagraph"/>
                          <w:spacing w:before="7"/>
                          <w:ind w:right="142"/>
                          <w:jc w:val="right"/>
                          <w:rPr>
                            <w:sz w:val="18"/>
                          </w:rPr>
                        </w:pPr>
                        <w:r>
                          <w:rPr>
                            <w:sz w:val="18"/>
                          </w:rPr>
                          <w:t>0.545</w:t>
                        </w:r>
                      </w:p>
                    </w:tc>
                    <w:tc>
                      <w:tcPr>
                        <w:tcW w:w="692" w:type="dxa"/>
                        <w:tcBorders>
                          <w:top w:val="nil"/>
                          <w:left w:val="nil"/>
                          <w:bottom w:val="nil"/>
                          <w:right w:val="nil"/>
                        </w:tcBorders>
                      </w:tcPr>
                      <w:p>
                        <w:pPr>
                          <w:pStyle w:val="TableParagraph"/>
                          <w:spacing w:before="7"/>
                          <w:ind w:left="93" w:right="96"/>
                          <w:rPr>
                            <w:sz w:val="18"/>
                          </w:rPr>
                        </w:pPr>
                        <w:r>
                          <w:rPr>
                            <w:sz w:val="18"/>
                          </w:rPr>
                          <w:t>0.617</w:t>
                        </w:r>
                      </w:p>
                    </w:tc>
                    <w:tc>
                      <w:tcPr>
                        <w:tcW w:w="696" w:type="dxa"/>
                        <w:tcBorders>
                          <w:top w:val="nil"/>
                          <w:left w:val="nil"/>
                          <w:bottom w:val="nil"/>
                          <w:right w:val="nil"/>
                        </w:tcBorders>
                      </w:tcPr>
                      <w:p>
                        <w:pPr>
                          <w:pStyle w:val="TableParagraph"/>
                          <w:spacing w:before="7"/>
                          <w:ind w:left="95" w:right="95"/>
                          <w:rPr>
                            <w:sz w:val="18"/>
                          </w:rPr>
                        </w:pPr>
                        <w:r>
                          <w:rPr>
                            <w:sz w:val="18"/>
                          </w:rPr>
                          <w:t>0.686</w:t>
                        </w:r>
                      </w:p>
                    </w:tc>
                    <w:tc>
                      <w:tcPr>
                        <w:tcW w:w="672" w:type="dxa"/>
                        <w:tcBorders>
                          <w:top w:val="nil"/>
                          <w:left w:val="nil"/>
                          <w:bottom w:val="nil"/>
                          <w:right w:val="nil"/>
                        </w:tcBorders>
                      </w:tcPr>
                      <w:p>
                        <w:pPr>
                          <w:pStyle w:val="TableParagraph"/>
                          <w:spacing w:before="7"/>
                          <w:ind w:left="97" w:right="93"/>
                          <w:rPr>
                            <w:sz w:val="18"/>
                          </w:rPr>
                        </w:pPr>
                        <w:r>
                          <w:rPr>
                            <w:sz w:val="18"/>
                          </w:rPr>
                          <w:t>0.032</w:t>
                        </w:r>
                      </w:p>
                    </w:tc>
                    <w:tc>
                      <w:tcPr>
                        <w:tcW w:w="751" w:type="dxa"/>
                        <w:tcBorders>
                          <w:top w:val="nil"/>
                          <w:left w:val="nil"/>
                          <w:bottom w:val="nil"/>
                          <w:right w:val="nil"/>
                        </w:tcBorders>
                      </w:tcPr>
                      <w:p>
                        <w:pPr>
                          <w:pStyle w:val="TableParagraph"/>
                          <w:spacing w:before="7"/>
                          <w:ind w:left="103" w:right="97"/>
                          <w:rPr>
                            <w:sz w:val="18"/>
                          </w:rPr>
                        </w:pPr>
                        <w:r>
                          <w:rPr>
                            <w:sz w:val="18"/>
                          </w:rPr>
                          <w:t>0.0005</w:t>
                        </w:r>
                      </w:p>
                    </w:tc>
                    <w:tc>
                      <w:tcPr>
                        <w:tcW w:w="735" w:type="dxa"/>
                        <w:tcBorders>
                          <w:top w:val="nil"/>
                          <w:left w:val="nil"/>
                          <w:bottom w:val="nil"/>
                          <w:right w:val="nil"/>
                        </w:tcBorders>
                      </w:tcPr>
                      <w:p>
                        <w:pPr>
                          <w:pStyle w:val="TableParagraph"/>
                          <w:spacing w:before="7"/>
                          <w:ind w:left="99" w:right="99"/>
                          <w:rPr>
                            <w:sz w:val="18"/>
                          </w:rPr>
                        </w:pPr>
                        <w:r>
                          <w:rPr>
                            <w:sz w:val="18"/>
                          </w:rPr>
                          <w:t>0.5511</w:t>
                        </w:r>
                      </w:p>
                    </w:tc>
                    <w:tc>
                      <w:tcPr>
                        <w:tcW w:w="733" w:type="dxa"/>
                        <w:tcBorders>
                          <w:top w:val="nil"/>
                          <w:left w:val="nil"/>
                          <w:bottom w:val="nil"/>
                          <w:right w:val="nil"/>
                        </w:tcBorders>
                      </w:tcPr>
                      <w:p>
                        <w:pPr>
                          <w:pStyle w:val="TableParagraph"/>
                          <w:spacing w:before="7"/>
                          <w:ind w:left="99" w:right="98"/>
                          <w:rPr>
                            <w:sz w:val="18"/>
                          </w:rPr>
                        </w:pPr>
                        <w:r>
                          <w:rPr>
                            <w:sz w:val="18"/>
                          </w:rPr>
                          <w:t>0.7985</w:t>
                        </w:r>
                      </w:p>
                    </w:tc>
                  </w:tr>
                  <w:tr>
                    <w:trPr>
                      <w:trHeight w:val="253" w:hRule="exact"/>
                    </w:trPr>
                    <w:tc>
                      <w:tcPr>
                        <w:tcW w:w="1796" w:type="dxa"/>
                        <w:tcBorders>
                          <w:top w:val="nil"/>
                          <w:left w:val="nil"/>
                          <w:right w:val="nil"/>
                        </w:tcBorders>
                      </w:tcPr>
                      <w:p>
                        <w:pPr>
                          <w:pStyle w:val="TableParagraph"/>
                          <w:spacing w:before="7"/>
                          <w:ind w:left="124"/>
                          <w:jc w:val="left"/>
                          <w:rPr>
                            <w:sz w:val="18"/>
                          </w:rPr>
                        </w:pPr>
                        <w:r>
                          <w:rPr>
                            <w:sz w:val="18"/>
                          </w:rPr>
                          <w:t>Lactosa</w:t>
                        </w:r>
                      </w:p>
                    </w:tc>
                    <w:tc>
                      <w:tcPr>
                        <w:tcW w:w="697" w:type="dxa"/>
                        <w:tcBorders>
                          <w:top w:val="nil"/>
                          <w:left w:val="nil"/>
                          <w:right w:val="nil"/>
                        </w:tcBorders>
                      </w:tcPr>
                      <w:p>
                        <w:pPr>
                          <w:pStyle w:val="TableParagraph"/>
                          <w:spacing w:before="7"/>
                          <w:ind w:left="97" w:right="97"/>
                          <w:rPr>
                            <w:sz w:val="18"/>
                          </w:rPr>
                        </w:pPr>
                        <w:r>
                          <w:rPr>
                            <w:sz w:val="18"/>
                          </w:rPr>
                          <w:t>0.679</w:t>
                        </w:r>
                      </w:p>
                    </w:tc>
                    <w:tc>
                      <w:tcPr>
                        <w:tcW w:w="819" w:type="dxa"/>
                        <w:tcBorders>
                          <w:top w:val="nil"/>
                          <w:left w:val="nil"/>
                          <w:right w:val="nil"/>
                        </w:tcBorders>
                      </w:tcPr>
                      <w:p>
                        <w:pPr>
                          <w:pStyle w:val="TableParagraph"/>
                          <w:spacing w:before="7"/>
                          <w:ind w:right="265"/>
                          <w:jc w:val="right"/>
                          <w:rPr>
                            <w:sz w:val="18"/>
                          </w:rPr>
                        </w:pPr>
                        <w:r>
                          <w:rPr>
                            <w:sz w:val="18"/>
                          </w:rPr>
                          <w:t>0.752</w:t>
                        </w:r>
                      </w:p>
                    </w:tc>
                    <w:tc>
                      <w:tcPr>
                        <w:tcW w:w="569" w:type="dxa"/>
                        <w:tcBorders>
                          <w:top w:val="nil"/>
                          <w:left w:val="nil"/>
                          <w:right w:val="nil"/>
                        </w:tcBorders>
                      </w:tcPr>
                      <w:p>
                        <w:pPr>
                          <w:pStyle w:val="TableParagraph"/>
                          <w:spacing w:before="7"/>
                          <w:ind w:left="3" w:right="119"/>
                          <w:rPr>
                            <w:sz w:val="18"/>
                          </w:rPr>
                        </w:pPr>
                        <w:r>
                          <w:rPr>
                            <w:sz w:val="18"/>
                          </w:rPr>
                          <w:t>0.835</w:t>
                        </w:r>
                      </w:p>
                    </w:tc>
                    <w:tc>
                      <w:tcPr>
                        <w:tcW w:w="221" w:type="dxa"/>
                        <w:tcBorders>
                          <w:top w:val="nil"/>
                          <w:left w:val="nil"/>
                          <w:right w:val="nil"/>
                        </w:tcBorders>
                      </w:tcPr>
                      <w:p>
                        <w:pPr/>
                      </w:p>
                    </w:tc>
                    <w:tc>
                      <w:tcPr>
                        <w:tcW w:w="696" w:type="dxa"/>
                        <w:tcBorders>
                          <w:top w:val="nil"/>
                          <w:left w:val="nil"/>
                          <w:right w:val="nil"/>
                        </w:tcBorders>
                      </w:tcPr>
                      <w:p>
                        <w:pPr>
                          <w:pStyle w:val="TableParagraph"/>
                          <w:spacing w:before="7"/>
                          <w:ind w:right="142"/>
                          <w:jc w:val="right"/>
                          <w:rPr>
                            <w:sz w:val="18"/>
                          </w:rPr>
                        </w:pPr>
                        <w:r>
                          <w:rPr>
                            <w:sz w:val="18"/>
                          </w:rPr>
                          <w:t>0.641</w:t>
                        </w:r>
                      </w:p>
                    </w:tc>
                    <w:tc>
                      <w:tcPr>
                        <w:tcW w:w="692" w:type="dxa"/>
                        <w:tcBorders>
                          <w:top w:val="nil"/>
                          <w:left w:val="nil"/>
                          <w:right w:val="nil"/>
                        </w:tcBorders>
                      </w:tcPr>
                      <w:p>
                        <w:pPr>
                          <w:pStyle w:val="TableParagraph"/>
                          <w:spacing w:before="7"/>
                          <w:ind w:left="93" w:right="96"/>
                          <w:rPr>
                            <w:sz w:val="18"/>
                          </w:rPr>
                        </w:pPr>
                        <w:r>
                          <w:rPr>
                            <w:sz w:val="18"/>
                          </w:rPr>
                          <w:t>0.717</w:t>
                        </w:r>
                      </w:p>
                    </w:tc>
                    <w:tc>
                      <w:tcPr>
                        <w:tcW w:w="696" w:type="dxa"/>
                        <w:tcBorders>
                          <w:top w:val="nil"/>
                          <w:left w:val="nil"/>
                          <w:right w:val="nil"/>
                        </w:tcBorders>
                      </w:tcPr>
                      <w:p>
                        <w:pPr>
                          <w:pStyle w:val="TableParagraph"/>
                          <w:spacing w:before="7"/>
                          <w:ind w:left="95" w:right="95"/>
                          <w:rPr>
                            <w:sz w:val="18"/>
                          </w:rPr>
                        </w:pPr>
                        <w:r>
                          <w:rPr>
                            <w:sz w:val="18"/>
                          </w:rPr>
                          <w:t>0.761</w:t>
                        </w:r>
                      </w:p>
                    </w:tc>
                    <w:tc>
                      <w:tcPr>
                        <w:tcW w:w="672" w:type="dxa"/>
                        <w:tcBorders>
                          <w:top w:val="nil"/>
                          <w:left w:val="nil"/>
                          <w:right w:val="nil"/>
                        </w:tcBorders>
                      </w:tcPr>
                      <w:p>
                        <w:pPr>
                          <w:pStyle w:val="TableParagraph"/>
                          <w:spacing w:before="7"/>
                          <w:ind w:left="97" w:right="93"/>
                          <w:rPr>
                            <w:sz w:val="18"/>
                          </w:rPr>
                        </w:pPr>
                        <w:r>
                          <w:rPr>
                            <w:sz w:val="18"/>
                          </w:rPr>
                          <w:t>0.025</w:t>
                        </w:r>
                      </w:p>
                    </w:tc>
                    <w:tc>
                      <w:tcPr>
                        <w:tcW w:w="751" w:type="dxa"/>
                        <w:tcBorders>
                          <w:top w:val="nil"/>
                          <w:left w:val="nil"/>
                          <w:right w:val="nil"/>
                        </w:tcBorders>
                      </w:tcPr>
                      <w:p>
                        <w:pPr>
                          <w:pStyle w:val="TableParagraph"/>
                          <w:spacing w:before="7"/>
                          <w:ind w:left="103" w:right="101"/>
                          <w:rPr>
                            <w:sz w:val="18"/>
                          </w:rPr>
                        </w:pPr>
                        <w:r>
                          <w:rPr>
                            <w:sz w:val="18"/>
                          </w:rPr>
                          <w:t>&lt;.0001</w:t>
                        </w:r>
                      </w:p>
                    </w:tc>
                    <w:tc>
                      <w:tcPr>
                        <w:tcW w:w="735" w:type="dxa"/>
                        <w:tcBorders>
                          <w:top w:val="nil"/>
                          <w:left w:val="nil"/>
                          <w:right w:val="nil"/>
                        </w:tcBorders>
                      </w:tcPr>
                      <w:p>
                        <w:pPr>
                          <w:pStyle w:val="TableParagraph"/>
                          <w:spacing w:before="7"/>
                          <w:ind w:left="99" w:right="99"/>
                          <w:rPr>
                            <w:sz w:val="18"/>
                          </w:rPr>
                        </w:pPr>
                        <w:r>
                          <w:rPr>
                            <w:sz w:val="18"/>
                          </w:rPr>
                          <w:t>0.0201</w:t>
                        </w:r>
                      </w:p>
                    </w:tc>
                    <w:tc>
                      <w:tcPr>
                        <w:tcW w:w="733" w:type="dxa"/>
                        <w:tcBorders>
                          <w:top w:val="nil"/>
                          <w:left w:val="nil"/>
                          <w:right w:val="nil"/>
                        </w:tcBorders>
                      </w:tcPr>
                      <w:p>
                        <w:pPr>
                          <w:pStyle w:val="TableParagraph"/>
                          <w:spacing w:before="7"/>
                          <w:ind w:left="99" w:right="98"/>
                          <w:rPr>
                            <w:sz w:val="18"/>
                          </w:rPr>
                        </w:pPr>
                        <w:r>
                          <w:rPr>
                            <w:sz w:val="18"/>
                          </w:rPr>
                          <w:t>0.6896</w:t>
                        </w:r>
                      </w:p>
                    </w:tc>
                  </w:tr>
                </w:tbl>
                <w:p>
                  <w:pPr>
                    <w:pStyle w:val="BodyText"/>
                  </w:pPr>
                </w:p>
              </w:txbxContent>
            </v:textbox>
            <w10:wrap type="none"/>
          </v:shape>
        </w:pict>
      </w:r>
      <w:r>
        <w:rPr>
          <w:b/>
        </w:rPr>
        <w:t>Cuadro 5</w:t>
      </w:r>
      <w:r>
        <w:rPr/>
        <w:t>. Consumo de materia seca, producción (kg/d) y composición química (g/kg) de  </w:t>
      </w:r>
      <w:r>
        <w:rPr>
          <w:spacing w:val="-3"/>
        </w:rPr>
        <w:t>la </w:t>
      </w:r>
      <w:r>
        <w:rPr/>
        <w:t>leche de vacas Holstein y Pardo Suizo en pastoreo complementadas con distintos niveles de concentrado en el Valle de Toluca,</w:t>
      </w:r>
      <w:r>
        <w:rPr>
          <w:spacing w:val="-9"/>
        </w:rPr>
        <w:t> </w:t>
      </w:r>
      <w:r>
        <w:rPr/>
        <w:t>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3"/>
        </w:rPr>
      </w:pPr>
    </w:p>
    <w:p>
      <w:pPr>
        <w:spacing w:before="0"/>
        <w:ind w:left="512" w:right="0" w:firstLine="0"/>
        <w:jc w:val="both"/>
        <w:rPr>
          <w:sz w:val="20"/>
        </w:rPr>
      </w:pPr>
      <w:r>
        <w:rPr>
          <w:position w:val="9"/>
          <w:sz w:val="13"/>
        </w:rPr>
        <w:t>abcde  </w:t>
      </w:r>
      <w:r>
        <w:rPr>
          <w:sz w:val="20"/>
        </w:rPr>
        <w:t>Medias con distinta literal en la misma hilera son diferentes (P&lt;0.05).</w:t>
      </w:r>
    </w:p>
    <w:p>
      <w:pPr>
        <w:spacing w:line="252" w:lineRule="auto" w:before="9"/>
        <w:ind w:left="512" w:right="104" w:firstLine="33"/>
        <w:jc w:val="both"/>
        <w:rPr>
          <w:sz w:val="20"/>
        </w:rPr>
      </w:pPr>
      <w:r>
        <w:rPr>
          <w:position w:val="9"/>
          <w:sz w:val="13"/>
        </w:rPr>
        <w:t>†</w:t>
      </w:r>
      <w:r>
        <w:rPr>
          <w:sz w:val="20"/>
        </w:rPr>
        <w:t>EEM = Error estándar de la media. </w:t>
      </w:r>
      <w:r>
        <w:rPr>
          <w:position w:val="9"/>
          <w:sz w:val="13"/>
        </w:rPr>
        <w:t>†† </w:t>
      </w:r>
      <w:r>
        <w:rPr>
          <w:sz w:val="20"/>
        </w:rPr>
        <w:t>Significancia de los efectos: genotipo (G), nivel de concentrado (C) y  la interacción genotipo por concentrado (G*C). </w:t>
      </w:r>
      <w:r>
        <w:rPr>
          <w:position w:val="9"/>
          <w:sz w:val="13"/>
        </w:rPr>
        <w:t>¶</w:t>
      </w:r>
      <w:r>
        <w:rPr>
          <w:sz w:val="20"/>
        </w:rPr>
        <w:t>Considera la suma del consumo de concentrado y ensilado de maíz suministrados en el corral. </w:t>
      </w:r>
      <w:r>
        <w:rPr>
          <w:position w:val="9"/>
          <w:sz w:val="13"/>
        </w:rPr>
        <w:t>¶¶</w:t>
      </w:r>
      <w:r>
        <w:rPr>
          <w:sz w:val="20"/>
        </w:rPr>
        <w:t>Porcentaje de consumo de materia seca en relación al peso vivo</w:t>
      </w:r>
      <w:r>
        <w:rPr>
          <w:spacing w:val="-34"/>
          <w:sz w:val="20"/>
        </w:rPr>
        <w:t> </w:t>
      </w:r>
      <w:r>
        <w:rPr>
          <w:sz w:val="20"/>
        </w:rPr>
        <w:t>metabólico.</w:t>
      </w:r>
    </w:p>
    <w:p>
      <w:pPr>
        <w:spacing w:after="0" w:line="252" w:lineRule="auto"/>
        <w:jc w:val="both"/>
        <w:rPr>
          <w:sz w:val="20"/>
        </w:rPr>
        <w:sectPr>
          <w:pgSz w:w="12240" w:h="15840"/>
          <w:pgMar w:header="1150" w:footer="1382" w:top="1420" w:bottom="1580" w:left="1360" w:right="1420"/>
        </w:sectPr>
      </w:pPr>
    </w:p>
    <w:p>
      <w:pPr>
        <w:pStyle w:val="BodyText"/>
        <w:spacing w:before="2"/>
        <w:rPr>
          <w:sz w:val="28"/>
        </w:rPr>
      </w:pPr>
    </w:p>
    <w:p>
      <w:pPr>
        <w:pStyle w:val="BodyText"/>
        <w:spacing w:line="360" w:lineRule="auto" w:before="56"/>
        <w:ind w:left="512" w:right="100"/>
        <w:jc w:val="both"/>
      </w:pPr>
      <w:r>
        <w:rPr/>
        <w:t>El consumo diario de materia seca total (23.41</w:t>
      </w:r>
      <w:r>
        <w:rPr>
          <w:rFonts w:ascii="Symbol" w:hAnsi="Symbol"/>
        </w:rPr>
        <w:t></w:t>
      </w:r>
      <w:r>
        <w:rPr/>
        <w:t>5.27 kg) y el consumo expresado </w:t>
      </w:r>
      <w:r>
        <w:rPr>
          <w:spacing w:val="-3"/>
        </w:rPr>
        <w:t>como </w:t>
      </w:r>
      <w:r>
        <w:rPr/>
        <w:t>porcentaje del peso </w:t>
      </w:r>
      <w:r>
        <w:rPr>
          <w:spacing w:val="-3"/>
        </w:rPr>
        <w:t>vivo </w:t>
      </w:r>
      <w:r>
        <w:rPr/>
        <w:t>(4.47</w:t>
      </w:r>
      <w:r>
        <w:rPr>
          <w:rFonts w:ascii="Symbol" w:hAnsi="Symbol"/>
        </w:rPr>
        <w:t></w:t>
      </w:r>
      <w:r>
        <w:rPr/>
        <w:t>0.86) </w:t>
      </w:r>
      <w:r>
        <w:rPr>
          <w:spacing w:val="-3"/>
        </w:rPr>
        <w:t>no </w:t>
      </w:r>
      <w:r>
        <w:rPr/>
        <w:t>difirieron (</w:t>
      </w:r>
      <w:r>
        <w:rPr>
          <w:i/>
        </w:rPr>
        <w:t>P</w:t>
      </w:r>
      <w:r>
        <w:rPr/>
        <w:t>&gt;0.05) por efecto de </w:t>
      </w:r>
      <w:r>
        <w:rPr>
          <w:spacing w:val="-5"/>
        </w:rPr>
        <w:t>la </w:t>
      </w:r>
      <w:r>
        <w:rPr/>
        <w:t>interacción genotipo con nivel de concentrado. De acuerdo con los requerimientos nutricionales establecidos por el NRC (2001), el ganado lechero, al final </w:t>
      </w:r>
      <w:r>
        <w:rPr>
          <w:spacing w:val="2"/>
        </w:rPr>
        <w:t>del </w:t>
      </w:r>
      <w:r>
        <w:rPr/>
        <w:t>primer tercio de lactación, con producción de 25.0 kg de leche por día, requiere consumir 19.6 kg de MS, valores de consumo por </w:t>
      </w:r>
      <w:r>
        <w:rPr>
          <w:spacing w:val="-3"/>
        </w:rPr>
        <w:t>debajo </w:t>
      </w:r>
      <w:r>
        <w:rPr/>
        <w:t>de los observados en el presente estudio, donde </w:t>
      </w:r>
      <w:r>
        <w:rPr>
          <w:spacing w:val="-3"/>
        </w:rPr>
        <w:t>las </w:t>
      </w:r>
      <w:r>
        <w:rPr/>
        <w:t>vacas utilizadas </w:t>
      </w:r>
      <w:r>
        <w:rPr>
          <w:spacing w:val="-3"/>
        </w:rPr>
        <w:t>no </w:t>
      </w:r>
      <w:r>
        <w:rPr/>
        <w:t>alcanzaron niveles de producción de leche por arriba de 20 kg/d, teniendo un promedio de 99 días en lactación. </w:t>
      </w:r>
      <w:r>
        <w:rPr>
          <w:spacing w:val="2"/>
        </w:rPr>
        <w:t>Si </w:t>
      </w:r>
      <w:r>
        <w:rPr/>
        <w:t>bien, es posible que el consumo de forraje haya sobrestimando </w:t>
      </w:r>
      <w:r>
        <w:rPr>
          <w:spacing w:val="-5"/>
        </w:rPr>
        <w:t>la </w:t>
      </w:r>
      <w:r>
        <w:rPr/>
        <w:t>ingestión diaria de MS, otros resultados </w:t>
      </w:r>
      <w:r>
        <w:rPr>
          <w:spacing w:val="-3"/>
        </w:rPr>
        <w:t>como </w:t>
      </w:r>
      <w:r>
        <w:rPr/>
        <w:t>los de Burke </w:t>
      </w:r>
      <w:r>
        <w:rPr>
          <w:i/>
        </w:rPr>
        <w:t>et al</w:t>
      </w:r>
      <w:r>
        <w:rPr/>
        <w:t>. (2008) reportaron una producción láctea de 24.7, 23.8 y 23.7 kg/d, respectivamente con consumos de MS total de 17.0, 17.0 y 17.4 kg al complementar 4.0 kg de </w:t>
      </w:r>
      <w:r>
        <w:rPr>
          <w:spacing w:val="-4"/>
        </w:rPr>
        <w:t>MS </w:t>
      </w:r>
      <w:r>
        <w:rPr/>
        <w:t>de ensilado de </w:t>
      </w:r>
      <w:r>
        <w:rPr>
          <w:spacing w:val="-3"/>
        </w:rPr>
        <w:t>maíz, </w:t>
      </w:r>
      <w:r>
        <w:rPr/>
        <w:t>dos concentrados, uno alto y otro </w:t>
      </w:r>
      <w:r>
        <w:rPr>
          <w:spacing w:val="-3"/>
        </w:rPr>
        <w:t>bajo </w:t>
      </w:r>
      <w:r>
        <w:rPr/>
        <w:t>en proteína, respectivamente. </w:t>
      </w:r>
      <w:r>
        <w:rPr>
          <w:spacing w:val="-3"/>
        </w:rPr>
        <w:t>Así, </w:t>
      </w:r>
      <w:r>
        <w:rPr/>
        <w:t>deben considerarse a otros factores, más allá de </w:t>
      </w:r>
      <w:r>
        <w:rPr>
          <w:spacing w:val="-3"/>
        </w:rPr>
        <w:t>la </w:t>
      </w:r>
      <w:r>
        <w:rPr/>
        <w:t>producción de leche, que pueden influir en </w:t>
      </w:r>
      <w:r>
        <w:rPr>
          <w:spacing w:val="-3"/>
        </w:rPr>
        <w:t>la </w:t>
      </w:r>
      <w:r>
        <w:rPr/>
        <w:t>ingestión de alimento </w:t>
      </w:r>
      <w:r>
        <w:rPr>
          <w:spacing w:val="-3"/>
        </w:rPr>
        <w:t>como </w:t>
      </w:r>
      <w:r>
        <w:rPr>
          <w:spacing w:val="-5"/>
        </w:rPr>
        <w:t>la </w:t>
      </w:r>
      <w:r>
        <w:rPr/>
        <w:t>etapa de lactación, </w:t>
      </w:r>
      <w:r>
        <w:rPr>
          <w:spacing w:val="-5"/>
        </w:rPr>
        <w:t>la </w:t>
      </w:r>
      <w:r>
        <w:rPr/>
        <w:t>digestibilidad de </w:t>
      </w:r>
      <w:r>
        <w:rPr>
          <w:spacing w:val="-5"/>
        </w:rPr>
        <w:t>la </w:t>
      </w:r>
      <w:r>
        <w:rPr/>
        <w:t>dieta y el mérito genético del animal. La tasa de sustitución es uno de los factores principales que contribuyen a </w:t>
      </w:r>
      <w:r>
        <w:rPr>
          <w:spacing w:val="-3"/>
        </w:rPr>
        <w:t>la </w:t>
      </w:r>
      <w:r>
        <w:rPr/>
        <w:t>variación de </w:t>
      </w:r>
      <w:r>
        <w:rPr>
          <w:spacing w:val="-5"/>
        </w:rPr>
        <w:t>la </w:t>
      </w:r>
      <w:r>
        <w:rPr/>
        <w:t>respuesta de rendimiento de leche a </w:t>
      </w:r>
      <w:r>
        <w:rPr>
          <w:spacing w:val="-3"/>
        </w:rPr>
        <w:t>la </w:t>
      </w:r>
      <w:r>
        <w:rPr/>
        <w:t>complementación de concentrado (Kellaway y Porta, 1993). Dixon y Stockdale (1999) sugirieron que </w:t>
      </w:r>
      <w:r>
        <w:rPr>
          <w:spacing w:val="-3"/>
        </w:rPr>
        <w:t>la </w:t>
      </w:r>
      <w:r>
        <w:rPr/>
        <w:t>tasa de sustitución es baja cuando el consumo  de energía es </w:t>
      </w:r>
      <w:r>
        <w:rPr>
          <w:spacing w:val="-3"/>
        </w:rPr>
        <w:t>bajo </w:t>
      </w:r>
      <w:r>
        <w:rPr/>
        <w:t>en relación a los requerimientos de energía de </w:t>
      </w:r>
      <w:r>
        <w:rPr>
          <w:spacing w:val="-5"/>
        </w:rPr>
        <w:t>la </w:t>
      </w:r>
      <w:r>
        <w:rPr/>
        <w:t>vaca, esto podría indicar que es </w:t>
      </w:r>
      <w:r>
        <w:rPr>
          <w:spacing w:val="-3"/>
        </w:rPr>
        <w:t>más </w:t>
      </w:r>
      <w:r>
        <w:rPr/>
        <w:t>dominante el efecto de </w:t>
      </w:r>
      <w:r>
        <w:rPr>
          <w:spacing w:val="-5"/>
        </w:rPr>
        <w:t>la </w:t>
      </w:r>
      <w:r>
        <w:rPr/>
        <w:t>complementación de concentrado que el tiempo o momento de pastoreo sobre </w:t>
      </w:r>
      <w:r>
        <w:rPr>
          <w:spacing w:val="-5"/>
        </w:rPr>
        <w:t>la </w:t>
      </w:r>
      <w:r>
        <w:rPr/>
        <w:t>ingestión de forraje en el ganado</w:t>
      </w:r>
      <w:r>
        <w:rPr>
          <w:spacing w:val="-9"/>
        </w:rPr>
        <w:t> </w:t>
      </w:r>
      <w:r>
        <w:rPr/>
        <w:t>lechero.</w:t>
      </w:r>
    </w:p>
    <w:p>
      <w:pPr>
        <w:pStyle w:val="BodyText"/>
        <w:spacing w:line="360" w:lineRule="auto" w:before="210"/>
        <w:ind w:left="512" w:right="104"/>
        <w:jc w:val="both"/>
      </w:pPr>
      <w:r>
        <w:rPr/>
        <w:t>Riquelme y Pulido (2008) evaluaron </w:t>
      </w:r>
      <w:r>
        <w:rPr>
          <w:spacing w:val="-3"/>
        </w:rPr>
        <w:t>la </w:t>
      </w:r>
      <w:r>
        <w:rPr/>
        <w:t>complementación de cuatro niveles de concentrado (0, 3, 6 y 9 kg/vaca/día) en ganado Frisón lechero en pastoreo en </w:t>
      </w:r>
      <w:r>
        <w:rPr>
          <w:spacing w:val="-5"/>
        </w:rPr>
        <w:t>la </w:t>
      </w:r>
      <w:r>
        <w:rPr/>
        <w:t>época primaveral, y concluyeron que utilizando praderas de elevada calidad nutritiva y con gran disponibilidad de forraje (con una asignación de pastoreo de 36 </w:t>
      </w:r>
      <w:r>
        <w:rPr>
          <w:spacing w:val="-3"/>
        </w:rPr>
        <w:t>kg </w:t>
      </w:r>
      <w:r>
        <w:rPr/>
        <w:t>de MS/vaca/día) el consumo de materia seca de </w:t>
      </w:r>
      <w:r>
        <w:rPr>
          <w:spacing w:val="-3"/>
        </w:rPr>
        <w:t>la </w:t>
      </w:r>
      <w:r>
        <w:rPr/>
        <w:t>pradera disminuye (de 17.6 a 7.7 kg MS/d) al aumentar el nivel de concentrado complementado, </w:t>
      </w:r>
      <w:r>
        <w:rPr>
          <w:spacing w:val="-3"/>
        </w:rPr>
        <w:t>sin </w:t>
      </w:r>
      <w:r>
        <w:rPr/>
        <w:t>mostrar incremento en el </w:t>
      </w:r>
      <w:r>
        <w:rPr>
          <w:spacing w:val="-3"/>
        </w:rPr>
        <w:t>consumo  </w:t>
      </w:r>
      <w:r>
        <w:rPr/>
        <w:t>de materia seca total (17.6 a 15.6  kg MS/d). Estos autores, afirmaron que el nivel máximo de concentrado complementado disminuye el tiempo de pastoreo del animal y aumenta el tiempo de rumia; sin embargo, sus resultados </w:t>
      </w:r>
      <w:r>
        <w:rPr>
          <w:spacing w:val="-3"/>
        </w:rPr>
        <w:t>no </w:t>
      </w:r>
      <w:r>
        <w:rPr/>
        <w:t>fueron contrastados con datos de producción y composición de </w:t>
      </w:r>
      <w:r>
        <w:rPr>
          <w:spacing w:val="-5"/>
        </w:rPr>
        <w:t>la</w:t>
      </w:r>
      <w:r>
        <w:rPr>
          <w:spacing w:val="-19"/>
        </w:rPr>
        <w:t> </w:t>
      </w:r>
      <w:r>
        <w:rPr/>
        <w:t>leche.</w:t>
      </w:r>
    </w:p>
    <w:p>
      <w:pPr>
        <w:spacing w:after="0" w:line="360" w:lineRule="auto"/>
        <w:jc w:val="both"/>
        <w:sectPr>
          <w:pgSz w:w="12240" w:h="15840"/>
          <w:pgMar w:header="1150" w:footer="1382" w:top="1420" w:bottom="1580" w:left="1360" w:right="1420"/>
        </w:sectPr>
      </w:pPr>
    </w:p>
    <w:p>
      <w:pPr>
        <w:pStyle w:val="BodyText"/>
        <w:spacing w:before="2"/>
        <w:rPr>
          <w:sz w:val="28"/>
        </w:rPr>
      </w:pPr>
    </w:p>
    <w:p>
      <w:pPr>
        <w:pStyle w:val="BodyText"/>
        <w:spacing w:line="360" w:lineRule="auto" w:before="56"/>
        <w:ind w:left="512" w:right="100"/>
        <w:jc w:val="both"/>
      </w:pPr>
      <w:r>
        <w:rPr/>
        <w:t>La producción de leche (16.73</w:t>
      </w:r>
      <w:r>
        <w:rPr>
          <w:rFonts w:ascii="Symbol" w:hAnsi="Symbol"/>
        </w:rPr>
        <w:t></w:t>
      </w:r>
      <w:r>
        <w:rPr/>
        <w:t>3.01 kg/d), así como el contenido de grasa (37.35</w:t>
      </w:r>
      <w:r>
        <w:rPr>
          <w:rFonts w:ascii="Symbol" w:hAnsi="Symbol"/>
        </w:rPr>
        <w:t></w:t>
      </w:r>
      <w:r>
        <w:rPr/>
        <w:t>9.09 g/kg), proteína (31.28</w:t>
      </w:r>
      <w:r>
        <w:rPr>
          <w:rFonts w:ascii="Symbol" w:hAnsi="Symbol"/>
        </w:rPr>
        <w:t></w:t>
      </w:r>
      <w:r>
        <w:rPr/>
        <w:t>4.69 g/kg) y lactosa (43.97</w:t>
      </w:r>
      <w:r>
        <w:rPr>
          <w:rFonts w:ascii="Symbol" w:hAnsi="Symbol"/>
        </w:rPr>
        <w:t></w:t>
      </w:r>
      <w:r>
        <w:rPr/>
        <w:t>3.86 g/kg) en leche no fueron alterados (</w:t>
      </w:r>
      <w:r>
        <w:rPr>
          <w:i/>
        </w:rPr>
        <w:t>P&gt;</w:t>
      </w:r>
      <w:r>
        <w:rPr/>
        <w:t>0.05) por la interacción de genotipo con nivel de concentrado (Cuadro 5). Otras investigaciones tampoco han reportado diferencias en la composición de la leche cuando el pastoreo ha sido complementado (Velik </w:t>
      </w:r>
      <w:r>
        <w:rPr>
          <w:i/>
        </w:rPr>
        <w:t>et al.</w:t>
      </w:r>
      <w:r>
        <w:rPr/>
        <w:t>, 2007; Loor </w:t>
      </w:r>
      <w:r>
        <w:rPr>
          <w:i/>
        </w:rPr>
        <w:t>et al</w:t>
      </w:r>
      <w:r>
        <w:rPr/>
        <w:t>., 2003; Bargo </w:t>
      </w:r>
      <w:r>
        <w:rPr>
          <w:i/>
        </w:rPr>
        <w:t>et al</w:t>
      </w:r>
      <w:r>
        <w:rPr/>
        <w:t>., 2002). Morales-Almaráz </w:t>
      </w:r>
      <w:r>
        <w:rPr>
          <w:i/>
        </w:rPr>
        <w:t>et al</w:t>
      </w:r>
      <w:r>
        <w:rPr/>
        <w:t>. (2010) reportaron valores similares a los de este estudio con respecto al contenido de grasa y proteína en leche (36.2 y 30.6 g/kg, respectivamente) de vacas con doce horas de pastoreo al día.</w:t>
      </w:r>
    </w:p>
    <w:p>
      <w:pPr>
        <w:pStyle w:val="BodyText"/>
        <w:spacing w:line="360" w:lineRule="auto" w:before="210"/>
        <w:ind w:left="512" w:right="100"/>
        <w:jc w:val="both"/>
      </w:pPr>
      <w:r>
        <w:rPr/>
        <w:t>En el presente estudio, los resultados de producción de leche son inferiores a lo reportado por otros autores (Kennedy </w:t>
      </w:r>
      <w:r>
        <w:rPr>
          <w:i/>
        </w:rPr>
        <w:t>et al</w:t>
      </w:r>
      <w:r>
        <w:rPr/>
        <w:t>., 2009; Burke </w:t>
      </w:r>
      <w:r>
        <w:rPr>
          <w:i/>
        </w:rPr>
        <w:t>et al</w:t>
      </w:r>
      <w:r>
        <w:rPr/>
        <w:t>., 2008; Loor </w:t>
      </w:r>
      <w:r>
        <w:rPr>
          <w:i/>
        </w:rPr>
        <w:t>et al</w:t>
      </w:r>
      <w:r>
        <w:rPr/>
        <w:t>., 2003). Kennedy </w:t>
      </w:r>
      <w:r>
        <w:rPr>
          <w:i/>
        </w:rPr>
        <w:t>et </w:t>
      </w:r>
      <w:r>
        <w:rPr>
          <w:i/>
        </w:rPr>
        <w:t>al</w:t>
      </w:r>
      <w:r>
        <w:rPr/>
        <w:t>. (2009) no reportaron diferencias en la producción de leche (21.7 kg/d), sin embargo, asignando nueve horas de pastoreo, la respuesta en producción de leche fue cuantitativamente mayor comparado con seis o nueve horas de pastoreo (22.4 </w:t>
      </w:r>
      <w:r>
        <w:rPr>
          <w:i/>
        </w:rPr>
        <w:t>vs </w:t>
      </w:r>
      <w:r>
        <w:rPr/>
        <w:t>20.9 y</w:t>
      </w:r>
    </w:p>
    <w:p>
      <w:pPr>
        <w:pStyle w:val="BodyText"/>
        <w:spacing w:line="360" w:lineRule="auto" w:before="4"/>
        <w:ind w:left="512" w:right="101"/>
        <w:jc w:val="both"/>
      </w:pPr>
      <w:r>
        <w:rPr/>
        <w:t>21.5 kg leche/d, respectivamente) dividido en dos sesiones de pastoreo después de cada ordeño (3.0 y 4.5h). Alimentando a vacas Holstein con dietas TMR complementadas con el pastoreo por la mañana (03:00 a 11:00h) o tarde (15:00 a 22:00h), Loor </w:t>
      </w:r>
      <w:r>
        <w:rPr>
          <w:i/>
        </w:rPr>
        <w:t>et al</w:t>
      </w:r>
      <w:r>
        <w:rPr/>
        <w:t>. (2003) observaron diferencias en el consumo de TMR, siendo mayor en las vacas con pastoreo matutino (19.9 </w:t>
      </w:r>
      <w:r>
        <w:rPr>
          <w:i/>
        </w:rPr>
        <w:t>vs </w:t>
      </w:r>
      <w:r>
        <w:rPr/>
        <w:t>16.4 kg MS/d); sin embargo, no hubo efecto sobre el rendimiento  de leche (31.2 </w:t>
      </w:r>
      <w:r>
        <w:rPr>
          <w:i/>
        </w:rPr>
        <w:t>vs </w:t>
      </w:r>
      <w:r>
        <w:rPr/>
        <w:t>30.0 kg/d, para el pastoreo de mañana y tarde), ni en la composición química de la leche.</w:t>
      </w:r>
    </w:p>
    <w:p>
      <w:pPr>
        <w:pStyle w:val="BodyText"/>
        <w:spacing w:line="360" w:lineRule="auto" w:before="210"/>
        <w:ind w:left="512" w:right="102"/>
        <w:jc w:val="both"/>
      </w:pPr>
      <w:r>
        <w:rPr/>
        <w:t>La evaluación del efecto del genotipo sobre la producción de leche indicó una mayor (</w:t>
      </w:r>
      <w:r>
        <w:rPr>
          <w:i/>
        </w:rPr>
        <w:t>P&lt;</w:t>
      </w:r>
      <w:r>
        <w:rPr/>
        <w:t>0.05) producción láctea de las vacas Holstein, con un 7.6% más en comparación a las vacas Pardo Suizo (17.19 </w:t>
      </w:r>
      <w:r>
        <w:rPr>
          <w:i/>
        </w:rPr>
        <w:t>vs </w:t>
      </w:r>
      <w:r>
        <w:rPr/>
        <w:t>15.98 kg/d). La composición de la leche no mostró diferencias (</w:t>
      </w:r>
      <w:r>
        <w:rPr>
          <w:i/>
        </w:rPr>
        <w:t>P˃</w:t>
      </w:r>
      <w:r>
        <w:rPr/>
        <w:t>0.05) entre genotipos, aunque se observó una tendencia (</w:t>
      </w:r>
      <w:r>
        <w:rPr>
          <w:i/>
        </w:rPr>
        <w:t>P˂</w:t>
      </w:r>
      <w:r>
        <w:rPr/>
        <w:t>0.11) en el contenido de grasa, con valores más altos en el ganado Pardo Suizo (38.55 </w:t>
      </w:r>
      <w:r>
        <w:rPr>
          <w:i/>
        </w:rPr>
        <w:t>vs </w:t>
      </w:r>
      <w:r>
        <w:rPr/>
        <w:t>36.63 g/kg). Carroll </w:t>
      </w:r>
      <w:r>
        <w:rPr>
          <w:i/>
        </w:rPr>
        <w:t>et al. </w:t>
      </w:r>
      <w:r>
        <w:rPr/>
        <w:t>(2006) evaluaron el efecto del genotipo sobre la composición de la leche en respuesta a incrementar los niveles de grasa en la dieta, los autores reportaron que el genotipo Holstein tuvo mayor producción de leche que el Pardo Suizo (31.95 </w:t>
      </w:r>
      <w:r>
        <w:rPr>
          <w:i/>
        </w:rPr>
        <w:t>vs </w:t>
      </w:r>
      <w:r>
        <w:rPr/>
        <w:t>25.75 kg/d); en cuanto a la</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98"/>
        <w:jc w:val="both"/>
      </w:pPr>
      <w:r>
        <w:rPr/>
        <w:t>composición de la leche, reportaron valores de 34.8 y 49.2 g/kg de proteína y lactosa, respectivamente para el genotipo Holstein, y 35.8 y 50.0 g/kg para Pardo Suizo con efectos significativos (</w:t>
      </w:r>
      <w:r>
        <w:rPr>
          <w:i/>
        </w:rPr>
        <w:t>P&lt;</w:t>
      </w:r>
      <w:r>
        <w:rPr/>
        <w:t>0.05). No se observaron diferencias (</w:t>
      </w:r>
      <w:r>
        <w:rPr>
          <w:i/>
        </w:rPr>
        <w:t>P˃</w:t>
      </w:r>
      <w:r>
        <w:rPr/>
        <w:t>0.05) entre estos dos genotipos para la composición de la grasa (39.9 g/kg para Holstein y 40.3 g/kg para Pardo Suizo) (Carroll </w:t>
      </w:r>
      <w:r>
        <w:rPr>
          <w:i/>
        </w:rPr>
        <w:t>et al., </w:t>
      </w:r>
      <w:r>
        <w:rPr/>
        <w:t>2006). En nuestra investigación, aun cuando los valores de producción son inferiores a los reportados por Carroll </w:t>
      </w:r>
      <w:r>
        <w:rPr>
          <w:i/>
        </w:rPr>
        <w:t>et al</w:t>
      </w:r>
      <w:r>
        <w:rPr/>
        <w:t>. (2006), el patrón productivo de ambas razas fue similar.</w:t>
      </w:r>
    </w:p>
    <w:p>
      <w:pPr>
        <w:pStyle w:val="BodyText"/>
        <w:spacing w:line="360" w:lineRule="auto" w:before="210"/>
        <w:ind w:left="512" w:right="101"/>
        <w:jc w:val="both"/>
      </w:pPr>
      <w:r>
        <w:rPr/>
        <w:t>Respecto al nivel de concentrado, se observó un aumento (</w:t>
      </w:r>
      <w:r>
        <w:rPr>
          <w:i/>
        </w:rPr>
        <w:t>P&lt;</w:t>
      </w:r>
      <w:r>
        <w:rPr/>
        <w:t>0.05) de </w:t>
      </w:r>
      <w:r>
        <w:rPr>
          <w:spacing w:val="-5"/>
        </w:rPr>
        <w:t>la </w:t>
      </w:r>
      <w:r>
        <w:rPr/>
        <w:t>producción de leche conforme se incrementó </w:t>
      </w:r>
      <w:r>
        <w:rPr>
          <w:spacing w:val="-5"/>
        </w:rPr>
        <w:t>la </w:t>
      </w:r>
      <w:r>
        <w:rPr/>
        <w:t>cantidad de concentrado. Con el nivel de concentrado 8c  se obtuvo 19.5% </w:t>
      </w:r>
      <w:r>
        <w:rPr>
          <w:spacing w:val="-4"/>
        </w:rPr>
        <w:t>más </w:t>
      </w:r>
      <w:r>
        <w:rPr/>
        <w:t>producción de leche que con </w:t>
      </w:r>
      <w:r>
        <w:rPr>
          <w:spacing w:val="-3"/>
        </w:rPr>
        <w:t>la </w:t>
      </w:r>
      <w:r>
        <w:rPr/>
        <w:t>estrategia 3c (18.21 </w:t>
      </w:r>
      <w:r>
        <w:rPr>
          <w:i/>
        </w:rPr>
        <w:t>vs </w:t>
      </w:r>
      <w:r>
        <w:rPr/>
        <w:t>15.23 kg leche/d). El nivel de concentrado complementado </w:t>
      </w:r>
      <w:r>
        <w:rPr>
          <w:spacing w:val="-3"/>
        </w:rPr>
        <w:t>no </w:t>
      </w:r>
      <w:r>
        <w:rPr/>
        <w:t>afectó </w:t>
      </w:r>
      <w:r>
        <w:rPr>
          <w:spacing w:val="-5"/>
        </w:rPr>
        <w:t>la </w:t>
      </w:r>
      <w:r>
        <w:rPr/>
        <w:t>composición química de </w:t>
      </w:r>
      <w:r>
        <w:rPr>
          <w:spacing w:val="-5"/>
        </w:rPr>
        <w:t>la </w:t>
      </w:r>
      <w:r>
        <w:rPr/>
        <w:t>leche</w:t>
      </w:r>
      <w:r>
        <w:rPr>
          <w:spacing w:val="-4"/>
        </w:rPr>
        <w:t> </w:t>
      </w:r>
      <w:r>
        <w:rPr/>
        <w:t>(</w:t>
      </w:r>
      <w:r>
        <w:rPr>
          <w:i/>
        </w:rPr>
        <w:t>P˃</w:t>
      </w:r>
      <w:r>
        <w:rPr/>
        <w:t>0.05).</w:t>
      </w:r>
    </w:p>
    <w:p>
      <w:pPr>
        <w:pStyle w:val="BodyText"/>
        <w:spacing w:line="360" w:lineRule="auto" w:before="210"/>
        <w:ind w:left="512" w:right="101"/>
        <w:jc w:val="both"/>
      </w:pPr>
      <w:r>
        <w:rPr/>
        <w:t>El rendimiento de los componentes de la leche no fue afectado (</w:t>
      </w:r>
      <w:r>
        <w:rPr>
          <w:i/>
        </w:rPr>
        <w:t>P˃</w:t>
      </w:r>
      <w:r>
        <w:rPr/>
        <w:t>0.05) por la interacción del genotipo con el nivel de concentrado, pero si por los efectos principales (Cuadro 5). Las vacas Holstein tuvieron mayores (</w:t>
      </w:r>
      <w:r>
        <w:rPr>
          <w:i/>
        </w:rPr>
        <w:t>P&lt;</w:t>
      </w:r>
      <w:r>
        <w:rPr/>
        <w:t>0.05) rendimientos de proteína (0.536 </w:t>
      </w:r>
      <w:r>
        <w:rPr>
          <w:i/>
        </w:rPr>
        <w:t>vs </w:t>
      </w:r>
      <w:r>
        <w:rPr/>
        <w:t>0.500 kg/d) y lactosa (0.755 </w:t>
      </w:r>
      <w:r>
        <w:rPr>
          <w:i/>
        </w:rPr>
        <w:t>vs </w:t>
      </w:r>
      <w:r>
        <w:rPr/>
        <w:t>0.706 kg/d), sin observar diferencias (</w:t>
      </w:r>
      <w:r>
        <w:rPr>
          <w:i/>
        </w:rPr>
        <w:t>P˃</w:t>
      </w:r>
      <w:r>
        <w:rPr/>
        <w:t>0.05) en el rendimiento de grasa para ambos genotipos. Carroll </w:t>
      </w:r>
      <w:r>
        <w:rPr>
          <w:i/>
        </w:rPr>
        <w:t>et al. </w:t>
      </w:r>
      <w:r>
        <w:rPr/>
        <w:t>(2006) reportaron mayores rendimientos en vacas Holstein comparadas con Pardo Suizo en cuanto a proteína (1.11 </w:t>
      </w:r>
      <w:r>
        <w:rPr>
          <w:i/>
        </w:rPr>
        <w:t>vs </w:t>
      </w:r>
      <w:r>
        <w:rPr/>
        <w:t>0.92 kg/d), grasa (1.28 </w:t>
      </w:r>
      <w:r>
        <w:rPr>
          <w:i/>
        </w:rPr>
        <w:t>vs </w:t>
      </w:r>
      <w:r>
        <w:rPr/>
        <w:t>1.04 kg/d) y lactosa (1.57 </w:t>
      </w:r>
      <w:r>
        <w:rPr>
          <w:i/>
        </w:rPr>
        <w:t>vs </w:t>
      </w:r>
      <w:r>
        <w:rPr/>
        <w:t>1.29 kg/d) alimentadas con dietas TMR con una relación 49:51 forraje:concentrado. Los rendimientos presentados en la presente investigación, aunque inferiores a los reportados por Carroll </w:t>
      </w:r>
      <w:r>
        <w:rPr>
          <w:i/>
        </w:rPr>
        <w:t>et al</w:t>
      </w:r>
      <w:r>
        <w:rPr/>
        <w:t>. (2006), presentan la misma tendencia hacia el genotipo Holstein. Por efecto del nivel de concentrado, el rendimiento de grasa fue igual (</w:t>
      </w:r>
      <w:r>
        <w:rPr>
          <w:i/>
        </w:rPr>
        <w:t>P&lt;</w:t>
      </w:r>
      <w:r>
        <w:rPr/>
        <w:t>0.05) para 3c y 5c, pero superior en 8c (0.570, 0.614 y 0.694 kg/d, respectivamente); el mismo patrón presentaron los rendimientos de proteína y lactosa (Cuadro 5). Estas diferencias son explicadas por el mayor aporte de energía en la dieta al aumentar el nivel de concentrado complementado, lo cual se reflejó en el incremento de la producción de leche dado que los componentes de la leche no fueron afectados. Cabe mencionar,  que  aunque  no  significativo,  el  efecto  de  complementar  distinto  nivel   de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99"/>
        <w:jc w:val="both"/>
      </w:pPr>
      <w:r>
        <w:rPr/>
        <w:t>concentrado, </w:t>
      </w:r>
      <w:r>
        <w:rPr>
          <w:spacing w:val="-5"/>
        </w:rPr>
        <w:t>la </w:t>
      </w:r>
      <w:r>
        <w:rPr/>
        <w:t>influencia de </w:t>
      </w:r>
      <w:r>
        <w:rPr>
          <w:spacing w:val="-5"/>
        </w:rPr>
        <w:t>la </w:t>
      </w:r>
      <w:r>
        <w:rPr/>
        <w:t>alimentación tuvo </w:t>
      </w:r>
      <w:r>
        <w:rPr>
          <w:spacing w:val="-3"/>
        </w:rPr>
        <w:t>mayor </w:t>
      </w:r>
      <w:r>
        <w:rPr/>
        <w:t>efecto en el ganado Holstein que en el Pardo Suizo, observándose una disminución de </w:t>
      </w:r>
      <w:r>
        <w:rPr>
          <w:spacing w:val="-3"/>
        </w:rPr>
        <w:t>la </w:t>
      </w:r>
      <w:r>
        <w:rPr/>
        <w:t>producción de leche al reducir </w:t>
      </w:r>
      <w:r>
        <w:rPr>
          <w:spacing w:val="4"/>
        </w:rPr>
        <w:t>el </w:t>
      </w:r>
      <w:r>
        <w:rPr/>
        <w:t>aporte de concentrado en </w:t>
      </w:r>
      <w:r>
        <w:rPr>
          <w:spacing w:val="-5"/>
        </w:rPr>
        <w:t>la </w:t>
      </w:r>
      <w:r>
        <w:rPr/>
        <w:t>dieta. Burke </w:t>
      </w:r>
      <w:r>
        <w:rPr>
          <w:i/>
        </w:rPr>
        <w:t>et al</w:t>
      </w:r>
      <w:r>
        <w:rPr/>
        <w:t>. (2008) evaluaron diferentes estrategias de alimentación en vacas lecheras en pastoreo con baja asignación de forraje (15.0 kg de MS/vaca/d) sin y con complemento de 4.0 kg de MS de concentrado o de ensilado de maíz; observaron mayor producción láctea cuando </w:t>
      </w:r>
      <w:r>
        <w:rPr>
          <w:spacing w:val="-3"/>
        </w:rPr>
        <w:t>las </w:t>
      </w:r>
      <w:r>
        <w:rPr/>
        <w:t>vacas fueron complementadas sin encontrar diferencias significativas entre los tipos de complementos. En </w:t>
      </w:r>
      <w:r>
        <w:rPr>
          <w:spacing w:val="-4"/>
        </w:rPr>
        <w:t>las </w:t>
      </w:r>
      <w:r>
        <w:rPr/>
        <w:t>condiciones del presente trabajo, el complemento </w:t>
      </w:r>
      <w:r>
        <w:rPr>
          <w:spacing w:val="-3"/>
        </w:rPr>
        <w:t>fue </w:t>
      </w:r>
      <w:r>
        <w:rPr/>
        <w:t>común para todos los animales, con 8.0 kg de concentrado, a vacas en pastoreo, se incrementó en 3.0 y 1.5 kg de leche/d, comparado con </w:t>
      </w:r>
      <w:r>
        <w:rPr>
          <w:spacing w:val="-5"/>
        </w:rPr>
        <w:t>la </w:t>
      </w:r>
      <w:r>
        <w:rPr/>
        <w:t>complementación de 3.0 y 5.0 kg de concentrado/vaca/d, respectivamente. Estas diferencias </w:t>
      </w:r>
      <w:r>
        <w:rPr>
          <w:spacing w:val="-3"/>
        </w:rPr>
        <w:t>no </w:t>
      </w:r>
      <w:r>
        <w:rPr/>
        <w:t>fueron asociadas estadísticamente al genotipo</w:t>
      </w:r>
      <w:r>
        <w:rPr>
          <w:spacing w:val="-23"/>
        </w:rPr>
        <w:t> </w:t>
      </w:r>
      <w:r>
        <w:rPr/>
        <w:t>animal.</w:t>
      </w:r>
    </w:p>
    <w:p>
      <w:pPr>
        <w:pStyle w:val="Heading1"/>
        <w:numPr>
          <w:ilvl w:val="0"/>
          <w:numId w:val="13"/>
        </w:numPr>
        <w:tabs>
          <w:tab w:pos="1233" w:val="left" w:leader="none"/>
        </w:tabs>
        <w:spacing w:line="240" w:lineRule="auto" w:before="215" w:after="0"/>
        <w:ind w:left="1233" w:right="0" w:hanging="360"/>
        <w:jc w:val="left"/>
      </w:pPr>
      <w:r>
        <w:rPr/>
        <w:t>Perfil de ácidos grasos de </w:t>
      </w:r>
      <w:r>
        <w:rPr>
          <w:spacing w:val="-3"/>
        </w:rPr>
        <w:t>la</w:t>
      </w:r>
      <w:r>
        <w:rPr>
          <w:spacing w:val="-11"/>
        </w:rPr>
        <w:t> </w:t>
      </w:r>
      <w:r>
        <w:rPr/>
        <w:t>leche</w:t>
      </w:r>
    </w:p>
    <w:p>
      <w:pPr>
        <w:pStyle w:val="BodyText"/>
        <w:spacing w:before="7"/>
        <w:rPr>
          <w:b/>
          <w:sz w:val="35"/>
        </w:rPr>
      </w:pPr>
    </w:p>
    <w:p>
      <w:pPr>
        <w:pStyle w:val="BodyText"/>
        <w:spacing w:line="360" w:lineRule="auto" w:before="1"/>
        <w:ind w:left="512" w:right="102"/>
        <w:jc w:val="both"/>
      </w:pPr>
      <w:r>
        <w:rPr/>
        <w:t>El perfil de ácidos grasos de </w:t>
      </w:r>
      <w:r>
        <w:rPr>
          <w:spacing w:val="-5"/>
        </w:rPr>
        <w:t>la </w:t>
      </w:r>
      <w:r>
        <w:rPr/>
        <w:t>leche se presenta </w:t>
      </w:r>
      <w:r>
        <w:rPr>
          <w:spacing w:val="-3"/>
        </w:rPr>
        <w:t>en </w:t>
      </w:r>
      <w:r>
        <w:rPr/>
        <w:t>el Cuadro 6 para </w:t>
      </w:r>
      <w:r>
        <w:rPr>
          <w:spacing w:val="-5"/>
        </w:rPr>
        <w:t>la </w:t>
      </w:r>
      <w:r>
        <w:rPr/>
        <w:t>interacción genotipo con nivel de concentrado; y en el Cuadro 7 para los efectos individuales. La interacción genotipo con nivel de complementación de concentrado </w:t>
      </w:r>
      <w:r>
        <w:rPr>
          <w:spacing w:val="-3"/>
        </w:rPr>
        <w:t>no influyó </w:t>
      </w:r>
      <w:r>
        <w:rPr/>
        <w:t>(</w:t>
      </w:r>
      <w:r>
        <w:rPr>
          <w:i/>
        </w:rPr>
        <w:t>P</w:t>
      </w:r>
      <w:r>
        <w:rPr/>
        <w:t>&gt;0.05) en el  contenido de ácidos grasos de </w:t>
      </w:r>
      <w:r>
        <w:rPr>
          <w:spacing w:val="-5"/>
        </w:rPr>
        <w:t>la </w:t>
      </w:r>
      <w:r>
        <w:rPr/>
        <w:t>grasa de </w:t>
      </w:r>
      <w:r>
        <w:rPr>
          <w:spacing w:val="-3"/>
        </w:rPr>
        <w:t>la </w:t>
      </w:r>
      <w:r>
        <w:rPr/>
        <w:t>leche, excepto en el contenido de los ácidos C17:1 y C18:2n6t. La concentración de C17:1 fue mayor (</w:t>
      </w:r>
      <w:r>
        <w:rPr>
          <w:i/>
        </w:rPr>
        <w:t>P</w:t>
      </w:r>
      <w:r>
        <w:rPr/>
        <w:t>&lt;0.05) en los tratamientos Holstein 3c, Holstein 5c y Pardo </w:t>
      </w:r>
      <w:r>
        <w:rPr>
          <w:spacing w:val="-3"/>
        </w:rPr>
        <w:t>Suizo </w:t>
      </w:r>
      <w:r>
        <w:rPr/>
        <w:t>3c. Para el caso de C18:2n6t se observó una menor concentración (</w:t>
      </w:r>
      <w:r>
        <w:rPr>
          <w:i/>
        </w:rPr>
        <w:t>P</w:t>
      </w:r>
      <w:r>
        <w:rPr/>
        <w:t>&lt;0.05) en los tratamientos 3c y 5c del ganado Pardo Suizo. En cuanto al efecto del nivel de concentrado (Cuadro 7) se observaron diferencias (</w:t>
      </w:r>
      <w:r>
        <w:rPr>
          <w:i/>
        </w:rPr>
        <w:t>P</w:t>
      </w:r>
      <w:r>
        <w:rPr/>
        <w:t>&lt;0.05) en </w:t>
      </w:r>
      <w:r>
        <w:rPr>
          <w:spacing w:val="-5"/>
        </w:rPr>
        <w:t>la  </w:t>
      </w:r>
      <w:r>
        <w:rPr/>
        <w:t>mayoría de los </w:t>
      </w:r>
      <w:r>
        <w:rPr>
          <w:spacing w:val="-3"/>
        </w:rPr>
        <w:t>AG </w:t>
      </w:r>
      <w:r>
        <w:rPr/>
        <w:t>medidos. En </w:t>
      </w:r>
      <w:r>
        <w:rPr>
          <w:spacing w:val="-3"/>
        </w:rPr>
        <w:t>AG </w:t>
      </w:r>
      <w:r>
        <w:rPr/>
        <w:t>de cadena corta y media se observó un incremento conforme se aumentó </w:t>
      </w:r>
      <w:r>
        <w:rPr>
          <w:spacing w:val="-5"/>
        </w:rPr>
        <w:t>la </w:t>
      </w:r>
      <w:r>
        <w:rPr/>
        <w:t>cantidad de concentrado en </w:t>
      </w:r>
      <w:r>
        <w:rPr>
          <w:spacing w:val="-3"/>
        </w:rPr>
        <w:t>la </w:t>
      </w:r>
      <w:r>
        <w:rPr/>
        <w:t>dieta; ácidos grasos </w:t>
      </w:r>
      <w:r>
        <w:rPr>
          <w:spacing w:val="-3"/>
        </w:rPr>
        <w:t>como </w:t>
      </w:r>
      <w:r>
        <w:rPr/>
        <w:t>el láurico (C12:0), mirístico (C14:0) y palmítico (C16:0) incrementaron su concentración (</w:t>
      </w:r>
      <w:r>
        <w:rPr>
          <w:i/>
        </w:rPr>
        <w:t>P</w:t>
      </w:r>
      <w:r>
        <w:rPr/>
        <w:t>&lt;0.05) en un 23, 9 y 6.5%, respectivamente, al incrementar el nivel de concentrado de 3 a 8 kg. De manera contraria, ácidos grasos de cadena larga como el esteárico (C18:0), oleico (C18:1), linolénico (C18:3 n3) y araquídico (C20:0) disminuyeron su concentración (</w:t>
      </w:r>
      <w:r>
        <w:rPr>
          <w:i/>
        </w:rPr>
        <w:t>P</w:t>
      </w:r>
      <w:r>
        <w:rPr/>
        <w:t>&lt;0.05) conforme se incrementó el nivel de concentrado observando </w:t>
      </w:r>
      <w:r>
        <w:rPr>
          <w:spacing w:val="-5"/>
        </w:rPr>
        <w:t>la </w:t>
      </w:r>
      <w:r>
        <w:rPr/>
        <w:t>mayor concentración en</w:t>
      </w:r>
      <w:r>
        <w:rPr>
          <w:spacing w:val="-24"/>
        </w:rPr>
        <w:t> </w:t>
      </w:r>
      <w:r>
        <w:rPr/>
        <w:t>3c.</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322"/>
      </w:pPr>
      <w:r>
        <w:rPr>
          <w:b/>
        </w:rPr>
        <w:t>Cuadro 6</w:t>
      </w:r>
      <w:r>
        <w:rPr/>
        <w:t>. Efecto de la interacción nivel de concentrado con el genotipo sobre el perfil de ácidos grasos de la leche de vacas en pastoreo en el Valle de Toluca,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spacing w:before="84"/>
        <w:ind w:left="512" w:right="0" w:firstLine="0"/>
        <w:jc w:val="both"/>
        <w:rPr>
          <w:sz w:val="20"/>
        </w:rPr>
      </w:pPr>
      <w:r>
        <w:rPr/>
        <w:pict>
          <v:shape style="position:absolute;margin-left:87.384003pt;margin-top:-463.911652pt;width:453.8pt;height:469.8pt;mso-position-horizontal-relative:page;mso-position-vertical-relative:paragraph;z-index:17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3"/>
                    <w:gridCol w:w="660"/>
                    <w:gridCol w:w="793"/>
                    <w:gridCol w:w="525"/>
                    <w:gridCol w:w="226"/>
                    <w:gridCol w:w="658"/>
                    <w:gridCol w:w="658"/>
                    <w:gridCol w:w="663"/>
                    <w:gridCol w:w="701"/>
                    <w:gridCol w:w="775"/>
                    <w:gridCol w:w="778"/>
                    <w:gridCol w:w="766"/>
                  </w:tblGrid>
                  <w:tr>
                    <w:trPr>
                      <w:trHeight w:val="316" w:hRule="exact"/>
                    </w:trPr>
                    <w:tc>
                      <w:tcPr>
                        <w:tcW w:w="1873" w:type="dxa"/>
                        <w:tcBorders>
                          <w:left w:val="nil"/>
                          <w:bottom w:val="nil"/>
                          <w:right w:val="nil"/>
                        </w:tcBorders>
                      </w:tcPr>
                      <w:p>
                        <w:pPr>
                          <w:pStyle w:val="TableParagraph"/>
                          <w:spacing w:line="202" w:lineRule="exact"/>
                          <w:ind w:left="456"/>
                          <w:jc w:val="left"/>
                          <w:rPr>
                            <w:b/>
                            <w:sz w:val="18"/>
                          </w:rPr>
                        </w:pPr>
                        <w:r>
                          <w:rPr>
                            <w:b/>
                            <w:sz w:val="18"/>
                          </w:rPr>
                          <w:t>GENOTIPO</w:t>
                        </w:r>
                      </w:p>
                    </w:tc>
                    <w:tc>
                      <w:tcPr>
                        <w:tcW w:w="1453" w:type="dxa"/>
                        <w:gridSpan w:val="2"/>
                        <w:tcBorders>
                          <w:left w:val="nil"/>
                          <w:right w:val="nil"/>
                        </w:tcBorders>
                      </w:tcPr>
                      <w:p>
                        <w:pPr>
                          <w:pStyle w:val="TableParagraph"/>
                          <w:spacing w:line="202" w:lineRule="exact"/>
                          <w:ind w:left="513" w:right="-13"/>
                          <w:jc w:val="left"/>
                          <w:rPr>
                            <w:b/>
                            <w:sz w:val="18"/>
                          </w:rPr>
                        </w:pPr>
                        <w:r>
                          <w:rPr>
                            <w:b/>
                            <w:spacing w:val="-1"/>
                            <w:sz w:val="18"/>
                          </w:rPr>
                          <w:t>HOLSTEIN</w:t>
                        </w:r>
                      </w:p>
                    </w:tc>
                    <w:tc>
                      <w:tcPr>
                        <w:tcW w:w="525" w:type="dxa"/>
                        <w:tcBorders>
                          <w:left w:val="nil"/>
                          <w:right w:val="nil"/>
                        </w:tcBorders>
                      </w:tcPr>
                      <w:p>
                        <w:pPr/>
                      </w:p>
                    </w:tc>
                    <w:tc>
                      <w:tcPr>
                        <w:tcW w:w="2204" w:type="dxa"/>
                        <w:gridSpan w:val="4"/>
                        <w:tcBorders>
                          <w:left w:val="nil"/>
                          <w:bottom w:val="nil"/>
                          <w:right w:val="nil"/>
                        </w:tcBorders>
                      </w:tcPr>
                      <w:p>
                        <w:pPr>
                          <w:pStyle w:val="TableParagraph"/>
                          <w:spacing w:line="202" w:lineRule="exact"/>
                          <w:ind w:left="590"/>
                          <w:jc w:val="left"/>
                          <w:rPr>
                            <w:b/>
                            <w:sz w:val="18"/>
                          </w:rPr>
                        </w:pPr>
                        <w:r>
                          <w:rPr>
                            <w:b/>
                            <w:sz w:val="18"/>
                          </w:rPr>
                          <w:t>PARDO SUIZO</w:t>
                        </w:r>
                      </w:p>
                    </w:tc>
                    <w:tc>
                      <w:tcPr>
                        <w:tcW w:w="701" w:type="dxa"/>
                        <w:tcBorders>
                          <w:left w:val="nil"/>
                          <w:bottom w:val="nil"/>
                          <w:right w:val="nil"/>
                        </w:tcBorders>
                      </w:tcPr>
                      <w:p>
                        <w:pPr/>
                      </w:p>
                    </w:tc>
                    <w:tc>
                      <w:tcPr>
                        <w:tcW w:w="775" w:type="dxa"/>
                        <w:tcBorders>
                          <w:left w:val="nil"/>
                          <w:bottom w:val="single" w:sz="8" w:space="0" w:color="000000"/>
                          <w:right w:val="nil"/>
                        </w:tcBorders>
                      </w:tcPr>
                      <w:p>
                        <w:pPr/>
                      </w:p>
                    </w:tc>
                    <w:tc>
                      <w:tcPr>
                        <w:tcW w:w="778" w:type="dxa"/>
                        <w:tcBorders>
                          <w:left w:val="nil"/>
                          <w:bottom w:val="single" w:sz="8" w:space="0" w:color="000000"/>
                          <w:right w:val="nil"/>
                        </w:tcBorders>
                      </w:tcPr>
                      <w:p>
                        <w:pPr>
                          <w:pStyle w:val="TableParagraph"/>
                          <w:spacing w:line="201" w:lineRule="exact"/>
                          <w:ind w:left="98" w:right="115"/>
                          <w:rPr>
                            <w:b/>
                            <w:sz w:val="12"/>
                          </w:rPr>
                        </w:pPr>
                        <w:r>
                          <w:rPr>
                            <w:b/>
                            <w:i/>
                            <w:position w:val="-7"/>
                            <w:sz w:val="18"/>
                          </w:rPr>
                          <w:t>P</w:t>
                        </w:r>
                        <w:r>
                          <w:rPr>
                            <w:b/>
                            <w:position w:val="-7"/>
                            <w:sz w:val="18"/>
                          </w:rPr>
                          <w:t>&lt;</w:t>
                        </w:r>
                        <w:r>
                          <w:rPr>
                            <w:b/>
                            <w:sz w:val="12"/>
                          </w:rPr>
                          <w:t>††</w:t>
                        </w:r>
                      </w:p>
                    </w:tc>
                    <w:tc>
                      <w:tcPr>
                        <w:tcW w:w="766" w:type="dxa"/>
                        <w:tcBorders>
                          <w:left w:val="nil"/>
                          <w:bottom w:val="single" w:sz="8" w:space="0" w:color="000000"/>
                          <w:right w:val="nil"/>
                        </w:tcBorders>
                      </w:tcPr>
                      <w:p>
                        <w:pPr/>
                      </w:p>
                    </w:tc>
                  </w:tr>
                  <w:tr>
                    <w:trPr>
                      <w:trHeight w:val="341" w:hRule="exact"/>
                    </w:trPr>
                    <w:tc>
                      <w:tcPr>
                        <w:tcW w:w="1873" w:type="dxa"/>
                        <w:tcBorders>
                          <w:top w:val="nil"/>
                          <w:left w:val="nil"/>
                          <w:bottom w:val="single" w:sz="8" w:space="0" w:color="000000"/>
                          <w:right w:val="nil"/>
                        </w:tcBorders>
                      </w:tcPr>
                      <w:p>
                        <w:pPr>
                          <w:pStyle w:val="TableParagraph"/>
                          <w:spacing w:before="15"/>
                          <w:ind w:left="226"/>
                          <w:jc w:val="left"/>
                          <w:rPr>
                            <w:b/>
                            <w:sz w:val="18"/>
                          </w:rPr>
                        </w:pPr>
                        <w:r>
                          <w:rPr>
                            <w:b/>
                            <w:sz w:val="18"/>
                          </w:rPr>
                          <w:t>CONCENTRADO</w:t>
                        </w:r>
                      </w:p>
                    </w:tc>
                    <w:tc>
                      <w:tcPr>
                        <w:tcW w:w="660" w:type="dxa"/>
                        <w:tcBorders>
                          <w:left w:val="nil"/>
                          <w:bottom w:val="single" w:sz="8" w:space="0" w:color="000000"/>
                          <w:right w:val="nil"/>
                        </w:tcBorders>
                      </w:tcPr>
                      <w:p>
                        <w:pPr>
                          <w:pStyle w:val="TableParagraph"/>
                          <w:ind w:left="101" w:right="107"/>
                          <w:rPr>
                            <w:sz w:val="18"/>
                          </w:rPr>
                        </w:pPr>
                        <w:r>
                          <w:rPr>
                            <w:sz w:val="18"/>
                          </w:rPr>
                          <w:t>3c</w:t>
                        </w:r>
                      </w:p>
                    </w:tc>
                    <w:tc>
                      <w:tcPr>
                        <w:tcW w:w="793" w:type="dxa"/>
                        <w:tcBorders>
                          <w:left w:val="nil"/>
                          <w:bottom w:val="single" w:sz="8" w:space="0" w:color="000000"/>
                          <w:right w:val="nil"/>
                        </w:tcBorders>
                      </w:tcPr>
                      <w:p>
                        <w:pPr>
                          <w:pStyle w:val="TableParagraph"/>
                          <w:ind w:left="104" w:right="237"/>
                          <w:rPr>
                            <w:sz w:val="18"/>
                          </w:rPr>
                        </w:pPr>
                        <w:r>
                          <w:rPr>
                            <w:sz w:val="18"/>
                          </w:rPr>
                          <w:t>5c</w:t>
                        </w:r>
                      </w:p>
                    </w:tc>
                    <w:tc>
                      <w:tcPr>
                        <w:tcW w:w="525" w:type="dxa"/>
                        <w:tcBorders>
                          <w:left w:val="nil"/>
                          <w:bottom w:val="single" w:sz="8" w:space="0" w:color="000000"/>
                          <w:right w:val="nil"/>
                        </w:tcBorders>
                      </w:tcPr>
                      <w:p>
                        <w:pPr>
                          <w:pStyle w:val="TableParagraph"/>
                          <w:ind w:right="126"/>
                          <w:rPr>
                            <w:sz w:val="18"/>
                          </w:rPr>
                        </w:pPr>
                        <w:r>
                          <w:rPr>
                            <w:sz w:val="18"/>
                          </w:rPr>
                          <w:t>8c</w:t>
                        </w:r>
                      </w:p>
                    </w:tc>
                    <w:tc>
                      <w:tcPr>
                        <w:tcW w:w="226" w:type="dxa"/>
                        <w:tcBorders>
                          <w:top w:val="nil"/>
                          <w:left w:val="nil"/>
                          <w:bottom w:val="single" w:sz="8" w:space="0" w:color="000000"/>
                          <w:right w:val="nil"/>
                        </w:tcBorders>
                      </w:tcPr>
                      <w:p>
                        <w:pPr/>
                      </w:p>
                    </w:tc>
                    <w:tc>
                      <w:tcPr>
                        <w:tcW w:w="658" w:type="dxa"/>
                        <w:tcBorders>
                          <w:top w:val="single" w:sz="8" w:space="0" w:color="000000"/>
                          <w:left w:val="nil"/>
                          <w:bottom w:val="single" w:sz="8" w:space="0" w:color="000000"/>
                          <w:right w:val="nil"/>
                        </w:tcBorders>
                      </w:tcPr>
                      <w:p>
                        <w:pPr>
                          <w:pStyle w:val="TableParagraph"/>
                          <w:spacing w:line="197" w:lineRule="exact"/>
                          <w:ind w:left="103" w:right="106"/>
                          <w:rPr>
                            <w:sz w:val="18"/>
                          </w:rPr>
                        </w:pPr>
                        <w:r>
                          <w:rPr>
                            <w:sz w:val="18"/>
                          </w:rPr>
                          <w:t>3c</w:t>
                        </w:r>
                      </w:p>
                    </w:tc>
                    <w:tc>
                      <w:tcPr>
                        <w:tcW w:w="658" w:type="dxa"/>
                        <w:tcBorders>
                          <w:top w:val="single" w:sz="8" w:space="0" w:color="000000"/>
                          <w:left w:val="nil"/>
                          <w:bottom w:val="single" w:sz="8" w:space="0" w:color="000000"/>
                          <w:right w:val="nil"/>
                        </w:tcBorders>
                      </w:tcPr>
                      <w:p>
                        <w:pPr>
                          <w:pStyle w:val="TableParagraph"/>
                          <w:spacing w:line="197" w:lineRule="exact"/>
                          <w:ind w:left="103" w:right="106"/>
                          <w:rPr>
                            <w:sz w:val="18"/>
                          </w:rPr>
                        </w:pPr>
                        <w:r>
                          <w:rPr>
                            <w:sz w:val="18"/>
                          </w:rPr>
                          <w:t>5c</w:t>
                        </w:r>
                      </w:p>
                    </w:tc>
                    <w:tc>
                      <w:tcPr>
                        <w:tcW w:w="663" w:type="dxa"/>
                        <w:tcBorders>
                          <w:top w:val="single" w:sz="8" w:space="0" w:color="000000"/>
                          <w:left w:val="nil"/>
                          <w:bottom w:val="single" w:sz="8" w:space="0" w:color="000000"/>
                          <w:right w:val="nil"/>
                        </w:tcBorders>
                      </w:tcPr>
                      <w:p>
                        <w:pPr>
                          <w:pStyle w:val="TableParagraph"/>
                          <w:spacing w:line="197" w:lineRule="exact"/>
                          <w:ind w:left="107" w:right="108"/>
                          <w:rPr>
                            <w:sz w:val="18"/>
                          </w:rPr>
                        </w:pPr>
                        <w:r>
                          <w:rPr>
                            <w:sz w:val="18"/>
                          </w:rPr>
                          <w:t>8c</w:t>
                        </w:r>
                      </w:p>
                    </w:tc>
                    <w:tc>
                      <w:tcPr>
                        <w:tcW w:w="701" w:type="dxa"/>
                        <w:tcBorders>
                          <w:top w:val="nil"/>
                          <w:left w:val="nil"/>
                          <w:bottom w:val="single" w:sz="8" w:space="0" w:color="000000"/>
                          <w:right w:val="nil"/>
                        </w:tcBorders>
                      </w:tcPr>
                      <w:p>
                        <w:pPr>
                          <w:pStyle w:val="TableParagraph"/>
                          <w:spacing w:line="217" w:lineRule="exact"/>
                          <w:ind w:left="82" w:right="87"/>
                          <w:rPr>
                            <w:sz w:val="12"/>
                          </w:rPr>
                        </w:pPr>
                        <w:r>
                          <w:rPr>
                            <w:sz w:val="18"/>
                          </w:rPr>
                          <w:t>EEM</w:t>
                        </w:r>
                        <w:r>
                          <w:rPr>
                            <w:position w:val="8"/>
                            <w:sz w:val="12"/>
                          </w:rPr>
                          <w:t>†</w:t>
                        </w:r>
                      </w:p>
                    </w:tc>
                    <w:tc>
                      <w:tcPr>
                        <w:tcW w:w="775" w:type="dxa"/>
                        <w:tcBorders>
                          <w:top w:val="single" w:sz="8" w:space="0" w:color="000000"/>
                          <w:left w:val="nil"/>
                          <w:bottom w:val="single" w:sz="8" w:space="0" w:color="000000"/>
                          <w:right w:val="nil"/>
                        </w:tcBorders>
                      </w:tcPr>
                      <w:p>
                        <w:pPr>
                          <w:pStyle w:val="TableParagraph"/>
                          <w:spacing w:line="197" w:lineRule="exact"/>
                          <w:rPr>
                            <w:sz w:val="18"/>
                          </w:rPr>
                        </w:pPr>
                        <w:r>
                          <w:rPr>
                            <w:w w:val="101"/>
                            <w:sz w:val="18"/>
                          </w:rPr>
                          <w:t>C</w:t>
                        </w:r>
                      </w:p>
                    </w:tc>
                    <w:tc>
                      <w:tcPr>
                        <w:tcW w:w="778" w:type="dxa"/>
                        <w:tcBorders>
                          <w:top w:val="single" w:sz="8" w:space="0" w:color="000000"/>
                          <w:left w:val="nil"/>
                          <w:bottom w:val="single" w:sz="8" w:space="0" w:color="000000"/>
                          <w:right w:val="nil"/>
                        </w:tcBorders>
                      </w:tcPr>
                      <w:p>
                        <w:pPr>
                          <w:pStyle w:val="TableParagraph"/>
                          <w:spacing w:line="197" w:lineRule="exact"/>
                          <w:ind w:left="2"/>
                          <w:rPr>
                            <w:sz w:val="18"/>
                          </w:rPr>
                        </w:pPr>
                        <w:r>
                          <w:rPr>
                            <w:w w:val="101"/>
                            <w:sz w:val="18"/>
                          </w:rPr>
                          <w:t>G</w:t>
                        </w:r>
                      </w:p>
                    </w:tc>
                    <w:tc>
                      <w:tcPr>
                        <w:tcW w:w="766" w:type="dxa"/>
                        <w:tcBorders>
                          <w:top w:val="single" w:sz="8" w:space="0" w:color="000000"/>
                          <w:left w:val="nil"/>
                          <w:bottom w:val="single" w:sz="8" w:space="0" w:color="000000"/>
                          <w:right w:val="nil"/>
                        </w:tcBorders>
                      </w:tcPr>
                      <w:p>
                        <w:pPr>
                          <w:pStyle w:val="TableParagraph"/>
                          <w:spacing w:line="197" w:lineRule="exact"/>
                          <w:ind w:left="113" w:right="115"/>
                          <w:rPr>
                            <w:sz w:val="18"/>
                          </w:rPr>
                        </w:pPr>
                        <w:r>
                          <w:rPr>
                            <w:sz w:val="18"/>
                          </w:rPr>
                          <w:t>C*G</w:t>
                        </w:r>
                      </w:p>
                    </w:tc>
                  </w:tr>
                  <w:tr>
                    <w:trPr>
                      <w:trHeight w:val="583" w:hRule="exact"/>
                    </w:trPr>
                    <w:tc>
                      <w:tcPr>
                        <w:tcW w:w="1873" w:type="dxa"/>
                        <w:tcBorders>
                          <w:top w:val="single" w:sz="8" w:space="0" w:color="000000"/>
                          <w:left w:val="nil"/>
                          <w:bottom w:val="nil"/>
                          <w:right w:val="nil"/>
                        </w:tcBorders>
                      </w:tcPr>
                      <w:p>
                        <w:pPr>
                          <w:pStyle w:val="TableParagraph"/>
                          <w:spacing w:line="362" w:lineRule="auto"/>
                          <w:ind w:left="475" w:right="385" w:hanging="63"/>
                          <w:jc w:val="left"/>
                          <w:rPr>
                            <w:b/>
                            <w:sz w:val="18"/>
                          </w:rPr>
                        </w:pPr>
                        <w:r>
                          <w:rPr>
                            <w:b/>
                            <w:sz w:val="18"/>
                          </w:rPr>
                          <w:t>Ácidos grasos (g/100g AG)</w:t>
                        </w:r>
                      </w:p>
                    </w:tc>
                    <w:tc>
                      <w:tcPr>
                        <w:tcW w:w="660" w:type="dxa"/>
                        <w:tcBorders>
                          <w:top w:val="single" w:sz="8" w:space="0" w:color="000000"/>
                          <w:left w:val="nil"/>
                          <w:bottom w:val="nil"/>
                          <w:right w:val="nil"/>
                        </w:tcBorders>
                      </w:tcPr>
                      <w:p>
                        <w:pPr/>
                      </w:p>
                    </w:tc>
                    <w:tc>
                      <w:tcPr>
                        <w:tcW w:w="793" w:type="dxa"/>
                        <w:tcBorders>
                          <w:top w:val="single" w:sz="8" w:space="0" w:color="000000"/>
                          <w:left w:val="nil"/>
                          <w:bottom w:val="nil"/>
                          <w:right w:val="nil"/>
                        </w:tcBorders>
                      </w:tcPr>
                      <w:p>
                        <w:pPr/>
                      </w:p>
                    </w:tc>
                    <w:tc>
                      <w:tcPr>
                        <w:tcW w:w="525" w:type="dxa"/>
                        <w:tcBorders>
                          <w:top w:val="single" w:sz="8" w:space="0" w:color="000000"/>
                          <w:left w:val="nil"/>
                          <w:bottom w:val="nil"/>
                          <w:right w:val="nil"/>
                        </w:tcBorders>
                      </w:tcPr>
                      <w:p>
                        <w:pPr/>
                      </w:p>
                    </w:tc>
                    <w:tc>
                      <w:tcPr>
                        <w:tcW w:w="226" w:type="dxa"/>
                        <w:tcBorders>
                          <w:top w:val="single" w:sz="8" w:space="0" w:color="000000"/>
                          <w:left w:val="nil"/>
                          <w:bottom w:val="nil"/>
                          <w:right w:val="nil"/>
                        </w:tcBorders>
                      </w:tcPr>
                      <w:p>
                        <w:pPr/>
                      </w:p>
                    </w:tc>
                    <w:tc>
                      <w:tcPr>
                        <w:tcW w:w="658" w:type="dxa"/>
                        <w:tcBorders>
                          <w:top w:val="single" w:sz="8" w:space="0" w:color="000000"/>
                          <w:left w:val="nil"/>
                          <w:bottom w:val="nil"/>
                          <w:right w:val="nil"/>
                        </w:tcBorders>
                      </w:tcPr>
                      <w:p>
                        <w:pPr/>
                      </w:p>
                    </w:tc>
                    <w:tc>
                      <w:tcPr>
                        <w:tcW w:w="658" w:type="dxa"/>
                        <w:tcBorders>
                          <w:top w:val="single" w:sz="8" w:space="0" w:color="000000"/>
                          <w:left w:val="nil"/>
                          <w:bottom w:val="nil"/>
                          <w:right w:val="nil"/>
                        </w:tcBorders>
                      </w:tcPr>
                      <w:p>
                        <w:pPr/>
                      </w:p>
                    </w:tc>
                    <w:tc>
                      <w:tcPr>
                        <w:tcW w:w="663" w:type="dxa"/>
                        <w:tcBorders>
                          <w:top w:val="single" w:sz="8" w:space="0" w:color="000000"/>
                          <w:left w:val="nil"/>
                          <w:bottom w:val="nil"/>
                          <w:right w:val="nil"/>
                        </w:tcBorders>
                      </w:tcPr>
                      <w:p>
                        <w:pPr/>
                      </w:p>
                    </w:tc>
                    <w:tc>
                      <w:tcPr>
                        <w:tcW w:w="701" w:type="dxa"/>
                        <w:tcBorders>
                          <w:top w:val="single" w:sz="8" w:space="0" w:color="000000"/>
                          <w:left w:val="nil"/>
                          <w:bottom w:val="nil"/>
                          <w:right w:val="nil"/>
                        </w:tcBorders>
                      </w:tcPr>
                      <w:p>
                        <w:pPr/>
                      </w:p>
                    </w:tc>
                    <w:tc>
                      <w:tcPr>
                        <w:tcW w:w="775" w:type="dxa"/>
                        <w:tcBorders>
                          <w:top w:val="single" w:sz="8" w:space="0" w:color="000000"/>
                          <w:left w:val="nil"/>
                          <w:bottom w:val="nil"/>
                          <w:right w:val="nil"/>
                        </w:tcBorders>
                      </w:tcPr>
                      <w:p>
                        <w:pPr/>
                      </w:p>
                    </w:tc>
                    <w:tc>
                      <w:tcPr>
                        <w:tcW w:w="778" w:type="dxa"/>
                        <w:tcBorders>
                          <w:top w:val="single" w:sz="8" w:space="0" w:color="000000"/>
                          <w:left w:val="nil"/>
                          <w:bottom w:val="nil"/>
                          <w:right w:val="nil"/>
                        </w:tcBorders>
                      </w:tcPr>
                      <w:p>
                        <w:pPr/>
                      </w:p>
                    </w:tc>
                    <w:tc>
                      <w:tcPr>
                        <w:tcW w:w="766" w:type="dxa"/>
                        <w:tcBorders>
                          <w:top w:val="single" w:sz="8" w:space="0" w:color="000000"/>
                          <w:left w:val="nil"/>
                          <w:bottom w:val="nil"/>
                          <w:right w:val="nil"/>
                        </w:tcBorders>
                      </w:tcPr>
                      <w:p>
                        <w:pPr/>
                      </w:p>
                    </w:tc>
                  </w:tr>
                  <w:tr>
                    <w:trPr>
                      <w:trHeight w:val="307" w:hRule="exact"/>
                    </w:trPr>
                    <w:tc>
                      <w:tcPr>
                        <w:tcW w:w="1873" w:type="dxa"/>
                        <w:tcBorders>
                          <w:top w:val="nil"/>
                          <w:left w:val="nil"/>
                          <w:bottom w:val="nil"/>
                          <w:right w:val="nil"/>
                        </w:tcBorders>
                      </w:tcPr>
                      <w:p>
                        <w:pPr>
                          <w:pStyle w:val="TableParagraph"/>
                          <w:spacing w:before="41"/>
                          <w:ind w:left="125"/>
                          <w:jc w:val="left"/>
                          <w:rPr>
                            <w:sz w:val="18"/>
                          </w:rPr>
                        </w:pPr>
                        <w:r>
                          <w:rPr>
                            <w:sz w:val="18"/>
                          </w:rPr>
                          <w:t>C4:0</w:t>
                        </w:r>
                      </w:p>
                    </w:tc>
                    <w:tc>
                      <w:tcPr>
                        <w:tcW w:w="660" w:type="dxa"/>
                        <w:tcBorders>
                          <w:top w:val="nil"/>
                          <w:left w:val="nil"/>
                          <w:bottom w:val="nil"/>
                          <w:right w:val="nil"/>
                        </w:tcBorders>
                      </w:tcPr>
                      <w:p>
                        <w:pPr>
                          <w:pStyle w:val="TableParagraph"/>
                          <w:spacing w:before="41"/>
                          <w:ind w:left="107" w:right="107"/>
                          <w:rPr>
                            <w:sz w:val="18"/>
                          </w:rPr>
                        </w:pPr>
                        <w:r>
                          <w:rPr>
                            <w:sz w:val="18"/>
                          </w:rPr>
                          <w:t>3.10</w:t>
                        </w:r>
                      </w:p>
                    </w:tc>
                    <w:tc>
                      <w:tcPr>
                        <w:tcW w:w="793" w:type="dxa"/>
                        <w:tcBorders>
                          <w:top w:val="nil"/>
                          <w:left w:val="nil"/>
                          <w:bottom w:val="nil"/>
                          <w:right w:val="nil"/>
                        </w:tcBorders>
                      </w:tcPr>
                      <w:p>
                        <w:pPr>
                          <w:pStyle w:val="TableParagraph"/>
                          <w:spacing w:before="41"/>
                          <w:ind w:left="109" w:right="237"/>
                          <w:rPr>
                            <w:sz w:val="18"/>
                          </w:rPr>
                        </w:pPr>
                        <w:r>
                          <w:rPr>
                            <w:sz w:val="18"/>
                          </w:rPr>
                          <w:t>3.16</w:t>
                        </w:r>
                      </w:p>
                    </w:tc>
                    <w:tc>
                      <w:tcPr>
                        <w:tcW w:w="525" w:type="dxa"/>
                        <w:tcBorders>
                          <w:top w:val="nil"/>
                          <w:left w:val="nil"/>
                          <w:bottom w:val="nil"/>
                          <w:right w:val="nil"/>
                        </w:tcBorders>
                      </w:tcPr>
                      <w:p>
                        <w:pPr>
                          <w:pStyle w:val="TableParagraph"/>
                          <w:spacing w:before="41"/>
                          <w:ind w:right="131"/>
                          <w:rPr>
                            <w:sz w:val="18"/>
                          </w:rPr>
                        </w:pPr>
                        <w:r>
                          <w:rPr>
                            <w:sz w:val="18"/>
                          </w:rPr>
                          <w:t>3.25</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3.30</w:t>
                        </w:r>
                      </w:p>
                    </w:tc>
                    <w:tc>
                      <w:tcPr>
                        <w:tcW w:w="658" w:type="dxa"/>
                        <w:tcBorders>
                          <w:top w:val="nil"/>
                          <w:left w:val="nil"/>
                          <w:bottom w:val="nil"/>
                          <w:right w:val="nil"/>
                        </w:tcBorders>
                      </w:tcPr>
                      <w:p>
                        <w:pPr>
                          <w:pStyle w:val="TableParagraph"/>
                          <w:spacing w:before="41"/>
                          <w:ind w:left="106" w:right="106"/>
                          <w:rPr>
                            <w:sz w:val="18"/>
                          </w:rPr>
                        </w:pPr>
                        <w:r>
                          <w:rPr>
                            <w:sz w:val="18"/>
                          </w:rPr>
                          <w:t>3.39</w:t>
                        </w:r>
                      </w:p>
                    </w:tc>
                    <w:tc>
                      <w:tcPr>
                        <w:tcW w:w="663" w:type="dxa"/>
                        <w:tcBorders>
                          <w:top w:val="nil"/>
                          <w:left w:val="nil"/>
                          <w:bottom w:val="nil"/>
                          <w:right w:val="nil"/>
                        </w:tcBorders>
                      </w:tcPr>
                      <w:p>
                        <w:pPr>
                          <w:pStyle w:val="TableParagraph"/>
                          <w:spacing w:before="41"/>
                          <w:ind w:left="107" w:right="110"/>
                          <w:rPr>
                            <w:sz w:val="18"/>
                          </w:rPr>
                        </w:pPr>
                        <w:r>
                          <w:rPr>
                            <w:sz w:val="18"/>
                          </w:rPr>
                          <w:t>3.35</w:t>
                        </w:r>
                      </w:p>
                    </w:tc>
                    <w:tc>
                      <w:tcPr>
                        <w:tcW w:w="701" w:type="dxa"/>
                        <w:tcBorders>
                          <w:top w:val="nil"/>
                          <w:left w:val="nil"/>
                          <w:bottom w:val="nil"/>
                          <w:right w:val="nil"/>
                        </w:tcBorders>
                      </w:tcPr>
                      <w:p>
                        <w:pPr>
                          <w:pStyle w:val="TableParagraph"/>
                          <w:spacing w:before="41"/>
                          <w:ind w:left="108" w:right="27"/>
                          <w:rPr>
                            <w:sz w:val="18"/>
                          </w:rPr>
                        </w:pPr>
                        <w:r>
                          <w:rPr>
                            <w:sz w:val="18"/>
                          </w:rPr>
                          <w:t>0.081</w:t>
                        </w:r>
                      </w:p>
                    </w:tc>
                    <w:tc>
                      <w:tcPr>
                        <w:tcW w:w="775" w:type="dxa"/>
                        <w:tcBorders>
                          <w:top w:val="nil"/>
                          <w:left w:val="nil"/>
                          <w:bottom w:val="nil"/>
                          <w:right w:val="nil"/>
                        </w:tcBorders>
                      </w:tcPr>
                      <w:p>
                        <w:pPr>
                          <w:pStyle w:val="TableParagraph"/>
                          <w:spacing w:before="41"/>
                          <w:ind w:left="114" w:right="112"/>
                          <w:rPr>
                            <w:sz w:val="18"/>
                          </w:rPr>
                        </w:pPr>
                        <w:r>
                          <w:rPr>
                            <w:sz w:val="18"/>
                          </w:rPr>
                          <w:t>0.5120</w:t>
                        </w:r>
                      </w:p>
                    </w:tc>
                    <w:tc>
                      <w:tcPr>
                        <w:tcW w:w="778" w:type="dxa"/>
                        <w:tcBorders>
                          <w:top w:val="nil"/>
                          <w:left w:val="nil"/>
                          <w:bottom w:val="nil"/>
                          <w:right w:val="nil"/>
                        </w:tcBorders>
                      </w:tcPr>
                      <w:p>
                        <w:pPr>
                          <w:pStyle w:val="TableParagraph"/>
                          <w:spacing w:before="41"/>
                          <w:ind w:left="115" w:right="111"/>
                          <w:rPr>
                            <w:sz w:val="18"/>
                          </w:rPr>
                        </w:pPr>
                        <w:r>
                          <w:rPr>
                            <w:sz w:val="18"/>
                          </w:rPr>
                          <w:t>0.0115</w:t>
                        </w:r>
                      </w:p>
                    </w:tc>
                    <w:tc>
                      <w:tcPr>
                        <w:tcW w:w="766" w:type="dxa"/>
                        <w:tcBorders>
                          <w:top w:val="nil"/>
                          <w:left w:val="nil"/>
                          <w:bottom w:val="nil"/>
                          <w:right w:val="nil"/>
                        </w:tcBorders>
                      </w:tcPr>
                      <w:p>
                        <w:pPr>
                          <w:pStyle w:val="TableParagraph"/>
                          <w:spacing w:before="41"/>
                          <w:ind w:left="115" w:right="115"/>
                          <w:rPr>
                            <w:sz w:val="18"/>
                          </w:rPr>
                        </w:pPr>
                        <w:r>
                          <w:rPr>
                            <w:sz w:val="18"/>
                          </w:rPr>
                          <w:t>0.7342</w:t>
                        </w:r>
                      </w:p>
                    </w:tc>
                  </w:tr>
                  <w:tr>
                    <w:trPr>
                      <w:trHeight w:val="310" w:hRule="exact"/>
                    </w:trPr>
                    <w:tc>
                      <w:tcPr>
                        <w:tcW w:w="1873" w:type="dxa"/>
                        <w:tcBorders>
                          <w:top w:val="nil"/>
                          <w:left w:val="nil"/>
                          <w:bottom w:val="nil"/>
                          <w:right w:val="nil"/>
                        </w:tcBorders>
                      </w:tcPr>
                      <w:p>
                        <w:pPr>
                          <w:pStyle w:val="TableParagraph"/>
                          <w:spacing w:before="41"/>
                          <w:ind w:left="125"/>
                          <w:jc w:val="left"/>
                          <w:rPr>
                            <w:sz w:val="18"/>
                          </w:rPr>
                        </w:pPr>
                        <w:r>
                          <w:rPr>
                            <w:sz w:val="18"/>
                          </w:rPr>
                          <w:t>C6:0</w:t>
                        </w:r>
                      </w:p>
                    </w:tc>
                    <w:tc>
                      <w:tcPr>
                        <w:tcW w:w="660" w:type="dxa"/>
                        <w:tcBorders>
                          <w:top w:val="nil"/>
                          <w:left w:val="nil"/>
                          <w:bottom w:val="nil"/>
                          <w:right w:val="nil"/>
                        </w:tcBorders>
                      </w:tcPr>
                      <w:p>
                        <w:pPr>
                          <w:pStyle w:val="TableParagraph"/>
                          <w:spacing w:before="41"/>
                          <w:ind w:left="107" w:right="107"/>
                          <w:rPr>
                            <w:sz w:val="18"/>
                          </w:rPr>
                        </w:pPr>
                        <w:r>
                          <w:rPr>
                            <w:sz w:val="18"/>
                          </w:rPr>
                          <w:t>2.14</w:t>
                        </w:r>
                      </w:p>
                    </w:tc>
                    <w:tc>
                      <w:tcPr>
                        <w:tcW w:w="793" w:type="dxa"/>
                        <w:tcBorders>
                          <w:top w:val="nil"/>
                          <w:left w:val="nil"/>
                          <w:bottom w:val="nil"/>
                          <w:right w:val="nil"/>
                        </w:tcBorders>
                      </w:tcPr>
                      <w:p>
                        <w:pPr>
                          <w:pStyle w:val="TableParagraph"/>
                          <w:spacing w:before="41"/>
                          <w:ind w:left="109" w:right="237"/>
                          <w:rPr>
                            <w:sz w:val="18"/>
                          </w:rPr>
                        </w:pPr>
                        <w:r>
                          <w:rPr>
                            <w:sz w:val="18"/>
                          </w:rPr>
                          <w:t>2.17</w:t>
                        </w:r>
                      </w:p>
                    </w:tc>
                    <w:tc>
                      <w:tcPr>
                        <w:tcW w:w="525" w:type="dxa"/>
                        <w:tcBorders>
                          <w:top w:val="nil"/>
                          <w:left w:val="nil"/>
                          <w:bottom w:val="nil"/>
                          <w:right w:val="nil"/>
                        </w:tcBorders>
                      </w:tcPr>
                      <w:p>
                        <w:pPr>
                          <w:pStyle w:val="TableParagraph"/>
                          <w:spacing w:before="41"/>
                          <w:ind w:right="131"/>
                          <w:rPr>
                            <w:sz w:val="18"/>
                          </w:rPr>
                        </w:pPr>
                        <w:r>
                          <w:rPr>
                            <w:sz w:val="18"/>
                          </w:rPr>
                          <w:t>2.27</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2.29</w:t>
                        </w:r>
                      </w:p>
                    </w:tc>
                    <w:tc>
                      <w:tcPr>
                        <w:tcW w:w="658" w:type="dxa"/>
                        <w:tcBorders>
                          <w:top w:val="nil"/>
                          <w:left w:val="nil"/>
                          <w:bottom w:val="nil"/>
                          <w:right w:val="nil"/>
                        </w:tcBorders>
                      </w:tcPr>
                      <w:p>
                        <w:pPr>
                          <w:pStyle w:val="TableParagraph"/>
                          <w:spacing w:before="41"/>
                          <w:ind w:left="106" w:right="106"/>
                          <w:rPr>
                            <w:sz w:val="18"/>
                          </w:rPr>
                        </w:pPr>
                        <w:r>
                          <w:rPr>
                            <w:sz w:val="18"/>
                          </w:rPr>
                          <w:t>2.51</w:t>
                        </w:r>
                      </w:p>
                    </w:tc>
                    <w:tc>
                      <w:tcPr>
                        <w:tcW w:w="663" w:type="dxa"/>
                        <w:tcBorders>
                          <w:top w:val="nil"/>
                          <w:left w:val="nil"/>
                          <w:bottom w:val="nil"/>
                          <w:right w:val="nil"/>
                        </w:tcBorders>
                      </w:tcPr>
                      <w:p>
                        <w:pPr>
                          <w:pStyle w:val="TableParagraph"/>
                          <w:spacing w:before="41"/>
                          <w:ind w:left="107" w:right="110"/>
                          <w:rPr>
                            <w:sz w:val="18"/>
                          </w:rPr>
                        </w:pPr>
                        <w:r>
                          <w:rPr>
                            <w:sz w:val="18"/>
                          </w:rPr>
                          <w:t>2.44</w:t>
                        </w:r>
                      </w:p>
                    </w:tc>
                    <w:tc>
                      <w:tcPr>
                        <w:tcW w:w="701" w:type="dxa"/>
                        <w:tcBorders>
                          <w:top w:val="nil"/>
                          <w:left w:val="nil"/>
                          <w:bottom w:val="nil"/>
                          <w:right w:val="nil"/>
                        </w:tcBorders>
                      </w:tcPr>
                      <w:p>
                        <w:pPr>
                          <w:pStyle w:val="TableParagraph"/>
                          <w:spacing w:before="41"/>
                          <w:ind w:left="108" w:right="27"/>
                          <w:rPr>
                            <w:sz w:val="18"/>
                          </w:rPr>
                        </w:pPr>
                        <w:r>
                          <w:rPr>
                            <w:sz w:val="18"/>
                          </w:rPr>
                          <w:t>0.057</w:t>
                        </w:r>
                      </w:p>
                    </w:tc>
                    <w:tc>
                      <w:tcPr>
                        <w:tcW w:w="775" w:type="dxa"/>
                        <w:tcBorders>
                          <w:top w:val="nil"/>
                          <w:left w:val="nil"/>
                          <w:bottom w:val="nil"/>
                          <w:right w:val="nil"/>
                        </w:tcBorders>
                      </w:tcPr>
                      <w:p>
                        <w:pPr>
                          <w:pStyle w:val="TableParagraph"/>
                          <w:spacing w:before="41"/>
                          <w:ind w:left="114" w:right="112"/>
                          <w:rPr>
                            <w:sz w:val="18"/>
                          </w:rPr>
                        </w:pPr>
                        <w:r>
                          <w:rPr>
                            <w:sz w:val="18"/>
                          </w:rPr>
                          <w:t>0.0310</w:t>
                        </w:r>
                      </w:p>
                    </w:tc>
                    <w:tc>
                      <w:tcPr>
                        <w:tcW w:w="778" w:type="dxa"/>
                        <w:tcBorders>
                          <w:top w:val="nil"/>
                          <w:left w:val="nil"/>
                          <w:bottom w:val="nil"/>
                          <w:right w:val="nil"/>
                        </w:tcBorders>
                      </w:tcPr>
                      <w:p>
                        <w:pPr>
                          <w:pStyle w:val="TableParagraph"/>
                          <w:spacing w:before="41"/>
                          <w:ind w:left="115" w:right="115"/>
                          <w:rPr>
                            <w:sz w:val="18"/>
                          </w:rPr>
                        </w:pPr>
                        <w:r>
                          <w:rPr>
                            <w:sz w:val="18"/>
                          </w:rPr>
                          <w:t>&lt;.0001</w:t>
                        </w:r>
                      </w:p>
                    </w:tc>
                    <w:tc>
                      <w:tcPr>
                        <w:tcW w:w="766" w:type="dxa"/>
                        <w:tcBorders>
                          <w:top w:val="nil"/>
                          <w:left w:val="nil"/>
                          <w:bottom w:val="nil"/>
                          <w:right w:val="nil"/>
                        </w:tcBorders>
                      </w:tcPr>
                      <w:p>
                        <w:pPr>
                          <w:pStyle w:val="TableParagraph"/>
                          <w:spacing w:before="41"/>
                          <w:ind w:left="115" w:right="115"/>
                          <w:rPr>
                            <w:sz w:val="18"/>
                          </w:rPr>
                        </w:pPr>
                        <w:r>
                          <w:rPr>
                            <w:sz w:val="18"/>
                          </w:rPr>
                          <w:t>0.2381</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C8:0</w:t>
                        </w:r>
                      </w:p>
                    </w:tc>
                    <w:tc>
                      <w:tcPr>
                        <w:tcW w:w="660" w:type="dxa"/>
                        <w:tcBorders>
                          <w:top w:val="nil"/>
                          <w:left w:val="nil"/>
                          <w:bottom w:val="nil"/>
                          <w:right w:val="nil"/>
                        </w:tcBorders>
                      </w:tcPr>
                      <w:p>
                        <w:pPr>
                          <w:pStyle w:val="TableParagraph"/>
                          <w:spacing w:before="43"/>
                          <w:ind w:left="107" w:right="107"/>
                          <w:rPr>
                            <w:sz w:val="18"/>
                          </w:rPr>
                        </w:pPr>
                        <w:r>
                          <w:rPr>
                            <w:sz w:val="18"/>
                          </w:rPr>
                          <w:t>1.12</w:t>
                        </w:r>
                      </w:p>
                    </w:tc>
                    <w:tc>
                      <w:tcPr>
                        <w:tcW w:w="793" w:type="dxa"/>
                        <w:tcBorders>
                          <w:top w:val="nil"/>
                          <w:left w:val="nil"/>
                          <w:bottom w:val="nil"/>
                          <w:right w:val="nil"/>
                        </w:tcBorders>
                      </w:tcPr>
                      <w:p>
                        <w:pPr>
                          <w:pStyle w:val="TableParagraph"/>
                          <w:spacing w:before="43"/>
                          <w:ind w:left="109" w:right="237"/>
                          <w:rPr>
                            <w:sz w:val="18"/>
                          </w:rPr>
                        </w:pPr>
                        <w:r>
                          <w:rPr>
                            <w:sz w:val="18"/>
                          </w:rPr>
                          <w:t>1.22</w:t>
                        </w:r>
                      </w:p>
                    </w:tc>
                    <w:tc>
                      <w:tcPr>
                        <w:tcW w:w="525" w:type="dxa"/>
                        <w:tcBorders>
                          <w:top w:val="nil"/>
                          <w:left w:val="nil"/>
                          <w:bottom w:val="nil"/>
                          <w:right w:val="nil"/>
                        </w:tcBorders>
                      </w:tcPr>
                      <w:p>
                        <w:pPr>
                          <w:pStyle w:val="TableParagraph"/>
                          <w:spacing w:before="43"/>
                          <w:ind w:right="131"/>
                          <w:rPr>
                            <w:sz w:val="18"/>
                          </w:rPr>
                        </w:pPr>
                        <w:r>
                          <w:rPr>
                            <w:sz w:val="18"/>
                          </w:rPr>
                          <w:t>1.33</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1.29</w:t>
                        </w:r>
                      </w:p>
                    </w:tc>
                    <w:tc>
                      <w:tcPr>
                        <w:tcW w:w="658" w:type="dxa"/>
                        <w:tcBorders>
                          <w:top w:val="nil"/>
                          <w:left w:val="nil"/>
                          <w:bottom w:val="nil"/>
                          <w:right w:val="nil"/>
                        </w:tcBorders>
                      </w:tcPr>
                      <w:p>
                        <w:pPr>
                          <w:pStyle w:val="TableParagraph"/>
                          <w:spacing w:before="43"/>
                          <w:ind w:left="106" w:right="106"/>
                          <w:rPr>
                            <w:sz w:val="18"/>
                          </w:rPr>
                        </w:pPr>
                        <w:r>
                          <w:rPr>
                            <w:sz w:val="18"/>
                          </w:rPr>
                          <w:t>1.44</w:t>
                        </w:r>
                      </w:p>
                    </w:tc>
                    <w:tc>
                      <w:tcPr>
                        <w:tcW w:w="663" w:type="dxa"/>
                        <w:tcBorders>
                          <w:top w:val="nil"/>
                          <w:left w:val="nil"/>
                          <w:bottom w:val="nil"/>
                          <w:right w:val="nil"/>
                        </w:tcBorders>
                      </w:tcPr>
                      <w:p>
                        <w:pPr>
                          <w:pStyle w:val="TableParagraph"/>
                          <w:spacing w:before="43"/>
                          <w:ind w:left="107" w:right="110"/>
                          <w:rPr>
                            <w:sz w:val="18"/>
                          </w:rPr>
                        </w:pPr>
                        <w:r>
                          <w:rPr>
                            <w:sz w:val="18"/>
                          </w:rPr>
                          <w:t>1.46</w:t>
                        </w:r>
                      </w:p>
                    </w:tc>
                    <w:tc>
                      <w:tcPr>
                        <w:tcW w:w="701" w:type="dxa"/>
                        <w:tcBorders>
                          <w:top w:val="nil"/>
                          <w:left w:val="nil"/>
                          <w:bottom w:val="nil"/>
                          <w:right w:val="nil"/>
                        </w:tcBorders>
                      </w:tcPr>
                      <w:p>
                        <w:pPr>
                          <w:pStyle w:val="TableParagraph"/>
                          <w:spacing w:before="43"/>
                          <w:ind w:left="108" w:right="27"/>
                          <w:rPr>
                            <w:sz w:val="18"/>
                          </w:rPr>
                        </w:pPr>
                        <w:r>
                          <w:rPr>
                            <w:sz w:val="18"/>
                          </w:rPr>
                          <w:t>0.030</w:t>
                        </w:r>
                      </w:p>
                    </w:tc>
                    <w:tc>
                      <w:tcPr>
                        <w:tcW w:w="775" w:type="dxa"/>
                        <w:tcBorders>
                          <w:top w:val="nil"/>
                          <w:left w:val="nil"/>
                          <w:bottom w:val="nil"/>
                          <w:right w:val="nil"/>
                        </w:tcBorders>
                      </w:tcPr>
                      <w:p>
                        <w:pPr>
                          <w:pStyle w:val="TableParagraph"/>
                          <w:spacing w:before="43"/>
                          <w:ind w:left="114" w:right="114"/>
                          <w:rPr>
                            <w:sz w:val="18"/>
                          </w:rPr>
                        </w:pPr>
                        <w:r>
                          <w:rPr>
                            <w:sz w:val="18"/>
                          </w:rPr>
                          <w:t>&lt;.0001</w:t>
                        </w:r>
                      </w:p>
                    </w:tc>
                    <w:tc>
                      <w:tcPr>
                        <w:tcW w:w="778" w:type="dxa"/>
                        <w:tcBorders>
                          <w:top w:val="nil"/>
                          <w:left w:val="nil"/>
                          <w:bottom w:val="nil"/>
                          <w:right w:val="nil"/>
                        </w:tcBorders>
                      </w:tcPr>
                      <w:p>
                        <w:pPr>
                          <w:pStyle w:val="TableParagraph"/>
                          <w:spacing w:before="43"/>
                          <w:ind w:left="115" w:right="115"/>
                          <w:rPr>
                            <w:sz w:val="18"/>
                          </w:rPr>
                        </w:pPr>
                        <w:r>
                          <w:rPr>
                            <w:sz w:val="18"/>
                          </w:rPr>
                          <w:t>&lt;.0001</w:t>
                        </w:r>
                      </w:p>
                    </w:tc>
                    <w:tc>
                      <w:tcPr>
                        <w:tcW w:w="766" w:type="dxa"/>
                        <w:tcBorders>
                          <w:top w:val="nil"/>
                          <w:left w:val="nil"/>
                          <w:bottom w:val="nil"/>
                          <w:right w:val="nil"/>
                        </w:tcBorders>
                      </w:tcPr>
                      <w:p>
                        <w:pPr>
                          <w:pStyle w:val="TableParagraph"/>
                          <w:spacing w:before="43"/>
                          <w:ind w:left="115" w:right="115"/>
                          <w:rPr>
                            <w:sz w:val="18"/>
                          </w:rPr>
                        </w:pPr>
                        <w:r>
                          <w:rPr>
                            <w:sz w:val="18"/>
                          </w:rPr>
                          <w:t>0.4828</w:t>
                        </w:r>
                      </w:p>
                    </w:tc>
                  </w:tr>
                  <w:tr>
                    <w:trPr>
                      <w:trHeight w:val="310" w:hRule="exact"/>
                    </w:trPr>
                    <w:tc>
                      <w:tcPr>
                        <w:tcW w:w="1873" w:type="dxa"/>
                        <w:tcBorders>
                          <w:top w:val="nil"/>
                          <w:left w:val="nil"/>
                          <w:bottom w:val="nil"/>
                          <w:right w:val="nil"/>
                        </w:tcBorders>
                      </w:tcPr>
                      <w:p>
                        <w:pPr>
                          <w:pStyle w:val="TableParagraph"/>
                          <w:spacing w:before="43"/>
                          <w:ind w:left="125"/>
                          <w:jc w:val="left"/>
                          <w:rPr>
                            <w:sz w:val="18"/>
                          </w:rPr>
                        </w:pPr>
                        <w:r>
                          <w:rPr>
                            <w:sz w:val="18"/>
                          </w:rPr>
                          <w:t>C10:0</w:t>
                        </w:r>
                      </w:p>
                    </w:tc>
                    <w:tc>
                      <w:tcPr>
                        <w:tcW w:w="660" w:type="dxa"/>
                        <w:tcBorders>
                          <w:top w:val="nil"/>
                          <w:left w:val="nil"/>
                          <w:bottom w:val="nil"/>
                          <w:right w:val="nil"/>
                        </w:tcBorders>
                      </w:tcPr>
                      <w:p>
                        <w:pPr>
                          <w:pStyle w:val="TableParagraph"/>
                          <w:spacing w:before="43"/>
                          <w:ind w:left="107" w:right="107"/>
                          <w:rPr>
                            <w:sz w:val="18"/>
                          </w:rPr>
                        </w:pPr>
                        <w:r>
                          <w:rPr>
                            <w:sz w:val="18"/>
                          </w:rPr>
                          <w:t>2.42</w:t>
                        </w:r>
                      </w:p>
                    </w:tc>
                    <w:tc>
                      <w:tcPr>
                        <w:tcW w:w="793" w:type="dxa"/>
                        <w:tcBorders>
                          <w:top w:val="nil"/>
                          <w:left w:val="nil"/>
                          <w:bottom w:val="nil"/>
                          <w:right w:val="nil"/>
                        </w:tcBorders>
                      </w:tcPr>
                      <w:p>
                        <w:pPr>
                          <w:pStyle w:val="TableParagraph"/>
                          <w:spacing w:before="43"/>
                          <w:ind w:left="109" w:right="237"/>
                          <w:rPr>
                            <w:sz w:val="18"/>
                          </w:rPr>
                        </w:pPr>
                        <w:r>
                          <w:rPr>
                            <w:sz w:val="18"/>
                          </w:rPr>
                          <w:t>2.70</w:t>
                        </w:r>
                      </w:p>
                    </w:tc>
                    <w:tc>
                      <w:tcPr>
                        <w:tcW w:w="525" w:type="dxa"/>
                        <w:tcBorders>
                          <w:top w:val="nil"/>
                          <w:left w:val="nil"/>
                          <w:bottom w:val="nil"/>
                          <w:right w:val="nil"/>
                        </w:tcBorders>
                      </w:tcPr>
                      <w:p>
                        <w:pPr>
                          <w:pStyle w:val="TableParagraph"/>
                          <w:spacing w:before="43"/>
                          <w:ind w:right="131"/>
                          <w:rPr>
                            <w:sz w:val="18"/>
                          </w:rPr>
                        </w:pPr>
                        <w:r>
                          <w:rPr>
                            <w:sz w:val="18"/>
                          </w:rPr>
                          <w:t>2.98</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2.83</w:t>
                        </w:r>
                      </w:p>
                    </w:tc>
                    <w:tc>
                      <w:tcPr>
                        <w:tcW w:w="658" w:type="dxa"/>
                        <w:tcBorders>
                          <w:top w:val="nil"/>
                          <w:left w:val="nil"/>
                          <w:bottom w:val="nil"/>
                          <w:right w:val="nil"/>
                        </w:tcBorders>
                      </w:tcPr>
                      <w:p>
                        <w:pPr>
                          <w:pStyle w:val="TableParagraph"/>
                          <w:spacing w:before="43"/>
                          <w:ind w:left="106" w:right="106"/>
                          <w:rPr>
                            <w:sz w:val="18"/>
                          </w:rPr>
                        </w:pPr>
                        <w:r>
                          <w:rPr>
                            <w:sz w:val="18"/>
                          </w:rPr>
                          <w:t>3.20</w:t>
                        </w:r>
                      </w:p>
                    </w:tc>
                    <w:tc>
                      <w:tcPr>
                        <w:tcW w:w="663" w:type="dxa"/>
                        <w:tcBorders>
                          <w:top w:val="nil"/>
                          <w:left w:val="nil"/>
                          <w:bottom w:val="nil"/>
                          <w:right w:val="nil"/>
                        </w:tcBorders>
                      </w:tcPr>
                      <w:p>
                        <w:pPr>
                          <w:pStyle w:val="TableParagraph"/>
                          <w:spacing w:before="43"/>
                          <w:ind w:left="107" w:right="110"/>
                          <w:rPr>
                            <w:sz w:val="18"/>
                          </w:rPr>
                        </w:pPr>
                        <w:r>
                          <w:rPr>
                            <w:sz w:val="18"/>
                          </w:rPr>
                          <w:t>3.42</w:t>
                        </w:r>
                      </w:p>
                    </w:tc>
                    <w:tc>
                      <w:tcPr>
                        <w:tcW w:w="701" w:type="dxa"/>
                        <w:tcBorders>
                          <w:top w:val="nil"/>
                          <w:left w:val="nil"/>
                          <w:bottom w:val="nil"/>
                          <w:right w:val="nil"/>
                        </w:tcBorders>
                      </w:tcPr>
                      <w:p>
                        <w:pPr>
                          <w:pStyle w:val="TableParagraph"/>
                          <w:spacing w:before="43"/>
                          <w:ind w:left="108" w:right="27"/>
                          <w:rPr>
                            <w:sz w:val="18"/>
                          </w:rPr>
                        </w:pPr>
                        <w:r>
                          <w:rPr>
                            <w:sz w:val="18"/>
                          </w:rPr>
                          <w:t>0.084</w:t>
                        </w:r>
                      </w:p>
                    </w:tc>
                    <w:tc>
                      <w:tcPr>
                        <w:tcW w:w="775" w:type="dxa"/>
                        <w:tcBorders>
                          <w:top w:val="nil"/>
                          <w:left w:val="nil"/>
                          <w:bottom w:val="nil"/>
                          <w:right w:val="nil"/>
                        </w:tcBorders>
                      </w:tcPr>
                      <w:p>
                        <w:pPr>
                          <w:pStyle w:val="TableParagraph"/>
                          <w:spacing w:before="43"/>
                          <w:ind w:left="114" w:right="114"/>
                          <w:rPr>
                            <w:sz w:val="18"/>
                          </w:rPr>
                        </w:pPr>
                        <w:r>
                          <w:rPr>
                            <w:sz w:val="18"/>
                          </w:rPr>
                          <w:t>&lt;.0001</w:t>
                        </w:r>
                      </w:p>
                    </w:tc>
                    <w:tc>
                      <w:tcPr>
                        <w:tcW w:w="778" w:type="dxa"/>
                        <w:tcBorders>
                          <w:top w:val="nil"/>
                          <w:left w:val="nil"/>
                          <w:bottom w:val="nil"/>
                          <w:right w:val="nil"/>
                        </w:tcBorders>
                      </w:tcPr>
                      <w:p>
                        <w:pPr>
                          <w:pStyle w:val="TableParagraph"/>
                          <w:spacing w:before="43"/>
                          <w:ind w:left="115" w:right="115"/>
                          <w:rPr>
                            <w:sz w:val="18"/>
                          </w:rPr>
                        </w:pPr>
                        <w:r>
                          <w:rPr>
                            <w:sz w:val="18"/>
                          </w:rPr>
                          <w:t>&lt;.0001</w:t>
                        </w:r>
                      </w:p>
                    </w:tc>
                    <w:tc>
                      <w:tcPr>
                        <w:tcW w:w="766" w:type="dxa"/>
                        <w:tcBorders>
                          <w:top w:val="nil"/>
                          <w:left w:val="nil"/>
                          <w:bottom w:val="nil"/>
                          <w:right w:val="nil"/>
                        </w:tcBorders>
                      </w:tcPr>
                      <w:p>
                        <w:pPr>
                          <w:pStyle w:val="TableParagraph"/>
                          <w:spacing w:before="43"/>
                          <w:ind w:left="115" w:right="115"/>
                          <w:rPr>
                            <w:sz w:val="18"/>
                          </w:rPr>
                        </w:pPr>
                        <w:r>
                          <w:rPr>
                            <w:sz w:val="18"/>
                          </w:rPr>
                          <w:t>0.8872</w:t>
                        </w:r>
                      </w:p>
                    </w:tc>
                  </w:tr>
                  <w:tr>
                    <w:trPr>
                      <w:trHeight w:val="310" w:hRule="exact"/>
                    </w:trPr>
                    <w:tc>
                      <w:tcPr>
                        <w:tcW w:w="1873" w:type="dxa"/>
                        <w:tcBorders>
                          <w:top w:val="nil"/>
                          <w:left w:val="nil"/>
                          <w:bottom w:val="nil"/>
                          <w:right w:val="nil"/>
                        </w:tcBorders>
                      </w:tcPr>
                      <w:p>
                        <w:pPr>
                          <w:pStyle w:val="TableParagraph"/>
                          <w:spacing w:before="41"/>
                          <w:ind w:left="125"/>
                          <w:jc w:val="left"/>
                          <w:rPr>
                            <w:sz w:val="18"/>
                          </w:rPr>
                        </w:pPr>
                        <w:r>
                          <w:rPr>
                            <w:sz w:val="18"/>
                          </w:rPr>
                          <w:t>C11:0</w:t>
                        </w:r>
                      </w:p>
                    </w:tc>
                    <w:tc>
                      <w:tcPr>
                        <w:tcW w:w="660" w:type="dxa"/>
                        <w:tcBorders>
                          <w:top w:val="nil"/>
                          <w:left w:val="nil"/>
                          <w:bottom w:val="nil"/>
                          <w:right w:val="nil"/>
                        </w:tcBorders>
                      </w:tcPr>
                      <w:p>
                        <w:pPr>
                          <w:pStyle w:val="TableParagraph"/>
                          <w:spacing w:before="41"/>
                          <w:ind w:left="107" w:right="107"/>
                          <w:rPr>
                            <w:sz w:val="18"/>
                          </w:rPr>
                        </w:pPr>
                        <w:r>
                          <w:rPr>
                            <w:sz w:val="18"/>
                          </w:rPr>
                          <w:t>0.34</w:t>
                        </w:r>
                      </w:p>
                    </w:tc>
                    <w:tc>
                      <w:tcPr>
                        <w:tcW w:w="793" w:type="dxa"/>
                        <w:tcBorders>
                          <w:top w:val="nil"/>
                          <w:left w:val="nil"/>
                          <w:bottom w:val="nil"/>
                          <w:right w:val="nil"/>
                        </w:tcBorders>
                      </w:tcPr>
                      <w:p>
                        <w:pPr>
                          <w:pStyle w:val="TableParagraph"/>
                          <w:spacing w:before="41"/>
                          <w:ind w:left="109" w:right="237"/>
                          <w:rPr>
                            <w:sz w:val="18"/>
                          </w:rPr>
                        </w:pPr>
                        <w:r>
                          <w:rPr>
                            <w:sz w:val="18"/>
                          </w:rPr>
                          <w:t>0.40</w:t>
                        </w:r>
                      </w:p>
                    </w:tc>
                    <w:tc>
                      <w:tcPr>
                        <w:tcW w:w="525" w:type="dxa"/>
                        <w:tcBorders>
                          <w:top w:val="nil"/>
                          <w:left w:val="nil"/>
                          <w:bottom w:val="nil"/>
                          <w:right w:val="nil"/>
                        </w:tcBorders>
                      </w:tcPr>
                      <w:p>
                        <w:pPr>
                          <w:pStyle w:val="TableParagraph"/>
                          <w:spacing w:before="41"/>
                          <w:ind w:right="131"/>
                          <w:rPr>
                            <w:sz w:val="18"/>
                          </w:rPr>
                        </w:pPr>
                        <w:r>
                          <w:rPr>
                            <w:sz w:val="18"/>
                          </w:rPr>
                          <w:t>0.45</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0.38</w:t>
                        </w:r>
                      </w:p>
                    </w:tc>
                    <w:tc>
                      <w:tcPr>
                        <w:tcW w:w="658" w:type="dxa"/>
                        <w:tcBorders>
                          <w:top w:val="nil"/>
                          <w:left w:val="nil"/>
                          <w:bottom w:val="nil"/>
                          <w:right w:val="nil"/>
                        </w:tcBorders>
                      </w:tcPr>
                      <w:p>
                        <w:pPr>
                          <w:pStyle w:val="TableParagraph"/>
                          <w:spacing w:before="41"/>
                          <w:ind w:left="106" w:right="106"/>
                          <w:rPr>
                            <w:sz w:val="18"/>
                          </w:rPr>
                        </w:pPr>
                        <w:r>
                          <w:rPr>
                            <w:sz w:val="18"/>
                          </w:rPr>
                          <w:t>0.42</w:t>
                        </w:r>
                      </w:p>
                    </w:tc>
                    <w:tc>
                      <w:tcPr>
                        <w:tcW w:w="663" w:type="dxa"/>
                        <w:tcBorders>
                          <w:top w:val="nil"/>
                          <w:left w:val="nil"/>
                          <w:bottom w:val="nil"/>
                          <w:right w:val="nil"/>
                        </w:tcBorders>
                      </w:tcPr>
                      <w:p>
                        <w:pPr>
                          <w:pStyle w:val="TableParagraph"/>
                          <w:spacing w:before="41"/>
                          <w:ind w:left="107" w:right="110"/>
                          <w:rPr>
                            <w:sz w:val="18"/>
                          </w:rPr>
                        </w:pPr>
                        <w:r>
                          <w:rPr>
                            <w:sz w:val="18"/>
                          </w:rPr>
                          <w:t>0.44</w:t>
                        </w:r>
                      </w:p>
                    </w:tc>
                    <w:tc>
                      <w:tcPr>
                        <w:tcW w:w="701" w:type="dxa"/>
                        <w:tcBorders>
                          <w:top w:val="nil"/>
                          <w:left w:val="nil"/>
                          <w:bottom w:val="nil"/>
                          <w:right w:val="nil"/>
                        </w:tcBorders>
                      </w:tcPr>
                      <w:p>
                        <w:pPr>
                          <w:pStyle w:val="TableParagraph"/>
                          <w:spacing w:before="41"/>
                          <w:ind w:left="108" w:right="27"/>
                          <w:rPr>
                            <w:sz w:val="18"/>
                          </w:rPr>
                        </w:pPr>
                        <w:r>
                          <w:rPr>
                            <w:sz w:val="18"/>
                          </w:rPr>
                          <w:t>0.016</w:t>
                        </w:r>
                      </w:p>
                    </w:tc>
                    <w:tc>
                      <w:tcPr>
                        <w:tcW w:w="775" w:type="dxa"/>
                        <w:tcBorders>
                          <w:top w:val="nil"/>
                          <w:left w:val="nil"/>
                          <w:bottom w:val="nil"/>
                          <w:right w:val="nil"/>
                        </w:tcBorders>
                      </w:tcPr>
                      <w:p>
                        <w:pPr>
                          <w:pStyle w:val="TableParagraph"/>
                          <w:spacing w:before="41"/>
                          <w:ind w:left="114" w:right="114"/>
                          <w:rPr>
                            <w:sz w:val="18"/>
                          </w:rPr>
                        </w:pPr>
                        <w:r>
                          <w:rPr>
                            <w:sz w:val="18"/>
                          </w:rPr>
                          <w:t>&lt;.0001</w:t>
                        </w:r>
                      </w:p>
                    </w:tc>
                    <w:tc>
                      <w:tcPr>
                        <w:tcW w:w="778" w:type="dxa"/>
                        <w:tcBorders>
                          <w:top w:val="nil"/>
                          <w:left w:val="nil"/>
                          <w:bottom w:val="nil"/>
                          <w:right w:val="nil"/>
                        </w:tcBorders>
                      </w:tcPr>
                      <w:p>
                        <w:pPr>
                          <w:pStyle w:val="TableParagraph"/>
                          <w:spacing w:before="41"/>
                          <w:ind w:left="115" w:right="111"/>
                          <w:rPr>
                            <w:sz w:val="18"/>
                          </w:rPr>
                        </w:pPr>
                        <w:r>
                          <w:rPr>
                            <w:sz w:val="18"/>
                          </w:rPr>
                          <w:t>0.2181</w:t>
                        </w:r>
                      </w:p>
                    </w:tc>
                    <w:tc>
                      <w:tcPr>
                        <w:tcW w:w="766" w:type="dxa"/>
                        <w:tcBorders>
                          <w:top w:val="nil"/>
                          <w:left w:val="nil"/>
                          <w:bottom w:val="nil"/>
                          <w:right w:val="nil"/>
                        </w:tcBorders>
                      </w:tcPr>
                      <w:p>
                        <w:pPr>
                          <w:pStyle w:val="TableParagraph"/>
                          <w:spacing w:before="41"/>
                          <w:ind w:left="115" w:right="115"/>
                          <w:rPr>
                            <w:sz w:val="18"/>
                          </w:rPr>
                        </w:pPr>
                        <w:r>
                          <w:rPr>
                            <w:sz w:val="18"/>
                          </w:rPr>
                          <w:t>0.3832</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C12:0</w:t>
                        </w:r>
                      </w:p>
                    </w:tc>
                    <w:tc>
                      <w:tcPr>
                        <w:tcW w:w="660" w:type="dxa"/>
                        <w:tcBorders>
                          <w:top w:val="nil"/>
                          <w:left w:val="nil"/>
                          <w:bottom w:val="nil"/>
                          <w:right w:val="nil"/>
                        </w:tcBorders>
                      </w:tcPr>
                      <w:p>
                        <w:pPr>
                          <w:pStyle w:val="TableParagraph"/>
                          <w:spacing w:before="43"/>
                          <w:ind w:left="107" w:right="107"/>
                          <w:rPr>
                            <w:sz w:val="18"/>
                          </w:rPr>
                        </w:pPr>
                        <w:r>
                          <w:rPr>
                            <w:sz w:val="18"/>
                          </w:rPr>
                          <w:t>2.86</w:t>
                        </w:r>
                      </w:p>
                    </w:tc>
                    <w:tc>
                      <w:tcPr>
                        <w:tcW w:w="793" w:type="dxa"/>
                        <w:tcBorders>
                          <w:top w:val="nil"/>
                          <w:left w:val="nil"/>
                          <w:bottom w:val="nil"/>
                          <w:right w:val="nil"/>
                        </w:tcBorders>
                      </w:tcPr>
                      <w:p>
                        <w:pPr>
                          <w:pStyle w:val="TableParagraph"/>
                          <w:spacing w:before="43"/>
                          <w:ind w:left="109" w:right="237"/>
                          <w:rPr>
                            <w:sz w:val="18"/>
                          </w:rPr>
                        </w:pPr>
                        <w:r>
                          <w:rPr>
                            <w:sz w:val="18"/>
                          </w:rPr>
                          <w:t>3.20</w:t>
                        </w:r>
                      </w:p>
                    </w:tc>
                    <w:tc>
                      <w:tcPr>
                        <w:tcW w:w="525" w:type="dxa"/>
                        <w:tcBorders>
                          <w:top w:val="nil"/>
                          <w:left w:val="nil"/>
                          <w:bottom w:val="nil"/>
                          <w:right w:val="nil"/>
                        </w:tcBorders>
                      </w:tcPr>
                      <w:p>
                        <w:pPr>
                          <w:pStyle w:val="TableParagraph"/>
                          <w:spacing w:before="43"/>
                          <w:ind w:right="131"/>
                          <w:rPr>
                            <w:sz w:val="18"/>
                          </w:rPr>
                        </w:pPr>
                        <w:r>
                          <w:rPr>
                            <w:sz w:val="18"/>
                          </w:rPr>
                          <w:t>3.56</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3.30</w:t>
                        </w:r>
                      </w:p>
                    </w:tc>
                    <w:tc>
                      <w:tcPr>
                        <w:tcW w:w="658" w:type="dxa"/>
                        <w:tcBorders>
                          <w:top w:val="nil"/>
                          <w:left w:val="nil"/>
                          <w:bottom w:val="nil"/>
                          <w:right w:val="nil"/>
                        </w:tcBorders>
                      </w:tcPr>
                      <w:p>
                        <w:pPr>
                          <w:pStyle w:val="TableParagraph"/>
                          <w:spacing w:before="43"/>
                          <w:ind w:left="106" w:right="106"/>
                          <w:rPr>
                            <w:sz w:val="18"/>
                          </w:rPr>
                        </w:pPr>
                        <w:r>
                          <w:rPr>
                            <w:sz w:val="18"/>
                          </w:rPr>
                          <w:t>3.66</w:t>
                        </w:r>
                      </w:p>
                    </w:tc>
                    <w:tc>
                      <w:tcPr>
                        <w:tcW w:w="663" w:type="dxa"/>
                        <w:tcBorders>
                          <w:top w:val="nil"/>
                          <w:left w:val="nil"/>
                          <w:bottom w:val="nil"/>
                          <w:right w:val="nil"/>
                        </w:tcBorders>
                      </w:tcPr>
                      <w:p>
                        <w:pPr>
                          <w:pStyle w:val="TableParagraph"/>
                          <w:spacing w:before="43"/>
                          <w:ind w:left="107" w:right="110"/>
                          <w:rPr>
                            <w:sz w:val="18"/>
                          </w:rPr>
                        </w:pPr>
                        <w:r>
                          <w:rPr>
                            <w:sz w:val="18"/>
                          </w:rPr>
                          <w:t>4.02</w:t>
                        </w:r>
                      </w:p>
                    </w:tc>
                    <w:tc>
                      <w:tcPr>
                        <w:tcW w:w="701" w:type="dxa"/>
                        <w:tcBorders>
                          <w:top w:val="nil"/>
                          <w:left w:val="nil"/>
                          <w:bottom w:val="nil"/>
                          <w:right w:val="nil"/>
                        </w:tcBorders>
                      </w:tcPr>
                      <w:p>
                        <w:pPr>
                          <w:pStyle w:val="TableParagraph"/>
                          <w:spacing w:before="43"/>
                          <w:ind w:left="108" w:right="27"/>
                          <w:rPr>
                            <w:sz w:val="18"/>
                          </w:rPr>
                        </w:pPr>
                        <w:r>
                          <w:rPr>
                            <w:sz w:val="18"/>
                          </w:rPr>
                          <w:t>0.099</w:t>
                        </w:r>
                      </w:p>
                    </w:tc>
                    <w:tc>
                      <w:tcPr>
                        <w:tcW w:w="775" w:type="dxa"/>
                        <w:tcBorders>
                          <w:top w:val="nil"/>
                          <w:left w:val="nil"/>
                          <w:bottom w:val="nil"/>
                          <w:right w:val="nil"/>
                        </w:tcBorders>
                      </w:tcPr>
                      <w:p>
                        <w:pPr>
                          <w:pStyle w:val="TableParagraph"/>
                          <w:spacing w:before="43"/>
                          <w:ind w:left="114" w:right="114"/>
                          <w:rPr>
                            <w:sz w:val="18"/>
                          </w:rPr>
                        </w:pPr>
                        <w:r>
                          <w:rPr>
                            <w:sz w:val="18"/>
                          </w:rPr>
                          <w:t>&lt;.0001</w:t>
                        </w:r>
                      </w:p>
                    </w:tc>
                    <w:tc>
                      <w:tcPr>
                        <w:tcW w:w="778" w:type="dxa"/>
                        <w:tcBorders>
                          <w:top w:val="nil"/>
                          <w:left w:val="nil"/>
                          <w:bottom w:val="nil"/>
                          <w:right w:val="nil"/>
                        </w:tcBorders>
                      </w:tcPr>
                      <w:p>
                        <w:pPr>
                          <w:pStyle w:val="TableParagraph"/>
                          <w:spacing w:before="43"/>
                          <w:ind w:left="115" w:right="115"/>
                          <w:rPr>
                            <w:sz w:val="18"/>
                          </w:rPr>
                        </w:pPr>
                        <w:r>
                          <w:rPr>
                            <w:sz w:val="18"/>
                          </w:rPr>
                          <w:t>&lt;.0001</w:t>
                        </w:r>
                      </w:p>
                    </w:tc>
                    <w:tc>
                      <w:tcPr>
                        <w:tcW w:w="766" w:type="dxa"/>
                        <w:tcBorders>
                          <w:top w:val="nil"/>
                          <w:left w:val="nil"/>
                          <w:bottom w:val="nil"/>
                          <w:right w:val="nil"/>
                        </w:tcBorders>
                      </w:tcPr>
                      <w:p>
                        <w:pPr>
                          <w:pStyle w:val="TableParagraph"/>
                          <w:spacing w:before="43"/>
                          <w:ind w:left="115" w:right="115"/>
                          <w:rPr>
                            <w:sz w:val="18"/>
                          </w:rPr>
                        </w:pPr>
                        <w:r>
                          <w:rPr>
                            <w:sz w:val="18"/>
                          </w:rPr>
                          <w:t>0.9913</w:t>
                        </w:r>
                      </w:p>
                    </w:tc>
                  </w:tr>
                  <w:tr>
                    <w:trPr>
                      <w:trHeight w:val="310" w:hRule="exact"/>
                    </w:trPr>
                    <w:tc>
                      <w:tcPr>
                        <w:tcW w:w="1873" w:type="dxa"/>
                        <w:tcBorders>
                          <w:top w:val="nil"/>
                          <w:left w:val="nil"/>
                          <w:bottom w:val="nil"/>
                          <w:right w:val="nil"/>
                        </w:tcBorders>
                      </w:tcPr>
                      <w:p>
                        <w:pPr>
                          <w:pStyle w:val="TableParagraph"/>
                          <w:spacing w:before="44"/>
                          <w:ind w:left="125"/>
                          <w:jc w:val="left"/>
                          <w:rPr>
                            <w:sz w:val="18"/>
                          </w:rPr>
                        </w:pPr>
                        <w:r>
                          <w:rPr>
                            <w:sz w:val="18"/>
                          </w:rPr>
                          <w:t>C13:0</w:t>
                        </w:r>
                      </w:p>
                    </w:tc>
                    <w:tc>
                      <w:tcPr>
                        <w:tcW w:w="660" w:type="dxa"/>
                        <w:tcBorders>
                          <w:top w:val="nil"/>
                          <w:left w:val="nil"/>
                          <w:bottom w:val="nil"/>
                          <w:right w:val="nil"/>
                        </w:tcBorders>
                      </w:tcPr>
                      <w:p>
                        <w:pPr>
                          <w:pStyle w:val="TableParagraph"/>
                          <w:spacing w:before="44"/>
                          <w:ind w:left="107" w:right="107"/>
                          <w:rPr>
                            <w:sz w:val="18"/>
                          </w:rPr>
                        </w:pPr>
                        <w:r>
                          <w:rPr>
                            <w:sz w:val="18"/>
                          </w:rPr>
                          <w:t>0.16</w:t>
                        </w:r>
                      </w:p>
                    </w:tc>
                    <w:tc>
                      <w:tcPr>
                        <w:tcW w:w="793" w:type="dxa"/>
                        <w:tcBorders>
                          <w:top w:val="nil"/>
                          <w:left w:val="nil"/>
                          <w:bottom w:val="nil"/>
                          <w:right w:val="nil"/>
                        </w:tcBorders>
                      </w:tcPr>
                      <w:p>
                        <w:pPr>
                          <w:pStyle w:val="TableParagraph"/>
                          <w:spacing w:before="44"/>
                          <w:ind w:left="109" w:right="237"/>
                          <w:rPr>
                            <w:sz w:val="18"/>
                          </w:rPr>
                        </w:pPr>
                        <w:r>
                          <w:rPr>
                            <w:sz w:val="18"/>
                          </w:rPr>
                          <w:t>0.18</w:t>
                        </w:r>
                      </w:p>
                    </w:tc>
                    <w:tc>
                      <w:tcPr>
                        <w:tcW w:w="525" w:type="dxa"/>
                        <w:tcBorders>
                          <w:top w:val="nil"/>
                          <w:left w:val="nil"/>
                          <w:bottom w:val="nil"/>
                          <w:right w:val="nil"/>
                        </w:tcBorders>
                      </w:tcPr>
                      <w:p>
                        <w:pPr>
                          <w:pStyle w:val="TableParagraph"/>
                          <w:spacing w:before="44"/>
                          <w:ind w:right="131"/>
                          <w:rPr>
                            <w:sz w:val="18"/>
                          </w:rPr>
                        </w:pPr>
                        <w:r>
                          <w:rPr>
                            <w:sz w:val="18"/>
                          </w:rPr>
                          <w:t>0.21</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4"/>
                          <w:ind w:left="106" w:right="106"/>
                          <w:rPr>
                            <w:sz w:val="18"/>
                          </w:rPr>
                        </w:pPr>
                        <w:r>
                          <w:rPr>
                            <w:sz w:val="18"/>
                          </w:rPr>
                          <w:t>0.18</w:t>
                        </w:r>
                      </w:p>
                    </w:tc>
                    <w:tc>
                      <w:tcPr>
                        <w:tcW w:w="658" w:type="dxa"/>
                        <w:tcBorders>
                          <w:top w:val="nil"/>
                          <w:left w:val="nil"/>
                          <w:bottom w:val="nil"/>
                          <w:right w:val="nil"/>
                        </w:tcBorders>
                      </w:tcPr>
                      <w:p>
                        <w:pPr>
                          <w:pStyle w:val="TableParagraph"/>
                          <w:spacing w:before="44"/>
                          <w:ind w:left="106" w:right="106"/>
                          <w:rPr>
                            <w:sz w:val="18"/>
                          </w:rPr>
                        </w:pPr>
                        <w:r>
                          <w:rPr>
                            <w:sz w:val="18"/>
                          </w:rPr>
                          <w:t>0.18</w:t>
                        </w:r>
                      </w:p>
                    </w:tc>
                    <w:tc>
                      <w:tcPr>
                        <w:tcW w:w="663" w:type="dxa"/>
                        <w:tcBorders>
                          <w:top w:val="nil"/>
                          <w:left w:val="nil"/>
                          <w:bottom w:val="nil"/>
                          <w:right w:val="nil"/>
                        </w:tcBorders>
                      </w:tcPr>
                      <w:p>
                        <w:pPr>
                          <w:pStyle w:val="TableParagraph"/>
                          <w:spacing w:before="44"/>
                          <w:ind w:left="107" w:right="110"/>
                          <w:rPr>
                            <w:sz w:val="18"/>
                          </w:rPr>
                        </w:pPr>
                        <w:r>
                          <w:rPr>
                            <w:sz w:val="18"/>
                          </w:rPr>
                          <w:t>0.20</w:t>
                        </w:r>
                      </w:p>
                    </w:tc>
                    <w:tc>
                      <w:tcPr>
                        <w:tcW w:w="701" w:type="dxa"/>
                        <w:tcBorders>
                          <w:top w:val="nil"/>
                          <w:left w:val="nil"/>
                          <w:bottom w:val="nil"/>
                          <w:right w:val="nil"/>
                        </w:tcBorders>
                      </w:tcPr>
                      <w:p>
                        <w:pPr>
                          <w:pStyle w:val="TableParagraph"/>
                          <w:spacing w:before="44"/>
                          <w:ind w:left="108" w:right="27"/>
                          <w:rPr>
                            <w:sz w:val="18"/>
                          </w:rPr>
                        </w:pPr>
                        <w:r>
                          <w:rPr>
                            <w:sz w:val="18"/>
                          </w:rPr>
                          <w:t>0.007</w:t>
                        </w:r>
                      </w:p>
                    </w:tc>
                    <w:tc>
                      <w:tcPr>
                        <w:tcW w:w="775" w:type="dxa"/>
                        <w:tcBorders>
                          <w:top w:val="nil"/>
                          <w:left w:val="nil"/>
                          <w:bottom w:val="nil"/>
                          <w:right w:val="nil"/>
                        </w:tcBorders>
                      </w:tcPr>
                      <w:p>
                        <w:pPr>
                          <w:pStyle w:val="TableParagraph"/>
                          <w:spacing w:before="44"/>
                          <w:ind w:left="114" w:right="114"/>
                          <w:rPr>
                            <w:sz w:val="18"/>
                          </w:rPr>
                        </w:pPr>
                        <w:r>
                          <w:rPr>
                            <w:sz w:val="18"/>
                          </w:rPr>
                          <w:t>&lt;.0001</w:t>
                        </w:r>
                      </w:p>
                    </w:tc>
                    <w:tc>
                      <w:tcPr>
                        <w:tcW w:w="778" w:type="dxa"/>
                        <w:tcBorders>
                          <w:top w:val="nil"/>
                          <w:left w:val="nil"/>
                          <w:bottom w:val="nil"/>
                          <w:right w:val="nil"/>
                        </w:tcBorders>
                      </w:tcPr>
                      <w:p>
                        <w:pPr>
                          <w:pStyle w:val="TableParagraph"/>
                          <w:spacing w:before="44"/>
                          <w:ind w:left="115" w:right="111"/>
                          <w:rPr>
                            <w:sz w:val="18"/>
                          </w:rPr>
                        </w:pPr>
                        <w:r>
                          <w:rPr>
                            <w:sz w:val="18"/>
                          </w:rPr>
                          <w:t>0.8414</w:t>
                        </w:r>
                      </w:p>
                    </w:tc>
                    <w:tc>
                      <w:tcPr>
                        <w:tcW w:w="766" w:type="dxa"/>
                        <w:tcBorders>
                          <w:top w:val="nil"/>
                          <w:left w:val="nil"/>
                          <w:bottom w:val="nil"/>
                          <w:right w:val="nil"/>
                        </w:tcBorders>
                      </w:tcPr>
                      <w:p>
                        <w:pPr>
                          <w:pStyle w:val="TableParagraph"/>
                          <w:spacing w:before="44"/>
                          <w:ind w:left="115" w:right="115"/>
                          <w:rPr>
                            <w:sz w:val="18"/>
                          </w:rPr>
                        </w:pPr>
                        <w:r>
                          <w:rPr>
                            <w:sz w:val="18"/>
                          </w:rPr>
                          <w:t>0.0867</w:t>
                        </w:r>
                      </w:p>
                    </w:tc>
                  </w:tr>
                  <w:tr>
                    <w:trPr>
                      <w:trHeight w:val="310" w:hRule="exact"/>
                    </w:trPr>
                    <w:tc>
                      <w:tcPr>
                        <w:tcW w:w="1873" w:type="dxa"/>
                        <w:tcBorders>
                          <w:top w:val="nil"/>
                          <w:left w:val="nil"/>
                          <w:bottom w:val="nil"/>
                          <w:right w:val="nil"/>
                        </w:tcBorders>
                      </w:tcPr>
                      <w:p>
                        <w:pPr>
                          <w:pStyle w:val="TableParagraph"/>
                          <w:spacing w:before="41"/>
                          <w:ind w:left="125"/>
                          <w:jc w:val="left"/>
                          <w:rPr>
                            <w:sz w:val="18"/>
                          </w:rPr>
                        </w:pPr>
                        <w:r>
                          <w:rPr>
                            <w:sz w:val="18"/>
                          </w:rPr>
                          <w:t>C14:0</w:t>
                        </w:r>
                      </w:p>
                    </w:tc>
                    <w:tc>
                      <w:tcPr>
                        <w:tcW w:w="660" w:type="dxa"/>
                        <w:tcBorders>
                          <w:top w:val="nil"/>
                          <w:left w:val="nil"/>
                          <w:bottom w:val="nil"/>
                          <w:right w:val="nil"/>
                        </w:tcBorders>
                      </w:tcPr>
                      <w:p>
                        <w:pPr>
                          <w:pStyle w:val="TableParagraph"/>
                          <w:spacing w:before="41"/>
                          <w:ind w:left="107" w:right="107"/>
                          <w:rPr>
                            <w:sz w:val="18"/>
                          </w:rPr>
                        </w:pPr>
                        <w:r>
                          <w:rPr>
                            <w:sz w:val="18"/>
                          </w:rPr>
                          <w:t>11.07</w:t>
                        </w:r>
                      </w:p>
                    </w:tc>
                    <w:tc>
                      <w:tcPr>
                        <w:tcW w:w="793" w:type="dxa"/>
                        <w:tcBorders>
                          <w:top w:val="nil"/>
                          <w:left w:val="nil"/>
                          <w:bottom w:val="nil"/>
                          <w:right w:val="nil"/>
                        </w:tcBorders>
                      </w:tcPr>
                      <w:p>
                        <w:pPr>
                          <w:pStyle w:val="TableParagraph"/>
                          <w:spacing w:before="41"/>
                          <w:ind w:left="110" w:right="237"/>
                          <w:rPr>
                            <w:sz w:val="18"/>
                          </w:rPr>
                        </w:pPr>
                        <w:r>
                          <w:rPr>
                            <w:sz w:val="18"/>
                          </w:rPr>
                          <w:t>11.63</w:t>
                        </w:r>
                      </w:p>
                    </w:tc>
                    <w:tc>
                      <w:tcPr>
                        <w:tcW w:w="525" w:type="dxa"/>
                        <w:tcBorders>
                          <w:top w:val="nil"/>
                          <w:left w:val="nil"/>
                          <w:bottom w:val="nil"/>
                          <w:right w:val="nil"/>
                        </w:tcBorders>
                      </w:tcPr>
                      <w:p>
                        <w:pPr>
                          <w:pStyle w:val="TableParagraph"/>
                          <w:spacing w:before="41"/>
                          <w:ind w:left="-8" w:right="123"/>
                          <w:rPr>
                            <w:sz w:val="18"/>
                          </w:rPr>
                        </w:pPr>
                        <w:r>
                          <w:rPr>
                            <w:spacing w:val="-1"/>
                            <w:sz w:val="18"/>
                          </w:rPr>
                          <w:t>11.99</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12.03</w:t>
                        </w:r>
                      </w:p>
                    </w:tc>
                    <w:tc>
                      <w:tcPr>
                        <w:tcW w:w="658" w:type="dxa"/>
                        <w:tcBorders>
                          <w:top w:val="nil"/>
                          <w:left w:val="nil"/>
                          <w:bottom w:val="nil"/>
                          <w:right w:val="nil"/>
                        </w:tcBorders>
                      </w:tcPr>
                      <w:p>
                        <w:pPr>
                          <w:pStyle w:val="TableParagraph"/>
                          <w:spacing w:before="41"/>
                          <w:ind w:left="106" w:right="106"/>
                          <w:rPr>
                            <w:sz w:val="18"/>
                          </w:rPr>
                        </w:pPr>
                        <w:r>
                          <w:rPr>
                            <w:sz w:val="18"/>
                          </w:rPr>
                          <w:t>12.95</w:t>
                        </w:r>
                      </w:p>
                    </w:tc>
                    <w:tc>
                      <w:tcPr>
                        <w:tcW w:w="663" w:type="dxa"/>
                        <w:tcBorders>
                          <w:top w:val="nil"/>
                          <w:left w:val="nil"/>
                          <w:bottom w:val="nil"/>
                          <w:right w:val="nil"/>
                        </w:tcBorders>
                      </w:tcPr>
                      <w:p>
                        <w:pPr>
                          <w:pStyle w:val="TableParagraph"/>
                          <w:spacing w:before="41"/>
                          <w:ind w:left="107" w:right="110"/>
                          <w:rPr>
                            <w:sz w:val="18"/>
                          </w:rPr>
                        </w:pPr>
                        <w:r>
                          <w:rPr>
                            <w:sz w:val="18"/>
                          </w:rPr>
                          <w:t>13.34</w:t>
                        </w:r>
                      </w:p>
                    </w:tc>
                    <w:tc>
                      <w:tcPr>
                        <w:tcW w:w="701" w:type="dxa"/>
                        <w:tcBorders>
                          <w:top w:val="nil"/>
                          <w:left w:val="nil"/>
                          <w:bottom w:val="nil"/>
                          <w:right w:val="nil"/>
                        </w:tcBorders>
                      </w:tcPr>
                      <w:p>
                        <w:pPr>
                          <w:pStyle w:val="TableParagraph"/>
                          <w:spacing w:before="41"/>
                          <w:ind w:left="108" w:right="27"/>
                          <w:rPr>
                            <w:sz w:val="18"/>
                          </w:rPr>
                        </w:pPr>
                        <w:r>
                          <w:rPr>
                            <w:sz w:val="18"/>
                          </w:rPr>
                          <w:t>0.217</w:t>
                        </w:r>
                      </w:p>
                    </w:tc>
                    <w:tc>
                      <w:tcPr>
                        <w:tcW w:w="775" w:type="dxa"/>
                        <w:tcBorders>
                          <w:top w:val="nil"/>
                          <w:left w:val="nil"/>
                          <w:bottom w:val="nil"/>
                          <w:right w:val="nil"/>
                        </w:tcBorders>
                      </w:tcPr>
                      <w:p>
                        <w:pPr>
                          <w:pStyle w:val="TableParagraph"/>
                          <w:spacing w:before="41"/>
                          <w:ind w:left="114" w:right="114"/>
                          <w:rPr>
                            <w:sz w:val="18"/>
                          </w:rPr>
                        </w:pPr>
                        <w:r>
                          <w:rPr>
                            <w:sz w:val="18"/>
                          </w:rPr>
                          <w:t>&lt;.0001</w:t>
                        </w:r>
                      </w:p>
                    </w:tc>
                    <w:tc>
                      <w:tcPr>
                        <w:tcW w:w="778" w:type="dxa"/>
                        <w:tcBorders>
                          <w:top w:val="nil"/>
                          <w:left w:val="nil"/>
                          <w:bottom w:val="nil"/>
                          <w:right w:val="nil"/>
                        </w:tcBorders>
                      </w:tcPr>
                      <w:p>
                        <w:pPr>
                          <w:pStyle w:val="TableParagraph"/>
                          <w:spacing w:before="41"/>
                          <w:ind w:left="115" w:right="115"/>
                          <w:rPr>
                            <w:sz w:val="18"/>
                          </w:rPr>
                        </w:pPr>
                        <w:r>
                          <w:rPr>
                            <w:sz w:val="18"/>
                          </w:rPr>
                          <w:t>&lt;.0001</w:t>
                        </w:r>
                      </w:p>
                    </w:tc>
                    <w:tc>
                      <w:tcPr>
                        <w:tcW w:w="766" w:type="dxa"/>
                        <w:tcBorders>
                          <w:top w:val="nil"/>
                          <w:left w:val="nil"/>
                          <w:bottom w:val="nil"/>
                          <w:right w:val="nil"/>
                        </w:tcBorders>
                      </w:tcPr>
                      <w:p>
                        <w:pPr>
                          <w:pStyle w:val="TableParagraph"/>
                          <w:spacing w:before="41"/>
                          <w:ind w:left="115" w:right="115"/>
                          <w:rPr>
                            <w:sz w:val="18"/>
                          </w:rPr>
                        </w:pPr>
                        <w:r>
                          <w:rPr>
                            <w:sz w:val="18"/>
                          </w:rPr>
                          <w:t>0.6554</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C14:1</w:t>
                        </w:r>
                      </w:p>
                    </w:tc>
                    <w:tc>
                      <w:tcPr>
                        <w:tcW w:w="660" w:type="dxa"/>
                        <w:tcBorders>
                          <w:top w:val="nil"/>
                          <w:left w:val="nil"/>
                          <w:bottom w:val="nil"/>
                          <w:right w:val="nil"/>
                        </w:tcBorders>
                      </w:tcPr>
                      <w:p>
                        <w:pPr>
                          <w:pStyle w:val="TableParagraph"/>
                          <w:spacing w:before="43"/>
                          <w:ind w:left="107" w:right="107"/>
                          <w:rPr>
                            <w:sz w:val="18"/>
                          </w:rPr>
                        </w:pPr>
                        <w:r>
                          <w:rPr>
                            <w:sz w:val="18"/>
                          </w:rPr>
                          <w:t>1.02</w:t>
                        </w:r>
                      </w:p>
                    </w:tc>
                    <w:tc>
                      <w:tcPr>
                        <w:tcW w:w="793" w:type="dxa"/>
                        <w:tcBorders>
                          <w:top w:val="nil"/>
                          <w:left w:val="nil"/>
                          <w:bottom w:val="nil"/>
                          <w:right w:val="nil"/>
                        </w:tcBorders>
                      </w:tcPr>
                      <w:p>
                        <w:pPr>
                          <w:pStyle w:val="TableParagraph"/>
                          <w:spacing w:before="43"/>
                          <w:ind w:left="109" w:right="237"/>
                          <w:rPr>
                            <w:sz w:val="18"/>
                          </w:rPr>
                        </w:pPr>
                        <w:r>
                          <w:rPr>
                            <w:sz w:val="18"/>
                          </w:rPr>
                          <w:t>1.17</w:t>
                        </w:r>
                      </w:p>
                    </w:tc>
                    <w:tc>
                      <w:tcPr>
                        <w:tcW w:w="525" w:type="dxa"/>
                        <w:tcBorders>
                          <w:top w:val="nil"/>
                          <w:left w:val="nil"/>
                          <w:bottom w:val="nil"/>
                          <w:right w:val="nil"/>
                        </w:tcBorders>
                      </w:tcPr>
                      <w:p>
                        <w:pPr>
                          <w:pStyle w:val="TableParagraph"/>
                          <w:spacing w:before="43"/>
                          <w:ind w:right="131"/>
                          <w:rPr>
                            <w:sz w:val="18"/>
                          </w:rPr>
                        </w:pPr>
                        <w:r>
                          <w:rPr>
                            <w:sz w:val="18"/>
                          </w:rPr>
                          <w:t>1.22</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1.07</w:t>
                        </w:r>
                      </w:p>
                    </w:tc>
                    <w:tc>
                      <w:tcPr>
                        <w:tcW w:w="658" w:type="dxa"/>
                        <w:tcBorders>
                          <w:top w:val="nil"/>
                          <w:left w:val="nil"/>
                          <w:bottom w:val="nil"/>
                          <w:right w:val="nil"/>
                        </w:tcBorders>
                      </w:tcPr>
                      <w:p>
                        <w:pPr>
                          <w:pStyle w:val="TableParagraph"/>
                          <w:spacing w:before="43"/>
                          <w:ind w:left="106" w:right="106"/>
                          <w:rPr>
                            <w:sz w:val="18"/>
                          </w:rPr>
                        </w:pPr>
                        <w:r>
                          <w:rPr>
                            <w:sz w:val="18"/>
                          </w:rPr>
                          <w:t>1.13</w:t>
                        </w:r>
                      </w:p>
                    </w:tc>
                    <w:tc>
                      <w:tcPr>
                        <w:tcW w:w="663" w:type="dxa"/>
                        <w:tcBorders>
                          <w:top w:val="nil"/>
                          <w:left w:val="nil"/>
                          <w:bottom w:val="nil"/>
                          <w:right w:val="nil"/>
                        </w:tcBorders>
                      </w:tcPr>
                      <w:p>
                        <w:pPr>
                          <w:pStyle w:val="TableParagraph"/>
                          <w:spacing w:before="43"/>
                          <w:ind w:left="107" w:right="110"/>
                          <w:rPr>
                            <w:sz w:val="18"/>
                          </w:rPr>
                        </w:pPr>
                        <w:r>
                          <w:rPr>
                            <w:sz w:val="18"/>
                          </w:rPr>
                          <w:t>1.15</w:t>
                        </w:r>
                      </w:p>
                    </w:tc>
                    <w:tc>
                      <w:tcPr>
                        <w:tcW w:w="701" w:type="dxa"/>
                        <w:tcBorders>
                          <w:top w:val="nil"/>
                          <w:left w:val="nil"/>
                          <w:bottom w:val="nil"/>
                          <w:right w:val="nil"/>
                        </w:tcBorders>
                      </w:tcPr>
                      <w:p>
                        <w:pPr>
                          <w:pStyle w:val="TableParagraph"/>
                          <w:spacing w:before="43"/>
                          <w:ind w:left="108" w:right="27"/>
                          <w:rPr>
                            <w:sz w:val="18"/>
                          </w:rPr>
                        </w:pPr>
                        <w:r>
                          <w:rPr>
                            <w:sz w:val="18"/>
                          </w:rPr>
                          <w:t>0.052</w:t>
                        </w:r>
                      </w:p>
                    </w:tc>
                    <w:tc>
                      <w:tcPr>
                        <w:tcW w:w="775" w:type="dxa"/>
                        <w:tcBorders>
                          <w:top w:val="nil"/>
                          <w:left w:val="nil"/>
                          <w:bottom w:val="nil"/>
                          <w:right w:val="nil"/>
                        </w:tcBorders>
                      </w:tcPr>
                      <w:p>
                        <w:pPr>
                          <w:pStyle w:val="TableParagraph"/>
                          <w:spacing w:before="43"/>
                          <w:ind w:left="114" w:right="112"/>
                          <w:rPr>
                            <w:sz w:val="18"/>
                          </w:rPr>
                        </w:pPr>
                        <w:r>
                          <w:rPr>
                            <w:sz w:val="18"/>
                          </w:rPr>
                          <w:t>0.0322</w:t>
                        </w:r>
                      </w:p>
                    </w:tc>
                    <w:tc>
                      <w:tcPr>
                        <w:tcW w:w="778" w:type="dxa"/>
                        <w:tcBorders>
                          <w:top w:val="nil"/>
                          <w:left w:val="nil"/>
                          <w:bottom w:val="nil"/>
                          <w:right w:val="nil"/>
                        </w:tcBorders>
                      </w:tcPr>
                      <w:p>
                        <w:pPr>
                          <w:pStyle w:val="TableParagraph"/>
                          <w:spacing w:before="43"/>
                          <w:ind w:left="115" w:right="111"/>
                          <w:rPr>
                            <w:sz w:val="18"/>
                          </w:rPr>
                        </w:pPr>
                        <w:r>
                          <w:rPr>
                            <w:sz w:val="18"/>
                          </w:rPr>
                          <w:t>0.6019</w:t>
                        </w:r>
                      </w:p>
                    </w:tc>
                    <w:tc>
                      <w:tcPr>
                        <w:tcW w:w="766" w:type="dxa"/>
                        <w:tcBorders>
                          <w:top w:val="nil"/>
                          <w:left w:val="nil"/>
                          <w:bottom w:val="nil"/>
                          <w:right w:val="nil"/>
                        </w:tcBorders>
                      </w:tcPr>
                      <w:p>
                        <w:pPr>
                          <w:pStyle w:val="TableParagraph"/>
                          <w:spacing w:before="43"/>
                          <w:ind w:left="115" w:right="115"/>
                          <w:rPr>
                            <w:sz w:val="18"/>
                          </w:rPr>
                        </w:pPr>
                        <w:r>
                          <w:rPr>
                            <w:sz w:val="18"/>
                          </w:rPr>
                          <w:t>0.4780</w:t>
                        </w:r>
                      </w:p>
                    </w:tc>
                  </w:tr>
                  <w:tr>
                    <w:trPr>
                      <w:trHeight w:val="310" w:hRule="exact"/>
                    </w:trPr>
                    <w:tc>
                      <w:tcPr>
                        <w:tcW w:w="1873" w:type="dxa"/>
                        <w:tcBorders>
                          <w:top w:val="nil"/>
                          <w:left w:val="nil"/>
                          <w:bottom w:val="nil"/>
                          <w:right w:val="nil"/>
                        </w:tcBorders>
                      </w:tcPr>
                      <w:p>
                        <w:pPr>
                          <w:pStyle w:val="TableParagraph"/>
                          <w:spacing w:before="43"/>
                          <w:ind w:left="125"/>
                          <w:jc w:val="left"/>
                          <w:rPr>
                            <w:sz w:val="18"/>
                          </w:rPr>
                        </w:pPr>
                        <w:r>
                          <w:rPr>
                            <w:sz w:val="18"/>
                          </w:rPr>
                          <w:t>C15:0</w:t>
                        </w:r>
                      </w:p>
                    </w:tc>
                    <w:tc>
                      <w:tcPr>
                        <w:tcW w:w="660" w:type="dxa"/>
                        <w:tcBorders>
                          <w:top w:val="nil"/>
                          <w:left w:val="nil"/>
                          <w:bottom w:val="nil"/>
                          <w:right w:val="nil"/>
                        </w:tcBorders>
                      </w:tcPr>
                      <w:p>
                        <w:pPr>
                          <w:pStyle w:val="TableParagraph"/>
                          <w:spacing w:before="43"/>
                          <w:ind w:left="107" w:right="107"/>
                          <w:rPr>
                            <w:sz w:val="18"/>
                          </w:rPr>
                        </w:pPr>
                        <w:r>
                          <w:rPr>
                            <w:sz w:val="18"/>
                          </w:rPr>
                          <w:t>1.22</w:t>
                        </w:r>
                      </w:p>
                    </w:tc>
                    <w:tc>
                      <w:tcPr>
                        <w:tcW w:w="793" w:type="dxa"/>
                        <w:tcBorders>
                          <w:top w:val="nil"/>
                          <w:left w:val="nil"/>
                          <w:bottom w:val="nil"/>
                          <w:right w:val="nil"/>
                        </w:tcBorders>
                      </w:tcPr>
                      <w:p>
                        <w:pPr>
                          <w:pStyle w:val="TableParagraph"/>
                          <w:spacing w:before="43"/>
                          <w:ind w:left="109" w:right="237"/>
                          <w:rPr>
                            <w:sz w:val="18"/>
                          </w:rPr>
                        </w:pPr>
                        <w:r>
                          <w:rPr>
                            <w:sz w:val="18"/>
                          </w:rPr>
                          <w:t>1.19</w:t>
                        </w:r>
                      </w:p>
                    </w:tc>
                    <w:tc>
                      <w:tcPr>
                        <w:tcW w:w="525" w:type="dxa"/>
                        <w:tcBorders>
                          <w:top w:val="nil"/>
                          <w:left w:val="nil"/>
                          <w:bottom w:val="nil"/>
                          <w:right w:val="nil"/>
                        </w:tcBorders>
                      </w:tcPr>
                      <w:p>
                        <w:pPr>
                          <w:pStyle w:val="TableParagraph"/>
                          <w:spacing w:before="43"/>
                          <w:ind w:right="131"/>
                          <w:rPr>
                            <w:sz w:val="18"/>
                          </w:rPr>
                        </w:pPr>
                        <w:r>
                          <w:rPr>
                            <w:sz w:val="18"/>
                          </w:rPr>
                          <w:t>1.23</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1.16</w:t>
                        </w:r>
                      </w:p>
                    </w:tc>
                    <w:tc>
                      <w:tcPr>
                        <w:tcW w:w="658" w:type="dxa"/>
                        <w:tcBorders>
                          <w:top w:val="nil"/>
                          <w:left w:val="nil"/>
                          <w:bottom w:val="nil"/>
                          <w:right w:val="nil"/>
                        </w:tcBorders>
                      </w:tcPr>
                      <w:p>
                        <w:pPr>
                          <w:pStyle w:val="TableParagraph"/>
                          <w:spacing w:before="43"/>
                          <w:ind w:left="106" w:right="106"/>
                          <w:rPr>
                            <w:sz w:val="18"/>
                          </w:rPr>
                        </w:pPr>
                        <w:r>
                          <w:rPr>
                            <w:sz w:val="18"/>
                          </w:rPr>
                          <w:t>1.04</w:t>
                        </w:r>
                      </w:p>
                    </w:tc>
                    <w:tc>
                      <w:tcPr>
                        <w:tcW w:w="663" w:type="dxa"/>
                        <w:tcBorders>
                          <w:top w:val="nil"/>
                          <w:left w:val="nil"/>
                          <w:bottom w:val="nil"/>
                          <w:right w:val="nil"/>
                        </w:tcBorders>
                      </w:tcPr>
                      <w:p>
                        <w:pPr>
                          <w:pStyle w:val="TableParagraph"/>
                          <w:spacing w:before="43"/>
                          <w:ind w:left="107" w:right="110"/>
                          <w:rPr>
                            <w:sz w:val="18"/>
                          </w:rPr>
                        </w:pPr>
                        <w:r>
                          <w:rPr>
                            <w:sz w:val="18"/>
                          </w:rPr>
                          <w:t>1.02</w:t>
                        </w:r>
                      </w:p>
                    </w:tc>
                    <w:tc>
                      <w:tcPr>
                        <w:tcW w:w="701" w:type="dxa"/>
                        <w:tcBorders>
                          <w:top w:val="nil"/>
                          <w:left w:val="nil"/>
                          <w:bottom w:val="nil"/>
                          <w:right w:val="nil"/>
                        </w:tcBorders>
                      </w:tcPr>
                      <w:p>
                        <w:pPr>
                          <w:pStyle w:val="TableParagraph"/>
                          <w:spacing w:before="43"/>
                          <w:ind w:left="108" w:right="27"/>
                          <w:rPr>
                            <w:sz w:val="18"/>
                          </w:rPr>
                        </w:pPr>
                        <w:r>
                          <w:rPr>
                            <w:sz w:val="18"/>
                          </w:rPr>
                          <w:t>0.030</w:t>
                        </w:r>
                      </w:p>
                    </w:tc>
                    <w:tc>
                      <w:tcPr>
                        <w:tcW w:w="775" w:type="dxa"/>
                        <w:tcBorders>
                          <w:top w:val="nil"/>
                          <w:left w:val="nil"/>
                          <w:bottom w:val="nil"/>
                          <w:right w:val="nil"/>
                        </w:tcBorders>
                      </w:tcPr>
                      <w:p>
                        <w:pPr>
                          <w:pStyle w:val="TableParagraph"/>
                          <w:spacing w:before="43"/>
                          <w:ind w:left="114" w:right="112"/>
                          <w:rPr>
                            <w:sz w:val="18"/>
                          </w:rPr>
                        </w:pPr>
                        <w:r>
                          <w:rPr>
                            <w:sz w:val="18"/>
                          </w:rPr>
                          <w:t>0.0397</w:t>
                        </w:r>
                      </w:p>
                    </w:tc>
                    <w:tc>
                      <w:tcPr>
                        <w:tcW w:w="778" w:type="dxa"/>
                        <w:tcBorders>
                          <w:top w:val="nil"/>
                          <w:left w:val="nil"/>
                          <w:bottom w:val="nil"/>
                          <w:right w:val="nil"/>
                        </w:tcBorders>
                      </w:tcPr>
                      <w:p>
                        <w:pPr>
                          <w:pStyle w:val="TableParagraph"/>
                          <w:spacing w:before="43"/>
                          <w:ind w:left="115" w:right="115"/>
                          <w:rPr>
                            <w:sz w:val="18"/>
                          </w:rPr>
                        </w:pPr>
                        <w:r>
                          <w:rPr>
                            <w:sz w:val="18"/>
                          </w:rPr>
                          <w:t>&lt;.0001</w:t>
                        </w:r>
                      </w:p>
                    </w:tc>
                    <w:tc>
                      <w:tcPr>
                        <w:tcW w:w="766" w:type="dxa"/>
                        <w:tcBorders>
                          <w:top w:val="nil"/>
                          <w:left w:val="nil"/>
                          <w:bottom w:val="nil"/>
                          <w:right w:val="nil"/>
                        </w:tcBorders>
                      </w:tcPr>
                      <w:p>
                        <w:pPr>
                          <w:pStyle w:val="TableParagraph"/>
                          <w:spacing w:before="43"/>
                          <w:ind w:left="115" w:right="115"/>
                          <w:rPr>
                            <w:sz w:val="18"/>
                          </w:rPr>
                        </w:pPr>
                        <w:r>
                          <w:rPr>
                            <w:sz w:val="18"/>
                          </w:rPr>
                          <w:t>0.0611</w:t>
                        </w:r>
                      </w:p>
                    </w:tc>
                  </w:tr>
                  <w:tr>
                    <w:trPr>
                      <w:trHeight w:val="310" w:hRule="exact"/>
                    </w:trPr>
                    <w:tc>
                      <w:tcPr>
                        <w:tcW w:w="1873" w:type="dxa"/>
                        <w:tcBorders>
                          <w:top w:val="nil"/>
                          <w:left w:val="nil"/>
                          <w:bottom w:val="nil"/>
                          <w:right w:val="nil"/>
                        </w:tcBorders>
                      </w:tcPr>
                      <w:p>
                        <w:pPr>
                          <w:pStyle w:val="TableParagraph"/>
                          <w:spacing w:before="41"/>
                          <w:ind w:left="125"/>
                          <w:jc w:val="left"/>
                          <w:rPr>
                            <w:sz w:val="18"/>
                          </w:rPr>
                        </w:pPr>
                        <w:r>
                          <w:rPr>
                            <w:sz w:val="18"/>
                          </w:rPr>
                          <w:t>C16:0</w:t>
                        </w:r>
                      </w:p>
                    </w:tc>
                    <w:tc>
                      <w:tcPr>
                        <w:tcW w:w="660" w:type="dxa"/>
                        <w:tcBorders>
                          <w:top w:val="nil"/>
                          <w:left w:val="nil"/>
                          <w:bottom w:val="nil"/>
                          <w:right w:val="nil"/>
                        </w:tcBorders>
                      </w:tcPr>
                      <w:p>
                        <w:pPr>
                          <w:pStyle w:val="TableParagraph"/>
                          <w:spacing w:before="41"/>
                          <w:ind w:left="107" w:right="107"/>
                          <w:rPr>
                            <w:sz w:val="18"/>
                          </w:rPr>
                        </w:pPr>
                        <w:r>
                          <w:rPr>
                            <w:sz w:val="18"/>
                          </w:rPr>
                          <w:t>29.31</w:t>
                        </w:r>
                      </w:p>
                    </w:tc>
                    <w:tc>
                      <w:tcPr>
                        <w:tcW w:w="793" w:type="dxa"/>
                        <w:tcBorders>
                          <w:top w:val="nil"/>
                          <w:left w:val="nil"/>
                          <w:bottom w:val="nil"/>
                          <w:right w:val="nil"/>
                        </w:tcBorders>
                      </w:tcPr>
                      <w:p>
                        <w:pPr>
                          <w:pStyle w:val="TableParagraph"/>
                          <w:spacing w:before="41"/>
                          <w:ind w:left="110" w:right="237"/>
                          <w:rPr>
                            <w:sz w:val="18"/>
                          </w:rPr>
                        </w:pPr>
                        <w:r>
                          <w:rPr>
                            <w:sz w:val="18"/>
                          </w:rPr>
                          <w:t>29.88</w:t>
                        </w:r>
                      </w:p>
                    </w:tc>
                    <w:tc>
                      <w:tcPr>
                        <w:tcW w:w="525" w:type="dxa"/>
                        <w:tcBorders>
                          <w:top w:val="nil"/>
                          <w:left w:val="nil"/>
                          <w:bottom w:val="nil"/>
                          <w:right w:val="nil"/>
                        </w:tcBorders>
                      </w:tcPr>
                      <w:p>
                        <w:pPr>
                          <w:pStyle w:val="TableParagraph"/>
                          <w:spacing w:before="41"/>
                          <w:ind w:left="-8" w:right="123"/>
                          <w:rPr>
                            <w:sz w:val="18"/>
                          </w:rPr>
                        </w:pPr>
                        <w:r>
                          <w:rPr>
                            <w:spacing w:val="-1"/>
                            <w:sz w:val="18"/>
                          </w:rPr>
                          <w:t>30.74</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27.84</w:t>
                        </w:r>
                      </w:p>
                    </w:tc>
                    <w:tc>
                      <w:tcPr>
                        <w:tcW w:w="658" w:type="dxa"/>
                        <w:tcBorders>
                          <w:top w:val="nil"/>
                          <w:left w:val="nil"/>
                          <w:bottom w:val="nil"/>
                          <w:right w:val="nil"/>
                        </w:tcBorders>
                      </w:tcPr>
                      <w:p>
                        <w:pPr>
                          <w:pStyle w:val="TableParagraph"/>
                          <w:spacing w:before="41"/>
                          <w:ind w:left="106" w:right="106"/>
                          <w:rPr>
                            <w:sz w:val="18"/>
                          </w:rPr>
                        </w:pPr>
                        <w:r>
                          <w:rPr>
                            <w:sz w:val="18"/>
                          </w:rPr>
                          <w:t>28.60</w:t>
                        </w:r>
                      </w:p>
                    </w:tc>
                    <w:tc>
                      <w:tcPr>
                        <w:tcW w:w="663" w:type="dxa"/>
                        <w:tcBorders>
                          <w:top w:val="nil"/>
                          <w:left w:val="nil"/>
                          <w:bottom w:val="nil"/>
                          <w:right w:val="nil"/>
                        </w:tcBorders>
                      </w:tcPr>
                      <w:p>
                        <w:pPr>
                          <w:pStyle w:val="TableParagraph"/>
                          <w:spacing w:before="41"/>
                          <w:ind w:left="107" w:right="110"/>
                          <w:rPr>
                            <w:sz w:val="18"/>
                          </w:rPr>
                        </w:pPr>
                        <w:r>
                          <w:rPr>
                            <w:sz w:val="18"/>
                          </w:rPr>
                          <w:t>30.64</w:t>
                        </w:r>
                      </w:p>
                    </w:tc>
                    <w:tc>
                      <w:tcPr>
                        <w:tcW w:w="701" w:type="dxa"/>
                        <w:tcBorders>
                          <w:top w:val="nil"/>
                          <w:left w:val="nil"/>
                          <w:bottom w:val="nil"/>
                          <w:right w:val="nil"/>
                        </w:tcBorders>
                      </w:tcPr>
                      <w:p>
                        <w:pPr>
                          <w:pStyle w:val="TableParagraph"/>
                          <w:spacing w:before="41"/>
                          <w:ind w:left="108" w:right="27"/>
                          <w:rPr>
                            <w:sz w:val="18"/>
                          </w:rPr>
                        </w:pPr>
                        <w:r>
                          <w:rPr>
                            <w:sz w:val="18"/>
                          </w:rPr>
                          <w:t>0.612</w:t>
                        </w:r>
                      </w:p>
                    </w:tc>
                    <w:tc>
                      <w:tcPr>
                        <w:tcW w:w="775" w:type="dxa"/>
                        <w:tcBorders>
                          <w:top w:val="nil"/>
                          <w:left w:val="nil"/>
                          <w:bottom w:val="nil"/>
                          <w:right w:val="nil"/>
                        </w:tcBorders>
                      </w:tcPr>
                      <w:p>
                        <w:pPr>
                          <w:pStyle w:val="TableParagraph"/>
                          <w:spacing w:before="41"/>
                          <w:ind w:left="114" w:right="112"/>
                          <w:rPr>
                            <w:sz w:val="18"/>
                          </w:rPr>
                        </w:pPr>
                        <w:r>
                          <w:rPr>
                            <w:sz w:val="18"/>
                          </w:rPr>
                          <w:t>0.0049</w:t>
                        </w:r>
                      </w:p>
                    </w:tc>
                    <w:tc>
                      <w:tcPr>
                        <w:tcW w:w="778" w:type="dxa"/>
                        <w:tcBorders>
                          <w:top w:val="nil"/>
                          <w:left w:val="nil"/>
                          <w:bottom w:val="nil"/>
                          <w:right w:val="nil"/>
                        </w:tcBorders>
                      </w:tcPr>
                      <w:p>
                        <w:pPr>
                          <w:pStyle w:val="TableParagraph"/>
                          <w:spacing w:before="41"/>
                          <w:ind w:left="115" w:right="111"/>
                          <w:rPr>
                            <w:sz w:val="18"/>
                          </w:rPr>
                        </w:pPr>
                        <w:r>
                          <w:rPr>
                            <w:sz w:val="18"/>
                          </w:rPr>
                          <w:t>0.0746</w:t>
                        </w:r>
                      </w:p>
                    </w:tc>
                    <w:tc>
                      <w:tcPr>
                        <w:tcW w:w="766" w:type="dxa"/>
                        <w:tcBorders>
                          <w:top w:val="nil"/>
                          <w:left w:val="nil"/>
                          <w:bottom w:val="nil"/>
                          <w:right w:val="nil"/>
                        </w:tcBorders>
                      </w:tcPr>
                      <w:p>
                        <w:pPr>
                          <w:pStyle w:val="TableParagraph"/>
                          <w:spacing w:before="41"/>
                          <w:ind w:left="115" w:right="115"/>
                          <w:rPr>
                            <w:sz w:val="18"/>
                          </w:rPr>
                        </w:pPr>
                        <w:r>
                          <w:rPr>
                            <w:sz w:val="18"/>
                          </w:rPr>
                          <w:t>0.5245</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C16:1</w:t>
                        </w:r>
                      </w:p>
                    </w:tc>
                    <w:tc>
                      <w:tcPr>
                        <w:tcW w:w="660" w:type="dxa"/>
                        <w:tcBorders>
                          <w:top w:val="nil"/>
                          <w:left w:val="nil"/>
                          <w:bottom w:val="nil"/>
                          <w:right w:val="nil"/>
                        </w:tcBorders>
                      </w:tcPr>
                      <w:p>
                        <w:pPr>
                          <w:pStyle w:val="TableParagraph"/>
                          <w:spacing w:before="43"/>
                          <w:ind w:left="107" w:right="107"/>
                          <w:rPr>
                            <w:sz w:val="18"/>
                          </w:rPr>
                        </w:pPr>
                        <w:r>
                          <w:rPr>
                            <w:sz w:val="18"/>
                          </w:rPr>
                          <w:t>1.99</w:t>
                        </w:r>
                      </w:p>
                    </w:tc>
                    <w:tc>
                      <w:tcPr>
                        <w:tcW w:w="793" w:type="dxa"/>
                        <w:tcBorders>
                          <w:top w:val="nil"/>
                          <w:left w:val="nil"/>
                          <w:bottom w:val="nil"/>
                          <w:right w:val="nil"/>
                        </w:tcBorders>
                      </w:tcPr>
                      <w:p>
                        <w:pPr>
                          <w:pStyle w:val="TableParagraph"/>
                          <w:spacing w:before="43"/>
                          <w:ind w:left="109" w:right="237"/>
                          <w:rPr>
                            <w:sz w:val="18"/>
                          </w:rPr>
                        </w:pPr>
                        <w:r>
                          <w:rPr>
                            <w:sz w:val="18"/>
                          </w:rPr>
                          <w:t>2.09</w:t>
                        </w:r>
                      </w:p>
                    </w:tc>
                    <w:tc>
                      <w:tcPr>
                        <w:tcW w:w="525" w:type="dxa"/>
                        <w:tcBorders>
                          <w:top w:val="nil"/>
                          <w:left w:val="nil"/>
                          <w:bottom w:val="nil"/>
                          <w:right w:val="nil"/>
                        </w:tcBorders>
                      </w:tcPr>
                      <w:p>
                        <w:pPr>
                          <w:pStyle w:val="TableParagraph"/>
                          <w:spacing w:before="43"/>
                          <w:ind w:right="131"/>
                          <w:rPr>
                            <w:sz w:val="18"/>
                          </w:rPr>
                        </w:pPr>
                        <w:r>
                          <w:rPr>
                            <w:sz w:val="18"/>
                          </w:rPr>
                          <w:t>1.99</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1.85</w:t>
                        </w:r>
                      </w:p>
                    </w:tc>
                    <w:tc>
                      <w:tcPr>
                        <w:tcW w:w="658" w:type="dxa"/>
                        <w:tcBorders>
                          <w:top w:val="nil"/>
                          <w:left w:val="nil"/>
                          <w:bottom w:val="nil"/>
                          <w:right w:val="nil"/>
                        </w:tcBorders>
                      </w:tcPr>
                      <w:p>
                        <w:pPr>
                          <w:pStyle w:val="TableParagraph"/>
                          <w:spacing w:before="43"/>
                          <w:ind w:left="106" w:right="106"/>
                          <w:rPr>
                            <w:sz w:val="18"/>
                          </w:rPr>
                        </w:pPr>
                        <w:r>
                          <w:rPr>
                            <w:sz w:val="18"/>
                          </w:rPr>
                          <w:t>1.73</w:t>
                        </w:r>
                      </w:p>
                    </w:tc>
                    <w:tc>
                      <w:tcPr>
                        <w:tcW w:w="663" w:type="dxa"/>
                        <w:tcBorders>
                          <w:top w:val="nil"/>
                          <w:left w:val="nil"/>
                          <w:bottom w:val="nil"/>
                          <w:right w:val="nil"/>
                        </w:tcBorders>
                      </w:tcPr>
                      <w:p>
                        <w:pPr>
                          <w:pStyle w:val="TableParagraph"/>
                          <w:spacing w:before="43"/>
                          <w:ind w:left="107" w:right="110"/>
                          <w:rPr>
                            <w:sz w:val="18"/>
                          </w:rPr>
                        </w:pPr>
                        <w:r>
                          <w:rPr>
                            <w:sz w:val="18"/>
                          </w:rPr>
                          <w:t>1.72</w:t>
                        </w:r>
                      </w:p>
                    </w:tc>
                    <w:tc>
                      <w:tcPr>
                        <w:tcW w:w="701" w:type="dxa"/>
                        <w:tcBorders>
                          <w:top w:val="nil"/>
                          <w:left w:val="nil"/>
                          <w:bottom w:val="nil"/>
                          <w:right w:val="nil"/>
                        </w:tcBorders>
                      </w:tcPr>
                      <w:p>
                        <w:pPr>
                          <w:pStyle w:val="TableParagraph"/>
                          <w:spacing w:before="43"/>
                          <w:ind w:left="108" w:right="27"/>
                          <w:rPr>
                            <w:sz w:val="18"/>
                          </w:rPr>
                        </w:pPr>
                        <w:r>
                          <w:rPr>
                            <w:sz w:val="18"/>
                          </w:rPr>
                          <w:t>0.059</w:t>
                        </w:r>
                      </w:p>
                    </w:tc>
                    <w:tc>
                      <w:tcPr>
                        <w:tcW w:w="775" w:type="dxa"/>
                        <w:tcBorders>
                          <w:top w:val="nil"/>
                          <w:left w:val="nil"/>
                          <w:bottom w:val="nil"/>
                          <w:right w:val="nil"/>
                        </w:tcBorders>
                      </w:tcPr>
                      <w:p>
                        <w:pPr>
                          <w:pStyle w:val="TableParagraph"/>
                          <w:spacing w:before="43"/>
                          <w:ind w:left="114" w:right="112"/>
                          <w:rPr>
                            <w:sz w:val="18"/>
                          </w:rPr>
                        </w:pPr>
                        <w:r>
                          <w:rPr>
                            <w:sz w:val="18"/>
                          </w:rPr>
                          <w:t>0.5418</w:t>
                        </w:r>
                      </w:p>
                    </w:tc>
                    <w:tc>
                      <w:tcPr>
                        <w:tcW w:w="778" w:type="dxa"/>
                        <w:tcBorders>
                          <w:top w:val="nil"/>
                          <w:left w:val="nil"/>
                          <w:bottom w:val="nil"/>
                          <w:right w:val="nil"/>
                        </w:tcBorders>
                      </w:tcPr>
                      <w:p>
                        <w:pPr>
                          <w:pStyle w:val="TableParagraph"/>
                          <w:spacing w:before="43"/>
                          <w:ind w:left="115" w:right="115"/>
                          <w:rPr>
                            <w:sz w:val="18"/>
                          </w:rPr>
                        </w:pPr>
                        <w:r>
                          <w:rPr>
                            <w:sz w:val="18"/>
                          </w:rPr>
                          <w:t>&lt;.0001</w:t>
                        </w:r>
                      </w:p>
                    </w:tc>
                    <w:tc>
                      <w:tcPr>
                        <w:tcW w:w="766" w:type="dxa"/>
                        <w:tcBorders>
                          <w:top w:val="nil"/>
                          <w:left w:val="nil"/>
                          <w:bottom w:val="nil"/>
                          <w:right w:val="nil"/>
                        </w:tcBorders>
                      </w:tcPr>
                      <w:p>
                        <w:pPr>
                          <w:pStyle w:val="TableParagraph"/>
                          <w:spacing w:before="43"/>
                          <w:ind w:left="115" w:right="115"/>
                          <w:rPr>
                            <w:sz w:val="18"/>
                          </w:rPr>
                        </w:pPr>
                        <w:r>
                          <w:rPr>
                            <w:sz w:val="18"/>
                          </w:rPr>
                          <w:t>0.2595</w:t>
                        </w:r>
                      </w:p>
                    </w:tc>
                  </w:tr>
                  <w:tr>
                    <w:trPr>
                      <w:trHeight w:val="294" w:hRule="exact"/>
                    </w:trPr>
                    <w:tc>
                      <w:tcPr>
                        <w:tcW w:w="1873" w:type="dxa"/>
                        <w:tcBorders>
                          <w:top w:val="nil"/>
                          <w:left w:val="nil"/>
                          <w:bottom w:val="nil"/>
                          <w:right w:val="nil"/>
                        </w:tcBorders>
                      </w:tcPr>
                      <w:p>
                        <w:pPr>
                          <w:pStyle w:val="TableParagraph"/>
                          <w:spacing w:before="43"/>
                          <w:ind w:left="125"/>
                          <w:jc w:val="left"/>
                          <w:rPr>
                            <w:sz w:val="18"/>
                          </w:rPr>
                        </w:pPr>
                        <w:r>
                          <w:rPr>
                            <w:sz w:val="18"/>
                          </w:rPr>
                          <w:t>C17:0</w:t>
                        </w:r>
                      </w:p>
                    </w:tc>
                    <w:tc>
                      <w:tcPr>
                        <w:tcW w:w="660" w:type="dxa"/>
                        <w:tcBorders>
                          <w:top w:val="nil"/>
                          <w:left w:val="nil"/>
                          <w:bottom w:val="nil"/>
                          <w:right w:val="nil"/>
                        </w:tcBorders>
                      </w:tcPr>
                      <w:p>
                        <w:pPr>
                          <w:pStyle w:val="TableParagraph"/>
                          <w:spacing w:before="43"/>
                          <w:ind w:left="107" w:right="107"/>
                          <w:rPr>
                            <w:sz w:val="18"/>
                          </w:rPr>
                        </w:pPr>
                        <w:r>
                          <w:rPr>
                            <w:sz w:val="18"/>
                          </w:rPr>
                          <w:t>0.77</w:t>
                        </w:r>
                      </w:p>
                    </w:tc>
                    <w:tc>
                      <w:tcPr>
                        <w:tcW w:w="793" w:type="dxa"/>
                        <w:tcBorders>
                          <w:top w:val="nil"/>
                          <w:left w:val="nil"/>
                          <w:bottom w:val="nil"/>
                          <w:right w:val="nil"/>
                        </w:tcBorders>
                      </w:tcPr>
                      <w:p>
                        <w:pPr>
                          <w:pStyle w:val="TableParagraph"/>
                          <w:spacing w:before="43"/>
                          <w:ind w:left="109" w:right="237"/>
                          <w:rPr>
                            <w:sz w:val="18"/>
                          </w:rPr>
                        </w:pPr>
                        <w:r>
                          <w:rPr>
                            <w:sz w:val="18"/>
                          </w:rPr>
                          <w:t>0.76</w:t>
                        </w:r>
                      </w:p>
                    </w:tc>
                    <w:tc>
                      <w:tcPr>
                        <w:tcW w:w="525" w:type="dxa"/>
                        <w:tcBorders>
                          <w:top w:val="nil"/>
                          <w:left w:val="nil"/>
                          <w:bottom w:val="nil"/>
                          <w:right w:val="nil"/>
                        </w:tcBorders>
                      </w:tcPr>
                      <w:p>
                        <w:pPr>
                          <w:pStyle w:val="TableParagraph"/>
                          <w:spacing w:before="43"/>
                          <w:ind w:right="131"/>
                          <w:rPr>
                            <w:sz w:val="18"/>
                          </w:rPr>
                        </w:pPr>
                        <w:r>
                          <w:rPr>
                            <w:sz w:val="18"/>
                          </w:rPr>
                          <w:t>0.74</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0.80</w:t>
                        </w:r>
                      </w:p>
                    </w:tc>
                    <w:tc>
                      <w:tcPr>
                        <w:tcW w:w="658" w:type="dxa"/>
                        <w:tcBorders>
                          <w:top w:val="nil"/>
                          <w:left w:val="nil"/>
                          <w:bottom w:val="nil"/>
                          <w:right w:val="nil"/>
                        </w:tcBorders>
                      </w:tcPr>
                      <w:p>
                        <w:pPr>
                          <w:pStyle w:val="TableParagraph"/>
                          <w:spacing w:before="43"/>
                          <w:ind w:left="106" w:right="106"/>
                          <w:rPr>
                            <w:sz w:val="18"/>
                          </w:rPr>
                        </w:pPr>
                        <w:r>
                          <w:rPr>
                            <w:sz w:val="18"/>
                          </w:rPr>
                          <w:t>0.72</w:t>
                        </w:r>
                      </w:p>
                    </w:tc>
                    <w:tc>
                      <w:tcPr>
                        <w:tcW w:w="663" w:type="dxa"/>
                        <w:tcBorders>
                          <w:top w:val="nil"/>
                          <w:left w:val="nil"/>
                          <w:bottom w:val="nil"/>
                          <w:right w:val="nil"/>
                        </w:tcBorders>
                      </w:tcPr>
                      <w:p>
                        <w:pPr>
                          <w:pStyle w:val="TableParagraph"/>
                          <w:spacing w:before="43"/>
                          <w:ind w:left="107" w:right="110"/>
                          <w:rPr>
                            <w:sz w:val="18"/>
                          </w:rPr>
                        </w:pPr>
                        <w:r>
                          <w:rPr>
                            <w:sz w:val="18"/>
                          </w:rPr>
                          <w:t>0.70</w:t>
                        </w:r>
                      </w:p>
                    </w:tc>
                    <w:tc>
                      <w:tcPr>
                        <w:tcW w:w="701" w:type="dxa"/>
                        <w:tcBorders>
                          <w:top w:val="nil"/>
                          <w:left w:val="nil"/>
                          <w:bottom w:val="nil"/>
                          <w:right w:val="nil"/>
                        </w:tcBorders>
                      </w:tcPr>
                      <w:p>
                        <w:pPr>
                          <w:pStyle w:val="TableParagraph"/>
                          <w:spacing w:before="43"/>
                          <w:ind w:left="108" w:right="27"/>
                          <w:rPr>
                            <w:sz w:val="18"/>
                          </w:rPr>
                        </w:pPr>
                        <w:r>
                          <w:rPr>
                            <w:sz w:val="18"/>
                          </w:rPr>
                          <w:t>0.015</w:t>
                        </w:r>
                      </w:p>
                    </w:tc>
                    <w:tc>
                      <w:tcPr>
                        <w:tcW w:w="775" w:type="dxa"/>
                        <w:tcBorders>
                          <w:top w:val="nil"/>
                          <w:left w:val="nil"/>
                          <w:bottom w:val="nil"/>
                          <w:right w:val="nil"/>
                        </w:tcBorders>
                      </w:tcPr>
                      <w:p>
                        <w:pPr>
                          <w:pStyle w:val="TableParagraph"/>
                          <w:spacing w:before="43"/>
                          <w:ind w:left="114" w:right="112"/>
                          <w:rPr>
                            <w:sz w:val="18"/>
                          </w:rPr>
                        </w:pPr>
                        <w:r>
                          <w:rPr>
                            <w:sz w:val="18"/>
                          </w:rPr>
                          <w:t>0.0009</w:t>
                        </w:r>
                      </w:p>
                    </w:tc>
                    <w:tc>
                      <w:tcPr>
                        <w:tcW w:w="778" w:type="dxa"/>
                        <w:tcBorders>
                          <w:top w:val="nil"/>
                          <w:left w:val="nil"/>
                          <w:bottom w:val="nil"/>
                          <w:right w:val="nil"/>
                        </w:tcBorders>
                      </w:tcPr>
                      <w:p>
                        <w:pPr>
                          <w:pStyle w:val="TableParagraph"/>
                          <w:spacing w:before="43"/>
                          <w:ind w:left="115" w:right="111"/>
                          <w:rPr>
                            <w:sz w:val="18"/>
                          </w:rPr>
                        </w:pPr>
                        <w:r>
                          <w:rPr>
                            <w:sz w:val="18"/>
                          </w:rPr>
                          <w:t>0.1797</w:t>
                        </w:r>
                      </w:p>
                    </w:tc>
                    <w:tc>
                      <w:tcPr>
                        <w:tcW w:w="766" w:type="dxa"/>
                        <w:tcBorders>
                          <w:top w:val="nil"/>
                          <w:left w:val="nil"/>
                          <w:bottom w:val="nil"/>
                          <w:right w:val="nil"/>
                        </w:tcBorders>
                      </w:tcPr>
                      <w:p>
                        <w:pPr>
                          <w:pStyle w:val="TableParagraph"/>
                          <w:spacing w:before="43"/>
                          <w:ind w:left="115" w:right="115"/>
                          <w:rPr>
                            <w:sz w:val="18"/>
                          </w:rPr>
                        </w:pPr>
                        <w:r>
                          <w:rPr>
                            <w:sz w:val="18"/>
                          </w:rPr>
                          <w:t>0.0688</w:t>
                        </w:r>
                      </w:p>
                    </w:tc>
                  </w:tr>
                  <w:tr>
                    <w:trPr>
                      <w:trHeight w:val="325" w:hRule="exact"/>
                    </w:trPr>
                    <w:tc>
                      <w:tcPr>
                        <w:tcW w:w="1873" w:type="dxa"/>
                        <w:tcBorders>
                          <w:top w:val="nil"/>
                          <w:left w:val="nil"/>
                          <w:bottom w:val="nil"/>
                          <w:right w:val="nil"/>
                        </w:tcBorders>
                      </w:tcPr>
                      <w:p>
                        <w:pPr>
                          <w:pStyle w:val="TableParagraph"/>
                          <w:spacing w:before="57"/>
                          <w:ind w:left="125"/>
                          <w:jc w:val="left"/>
                          <w:rPr>
                            <w:sz w:val="18"/>
                          </w:rPr>
                        </w:pPr>
                        <w:r>
                          <w:rPr>
                            <w:sz w:val="18"/>
                          </w:rPr>
                          <w:t>C17:1</w:t>
                        </w:r>
                      </w:p>
                    </w:tc>
                    <w:tc>
                      <w:tcPr>
                        <w:tcW w:w="660" w:type="dxa"/>
                        <w:tcBorders>
                          <w:top w:val="nil"/>
                          <w:left w:val="nil"/>
                          <w:bottom w:val="nil"/>
                          <w:right w:val="nil"/>
                        </w:tcBorders>
                      </w:tcPr>
                      <w:p>
                        <w:pPr>
                          <w:pStyle w:val="TableParagraph"/>
                          <w:spacing w:before="33"/>
                          <w:ind w:left="103" w:right="107"/>
                          <w:rPr>
                            <w:sz w:val="12"/>
                          </w:rPr>
                        </w:pPr>
                        <w:r>
                          <w:rPr>
                            <w:sz w:val="18"/>
                          </w:rPr>
                          <w:t>0.27</w:t>
                        </w:r>
                        <w:r>
                          <w:rPr>
                            <w:position w:val="8"/>
                            <w:sz w:val="12"/>
                          </w:rPr>
                          <w:t>a</w:t>
                        </w:r>
                      </w:p>
                    </w:tc>
                    <w:tc>
                      <w:tcPr>
                        <w:tcW w:w="793" w:type="dxa"/>
                        <w:tcBorders>
                          <w:top w:val="nil"/>
                          <w:left w:val="nil"/>
                          <w:bottom w:val="nil"/>
                          <w:right w:val="nil"/>
                        </w:tcBorders>
                      </w:tcPr>
                      <w:p>
                        <w:pPr>
                          <w:pStyle w:val="TableParagraph"/>
                          <w:spacing w:before="33"/>
                          <w:ind w:left="105" w:right="237"/>
                          <w:rPr>
                            <w:sz w:val="12"/>
                          </w:rPr>
                        </w:pPr>
                        <w:r>
                          <w:rPr>
                            <w:sz w:val="18"/>
                          </w:rPr>
                          <w:t>0.26</w:t>
                        </w:r>
                        <w:r>
                          <w:rPr>
                            <w:position w:val="8"/>
                            <w:sz w:val="12"/>
                          </w:rPr>
                          <w:t>a</w:t>
                        </w:r>
                      </w:p>
                    </w:tc>
                    <w:tc>
                      <w:tcPr>
                        <w:tcW w:w="525" w:type="dxa"/>
                        <w:tcBorders>
                          <w:top w:val="nil"/>
                          <w:left w:val="nil"/>
                          <w:bottom w:val="nil"/>
                          <w:right w:val="nil"/>
                        </w:tcBorders>
                      </w:tcPr>
                      <w:p>
                        <w:pPr>
                          <w:pStyle w:val="TableParagraph"/>
                          <w:spacing w:before="33"/>
                          <w:ind w:right="133"/>
                          <w:rPr>
                            <w:sz w:val="12"/>
                          </w:rPr>
                        </w:pPr>
                        <w:r>
                          <w:rPr>
                            <w:sz w:val="18"/>
                          </w:rPr>
                          <w:t>0.23</w:t>
                        </w:r>
                        <w:r>
                          <w:rPr>
                            <w:position w:val="8"/>
                            <w:sz w:val="12"/>
                          </w:rPr>
                          <w:t>b</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33"/>
                          <w:ind w:left="104" w:right="106"/>
                          <w:rPr>
                            <w:sz w:val="12"/>
                          </w:rPr>
                        </w:pPr>
                        <w:r>
                          <w:rPr>
                            <w:sz w:val="18"/>
                          </w:rPr>
                          <w:t>0.28</w:t>
                        </w:r>
                        <w:r>
                          <w:rPr>
                            <w:position w:val="8"/>
                            <w:sz w:val="12"/>
                          </w:rPr>
                          <w:t>a</w:t>
                        </w:r>
                      </w:p>
                    </w:tc>
                    <w:tc>
                      <w:tcPr>
                        <w:tcW w:w="658" w:type="dxa"/>
                        <w:tcBorders>
                          <w:top w:val="nil"/>
                          <w:left w:val="nil"/>
                          <w:bottom w:val="nil"/>
                          <w:right w:val="nil"/>
                        </w:tcBorders>
                      </w:tcPr>
                      <w:p>
                        <w:pPr>
                          <w:pStyle w:val="TableParagraph"/>
                          <w:spacing w:before="33"/>
                          <w:ind w:left="106" w:right="106"/>
                          <w:rPr>
                            <w:sz w:val="12"/>
                          </w:rPr>
                        </w:pPr>
                        <w:r>
                          <w:rPr>
                            <w:sz w:val="18"/>
                          </w:rPr>
                          <w:t>0.22</w:t>
                        </w:r>
                        <w:r>
                          <w:rPr>
                            <w:position w:val="8"/>
                            <w:sz w:val="12"/>
                          </w:rPr>
                          <w:t>b</w:t>
                        </w:r>
                      </w:p>
                    </w:tc>
                    <w:tc>
                      <w:tcPr>
                        <w:tcW w:w="663" w:type="dxa"/>
                        <w:tcBorders>
                          <w:top w:val="nil"/>
                          <w:left w:val="nil"/>
                          <w:bottom w:val="nil"/>
                          <w:right w:val="nil"/>
                        </w:tcBorders>
                      </w:tcPr>
                      <w:p>
                        <w:pPr>
                          <w:pStyle w:val="TableParagraph"/>
                          <w:spacing w:before="33"/>
                          <w:ind w:left="107" w:right="107"/>
                          <w:rPr>
                            <w:sz w:val="12"/>
                          </w:rPr>
                        </w:pPr>
                        <w:r>
                          <w:rPr>
                            <w:sz w:val="18"/>
                          </w:rPr>
                          <w:t>0.19</w:t>
                        </w:r>
                        <w:r>
                          <w:rPr>
                            <w:position w:val="8"/>
                            <w:sz w:val="12"/>
                          </w:rPr>
                          <w:t>c</w:t>
                        </w:r>
                      </w:p>
                    </w:tc>
                    <w:tc>
                      <w:tcPr>
                        <w:tcW w:w="701" w:type="dxa"/>
                        <w:tcBorders>
                          <w:top w:val="nil"/>
                          <w:left w:val="nil"/>
                          <w:bottom w:val="nil"/>
                          <w:right w:val="nil"/>
                        </w:tcBorders>
                      </w:tcPr>
                      <w:p>
                        <w:pPr>
                          <w:pStyle w:val="TableParagraph"/>
                          <w:spacing w:before="57"/>
                          <w:ind w:left="108" w:right="27"/>
                          <w:rPr>
                            <w:sz w:val="18"/>
                          </w:rPr>
                        </w:pPr>
                        <w:r>
                          <w:rPr>
                            <w:sz w:val="18"/>
                          </w:rPr>
                          <w:t>0.010</w:t>
                        </w:r>
                      </w:p>
                    </w:tc>
                    <w:tc>
                      <w:tcPr>
                        <w:tcW w:w="775" w:type="dxa"/>
                        <w:tcBorders>
                          <w:top w:val="nil"/>
                          <w:left w:val="nil"/>
                          <w:bottom w:val="nil"/>
                          <w:right w:val="nil"/>
                        </w:tcBorders>
                      </w:tcPr>
                      <w:p>
                        <w:pPr>
                          <w:pStyle w:val="TableParagraph"/>
                          <w:spacing w:before="57"/>
                          <w:ind w:left="114" w:right="114"/>
                          <w:rPr>
                            <w:sz w:val="18"/>
                          </w:rPr>
                        </w:pPr>
                        <w:r>
                          <w:rPr>
                            <w:sz w:val="18"/>
                          </w:rPr>
                          <w:t>&lt;.0001</w:t>
                        </w:r>
                      </w:p>
                    </w:tc>
                    <w:tc>
                      <w:tcPr>
                        <w:tcW w:w="778" w:type="dxa"/>
                        <w:tcBorders>
                          <w:top w:val="nil"/>
                          <w:left w:val="nil"/>
                          <w:bottom w:val="nil"/>
                          <w:right w:val="nil"/>
                        </w:tcBorders>
                      </w:tcPr>
                      <w:p>
                        <w:pPr>
                          <w:pStyle w:val="TableParagraph"/>
                          <w:spacing w:before="57"/>
                          <w:ind w:left="115" w:right="111"/>
                          <w:rPr>
                            <w:sz w:val="18"/>
                          </w:rPr>
                        </w:pPr>
                        <w:r>
                          <w:rPr>
                            <w:sz w:val="18"/>
                          </w:rPr>
                          <w:t>0.0040</w:t>
                        </w:r>
                      </w:p>
                    </w:tc>
                    <w:tc>
                      <w:tcPr>
                        <w:tcW w:w="766" w:type="dxa"/>
                        <w:tcBorders>
                          <w:top w:val="nil"/>
                          <w:left w:val="nil"/>
                          <w:bottom w:val="nil"/>
                          <w:right w:val="nil"/>
                        </w:tcBorders>
                      </w:tcPr>
                      <w:p>
                        <w:pPr>
                          <w:pStyle w:val="TableParagraph"/>
                          <w:spacing w:before="57"/>
                          <w:ind w:left="115" w:right="115"/>
                          <w:rPr>
                            <w:sz w:val="18"/>
                          </w:rPr>
                        </w:pPr>
                        <w:r>
                          <w:rPr>
                            <w:sz w:val="18"/>
                          </w:rPr>
                          <w:t>0.0119</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C18:0</w:t>
                        </w:r>
                      </w:p>
                    </w:tc>
                    <w:tc>
                      <w:tcPr>
                        <w:tcW w:w="660" w:type="dxa"/>
                        <w:tcBorders>
                          <w:top w:val="nil"/>
                          <w:left w:val="nil"/>
                          <w:bottom w:val="nil"/>
                          <w:right w:val="nil"/>
                        </w:tcBorders>
                      </w:tcPr>
                      <w:p>
                        <w:pPr>
                          <w:pStyle w:val="TableParagraph"/>
                          <w:spacing w:before="43"/>
                          <w:ind w:left="107" w:right="107"/>
                          <w:rPr>
                            <w:sz w:val="18"/>
                          </w:rPr>
                        </w:pPr>
                        <w:r>
                          <w:rPr>
                            <w:sz w:val="18"/>
                          </w:rPr>
                          <w:t>12.95</w:t>
                        </w:r>
                      </w:p>
                    </w:tc>
                    <w:tc>
                      <w:tcPr>
                        <w:tcW w:w="793" w:type="dxa"/>
                        <w:tcBorders>
                          <w:top w:val="nil"/>
                          <w:left w:val="nil"/>
                          <w:bottom w:val="nil"/>
                          <w:right w:val="nil"/>
                        </w:tcBorders>
                      </w:tcPr>
                      <w:p>
                        <w:pPr>
                          <w:pStyle w:val="TableParagraph"/>
                          <w:spacing w:before="43"/>
                          <w:ind w:left="110" w:right="237"/>
                          <w:rPr>
                            <w:sz w:val="18"/>
                          </w:rPr>
                        </w:pPr>
                        <w:r>
                          <w:rPr>
                            <w:sz w:val="18"/>
                          </w:rPr>
                          <w:t>11.82</w:t>
                        </w:r>
                      </w:p>
                    </w:tc>
                    <w:tc>
                      <w:tcPr>
                        <w:tcW w:w="525" w:type="dxa"/>
                        <w:tcBorders>
                          <w:top w:val="nil"/>
                          <w:left w:val="nil"/>
                          <w:bottom w:val="nil"/>
                          <w:right w:val="nil"/>
                        </w:tcBorders>
                      </w:tcPr>
                      <w:p>
                        <w:pPr>
                          <w:pStyle w:val="TableParagraph"/>
                          <w:spacing w:before="43"/>
                          <w:ind w:left="-8" w:right="123"/>
                          <w:rPr>
                            <w:sz w:val="18"/>
                          </w:rPr>
                        </w:pPr>
                        <w:r>
                          <w:rPr>
                            <w:spacing w:val="-1"/>
                            <w:sz w:val="18"/>
                          </w:rPr>
                          <w:t>10.58</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12.13</w:t>
                        </w:r>
                      </w:p>
                    </w:tc>
                    <w:tc>
                      <w:tcPr>
                        <w:tcW w:w="658" w:type="dxa"/>
                        <w:tcBorders>
                          <w:top w:val="nil"/>
                          <w:left w:val="nil"/>
                          <w:bottom w:val="nil"/>
                          <w:right w:val="nil"/>
                        </w:tcBorders>
                      </w:tcPr>
                      <w:p>
                        <w:pPr>
                          <w:pStyle w:val="TableParagraph"/>
                          <w:spacing w:before="43"/>
                          <w:ind w:left="106" w:right="106"/>
                          <w:rPr>
                            <w:sz w:val="18"/>
                          </w:rPr>
                        </w:pPr>
                        <w:r>
                          <w:rPr>
                            <w:sz w:val="18"/>
                          </w:rPr>
                          <w:t>12.07</w:t>
                        </w:r>
                      </w:p>
                    </w:tc>
                    <w:tc>
                      <w:tcPr>
                        <w:tcW w:w="663" w:type="dxa"/>
                        <w:tcBorders>
                          <w:top w:val="nil"/>
                          <w:left w:val="nil"/>
                          <w:bottom w:val="nil"/>
                          <w:right w:val="nil"/>
                        </w:tcBorders>
                      </w:tcPr>
                      <w:p>
                        <w:pPr>
                          <w:pStyle w:val="TableParagraph"/>
                          <w:spacing w:before="43"/>
                          <w:ind w:left="107" w:right="110"/>
                          <w:rPr>
                            <w:sz w:val="18"/>
                          </w:rPr>
                        </w:pPr>
                        <w:r>
                          <w:rPr>
                            <w:sz w:val="18"/>
                          </w:rPr>
                          <w:t>10.77</w:t>
                        </w:r>
                      </w:p>
                    </w:tc>
                    <w:tc>
                      <w:tcPr>
                        <w:tcW w:w="701" w:type="dxa"/>
                        <w:tcBorders>
                          <w:top w:val="nil"/>
                          <w:left w:val="nil"/>
                          <w:bottom w:val="nil"/>
                          <w:right w:val="nil"/>
                        </w:tcBorders>
                      </w:tcPr>
                      <w:p>
                        <w:pPr>
                          <w:pStyle w:val="TableParagraph"/>
                          <w:spacing w:before="43"/>
                          <w:ind w:left="108" w:right="27"/>
                          <w:rPr>
                            <w:sz w:val="18"/>
                          </w:rPr>
                        </w:pPr>
                        <w:r>
                          <w:rPr>
                            <w:sz w:val="18"/>
                          </w:rPr>
                          <w:t>0.315</w:t>
                        </w:r>
                      </w:p>
                    </w:tc>
                    <w:tc>
                      <w:tcPr>
                        <w:tcW w:w="775" w:type="dxa"/>
                        <w:tcBorders>
                          <w:top w:val="nil"/>
                          <w:left w:val="nil"/>
                          <w:bottom w:val="nil"/>
                          <w:right w:val="nil"/>
                        </w:tcBorders>
                      </w:tcPr>
                      <w:p>
                        <w:pPr>
                          <w:pStyle w:val="TableParagraph"/>
                          <w:spacing w:before="43"/>
                          <w:ind w:left="114" w:right="114"/>
                          <w:rPr>
                            <w:sz w:val="18"/>
                          </w:rPr>
                        </w:pPr>
                        <w:r>
                          <w:rPr>
                            <w:sz w:val="18"/>
                          </w:rPr>
                          <w:t>&lt;.0001</w:t>
                        </w:r>
                      </w:p>
                    </w:tc>
                    <w:tc>
                      <w:tcPr>
                        <w:tcW w:w="778" w:type="dxa"/>
                        <w:tcBorders>
                          <w:top w:val="nil"/>
                          <w:left w:val="nil"/>
                          <w:bottom w:val="nil"/>
                          <w:right w:val="nil"/>
                        </w:tcBorders>
                      </w:tcPr>
                      <w:p>
                        <w:pPr>
                          <w:pStyle w:val="TableParagraph"/>
                          <w:spacing w:before="43"/>
                          <w:ind w:left="115" w:right="111"/>
                          <w:rPr>
                            <w:sz w:val="18"/>
                          </w:rPr>
                        </w:pPr>
                        <w:r>
                          <w:rPr>
                            <w:sz w:val="18"/>
                          </w:rPr>
                          <w:t>0.6414</w:t>
                        </w:r>
                      </w:p>
                    </w:tc>
                    <w:tc>
                      <w:tcPr>
                        <w:tcW w:w="766" w:type="dxa"/>
                        <w:tcBorders>
                          <w:top w:val="nil"/>
                          <w:left w:val="nil"/>
                          <w:bottom w:val="nil"/>
                          <w:right w:val="nil"/>
                        </w:tcBorders>
                      </w:tcPr>
                      <w:p>
                        <w:pPr>
                          <w:pStyle w:val="TableParagraph"/>
                          <w:spacing w:before="43"/>
                          <w:ind w:left="115" w:right="115"/>
                          <w:rPr>
                            <w:sz w:val="18"/>
                          </w:rPr>
                        </w:pPr>
                        <w:r>
                          <w:rPr>
                            <w:sz w:val="18"/>
                          </w:rPr>
                          <w:t>0.2053</w:t>
                        </w:r>
                      </w:p>
                    </w:tc>
                  </w:tr>
                  <w:tr>
                    <w:trPr>
                      <w:trHeight w:val="310" w:hRule="exact"/>
                    </w:trPr>
                    <w:tc>
                      <w:tcPr>
                        <w:tcW w:w="1873" w:type="dxa"/>
                        <w:tcBorders>
                          <w:top w:val="nil"/>
                          <w:left w:val="nil"/>
                          <w:bottom w:val="nil"/>
                          <w:right w:val="nil"/>
                        </w:tcBorders>
                      </w:tcPr>
                      <w:p>
                        <w:pPr>
                          <w:pStyle w:val="TableParagraph"/>
                          <w:spacing w:before="43"/>
                          <w:ind w:left="125"/>
                          <w:jc w:val="left"/>
                          <w:rPr>
                            <w:sz w:val="18"/>
                          </w:rPr>
                        </w:pPr>
                        <w:r>
                          <w:rPr>
                            <w:sz w:val="18"/>
                          </w:rPr>
                          <w:t>C18:1t11</w:t>
                        </w:r>
                      </w:p>
                    </w:tc>
                    <w:tc>
                      <w:tcPr>
                        <w:tcW w:w="660" w:type="dxa"/>
                        <w:tcBorders>
                          <w:top w:val="nil"/>
                          <w:left w:val="nil"/>
                          <w:bottom w:val="nil"/>
                          <w:right w:val="nil"/>
                        </w:tcBorders>
                      </w:tcPr>
                      <w:p>
                        <w:pPr>
                          <w:pStyle w:val="TableParagraph"/>
                          <w:spacing w:before="43"/>
                          <w:ind w:left="107" w:right="107"/>
                          <w:rPr>
                            <w:sz w:val="18"/>
                          </w:rPr>
                        </w:pPr>
                        <w:r>
                          <w:rPr>
                            <w:sz w:val="18"/>
                          </w:rPr>
                          <w:t>2.46</w:t>
                        </w:r>
                      </w:p>
                    </w:tc>
                    <w:tc>
                      <w:tcPr>
                        <w:tcW w:w="793" w:type="dxa"/>
                        <w:tcBorders>
                          <w:top w:val="nil"/>
                          <w:left w:val="nil"/>
                          <w:bottom w:val="nil"/>
                          <w:right w:val="nil"/>
                        </w:tcBorders>
                      </w:tcPr>
                      <w:p>
                        <w:pPr>
                          <w:pStyle w:val="TableParagraph"/>
                          <w:spacing w:before="43"/>
                          <w:ind w:left="109" w:right="237"/>
                          <w:rPr>
                            <w:sz w:val="18"/>
                          </w:rPr>
                        </w:pPr>
                        <w:r>
                          <w:rPr>
                            <w:sz w:val="18"/>
                          </w:rPr>
                          <w:t>2.19</w:t>
                        </w:r>
                      </w:p>
                    </w:tc>
                    <w:tc>
                      <w:tcPr>
                        <w:tcW w:w="525" w:type="dxa"/>
                        <w:tcBorders>
                          <w:top w:val="nil"/>
                          <w:left w:val="nil"/>
                          <w:bottom w:val="nil"/>
                          <w:right w:val="nil"/>
                        </w:tcBorders>
                      </w:tcPr>
                      <w:p>
                        <w:pPr>
                          <w:pStyle w:val="TableParagraph"/>
                          <w:spacing w:before="43"/>
                          <w:ind w:right="131"/>
                          <w:rPr>
                            <w:sz w:val="18"/>
                          </w:rPr>
                        </w:pPr>
                        <w:r>
                          <w:rPr>
                            <w:sz w:val="18"/>
                          </w:rPr>
                          <w:t>2.24</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2.28</w:t>
                        </w:r>
                      </w:p>
                    </w:tc>
                    <w:tc>
                      <w:tcPr>
                        <w:tcW w:w="658" w:type="dxa"/>
                        <w:tcBorders>
                          <w:top w:val="nil"/>
                          <w:left w:val="nil"/>
                          <w:bottom w:val="nil"/>
                          <w:right w:val="nil"/>
                        </w:tcBorders>
                      </w:tcPr>
                      <w:p>
                        <w:pPr>
                          <w:pStyle w:val="TableParagraph"/>
                          <w:spacing w:before="43"/>
                          <w:ind w:left="106" w:right="106"/>
                          <w:rPr>
                            <w:sz w:val="18"/>
                          </w:rPr>
                        </w:pPr>
                        <w:r>
                          <w:rPr>
                            <w:sz w:val="18"/>
                          </w:rPr>
                          <w:t>2.22</w:t>
                        </w:r>
                      </w:p>
                    </w:tc>
                    <w:tc>
                      <w:tcPr>
                        <w:tcW w:w="663" w:type="dxa"/>
                        <w:tcBorders>
                          <w:top w:val="nil"/>
                          <w:left w:val="nil"/>
                          <w:bottom w:val="nil"/>
                          <w:right w:val="nil"/>
                        </w:tcBorders>
                      </w:tcPr>
                      <w:p>
                        <w:pPr>
                          <w:pStyle w:val="TableParagraph"/>
                          <w:spacing w:before="43"/>
                          <w:ind w:left="107" w:right="110"/>
                          <w:rPr>
                            <w:sz w:val="18"/>
                          </w:rPr>
                        </w:pPr>
                        <w:r>
                          <w:rPr>
                            <w:sz w:val="18"/>
                          </w:rPr>
                          <w:t>2.08</w:t>
                        </w:r>
                      </w:p>
                    </w:tc>
                    <w:tc>
                      <w:tcPr>
                        <w:tcW w:w="701" w:type="dxa"/>
                        <w:tcBorders>
                          <w:top w:val="nil"/>
                          <w:left w:val="nil"/>
                          <w:bottom w:val="nil"/>
                          <w:right w:val="nil"/>
                        </w:tcBorders>
                      </w:tcPr>
                      <w:p>
                        <w:pPr>
                          <w:pStyle w:val="TableParagraph"/>
                          <w:spacing w:before="43"/>
                          <w:ind w:left="108" w:right="27"/>
                          <w:rPr>
                            <w:sz w:val="18"/>
                          </w:rPr>
                        </w:pPr>
                        <w:r>
                          <w:rPr>
                            <w:sz w:val="18"/>
                          </w:rPr>
                          <w:t>0.116</w:t>
                        </w:r>
                      </w:p>
                    </w:tc>
                    <w:tc>
                      <w:tcPr>
                        <w:tcW w:w="775" w:type="dxa"/>
                        <w:tcBorders>
                          <w:top w:val="nil"/>
                          <w:left w:val="nil"/>
                          <w:bottom w:val="nil"/>
                          <w:right w:val="nil"/>
                        </w:tcBorders>
                      </w:tcPr>
                      <w:p>
                        <w:pPr>
                          <w:pStyle w:val="TableParagraph"/>
                          <w:spacing w:before="43"/>
                          <w:ind w:left="114" w:right="112"/>
                          <w:rPr>
                            <w:sz w:val="18"/>
                          </w:rPr>
                        </w:pPr>
                        <w:r>
                          <w:rPr>
                            <w:sz w:val="18"/>
                          </w:rPr>
                          <w:t>0.2164</w:t>
                        </w:r>
                      </w:p>
                    </w:tc>
                    <w:tc>
                      <w:tcPr>
                        <w:tcW w:w="778" w:type="dxa"/>
                        <w:tcBorders>
                          <w:top w:val="nil"/>
                          <w:left w:val="nil"/>
                          <w:bottom w:val="nil"/>
                          <w:right w:val="nil"/>
                        </w:tcBorders>
                      </w:tcPr>
                      <w:p>
                        <w:pPr>
                          <w:pStyle w:val="TableParagraph"/>
                          <w:spacing w:before="43"/>
                          <w:ind w:left="115" w:right="111"/>
                          <w:rPr>
                            <w:sz w:val="18"/>
                          </w:rPr>
                        </w:pPr>
                        <w:r>
                          <w:rPr>
                            <w:sz w:val="18"/>
                          </w:rPr>
                          <w:t>0.3088</w:t>
                        </w:r>
                      </w:p>
                    </w:tc>
                    <w:tc>
                      <w:tcPr>
                        <w:tcW w:w="766" w:type="dxa"/>
                        <w:tcBorders>
                          <w:top w:val="nil"/>
                          <w:left w:val="nil"/>
                          <w:bottom w:val="nil"/>
                          <w:right w:val="nil"/>
                        </w:tcBorders>
                      </w:tcPr>
                      <w:p>
                        <w:pPr>
                          <w:pStyle w:val="TableParagraph"/>
                          <w:spacing w:before="43"/>
                          <w:ind w:left="115" w:right="115"/>
                          <w:rPr>
                            <w:sz w:val="18"/>
                          </w:rPr>
                        </w:pPr>
                        <w:r>
                          <w:rPr>
                            <w:sz w:val="18"/>
                          </w:rPr>
                          <w:t>0.6476</w:t>
                        </w:r>
                      </w:p>
                    </w:tc>
                  </w:tr>
                  <w:tr>
                    <w:trPr>
                      <w:trHeight w:val="294" w:hRule="exact"/>
                    </w:trPr>
                    <w:tc>
                      <w:tcPr>
                        <w:tcW w:w="1873" w:type="dxa"/>
                        <w:tcBorders>
                          <w:top w:val="nil"/>
                          <w:left w:val="nil"/>
                          <w:bottom w:val="nil"/>
                          <w:right w:val="nil"/>
                        </w:tcBorders>
                      </w:tcPr>
                      <w:p>
                        <w:pPr>
                          <w:pStyle w:val="TableParagraph"/>
                          <w:spacing w:before="41"/>
                          <w:ind w:left="125"/>
                          <w:jc w:val="left"/>
                          <w:rPr>
                            <w:sz w:val="18"/>
                          </w:rPr>
                        </w:pPr>
                        <w:r>
                          <w:rPr>
                            <w:sz w:val="18"/>
                          </w:rPr>
                          <w:t>C18:1n9c</w:t>
                        </w:r>
                      </w:p>
                    </w:tc>
                    <w:tc>
                      <w:tcPr>
                        <w:tcW w:w="660" w:type="dxa"/>
                        <w:tcBorders>
                          <w:top w:val="nil"/>
                          <w:left w:val="nil"/>
                          <w:bottom w:val="nil"/>
                          <w:right w:val="nil"/>
                        </w:tcBorders>
                      </w:tcPr>
                      <w:p>
                        <w:pPr>
                          <w:pStyle w:val="TableParagraph"/>
                          <w:spacing w:before="41"/>
                          <w:ind w:left="107" w:right="107"/>
                          <w:rPr>
                            <w:sz w:val="18"/>
                          </w:rPr>
                        </w:pPr>
                        <w:r>
                          <w:rPr>
                            <w:sz w:val="18"/>
                          </w:rPr>
                          <w:t>23.05</w:t>
                        </w:r>
                      </w:p>
                    </w:tc>
                    <w:tc>
                      <w:tcPr>
                        <w:tcW w:w="793" w:type="dxa"/>
                        <w:tcBorders>
                          <w:top w:val="nil"/>
                          <w:left w:val="nil"/>
                          <w:bottom w:val="nil"/>
                          <w:right w:val="nil"/>
                        </w:tcBorders>
                      </w:tcPr>
                      <w:p>
                        <w:pPr>
                          <w:pStyle w:val="TableParagraph"/>
                          <w:spacing w:before="41"/>
                          <w:ind w:left="110" w:right="237"/>
                          <w:rPr>
                            <w:sz w:val="18"/>
                          </w:rPr>
                        </w:pPr>
                        <w:r>
                          <w:rPr>
                            <w:sz w:val="18"/>
                          </w:rPr>
                          <w:t>22.33</w:t>
                        </w:r>
                      </w:p>
                    </w:tc>
                    <w:tc>
                      <w:tcPr>
                        <w:tcW w:w="525" w:type="dxa"/>
                        <w:tcBorders>
                          <w:top w:val="nil"/>
                          <w:left w:val="nil"/>
                          <w:bottom w:val="nil"/>
                          <w:right w:val="nil"/>
                        </w:tcBorders>
                      </w:tcPr>
                      <w:p>
                        <w:pPr>
                          <w:pStyle w:val="TableParagraph"/>
                          <w:spacing w:before="41"/>
                          <w:ind w:left="-8" w:right="123"/>
                          <w:rPr>
                            <w:sz w:val="18"/>
                          </w:rPr>
                        </w:pPr>
                        <w:r>
                          <w:rPr>
                            <w:spacing w:val="-1"/>
                            <w:sz w:val="18"/>
                          </w:rPr>
                          <w:t>21.40</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23.24</w:t>
                        </w:r>
                      </w:p>
                    </w:tc>
                    <w:tc>
                      <w:tcPr>
                        <w:tcW w:w="658" w:type="dxa"/>
                        <w:tcBorders>
                          <w:top w:val="nil"/>
                          <w:left w:val="nil"/>
                          <w:bottom w:val="nil"/>
                          <w:right w:val="nil"/>
                        </w:tcBorders>
                      </w:tcPr>
                      <w:p>
                        <w:pPr>
                          <w:pStyle w:val="TableParagraph"/>
                          <w:spacing w:before="41"/>
                          <w:ind w:left="106" w:right="106"/>
                          <w:rPr>
                            <w:sz w:val="18"/>
                          </w:rPr>
                        </w:pPr>
                        <w:r>
                          <w:rPr>
                            <w:sz w:val="18"/>
                          </w:rPr>
                          <w:t>21.02</w:t>
                        </w:r>
                      </w:p>
                    </w:tc>
                    <w:tc>
                      <w:tcPr>
                        <w:tcW w:w="663" w:type="dxa"/>
                        <w:tcBorders>
                          <w:top w:val="nil"/>
                          <w:left w:val="nil"/>
                          <w:bottom w:val="nil"/>
                          <w:right w:val="nil"/>
                        </w:tcBorders>
                      </w:tcPr>
                      <w:p>
                        <w:pPr>
                          <w:pStyle w:val="TableParagraph"/>
                          <w:spacing w:before="41"/>
                          <w:ind w:left="107" w:right="110"/>
                          <w:rPr>
                            <w:sz w:val="18"/>
                          </w:rPr>
                        </w:pPr>
                        <w:r>
                          <w:rPr>
                            <w:sz w:val="18"/>
                          </w:rPr>
                          <w:t>19.68</w:t>
                        </w:r>
                      </w:p>
                    </w:tc>
                    <w:tc>
                      <w:tcPr>
                        <w:tcW w:w="701" w:type="dxa"/>
                        <w:tcBorders>
                          <w:top w:val="nil"/>
                          <w:left w:val="nil"/>
                          <w:bottom w:val="nil"/>
                          <w:right w:val="nil"/>
                        </w:tcBorders>
                      </w:tcPr>
                      <w:p>
                        <w:pPr>
                          <w:pStyle w:val="TableParagraph"/>
                          <w:spacing w:before="41"/>
                          <w:ind w:left="108" w:right="27"/>
                          <w:rPr>
                            <w:sz w:val="18"/>
                          </w:rPr>
                        </w:pPr>
                        <w:r>
                          <w:rPr>
                            <w:sz w:val="18"/>
                          </w:rPr>
                          <w:t>0.584</w:t>
                        </w:r>
                      </w:p>
                    </w:tc>
                    <w:tc>
                      <w:tcPr>
                        <w:tcW w:w="775" w:type="dxa"/>
                        <w:tcBorders>
                          <w:top w:val="nil"/>
                          <w:left w:val="nil"/>
                          <w:bottom w:val="nil"/>
                          <w:right w:val="nil"/>
                        </w:tcBorders>
                      </w:tcPr>
                      <w:p>
                        <w:pPr>
                          <w:pStyle w:val="TableParagraph"/>
                          <w:spacing w:before="41"/>
                          <w:ind w:left="114" w:right="112"/>
                          <w:rPr>
                            <w:sz w:val="18"/>
                          </w:rPr>
                        </w:pPr>
                        <w:r>
                          <w:rPr>
                            <w:sz w:val="18"/>
                          </w:rPr>
                          <w:t>0.0002</w:t>
                        </w:r>
                      </w:p>
                    </w:tc>
                    <w:tc>
                      <w:tcPr>
                        <w:tcW w:w="778" w:type="dxa"/>
                        <w:tcBorders>
                          <w:top w:val="nil"/>
                          <w:left w:val="nil"/>
                          <w:bottom w:val="nil"/>
                          <w:right w:val="nil"/>
                        </w:tcBorders>
                      </w:tcPr>
                      <w:p>
                        <w:pPr>
                          <w:pStyle w:val="TableParagraph"/>
                          <w:spacing w:before="41"/>
                          <w:ind w:left="115" w:right="111"/>
                          <w:rPr>
                            <w:sz w:val="18"/>
                          </w:rPr>
                        </w:pPr>
                        <w:r>
                          <w:rPr>
                            <w:sz w:val="18"/>
                          </w:rPr>
                          <w:t>0.0685</w:t>
                        </w:r>
                      </w:p>
                    </w:tc>
                    <w:tc>
                      <w:tcPr>
                        <w:tcW w:w="766" w:type="dxa"/>
                        <w:tcBorders>
                          <w:top w:val="nil"/>
                          <w:left w:val="nil"/>
                          <w:bottom w:val="nil"/>
                          <w:right w:val="nil"/>
                        </w:tcBorders>
                      </w:tcPr>
                      <w:p>
                        <w:pPr>
                          <w:pStyle w:val="TableParagraph"/>
                          <w:spacing w:before="41"/>
                          <w:ind w:left="115" w:right="115"/>
                          <w:rPr>
                            <w:sz w:val="18"/>
                          </w:rPr>
                        </w:pPr>
                        <w:r>
                          <w:rPr>
                            <w:sz w:val="18"/>
                          </w:rPr>
                          <w:t>0.2891</w:t>
                        </w:r>
                      </w:p>
                    </w:tc>
                  </w:tr>
                  <w:tr>
                    <w:trPr>
                      <w:trHeight w:val="328" w:hRule="exact"/>
                    </w:trPr>
                    <w:tc>
                      <w:tcPr>
                        <w:tcW w:w="1873" w:type="dxa"/>
                        <w:tcBorders>
                          <w:top w:val="nil"/>
                          <w:left w:val="nil"/>
                          <w:bottom w:val="nil"/>
                          <w:right w:val="nil"/>
                        </w:tcBorders>
                      </w:tcPr>
                      <w:p>
                        <w:pPr>
                          <w:pStyle w:val="TableParagraph"/>
                          <w:spacing w:before="59"/>
                          <w:ind w:left="125"/>
                          <w:jc w:val="left"/>
                          <w:rPr>
                            <w:sz w:val="18"/>
                          </w:rPr>
                        </w:pPr>
                        <w:r>
                          <w:rPr>
                            <w:sz w:val="18"/>
                          </w:rPr>
                          <w:t>C18:2n6t</w:t>
                        </w:r>
                      </w:p>
                    </w:tc>
                    <w:tc>
                      <w:tcPr>
                        <w:tcW w:w="660" w:type="dxa"/>
                        <w:tcBorders>
                          <w:top w:val="nil"/>
                          <w:left w:val="nil"/>
                          <w:bottom w:val="nil"/>
                          <w:right w:val="nil"/>
                        </w:tcBorders>
                      </w:tcPr>
                      <w:p>
                        <w:pPr>
                          <w:pStyle w:val="TableParagraph"/>
                          <w:spacing w:before="35"/>
                          <w:ind w:left="103" w:right="107"/>
                          <w:rPr>
                            <w:sz w:val="12"/>
                          </w:rPr>
                        </w:pPr>
                        <w:r>
                          <w:rPr>
                            <w:sz w:val="18"/>
                          </w:rPr>
                          <w:t>0.21</w:t>
                        </w:r>
                        <w:r>
                          <w:rPr>
                            <w:position w:val="8"/>
                            <w:sz w:val="12"/>
                          </w:rPr>
                          <w:t>a</w:t>
                        </w:r>
                      </w:p>
                    </w:tc>
                    <w:tc>
                      <w:tcPr>
                        <w:tcW w:w="793" w:type="dxa"/>
                        <w:tcBorders>
                          <w:top w:val="nil"/>
                          <w:left w:val="nil"/>
                          <w:bottom w:val="nil"/>
                          <w:right w:val="nil"/>
                        </w:tcBorders>
                      </w:tcPr>
                      <w:p>
                        <w:pPr>
                          <w:pStyle w:val="TableParagraph"/>
                          <w:spacing w:before="35"/>
                          <w:ind w:left="105" w:right="237"/>
                          <w:rPr>
                            <w:sz w:val="12"/>
                          </w:rPr>
                        </w:pPr>
                        <w:r>
                          <w:rPr>
                            <w:sz w:val="18"/>
                          </w:rPr>
                          <w:t>0.20</w:t>
                        </w:r>
                        <w:r>
                          <w:rPr>
                            <w:position w:val="8"/>
                            <w:sz w:val="12"/>
                          </w:rPr>
                          <w:t>a</w:t>
                        </w:r>
                      </w:p>
                    </w:tc>
                    <w:tc>
                      <w:tcPr>
                        <w:tcW w:w="525" w:type="dxa"/>
                        <w:tcBorders>
                          <w:top w:val="nil"/>
                          <w:left w:val="nil"/>
                          <w:bottom w:val="nil"/>
                          <w:right w:val="nil"/>
                        </w:tcBorders>
                      </w:tcPr>
                      <w:p>
                        <w:pPr>
                          <w:pStyle w:val="TableParagraph"/>
                          <w:spacing w:before="35"/>
                          <w:ind w:right="125"/>
                          <w:rPr>
                            <w:sz w:val="12"/>
                          </w:rPr>
                        </w:pPr>
                        <w:r>
                          <w:rPr>
                            <w:sz w:val="18"/>
                          </w:rPr>
                          <w:t>0.21</w:t>
                        </w:r>
                        <w:r>
                          <w:rPr>
                            <w:position w:val="8"/>
                            <w:sz w:val="12"/>
                          </w:rPr>
                          <w:t>a</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35"/>
                          <w:ind w:left="104" w:right="106"/>
                          <w:rPr>
                            <w:sz w:val="12"/>
                          </w:rPr>
                        </w:pPr>
                        <w:r>
                          <w:rPr>
                            <w:sz w:val="18"/>
                          </w:rPr>
                          <w:t>0.22</w:t>
                        </w:r>
                        <w:r>
                          <w:rPr>
                            <w:position w:val="8"/>
                            <w:sz w:val="12"/>
                          </w:rPr>
                          <w:t>a</w:t>
                        </w:r>
                      </w:p>
                    </w:tc>
                    <w:tc>
                      <w:tcPr>
                        <w:tcW w:w="658" w:type="dxa"/>
                        <w:tcBorders>
                          <w:top w:val="nil"/>
                          <w:left w:val="nil"/>
                          <w:bottom w:val="nil"/>
                          <w:right w:val="nil"/>
                        </w:tcBorders>
                      </w:tcPr>
                      <w:p>
                        <w:pPr>
                          <w:pStyle w:val="TableParagraph"/>
                          <w:spacing w:before="35"/>
                          <w:ind w:left="106" w:right="106"/>
                          <w:rPr>
                            <w:sz w:val="12"/>
                          </w:rPr>
                        </w:pPr>
                        <w:r>
                          <w:rPr>
                            <w:sz w:val="18"/>
                          </w:rPr>
                          <w:t>0.19</w:t>
                        </w:r>
                        <w:r>
                          <w:rPr>
                            <w:position w:val="8"/>
                            <w:sz w:val="12"/>
                          </w:rPr>
                          <w:t>b</w:t>
                        </w:r>
                      </w:p>
                    </w:tc>
                    <w:tc>
                      <w:tcPr>
                        <w:tcW w:w="663" w:type="dxa"/>
                        <w:tcBorders>
                          <w:top w:val="nil"/>
                          <w:left w:val="nil"/>
                          <w:bottom w:val="nil"/>
                          <w:right w:val="nil"/>
                        </w:tcBorders>
                      </w:tcPr>
                      <w:p>
                        <w:pPr>
                          <w:pStyle w:val="TableParagraph"/>
                          <w:spacing w:before="35"/>
                          <w:ind w:left="105" w:right="110"/>
                          <w:rPr>
                            <w:sz w:val="12"/>
                          </w:rPr>
                        </w:pPr>
                        <w:r>
                          <w:rPr>
                            <w:sz w:val="18"/>
                          </w:rPr>
                          <w:t>0.17</w:t>
                        </w:r>
                        <w:r>
                          <w:rPr>
                            <w:position w:val="8"/>
                            <w:sz w:val="12"/>
                          </w:rPr>
                          <w:t>b</w:t>
                        </w:r>
                      </w:p>
                    </w:tc>
                    <w:tc>
                      <w:tcPr>
                        <w:tcW w:w="701" w:type="dxa"/>
                        <w:tcBorders>
                          <w:top w:val="nil"/>
                          <w:left w:val="nil"/>
                          <w:bottom w:val="nil"/>
                          <w:right w:val="nil"/>
                        </w:tcBorders>
                      </w:tcPr>
                      <w:p>
                        <w:pPr>
                          <w:pStyle w:val="TableParagraph"/>
                          <w:spacing w:before="59"/>
                          <w:ind w:left="108" w:right="27"/>
                          <w:rPr>
                            <w:sz w:val="18"/>
                          </w:rPr>
                        </w:pPr>
                        <w:r>
                          <w:rPr>
                            <w:sz w:val="18"/>
                          </w:rPr>
                          <w:t>0.008</w:t>
                        </w:r>
                      </w:p>
                    </w:tc>
                    <w:tc>
                      <w:tcPr>
                        <w:tcW w:w="775" w:type="dxa"/>
                        <w:tcBorders>
                          <w:top w:val="nil"/>
                          <w:left w:val="nil"/>
                          <w:bottom w:val="nil"/>
                          <w:right w:val="nil"/>
                        </w:tcBorders>
                      </w:tcPr>
                      <w:p>
                        <w:pPr>
                          <w:pStyle w:val="TableParagraph"/>
                          <w:spacing w:before="59"/>
                          <w:ind w:left="114" w:right="112"/>
                          <w:rPr>
                            <w:sz w:val="18"/>
                          </w:rPr>
                        </w:pPr>
                        <w:r>
                          <w:rPr>
                            <w:sz w:val="18"/>
                          </w:rPr>
                          <w:t>0.0149</w:t>
                        </w:r>
                      </w:p>
                    </w:tc>
                    <w:tc>
                      <w:tcPr>
                        <w:tcW w:w="778" w:type="dxa"/>
                        <w:tcBorders>
                          <w:top w:val="nil"/>
                          <w:left w:val="nil"/>
                          <w:bottom w:val="nil"/>
                          <w:right w:val="nil"/>
                        </w:tcBorders>
                      </w:tcPr>
                      <w:p>
                        <w:pPr>
                          <w:pStyle w:val="TableParagraph"/>
                          <w:spacing w:before="59"/>
                          <w:ind w:left="115" w:right="111"/>
                          <w:rPr>
                            <w:sz w:val="18"/>
                          </w:rPr>
                        </w:pPr>
                        <w:r>
                          <w:rPr>
                            <w:sz w:val="18"/>
                          </w:rPr>
                          <w:t>0.0456</w:t>
                        </w:r>
                      </w:p>
                    </w:tc>
                    <w:tc>
                      <w:tcPr>
                        <w:tcW w:w="766" w:type="dxa"/>
                        <w:tcBorders>
                          <w:top w:val="nil"/>
                          <w:left w:val="nil"/>
                          <w:bottom w:val="nil"/>
                          <w:right w:val="nil"/>
                        </w:tcBorders>
                      </w:tcPr>
                      <w:p>
                        <w:pPr>
                          <w:pStyle w:val="TableParagraph"/>
                          <w:spacing w:before="59"/>
                          <w:ind w:left="115" w:right="115"/>
                          <w:rPr>
                            <w:sz w:val="18"/>
                          </w:rPr>
                        </w:pPr>
                        <w:r>
                          <w:rPr>
                            <w:sz w:val="18"/>
                          </w:rPr>
                          <w:t>0.0077</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C18:2n6c</w:t>
                        </w:r>
                      </w:p>
                    </w:tc>
                    <w:tc>
                      <w:tcPr>
                        <w:tcW w:w="660" w:type="dxa"/>
                        <w:tcBorders>
                          <w:top w:val="nil"/>
                          <w:left w:val="nil"/>
                          <w:bottom w:val="nil"/>
                          <w:right w:val="nil"/>
                        </w:tcBorders>
                      </w:tcPr>
                      <w:p>
                        <w:pPr>
                          <w:pStyle w:val="TableParagraph"/>
                          <w:spacing w:before="43"/>
                          <w:ind w:left="107" w:right="107"/>
                          <w:rPr>
                            <w:sz w:val="18"/>
                          </w:rPr>
                        </w:pPr>
                        <w:r>
                          <w:rPr>
                            <w:sz w:val="18"/>
                          </w:rPr>
                          <w:t>1.24</w:t>
                        </w:r>
                      </w:p>
                    </w:tc>
                    <w:tc>
                      <w:tcPr>
                        <w:tcW w:w="793" w:type="dxa"/>
                        <w:tcBorders>
                          <w:top w:val="nil"/>
                          <w:left w:val="nil"/>
                          <w:bottom w:val="nil"/>
                          <w:right w:val="nil"/>
                        </w:tcBorders>
                      </w:tcPr>
                      <w:p>
                        <w:pPr>
                          <w:pStyle w:val="TableParagraph"/>
                          <w:spacing w:before="43"/>
                          <w:ind w:left="109" w:right="237"/>
                          <w:rPr>
                            <w:sz w:val="18"/>
                          </w:rPr>
                        </w:pPr>
                        <w:r>
                          <w:rPr>
                            <w:sz w:val="18"/>
                          </w:rPr>
                          <w:t>1.31</w:t>
                        </w:r>
                      </w:p>
                    </w:tc>
                    <w:tc>
                      <w:tcPr>
                        <w:tcW w:w="525" w:type="dxa"/>
                        <w:tcBorders>
                          <w:top w:val="nil"/>
                          <w:left w:val="nil"/>
                          <w:bottom w:val="nil"/>
                          <w:right w:val="nil"/>
                        </w:tcBorders>
                      </w:tcPr>
                      <w:p>
                        <w:pPr>
                          <w:pStyle w:val="TableParagraph"/>
                          <w:spacing w:before="43"/>
                          <w:ind w:right="131"/>
                          <w:rPr>
                            <w:sz w:val="18"/>
                          </w:rPr>
                        </w:pPr>
                        <w:r>
                          <w:rPr>
                            <w:sz w:val="18"/>
                          </w:rPr>
                          <w:t>1.39</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1.37</w:t>
                        </w:r>
                      </w:p>
                    </w:tc>
                    <w:tc>
                      <w:tcPr>
                        <w:tcW w:w="658" w:type="dxa"/>
                        <w:tcBorders>
                          <w:top w:val="nil"/>
                          <w:left w:val="nil"/>
                          <w:bottom w:val="nil"/>
                          <w:right w:val="nil"/>
                        </w:tcBorders>
                      </w:tcPr>
                      <w:p>
                        <w:pPr>
                          <w:pStyle w:val="TableParagraph"/>
                          <w:spacing w:before="43"/>
                          <w:ind w:left="106" w:right="106"/>
                          <w:rPr>
                            <w:sz w:val="18"/>
                          </w:rPr>
                        </w:pPr>
                        <w:r>
                          <w:rPr>
                            <w:sz w:val="18"/>
                          </w:rPr>
                          <w:t>1.35</w:t>
                        </w:r>
                      </w:p>
                    </w:tc>
                    <w:tc>
                      <w:tcPr>
                        <w:tcW w:w="663" w:type="dxa"/>
                        <w:tcBorders>
                          <w:top w:val="nil"/>
                          <w:left w:val="nil"/>
                          <w:bottom w:val="nil"/>
                          <w:right w:val="nil"/>
                        </w:tcBorders>
                      </w:tcPr>
                      <w:p>
                        <w:pPr>
                          <w:pStyle w:val="TableParagraph"/>
                          <w:spacing w:before="43"/>
                          <w:ind w:left="107" w:right="110"/>
                          <w:rPr>
                            <w:sz w:val="18"/>
                          </w:rPr>
                        </w:pPr>
                        <w:r>
                          <w:rPr>
                            <w:sz w:val="18"/>
                          </w:rPr>
                          <w:t>1.43</w:t>
                        </w:r>
                      </w:p>
                    </w:tc>
                    <w:tc>
                      <w:tcPr>
                        <w:tcW w:w="701" w:type="dxa"/>
                        <w:tcBorders>
                          <w:top w:val="nil"/>
                          <w:left w:val="nil"/>
                          <w:bottom w:val="nil"/>
                          <w:right w:val="nil"/>
                        </w:tcBorders>
                      </w:tcPr>
                      <w:p>
                        <w:pPr>
                          <w:pStyle w:val="TableParagraph"/>
                          <w:spacing w:before="43"/>
                          <w:ind w:left="108" w:right="27"/>
                          <w:rPr>
                            <w:sz w:val="18"/>
                          </w:rPr>
                        </w:pPr>
                        <w:r>
                          <w:rPr>
                            <w:sz w:val="18"/>
                          </w:rPr>
                          <w:t>0.048</w:t>
                        </w:r>
                      </w:p>
                    </w:tc>
                    <w:tc>
                      <w:tcPr>
                        <w:tcW w:w="775" w:type="dxa"/>
                        <w:tcBorders>
                          <w:top w:val="nil"/>
                          <w:left w:val="nil"/>
                          <w:bottom w:val="nil"/>
                          <w:right w:val="nil"/>
                        </w:tcBorders>
                      </w:tcPr>
                      <w:p>
                        <w:pPr>
                          <w:pStyle w:val="TableParagraph"/>
                          <w:spacing w:before="43"/>
                          <w:ind w:left="114" w:right="112"/>
                          <w:rPr>
                            <w:sz w:val="18"/>
                          </w:rPr>
                        </w:pPr>
                        <w:r>
                          <w:rPr>
                            <w:sz w:val="18"/>
                          </w:rPr>
                          <w:t>0.0120</w:t>
                        </w:r>
                      </w:p>
                    </w:tc>
                    <w:tc>
                      <w:tcPr>
                        <w:tcW w:w="778" w:type="dxa"/>
                        <w:tcBorders>
                          <w:top w:val="nil"/>
                          <w:left w:val="nil"/>
                          <w:bottom w:val="nil"/>
                          <w:right w:val="nil"/>
                        </w:tcBorders>
                      </w:tcPr>
                      <w:p>
                        <w:pPr>
                          <w:pStyle w:val="TableParagraph"/>
                          <w:spacing w:before="43"/>
                          <w:ind w:left="115" w:right="111"/>
                          <w:rPr>
                            <w:sz w:val="18"/>
                          </w:rPr>
                        </w:pPr>
                        <w:r>
                          <w:rPr>
                            <w:sz w:val="18"/>
                          </w:rPr>
                          <w:t>0.0972</w:t>
                        </w:r>
                      </w:p>
                    </w:tc>
                    <w:tc>
                      <w:tcPr>
                        <w:tcW w:w="766" w:type="dxa"/>
                        <w:tcBorders>
                          <w:top w:val="nil"/>
                          <w:left w:val="nil"/>
                          <w:bottom w:val="nil"/>
                          <w:right w:val="nil"/>
                        </w:tcBorders>
                      </w:tcPr>
                      <w:p>
                        <w:pPr>
                          <w:pStyle w:val="TableParagraph"/>
                          <w:spacing w:before="43"/>
                          <w:ind w:left="115" w:right="115"/>
                          <w:rPr>
                            <w:sz w:val="18"/>
                          </w:rPr>
                        </w:pPr>
                        <w:r>
                          <w:rPr>
                            <w:sz w:val="18"/>
                          </w:rPr>
                          <w:t>0.6108</w:t>
                        </w:r>
                      </w:p>
                    </w:tc>
                  </w:tr>
                  <w:tr>
                    <w:trPr>
                      <w:trHeight w:val="310" w:hRule="exact"/>
                    </w:trPr>
                    <w:tc>
                      <w:tcPr>
                        <w:tcW w:w="1873" w:type="dxa"/>
                        <w:tcBorders>
                          <w:top w:val="nil"/>
                          <w:left w:val="nil"/>
                          <w:bottom w:val="nil"/>
                          <w:right w:val="nil"/>
                        </w:tcBorders>
                      </w:tcPr>
                      <w:p>
                        <w:pPr>
                          <w:pStyle w:val="TableParagraph"/>
                          <w:spacing w:before="43"/>
                          <w:ind w:left="125"/>
                          <w:jc w:val="left"/>
                          <w:rPr>
                            <w:sz w:val="18"/>
                          </w:rPr>
                        </w:pPr>
                        <w:r>
                          <w:rPr>
                            <w:sz w:val="18"/>
                          </w:rPr>
                          <w:t>C18:2c9t11</w:t>
                        </w:r>
                      </w:p>
                    </w:tc>
                    <w:tc>
                      <w:tcPr>
                        <w:tcW w:w="660" w:type="dxa"/>
                        <w:tcBorders>
                          <w:top w:val="nil"/>
                          <w:left w:val="nil"/>
                          <w:bottom w:val="nil"/>
                          <w:right w:val="nil"/>
                        </w:tcBorders>
                      </w:tcPr>
                      <w:p>
                        <w:pPr>
                          <w:pStyle w:val="TableParagraph"/>
                          <w:spacing w:before="43"/>
                          <w:ind w:left="107" w:right="107"/>
                          <w:rPr>
                            <w:sz w:val="18"/>
                          </w:rPr>
                        </w:pPr>
                        <w:r>
                          <w:rPr>
                            <w:sz w:val="18"/>
                          </w:rPr>
                          <w:t>0.81</w:t>
                        </w:r>
                      </w:p>
                    </w:tc>
                    <w:tc>
                      <w:tcPr>
                        <w:tcW w:w="793" w:type="dxa"/>
                        <w:tcBorders>
                          <w:top w:val="nil"/>
                          <w:left w:val="nil"/>
                          <w:bottom w:val="nil"/>
                          <w:right w:val="nil"/>
                        </w:tcBorders>
                      </w:tcPr>
                      <w:p>
                        <w:pPr>
                          <w:pStyle w:val="TableParagraph"/>
                          <w:spacing w:before="43"/>
                          <w:ind w:left="109" w:right="237"/>
                          <w:rPr>
                            <w:sz w:val="18"/>
                          </w:rPr>
                        </w:pPr>
                        <w:r>
                          <w:rPr>
                            <w:sz w:val="18"/>
                          </w:rPr>
                          <w:t>0.74</w:t>
                        </w:r>
                      </w:p>
                    </w:tc>
                    <w:tc>
                      <w:tcPr>
                        <w:tcW w:w="525" w:type="dxa"/>
                        <w:tcBorders>
                          <w:top w:val="nil"/>
                          <w:left w:val="nil"/>
                          <w:bottom w:val="nil"/>
                          <w:right w:val="nil"/>
                        </w:tcBorders>
                      </w:tcPr>
                      <w:p>
                        <w:pPr>
                          <w:pStyle w:val="TableParagraph"/>
                          <w:spacing w:before="43"/>
                          <w:ind w:right="131"/>
                          <w:rPr>
                            <w:sz w:val="18"/>
                          </w:rPr>
                        </w:pPr>
                        <w:r>
                          <w:rPr>
                            <w:sz w:val="18"/>
                          </w:rPr>
                          <w:t>0.73</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0.75</w:t>
                        </w:r>
                      </w:p>
                    </w:tc>
                    <w:tc>
                      <w:tcPr>
                        <w:tcW w:w="658" w:type="dxa"/>
                        <w:tcBorders>
                          <w:top w:val="nil"/>
                          <w:left w:val="nil"/>
                          <w:bottom w:val="nil"/>
                          <w:right w:val="nil"/>
                        </w:tcBorders>
                      </w:tcPr>
                      <w:p>
                        <w:pPr>
                          <w:pStyle w:val="TableParagraph"/>
                          <w:spacing w:before="43"/>
                          <w:ind w:left="106" w:right="106"/>
                          <w:rPr>
                            <w:sz w:val="18"/>
                          </w:rPr>
                        </w:pPr>
                        <w:r>
                          <w:rPr>
                            <w:sz w:val="18"/>
                          </w:rPr>
                          <w:t>0.67</w:t>
                        </w:r>
                      </w:p>
                    </w:tc>
                    <w:tc>
                      <w:tcPr>
                        <w:tcW w:w="663" w:type="dxa"/>
                        <w:tcBorders>
                          <w:top w:val="nil"/>
                          <w:left w:val="nil"/>
                          <w:bottom w:val="nil"/>
                          <w:right w:val="nil"/>
                        </w:tcBorders>
                      </w:tcPr>
                      <w:p>
                        <w:pPr>
                          <w:pStyle w:val="TableParagraph"/>
                          <w:spacing w:before="43"/>
                          <w:ind w:left="107" w:right="110"/>
                          <w:rPr>
                            <w:sz w:val="18"/>
                          </w:rPr>
                        </w:pPr>
                        <w:r>
                          <w:rPr>
                            <w:sz w:val="18"/>
                          </w:rPr>
                          <w:t>0.62</w:t>
                        </w:r>
                      </w:p>
                    </w:tc>
                    <w:tc>
                      <w:tcPr>
                        <w:tcW w:w="701" w:type="dxa"/>
                        <w:tcBorders>
                          <w:top w:val="nil"/>
                          <w:left w:val="nil"/>
                          <w:bottom w:val="nil"/>
                          <w:right w:val="nil"/>
                        </w:tcBorders>
                      </w:tcPr>
                      <w:p>
                        <w:pPr>
                          <w:pStyle w:val="TableParagraph"/>
                          <w:spacing w:before="43"/>
                          <w:ind w:left="108" w:right="27"/>
                          <w:rPr>
                            <w:sz w:val="18"/>
                          </w:rPr>
                        </w:pPr>
                        <w:r>
                          <w:rPr>
                            <w:sz w:val="18"/>
                          </w:rPr>
                          <w:t>0.052</w:t>
                        </w:r>
                      </w:p>
                    </w:tc>
                    <w:tc>
                      <w:tcPr>
                        <w:tcW w:w="775" w:type="dxa"/>
                        <w:tcBorders>
                          <w:top w:val="nil"/>
                          <w:left w:val="nil"/>
                          <w:bottom w:val="nil"/>
                          <w:right w:val="nil"/>
                        </w:tcBorders>
                      </w:tcPr>
                      <w:p>
                        <w:pPr>
                          <w:pStyle w:val="TableParagraph"/>
                          <w:spacing w:before="43"/>
                          <w:ind w:left="114" w:right="112"/>
                          <w:rPr>
                            <w:sz w:val="18"/>
                          </w:rPr>
                        </w:pPr>
                        <w:r>
                          <w:rPr>
                            <w:sz w:val="18"/>
                          </w:rPr>
                          <w:t>0.1430</w:t>
                        </w:r>
                      </w:p>
                    </w:tc>
                    <w:tc>
                      <w:tcPr>
                        <w:tcW w:w="778" w:type="dxa"/>
                        <w:tcBorders>
                          <w:top w:val="nil"/>
                          <w:left w:val="nil"/>
                          <w:bottom w:val="nil"/>
                          <w:right w:val="nil"/>
                        </w:tcBorders>
                      </w:tcPr>
                      <w:p>
                        <w:pPr>
                          <w:pStyle w:val="TableParagraph"/>
                          <w:spacing w:before="43"/>
                          <w:ind w:left="115" w:right="111"/>
                          <w:rPr>
                            <w:sz w:val="18"/>
                          </w:rPr>
                        </w:pPr>
                        <w:r>
                          <w:rPr>
                            <w:sz w:val="18"/>
                          </w:rPr>
                          <w:t>0.0629</w:t>
                        </w:r>
                      </w:p>
                    </w:tc>
                    <w:tc>
                      <w:tcPr>
                        <w:tcW w:w="766" w:type="dxa"/>
                        <w:tcBorders>
                          <w:top w:val="nil"/>
                          <w:left w:val="nil"/>
                          <w:bottom w:val="nil"/>
                          <w:right w:val="nil"/>
                        </w:tcBorders>
                      </w:tcPr>
                      <w:p>
                        <w:pPr>
                          <w:pStyle w:val="TableParagraph"/>
                          <w:spacing w:before="43"/>
                          <w:ind w:left="115" w:right="115"/>
                          <w:rPr>
                            <w:sz w:val="18"/>
                          </w:rPr>
                        </w:pPr>
                        <w:r>
                          <w:rPr>
                            <w:sz w:val="18"/>
                          </w:rPr>
                          <w:t>0.8879</w:t>
                        </w:r>
                      </w:p>
                    </w:tc>
                  </w:tr>
                  <w:tr>
                    <w:trPr>
                      <w:trHeight w:val="310" w:hRule="exact"/>
                    </w:trPr>
                    <w:tc>
                      <w:tcPr>
                        <w:tcW w:w="1873" w:type="dxa"/>
                        <w:tcBorders>
                          <w:top w:val="nil"/>
                          <w:left w:val="nil"/>
                          <w:bottom w:val="nil"/>
                          <w:right w:val="nil"/>
                        </w:tcBorders>
                      </w:tcPr>
                      <w:p>
                        <w:pPr>
                          <w:pStyle w:val="TableParagraph"/>
                          <w:spacing w:before="41"/>
                          <w:ind w:left="125"/>
                          <w:jc w:val="left"/>
                          <w:rPr>
                            <w:sz w:val="18"/>
                          </w:rPr>
                        </w:pPr>
                        <w:r>
                          <w:rPr>
                            <w:sz w:val="18"/>
                          </w:rPr>
                          <w:t>C18:3n3</w:t>
                        </w:r>
                      </w:p>
                    </w:tc>
                    <w:tc>
                      <w:tcPr>
                        <w:tcW w:w="660" w:type="dxa"/>
                        <w:tcBorders>
                          <w:top w:val="nil"/>
                          <w:left w:val="nil"/>
                          <w:bottom w:val="nil"/>
                          <w:right w:val="nil"/>
                        </w:tcBorders>
                      </w:tcPr>
                      <w:p>
                        <w:pPr>
                          <w:pStyle w:val="TableParagraph"/>
                          <w:spacing w:before="41"/>
                          <w:ind w:left="107" w:right="107"/>
                          <w:rPr>
                            <w:sz w:val="18"/>
                          </w:rPr>
                        </w:pPr>
                        <w:r>
                          <w:rPr>
                            <w:sz w:val="18"/>
                          </w:rPr>
                          <w:t>0.42</w:t>
                        </w:r>
                      </w:p>
                    </w:tc>
                    <w:tc>
                      <w:tcPr>
                        <w:tcW w:w="793" w:type="dxa"/>
                        <w:tcBorders>
                          <w:top w:val="nil"/>
                          <w:left w:val="nil"/>
                          <w:bottom w:val="nil"/>
                          <w:right w:val="nil"/>
                        </w:tcBorders>
                      </w:tcPr>
                      <w:p>
                        <w:pPr>
                          <w:pStyle w:val="TableParagraph"/>
                          <w:spacing w:before="41"/>
                          <w:ind w:left="109" w:right="237"/>
                          <w:rPr>
                            <w:sz w:val="18"/>
                          </w:rPr>
                        </w:pPr>
                        <w:r>
                          <w:rPr>
                            <w:sz w:val="18"/>
                          </w:rPr>
                          <w:t>0.40</w:t>
                        </w:r>
                      </w:p>
                    </w:tc>
                    <w:tc>
                      <w:tcPr>
                        <w:tcW w:w="525" w:type="dxa"/>
                        <w:tcBorders>
                          <w:top w:val="nil"/>
                          <w:left w:val="nil"/>
                          <w:bottom w:val="nil"/>
                          <w:right w:val="nil"/>
                        </w:tcBorders>
                      </w:tcPr>
                      <w:p>
                        <w:pPr>
                          <w:pStyle w:val="TableParagraph"/>
                          <w:spacing w:before="41"/>
                          <w:ind w:right="131"/>
                          <w:rPr>
                            <w:sz w:val="18"/>
                          </w:rPr>
                        </w:pPr>
                        <w:r>
                          <w:rPr>
                            <w:sz w:val="18"/>
                          </w:rPr>
                          <w:t>0.38</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1"/>
                          <w:ind w:left="106" w:right="106"/>
                          <w:rPr>
                            <w:sz w:val="18"/>
                          </w:rPr>
                        </w:pPr>
                        <w:r>
                          <w:rPr>
                            <w:sz w:val="18"/>
                          </w:rPr>
                          <w:t>0.41</w:t>
                        </w:r>
                      </w:p>
                    </w:tc>
                    <w:tc>
                      <w:tcPr>
                        <w:tcW w:w="658" w:type="dxa"/>
                        <w:tcBorders>
                          <w:top w:val="nil"/>
                          <w:left w:val="nil"/>
                          <w:bottom w:val="nil"/>
                          <w:right w:val="nil"/>
                        </w:tcBorders>
                      </w:tcPr>
                      <w:p>
                        <w:pPr>
                          <w:pStyle w:val="TableParagraph"/>
                          <w:spacing w:before="41"/>
                          <w:ind w:left="106" w:right="106"/>
                          <w:rPr>
                            <w:sz w:val="18"/>
                          </w:rPr>
                        </w:pPr>
                        <w:r>
                          <w:rPr>
                            <w:sz w:val="18"/>
                          </w:rPr>
                          <w:t>0.41</w:t>
                        </w:r>
                      </w:p>
                    </w:tc>
                    <w:tc>
                      <w:tcPr>
                        <w:tcW w:w="663" w:type="dxa"/>
                        <w:tcBorders>
                          <w:top w:val="nil"/>
                          <w:left w:val="nil"/>
                          <w:bottom w:val="nil"/>
                          <w:right w:val="nil"/>
                        </w:tcBorders>
                      </w:tcPr>
                      <w:p>
                        <w:pPr>
                          <w:pStyle w:val="TableParagraph"/>
                          <w:spacing w:before="41"/>
                          <w:ind w:left="107" w:right="110"/>
                          <w:rPr>
                            <w:sz w:val="18"/>
                          </w:rPr>
                        </w:pPr>
                        <w:r>
                          <w:rPr>
                            <w:sz w:val="18"/>
                          </w:rPr>
                          <w:t>0.34</w:t>
                        </w:r>
                      </w:p>
                    </w:tc>
                    <w:tc>
                      <w:tcPr>
                        <w:tcW w:w="701" w:type="dxa"/>
                        <w:tcBorders>
                          <w:top w:val="nil"/>
                          <w:left w:val="nil"/>
                          <w:bottom w:val="nil"/>
                          <w:right w:val="nil"/>
                        </w:tcBorders>
                      </w:tcPr>
                      <w:p>
                        <w:pPr>
                          <w:pStyle w:val="TableParagraph"/>
                          <w:spacing w:before="41"/>
                          <w:ind w:left="108" w:right="27"/>
                          <w:rPr>
                            <w:sz w:val="18"/>
                          </w:rPr>
                        </w:pPr>
                        <w:r>
                          <w:rPr>
                            <w:sz w:val="18"/>
                          </w:rPr>
                          <w:t>0.014</w:t>
                        </w:r>
                      </w:p>
                    </w:tc>
                    <w:tc>
                      <w:tcPr>
                        <w:tcW w:w="775" w:type="dxa"/>
                        <w:tcBorders>
                          <w:top w:val="nil"/>
                          <w:left w:val="nil"/>
                          <w:bottom w:val="nil"/>
                          <w:right w:val="nil"/>
                        </w:tcBorders>
                      </w:tcPr>
                      <w:p>
                        <w:pPr>
                          <w:pStyle w:val="TableParagraph"/>
                          <w:spacing w:before="41"/>
                          <w:ind w:left="114" w:right="112"/>
                          <w:rPr>
                            <w:sz w:val="18"/>
                          </w:rPr>
                        </w:pPr>
                        <w:r>
                          <w:rPr>
                            <w:sz w:val="18"/>
                          </w:rPr>
                          <w:t>0.0007</w:t>
                        </w:r>
                      </w:p>
                    </w:tc>
                    <w:tc>
                      <w:tcPr>
                        <w:tcW w:w="778" w:type="dxa"/>
                        <w:tcBorders>
                          <w:top w:val="nil"/>
                          <w:left w:val="nil"/>
                          <w:bottom w:val="nil"/>
                          <w:right w:val="nil"/>
                        </w:tcBorders>
                      </w:tcPr>
                      <w:p>
                        <w:pPr>
                          <w:pStyle w:val="TableParagraph"/>
                          <w:spacing w:before="41"/>
                          <w:ind w:left="115" w:right="111"/>
                          <w:rPr>
                            <w:sz w:val="18"/>
                          </w:rPr>
                        </w:pPr>
                        <w:r>
                          <w:rPr>
                            <w:sz w:val="18"/>
                          </w:rPr>
                          <w:t>0.4421</w:t>
                        </w:r>
                      </w:p>
                    </w:tc>
                    <w:tc>
                      <w:tcPr>
                        <w:tcW w:w="766" w:type="dxa"/>
                        <w:tcBorders>
                          <w:top w:val="nil"/>
                          <w:left w:val="nil"/>
                          <w:bottom w:val="nil"/>
                          <w:right w:val="nil"/>
                        </w:tcBorders>
                      </w:tcPr>
                      <w:p>
                        <w:pPr>
                          <w:pStyle w:val="TableParagraph"/>
                          <w:spacing w:before="41"/>
                          <w:ind w:left="115" w:right="115"/>
                          <w:rPr>
                            <w:sz w:val="18"/>
                          </w:rPr>
                        </w:pPr>
                        <w:r>
                          <w:rPr>
                            <w:sz w:val="18"/>
                          </w:rPr>
                          <w:t>0.2132</w:t>
                        </w:r>
                      </w:p>
                    </w:tc>
                  </w:tr>
                  <w:tr>
                    <w:trPr>
                      <w:trHeight w:val="312" w:hRule="exact"/>
                    </w:trPr>
                    <w:tc>
                      <w:tcPr>
                        <w:tcW w:w="1873" w:type="dxa"/>
                        <w:tcBorders>
                          <w:top w:val="nil"/>
                          <w:left w:val="nil"/>
                          <w:bottom w:val="nil"/>
                          <w:right w:val="nil"/>
                        </w:tcBorders>
                      </w:tcPr>
                      <w:p>
                        <w:pPr>
                          <w:pStyle w:val="TableParagraph"/>
                          <w:spacing w:before="43"/>
                          <w:ind w:left="125"/>
                          <w:jc w:val="left"/>
                          <w:rPr>
                            <w:sz w:val="18"/>
                          </w:rPr>
                        </w:pPr>
                        <w:r>
                          <w:rPr>
                            <w:sz w:val="18"/>
                          </w:rPr>
                          <w:t>C20:0</w:t>
                        </w:r>
                      </w:p>
                    </w:tc>
                    <w:tc>
                      <w:tcPr>
                        <w:tcW w:w="660" w:type="dxa"/>
                        <w:tcBorders>
                          <w:top w:val="nil"/>
                          <w:left w:val="nil"/>
                          <w:bottom w:val="nil"/>
                          <w:right w:val="nil"/>
                        </w:tcBorders>
                      </w:tcPr>
                      <w:p>
                        <w:pPr>
                          <w:pStyle w:val="TableParagraph"/>
                          <w:spacing w:before="43"/>
                          <w:ind w:left="107" w:right="107"/>
                          <w:rPr>
                            <w:sz w:val="18"/>
                          </w:rPr>
                        </w:pPr>
                        <w:r>
                          <w:rPr>
                            <w:sz w:val="18"/>
                          </w:rPr>
                          <w:t>0.19</w:t>
                        </w:r>
                      </w:p>
                    </w:tc>
                    <w:tc>
                      <w:tcPr>
                        <w:tcW w:w="793" w:type="dxa"/>
                        <w:tcBorders>
                          <w:top w:val="nil"/>
                          <w:left w:val="nil"/>
                          <w:bottom w:val="nil"/>
                          <w:right w:val="nil"/>
                        </w:tcBorders>
                      </w:tcPr>
                      <w:p>
                        <w:pPr>
                          <w:pStyle w:val="TableParagraph"/>
                          <w:spacing w:before="43"/>
                          <w:ind w:left="109" w:right="237"/>
                          <w:rPr>
                            <w:sz w:val="18"/>
                          </w:rPr>
                        </w:pPr>
                        <w:r>
                          <w:rPr>
                            <w:sz w:val="18"/>
                          </w:rPr>
                          <w:t>0.17</w:t>
                        </w:r>
                      </w:p>
                    </w:tc>
                    <w:tc>
                      <w:tcPr>
                        <w:tcW w:w="525" w:type="dxa"/>
                        <w:tcBorders>
                          <w:top w:val="nil"/>
                          <w:left w:val="nil"/>
                          <w:bottom w:val="nil"/>
                          <w:right w:val="nil"/>
                        </w:tcBorders>
                      </w:tcPr>
                      <w:p>
                        <w:pPr>
                          <w:pStyle w:val="TableParagraph"/>
                          <w:spacing w:before="43"/>
                          <w:ind w:right="131"/>
                          <w:rPr>
                            <w:sz w:val="18"/>
                          </w:rPr>
                        </w:pPr>
                        <w:r>
                          <w:rPr>
                            <w:sz w:val="18"/>
                          </w:rPr>
                          <w:t>0.15</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3"/>
                          <w:ind w:left="106" w:right="106"/>
                          <w:rPr>
                            <w:sz w:val="18"/>
                          </w:rPr>
                        </w:pPr>
                        <w:r>
                          <w:rPr>
                            <w:sz w:val="18"/>
                          </w:rPr>
                          <w:t>0.18</w:t>
                        </w:r>
                      </w:p>
                    </w:tc>
                    <w:tc>
                      <w:tcPr>
                        <w:tcW w:w="658" w:type="dxa"/>
                        <w:tcBorders>
                          <w:top w:val="nil"/>
                          <w:left w:val="nil"/>
                          <w:bottom w:val="nil"/>
                          <w:right w:val="nil"/>
                        </w:tcBorders>
                      </w:tcPr>
                      <w:p>
                        <w:pPr>
                          <w:pStyle w:val="TableParagraph"/>
                          <w:spacing w:before="43"/>
                          <w:ind w:left="106" w:right="106"/>
                          <w:rPr>
                            <w:sz w:val="18"/>
                          </w:rPr>
                        </w:pPr>
                        <w:r>
                          <w:rPr>
                            <w:sz w:val="18"/>
                          </w:rPr>
                          <w:t>0.17</w:t>
                        </w:r>
                      </w:p>
                    </w:tc>
                    <w:tc>
                      <w:tcPr>
                        <w:tcW w:w="663" w:type="dxa"/>
                        <w:tcBorders>
                          <w:top w:val="nil"/>
                          <w:left w:val="nil"/>
                          <w:bottom w:val="nil"/>
                          <w:right w:val="nil"/>
                        </w:tcBorders>
                      </w:tcPr>
                      <w:p>
                        <w:pPr>
                          <w:pStyle w:val="TableParagraph"/>
                          <w:spacing w:before="43"/>
                          <w:ind w:left="107" w:right="110"/>
                          <w:rPr>
                            <w:sz w:val="18"/>
                          </w:rPr>
                        </w:pPr>
                        <w:r>
                          <w:rPr>
                            <w:sz w:val="18"/>
                          </w:rPr>
                          <w:t>0.15</w:t>
                        </w:r>
                      </w:p>
                    </w:tc>
                    <w:tc>
                      <w:tcPr>
                        <w:tcW w:w="701" w:type="dxa"/>
                        <w:tcBorders>
                          <w:top w:val="nil"/>
                          <w:left w:val="nil"/>
                          <w:bottom w:val="nil"/>
                          <w:right w:val="nil"/>
                        </w:tcBorders>
                      </w:tcPr>
                      <w:p>
                        <w:pPr>
                          <w:pStyle w:val="TableParagraph"/>
                          <w:spacing w:before="43"/>
                          <w:ind w:left="108" w:right="27"/>
                          <w:rPr>
                            <w:sz w:val="18"/>
                          </w:rPr>
                        </w:pPr>
                        <w:r>
                          <w:rPr>
                            <w:sz w:val="18"/>
                          </w:rPr>
                          <w:t>0.007</w:t>
                        </w:r>
                      </w:p>
                    </w:tc>
                    <w:tc>
                      <w:tcPr>
                        <w:tcW w:w="775" w:type="dxa"/>
                        <w:tcBorders>
                          <w:top w:val="nil"/>
                          <w:left w:val="nil"/>
                          <w:bottom w:val="nil"/>
                          <w:right w:val="nil"/>
                        </w:tcBorders>
                      </w:tcPr>
                      <w:p>
                        <w:pPr>
                          <w:pStyle w:val="TableParagraph"/>
                          <w:spacing w:before="43"/>
                          <w:ind w:left="114" w:right="114"/>
                          <w:rPr>
                            <w:sz w:val="18"/>
                          </w:rPr>
                        </w:pPr>
                        <w:r>
                          <w:rPr>
                            <w:sz w:val="18"/>
                          </w:rPr>
                          <w:t>&lt;.0001</w:t>
                        </w:r>
                      </w:p>
                    </w:tc>
                    <w:tc>
                      <w:tcPr>
                        <w:tcW w:w="778" w:type="dxa"/>
                        <w:tcBorders>
                          <w:top w:val="nil"/>
                          <w:left w:val="nil"/>
                          <w:bottom w:val="nil"/>
                          <w:right w:val="nil"/>
                        </w:tcBorders>
                      </w:tcPr>
                      <w:p>
                        <w:pPr>
                          <w:pStyle w:val="TableParagraph"/>
                          <w:spacing w:before="43"/>
                          <w:ind w:left="115" w:right="111"/>
                          <w:rPr>
                            <w:sz w:val="18"/>
                          </w:rPr>
                        </w:pPr>
                        <w:r>
                          <w:rPr>
                            <w:sz w:val="18"/>
                          </w:rPr>
                          <w:t>0.3023</w:t>
                        </w:r>
                      </w:p>
                    </w:tc>
                    <w:tc>
                      <w:tcPr>
                        <w:tcW w:w="766" w:type="dxa"/>
                        <w:tcBorders>
                          <w:top w:val="nil"/>
                          <w:left w:val="nil"/>
                          <w:bottom w:val="nil"/>
                          <w:right w:val="nil"/>
                        </w:tcBorders>
                      </w:tcPr>
                      <w:p>
                        <w:pPr>
                          <w:pStyle w:val="TableParagraph"/>
                          <w:spacing w:before="43"/>
                          <w:ind w:left="115" w:right="115"/>
                          <w:rPr>
                            <w:sz w:val="18"/>
                          </w:rPr>
                        </w:pPr>
                        <w:r>
                          <w:rPr>
                            <w:sz w:val="18"/>
                          </w:rPr>
                          <w:t>0.7444</w:t>
                        </w:r>
                      </w:p>
                    </w:tc>
                  </w:tr>
                  <w:tr>
                    <w:trPr>
                      <w:trHeight w:val="294" w:hRule="exact"/>
                    </w:trPr>
                    <w:tc>
                      <w:tcPr>
                        <w:tcW w:w="1873" w:type="dxa"/>
                        <w:tcBorders>
                          <w:top w:val="nil"/>
                          <w:left w:val="nil"/>
                          <w:bottom w:val="nil"/>
                          <w:right w:val="nil"/>
                        </w:tcBorders>
                      </w:tcPr>
                      <w:p>
                        <w:pPr>
                          <w:pStyle w:val="TableParagraph"/>
                          <w:spacing w:before="44"/>
                          <w:ind w:left="125"/>
                          <w:jc w:val="left"/>
                          <w:rPr>
                            <w:sz w:val="18"/>
                          </w:rPr>
                        </w:pPr>
                        <w:r>
                          <w:rPr>
                            <w:sz w:val="18"/>
                          </w:rPr>
                          <w:t>OTROS</w:t>
                        </w:r>
                      </w:p>
                    </w:tc>
                    <w:tc>
                      <w:tcPr>
                        <w:tcW w:w="660" w:type="dxa"/>
                        <w:tcBorders>
                          <w:top w:val="nil"/>
                          <w:left w:val="nil"/>
                          <w:bottom w:val="nil"/>
                          <w:right w:val="nil"/>
                        </w:tcBorders>
                      </w:tcPr>
                      <w:p>
                        <w:pPr>
                          <w:pStyle w:val="TableParagraph"/>
                          <w:spacing w:before="44"/>
                          <w:ind w:left="107" w:right="107"/>
                          <w:rPr>
                            <w:sz w:val="18"/>
                          </w:rPr>
                        </w:pPr>
                        <w:r>
                          <w:rPr>
                            <w:sz w:val="18"/>
                          </w:rPr>
                          <w:t>0.88</w:t>
                        </w:r>
                      </w:p>
                    </w:tc>
                    <w:tc>
                      <w:tcPr>
                        <w:tcW w:w="793" w:type="dxa"/>
                        <w:tcBorders>
                          <w:top w:val="nil"/>
                          <w:left w:val="nil"/>
                          <w:bottom w:val="nil"/>
                          <w:right w:val="nil"/>
                        </w:tcBorders>
                      </w:tcPr>
                      <w:p>
                        <w:pPr>
                          <w:pStyle w:val="TableParagraph"/>
                          <w:spacing w:before="44"/>
                          <w:ind w:left="109" w:right="237"/>
                          <w:rPr>
                            <w:sz w:val="18"/>
                          </w:rPr>
                        </w:pPr>
                        <w:r>
                          <w:rPr>
                            <w:sz w:val="18"/>
                          </w:rPr>
                          <w:t>0.83</w:t>
                        </w:r>
                      </w:p>
                    </w:tc>
                    <w:tc>
                      <w:tcPr>
                        <w:tcW w:w="525" w:type="dxa"/>
                        <w:tcBorders>
                          <w:top w:val="nil"/>
                          <w:left w:val="nil"/>
                          <w:bottom w:val="nil"/>
                          <w:right w:val="nil"/>
                        </w:tcBorders>
                      </w:tcPr>
                      <w:p>
                        <w:pPr>
                          <w:pStyle w:val="TableParagraph"/>
                          <w:spacing w:before="44"/>
                          <w:ind w:right="131"/>
                          <w:rPr>
                            <w:sz w:val="18"/>
                          </w:rPr>
                        </w:pPr>
                        <w:r>
                          <w:rPr>
                            <w:sz w:val="18"/>
                          </w:rPr>
                          <w:t>0.73</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44"/>
                          <w:ind w:left="106" w:right="106"/>
                          <w:rPr>
                            <w:sz w:val="18"/>
                          </w:rPr>
                        </w:pPr>
                        <w:r>
                          <w:rPr>
                            <w:sz w:val="18"/>
                          </w:rPr>
                          <w:t>0.82</w:t>
                        </w:r>
                      </w:p>
                    </w:tc>
                    <w:tc>
                      <w:tcPr>
                        <w:tcW w:w="658" w:type="dxa"/>
                        <w:tcBorders>
                          <w:top w:val="nil"/>
                          <w:left w:val="nil"/>
                          <w:bottom w:val="nil"/>
                          <w:right w:val="nil"/>
                        </w:tcBorders>
                      </w:tcPr>
                      <w:p>
                        <w:pPr>
                          <w:pStyle w:val="TableParagraph"/>
                          <w:spacing w:before="44"/>
                          <w:ind w:left="106" w:right="106"/>
                          <w:rPr>
                            <w:sz w:val="18"/>
                          </w:rPr>
                        </w:pPr>
                        <w:r>
                          <w:rPr>
                            <w:sz w:val="18"/>
                          </w:rPr>
                          <w:t>0.71</w:t>
                        </w:r>
                      </w:p>
                    </w:tc>
                    <w:tc>
                      <w:tcPr>
                        <w:tcW w:w="663" w:type="dxa"/>
                        <w:tcBorders>
                          <w:top w:val="nil"/>
                          <w:left w:val="nil"/>
                          <w:bottom w:val="nil"/>
                          <w:right w:val="nil"/>
                        </w:tcBorders>
                      </w:tcPr>
                      <w:p>
                        <w:pPr>
                          <w:pStyle w:val="TableParagraph"/>
                          <w:spacing w:before="44"/>
                          <w:ind w:left="107" w:right="110"/>
                          <w:rPr>
                            <w:sz w:val="18"/>
                          </w:rPr>
                        </w:pPr>
                        <w:r>
                          <w:rPr>
                            <w:sz w:val="18"/>
                          </w:rPr>
                          <w:t>0.67</w:t>
                        </w:r>
                      </w:p>
                    </w:tc>
                    <w:tc>
                      <w:tcPr>
                        <w:tcW w:w="701" w:type="dxa"/>
                        <w:tcBorders>
                          <w:top w:val="nil"/>
                          <w:left w:val="nil"/>
                          <w:bottom w:val="nil"/>
                          <w:right w:val="nil"/>
                        </w:tcBorders>
                      </w:tcPr>
                      <w:p>
                        <w:pPr>
                          <w:pStyle w:val="TableParagraph"/>
                          <w:spacing w:before="44"/>
                          <w:ind w:left="108" w:right="27"/>
                          <w:rPr>
                            <w:sz w:val="18"/>
                          </w:rPr>
                        </w:pPr>
                        <w:r>
                          <w:rPr>
                            <w:sz w:val="18"/>
                          </w:rPr>
                          <w:t>0.023</w:t>
                        </w:r>
                      </w:p>
                    </w:tc>
                    <w:tc>
                      <w:tcPr>
                        <w:tcW w:w="775" w:type="dxa"/>
                        <w:tcBorders>
                          <w:top w:val="nil"/>
                          <w:left w:val="nil"/>
                          <w:bottom w:val="nil"/>
                          <w:right w:val="nil"/>
                        </w:tcBorders>
                      </w:tcPr>
                      <w:p>
                        <w:pPr>
                          <w:pStyle w:val="TableParagraph"/>
                          <w:spacing w:before="44"/>
                          <w:ind w:left="114" w:right="114"/>
                          <w:rPr>
                            <w:sz w:val="18"/>
                          </w:rPr>
                        </w:pPr>
                        <w:r>
                          <w:rPr>
                            <w:sz w:val="18"/>
                          </w:rPr>
                          <w:t>&lt;.0001</w:t>
                        </w:r>
                      </w:p>
                    </w:tc>
                    <w:tc>
                      <w:tcPr>
                        <w:tcW w:w="778" w:type="dxa"/>
                        <w:tcBorders>
                          <w:top w:val="nil"/>
                          <w:left w:val="nil"/>
                          <w:bottom w:val="nil"/>
                          <w:right w:val="nil"/>
                        </w:tcBorders>
                      </w:tcPr>
                      <w:p>
                        <w:pPr>
                          <w:pStyle w:val="TableParagraph"/>
                          <w:spacing w:before="44"/>
                          <w:ind w:left="115" w:right="111"/>
                          <w:rPr>
                            <w:sz w:val="18"/>
                          </w:rPr>
                        </w:pPr>
                        <w:r>
                          <w:rPr>
                            <w:sz w:val="18"/>
                          </w:rPr>
                          <w:t>0.0001</w:t>
                        </w:r>
                      </w:p>
                    </w:tc>
                    <w:tc>
                      <w:tcPr>
                        <w:tcW w:w="766" w:type="dxa"/>
                        <w:tcBorders>
                          <w:top w:val="nil"/>
                          <w:left w:val="nil"/>
                          <w:bottom w:val="nil"/>
                          <w:right w:val="nil"/>
                        </w:tcBorders>
                      </w:tcPr>
                      <w:p>
                        <w:pPr>
                          <w:pStyle w:val="TableParagraph"/>
                          <w:spacing w:before="44"/>
                          <w:ind w:left="115" w:right="115"/>
                          <w:rPr>
                            <w:sz w:val="18"/>
                          </w:rPr>
                        </w:pPr>
                        <w:r>
                          <w:rPr>
                            <w:sz w:val="18"/>
                          </w:rPr>
                          <w:t>0.4264</w:t>
                        </w:r>
                      </w:p>
                    </w:tc>
                  </w:tr>
                  <w:tr>
                    <w:trPr>
                      <w:trHeight w:val="310" w:hRule="exact"/>
                    </w:trPr>
                    <w:tc>
                      <w:tcPr>
                        <w:tcW w:w="1873" w:type="dxa"/>
                        <w:tcBorders>
                          <w:top w:val="nil"/>
                          <w:left w:val="nil"/>
                          <w:bottom w:val="nil"/>
                          <w:right w:val="nil"/>
                        </w:tcBorders>
                      </w:tcPr>
                      <w:p>
                        <w:pPr>
                          <w:pStyle w:val="TableParagraph"/>
                          <w:spacing w:before="33"/>
                          <w:ind w:left="125"/>
                          <w:jc w:val="left"/>
                          <w:rPr>
                            <w:sz w:val="12"/>
                          </w:rPr>
                        </w:pPr>
                        <w:r>
                          <w:rPr>
                            <w:sz w:val="18"/>
                          </w:rPr>
                          <w:t>AGS</w:t>
                        </w:r>
                        <w:r>
                          <w:rPr>
                            <w:position w:val="8"/>
                            <w:sz w:val="12"/>
                          </w:rPr>
                          <w:t>¶</w:t>
                        </w:r>
                      </w:p>
                    </w:tc>
                    <w:tc>
                      <w:tcPr>
                        <w:tcW w:w="660" w:type="dxa"/>
                        <w:tcBorders>
                          <w:top w:val="nil"/>
                          <w:left w:val="nil"/>
                          <w:bottom w:val="nil"/>
                          <w:right w:val="nil"/>
                        </w:tcBorders>
                      </w:tcPr>
                      <w:p>
                        <w:pPr>
                          <w:pStyle w:val="TableParagraph"/>
                          <w:spacing w:before="57"/>
                          <w:ind w:left="107" w:right="107"/>
                          <w:rPr>
                            <w:sz w:val="18"/>
                          </w:rPr>
                        </w:pPr>
                        <w:r>
                          <w:rPr>
                            <w:sz w:val="18"/>
                          </w:rPr>
                          <w:t>67.99</w:t>
                        </w:r>
                      </w:p>
                    </w:tc>
                    <w:tc>
                      <w:tcPr>
                        <w:tcW w:w="793" w:type="dxa"/>
                        <w:tcBorders>
                          <w:top w:val="nil"/>
                          <w:left w:val="nil"/>
                          <w:bottom w:val="nil"/>
                          <w:right w:val="nil"/>
                        </w:tcBorders>
                      </w:tcPr>
                      <w:p>
                        <w:pPr>
                          <w:pStyle w:val="TableParagraph"/>
                          <w:spacing w:before="57"/>
                          <w:ind w:left="110" w:right="237"/>
                          <w:rPr>
                            <w:sz w:val="18"/>
                          </w:rPr>
                        </w:pPr>
                        <w:r>
                          <w:rPr>
                            <w:sz w:val="18"/>
                          </w:rPr>
                          <w:t>68.82</w:t>
                        </w:r>
                      </w:p>
                    </w:tc>
                    <w:tc>
                      <w:tcPr>
                        <w:tcW w:w="525" w:type="dxa"/>
                        <w:tcBorders>
                          <w:top w:val="nil"/>
                          <w:left w:val="nil"/>
                          <w:bottom w:val="nil"/>
                          <w:right w:val="nil"/>
                        </w:tcBorders>
                      </w:tcPr>
                      <w:p>
                        <w:pPr>
                          <w:pStyle w:val="TableParagraph"/>
                          <w:spacing w:before="57"/>
                          <w:ind w:left="-8" w:right="123"/>
                          <w:rPr>
                            <w:sz w:val="18"/>
                          </w:rPr>
                        </w:pPr>
                        <w:r>
                          <w:rPr>
                            <w:spacing w:val="-1"/>
                            <w:sz w:val="18"/>
                          </w:rPr>
                          <w:t>69.76</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57"/>
                          <w:ind w:left="106" w:right="106"/>
                          <w:rPr>
                            <w:sz w:val="18"/>
                          </w:rPr>
                        </w:pPr>
                        <w:r>
                          <w:rPr>
                            <w:sz w:val="18"/>
                          </w:rPr>
                          <w:t>68.04</w:t>
                        </w:r>
                      </w:p>
                    </w:tc>
                    <w:tc>
                      <w:tcPr>
                        <w:tcW w:w="658" w:type="dxa"/>
                        <w:tcBorders>
                          <w:top w:val="nil"/>
                          <w:left w:val="nil"/>
                          <w:bottom w:val="nil"/>
                          <w:right w:val="nil"/>
                        </w:tcBorders>
                      </w:tcPr>
                      <w:p>
                        <w:pPr>
                          <w:pStyle w:val="TableParagraph"/>
                          <w:spacing w:before="57"/>
                          <w:ind w:left="106" w:right="106"/>
                          <w:rPr>
                            <w:sz w:val="18"/>
                          </w:rPr>
                        </w:pPr>
                        <w:r>
                          <w:rPr>
                            <w:sz w:val="18"/>
                          </w:rPr>
                          <w:t>70.63</w:t>
                        </w:r>
                      </w:p>
                    </w:tc>
                    <w:tc>
                      <w:tcPr>
                        <w:tcW w:w="663" w:type="dxa"/>
                        <w:tcBorders>
                          <w:top w:val="nil"/>
                          <w:left w:val="nil"/>
                          <w:bottom w:val="nil"/>
                          <w:right w:val="nil"/>
                        </w:tcBorders>
                      </w:tcPr>
                      <w:p>
                        <w:pPr>
                          <w:pStyle w:val="TableParagraph"/>
                          <w:spacing w:before="57"/>
                          <w:ind w:left="107" w:right="110"/>
                          <w:rPr>
                            <w:sz w:val="18"/>
                          </w:rPr>
                        </w:pPr>
                        <w:r>
                          <w:rPr>
                            <w:sz w:val="18"/>
                          </w:rPr>
                          <w:t>72.20</w:t>
                        </w:r>
                      </w:p>
                    </w:tc>
                    <w:tc>
                      <w:tcPr>
                        <w:tcW w:w="701" w:type="dxa"/>
                        <w:tcBorders>
                          <w:top w:val="nil"/>
                          <w:left w:val="nil"/>
                          <w:bottom w:val="nil"/>
                          <w:right w:val="nil"/>
                        </w:tcBorders>
                      </w:tcPr>
                      <w:p>
                        <w:pPr>
                          <w:pStyle w:val="TableParagraph"/>
                          <w:spacing w:before="57"/>
                          <w:ind w:left="108" w:right="27"/>
                          <w:rPr>
                            <w:sz w:val="18"/>
                          </w:rPr>
                        </w:pPr>
                        <w:r>
                          <w:rPr>
                            <w:sz w:val="18"/>
                          </w:rPr>
                          <w:t>0.749</w:t>
                        </w:r>
                      </w:p>
                    </w:tc>
                    <w:tc>
                      <w:tcPr>
                        <w:tcW w:w="775" w:type="dxa"/>
                        <w:tcBorders>
                          <w:top w:val="nil"/>
                          <w:left w:val="nil"/>
                          <w:bottom w:val="nil"/>
                          <w:right w:val="nil"/>
                        </w:tcBorders>
                      </w:tcPr>
                      <w:p>
                        <w:pPr>
                          <w:pStyle w:val="TableParagraph"/>
                          <w:spacing w:before="57"/>
                          <w:ind w:left="114" w:right="112"/>
                          <w:rPr>
                            <w:sz w:val="18"/>
                          </w:rPr>
                        </w:pPr>
                        <w:r>
                          <w:rPr>
                            <w:sz w:val="18"/>
                          </w:rPr>
                          <w:t>0.0013</w:t>
                        </w:r>
                      </w:p>
                    </w:tc>
                    <w:tc>
                      <w:tcPr>
                        <w:tcW w:w="778" w:type="dxa"/>
                        <w:tcBorders>
                          <w:top w:val="nil"/>
                          <w:left w:val="nil"/>
                          <w:bottom w:val="nil"/>
                          <w:right w:val="nil"/>
                        </w:tcBorders>
                      </w:tcPr>
                      <w:p>
                        <w:pPr>
                          <w:pStyle w:val="TableParagraph"/>
                          <w:spacing w:before="57"/>
                          <w:ind w:left="115" w:right="111"/>
                          <w:rPr>
                            <w:sz w:val="18"/>
                          </w:rPr>
                        </w:pPr>
                        <w:r>
                          <w:rPr>
                            <w:sz w:val="18"/>
                          </w:rPr>
                          <w:t>0.0294</w:t>
                        </w:r>
                      </w:p>
                    </w:tc>
                    <w:tc>
                      <w:tcPr>
                        <w:tcW w:w="766" w:type="dxa"/>
                        <w:tcBorders>
                          <w:top w:val="nil"/>
                          <w:left w:val="nil"/>
                          <w:bottom w:val="nil"/>
                          <w:right w:val="nil"/>
                        </w:tcBorders>
                      </w:tcPr>
                      <w:p>
                        <w:pPr>
                          <w:pStyle w:val="TableParagraph"/>
                          <w:spacing w:before="57"/>
                          <w:ind w:left="115" w:right="115"/>
                          <w:rPr>
                            <w:sz w:val="18"/>
                          </w:rPr>
                        </w:pPr>
                        <w:r>
                          <w:rPr>
                            <w:sz w:val="18"/>
                          </w:rPr>
                          <w:t>0.3024</w:t>
                        </w:r>
                      </w:p>
                    </w:tc>
                  </w:tr>
                  <w:tr>
                    <w:trPr>
                      <w:trHeight w:val="315" w:hRule="exact"/>
                    </w:trPr>
                    <w:tc>
                      <w:tcPr>
                        <w:tcW w:w="1873" w:type="dxa"/>
                        <w:tcBorders>
                          <w:top w:val="nil"/>
                          <w:left w:val="nil"/>
                          <w:bottom w:val="nil"/>
                          <w:right w:val="nil"/>
                        </w:tcBorders>
                      </w:tcPr>
                      <w:p>
                        <w:pPr>
                          <w:pStyle w:val="TableParagraph"/>
                          <w:spacing w:before="35"/>
                          <w:ind w:left="125"/>
                          <w:jc w:val="left"/>
                          <w:rPr>
                            <w:sz w:val="12"/>
                          </w:rPr>
                        </w:pPr>
                        <w:r>
                          <w:rPr>
                            <w:sz w:val="18"/>
                          </w:rPr>
                          <w:t>AGMI</w:t>
                        </w:r>
                        <w:r>
                          <w:rPr>
                            <w:position w:val="8"/>
                            <w:sz w:val="12"/>
                          </w:rPr>
                          <w:t>¶¶</w:t>
                        </w:r>
                      </w:p>
                    </w:tc>
                    <w:tc>
                      <w:tcPr>
                        <w:tcW w:w="660" w:type="dxa"/>
                        <w:tcBorders>
                          <w:top w:val="nil"/>
                          <w:left w:val="nil"/>
                          <w:bottom w:val="nil"/>
                          <w:right w:val="nil"/>
                        </w:tcBorders>
                      </w:tcPr>
                      <w:p>
                        <w:pPr>
                          <w:pStyle w:val="TableParagraph"/>
                          <w:spacing w:before="59"/>
                          <w:ind w:left="107" w:right="107"/>
                          <w:rPr>
                            <w:sz w:val="18"/>
                          </w:rPr>
                        </w:pPr>
                        <w:r>
                          <w:rPr>
                            <w:sz w:val="18"/>
                          </w:rPr>
                          <w:t>29.05</w:t>
                        </w:r>
                      </w:p>
                    </w:tc>
                    <w:tc>
                      <w:tcPr>
                        <w:tcW w:w="793" w:type="dxa"/>
                        <w:tcBorders>
                          <w:top w:val="nil"/>
                          <w:left w:val="nil"/>
                          <w:bottom w:val="nil"/>
                          <w:right w:val="nil"/>
                        </w:tcBorders>
                      </w:tcPr>
                      <w:p>
                        <w:pPr>
                          <w:pStyle w:val="TableParagraph"/>
                          <w:spacing w:before="59"/>
                          <w:ind w:left="110" w:right="237"/>
                          <w:rPr>
                            <w:sz w:val="18"/>
                          </w:rPr>
                        </w:pPr>
                        <w:r>
                          <w:rPr>
                            <w:sz w:val="18"/>
                          </w:rPr>
                          <w:t>28.27</w:t>
                        </w:r>
                      </w:p>
                    </w:tc>
                    <w:tc>
                      <w:tcPr>
                        <w:tcW w:w="525" w:type="dxa"/>
                        <w:tcBorders>
                          <w:top w:val="nil"/>
                          <w:left w:val="nil"/>
                          <w:bottom w:val="nil"/>
                          <w:right w:val="nil"/>
                        </w:tcBorders>
                      </w:tcPr>
                      <w:p>
                        <w:pPr>
                          <w:pStyle w:val="TableParagraph"/>
                          <w:spacing w:before="59"/>
                          <w:ind w:left="-8" w:right="123"/>
                          <w:rPr>
                            <w:sz w:val="18"/>
                          </w:rPr>
                        </w:pPr>
                        <w:r>
                          <w:rPr>
                            <w:spacing w:val="-1"/>
                            <w:sz w:val="18"/>
                          </w:rPr>
                          <w:t>27.29</w:t>
                        </w:r>
                      </w:p>
                    </w:tc>
                    <w:tc>
                      <w:tcPr>
                        <w:tcW w:w="226" w:type="dxa"/>
                        <w:tcBorders>
                          <w:top w:val="nil"/>
                          <w:left w:val="nil"/>
                          <w:bottom w:val="nil"/>
                          <w:right w:val="nil"/>
                        </w:tcBorders>
                      </w:tcPr>
                      <w:p>
                        <w:pPr/>
                      </w:p>
                    </w:tc>
                    <w:tc>
                      <w:tcPr>
                        <w:tcW w:w="658" w:type="dxa"/>
                        <w:tcBorders>
                          <w:top w:val="nil"/>
                          <w:left w:val="nil"/>
                          <w:bottom w:val="nil"/>
                          <w:right w:val="nil"/>
                        </w:tcBorders>
                      </w:tcPr>
                      <w:p>
                        <w:pPr>
                          <w:pStyle w:val="TableParagraph"/>
                          <w:spacing w:before="59"/>
                          <w:ind w:left="106" w:right="106"/>
                          <w:rPr>
                            <w:sz w:val="18"/>
                          </w:rPr>
                        </w:pPr>
                        <w:r>
                          <w:rPr>
                            <w:sz w:val="18"/>
                          </w:rPr>
                          <w:t>28.96</w:t>
                        </w:r>
                      </w:p>
                    </w:tc>
                    <w:tc>
                      <w:tcPr>
                        <w:tcW w:w="658" w:type="dxa"/>
                        <w:tcBorders>
                          <w:top w:val="nil"/>
                          <w:left w:val="nil"/>
                          <w:bottom w:val="nil"/>
                          <w:right w:val="nil"/>
                        </w:tcBorders>
                      </w:tcPr>
                      <w:p>
                        <w:pPr>
                          <w:pStyle w:val="TableParagraph"/>
                          <w:spacing w:before="59"/>
                          <w:ind w:left="106" w:right="106"/>
                          <w:rPr>
                            <w:sz w:val="18"/>
                          </w:rPr>
                        </w:pPr>
                        <w:r>
                          <w:rPr>
                            <w:sz w:val="18"/>
                          </w:rPr>
                          <w:t>26.55</w:t>
                        </w:r>
                      </w:p>
                    </w:tc>
                    <w:tc>
                      <w:tcPr>
                        <w:tcW w:w="663" w:type="dxa"/>
                        <w:tcBorders>
                          <w:top w:val="nil"/>
                          <w:left w:val="nil"/>
                          <w:bottom w:val="nil"/>
                          <w:right w:val="nil"/>
                        </w:tcBorders>
                      </w:tcPr>
                      <w:p>
                        <w:pPr>
                          <w:pStyle w:val="TableParagraph"/>
                          <w:spacing w:before="59"/>
                          <w:ind w:left="107" w:right="110"/>
                          <w:rPr>
                            <w:sz w:val="18"/>
                          </w:rPr>
                        </w:pPr>
                        <w:r>
                          <w:rPr>
                            <w:sz w:val="18"/>
                          </w:rPr>
                          <w:t>25.04</w:t>
                        </w:r>
                      </w:p>
                    </w:tc>
                    <w:tc>
                      <w:tcPr>
                        <w:tcW w:w="701" w:type="dxa"/>
                        <w:tcBorders>
                          <w:top w:val="nil"/>
                          <w:left w:val="nil"/>
                          <w:bottom w:val="nil"/>
                          <w:right w:val="nil"/>
                        </w:tcBorders>
                      </w:tcPr>
                      <w:p>
                        <w:pPr>
                          <w:pStyle w:val="TableParagraph"/>
                          <w:spacing w:before="59"/>
                          <w:ind w:left="108" w:right="27"/>
                          <w:rPr>
                            <w:sz w:val="18"/>
                          </w:rPr>
                        </w:pPr>
                        <w:r>
                          <w:rPr>
                            <w:sz w:val="18"/>
                          </w:rPr>
                          <w:t>0.685</w:t>
                        </w:r>
                      </w:p>
                    </w:tc>
                    <w:tc>
                      <w:tcPr>
                        <w:tcW w:w="775" w:type="dxa"/>
                        <w:tcBorders>
                          <w:top w:val="nil"/>
                          <w:left w:val="nil"/>
                          <w:bottom w:val="nil"/>
                          <w:right w:val="nil"/>
                        </w:tcBorders>
                      </w:tcPr>
                      <w:p>
                        <w:pPr>
                          <w:pStyle w:val="TableParagraph"/>
                          <w:spacing w:before="59"/>
                          <w:ind w:left="114" w:right="112"/>
                          <w:rPr>
                            <w:sz w:val="18"/>
                          </w:rPr>
                        </w:pPr>
                        <w:r>
                          <w:rPr>
                            <w:sz w:val="18"/>
                          </w:rPr>
                          <w:t>0.0007</w:t>
                        </w:r>
                      </w:p>
                    </w:tc>
                    <w:tc>
                      <w:tcPr>
                        <w:tcW w:w="778" w:type="dxa"/>
                        <w:tcBorders>
                          <w:top w:val="nil"/>
                          <w:left w:val="nil"/>
                          <w:bottom w:val="nil"/>
                          <w:right w:val="nil"/>
                        </w:tcBorders>
                      </w:tcPr>
                      <w:p>
                        <w:pPr>
                          <w:pStyle w:val="TableParagraph"/>
                          <w:spacing w:before="59"/>
                          <w:ind w:left="115" w:right="111"/>
                          <w:rPr>
                            <w:sz w:val="18"/>
                          </w:rPr>
                        </w:pPr>
                        <w:r>
                          <w:rPr>
                            <w:sz w:val="18"/>
                          </w:rPr>
                          <w:t>0.0239</w:t>
                        </w:r>
                      </w:p>
                    </w:tc>
                    <w:tc>
                      <w:tcPr>
                        <w:tcW w:w="766" w:type="dxa"/>
                        <w:tcBorders>
                          <w:top w:val="nil"/>
                          <w:left w:val="nil"/>
                          <w:bottom w:val="nil"/>
                          <w:right w:val="nil"/>
                        </w:tcBorders>
                      </w:tcPr>
                      <w:p>
                        <w:pPr>
                          <w:pStyle w:val="TableParagraph"/>
                          <w:spacing w:before="59"/>
                          <w:ind w:left="115" w:right="115"/>
                          <w:rPr>
                            <w:sz w:val="18"/>
                          </w:rPr>
                        </w:pPr>
                        <w:r>
                          <w:rPr>
                            <w:sz w:val="18"/>
                          </w:rPr>
                          <w:t>0.3048</w:t>
                        </w:r>
                      </w:p>
                    </w:tc>
                  </w:tr>
                  <w:tr>
                    <w:trPr>
                      <w:trHeight w:val="397" w:hRule="exact"/>
                    </w:trPr>
                    <w:tc>
                      <w:tcPr>
                        <w:tcW w:w="1873" w:type="dxa"/>
                        <w:tcBorders>
                          <w:top w:val="nil"/>
                          <w:left w:val="nil"/>
                          <w:right w:val="nil"/>
                        </w:tcBorders>
                      </w:tcPr>
                      <w:p>
                        <w:pPr>
                          <w:pStyle w:val="TableParagraph"/>
                          <w:spacing w:before="29"/>
                          <w:ind w:left="125"/>
                          <w:jc w:val="left"/>
                          <w:rPr>
                            <w:rFonts w:ascii="Calibri" w:hAnsi="Calibri" w:cs="Calibri" w:eastAsia="Calibri"/>
                            <w:sz w:val="12"/>
                            <w:szCs w:val="12"/>
                          </w:rPr>
                        </w:pPr>
                        <w:r>
                          <w:rPr>
                            <w:sz w:val="18"/>
                            <w:szCs w:val="18"/>
                          </w:rPr>
                          <w:t>AGPI</w:t>
                        </w:r>
                        <w:r>
                          <w:rPr>
                            <w:rFonts w:ascii="Calibri" w:hAnsi="Calibri" w:cs="Calibri" w:eastAsia="Calibri"/>
                            <w:position w:val="9"/>
                            <w:sz w:val="12"/>
                            <w:szCs w:val="12"/>
                          </w:rPr>
                          <w:t>Ԑ</w:t>
                        </w:r>
                      </w:p>
                    </w:tc>
                    <w:tc>
                      <w:tcPr>
                        <w:tcW w:w="660" w:type="dxa"/>
                        <w:tcBorders>
                          <w:top w:val="nil"/>
                          <w:left w:val="nil"/>
                          <w:right w:val="nil"/>
                        </w:tcBorders>
                      </w:tcPr>
                      <w:p>
                        <w:pPr>
                          <w:pStyle w:val="TableParagraph"/>
                          <w:spacing w:before="56"/>
                          <w:ind w:left="107" w:right="107"/>
                          <w:rPr>
                            <w:sz w:val="18"/>
                          </w:rPr>
                        </w:pPr>
                        <w:r>
                          <w:rPr>
                            <w:sz w:val="18"/>
                          </w:rPr>
                          <w:t>2.96</w:t>
                        </w:r>
                      </w:p>
                    </w:tc>
                    <w:tc>
                      <w:tcPr>
                        <w:tcW w:w="793" w:type="dxa"/>
                        <w:tcBorders>
                          <w:top w:val="nil"/>
                          <w:left w:val="nil"/>
                          <w:right w:val="nil"/>
                        </w:tcBorders>
                      </w:tcPr>
                      <w:p>
                        <w:pPr>
                          <w:pStyle w:val="TableParagraph"/>
                          <w:spacing w:before="56"/>
                          <w:ind w:left="109" w:right="237"/>
                          <w:rPr>
                            <w:sz w:val="18"/>
                          </w:rPr>
                        </w:pPr>
                        <w:r>
                          <w:rPr>
                            <w:sz w:val="18"/>
                          </w:rPr>
                          <w:t>2.91</w:t>
                        </w:r>
                      </w:p>
                    </w:tc>
                    <w:tc>
                      <w:tcPr>
                        <w:tcW w:w="525" w:type="dxa"/>
                        <w:tcBorders>
                          <w:top w:val="nil"/>
                          <w:left w:val="nil"/>
                          <w:right w:val="nil"/>
                        </w:tcBorders>
                      </w:tcPr>
                      <w:p>
                        <w:pPr>
                          <w:pStyle w:val="TableParagraph"/>
                          <w:spacing w:before="56"/>
                          <w:ind w:right="131"/>
                          <w:rPr>
                            <w:sz w:val="18"/>
                          </w:rPr>
                        </w:pPr>
                        <w:r>
                          <w:rPr>
                            <w:sz w:val="18"/>
                          </w:rPr>
                          <w:t>2.95</w:t>
                        </w:r>
                      </w:p>
                    </w:tc>
                    <w:tc>
                      <w:tcPr>
                        <w:tcW w:w="226" w:type="dxa"/>
                        <w:tcBorders>
                          <w:top w:val="nil"/>
                          <w:left w:val="nil"/>
                          <w:right w:val="nil"/>
                        </w:tcBorders>
                      </w:tcPr>
                      <w:p>
                        <w:pPr/>
                      </w:p>
                    </w:tc>
                    <w:tc>
                      <w:tcPr>
                        <w:tcW w:w="658" w:type="dxa"/>
                        <w:tcBorders>
                          <w:top w:val="nil"/>
                          <w:left w:val="nil"/>
                          <w:right w:val="nil"/>
                        </w:tcBorders>
                      </w:tcPr>
                      <w:p>
                        <w:pPr>
                          <w:pStyle w:val="TableParagraph"/>
                          <w:spacing w:before="56"/>
                          <w:ind w:left="106" w:right="106"/>
                          <w:rPr>
                            <w:sz w:val="18"/>
                          </w:rPr>
                        </w:pPr>
                        <w:r>
                          <w:rPr>
                            <w:sz w:val="18"/>
                          </w:rPr>
                          <w:t>3.00</w:t>
                        </w:r>
                      </w:p>
                    </w:tc>
                    <w:tc>
                      <w:tcPr>
                        <w:tcW w:w="658" w:type="dxa"/>
                        <w:tcBorders>
                          <w:top w:val="nil"/>
                          <w:left w:val="nil"/>
                          <w:right w:val="nil"/>
                        </w:tcBorders>
                      </w:tcPr>
                      <w:p>
                        <w:pPr>
                          <w:pStyle w:val="TableParagraph"/>
                          <w:spacing w:before="56"/>
                          <w:ind w:left="106" w:right="106"/>
                          <w:rPr>
                            <w:sz w:val="18"/>
                          </w:rPr>
                        </w:pPr>
                        <w:r>
                          <w:rPr>
                            <w:sz w:val="18"/>
                          </w:rPr>
                          <w:t>2.82</w:t>
                        </w:r>
                      </w:p>
                    </w:tc>
                    <w:tc>
                      <w:tcPr>
                        <w:tcW w:w="663" w:type="dxa"/>
                        <w:tcBorders>
                          <w:top w:val="nil"/>
                          <w:left w:val="nil"/>
                          <w:right w:val="nil"/>
                        </w:tcBorders>
                      </w:tcPr>
                      <w:p>
                        <w:pPr>
                          <w:pStyle w:val="TableParagraph"/>
                          <w:spacing w:before="56"/>
                          <w:ind w:left="107" w:right="110"/>
                          <w:rPr>
                            <w:sz w:val="18"/>
                          </w:rPr>
                        </w:pPr>
                        <w:r>
                          <w:rPr>
                            <w:sz w:val="18"/>
                          </w:rPr>
                          <w:t>2.76</w:t>
                        </w:r>
                      </w:p>
                    </w:tc>
                    <w:tc>
                      <w:tcPr>
                        <w:tcW w:w="701" w:type="dxa"/>
                        <w:tcBorders>
                          <w:top w:val="nil"/>
                          <w:left w:val="nil"/>
                          <w:right w:val="nil"/>
                        </w:tcBorders>
                      </w:tcPr>
                      <w:p>
                        <w:pPr>
                          <w:pStyle w:val="TableParagraph"/>
                          <w:spacing w:before="75"/>
                          <w:ind w:left="108" w:right="27"/>
                          <w:rPr>
                            <w:sz w:val="18"/>
                          </w:rPr>
                        </w:pPr>
                        <w:r>
                          <w:rPr>
                            <w:sz w:val="18"/>
                          </w:rPr>
                          <w:t>0.086</w:t>
                        </w:r>
                      </w:p>
                    </w:tc>
                    <w:tc>
                      <w:tcPr>
                        <w:tcW w:w="775" w:type="dxa"/>
                        <w:tcBorders>
                          <w:top w:val="nil"/>
                          <w:left w:val="nil"/>
                          <w:right w:val="nil"/>
                        </w:tcBorders>
                      </w:tcPr>
                      <w:p>
                        <w:pPr>
                          <w:pStyle w:val="TableParagraph"/>
                          <w:spacing w:before="56"/>
                          <w:ind w:left="114" w:right="112"/>
                          <w:rPr>
                            <w:sz w:val="18"/>
                          </w:rPr>
                        </w:pPr>
                        <w:r>
                          <w:rPr>
                            <w:sz w:val="18"/>
                          </w:rPr>
                          <w:t>0.3125</w:t>
                        </w:r>
                      </w:p>
                    </w:tc>
                    <w:tc>
                      <w:tcPr>
                        <w:tcW w:w="778" w:type="dxa"/>
                        <w:tcBorders>
                          <w:top w:val="nil"/>
                          <w:left w:val="nil"/>
                          <w:right w:val="nil"/>
                        </w:tcBorders>
                      </w:tcPr>
                      <w:p>
                        <w:pPr>
                          <w:pStyle w:val="TableParagraph"/>
                          <w:spacing w:before="56"/>
                          <w:ind w:left="115" w:right="111"/>
                          <w:rPr>
                            <w:sz w:val="18"/>
                          </w:rPr>
                        </w:pPr>
                        <w:r>
                          <w:rPr>
                            <w:sz w:val="18"/>
                          </w:rPr>
                          <w:t>0.3213</w:t>
                        </w:r>
                      </w:p>
                    </w:tc>
                    <w:tc>
                      <w:tcPr>
                        <w:tcW w:w="766" w:type="dxa"/>
                        <w:tcBorders>
                          <w:top w:val="nil"/>
                          <w:left w:val="nil"/>
                          <w:right w:val="nil"/>
                        </w:tcBorders>
                      </w:tcPr>
                      <w:p>
                        <w:pPr>
                          <w:pStyle w:val="TableParagraph"/>
                          <w:spacing w:before="56"/>
                          <w:ind w:left="115" w:right="115"/>
                          <w:rPr>
                            <w:sz w:val="18"/>
                          </w:rPr>
                        </w:pPr>
                        <w:r>
                          <w:rPr>
                            <w:sz w:val="18"/>
                          </w:rPr>
                          <w:t>0.4647</w:t>
                        </w:r>
                      </w:p>
                    </w:tc>
                  </w:tr>
                </w:tbl>
                <w:p>
                  <w:pPr>
                    <w:pStyle w:val="BodyText"/>
                  </w:pPr>
                </w:p>
              </w:txbxContent>
            </v:textbox>
            <w10:wrap type="none"/>
          </v:shape>
        </w:pict>
      </w:r>
      <w:r>
        <w:rPr>
          <w:position w:val="9"/>
          <w:sz w:val="13"/>
        </w:rPr>
        <w:t>abc  </w:t>
      </w:r>
      <w:r>
        <w:rPr>
          <w:sz w:val="20"/>
        </w:rPr>
        <w:t>Valores con distinta literal en la misma hilera son diferentes (P&lt;0.05).</w:t>
      </w:r>
    </w:p>
    <w:p>
      <w:pPr>
        <w:spacing w:line="336" w:lineRule="auto" w:before="91"/>
        <w:ind w:left="512" w:right="224" w:firstLine="0"/>
        <w:jc w:val="both"/>
        <w:rPr>
          <w:sz w:val="20"/>
          <w:szCs w:val="20"/>
        </w:rPr>
      </w:pPr>
      <w:r>
        <w:rPr>
          <w:position w:val="9"/>
          <w:sz w:val="13"/>
          <w:szCs w:val="13"/>
        </w:rPr>
        <w:t>†</w:t>
      </w:r>
      <w:r>
        <w:rPr>
          <w:sz w:val="20"/>
          <w:szCs w:val="20"/>
        </w:rPr>
        <w:t>EEM = Error estándar de la media. </w:t>
      </w:r>
      <w:r>
        <w:rPr>
          <w:position w:val="9"/>
          <w:sz w:val="13"/>
          <w:szCs w:val="13"/>
        </w:rPr>
        <w:t>††</w:t>
      </w:r>
      <w:r>
        <w:rPr>
          <w:sz w:val="20"/>
          <w:szCs w:val="20"/>
        </w:rPr>
        <w:t>Significancia de los efectos: Nivel de concentrado (C), genotipo (G) y  la interacción nivel de concentrado por genotipo (C*G). </w:t>
      </w:r>
      <w:r>
        <w:rPr>
          <w:position w:val="9"/>
          <w:sz w:val="13"/>
          <w:szCs w:val="13"/>
        </w:rPr>
        <w:t>¶</w:t>
      </w:r>
      <w:r>
        <w:rPr>
          <w:sz w:val="20"/>
          <w:szCs w:val="20"/>
        </w:rPr>
        <w:t>AGS = Ácidos grasos saturados, </w:t>
      </w:r>
      <w:r>
        <w:rPr>
          <w:position w:val="9"/>
          <w:sz w:val="13"/>
          <w:szCs w:val="13"/>
        </w:rPr>
        <w:t>¶¶</w:t>
      </w:r>
      <w:r>
        <w:rPr>
          <w:sz w:val="20"/>
          <w:szCs w:val="20"/>
        </w:rPr>
        <w:t>AGMI = Ácidos grasos polinsaturados, </w:t>
      </w:r>
      <w:r>
        <w:rPr>
          <w:rFonts w:ascii="Calibri" w:hAnsi="Calibri" w:cs="Calibri" w:eastAsia="Calibri"/>
          <w:position w:val="10"/>
          <w:sz w:val="13"/>
          <w:szCs w:val="13"/>
        </w:rPr>
        <w:t>Ԑ  </w:t>
      </w:r>
      <w:r>
        <w:rPr>
          <w:sz w:val="20"/>
          <w:szCs w:val="20"/>
        </w:rPr>
        <w:t>AGPI = Ácidos grasos</w:t>
      </w:r>
      <w:r>
        <w:rPr>
          <w:spacing w:val="-24"/>
          <w:sz w:val="20"/>
          <w:szCs w:val="20"/>
        </w:rPr>
        <w:t> </w:t>
      </w:r>
      <w:r>
        <w:rPr>
          <w:sz w:val="20"/>
          <w:szCs w:val="20"/>
        </w:rPr>
        <w:t>polinsaturados.</w:t>
      </w:r>
    </w:p>
    <w:p>
      <w:pPr>
        <w:spacing w:after="0" w:line="336" w:lineRule="auto"/>
        <w:jc w:val="both"/>
        <w:rPr>
          <w:sz w:val="20"/>
          <w:szCs w:val="20"/>
        </w:rPr>
        <w:sectPr>
          <w:pgSz w:w="12240" w:h="15840"/>
          <w:pgMar w:header="1150" w:footer="1382" w:top="1420" w:bottom="1580" w:left="1360" w:right="1300"/>
        </w:sectPr>
      </w:pPr>
    </w:p>
    <w:p>
      <w:pPr>
        <w:pStyle w:val="BodyText"/>
        <w:spacing w:before="3"/>
        <w:rPr>
          <w:sz w:val="27"/>
        </w:rPr>
      </w:pPr>
    </w:p>
    <w:p>
      <w:pPr>
        <w:pStyle w:val="BodyText"/>
        <w:spacing w:line="360" w:lineRule="auto" w:before="69" w:after="13"/>
        <w:ind w:left="512" w:right="322"/>
      </w:pPr>
      <w:r>
        <w:rPr>
          <w:b/>
        </w:rPr>
        <w:t>Cuadro 7</w:t>
      </w:r>
      <w:r>
        <w:rPr/>
        <w:t>. Perfil de ácidos grasos de la leche de vacas Holstein y Pardo Suizo en pastoreo complementadas con distintos niveles de concentrado en el Valle de Toluca, México.</w:t>
      </w:r>
    </w:p>
    <w:tbl>
      <w:tblPr>
        <w:tblW w:w="0" w:type="auto"/>
        <w:jc w:val="left"/>
        <w:tblInd w:w="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6"/>
        <w:gridCol w:w="724"/>
        <w:gridCol w:w="773"/>
        <w:gridCol w:w="697"/>
        <w:gridCol w:w="936"/>
        <w:gridCol w:w="803"/>
        <w:gridCol w:w="897"/>
        <w:gridCol w:w="624"/>
        <w:gridCol w:w="797"/>
        <w:gridCol w:w="805"/>
        <w:gridCol w:w="800"/>
      </w:tblGrid>
      <w:tr>
        <w:trPr>
          <w:trHeight w:val="225" w:hRule="exact"/>
        </w:trPr>
        <w:tc>
          <w:tcPr>
            <w:tcW w:w="3400" w:type="dxa"/>
            <w:gridSpan w:val="4"/>
            <w:tcBorders>
              <w:left w:val="nil"/>
              <w:bottom w:val="nil"/>
              <w:right w:val="nil"/>
            </w:tcBorders>
          </w:tcPr>
          <w:p>
            <w:pPr>
              <w:pStyle w:val="TableParagraph"/>
              <w:spacing w:line="207" w:lineRule="exact"/>
              <w:ind w:left="1556"/>
              <w:jc w:val="left"/>
              <w:rPr>
                <w:b/>
                <w:sz w:val="12"/>
              </w:rPr>
            </w:pPr>
            <w:r>
              <w:rPr>
                <w:b/>
                <w:sz w:val="18"/>
              </w:rPr>
              <w:t>CONCENTRADO</w:t>
            </w:r>
            <w:r>
              <w:rPr>
                <w:b/>
                <w:position w:val="8"/>
                <w:sz w:val="12"/>
              </w:rPr>
              <w:t>†</w:t>
            </w:r>
          </w:p>
        </w:tc>
        <w:tc>
          <w:tcPr>
            <w:tcW w:w="936" w:type="dxa"/>
            <w:tcBorders>
              <w:left w:val="nil"/>
              <w:bottom w:val="nil"/>
              <w:right w:val="nil"/>
            </w:tcBorders>
          </w:tcPr>
          <w:p>
            <w:pPr/>
          </w:p>
        </w:tc>
        <w:tc>
          <w:tcPr>
            <w:tcW w:w="1700" w:type="dxa"/>
            <w:gridSpan w:val="2"/>
            <w:tcBorders>
              <w:left w:val="nil"/>
              <w:right w:val="nil"/>
            </w:tcBorders>
          </w:tcPr>
          <w:p>
            <w:pPr>
              <w:pStyle w:val="TableParagraph"/>
              <w:ind w:left="360"/>
              <w:jc w:val="left"/>
              <w:rPr>
                <w:b/>
                <w:sz w:val="18"/>
              </w:rPr>
            </w:pPr>
            <w:r>
              <w:rPr>
                <w:b/>
                <w:sz w:val="18"/>
              </w:rPr>
              <w:t>GENOTIPO</w:t>
            </w:r>
          </w:p>
        </w:tc>
        <w:tc>
          <w:tcPr>
            <w:tcW w:w="624" w:type="dxa"/>
            <w:tcBorders>
              <w:left w:val="nil"/>
              <w:bottom w:val="nil"/>
              <w:right w:val="nil"/>
            </w:tcBorders>
          </w:tcPr>
          <w:p>
            <w:pPr/>
          </w:p>
        </w:tc>
        <w:tc>
          <w:tcPr>
            <w:tcW w:w="797" w:type="dxa"/>
            <w:tcBorders>
              <w:left w:val="nil"/>
              <w:right w:val="nil"/>
            </w:tcBorders>
          </w:tcPr>
          <w:p>
            <w:pPr/>
          </w:p>
        </w:tc>
        <w:tc>
          <w:tcPr>
            <w:tcW w:w="805" w:type="dxa"/>
            <w:tcBorders>
              <w:left w:val="nil"/>
              <w:right w:val="nil"/>
            </w:tcBorders>
          </w:tcPr>
          <w:p>
            <w:pPr>
              <w:pStyle w:val="TableParagraph"/>
              <w:spacing w:line="207" w:lineRule="exact"/>
              <w:ind w:left="129" w:right="129"/>
              <w:rPr>
                <w:b/>
                <w:sz w:val="12"/>
              </w:rPr>
            </w:pPr>
            <w:r>
              <w:rPr>
                <w:b/>
                <w:i/>
                <w:sz w:val="18"/>
              </w:rPr>
              <w:t>P</w:t>
            </w:r>
            <w:r>
              <w:rPr>
                <w:b/>
                <w:sz w:val="18"/>
              </w:rPr>
              <w:t>&lt;</w:t>
            </w:r>
            <w:r>
              <w:rPr>
                <w:b/>
                <w:position w:val="8"/>
                <w:sz w:val="12"/>
              </w:rPr>
              <w:t>‡</w:t>
            </w:r>
          </w:p>
        </w:tc>
        <w:tc>
          <w:tcPr>
            <w:tcW w:w="800" w:type="dxa"/>
            <w:tcBorders>
              <w:left w:val="nil"/>
              <w:right w:val="nil"/>
            </w:tcBorders>
          </w:tcPr>
          <w:p>
            <w:pPr/>
          </w:p>
        </w:tc>
      </w:tr>
      <w:tr>
        <w:trPr>
          <w:trHeight w:val="231" w:hRule="exact"/>
        </w:trPr>
        <w:tc>
          <w:tcPr>
            <w:tcW w:w="1206" w:type="dxa"/>
            <w:tcBorders>
              <w:top w:val="nil"/>
              <w:left w:val="nil"/>
              <w:right w:val="nil"/>
            </w:tcBorders>
          </w:tcPr>
          <w:p>
            <w:pPr/>
          </w:p>
        </w:tc>
        <w:tc>
          <w:tcPr>
            <w:tcW w:w="724" w:type="dxa"/>
            <w:tcBorders>
              <w:left w:val="nil"/>
              <w:right w:val="nil"/>
            </w:tcBorders>
          </w:tcPr>
          <w:p>
            <w:pPr>
              <w:pStyle w:val="TableParagraph"/>
              <w:spacing w:line="202" w:lineRule="exact"/>
              <w:ind w:left="255" w:right="257"/>
              <w:rPr>
                <w:sz w:val="18"/>
              </w:rPr>
            </w:pPr>
            <w:r>
              <w:rPr>
                <w:sz w:val="18"/>
              </w:rPr>
              <w:t>3c</w:t>
            </w:r>
          </w:p>
        </w:tc>
        <w:tc>
          <w:tcPr>
            <w:tcW w:w="773" w:type="dxa"/>
            <w:tcBorders>
              <w:left w:val="nil"/>
              <w:right w:val="nil"/>
            </w:tcBorders>
          </w:tcPr>
          <w:p>
            <w:pPr>
              <w:pStyle w:val="TableParagraph"/>
              <w:spacing w:line="202" w:lineRule="exact"/>
              <w:ind w:left="108" w:right="102"/>
              <w:rPr>
                <w:sz w:val="18"/>
              </w:rPr>
            </w:pPr>
            <w:r>
              <w:rPr>
                <w:sz w:val="18"/>
              </w:rPr>
              <w:t>5c</w:t>
            </w:r>
          </w:p>
        </w:tc>
        <w:tc>
          <w:tcPr>
            <w:tcW w:w="697" w:type="dxa"/>
            <w:tcBorders>
              <w:left w:val="nil"/>
              <w:right w:val="nil"/>
            </w:tcBorders>
          </w:tcPr>
          <w:p>
            <w:pPr>
              <w:pStyle w:val="TableParagraph"/>
              <w:spacing w:line="202" w:lineRule="exact"/>
              <w:ind w:left="251" w:right="236"/>
              <w:rPr>
                <w:sz w:val="18"/>
              </w:rPr>
            </w:pPr>
            <w:r>
              <w:rPr>
                <w:sz w:val="18"/>
              </w:rPr>
              <w:t>8c</w:t>
            </w:r>
          </w:p>
        </w:tc>
        <w:tc>
          <w:tcPr>
            <w:tcW w:w="936" w:type="dxa"/>
            <w:tcBorders>
              <w:top w:val="nil"/>
              <w:left w:val="nil"/>
              <w:right w:val="nil"/>
            </w:tcBorders>
          </w:tcPr>
          <w:p>
            <w:pPr>
              <w:pStyle w:val="TableParagraph"/>
              <w:spacing w:line="217" w:lineRule="exact"/>
              <w:ind w:left="105"/>
              <w:jc w:val="left"/>
              <w:rPr>
                <w:sz w:val="12"/>
              </w:rPr>
            </w:pPr>
            <w:r>
              <w:rPr>
                <w:sz w:val="18"/>
              </w:rPr>
              <w:t>EEM</w:t>
            </w:r>
            <w:r>
              <w:rPr>
                <w:position w:val="8"/>
                <w:sz w:val="12"/>
              </w:rPr>
              <w:t>††</w:t>
            </w:r>
          </w:p>
        </w:tc>
        <w:tc>
          <w:tcPr>
            <w:tcW w:w="803" w:type="dxa"/>
            <w:tcBorders>
              <w:left w:val="nil"/>
              <w:right w:val="nil"/>
            </w:tcBorders>
          </w:tcPr>
          <w:p>
            <w:pPr>
              <w:pStyle w:val="TableParagraph"/>
              <w:spacing w:line="202" w:lineRule="exact"/>
              <w:ind w:right="45"/>
              <w:rPr>
                <w:sz w:val="18"/>
              </w:rPr>
            </w:pPr>
            <w:r>
              <w:rPr>
                <w:w w:val="101"/>
                <w:sz w:val="18"/>
              </w:rPr>
              <w:t>H</w:t>
            </w:r>
          </w:p>
        </w:tc>
        <w:tc>
          <w:tcPr>
            <w:tcW w:w="897" w:type="dxa"/>
            <w:tcBorders>
              <w:left w:val="nil"/>
              <w:right w:val="nil"/>
            </w:tcBorders>
          </w:tcPr>
          <w:p>
            <w:pPr>
              <w:pStyle w:val="TableParagraph"/>
              <w:spacing w:line="202" w:lineRule="exact"/>
              <w:ind w:left="166" w:right="218"/>
              <w:rPr>
                <w:sz w:val="18"/>
              </w:rPr>
            </w:pPr>
            <w:r>
              <w:rPr>
                <w:sz w:val="18"/>
              </w:rPr>
              <w:t>PS</w:t>
            </w:r>
          </w:p>
        </w:tc>
        <w:tc>
          <w:tcPr>
            <w:tcW w:w="624" w:type="dxa"/>
            <w:tcBorders>
              <w:top w:val="nil"/>
              <w:left w:val="nil"/>
              <w:right w:val="nil"/>
            </w:tcBorders>
          </w:tcPr>
          <w:p>
            <w:pPr>
              <w:pStyle w:val="TableParagraph"/>
              <w:spacing w:before="10"/>
              <w:ind w:right="134"/>
              <w:jc w:val="right"/>
              <w:rPr>
                <w:sz w:val="18"/>
              </w:rPr>
            </w:pPr>
            <w:r>
              <w:rPr>
                <w:sz w:val="18"/>
              </w:rPr>
              <w:t>EEM</w:t>
            </w:r>
          </w:p>
        </w:tc>
        <w:tc>
          <w:tcPr>
            <w:tcW w:w="797" w:type="dxa"/>
            <w:tcBorders>
              <w:left w:val="nil"/>
              <w:right w:val="nil"/>
            </w:tcBorders>
          </w:tcPr>
          <w:p>
            <w:pPr>
              <w:pStyle w:val="TableParagraph"/>
              <w:spacing w:line="202" w:lineRule="exact"/>
              <w:ind w:right="1"/>
              <w:rPr>
                <w:sz w:val="18"/>
              </w:rPr>
            </w:pPr>
            <w:r>
              <w:rPr>
                <w:w w:val="101"/>
                <w:sz w:val="18"/>
              </w:rPr>
              <w:t>C</w:t>
            </w:r>
          </w:p>
        </w:tc>
        <w:tc>
          <w:tcPr>
            <w:tcW w:w="805" w:type="dxa"/>
            <w:tcBorders>
              <w:left w:val="nil"/>
              <w:right w:val="nil"/>
            </w:tcBorders>
          </w:tcPr>
          <w:p>
            <w:pPr>
              <w:pStyle w:val="TableParagraph"/>
              <w:spacing w:line="202" w:lineRule="exact"/>
              <w:ind w:right="7"/>
              <w:rPr>
                <w:sz w:val="18"/>
              </w:rPr>
            </w:pPr>
            <w:r>
              <w:rPr>
                <w:w w:val="101"/>
                <w:sz w:val="18"/>
              </w:rPr>
              <w:t>G</w:t>
            </w:r>
          </w:p>
        </w:tc>
        <w:tc>
          <w:tcPr>
            <w:tcW w:w="800" w:type="dxa"/>
            <w:tcBorders>
              <w:left w:val="nil"/>
              <w:right w:val="nil"/>
            </w:tcBorders>
          </w:tcPr>
          <w:p>
            <w:pPr>
              <w:pStyle w:val="TableParagraph"/>
              <w:spacing w:line="202" w:lineRule="exact"/>
              <w:ind w:left="127" w:right="134"/>
              <w:rPr>
                <w:sz w:val="18"/>
              </w:rPr>
            </w:pPr>
            <w:r>
              <w:rPr>
                <w:sz w:val="18"/>
              </w:rPr>
              <w:t>C*G</w:t>
            </w:r>
          </w:p>
        </w:tc>
      </w:tr>
      <w:tr>
        <w:trPr>
          <w:trHeight w:val="615" w:hRule="exact"/>
        </w:trPr>
        <w:tc>
          <w:tcPr>
            <w:tcW w:w="1206" w:type="dxa"/>
            <w:tcBorders>
              <w:left w:val="nil"/>
              <w:bottom w:val="nil"/>
              <w:right w:val="nil"/>
            </w:tcBorders>
          </w:tcPr>
          <w:p>
            <w:pPr>
              <w:pStyle w:val="TableParagraph"/>
              <w:ind w:left="110" w:right="140"/>
              <w:jc w:val="left"/>
              <w:rPr>
                <w:b/>
                <w:sz w:val="18"/>
              </w:rPr>
            </w:pPr>
            <w:r>
              <w:rPr>
                <w:b/>
                <w:sz w:val="18"/>
              </w:rPr>
              <w:t>Ácidos grasos (g/100g AG)</w:t>
            </w:r>
          </w:p>
        </w:tc>
        <w:tc>
          <w:tcPr>
            <w:tcW w:w="724" w:type="dxa"/>
            <w:tcBorders>
              <w:left w:val="nil"/>
              <w:bottom w:val="nil"/>
              <w:right w:val="nil"/>
            </w:tcBorders>
          </w:tcPr>
          <w:p>
            <w:pPr/>
          </w:p>
        </w:tc>
        <w:tc>
          <w:tcPr>
            <w:tcW w:w="773" w:type="dxa"/>
            <w:tcBorders>
              <w:left w:val="nil"/>
              <w:bottom w:val="nil"/>
              <w:right w:val="nil"/>
            </w:tcBorders>
          </w:tcPr>
          <w:p>
            <w:pPr/>
          </w:p>
        </w:tc>
        <w:tc>
          <w:tcPr>
            <w:tcW w:w="697" w:type="dxa"/>
            <w:tcBorders>
              <w:left w:val="nil"/>
              <w:bottom w:val="nil"/>
              <w:right w:val="nil"/>
            </w:tcBorders>
          </w:tcPr>
          <w:p>
            <w:pPr/>
          </w:p>
        </w:tc>
        <w:tc>
          <w:tcPr>
            <w:tcW w:w="936" w:type="dxa"/>
            <w:tcBorders>
              <w:left w:val="nil"/>
              <w:bottom w:val="nil"/>
              <w:right w:val="nil"/>
            </w:tcBorders>
          </w:tcPr>
          <w:p>
            <w:pPr/>
          </w:p>
        </w:tc>
        <w:tc>
          <w:tcPr>
            <w:tcW w:w="803" w:type="dxa"/>
            <w:tcBorders>
              <w:left w:val="nil"/>
              <w:bottom w:val="nil"/>
              <w:right w:val="nil"/>
            </w:tcBorders>
          </w:tcPr>
          <w:p>
            <w:pPr/>
          </w:p>
        </w:tc>
        <w:tc>
          <w:tcPr>
            <w:tcW w:w="897" w:type="dxa"/>
            <w:tcBorders>
              <w:left w:val="nil"/>
              <w:bottom w:val="nil"/>
              <w:right w:val="nil"/>
            </w:tcBorders>
          </w:tcPr>
          <w:p>
            <w:pPr/>
          </w:p>
        </w:tc>
        <w:tc>
          <w:tcPr>
            <w:tcW w:w="624" w:type="dxa"/>
            <w:tcBorders>
              <w:left w:val="nil"/>
              <w:bottom w:val="nil"/>
              <w:right w:val="nil"/>
            </w:tcBorders>
          </w:tcPr>
          <w:p>
            <w:pPr/>
          </w:p>
        </w:tc>
        <w:tc>
          <w:tcPr>
            <w:tcW w:w="797" w:type="dxa"/>
            <w:tcBorders>
              <w:left w:val="nil"/>
              <w:bottom w:val="nil"/>
              <w:right w:val="nil"/>
            </w:tcBorders>
          </w:tcPr>
          <w:p>
            <w:pPr/>
          </w:p>
        </w:tc>
        <w:tc>
          <w:tcPr>
            <w:tcW w:w="805" w:type="dxa"/>
            <w:tcBorders>
              <w:left w:val="nil"/>
              <w:bottom w:val="nil"/>
              <w:right w:val="nil"/>
            </w:tcBorders>
          </w:tcPr>
          <w:p>
            <w:pPr/>
          </w:p>
        </w:tc>
        <w:tc>
          <w:tcPr>
            <w:tcW w:w="800" w:type="dxa"/>
            <w:tcBorders>
              <w:left w:val="nil"/>
              <w:bottom w:val="nil"/>
              <w:right w:val="nil"/>
            </w:tcBorders>
          </w:tcPr>
          <w:p>
            <w:pPr/>
          </w:p>
        </w:tc>
      </w:tr>
      <w:tr>
        <w:trPr>
          <w:trHeight w:val="334" w:hRule="exact"/>
        </w:trPr>
        <w:tc>
          <w:tcPr>
            <w:tcW w:w="1206" w:type="dxa"/>
            <w:tcBorders>
              <w:top w:val="nil"/>
              <w:left w:val="nil"/>
              <w:bottom w:val="nil"/>
              <w:right w:val="nil"/>
            </w:tcBorders>
          </w:tcPr>
          <w:p>
            <w:pPr>
              <w:pStyle w:val="TableParagraph"/>
              <w:spacing w:before="4"/>
              <w:ind w:left="110" w:right="140"/>
              <w:jc w:val="left"/>
              <w:rPr>
                <w:sz w:val="18"/>
              </w:rPr>
            </w:pPr>
            <w:r>
              <w:rPr>
                <w:sz w:val="18"/>
              </w:rPr>
              <w:t>C4:0</w:t>
            </w:r>
          </w:p>
        </w:tc>
        <w:tc>
          <w:tcPr>
            <w:tcW w:w="724" w:type="dxa"/>
            <w:tcBorders>
              <w:top w:val="nil"/>
              <w:left w:val="nil"/>
              <w:bottom w:val="nil"/>
              <w:right w:val="nil"/>
            </w:tcBorders>
          </w:tcPr>
          <w:p>
            <w:pPr>
              <w:pStyle w:val="TableParagraph"/>
              <w:spacing w:before="4"/>
              <w:ind w:right="198"/>
              <w:jc w:val="right"/>
              <w:rPr>
                <w:sz w:val="18"/>
              </w:rPr>
            </w:pPr>
            <w:r>
              <w:rPr>
                <w:sz w:val="18"/>
              </w:rPr>
              <w:t>3.17</w:t>
            </w:r>
          </w:p>
        </w:tc>
        <w:tc>
          <w:tcPr>
            <w:tcW w:w="773" w:type="dxa"/>
            <w:tcBorders>
              <w:top w:val="nil"/>
              <w:left w:val="nil"/>
              <w:bottom w:val="nil"/>
              <w:right w:val="nil"/>
            </w:tcBorders>
          </w:tcPr>
          <w:p>
            <w:pPr>
              <w:pStyle w:val="TableParagraph"/>
              <w:spacing w:before="4"/>
              <w:ind w:left="111" w:right="100"/>
              <w:rPr>
                <w:sz w:val="18"/>
              </w:rPr>
            </w:pPr>
            <w:r>
              <w:rPr>
                <w:sz w:val="18"/>
              </w:rPr>
              <w:t>3.24</w:t>
            </w:r>
          </w:p>
        </w:tc>
        <w:tc>
          <w:tcPr>
            <w:tcW w:w="697" w:type="dxa"/>
            <w:tcBorders>
              <w:top w:val="nil"/>
              <w:left w:val="nil"/>
              <w:bottom w:val="nil"/>
              <w:right w:val="nil"/>
            </w:tcBorders>
          </w:tcPr>
          <w:p>
            <w:pPr>
              <w:pStyle w:val="TableParagraph"/>
              <w:spacing w:before="4"/>
              <w:ind w:left="193"/>
              <w:jc w:val="left"/>
              <w:rPr>
                <w:sz w:val="18"/>
              </w:rPr>
            </w:pPr>
            <w:r>
              <w:rPr>
                <w:sz w:val="18"/>
              </w:rPr>
              <w:t>3.28</w:t>
            </w:r>
          </w:p>
        </w:tc>
        <w:tc>
          <w:tcPr>
            <w:tcW w:w="936" w:type="dxa"/>
            <w:tcBorders>
              <w:top w:val="nil"/>
              <w:left w:val="nil"/>
              <w:bottom w:val="nil"/>
              <w:right w:val="nil"/>
            </w:tcBorders>
          </w:tcPr>
          <w:p>
            <w:pPr>
              <w:pStyle w:val="TableParagraph"/>
              <w:spacing w:before="4"/>
              <w:ind w:left="153"/>
              <w:jc w:val="left"/>
              <w:rPr>
                <w:sz w:val="18"/>
              </w:rPr>
            </w:pPr>
            <w:r>
              <w:rPr>
                <w:sz w:val="18"/>
              </w:rPr>
              <w:t>0.060</w:t>
            </w:r>
          </w:p>
        </w:tc>
        <w:tc>
          <w:tcPr>
            <w:tcW w:w="803" w:type="dxa"/>
            <w:tcBorders>
              <w:top w:val="nil"/>
              <w:left w:val="nil"/>
              <w:bottom w:val="nil"/>
              <w:right w:val="nil"/>
            </w:tcBorders>
          </w:tcPr>
          <w:p>
            <w:pPr>
              <w:pStyle w:val="TableParagraph"/>
              <w:spacing w:line="211" w:lineRule="exact"/>
              <w:ind w:left="122" w:right="171"/>
              <w:rPr>
                <w:sz w:val="12"/>
              </w:rPr>
            </w:pPr>
            <w:r>
              <w:rPr>
                <w:sz w:val="18"/>
              </w:rPr>
              <w:t>3.17</w:t>
            </w:r>
            <w:r>
              <w:rPr>
                <w:position w:val="8"/>
                <w:sz w:val="12"/>
              </w:rPr>
              <w:t>y</w:t>
            </w:r>
          </w:p>
        </w:tc>
        <w:tc>
          <w:tcPr>
            <w:tcW w:w="897" w:type="dxa"/>
            <w:tcBorders>
              <w:top w:val="nil"/>
              <w:left w:val="nil"/>
              <w:bottom w:val="nil"/>
              <w:right w:val="nil"/>
            </w:tcBorders>
          </w:tcPr>
          <w:p>
            <w:pPr>
              <w:pStyle w:val="TableParagraph"/>
              <w:spacing w:line="211" w:lineRule="exact"/>
              <w:ind w:left="168" w:right="218"/>
              <w:rPr>
                <w:sz w:val="12"/>
              </w:rPr>
            </w:pPr>
            <w:r>
              <w:rPr>
                <w:sz w:val="18"/>
              </w:rPr>
              <w:t>3.35</w:t>
            </w:r>
            <w:r>
              <w:rPr>
                <w:position w:val="8"/>
                <w:sz w:val="12"/>
              </w:rPr>
              <w:t>x</w:t>
            </w:r>
          </w:p>
        </w:tc>
        <w:tc>
          <w:tcPr>
            <w:tcW w:w="624" w:type="dxa"/>
            <w:tcBorders>
              <w:top w:val="nil"/>
              <w:left w:val="nil"/>
              <w:bottom w:val="nil"/>
              <w:right w:val="nil"/>
            </w:tcBorders>
          </w:tcPr>
          <w:p>
            <w:pPr>
              <w:pStyle w:val="TableParagraph"/>
              <w:spacing w:before="4"/>
              <w:ind w:right="108"/>
              <w:jc w:val="right"/>
              <w:rPr>
                <w:sz w:val="18"/>
              </w:rPr>
            </w:pPr>
            <w:r>
              <w:rPr>
                <w:sz w:val="18"/>
              </w:rPr>
              <w:t>0.049</w:t>
            </w:r>
          </w:p>
        </w:tc>
        <w:tc>
          <w:tcPr>
            <w:tcW w:w="797" w:type="dxa"/>
            <w:tcBorders>
              <w:top w:val="nil"/>
              <w:left w:val="nil"/>
              <w:bottom w:val="nil"/>
              <w:right w:val="nil"/>
            </w:tcBorders>
          </w:tcPr>
          <w:p>
            <w:pPr>
              <w:pStyle w:val="TableParagraph"/>
              <w:spacing w:before="4"/>
              <w:ind w:left="123" w:right="123"/>
              <w:rPr>
                <w:sz w:val="18"/>
              </w:rPr>
            </w:pPr>
            <w:r>
              <w:rPr>
                <w:sz w:val="18"/>
              </w:rPr>
              <w:t>0.5120</w:t>
            </w:r>
          </w:p>
        </w:tc>
        <w:tc>
          <w:tcPr>
            <w:tcW w:w="805" w:type="dxa"/>
            <w:tcBorders>
              <w:top w:val="nil"/>
              <w:left w:val="nil"/>
              <w:bottom w:val="nil"/>
              <w:right w:val="nil"/>
            </w:tcBorders>
          </w:tcPr>
          <w:p>
            <w:pPr>
              <w:pStyle w:val="TableParagraph"/>
              <w:spacing w:before="4"/>
              <w:ind w:left="124" w:right="129"/>
              <w:rPr>
                <w:sz w:val="18"/>
              </w:rPr>
            </w:pPr>
            <w:r>
              <w:rPr>
                <w:sz w:val="18"/>
              </w:rPr>
              <w:t>0.0115</w:t>
            </w:r>
          </w:p>
        </w:tc>
        <w:tc>
          <w:tcPr>
            <w:tcW w:w="800" w:type="dxa"/>
            <w:tcBorders>
              <w:top w:val="nil"/>
              <w:left w:val="nil"/>
              <w:bottom w:val="nil"/>
              <w:right w:val="nil"/>
            </w:tcBorders>
          </w:tcPr>
          <w:p>
            <w:pPr>
              <w:pStyle w:val="TableParagraph"/>
              <w:spacing w:before="4"/>
              <w:ind w:left="128" w:right="134"/>
              <w:rPr>
                <w:sz w:val="18"/>
              </w:rPr>
            </w:pPr>
            <w:r>
              <w:rPr>
                <w:sz w:val="18"/>
              </w:rPr>
              <w:t>0.7342</w:t>
            </w:r>
          </w:p>
        </w:tc>
      </w:tr>
      <w:tr>
        <w:trPr>
          <w:trHeight w:val="459"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C6:0</w:t>
            </w:r>
          </w:p>
        </w:tc>
        <w:tc>
          <w:tcPr>
            <w:tcW w:w="724" w:type="dxa"/>
            <w:tcBorders>
              <w:top w:val="nil"/>
              <w:left w:val="nil"/>
              <w:bottom w:val="nil"/>
              <w:right w:val="nil"/>
            </w:tcBorders>
          </w:tcPr>
          <w:p>
            <w:pPr>
              <w:pStyle w:val="TableParagraph"/>
              <w:spacing w:before="112"/>
              <w:ind w:right="173"/>
              <w:jc w:val="right"/>
              <w:rPr>
                <w:sz w:val="12"/>
              </w:rPr>
            </w:pPr>
            <w:r>
              <w:rPr>
                <w:sz w:val="18"/>
              </w:rPr>
              <w:t>2.19</w:t>
            </w:r>
            <w:r>
              <w:rPr>
                <w:position w:val="8"/>
                <w:sz w:val="12"/>
              </w:rPr>
              <w:t>b</w:t>
            </w:r>
          </w:p>
        </w:tc>
        <w:tc>
          <w:tcPr>
            <w:tcW w:w="773" w:type="dxa"/>
            <w:tcBorders>
              <w:top w:val="nil"/>
              <w:left w:val="nil"/>
              <w:bottom w:val="nil"/>
              <w:right w:val="nil"/>
            </w:tcBorders>
          </w:tcPr>
          <w:p>
            <w:pPr>
              <w:pStyle w:val="TableParagraph"/>
              <w:spacing w:before="112"/>
              <w:ind w:left="102" w:right="102"/>
              <w:rPr>
                <w:sz w:val="12"/>
              </w:rPr>
            </w:pPr>
            <w:r>
              <w:rPr>
                <w:sz w:val="18"/>
              </w:rPr>
              <w:t>2.28</w:t>
            </w:r>
            <w:r>
              <w:rPr>
                <w:position w:val="8"/>
                <w:sz w:val="12"/>
              </w:rPr>
              <w:t>ab</w:t>
            </w:r>
          </w:p>
        </w:tc>
        <w:tc>
          <w:tcPr>
            <w:tcW w:w="697" w:type="dxa"/>
            <w:tcBorders>
              <w:top w:val="nil"/>
              <w:left w:val="nil"/>
              <w:bottom w:val="nil"/>
              <w:right w:val="nil"/>
            </w:tcBorders>
          </w:tcPr>
          <w:p>
            <w:pPr>
              <w:pStyle w:val="TableParagraph"/>
              <w:spacing w:before="112"/>
              <w:ind w:right="151"/>
              <w:jc w:val="right"/>
              <w:rPr>
                <w:sz w:val="12"/>
              </w:rPr>
            </w:pPr>
            <w:r>
              <w:rPr>
                <w:sz w:val="18"/>
              </w:rPr>
              <w:t>2.33</w:t>
            </w:r>
            <w:r>
              <w:rPr>
                <w:position w:val="8"/>
                <w:sz w:val="12"/>
              </w:rPr>
              <w:t>a</w:t>
            </w:r>
          </w:p>
        </w:tc>
        <w:tc>
          <w:tcPr>
            <w:tcW w:w="936" w:type="dxa"/>
            <w:tcBorders>
              <w:top w:val="nil"/>
              <w:left w:val="nil"/>
              <w:bottom w:val="nil"/>
              <w:right w:val="nil"/>
            </w:tcBorders>
          </w:tcPr>
          <w:p>
            <w:pPr>
              <w:pStyle w:val="TableParagraph"/>
              <w:spacing w:before="136"/>
              <w:ind w:left="153"/>
              <w:jc w:val="left"/>
              <w:rPr>
                <w:sz w:val="18"/>
              </w:rPr>
            </w:pPr>
            <w:r>
              <w:rPr>
                <w:sz w:val="18"/>
              </w:rPr>
              <w:t>0.042</w:t>
            </w:r>
          </w:p>
        </w:tc>
        <w:tc>
          <w:tcPr>
            <w:tcW w:w="803" w:type="dxa"/>
            <w:tcBorders>
              <w:top w:val="nil"/>
              <w:left w:val="nil"/>
              <w:bottom w:val="nil"/>
              <w:right w:val="nil"/>
            </w:tcBorders>
          </w:tcPr>
          <w:p>
            <w:pPr>
              <w:pStyle w:val="TableParagraph"/>
              <w:spacing w:before="112"/>
              <w:ind w:left="122" w:right="171"/>
              <w:rPr>
                <w:sz w:val="12"/>
              </w:rPr>
            </w:pPr>
            <w:r>
              <w:rPr>
                <w:sz w:val="18"/>
              </w:rPr>
              <w:t>2.19</w:t>
            </w:r>
            <w:r>
              <w:rPr>
                <w:position w:val="8"/>
                <w:sz w:val="12"/>
              </w:rPr>
              <w:t>y</w:t>
            </w:r>
          </w:p>
        </w:tc>
        <w:tc>
          <w:tcPr>
            <w:tcW w:w="897" w:type="dxa"/>
            <w:tcBorders>
              <w:top w:val="nil"/>
              <w:left w:val="nil"/>
              <w:bottom w:val="nil"/>
              <w:right w:val="nil"/>
            </w:tcBorders>
          </w:tcPr>
          <w:p>
            <w:pPr>
              <w:pStyle w:val="TableParagraph"/>
              <w:spacing w:before="112"/>
              <w:ind w:left="168" w:right="218"/>
              <w:rPr>
                <w:sz w:val="12"/>
              </w:rPr>
            </w:pPr>
            <w:r>
              <w:rPr>
                <w:sz w:val="18"/>
              </w:rPr>
              <w:t>2.41</w:t>
            </w:r>
            <w:r>
              <w:rPr>
                <w:position w:val="8"/>
                <w:sz w:val="12"/>
              </w:rPr>
              <w:t>x</w:t>
            </w:r>
          </w:p>
        </w:tc>
        <w:tc>
          <w:tcPr>
            <w:tcW w:w="624" w:type="dxa"/>
            <w:tcBorders>
              <w:top w:val="nil"/>
              <w:left w:val="nil"/>
              <w:bottom w:val="nil"/>
              <w:right w:val="nil"/>
            </w:tcBorders>
          </w:tcPr>
          <w:p>
            <w:pPr>
              <w:pStyle w:val="TableParagraph"/>
              <w:spacing w:before="136"/>
              <w:ind w:right="108"/>
              <w:jc w:val="right"/>
              <w:rPr>
                <w:sz w:val="18"/>
              </w:rPr>
            </w:pPr>
            <w:r>
              <w:rPr>
                <w:sz w:val="18"/>
              </w:rPr>
              <w:t>0.035</w:t>
            </w:r>
          </w:p>
        </w:tc>
        <w:tc>
          <w:tcPr>
            <w:tcW w:w="797" w:type="dxa"/>
            <w:tcBorders>
              <w:top w:val="nil"/>
              <w:left w:val="nil"/>
              <w:bottom w:val="nil"/>
              <w:right w:val="nil"/>
            </w:tcBorders>
          </w:tcPr>
          <w:p>
            <w:pPr>
              <w:pStyle w:val="TableParagraph"/>
              <w:spacing w:before="136"/>
              <w:ind w:left="123" w:right="123"/>
              <w:rPr>
                <w:sz w:val="18"/>
              </w:rPr>
            </w:pPr>
            <w:r>
              <w:rPr>
                <w:sz w:val="18"/>
              </w:rPr>
              <w:t>0.0310</w:t>
            </w:r>
          </w:p>
        </w:tc>
        <w:tc>
          <w:tcPr>
            <w:tcW w:w="805" w:type="dxa"/>
            <w:tcBorders>
              <w:top w:val="nil"/>
              <w:left w:val="nil"/>
              <w:bottom w:val="nil"/>
              <w:right w:val="nil"/>
            </w:tcBorders>
          </w:tcPr>
          <w:p>
            <w:pPr>
              <w:pStyle w:val="TableParagraph"/>
              <w:spacing w:before="136"/>
              <w:ind w:left="129" w:right="129"/>
              <w:rPr>
                <w:sz w:val="18"/>
              </w:rPr>
            </w:pPr>
            <w:r>
              <w:rPr>
                <w:sz w:val="18"/>
              </w:rPr>
              <w:t>&lt;.0001</w:t>
            </w:r>
          </w:p>
        </w:tc>
        <w:tc>
          <w:tcPr>
            <w:tcW w:w="800" w:type="dxa"/>
            <w:tcBorders>
              <w:top w:val="nil"/>
              <w:left w:val="nil"/>
              <w:bottom w:val="nil"/>
              <w:right w:val="nil"/>
            </w:tcBorders>
          </w:tcPr>
          <w:p>
            <w:pPr>
              <w:pStyle w:val="TableParagraph"/>
              <w:spacing w:before="136"/>
              <w:ind w:left="128" w:right="134"/>
              <w:rPr>
                <w:sz w:val="18"/>
              </w:rPr>
            </w:pPr>
            <w:r>
              <w:rPr>
                <w:sz w:val="18"/>
              </w:rPr>
              <w:t>0.2381</w:t>
            </w:r>
          </w:p>
        </w:tc>
      </w:tr>
      <w:tr>
        <w:trPr>
          <w:trHeight w:val="458" w:hRule="exact"/>
        </w:trPr>
        <w:tc>
          <w:tcPr>
            <w:tcW w:w="1206" w:type="dxa"/>
            <w:tcBorders>
              <w:top w:val="nil"/>
              <w:left w:val="nil"/>
              <w:bottom w:val="nil"/>
              <w:right w:val="nil"/>
            </w:tcBorders>
          </w:tcPr>
          <w:p>
            <w:pPr>
              <w:pStyle w:val="TableParagraph"/>
              <w:spacing w:before="129"/>
              <w:ind w:left="110" w:right="140"/>
              <w:jc w:val="left"/>
              <w:rPr>
                <w:sz w:val="18"/>
              </w:rPr>
            </w:pPr>
            <w:r>
              <w:rPr>
                <w:sz w:val="18"/>
              </w:rPr>
              <w:t>C8:0</w:t>
            </w:r>
          </w:p>
        </w:tc>
        <w:tc>
          <w:tcPr>
            <w:tcW w:w="724" w:type="dxa"/>
            <w:tcBorders>
              <w:top w:val="nil"/>
              <w:left w:val="nil"/>
              <w:bottom w:val="nil"/>
              <w:right w:val="nil"/>
            </w:tcBorders>
          </w:tcPr>
          <w:p>
            <w:pPr>
              <w:pStyle w:val="TableParagraph"/>
              <w:spacing w:before="105"/>
              <w:ind w:right="173"/>
              <w:jc w:val="right"/>
              <w:rPr>
                <w:sz w:val="12"/>
              </w:rPr>
            </w:pPr>
            <w:r>
              <w:rPr>
                <w:sz w:val="18"/>
              </w:rPr>
              <w:t>1.17</w:t>
            </w:r>
            <w:r>
              <w:rPr>
                <w:position w:val="8"/>
                <w:sz w:val="12"/>
              </w:rPr>
              <w:t>b</w:t>
            </w:r>
          </w:p>
        </w:tc>
        <w:tc>
          <w:tcPr>
            <w:tcW w:w="773" w:type="dxa"/>
            <w:tcBorders>
              <w:top w:val="nil"/>
              <w:left w:val="nil"/>
              <w:bottom w:val="nil"/>
              <w:right w:val="nil"/>
            </w:tcBorders>
          </w:tcPr>
          <w:p>
            <w:pPr>
              <w:pStyle w:val="TableParagraph"/>
              <w:spacing w:before="105"/>
              <w:ind w:left="109" w:right="102"/>
              <w:rPr>
                <w:sz w:val="12"/>
              </w:rPr>
            </w:pPr>
            <w:r>
              <w:rPr>
                <w:sz w:val="18"/>
              </w:rPr>
              <w:t>1.29</w:t>
            </w:r>
            <w:r>
              <w:rPr>
                <w:position w:val="8"/>
                <w:sz w:val="12"/>
              </w:rPr>
              <w:t>a</w:t>
            </w:r>
          </w:p>
        </w:tc>
        <w:tc>
          <w:tcPr>
            <w:tcW w:w="697" w:type="dxa"/>
            <w:tcBorders>
              <w:top w:val="nil"/>
              <w:left w:val="nil"/>
              <w:bottom w:val="nil"/>
              <w:right w:val="nil"/>
            </w:tcBorders>
          </w:tcPr>
          <w:p>
            <w:pPr>
              <w:pStyle w:val="TableParagraph"/>
              <w:spacing w:before="105"/>
              <w:ind w:right="151"/>
              <w:jc w:val="right"/>
              <w:rPr>
                <w:sz w:val="12"/>
              </w:rPr>
            </w:pPr>
            <w:r>
              <w:rPr>
                <w:sz w:val="18"/>
              </w:rPr>
              <w:t>1.37</w:t>
            </w:r>
            <w:r>
              <w:rPr>
                <w:position w:val="8"/>
                <w:sz w:val="12"/>
              </w:rPr>
              <w:t>a</w:t>
            </w:r>
          </w:p>
        </w:tc>
        <w:tc>
          <w:tcPr>
            <w:tcW w:w="936" w:type="dxa"/>
            <w:tcBorders>
              <w:top w:val="nil"/>
              <w:left w:val="nil"/>
              <w:bottom w:val="nil"/>
              <w:right w:val="nil"/>
            </w:tcBorders>
          </w:tcPr>
          <w:p>
            <w:pPr>
              <w:pStyle w:val="TableParagraph"/>
              <w:spacing w:before="129"/>
              <w:ind w:left="153"/>
              <w:jc w:val="left"/>
              <w:rPr>
                <w:sz w:val="18"/>
              </w:rPr>
            </w:pPr>
            <w:r>
              <w:rPr>
                <w:sz w:val="18"/>
              </w:rPr>
              <w:t>0.025</w:t>
            </w:r>
          </w:p>
        </w:tc>
        <w:tc>
          <w:tcPr>
            <w:tcW w:w="803" w:type="dxa"/>
            <w:tcBorders>
              <w:top w:val="nil"/>
              <w:left w:val="nil"/>
              <w:bottom w:val="nil"/>
              <w:right w:val="nil"/>
            </w:tcBorders>
          </w:tcPr>
          <w:p>
            <w:pPr>
              <w:pStyle w:val="TableParagraph"/>
              <w:spacing w:before="105"/>
              <w:ind w:left="122" w:right="171"/>
              <w:rPr>
                <w:sz w:val="12"/>
              </w:rPr>
            </w:pPr>
            <w:r>
              <w:rPr>
                <w:sz w:val="18"/>
              </w:rPr>
              <w:t>1.22</w:t>
            </w:r>
            <w:r>
              <w:rPr>
                <w:position w:val="8"/>
                <w:sz w:val="12"/>
              </w:rPr>
              <w:t>y</w:t>
            </w:r>
          </w:p>
        </w:tc>
        <w:tc>
          <w:tcPr>
            <w:tcW w:w="897" w:type="dxa"/>
            <w:tcBorders>
              <w:top w:val="nil"/>
              <w:left w:val="nil"/>
              <w:bottom w:val="nil"/>
              <w:right w:val="nil"/>
            </w:tcBorders>
          </w:tcPr>
          <w:p>
            <w:pPr>
              <w:pStyle w:val="TableParagraph"/>
              <w:spacing w:before="105"/>
              <w:ind w:left="168" w:right="218"/>
              <w:rPr>
                <w:sz w:val="12"/>
              </w:rPr>
            </w:pPr>
            <w:r>
              <w:rPr>
                <w:sz w:val="18"/>
              </w:rPr>
              <w:t>1.39</w:t>
            </w:r>
            <w:r>
              <w:rPr>
                <w:position w:val="8"/>
                <w:sz w:val="12"/>
              </w:rPr>
              <w:t>x</w:t>
            </w:r>
          </w:p>
        </w:tc>
        <w:tc>
          <w:tcPr>
            <w:tcW w:w="624" w:type="dxa"/>
            <w:tcBorders>
              <w:top w:val="nil"/>
              <w:left w:val="nil"/>
              <w:bottom w:val="nil"/>
              <w:right w:val="nil"/>
            </w:tcBorders>
          </w:tcPr>
          <w:p>
            <w:pPr>
              <w:pStyle w:val="TableParagraph"/>
              <w:spacing w:before="129"/>
              <w:ind w:right="108"/>
              <w:jc w:val="right"/>
              <w:rPr>
                <w:sz w:val="18"/>
              </w:rPr>
            </w:pPr>
            <w:r>
              <w:rPr>
                <w:sz w:val="18"/>
              </w:rPr>
              <w:t>0.019</w:t>
            </w:r>
          </w:p>
        </w:tc>
        <w:tc>
          <w:tcPr>
            <w:tcW w:w="797" w:type="dxa"/>
            <w:tcBorders>
              <w:top w:val="nil"/>
              <w:left w:val="nil"/>
              <w:bottom w:val="nil"/>
              <w:right w:val="nil"/>
            </w:tcBorders>
          </w:tcPr>
          <w:p>
            <w:pPr>
              <w:pStyle w:val="TableParagraph"/>
              <w:spacing w:before="129"/>
              <w:ind w:left="123" w:right="126"/>
              <w:rPr>
                <w:sz w:val="18"/>
              </w:rPr>
            </w:pPr>
            <w:r>
              <w:rPr>
                <w:sz w:val="18"/>
              </w:rPr>
              <w:t>&lt;.0001</w:t>
            </w:r>
          </w:p>
        </w:tc>
        <w:tc>
          <w:tcPr>
            <w:tcW w:w="805" w:type="dxa"/>
            <w:tcBorders>
              <w:top w:val="nil"/>
              <w:left w:val="nil"/>
              <w:bottom w:val="nil"/>
              <w:right w:val="nil"/>
            </w:tcBorders>
          </w:tcPr>
          <w:p>
            <w:pPr>
              <w:pStyle w:val="TableParagraph"/>
              <w:spacing w:before="129"/>
              <w:ind w:left="129" w:right="129"/>
              <w:rPr>
                <w:sz w:val="18"/>
              </w:rPr>
            </w:pPr>
            <w:r>
              <w:rPr>
                <w:sz w:val="18"/>
              </w:rPr>
              <w:t>&lt;.0001</w:t>
            </w:r>
          </w:p>
        </w:tc>
        <w:tc>
          <w:tcPr>
            <w:tcW w:w="800" w:type="dxa"/>
            <w:tcBorders>
              <w:top w:val="nil"/>
              <w:left w:val="nil"/>
              <w:bottom w:val="nil"/>
              <w:right w:val="nil"/>
            </w:tcBorders>
          </w:tcPr>
          <w:p>
            <w:pPr>
              <w:pStyle w:val="TableParagraph"/>
              <w:spacing w:before="129"/>
              <w:ind w:left="128" w:right="134"/>
              <w:rPr>
                <w:sz w:val="18"/>
              </w:rPr>
            </w:pPr>
            <w:r>
              <w:rPr>
                <w:sz w:val="18"/>
              </w:rPr>
              <w:t>0.4828</w:t>
            </w:r>
          </w:p>
        </w:tc>
      </w:tr>
      <w:tr>
        <w:trPr>
          <w:trHeight w:val="437"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C10:0</w:t>
            </w:r>
          </w:p>
        </w:tc>
        <w:tc>
          <w:tcPr>
            <w:tcW w:w="724" w:type="dxa"/>
            <w:tcBorders>
              <w:top w:val="nil"/>
              <w:left w:val="nil"/>
              <w:bottom w:val="nil"/>
              <w:right w:val="nil"/>
            </w:tcBorders>
          </w:tcPr>
          <w:p>
            <w:pPr>
              <w:pStyle w:val="TableParagraph"/>
              <w:spacing w:before="112"/>
              <w:ind w:right="173"/>
              <w:jc w:val="right"/>
              <w:rPr>
                <w:sz w:val="12"/>
              </w:rPr>
            </w:pPr>
            <w:r>
              <w:rPr>
                <w:sz w:val="18"/>
              </w:rPr>
              <w:t>2.55</w:t>
            </w:r>
            <w:r>
              <w:rPr>
                <w:position w:val="8"/>
                <w:sz w:val="12"/>
              </w:rPr>
              <w:t>c</w:t>
            </w:r>
          </w:p>
        </w:tc>
        <w:tc>
          <w:tcPr>
            <w:tcW w:w="773" w:type="dxa"/>
            <w:tcBorders>
              <w:top w:val="nil"/>
              <w:left w:val="nil"/>
              <w:bottom w:val="nil"/>
              <w:right w:val="nil"/>
            </w:tcBorders>
          </w:tcPr>
          <w:p>
            <w:pPr>
              <w:pStyle w:val="TableParagraph"/>
              <w:spacing w:before="112"/>
              <w:ind w:left="111" w:right="102"/>
              <w:rPr>
                <w:sz w:val="12"/>
              </w:rPr>
            </w:pPr>
            <w:r>
              <w:rPr>
                <w:sz w:val="18"/>
              </w:rPr>
              <w:t>2.86</w:t>
            </w:r>
            <w:r>
              <w:rPr>
                <w:position w:val="8"/>
                <w:sz w:val="12"/>
              </w:rPr>
              <w:t>b</w:t>
            </w:r>
          </w:p>
        </w:tc>
        <w:tc>
          <w:tcPr>
            <w:tcW w:w="697" w:type="dxa"/>
            <w:tcBorders>
              <w:top w:val="nil"/>
              <w:left w:val="nil"/>
              <w:bottom w:val="nil"/>
              <w:right w:val="nil"/>
            </w:tcBorders>
          </w:tcPr>
          <w:p>
            <w:pPr>
              <w:pStyle w:val="TableParagraph"/>
              <w:spacing w:before="112"/>
              <w:ind w:right="151"/>
              <w:jc w:val="right"/>
              <w:rPr>
                <w:sz w:val="12"/>
              </w:rPr>
            </w:pPr>
            <w:r>
              <w:rPr>
                <w:sz w:val="18"/>
              </w:rPr>
              <w:t>3.13</w:t>
            </w:r>
            <w:r>
              <w:rPr>
                <w:position w:val="8"/>
                <w:sz w:val="12"/>
              </w:rPr>
              <w:t>a</w:t>
            </w:r>
          </w:p>
        </w:tc>
        <w:tc>
          <w:tcPr>
            <w:tcW w:w="936" w:type="dxa"/>
            <w:tcBorders>
              <w:top w:val="nil"/>
              <w:left w:val="nil"/>
              <w:bottom w:val="nil"/>
              <w:right w:val="nil"/>
            </w:tcBorders>
          </w:tcPr>
          <w:p>
            <w:pPr>
              <w:pStyle w:val="TableParagraph"/>
              <w:spacing w:before="136"/>
              <w:ind w:left="153"/>
              <w:jc w:val="left"/>
              <w:rPr>
                <w:sz w:val="18"/>
              </w:rPr>
            </w:pPr>
            <w:r>
              <w:rPr>
                <w:sz w:val="18"/>
              </w:rPr>
              <w:t>0.063</w:t>
            </w:r>
          </w:p>
        </w:tc>
        <w:tc>
          <w:tcPr>
            <w:tcW w:w="803" w:type="dxa"/>
            <w:tcBorders>
              <w:top w:val="nil"/>
              <w:left w:val="nil"/>
              <w:bottom w:val="nil"/>
              <w:right w:val="nil"/>
            </w:tcBorders>
          </w:tcPr>
          <w:p>
            <w:pPr>
              <w:pStyle w:val="TableParagraph"/>
              <w:spacing w:before="112"/>
              <w:ind w:left="122" w:right="171"/>
              <w:rPr>
                <w:sz w:val="12"/>
              </w:rPr>
            </w:pPr>
            <w:r>
              <w:rPr>
                <w:sz w:val="18"/>
              </w:rPr>
              <w:t>2.70</w:t>
            </w:r>
            <w:r>
              <w:rPr>
                <w:position w:val="8"/>
                <w:sz w:val="12"/>
              </w:rPr>
              <w:t>y</w:t>
            </w:r>
          </w:p>
        </w:tc>
        <w:tc>
          <w:tcPr>
            <w:tcW w:w="897" w:type="dxa"/>
            <w:tcBorders>
              <w:top w:val="nil"/>
              <w:left w:val="nil"/>
              <w:bottom w:val="nil"/>
              <w:right w:val="nil"/>
            </w:tcBorders>
          </w:tcPr>
          <w:p>
            <w:pPr>
              <w:pStyle w:val="TableParagraph"/>
              <w:spacing w:before="112"/>
              <w:ind w:left="168" w:right="218"/>
              <w:rPr>
                <w:sz w:val="12"/>
              </w:rPr>
            </w:pPr>
            <w:r>
              <w:rPr>
                <w:sz w:val="18"/>
              </w:rPr>
              <w:t>3.15</w:t>
            </w:r>
            <w:r>
              <w:rPr>
                <w:position w:val="8"/>
                <w:sz w:val="12"/>
              </w:rPr>
              <w:t>x</w:t>
            </w:r>
          </w:p>
        </w:tc>
        <w:tc>
          <w:tcPr>
            <w:tcW w:w="624" w:type="dxa"/>
            <w:tcBorders>
              <w:top w:val="nil"/>
              <w:left w:val="nil"/>
              <w:bottom w:val="nil"/>
              <w:right w:val="nil"/>
            </w:tcBorders>
          </w:tcPr>
          <w:p>
            <w:pPr>
              <w:pStyle w:val="TableParagraph"/>
              <w:spacing w:before="136"/>
              <w:ind w:right="108"/>
              <w:jc w:val="right"/>
              <w:rPr>
                <w:sz w:val="18"/>
              </w:rPr>
            </w:pPr>
            <w:r>
              <w:rPr>
                <w:sz w:val="18"/>
              </w:rPr>
              <w:t>0.052</w:t>
            </w:r>
          </w:p>
        </w:tc>
        <w:tc>
          <w:tcPr>
            <w:tcW w:w="797" w:type="dxa"/>
            <w:tcBorders>
              <w:top w:val="nil"/>
              <w:left w:val="nil"/>
              <w:bottom w:val="nil"/>
              <w:right w:val="nil"/>
            </w:tcBorders>
          </w:tcPr>
          <w:p>
            <w:pPr>
              <w:pStyle w:val="TableParagraph"/>
              <w:spacing w:before="136"/>
              <w:ind w:left="123" w:right="126"/>
              <w:rPr>
                <w:sz w:val="18"/>
              </w:rPr>
            </w:pPr>
            <w:r>
              <w:rPr>
                <w:sz w:val="18"/>
              </w:rPr>
              <w:t>&lt;.0001</w:t>
            </w:r>
          </w:p>
        </w:tc>
        <w:tc>
          <w:tcPr>
            <w:tcW w:w="805" w:type="dxa"/>
            <w:tcBorders>
              <w:top w:val="nil"/>
              <w:left w:val="nil"/>
              <w:bottom w:val="nil"/>
              <w:right w:val="nil"/>
            </w:tcBorders>
          </w:tcPr>
          <w:p>
            <w:pPr>
              <w:pStyle w:val="TableParagraph"/>
              <w:spacing w:before="136"/>
              <w:ind w:left="129" w:right="129"/>
              <w:rPr>
                <w:sz w:val="18"/>
              </w:rPr>
            </w:pPr>
            <w:r>
              <w:rPr>
                <w:sz w:val="18"/>
              </w:rPr>
              <w:t>&lt;.0001</w:t>
            </w:r>
          </w:p>
        </w:tc>
        <w:tc>
          <w:tcPr>
            <w:tcW w:w="800" w:type="dxa"/>
            <w:tcBorders>
              <w:top w:val="nil"/>
              <w:left w:val="nil"/>
              <w:bottom w:val="nil"/>
              <w:right w:val="nil"/>
            </w:tcBorders>
          </w:tcPr>
          <w:p>
            <w:pPr>
              <w:pStyle w:val="TableParagraph"/>
              <w:spacing w:before="136"/>
              <w:ind w:left="128" w:right="134"/>
              <w:rPr>
                <w:sz w:val="18"/>
              </w:rPr>
            </w:pPr>
            <w:r>
              <w:rPr>
                <w:sz w:val="18"/>
              </w:rPr>
              <w:t>0.8872</w:t>
            </w:r>
          </w:p>
        </w:tc>
      </w:tr>
      <w:tr>
        <w:trPr>
          <w:trHeight w:val="430" w:hRule="exact"/>
        </w:trPr>
        <w:tc>
          <w:tcPr>
            <w:tcW w:w="1206" w:type="dxa"/>
            <w:tcBorders>
              <w:top w:val="nil"/>
              <w:left w:val="nil"/>
              <w:bottom w:val="nil"/>
              <w:right w:val="nil"/>
            </w:tcBorders>
          </w:tcPr>
          <w:p>
            <w:pPr>
              <w:pStyle w:val="TableParagraph"/>
              <w:spacing w:before="107"/>
              <w:ind w:left="110" w:right="140"/>
              <w:jc w:val="left"/>
              <w:rPr>
                <w:sz w:val="18"/>
              </w:rPr>
            </w:pPr>
            <w:r>
              <w:rPr>
                <w:sz w:val="18"/>
              </w:rPr>
              <w:t>C11:0</w:t>
            </w:r>
          </w:p>
        </w:tc>
        <w:tc>
          <w:tcPr>
            <w:tcW w:w="724" w:type="dxa"/>
            <w:tcBorders>
              <w:top w:val="nil"/>
              <w:left w:val="nil"/>
              <w:bottom w:val="nil"/>
              <w:right w:val="nil"/>
            </w:tcBorders>
          </w:tcPr>
          <w:p>
            <w:pPr>
              <w:pStyle w:val="TableParagraph"/>
              <w:spacing w:before="83"/>
              <w:ind w:right="173"/>
              <w:jc w:val="right"/>
              <w:rPr>
                <w:sz w:val="12"/>
              </w:rPr>
            </w:pPr>
            <w:r>
              <w:rPr>
                <w:sz w:val="18"/>
              </w:rPr>
              <w:t>0.35</w:t>
            </w:r>
            <w:r>
              <w:rPr>
                <w:position w:val="8"/>
                <w:sz w:val="12"/>
              </w:rPr>
              <w:t>c</w:t>
            </w:r>
          </w:p>
        </w:tc>
        <w:tc>
          <w:tcPr>
            <w:tcW w:w="773" w:type="dxa"/>
            <w:tcBorders>
              <w:top w:val="nil"/>
              <w:left w:val="nil"/>
              <w:bottom w:val="nil"/>
              <w:right w:val="nil"/>
            </w:tcBorders>
          </w:tcPr>
          <w:p>
            <w:pPr>
              <w:pStyle w:val="TableParagraph"/>
              <w:spacing w:before="83"/>
              <w:ind w:left="111" w:right="102"/>
              <w:rPr>
                <w:sz w:val="12"/>
              </w:rPr>
            </w:pPr>
            <w:r>
              <w:rPr>
                <w:sz w:val="18"/>
              </w:rPr>
              <w:t>0.40</w:t>
            </w:r>
            <w:r>
              <w:rPr>
                <w:position w:val="8"/>
                <w:sz w:val="12"/>
              </w:rPr>
              <w:t>b</w:t>
            </w:r>
          </w:p>
        </w:tc>
        <w:tc>
          <w:tcPr>
            <w:tcW w:w="697" w:type="dxa"/>
            <w:tcBorders>
              <w:top w:val="nil"/>
              <w:left w:val="nil"/>
              <w:bottom w:val="nil"/>
              <w:right w:val="nil"/>
            </w:tcBorders>
          </w:tcPr>
          <w:p>
            <w:pPr>
              <w:pStyle w:val="TableParagraph"/>
              <w:spacing w:before="83"/>
              <w:ind w:right="151"/>
              <w:jc w:val="right"/>
              <w:rPr>
                <w:sz w:val="12"/>
              </w:rPr>
            </w:pPr>
            <w:r>
              <w:rPr>
                <w:sz w:val="18"/>
              </w:rPr>
              <w:t>0.44</w:t>
            </w:r>
            <w:r>
              <w:rPr>
                <w:position w:val="8"/>
                <w:sz w:val="12"/>
              </w:rPr>
              <w:t>a</w:t>
            </w:r>
          </w:p>
        </w:tc>
        <w:tc>
          <w:tcPr>
            <w:tcW w:w="936" w:type="dxa"/>
            <w:tcBorders>
              <w:top w:val="nil"/>
              <w:left w:val="nil"/>
              <w:bottom w:val="nil"/>
              <w:right w:val="nil"/>
            </w:tcBorders>
          </w:tcPr>
          <w:p>
            <w:pPr>
              <w:pStyle w:val="TableParagraph"/>
              <w:spacing w:before="107"/>
              <w:ind w:left="153"/>
              <w:jc w:val="left"/>
              <w:rPr>
                <w:sz w:val="18"/>
              </w:rPr>
            </w:pPr>
            <w:r>
              <w:rPr>
                <w:sz w:val="18"/>
              </w:rPr>
              <w:t>0.011</w:t>
            </w:r>
          </w:p>
        </w:tc>
        <w:tc>
          <w:tcPr>
            <w:tcW w:w="803" w:type="dxa"/>
            <w:tcBorders>
              <w:top w:val="nil"/>
              <w:left w:val="nil"/>
              <w:bottom w:val="nil"/>
              <w:right w:val="nil"/>
            </w:tcBorders>
          </w:tcPr>
          <w:p>
            <w:pPr>
              <w:pStyle w:val="TableParagraph"/>
              <w:spacing w:before="107"/>
              <w:ind w:left="124" w:right="171"/>
              <w:rPr>
                <w:sz w:val="18"/>
              </w:rPr>
            </w:pPr>
            <w:r>
              <w:rPr>
                <w:sz w:val="18"/>
              </w:rPr>
              <w:t>0.39</w:t>
            </w:r>
          </w:p>
        </w:tc>
        <w:tc>
          <w:tcPr>
            <w:tcW w:w="897" w:type="dxa"/>
            <w:tcBorders>
              <w:top w:val="nil"/>
              <w:left w:val="nil"/>
              <w:bottom w:val="nil"/>
              <w:right w:val="nil"/>
            </w:tcBorders>
          </w:tcPr>
          <w:p>
            <w:pPr>
              <w:pStyle w:val="TableParagraph"/>
              <w:spacing w:before="107"/>
              <w:ind w:left="171" w:right="218"/>
              <w:rPr>
                <w:sz w:val="18"/>
              </w:rPr>
            </w:pPr>
            <w:r>
              <w:rPr>
                <w:sz w:val="18"/>
              </w:rPr>
              <w:t>0.41</w:t>
            </w:r>
          </w:p>
        </w:tc>
        <w:tc>
          <w:tcPr>
            <w:tcW w:w="624" w:type="dxa"/>
            <w:tcBorders>
              <w:top w:val="nil"/>
              <w:left w:val="nil"/>
              <w:bottom w:val="nil"/>
              <w:right w:val="nil"/>
            </w:tcBorders>
          </w:tcPr>
          <w:p>
            <w:pPr>
              <w:pStyle w:val="TableParagraph"/>
              <w:spacing w:before="107"/>
              <w:ind w:right="108"/>
              <w:jc w:val="right"/>
              <w:rPr>
                <w:sz w:val="18"/>
              </w:rPr>
            </w:pPr>
            <w:r>
              <w:rPr>
                <w:sz w:val="18"/>
              </w:rPr>
              <w:t>0.010</w:t>
            </w:r>
          </w:p>
        </w:tc>
        <w:tc>
          <w:tcPr>
            <w:tcW w:w="797" w:type="dxa"/>
            <w:tcBorders>
              <w:top w:val="nil"/>
              <w:left w:val="nil"/>
              <w:bottom w:val="nil"/>
              <w:right w:val="nil"/>
            </w:tcBorders>
          </w:tcPr>
          <w:p>
            <w:pPr>
              <w:pStyle w:val="TableParagraph"/>
              <w:spacing w:before="107"/>
              <w:ind w:left="123" w:right="126"/>
              <w:rPr>
                <w:sz w:val="18"/>
              </w:rPr>
            </w:pPr>
            <w:r>
              <w:rPr>
                <w:sz w:val="18"/>
              </w:rPr>
              <w:t>&lt;.0001</w:t>
            </w:r>
          </w:p>
        </w:tc>
        <w:tc>
          <w:tcPr>
            <w:tcW w:w="805" w:type="dxa"/>
            <w:tcBorders>
              <w:top w:val="nil"/>
              <w:left w:val="nil"/>
              <w:bottom w:val="nil"/>
              <w:right w:val="nil"/>
            </w:tcBorders>
          </w:tcPr>
          <w:p>
            <w:pPr>
              <w:pStyle w:val="TableParagraph"/>
              <w:spacing w:before="107"/>
              <w:ind w:left="124" w:right="129"/>
              <w:rPr>
                <w:sz w:val="18"/>
              </w:rPr>
            </w:pPr>
            <w:r>
              <w:rPr>
                <w:sz w:val="18"/>
              </w:rPr>
              <w:t>0.2181</w:t>
            </w:r>
          </w:p>
        </w:tc>
        <w:tc>
          <w:tcPr>
            <w:tcW w:w="800" w:type="dxa"/>
            <w:tcBorders>
              <w:top w:val="nil"/>
              <w:left w:val="nil"/>
              <w:bottom w:val="nil"/>
              <w:right w:val="nil"/>
            </w:tcBorders>
          </w:tcPr>
          <w:p>
            <w:pPr>
              <w:pStyle w:val="TableParagraph"/>
              <w:spacing w:before="107"/>
              <w:ind w:left="128" w:right="134"/>
              <w:rPr>
                <w:sz w:val="18"/>
              </w:rPr>
            </w:pPr>
            <w:r>
              <w:rPr>
                <w:sz w:val="18"/>
              </w:rPr>
              <w:t>0.3832</w:t>
            </w:r>
          </w:p>
        </w:tc>
      </w:tr>
      <w:tr>
        <w:trPr>
          <w:trHeight w:val="459" w:hRule="exact"/>
        </w:trPr>
        <w:tc>
          <w:tcPr>
            <w:tcW w:w="1206" w:type="dxa"/>
            <w:tcBorders>
              <w:top w:val="nil"/>
              <w:left w:val="nil"/>
              <w:bottom w:val="nil"/>
              <w:right w:val="nil"/>
            </w:tcBorders>
          </w:tcPr>
          <w:p>
            <w:pPr>
              <w:pStyle w:val="TableParagraph"/>
              <w:spacing w:before="129"/>
              <w:ind w:left="110" w:right="140"/>
              <w:jc w:val="left"/>
              <w:rPr>
                <w:sz w:val="18"/>
              </w:rPr>
            </w:pPr>
            <w:r>
              <w:rPr>
                <w:sz w:val="18"/>
              </w:rPr>
              <w:t>C12:0</w:t>
            </w:r>
          </w:p>
        </w:tc>
        <w:tc>
          <w:tcPr>
            <w:tcW w:w="724" w:type="dxa"/>
            <w:tcBorders>
              <w:top w:val="nil"/>
              <w:left w:val="nil"/>
              <w:bottom w:val="nil"/>
              <w:right w:val="nil"/>
            </w:tcBorders>
          </w:tcPr>
          <w:p>
            <w:pPr>
              <w:pStyle w:val="TableParagraph"/>
              <w:spacing w:before="105"/>
              <w:ind w:right="173"/>
              <w:jc w:val="right"/>
              <w:rPr>
                <w:sz w:val="12"/>
              </w:rPr>
            </w:pPr>
            <w:r>
              <w:rPr>
                <w:sz w:val="18"/>
              </w:rPr>
              <w:t>3.01</w:t>
            </w:r>
            <w:r>
              <w:rPr>
                <w:position w:val="8"/>
                <w:sz w:val="12"/>
              </w:rPr>
              <w:t>c</w:t>
            </w:r>
          </w:p>
        </w:tc>
        <w:tc>
          <w:tcPr>
            <w:tcW w:w="773" w:type="dxa"/>
            <w:tcBorders>
              <w:top w:val="nil"/>
              <w:left w:val="nil"/>
              <w:bottom w:val="nil"/>
              <w:right w:val="nil"/>
            </w:tcBorders>
          </w:tcPr>
          <w:p>
            <w:pPr>
              <w:pStyle w:val="TableParagraph"/>
              <w:spacing w:before="105"/>
              <w:ind w:left="111" w:right="102"/>
              <w:rPr>
                <w:sz w:val="12"/>
              </w:rPr>
            </w:pPr>
            <w:r>
              <w:rPr>
                <w:sz w:val="18"/>
              </w:rPr>
              <w:t>3.35</w:t>
            </w:r>
            <w:r>
              <w:rPr>
                <w:position w:val="8"/>
                <w:sz w:val="12"/>
              </w:rPr>
              <w:t>b</w:t>
            </w:r>
          </w:p>
        </w:tc>
        <w:tc>
          <w:tcPr>
            <w:tcW w:w="697" w:type="dxa"/>
            <w:tcBorders>
              <w:top w:val="nil"/>
              <w:left w:val="nil"/>
              <w:bottom w:val="nil"/>
              <w:right w:val="nil"/>
            </w:tcBorders>
          </w:tcPr>
          <w:p>
            <w:pPr>
              <w:pStyle w:val="TableParagraph"/>
              <w:spacing w:before="105"/>
              <w:ind w:right="151"/>
              <w:jc w:val="right"/>
              <w:rPr>
                <w:sz w:val="12"/>
              </w:rPr>
            </w:pPr>
            <w:r>
              <w:rPr>
                <w:sz w:val="18"/>
              </w:rPr>
              <w:t>3.71</w:t>
            </w:r>
            <w:r>
              <w:rPr>
                <w:position w:val="8"/>
                <w:sz w:val="12"/>
              </w:rPr>
              <w:t>a</w:t>
            </w:r>
          </w:p>
        </w:tc>
        <w:tc>
          <w:tcPr>
            <w:tcW w:w="936" w:type="dxa"/>
            <w:tcBorders>
              <w:top w:val="nil"/>
              <w:left w:val="nil"/>
              <w:bottom w:val="nil"/>
              <w:right w:val="nil"/>
            </w:tcBorders>
          </w:tcPr>
          <w:p>
            <w:pPr>
              <w:pStyle w:val="TableParagraph"/>
              <w:spacing w:before="129"/>
              <w:ind w:left="153"/>
              <w:jc w:val="left"/>
              <w:rPr>
                <w:sz w:val="18"/>
              </w:rPr>
            </w:pPr>
            <w:r>
              <w:rPr>
                <w:sz w:val="18"/>
              </w:rPr>
              <w:t>0.074</w:t>
            </w:r>
          </w:p>
        </w:tc>
        <w:tc>
          <w:tcPr>
            <w:tcW w:w="803" w:type="dxa"/>
            <w:tcBorders>
              <w:top w:val="nil"/>
              <w:left w:val="nil"/>
              <w:bottom w:val="nil"/>
              <w:right w:val="nil"/>
            </w:tcBorders>
          </w:tcPr>
          <w:p>
            <w:pPr>
              <w:pStyle w:val="TableParagraph"/>
              <w:spacing w:before="105"/>
              <w:ind w:left="122" w:right="171"/>
              <w:rPr>
                <w:sz w:val="12"/>
              </w:rPr>
            </w:pPr>
            <w:r>
              <w:rPr>
                <w:sz w:val="18"/>
              </w:rPr>
              <w:t>3.21</w:t>
            </w:r>
            <w:r>
              <w:rPr>
                <w:position w:val="8"/>
                <w:sz w:val="12"/>
              </w:rPr>
              <w:t>y</w:t>
            </w:r>
          </w:p>
        </w:tc>
        <w:tc>
          <w:tcPr>
            <w:tcW w:w="897" w:type="dxa"/>
            <w:tcBorders>
              <w:top w:val="nil"/>
              <w:left w:val="nil"/>
              <w:bottom w:val="nil"/>
              <w:right w:val="nil"/>
            </w:tcBorders>
          </w:tcPr>
          <w:p>
            <w:pPr>
              <w:pStyle w:val="TableParagraph"/>
              <w:spacing w:before="105"/>
              <w:ind w:left="168" w:right="218"/>
              <w:rPr>
                <w:sz w:val="12"/>
              </w:rPr>
            </w:pPr>
            <w:r>
              <w:rPr>
                <w:sz w:val="18"/>
              </w:rPr>
              <w:t>3.66</w:t>
            </w:r>
            <w:r>
              <w:rPr>
                <w:position w:val="8"/>
                <w:sz w:val="12"/>
              </w:rPr>
              <w:t>x</w:t>
            </w:r>
          </w:p>
        </w:tc>
        <w:tc>
          <w:tcPr>
            <w:tcW w:w="624" w:type="dxa"/>
            <w:tcBorders>
              <w:top w:val="nil"/>
              <w:left w:val="nil"/>
              <w:bottom w:val="nil"/>
              <w:right w:val="nil"/>
            </w:tcBorders>
          </w:tcPr>
          <w:p>
            <w:pPr>
              <w:pStyle w:val="TableParagraph"/>
              <w:spacing w:before="129"/>
              <w:ind w:right="108"/>
              <w:jc w:val="right"/>
              <w:rPr>
                <w:sz w:val="18"/>
              </w:rPr>
            </w:pPr>
            <w:r>
              <w:rPr>
                <w:sz w:val="18"/>
              </w:rPr>
              <w:t>0.061</w:t>
            </w:r>
          </w:p>
        </w:tc>
        <w:tc>
          <w:tcPr>
            <w:tcW w:w="797" w:type="dxa"/>
            <w:tcBorders>
              <w:top w:val="nil"/>
              <w:left w:val="nil"/>
              <w:bottom w:val="nil"/>
              <w:right w:val="nil"/>
            </w:tcBorders>
          </w:tcPr>
          <w:p>
            <w:pPr>
              <w:pStyle w:val="TableParagraph"/>
              <w:spacing w:before="129"/>
              <w:ind w:left="123" w:right="126"/>
              <w:rPr>
                <w:sz w:val="18"/>
              </w:rPr>
            </w:pPr>
            <w:r>
              <w:rPr>
                <w:sz w:val="18"/>
              </w:rPr>
              <w:t>&lt;.0001</w:t>
            </w:r>
          </w:p>
        </w:tc>
        <w:tc>
          <w:tcPr>
            <w:tcW w:w="805" w:type="dxa"/>
            <w:tcBorders>
              <w:top w:val="nil"/>
              <w:left w:val="nil"/>
              <w:bottom w:val="nil"/>
              <w:right w:val="nil"/>
            </w:tcBorders>
          </w:tcPr>
          <w:p>
            <w:pPr>
              <w:pStyle w:val="TableParagraph"/>
              <w:spacing w:before="129"/>
              <w:ind w:left="129" w:right="129"/>
              <w:rPr>
                <w:sz w:val="18"/>
              </w:rPr>
            </w:pPr>
            <w:r>
              <w:rPr>
                <w:sz w:val="18"/>
              </w:rPr>
              <w:t>&lt;.0001</w:t>
            </w:r>
          </w:p>
        </w:tc>
        <w:tc>
          <w:tcPr>
            <w:tcW w:w="800" w:type="dxa"/>
            <w:tcBorders>
              <w:top w:val="nil"/>
              <w:left w:val="nil"/>
              <w:bottom w:val="nil"/>
              <w:right w:val="nil"/>
            </w:tcBorders>
          </w:tcPr>
          <w:p>
            <w:pPr>
              <w:pStyle w:val="TableParagraph"/>
              <w:spacing w:before="129"/>
              <w:ind w:left="128" w:right="134"/>
              <w:rPr>
                <w:sz w:val="18"/>
              </w:rPr>
            </w:pPr>
            <w:r>
              <w:rPr>
                <w:sz w:val="18"/>
              </w:rPr>
              <w:t>0.9913</w:t>
            </w:r>
          </w:p>
        </w:tc>
      </w:tr>
      <w:tr>
        <w:trPr>
          <w:trHeight w:val="466"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C13:0</w:t>
            </w:r>
          </w:p>
        </w:tc>
        <w:tc>
          <w:tcPr>
            <w:tcW w:w="724" w:type="dxa"/>
            <w:tcBorders>
              <w:top w:val="nil"/>
              <w:left w:val="nil"/>
              <w:bottom w:val="nil"/>
              <w:right w:val="nil"/>
            </w:tcBorders>
          </w:tcPr>
          <w:p>
            <w:pPr>
              <w:pStyle w:val="TableParagraph"/>
              <w:spacing w:before="112"/>
              <w:ind w:right="173"/>
              <w:jc w:val="right"/>
              <w:rPr>
                <w:sz w:val="12"/>
              </w:rPr>
            </w:pPr>
            <w:r>
              <w:rPr>
                <w:sz w:val="18"/>
              </w:rPr>
              <w:t>0.16</w:t>
            </w:r>
            <w:r>
              <w:rPr>
                <w:position w:val="8"/>
                <w:sz w:val="12"/>
              </w:rPr>
              <w:t>b</w:t>
            </w:r>
          </w:p>
        </w:tc>
        <w:tc>
          <w:tcPr>
            <w:tcW w:w="773" w:type="dxa"/>
            <w:tcBorders>
              <w:top w:val="nil"/>
              <w:left w:val="nil"/>
              <w:bottom w:val="nil"/>
              <w:right w:val="nil"/>
            </w:tcBorders>
          </w:tcPr>
          <w:p>
            <w:pPr>
              <w:pStyle w:val="TableParagraph"/>
              <w:spacing w:before="112"/>
              <w:ind w:left="111" w:right="102"/>
              <w:rPr>
                <w:sz w:val="12"/>
              </w:rPr>
            </w:pPr>
            <w:r>
              <w:rPr>
                <w:sz w:val="18"/>
              </w:rPr>
              <w:t>0.18</w:t>
            </w:r>
            <w:r>
              <w:rPr>
                <w:position w:val="8"/>
                <w:sz w:val="12"/>
              </w:rPr>
              <w:t>b</w:t>
            </w:r>
          </w:p>
        </w:tc>
        <w:tc>
          <w:tcPr>
            <w:tcW w:w="697" w:type="dxa"/>
            <w:tcBorders>
              <w:top w:val="nil"/>
              <w:left w:val="nil"/>
              <w:bottom w:val="nil"/>
              <w:right w:val="nil"/>
            </w:tcBorders>
          </w:tcPr>
          <w:p>
            <w:pPr>
              <w:pStyle w:val="TableParagraph"/>
              <w:spacing w:before="112"/>
              <w:ind w:right="151"/>
              <w:jc w:val="right"/>
              <w:rPr>
                <w:sz w:val="12"/>
              </w:rPr>
            </w:pPr>
            <w:r>
              <w:rPr>
                <w:sz w:val="18"/>
              </w:rPr>
              <w:t>0.21</w:t>
            </w:r>
            <w:r>
              <w:rPr>
                <w:position w:val="8"/>
                <w:sz w:val="12"/>
              </w:rPr>
              <w:t>a</w:t>
            </w:r>
          </w:p>
        </w:tc>
        <w:tc>
          <w:tcPr>
            <w:tcW w:w="936" w:type="dxa"/>
            <w:tcBorders>
              <w:top w:val="nil"/>
              <w:left w:val="nil"/>
              <w:bottom w:val="nil"/>
              <w:right w:val="nil"/>
            </w:tcBorders>
          </w:tcPr>
          <w:p>
            <w:pPr>
              <w:pStyle w:val="TableParagraph"/>
              <w:spacing w:before="136"/>
              <w:ind w:left="153"/>
              <w:jc w:val="left"/>
              <w:rPr>
                <w:sz w:val="18"/>
              </w:rPr>
            </w:pPr>
            <w:r>
              <w:rPr>
                <w:sz w:val="18"/>
              </w:rPr>
              <w:t>0.005</w:t>
            </w:r>
          </w:p>
        </w:tc>
        <w:tc>
          <w:tcPr>
            <w:tcW w:w="803" w:type="dxa"/>
            <w:tcBorders>
              <w:top w:val="nil"/>
              <w:left w:val="nil"/>
              <w:bottom w:val="nil"/>
              <w:right w:val="nil"/>
            </w:tcBorders>
          </w:tcPr>
          <w:p>
            <w:pPr>
              <w:pStyle w:val="TableParagraph"/>
              <w:spacing w:before="136"/>
              <w:ind w:left="124" w:right="171"/>
              <w:rPr>
                <w:sz w:val="18"/>
              </w:rPr>
            </w:pPr>
            <w:r>
              <w:rPr>
                <w:sz w:val="18"/>
              </w:rPr>
              <w:t>0.18</w:t>
            </w:r>
          </w:p>
        </w:tc>
        <w:tc>
          <w:tcPr>
            <w:tcW w:w="897" w:type="dxa"/>
            <w:tcBorders>
              <w:top w:val="nil"/>
              <w:left w:val="nil"/>
              <w:bottom w:val="nil"/>
              <w:right w:val="nil"/>
            </w:tcBorders>
          </w:tcPr>
          <w:p>
            <w:pPr>
              <w:pStyle w:val="TableParagraph"/>
              <w:spacing w:before="136"/>
              <w:ind w:left="171" w:right="218"/>
              <w:rPr>
                <w:sz w:val="18"/>
              </w:rPr>
            </w:pPr>
            <w:r>
              <w:rPr>
                <w:sz w:val="18"/>
              </w:rPr>
              <w:t>0.18</w:t>
            </w:r>
          </w:p>
        </w:tc>
        <w:tc>
          <w:tcPr>
            <w:tcW w:w="624" w:type="dxa"/>
            <w:tcBorders>
              <w:top w:val="nil"/>
              <w:left w:val="nil"/>
              <w:bottom w:val="nil"/>
              <w:right w:val="nil"/>
            </w:tcBorders>
          </w:tcPr>
          <w:p>
            <w:pPr>
              <w:pStyle w:val="TableParagraph"/>
              <w:spacing w:before="136"/>
              <w:ind w:right="108"/>
              <w:jc w:val="right"/>
              <w:rPr>
                <w:sz w:val="18"/>
              </w:rPr>
            </w:pPr>
            <w:r>
              <w:rPr>
                <w:sz w:val="18"/>
              </w:rPr>
              <w:t>0.004</w:t>
            </w:r>
          </w:p>
        </w:tc>
        <w:tc>
          <w:tcPr>
            <w:tcW w:w="797" w:type="dxa"/>
            <w:tcBorders>
              <w:top w:val="nil"/>
              <w:left w:val="nil"/>
              <w:bottom w:val="nil"/>
              <w:right w:val="nil"/>
            </w:tcBorders>
          </w:tcPr>
          <w:p>
            <w:pPr>
              <w:pStyle w:val="TableParagraph"/>
              <w:spacing w:before="136"/>
              <w:ind w:left="123" w:right="126"/>
              <w:rPr>
                <w:sz w:val="18"/>
              </w:rPr>
            </w:pPr>
            <w:r>
              <w:rPr>
                <w:sz w:val="18"/>
              </w:rPr>
              <w:t>&lt;.0001</w:t>
            </w:r>
          </w:p>
        </w:tc>
        <w:tc>
          <w:tcPr>
            <w:tcW w:w="805" w:type="dxa"/>
            <w:tcBorders>
              <w:top w:val="nil"/>
              <w:left w:val="nil"/>
              <w:bottom w:val="nil"/>
              <w:right w:val="nil"/>
            </w:tcBorders>
          </w:tcPr>
          <w:p>
            <w:pPr>
              <w:pStyle w:val="TableParagraph"/>
              <w:spacing w:before="136"/>
              <w:ind w:left="124" w:right="129"/>
              <w:rPr>
                <w:sz w:val="18"/>
              </w:rPr>
            </w:pPr>
            <w:r>
              <w:rPr>
                <w:sz w:val="18"/>
              </w:rPr>
              <w:t>0.8414</w:t>
            </w:r>
          </w:p>
        </w:tc>
        <w:tc>
          <w:tcPr>
            <w:tcW w:w="800" w:type="dxa"/>
            <w:tcBorders>
              <w:top w:val="nil"/>
              <w:left w:val="nil"/>
              <w:bottom w:val="nil"/>
              <w:right w:val="nil"/>
            </w:tcBorders>
          </w:tcPr>
          <w:p>
            <w:pPr>
              <w:pStyle w:val="TableParagraph"/>
              <w:spacing w:before="136"/>
              <w:ind w:left="128" w:right="134"/>
              <w:rPr>
                <w:sz w:val="18"/>
              </w:rPr>
            </w:pPr>
            <w:r>
              <w:rPr>
                <w:sz w:val="18"/>
              </w:rPr>
              <w:t>0.0867</w:t>
            </w:r>
          </w:p>
        </w:tc>
      </w:tr>
      <w:tr>
        <w:trPr>
          <w:trHeight w:val="458"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C14:0</w:t>
            </w:r>
          </w:p>
        </w:tc>
        <w:tc>
          <w:tcPr>
            <w:tcW w:w="724" w:type="dxa"/>
            <w:tcBorders>
              <w:top w:val="nil"/>
              <w:left w:val="nil"/>
              <w:bottom w:val="nil"/>
              <w:right w:val="nil"/>
            </w:tcBorders>
          </w:tcPr>
          <w:p>
            <w:pPr>
              <w:pStyle w:val="TableParagraph"/>
              <w:spacing w:before="112"/>
              <w:ind w:right="128"/>
              <w:jc w:val="right"/>
              <w:rPr>
                <w:sz w:val="12"/>
              </w:rPr>
            </w:pPr>
            <w:r>
              <w:rPr>
                <w:sz w:val="18"/>
              </w:rPr>
              <w:t>11.39</w:t>
            </w:r>
            <w:r>
              <w:rPr>
                <w:position w:val="8"/>
                <w:sz w:val="12"/>
              </w:rPr>
              <w:t>b</w:t>
            </w:r>
          </w:p>
        </w:tc>
        <w:tc>
          <w:tcPr>
            <w:tcW w:w="773" w:type="dxa"/>
            <w:tcBorders>
              <w:top w:val="nil"/>
              <w:left w:val="nil"/>
              <w:bottom w:val="nil"/>
              <w:right w:val="nil"/>
            </w:tcBorders>
          </w:tcPr>
          <w:p>
            <w:pPr>
              <w:pStyle w:val="TableParagraph"/>
              <w:spacing w:before="112"/>
              <w:ind w:left="109" w:right="102"/>
              <w:rPr>
                <w:sz w:val="12"/>
              </w:rPr>
            </w:pPr>
            <w:r>
              <w:rPr>
                <w:sz w:val="18"/>
              </w:rPr>
              <w:t>12.07</w:t>
            </w:r>
            <w:r>
              <w:rPr>
                <w:position w:val="8"/>
                <w:sz w:val="12"/>
              </w:rPr>
              <w:t>a</w:t>
            </w:r>
          </w:p>
        </w:tc>
        <w:tc>
          <w:tcPr>
            <w:tcW w:w="697" w:type="dxa"/>
            <w:tcBorders>
              <w:top w:val="nil"/>
              <w:left w:val="nil"/>
              <w:bottom w:val="nil"/>
              <w:right w:val="nil"/>
            </w:tcBorders>
          </w:tcPr>
          <w:p>
            <w:pPr>
              <w:pStyle w:val="TableParagraph"/>
              <w:spacing w:before="112"/>
              <w:ind w:right="107"/>
              <w:jc w:val="right"/>
              <w:rPr>
                <w:sz w:val="12"/>
              </w:rPr>
            </w:pPr>
            <w:r>
              <w:rPr>
                <w:sz w:val="18"/>
              </w:rPr>
              <w:t>12.44</w:t>
            </w:r>
            <w:r>
              <w:rPr>
                <w:position w:val="8"/>
                <w:sz w:val="12"/>
              </w:rPr>
              <w:t>a</w:t>
            </w:r>
          </w:p>
        </w:tc>
        <w:tc>
          <w:tcPr>
            <w:tcW w:w="936" w:type="dxa"/>
            <w:tcBorders>
              <w:top w:val="nil"/>
              <w:left w:val="nil"/>
              <w:bottom w:val="nil"/>
              <w:right w:val="nil"/>
            </w:tcBorders>
          </w:tcPr>
          <w:p>
            <w:pPr>
              <w:pStyle w:val="TableParagraph"/>
              <w:spacing w:before="136"/>
              <w:ind w:left="153"/>
              <w:jc w:val="left"/>
              <w:rPr>
                <w:sz w:val="18"/>
              </w:rPr>
            </w:pPr>
            <w:r>
              <w:rPr>
                <w:sz w:val="18"/>
              </w:rPr>
              <w:t>0.163</w:t>
            </w:r>
          </w:p>
        </w:tc>
        <w:tc>
          <w:tcPr>
            <w:tcW w:w="803" w:type="dxa"/>
            <w:tcBorders>
              <w:top w:val="nil"/>
              <w:left w:val="nil"/>
              <w:bottom w:val="nil"/>
              <w:right w:val="nil"/>
            </w:tcBorders>
          </w:tcPr>
          <w:p>
            <w:pPr>
              <w:pStyle w:val="TableParagraph"/>
              <w:spacing w:before="112"/>
              <w:ind w:left="127" w:right="171"/>
              <w:rPr>
                <w:sz w:val="12"/>
              </w:rPr>
            </w:pPr>
            <w:r>
              <w:rPr>
                <w:sz w:val="18"/>
              </w:rPr>
              <w:t>11.56</w:t>
            </w:r>
            <w:r>
              <w:rPr>
                <w:position w:val="8"/>
                <w:sz w:val="12"/>
              </w:rPr>
              <w:t>y</w:t>
            </w:r>
          </w:p>
        </w:tc>
        <w:tc>
          <w:tcPr>
            <w:tcW w:w="897" w:type="dxa"/>
            <w:tcBorders>
              <w:top w:val="nil"/>
              <w:left w:val="nil"/>
              <w:bottom w:val="nil"/>
              <w:right w:val="nil"/>
            </w:tcBorders>
          </w:tcPr>
          <w:p>
            <w:pPr>
              <w:pStyle w:val="TableParagraph"/>
              <w:spacing w:before="112"/>
              <w:ind w:left="173" w:right="218"/>
              <w:rPr>
                <w:sz w:val="12"/>
              </w:rPr>
            </w:pPr>
            <w:r>
              <w:rPr>
                <w:sz w:val="18"/>
              </w:rPr>
              <w:t>12.77</w:t>
            </w:r>
            <w:r>
              <w:rPr>
                <w:position w:val="8"/>
                <w:sz w:val="12"/>
              </w:rPr>
              <w:t>x</w:t>
            </w:r>
          </w:p>
        </w:tc>
        <w:tc>
          <w:tcPr>
            <w:tcW w:w="624" w:type="dxa"/>
            <w:tcBorders>
              <w:top w:val="nil"/>
              <w:left w:val="nil"/>
              <w:bottom w:val="nil"/>
              <w:right w:val="nil"/>
            </w:tcBorders>
          </w:tcPr>
          <w:p>
            <w:pPr>
              <w:pStyle w:val="TableParagraph"/>
              <w:spacing w:before="136"/>
              <w:ind w:right="108"/>
              <w:jc w:val="right"/>
              <w:rPr>
                <w:sz w:val="18"/>
              </w:rPr>
            </w:pPr>
            <w:r>
              <w:rPr>
                <w:sz w:val="18"/>
              </w:rPr>
              <w:t>0.133</w:t>
            </w:r>
          </w:p>
        </w:tc>
        <w:tc>
          <w:tcPr>
            <w:tcW w:w="797" w:type="dxa"/>
            <w:tcBorders>
              <w:top w:val="nil"/>
              <w:left w:val="nil"/>
              <w:bottom w:val="nil"/>
              <w:right w:val="nil"/>
            </w:tcBorders>
          </w:tcPr>
          <w:p>
            <w:pPr>
              <w:pStyle w:val="TableParagraph"/>
              <w:spacing w:before="136"/>
              <w:ind w:left="123" w:right="126"/>
              <w:rPr>
                <w:sz w:val="18"/>
              </w:rPr>
            </w:pPr>
            <w:r>
              <w:rPr>
                <w:sz w:val="18"/>
              </w:rPr>
              <w:t>&lt;.0001</w:t>
            </w:r>
          </w:p>
        </w:tc>
        <w:tc>
          <w:tcPr>
            <w:tcW w:w="805" w:type="dxa"/>
            <w:tcBorders>
              <w:top w:val="nil"/>
              <w:left w:val="nil"/>
              <w:bottom w:val="nil"/>
              <w:right w:val="nil"/>
            </w:tcBorders>
          </w:tcPr>
          <w:p>
            <w:pPr>
              <w:pStyle w:val="TableParagraph"/>
              <w:spacing w:before="136"/>
              <w:ind w:left="129" w:right="129"/>
              <w:rPr>
                <w:sz w:val="18"/>
              </w:rPr>
            </w:pPr>
            <w:r>
              <w:rPr>
                <w:sz w:val="18"/>
              </w:rPr>
              <w:t>&lt;.0001</w:t>
            </w:r>
          </w:p>
        </w:tc>
        <w:tc>
          <w:tcPr>
            <w:tcW w:w="800" w:type="dxa"/>
            <w:tcBorders>
              <w:top w:val="nil"/>
              <w:left w:val="nil"/>
              <w:bottom w:val="nil"/>
              <w:right w:val="nil"/>
            </w:tcBorders>
          </w:tcPr>
          <w:p>
            <w:pPr>
              <w:pStyle w:val="TableParagraph"/>
              <w:spacing w:before="136"/>
              <w:ind w:left="128" w:right="134"/>
              <w:rPr>
                <w:sz w:val="18"/>
              </w:rPr>
            </w:pPr>
            <w:r>
              <w:rPr>
                <w:sz w:val="18"/>
              </w:rPr>
              <w:t>0.6554</w:t>
            </w:r>
          </w:p>
        </w:tc>
      </w:tr>
      <w:tr>
        <w:trPr>
          <w:trHeight w:val="459" w:hRule="exact"/>
        </w:trPr>
        <w:tc>
          <w:tcPr>
            <w:tcW w:w="1206" w:type="dxa"/>
            <w:tcBorders>
              <w:top w:val="nil"/>
              <w:left w:val="nil"/>
              <w:bottom w:val="nil"/>
              <w:right w:val="nil"/>
            </w:tcBorders>
          </w:tcPr>
          <w:p>
            <w:pPr>
              <w:pStyle w:val="TableParagraph"/>
              <w:spacing w:before="129"/>
              <w:ind w:left="110" w:right="140"/>
              <w:jc w:val="left"/>
              <w:rPr>
                <w:sz w:val="18"/>
              </w:rPr>
            </w:pPr>
            <w:r>
              <w:rPr>
                <w:sz w:val="18"/>
              </w:rPr>
              <w:t>C14:1</w:t>
            </w:r>
          </w:p>
        </w:tc>
        <w:tc>
          <w:tcPr>
            <w:tcW w:w="724" w:type="dxa"/>
            <w:tcBorders>
              <w:top w:val="nil"/>
              <w:left w:val="nil"/>
              <w:bottom w:val="nil"/>
              <w:right w:val="nil"/>
            </w:tcBorders>
          </w:tcPr>
          <w:p>
            <w:pPr>
              <w:pStyle w:val="TableParagraph"/>
              <w:spacing w:before="105"/>
              <w:ind w:right="173"/>
              <w:jc w:val="right"/>
              <w:rPr>
                <w:sz w:val="12"/>
              </w:rPr>
            </w:pPr>
            <w:r>
              <w:rPr>
                <w:sz w:val="18"/>
              </w:rPr>
              <w:t>1.03</w:t>
            </w:r>
            <w:r>
              <w:rPr>
                <w:position w:val="8"/>
                <w:sz w:val="12"/>
              </w:rPr>
              <w:t>b</w:t>
            </w:r>
          </w:p>
        </w:tc>
        <w:tc>
          <w:tcPr>
            <w:tcW w:w="773" w:type="dxa"/>
            <w:tcBorders>
              <w:top w:val="nil"/>
              <w:left w:val="nil"/>
              <w:bottom w:val="nil"/>
              <w:right w:val="nil"/>
            </w:tcBorders>
          </w:tcPr>
          <w:p>
            <w:pPr>
              <w:pStyle w:val="TableParagraph"/>
              <w:spacing w:before="105"/>
              <w:ind w:left="102" w:right="102"/>
              <w:rPr>
                <w:sz w:val="12"/>
              </w:rPr>
            </w:pPr>
            <w:r>
              <w:rPr>
                <w:sz w:val="18"/>
              </w:rPr>
              <w:t>1.15</w:t>
            </w:r>
            <w:r>
              <w:rPr>
                <w:position w:val="8"/>
                <w:sz w:val="12"/>
              </w:rPr>
              <w:t>ab</w:t>
            </w:r>
          </w:p>
        </w:tc>
        <w:tc>
          <w:tcPr>
            <w:tcW w:w="697" w:type="dxa"/>
            <w:tcBorders>
              <w:top w:val="nil"/>
              <w:left w:val="nil"/>
              <w:bottom w:val="nil"/>
              <w:right w:val="nil"/>
            </w:tcBorders>
          </w:tcPr>
          <w:p>
            <w:pPr>
              <w:pStyle w:val="TableParagraph"/>
              <w:spacing w:before="105"/>
              <w:ind w:right="151"/>
              <w:jc w:val="right"/>
              <w:rPr>
                <w:sz w:val="12"/>
              </w:rPr>
            </w:pPr>
            <w:r>
              <w:rPr>
                <w:sz w:val="18"/>
              </w:rPr>
              <w:t>1.20</w:t>
            </w:r>
            <w:r>
              <w:rPr>
                <w:position w:val="8"/>
                <w:sz w:val="12"/>
              </w:rPr>
              <w:t>a</w:t>
            </w:r>
          </w:p>
        </w:tc>
        <w:tc>
          <w:tcPr>
            <w:tcW w:w="936" w:type="dxa"/>
            <w:tcBorders>
              <w:top w:val="nil"/>
              <w:left w:val="nil"/>
              <w:bottom w:val="nil"/>
              <w:right w:val="nil"/>
            </w:tcBorders>
          </w:tcPr>
          <w:p>
            <w:pPr>
              <w:pStyle w:val="TableParagraph"/>
              <w:spacing w:before="129"/>
              <w:ind w:left="153"/>
              <w:jc w:val="left"/>
              <w:rPr>
                <w:sz w:val="18"/>
              </w:rPr>
            </w:pPr>
            <w:r>
              <w:rPr>
                <w:sz w:val="18"/>
              </w:rPr>
              <w:t>0.038</w:t>
            </w:r>
          </w:p>
        </w:tc>
        <w:tc>
          <w:tcPr>
            <w:tcW w:w="803" w:type="dxa"/>
            <w:tcBorders>
              <w:top w:val="nil"/>
              <w:left w:val="nil"/>
              <w:bottom w:val="nil"/>
              <w:right w:val="nil"/>
            </w:tcBorders>
          </w:tcPr>
          <w:p>
            <w:pPr>
              <w:pStyle w:val="TableParagraph"/>
              <w:spacing w:before="129"/>
              <w:ind w:left="124" w:right="171"/>
              <w:rPr>
                <w:sz w:val="18"/>
              </w:rPr>
            </w:pPr>
            <w:r>
              <w:rPr>
                <w:sz w:val="18"/>
              </w:rPr>
              <w:t>1.14</w:t>
            </w:r>
          </w:p>
        </w:tc>
        <w:tc>
          <w:tcPr>
            <w:tcW w:w="897" w:type="dxa"/>
            <w:tcBorders>
              <w:top w:val="nil"/>
              <w:left w:val="nil"/>
              <w:bottom w:val="nil"/>
              <w:right w:val="nil"/>
            </w:tcBorders>
          </w:tcPr>
          <w:p>
            <w:pPr>
              <w:pStyle w:val="TableParagraph"/>
              <w:spacing w:before="129"/>
              <w:ind w:left="171" w:right="218"/>
              <w:rPr>
                <w:sz w:val="18"/>
              </w:rPr>
            </w:pPr>
            <w:r>
              <w:rPr>
                <w:sz w:val="18"/>
              </w:rPr>
              <w:t>1.11</w:t>
            </w:r>
          </w:p>
        </w:tc>
        <w:tc>
          <w:tcPr>
            <w:tcW w:w="624" w:type="dxa"/>
            <w:tcBorders>
              <w:top w:val="nil"/>
              <w:left w:val="nil"/>
              <w:bottom w:val="nil"/>
              <w:right w:val="nil"/>
            </w:tcBorders>
          </w:tcPr>
          <w:p>
            <w:pPr>
              <w:pStyle w:val="TableParagraph"/>
              <w:spacing w:before="129"/>
              <w:ind w:right="108"/>
              <w:jc w:val="right"/>
              <w:rPr>
                <w:sz w:val="18"/>
              </w:rPr>
            </w:pPr>
            <w:r>
              <w:rPr>
                <w:sz w:val="18"/>
              </w:rPr>
              <w:t>0.032</w:t>
            </w:r>
          </w:p>
        </w:tc>
        <w:tc>
          <w:tcPr>
            <w:tcW w:w="797" w:type="dxa"/>
            <w:tcBorders>
              <w:top w:val="nil"/>
              <w:left w:val="nil"/>
              <w:bottom w:val="nil"/>
              <w:right w:val="nil"/>
            </w:tcBorders>
          </w:tcPr>
          <w:p>
            <w:pPr>
              <w:pStyle w:val="TableParagraph"/>
              <w:spacing w:before="129"/>
              <w:ind w:left="123" w:right="123"/>
              <w:rPr>
                <w:sz w:val="18"/>
              </w:rPr>
            </w:pPr>
            <w:r>
              <w:rPr>
                <w:sz w:val="18"/>
              </w:rPr>
              <w:t>0.0322</w:t>
            </w:r>
          </w:p>
        </w:tc>
        <w:tc>
          <w:tcPr>
            <w:tcW w:w="805" w:type="dxa"/>
            <w:tcBorders>
              <w:top w:val="nil"/>
              <w:left w:val="nil"/>
              <w:bottom w:val="nil"/>
              <w:right w:val="nil"/>
            </w:tcBorders>
          </w:tcPr>
          <w:p>
            <w:pPr>
              <w:pStyle w:val="TableParagraph"/>
              <w:spacing w:before="129"/>
              <w:ind w:left="124" w:right="129"/>
              <w:rPr>
                <w:sz w:val="18"/>
              </w:rPr>
            </w:pPr>
            <w:r>
              <w:rPr>
                <w:sz w:val="18"/>
              </w:rPr>
              <w:t>0.6019</w:t>
            </w:r>
          </w:p>
        </w:tc>
        <w:tc>
          <w:tcPr>
            <w:tcW w:w="800" w:type="dxa"/>
            <w:tcBorders>
              <w:top w:val="nil"/>
              <w:left w:val="nil"/>
              <w:bottom w:val="nil"/>
              <w:right w:val="nil"/>
            </w:tcBorders>
          </w:tcPr>
          <w:p>
            <w:pPr>
              <w:pStyle w:val="TableParagraph"/>
              <w:spacing w:before="129"/>
              <w:ind w:left="128" w:right="134"/>
              <w:rPr>
                <w:sz w:val="18"/>
              </w:rPr>
            </w:pPr>
            <w:r>
              <w:rPr>
                <w:sz w:val="18"/>
              </w:rPr>
              <w:t>0.4780</w:t>
            </w:r>
          </w:p>
        </w:tc>
      </w:tr>
      <w:tr>
        <w:trPr>
          <w:trHeight w:val="466"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C15:0</w:t>
            </w:r>
          </w:p>
        </w:tc>
        <w:tc>
          <w:tcPr>
            <w:tcW w:w="724" w:type="dxa"/>
            <w:tcBorders>
              <w:top w:val="nil"/>
              <w:left w:val="nil"/>
              <w:bottom w:val="nil"/>
              <w:right w:val="nil"/>
            </w:tcBorders>
          </w:tcPr>
          <w:p>
            <w:pPr>
              <w:pStyle w:val="TableParagraph"/>
              <w:spacing w:before="112"/>
              <w:ind w:right="173"/>
              <w:jc w:val="right"/>
              <w:rPr>
                <w:sz w:val="12"/>
              </w:rPr>
            </w:pPr>
            <w:r>
              <w:rPr>
                <w:sz w:val="18"/>
              </w:rPr>
              <w:t>1.20</w:t>
            </w:r>
            <w:r>
              <w:rPr>
                <w:position w:val="8"/>
                <w:sz w:val="12"/>
              </w:rPr>
              <w:t>a</w:t>
            </w:r>
          </w:p>
        </w:tc>
        <w:tc>
          <w:tcPr>
            <w:tcW w:w="773" w:type="dxa"/>
            <w:tcBorders>
              <w:top w:val="nil"/>
              <w:left w:val="nil"/>
              <w:bottom w:val="nil"/>
              <w:right w:val="nil"/>
            </w:tcBorders>
          </w:tcPr>
          <w:p>
            <w:pPr>
              <w:pStyle w:val="TableParagraph"/>
              <w:spacing w:before="112"/>
              <w:ind w:left="111" w:right="102"/>
              <w:rPr>
                <w:sz w:val="12"/>
              </w:rPr>
            </w:pPr>
            <w:r>
              <w:rPr>
                <w:sz w:val="18"/>
              </w:rPr>
              <w:t>1.14</w:t>
            </w:r>
            <w:r>
              <w:rPr>
                <w:position w:val="8"/>
                <w:sz w:val="12"/>
              </w:rPr>
              <w:t>b</w:t>
            </w:r>
          </w:p>
        </w:tc>
        <w:tc>
          <w:tcPr>
            <w:tcW w:w="697" w:type="dxa"/>
            <w:tcBorders>
              <w:top w:val="nil"/>
              <w:left w:val="nil"/>
              <w:bottom w:val="nil"/>
              <w:right w:val="nil"/>
            </w:tcBorders>
          </w:tcPr>
          <w:p>
            <w:pPr>
              <w:pStyle w:val="TableParagraph"/>
              <w:spacing w:before="112"/>
              <w:ind w:right="155"/>
              <w:jc w:val="right"/>
              <w:rPr>
                <w:sz w:val="12"/>
              </w:rPr>
            </w:pPr>
            <w:r>
              <w:rPr>
                <w:sz w:val="18"/>
              </w:rPr>
              <w:t>1.16</w:t>
            </w:r>
            <w:r>
              <w:rPr>
                <w:position w:val="8"/>
                <w:sz w:val="12"/>
              </w:rPr>
              <w:t>b</w:t>
            </w:r>
          </w:p>
        </w:tc>
        <w:tc>
          <w:tcPr>
            <w:tcW w:w="936" w:type="dxa"/>
            <w:tcBorders>
              <w:top w:val="nil"/>
              <w:left w:val="nil"/>
              <w:bottom w:val="nil"/>
              <w:right w:val="nil"/>
            </w:tcBorders>
          </w:tcPr>
          <w:p>
            <w:pPr>
              <w:pStyle w:val="TableParagraph"/>
              <w:spacing w:before="136"/>
              <w:ind w:left="153"/>
              <w:jc w:val="left"/>
              <w:rPr>
                <w:sz w:val="18"/>
              </w:rPr>
            </w:pPr>
            <w:r>
              <w:rPr>
                <w:sz w:val="18"/>
              </w:rPr>
              <w:t>0.022</w:t>
            </w:r>
          </w:p>
        </w:tc>
        <w:tc>
          <w:tcPr>
            <w:tcW w:w="803" w:type="dxa"/>
            <w:tcBorders>
              <w:top w:val="nil"/>
              <w:left w:val="nil"/>
              <w:bottom w:val="nil"/>
              <w:right w:val="nil"/>
            </w:tcBorders>
          </w:tcPr>
          <w:p>
            <w:pPr>
              <w:pStyle w:val="TableParagraph"/>
              <w:spacing w:before="112"/>
              <w:ind w:left="122" w:right="171"/>
              <w:rPr>
                <w:sz w:val="12"/>
              </w:rPr>
            </w:pPr>
            <w:r>
              <w:rPr>
                <w:sz w:val="18"/>
              </w:rPr>
              <w:t>1.21</w:t>
            </w:r>
            <w:r>
              <w:rPr>
                <w:position w:val="8"/>
                <w:sz w:val="12"/>
              </w:rPr>
              <w:t>x</w:t>
            </w:r>
          </w:p>
        </w:tc>
        <w:tc>
          <w:tcPr>
            <w:tcW w:w="897" w:type="dxa"/>
            <w:tcBorders>
              <w:top w:val="nil"/>
              <w:left w:val="nil"/>
              <w:bottom w:val="nil"/>
              <w:right w:val="nil"/>
            </w:tcBorders>
          </w:tcPr>
          <w:p>
            <w:pPr>
              <w:pStyle w:val="TableParagraph"/>
              <w:spacing w:before="112"/>
              <w:ind w:left="168" w:right="218"/>
              <w:rPr>
                <w:sz w:val="12"/>
              </w:rPr>
            </w:pPr>
            <w:r>
              <w:rPr>
                <w:sz w:val="18"/>
              </w:rPr>
              <w:t>1.07</w:t>
            </w:r>
            <w:r>
              <w:rPr>
                <w:position w:val="8"/>
                <w:sz w:val="12"/>
              </w:rPr>
              <w:t>y</w:t>
            </w:r>
          </w:p>
        </w:tc>
        <w:tc>
          <w:tcPr>
            <w:tcW w:w="624" w:type="dxa"/>
            <w:tcBorders>
              <w:top w:val="nil"/>
              <w:left w:val="nil"/>
              <w:bottom w:val="nil"/>
              <w:right w:val="nil"/>
            </w:tcBorders>
          </w:tcPr>
          <w:p>
            <w:pPr>
              <w:pStyle w:val="TableParagraph"/>
              <w:spacing w:before="136"/>
              <w:ind w:right="108"/>
              <w:jc w:val="right"/>
              <w:rPr>
                <w:sz w:val="18"/>
              </w:rPr>
            </w:pPr>
            <w:r>
              <w:rPr>
                <w:sz w:val="18"/>
              </w:rPr>
              <w:t>0.019</w:t>
            </w:r>
          </w:p>
        </w:tc>
        <w:tc>
          <w:tcPr>
            <w:tcW w:w="797" w:type="dxa"/>
            <w:tcBorders>
              <w:top w:val="nil"/>
              <w:left w:val="nil"/>
              <w:bottom w:val="nil"/>
              <w:right w:val="nil"/>
            </w:tcBorders>
          </w:tcPr>
          <w:p>
            <w:pPr>
              <w:pStyle w:val="TableParagraph"/>
              <w:spacing w:before="136"/>
              <w:ind w:left="123" w:right="123"/>
              <w:rPr>
                <w:sz w:val="18"/>
              </w:rPr>
            </w:pPr>
            <w:r>
              <w:rPr>
                <w:sz w:val="18"/>
              </w:rPr>
              <w:t>0.0397</w:t>
            </w:r>
          </w:p>
        </w:tc>
        <w:tc>
          <w:tcPr>
            <w:tcW w:w="805" w:type="dxa"/>
            <w:tcBorders>
              <w:top w:val="nil"/>
              <w:left w:val="nil"/>
              <w:bottom w:val="nil"/>
              <w:right w:val="nil"/>
            </w:tcBorders>
          </w:tcPr>
          <w:p>
            <w:pPr>
              <w:pStyle w:val="TableParagraph"/>
              <w:spacing w:before="136"/>
              <w:ind w:left="129" w:right="129"/>
              <w:rPr>
                <w:sz w:val="18"/>
              </w:rPr>
            </w:pPr>
            <w:r>
              <w:rPr>
                <w:sz w:val="18"/>
              </w:rPr>
              <w:t>&lt;.0001</w:t>
            </w:r>
          </w:p>
        </w:tc>
        <w:tc>
          <w:tcPr>
            <w:tcW w:w="800" w:type="dxa"/>
            <w:tcBorders>
              <w:top w:val="nil"/>
              <w:left w:val="nil"/>
              <w:bottom w:val="nil"/>
              <w:right w:val="nil"/>
            </w:tcBorders>
          </w:tcPr>
          <w:p>
            <w:pPr>
              <w:pStyle w:val="TableParagraph"/>
              <w:spacing w:before="136"/>
              <w:ind w:left="129" w:right="133"/>
              <w:rPr>
                <w:sz w:val="18"/>
              </w:rPr>
            </w:pPr>
            <w:r>
              <w:rPr>
                <w:sz w:val="18"/>
              </w:rPr>
              <w:t>0.0611</w:t>
            </w:r>
          </w:p>
        </w:tc>
      </w:tr>
      <w:tr>
        <w:trPr>
          <w:trHeight w:val="458"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C16:0</w:t>
            </w:r>
          </w:p>
        </w:tc>
        <w:tc>
          <w:tcPr>
            <w:tcW w:w="724" w:type="dxa"/>
            <w:tcBorders>
              <w:top w:val="nil"/>
              <w:left w:val="nil"/>
              <w:bottom w:val="nil"/>
              <w:right w:val="nil"/>
            </w:tcBorders>
          </w:tcPr>
          <w:p>
            <w:pPr>
              <w:pStyle w:val="TableParagraph"/>
              <w:spacing w:before="112"/>
              <w:ind w:right="128"/>
              <w:jc w:val="right"/>
              <w:rPr>
                <w:sz w:val="12"/>
              </w:rPr>
            </w:pPr>
            <w:r>
              <w:rPr>
                <w:sz w:val="18"/>
              </w:rPr>
              <w:t>28.84</w:t>
            </w:r>
            <w:r>
              <w:rPr>
                <w:position w:val="8"/>
                <w:sz w:val="12"/>
              </w:rPr>
              <w:t>b</w:t>
            </w:r>
          </w:p>
        </w:tc>
        <w:tc>
          <w:tcPr>
            <w:tcW w:w="773" w:type="dxa"/>
            <w:tcBorders>
              <w:top w:val="nil"/>
              <w:left w:val="nil"/>
              <w:bottom w:val="nil"/>
              <w:right w:val="nil"/>
            </w:tcBorders>
          </w:tcPr>
          <w:p>
            <w:pPr>
              <w:pStyle w:val="TableParagraph"/>
              <w:spacing w:before="112"/>
              <w:ind w:left="111" w:right="102"/>
              <w:rPr>
                <w:sz w:val="12"/>
              </w:rPr>
            </w:pPr>
            <w:r>
              <w:rPr>
                <w:sz w:val="18"/>
              </w:rPr>
              <w:t>29.49</w:t>
            </w:r>
            <w:r>
              <w:rPr>
                <w:position w:val="8"/>
                <w:sz w:val="12"/>
              </w:rPr>
              <w:t>ab</w:t>
            </w:r>
          </w:p>
        </w:tc>
        <w:tc>
          <w:tcPr>
            <w:tcW w:w="697" w:type="dxa"/>
            <w:tcBorders>
              <w:top w:val="nil"/>
              <w:left w:val="nil"/>
              <w:bottom w:val="nil"/>
              <w:right w:val="nil"/>
            </w:tcBorders>
          </w:tcPr>
          <w:p>
            <w:pPr>
              <w:pStyle w:val="TableParagraph"/>
              <w:spacing w:before="112"/>
              <w:ind w:right="107"/>
              <w:jc w:val="right"/>
              <w:rPr>
                <w:sz w:val="12"/>
              </w:rPr>
            </w:pPr>
            <w:r>
              <w:rPr>
                <w:sz w:val="18"/>
              </w:rPr>
              <w:t>30.71</w:t>
            </w:r>
            <w:r>
              <w:rPr>
                <w:position w:val="8"/>
                <w:sz w:val="12"/>
              </w:rPr>
              <w:t>a</w:t>
            </w:r>
          </w:p>
        </w:tc>
        <w:tc>
          <w:tcPr>
            <w:tcW w:w="936" w:type="dxa"/>
            <w:tcBorders>
              <w:top w:val="nil"/>
              <w:left w:val="nil"/>
              <w:bottom w:val="nil"/>
              <w:right w:val="nil"/>
            </w:tcBorders>
          </w:tcPr>
          <w:p>
            <w:pPr>
              <w:pStyle w:val="TableParagraph"/>
              <w:spacing w:before="136"/>
              <w:ind w:left="153"/>
              <w:jc w:val="left"/>
              <w:rPr>
                <w:sz w:val="18"/>
              </w:rPr>
            </w:pPr>
            <w:r>
              <w:rPr>
                <w:sz w:val="18"/>
              </w:rPr>
              <w:t>0.459</w:t>
            </w:r>
          </w:p>
        </w:tc>
        <w:tc>
          <w:tcPr>
            <w:tcW w:w="803" w:type="dxa"/>
            <w:tcBorders>
              <w:top w:val="nil"/>
              <w:left w:val="nil"/>
              <w:bottom w:val="nil"/>
              <w:right w:val="nil"/>
            </w:tcBorders>
          </w:tcPr>
          <w:p>
            <w:pPr>
              <w:pStyle w:val="TableParagraph"/>
              <w:spacing w:before="136"/>
              <w:ind w:left="124" w:right="171"/>
              <w:rPr>
                <w:sz w:val="18"/>
              </w:rPr>
            </w:pPr>
            <w:r>
              <w:rPr>
                <w:sz w:val="18"/>
              </w:rPr>
              <w:t>29.98</w:t>
            </w:r>
          </w:p>
        </w:tc>
        <w:tc>
          <w:tcPr>
            <w:tcW w:w="897" w:type="dxa"/>
            <w:tcBorders>
              <w:top w:val="nil"/>
              <w:left w:val="nil"/>
              <w:bottom w:val="nil"/>
              <w:right w:val="nil"/>
            </w:tcBorders>
          </w:tcPr>
          <w:p>
            <w:pPr>
              <w:pStyle w:val="TableParagraph"/>
              <w:spacing w:before="136"/>
              <w:ind w:left="171" w:right="218"/>
              <w:rPr>
                <w:sz w:val="18"/>
              </w:rPr>
            </w:pPr>
            <w:r>
              <w:rPr>
                <w:sz w:val="18"/>
              </w:rPr>
              <w:t>29.03</w:t>
            </w:r>
          </w:p>
        </w:tc>
        <w:tc>
          <w:tcPr>
            <w:tcW w:w="624" w:type="dxa"/>
            <w:tcBorders>
              <w:top w:val="nil"/>
              <w:left w:val="nil"/>
              <w:bottom w:val="nil"/>
              <w:right w:val="nil"/>
            </w:tcBorders>
          </w:tcPr>
          <w:p>
            <w:pPr>
              <w:pStyle w:val="TableParagraph"/>
              <w:spacing w:before="136"/>
              <w:ind w:right="108"/>
              <w:jc w:val="right"/>
              <w:rPr>
                <w:sz w:val="18"/>
              </w:rPr>
            </w:pPr>
            <w:r>
              <w:rPr>
                <w:sz w:val="18"/>
              </w:rPr>
              <w:t>0.375</w:t>
            </w:r>
          </w:p>
        </w:tc>
        <w:tc>
          <w:tcPr>
            <w:tcW w:w="797" w:type="dxa"/>
            <w:tcBorders>
              <w:top w:val="nil"/>
              <w:left w:val="nil"/>
              <w:bottom w:val="nil"/>
              <w:right w:val="nil"/>
            </w:tcBorders>
          </w:tcPr>
          <w:p>
            <w:pPr>
              <w:pStyle w:val="TableParagraph"/>
              <w:spacing w:before="136"/>
              <w:ind w:left="123" w:right="123"/>
              <w:rPr>
                <w:sz w:val="18"/>
              </w:rPr>
            </w:pPr>
            <w:r>
              <w:rPr>
                <w:sz w:val="18"/>
              </w:rPr>
              <w:t>0.0049</w:t>
            </w:r>
          </w:p>
        </w:tc>
        <w:tc>
          <w:tcPr>
            <w:tcW w:w="805" w:type="dxa"/>
            <w:tcBorders>
              <w:top w:val="nil"/>
              <w:left w:val="nil"/>
              <w:bottom w:val="nil"/>
              <w:right w:val="nil"/>
            </w:tcBorders>
          </w:tcPr>
          <w:p>
            <w:pPr>
              <w:pStyle w:val="TableParagraph"/>
              <w:spacing w:before="136"/>
              <w:ind w:left="124" w:right="129"/>
              <w:rPr>
                <w:sz w:val="18"/>
              </w:rPr>
            </w:pPr>
            <w:r>
              <w:rPr>
                <w:sz w:val="18"/>
              </w:rPr>
              <w:t>0.0746</w:t>
            </w:r>
          </w:p>
        </w:tc>
        <w:tc>
          <w:tcPr>
            <w:tcW w:w="800" w:type="dxa"/>
            <w:tcBorders>
              <w:top w:val="nil"/>
              <w:left w:val="nil"/>
              <w:bottom w:val="nil"/>
              <w:right w:val="nil"/>
            </w:tcBorders>
          </w:tcPr>
          <w:p>
            <w:pPr>
              <w:pStyle w:val="TableParagraph"/>
              <w:spacing w:before="136"/>
              <w:ind w:left="128" w:right="134"/>
              <w:rPr>
                <w:sz w:val="18"/>
              </w:rPr>
            </w:pPr>
            <w:r>
              <w:rPr>
                <w:sz w:val="18"/>
              </w:rPr>
              <w:t>0.5245</w:t>
            </w:r>
          </w:p>
        </w:tc>
      </w:tr>
      <w:tr>
        <w:trPr>
          <w:trHeight w:val="459" w:hRule="exact"/>
        </w:trPr>
        <w:tc>
          <w:tcPr>
            <w:tcW w:w="1206" w:type="dxa"/>
            <w:tcBorders>
              <w:top w:val="nil"/>
              <w:left w:val="nil"/>
              <w:bottom w:val="nil"/>
              <w:right w:val="nil"/>
            </w:tcBorders>
          </w:tcPr>
          <w:p>
            <w:pPr>
              <w:pStyle w:val="TableParagraph"/>
              <w:spacing w:before="129"/>
              <w:ind w:left="110" w:right="140"/>
              <w:jc w:val="left"/>
              <w:rPr>
                <w:sz w:val="18"/>
              </w:rPr>
            </w:pPr>
            <w:r>
              <w:rPr>
                <w:sz w:val="18"/>
              </w:rPr>
              <w:t>C16:1</w:t>
            </w:r>
          </w:p>
        </w:tc>
        <w:tc>
          <w:tcPr>
            <w:tcW w:w="724" w:type="dxa"/>
            <w:tcBorders>
              <w:top w:val="nil"/>
              <w:left w:val="nil"/>
              <w:bottom w:val="nil"/>
              <w:right w:val="nil"/>
            </w:tcBorders>
          </w:tcPr>
          <w:p>
            <w:pPr>
              <w:pStyle w:val="TableParagraph"/>
              <w:spacing w:before="129"/>
              <w:ind w:right="198"/>
              <w:jc w:val="right"/>
              <w:rPr>
                <w:sz w:val="18"/>
              </w:rPr>
            </w:pPr>
            <w:r>
              <w:rPr>
                <w:sz w:val="18"/>
              </w:rPr>
              <w:t>1.95</w:t>
            </w:r>
          </w:p>
        </w:tc>
        <w:tc>
          <w:tcPr>
            <w:tcW w:w="773" w:type="dxa"/>
            <w:tcBorders>
              <w:top w:val="nil"/>
              <w:left w:val="nil"/>
              <w:bottom w:val="nil"/>
              <w:right w:val="nil"/>
            </w:tcBorders>
          </w:tcPr>
          <w:p>
            <w:pPr>
              <w:pStyle w:val="TableParagraph"/>
              <w:spacing w:before="129"/>
              <w:ind w:left="111" w:right="100"/>
              <w:rPr>
                <w:sz w:val="18"/>
              </w:rPr>
            </w:pPr>
            <w:r>
              <w:rPr>
                <w:sz w:val="18"/>
              </w:rPr>
              <w:t>1.97</w:t>
            </w:r>
          </w:p>
        </w:tc>
        <w:tc>
          <w:tcPr>
            <w:tcW w:w="697" w:type="dxa"/>
            <w:tcBorders>
              <w:top w:val="nil"/>
              <w:left w:val="nil"/>
              <w:bottom w:val="nil"/>
              <w:right w:val="nil"/>
            </w:tcBorders>
          </w:tcPr>
          <w:p>
            <w:pPr>
              <w:pStyle w:val="TableParagraph"/>
              <w:spacing w:before="129"/>
              <w:ind w:left="193"/>
              <w:jc w:val="left"/>
              <w:rPr>
                <w:sz w:val="18"/>
              </w:rPr>
            </w:pPr>
            <w:r>
              <w:rPr>
                <w:sz w:val="18"/>
              </w:rPr>
              <w:t>1.90</w:t>
            </w:r>
          </w:p>
        </w:tc>
        <w:tc>
          <w:tcPr>
            <w:tcW w:w="936" w:type="dxa"/>
            <w:tcBorders>
              <w:top w:val="nil"/>
              <w:left w:val="nil"/>
              <w:bottom w:val="nil"/>
              <w:right w:val="nil"/>
            </w:tcBorders>
          </w:tcPr>
          <w:p>
            <w:pPr>
              <w:pStyle w:val="TableParagraph"/>
              <w:spacing w:before="129"/>
              <w:ind w:left="153"/>
              <w:jc w:val="left"/>
              <w:rPr>
                <w:sz w:val="18"/>
              </w:rPr>
            </w:pPr>
            <w:r>
              <w:rPr>
                <w:sz w:val="18"/>
              </w:rPr>
              <w:t>0.044</w:t>
            </w:r>
          </w:p>
        </w:tc>
        <w:tc>
          <w:tcPr>
            <w:tcW w:w="803" w:type="dxa"/>
            <w:tcBorders>
              <w:top w:val="nil"/>
              <w:left w:val="nil"/>
              <w:bottom w:val="nil"/>
              <w:right w:val="nil"/>
            </w:tcBorders>
          </w:tcPr>
          <w:p>
            <w:pPr>
              <w:pStyle w:val="TableParagraph"/>
              <w:spacing w:before="105"/>
              <w:ind w:left="122" w:right="171"/>
              <w:rPr>
                <w:sz w:val="12"/>
              </w:rPr>
            </w:pPr>
            <w:r>
              <w:rPr>
                <w:sz w:val="18"/>
              </w:rPr>
              <w:t>2.03</w:t>
            </w:r>
            <w:r>
              <w:rPr>
                <w:position w:val="8"/>
                <w:sz w:val="12"/>
              </w:rPr>
              <w:t>x</w:t>
            </w:r>
          </w:p>
        </w:tc>
        <w:tc>
          <w:tcPr>
            <w:tcW w:w="897" w:type="dxa"/>
            <w:tcBorders>
              <w:top w:val="nil"/>
              <w:left w:val="nil"/>
              <w:bottom w:val="nil"/>
              <w:right w:val="nil"/>
            </w:tcBorders>
          </w:tcPr>
          <w:p>
            <w:pPr>
              <w:pStyle w:val="TableParagraph"/>
              <w:spacing w:before="105"/>
              <w:ind w:left="168" w:right="218"/>
              <w:rPr>
                <w:sz w:val="12"/>
              </w:rPr>
            </w:pPr>
            <w:r>
              <w:rPr>
                <w:sz w:val="18"/>
              </w:rPr>
              <w:t>1.77</w:t>
            </w:r>
            <w:r>
              <w:rPr>
                <w:position w:val="8"/>
                <w:sz w:val="12"/>
              </w:rPr>
              <w:t>y</w:t>
            </w:r>
          </w:p>
        </w:tc>
        <w:tc>
          <w:tcPr>
            <w:tcW w:w="624" w:type="dxa"/>
            <w:tcBorders>
              <w:top w:val="nil"/>
              <w:left w:val="nil"/>
              <w:bottom w:val="nil"/>
              <w:right w:val="nil"/>
            </w:tcBorders>
          </w:tcPr>
          <w:p>
            <w:pPr>
              <w:pStyle w:val="TableParagraph"/>
              <w:spacing w:before="129"/>
              <w:ind w:right="108"/>
              <w:jc w:val="right"/>
              <w:rPr>
                <w:sz w:val="18"/>
              </w:rPr>
            </w:pPr>
            <w:r>
              <w:rPr>
                <w:sz w:val="18"/>
              </w:rPr>
              <w:t>0.036</w:t>
            </w:r>
          </w:p>
        </w:tc>
        <w:tc>
          <w:tcPr>
            <w:tcW w:w="797" w:type="dxa"/>
            <w:tcBorders>
              <w:top w:val="nil"/>
              <w:left w:val="nil"/>
              <w:bottom w:val="nil"/>
              <w:right w:val="nil"/>
            </w:tcBorders>
          </w:tcPr>
          <w:p>
            <w:pPr>
              <w:pStyle w:val="TableParagraph"/>
              <w:spacing w:before="129"/>
              <w:ind w:left="123" w:right="123"/>
              <w:rPr>
                <w:sz w:val="18"/>
              </w:rPr>
            </w:pPr>
            <w:r>
              <w:rPr>
                <w:sz w:val="18"/>
              </w:rPr>
              <w:t>0.5418</w:t>
            </w:r>
          </w:p>
        </w:tc>
        <w:tc>
          <w:tcPr>
            <w:tcW w:w="805" w:type="dxa"/>
            <w:tcBorders>
              <w:top w:val="nil"/>
              <w:left w:val="nil"/>
              <w:bottom w:val="nil"/>
              <w:right w:val="nil"/>
            </w:tcBorders>
          </w:tcPr>
          <w:p>
            <w:pPr>
              <w:pStyle w:val="TableParagraph"/>
              <w:spacing w:before="129"/>
              <w:ind w:left="129" w:right="129"/>
              <w:rPr>
                <w:sz w:val="18"/>
              </w:rPr>
            </w:pPr>
            <w:r>
              <w:rPr>
                <w:sz w:val="18"/>
              </w:rPr>
              <w:t>&lt;.0001</w:t>
            </w:r>
          </w:p>
        </w:tc>
        <w:tc>
          <w:tcPr>
            <w:tcW w:w="800" w:type="dxa"/>
            <w:tcBorders>
              <w:top w:val="nil"/>
              <w:left w:val="nil"/>
              <w:bottom w:val="nil"/>
              <w:right w:val="nil"/>
            </w:tcBorders>
          </w:tcPr>
          <w:p>
            <w:pPr>
              <w:pStyle w:val="TableParagraph"/>
              <w:spacing w:before="129"/>
              <w:ind w:left="128" w:right="134"/>
              <w:rPr>
                <w:sz w:val="18"/>
              </w:rPr>
            </w:pPr>
            <w:r>
              <w:rPr>
                <w:sz w:val="18"/>
              </w:rPr>
              <w:t>0.2595</w:t>
            </w:r>
          </w:p>
        </w:tc>
      </w:tr>
      <w:tr>
        <w:trPr>
          <w:trHeight w:val="468"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C17:0</w:t>
            </w:r>
          </w:p>
        </w:tc>
        <w:tc>
          <w:tcPr>
            <w:tcW w:w="724" w:type="dxa"/>
            <w:tcBorders>
              <w:top w:val="nil"/>
              <w:left w:val="nil"/>
              <w:bottom w:val="nil"/>
              <w:right w:val="nil"/>
            </w:tcBorders>
          </w:tcPr>
          <w:p>
            <w:pPr>
              <w:pStyle w:val="TableParagraph"/>
              <w:spacing w:before="112"/>
              <w:ind w:right="173"/>
              <w:jc w:val="right"/>
              <w:rPr>
                <w:sz w:val="12"/>
              </w:rPr>
            </w:pPr>
            <w:r>
              <w:rPr>
                <w:sz w:val="18"/>
              </w:rPr>
              <w:t>0.78</w:t>
            </w:r>
            <w:r>
              <w:rPr>
                <w:position w:val="8"/>
                <w:sz w:val="12"/>
              </w:rPr>
              <w:t>a</w:t>
            </w:r>
          </w:p>
        </w:tc>
        <w:tc>
          <w:tcPr>
            <w:tcW w:w="773" w:type="dxa"/>
            <w:tcBorders>
              <w:top w:val="nil"/>
              <w:left w:val="nil"/>
              <w:bottom w:val="nil"/>
              <w:right w:val="nil"/>
            </w:tcBorders>
          </w:tcPr>
          <w:p>
            <w:pPr>
              <w:pStyle w:val="TableParagraph"/>
              <w:spacing w:before="112"/>
              <w:ind w:left="102" w:right="102"/>
              <w:rPr>
                <w:sz w:val="12"/>
              </w:rPr>
            </w:pPr>
            <w:r>
              <w:rPr>
                <w:sz w:val="18"/>
              </w:rPr>
              <w:t>0.74</w:t>
            </w:r>
            <w:r>
              <w:rPr>
                <w:position w:val="8"/>
                <w:sz w:val="12"/>
              </w:rPr>
              <w:t>ab</w:t>
            </w:r>
          </w:p>
        </w:tc>
        <w:tc>
          <w:tcPr>
            <w:tcW w:w="697" w:type="dxa"/>
            <w:tcBorders>
              <w:top w:val="nil"/>
              <w:left w:val="nil"/>
              <w:bottom w:val="nil"/>
              <w:right w:val="nil"/>
            </w:tcBorders>
          </w:tcPr>
          <w:p>
            <w:pPr>
              <w:pStyle w:val="TableParagraph"/>
              <w:spacing w:before="112"/>
              <w:ind w:right="155"/>
              <w:jc w:val="right"/>
              <w:rPr>
                <w:sz w:val="12"/>
              </w:rPr>
            </w:pPr>
            <w:r>
              <w:rPr>
                <w:sz w:val="18"/>
              </w:rPr>
              <w:t>0.73</w:t>
            </w:r>
            <w:r>
              <w:rPr>
                <w:position w:val="8"/>
                <w:sz w:val="12"/>
              </w:rPr>
              <w:t>b</w:t>
            </w:r>
          </w:p>
        </w:tc>
        <w:tc>
          <w:tcPr>
            <w:tcW w:w="936" w:type="dxa"/>
            <w:tcBorders>
              <w:top w:val="nil"/>
              <w:left w:val="nil"/>
              <w:bottom w:val="nil"/>
              <w:right w:val="nil"/>
            </w:tcBorders>
          </w:tcPr>
          <w:p>
            <w:pPr>
              <w:pStyle w:val="TableParagraph"/>
              <w:spacing w:before="136"/>
              <w:ind w:left="153"/>
              <w:jc w:val="left"/>
              <w:rPr>
                <w:sz w:val="18"/>
              </w:rPr>
            </w:pPr>
            <w:r>
              <w:rPr>
                <w:sz w:val="18"/>
              </w:rPr>
              <w:t>0.011</w:t>
            </w:r>
          </w:p>
        </w:tc>
        <w:tc>
          <w:tcPr>
            <w:tcW w:w="803" w:type="dxa"/>
            <w:tcBorders>
              <w:top w:val="nil"/>
              <w:left w:val="nil"/>
              <w:bottom w:val="nil"/>
              <w:right w:val="nil"/>
            </w:tcBorders>
          </w:tcPr>
          <w:p>
            <w:pPr>
              <w:pStyle w:val="TableParagraph"/>
              <w:spacing w:before="136"/>
              <w:ind w:left="124" w:right="171"/>
              <w:rPr>
                <w:sz w:val="18"/>
              </w:rPr>
            </w:pPr>
            <w:r>
              <w:rPr>
                <w:sz w:val="18"/>
              </w:rPr>
              <w:t>0.76</w:t>
            </w:r>
          </w:p>
        </w:tc>
        <w:tc>
          <w:tcPr>
            <w:tcW w:w="897" w:type="dxa"/>
            <w:tcBorders>
              <w:top w:val="nil"/>
              <w:left w:val="nil"/>
              <w:bottom w:val="nil"/>
              <w:right w:val="nil"/>
            </w:tcBorders>
          </w:tcPr>
          <w:p>
            <w:pPr>
              <w:pStyle w:val="TableParagraph"/>
              <w:spacing w:before="136"/>
              <w:ind w:left="171" w:right="218"/>
              <w:rPr>
                <w:sz w:val="18"/>
              </w:rPr>
            </w:pPr>
            <w:r>
              <w:rPr>
                <w:sz w:val="18"/>
              </w:rPr>
              <w:t>0.74</w:t>
            </w:r>
          </w:p>
        </w:tc>
        <w:tc>
          <w:tcPr>
            <w:tcW w:w="624" w:type="dxa"/>
            <w:tcBorders>
              <w:top w:val="nil"/>
              <w:left w:val="nil"/>
              <w:bottom w:val="nil"/>
              <w:right w:val="nil"/>
            </w:tcBorders>
          </w:tcPr>
          <w:p>
            <w:pPr>
              <w:pStyle w:val="TableParagraph"/>
              <w:spacing w:before="136"/>
              <w:ind w:right="108"/>
              <w:jc w:val="right"/>
              <w:rPr>
                <w:sz w:val="18"/>
              </w:rPr>
            </w:pPr>
            <w:r>
              <w:rPr>
                <w:sz w:val="18"/>
              </w:rPr>
              <w:t>0.009</w:t>
            </w:r>
          </w:p>
        </w:tc>
        <w:tc>
          <w:tcPr>
            <w:tcW w:w="797" w:type="dxa"/>
            <w:tcBorders>
              <w:top w:val="nil"/>
              <w:left w:val="nil"/>
              <w:bottom w:val="nil"/>
              <w:right w:val="nil"/>
            </w:tcBorders>
          </w:tcPr>
          <w:p>
            <w:pPr>
              <w:pStyle w:val="TableParagraph"/>
              <w:spacing w:before="136"/>
              <w:ind w:left="123" w:right="123"/>
              <w:rPr>
                <w:sz w:val="18"/>
              </w:rPr>
            </w:pPr>
            <w:r>
              <w:rPr>
                <w:sz w:val="18"/>
              </w:rPr>
              <w:t>0.0009</w:t>
            </w:r>
          </w:p>
        </w:tc>
        <w:tc>
          <w:tcPr>
            <w:tcW w:w="805" w:type="dxa"/>
            <w:tcBorders>
              <w:top w:val="nil"/>
              <w:left w:val="nil"/>
              <w:bottom w:val="nil"/>
              <w:right w:val="nil"/>
            </w:tcBorders>
          </w:tcPr>
          <w:p>
            <w:pPr>
              <w:pStyle w:val="TableParagraph"/>
              <w:spacing w:before="136"/>
              <w:ind w:left="124" w:right="129"/>
              <w:rPr>
                <w:sz w:val="18"/>
              </w:rPr>
            </w:pPr>
            <w:r>
              <w:rPr>
                <w:sz w:val="18"/>
              </w:rPr>
              <w:t>0.1797</w:t>
            </w:r>
          </w:p>
        </w:tc>
        <w:tc>
          <w:tcPr>
            <w:tcW w:w="800" w:type="dxa"/>
            <w:tcBorders>
              <w:top w:val="nil"/>
              <w:left w:val="nil"/>
              <w:bottom w:val="nil"/>
              <w:right w:val="nil"/>
            </w:tcBorders>
          </w:tcPr>
          <w:p>
            <w:pPr>
              <w:pStyle w:val="TableParagraph"/>
              <w:spacing w:before="136"/>
              <w:ind w:left="128" w:right="134"/>
              <w:rPr>
                <w:sz w:val="18"/>
              </w:rPr>
            </w:pPr>
            <w:r>
              <w:rPr>
                <w:sz w:val="18"/>
              </w:rPr>
              <w:t>0.0688</w:t>
            </w:r>
          </w:p>
        </w:tc>
      </w:tr>
      <w:tr>
        <w:trPr>
          <w:trHeight w:val="458" w:hRule="exact"/>
        </w:trPr>
        <w:tc>
          <w:tcPr>
            <w:tcW w:w="1206" w:type="dxa"/>
            <w:tcBorders>
              <w:top w:val="nil"/>
              <w:left w:val="nil"/>
              <w:bottom w:val="nil"/>
              <w:right w:val="nil"/>
            </w:tcBorders>
          </w:tcPr>
          <w:p>
            <w:pPr>
              <w:pStyle w:val="TableParagraph"/>
              <w:spacing w:before="138"/>
              <w:ind w:left="110" w:right="140"/>
              <w:jc w:val="left"/>
              <w:rPr>
                <w:sz w:val="18"/>
              </w:rPr>
            </w:pPr>
            <w:r>
              <w:rPr>
                <w:sz w:val="18"/>
              </w:rPr>
              <w:t>C17:1</w:t>
            </w:r>
          </w:p>
        </w:tc>
        <w:tc>
          <w:tcPr>
            <w:tcW w:w="724" w:type="dxa"/>
            <w:tcBorders>
              <w:top w:val="nil"/>
              <w:left w:val="nil"/>
              <w:bottom w:val="nil"/>
              <w:right w:val="nil"/>
            </w:tcBorders>
          </w:tcPr>
          <w:p>
            <w:pPr>
              <w:pStyle w:val="TableParagraph"/>
              <w:spacing w:before="114"/>
              <w:ind w:right="173"/>
              <w:jc w:val="right"/>
              <w:rPr>
                <w:sz w:val="12"/>
              </w:rPr>
            </w:pPr>
            <w:r>
              <w:rPr>
                <w:sz w:val="18"/>
              </w:rPr>
              <w:t>0.27</w:t>
            </w:r>
            <w:r>
              <w:rPr>
                <w:position w:val="8"/>
                <w:sz w:val="12"/>
              </w:rPr>
              <w:t>a</w:t>
            </w:r>
          </w:p>
        </w:tc>
        <w:tc>
          <w:tcPr>
            <w:tcW w:w="773" w:type="dxa"/>
            <w:tcBorders>
              <w:top w:val="nil"/>
              <w:left w:val="nil"/>
              <w:bottom w:val="nil"/>
              <w:right w:val="nil"/>
            </w:tcBorders>
          </w:tcPr>
          <w:p>
            <w:pPr>
              <w:pStyle w:val="TableParagraph"/>
              <w:spacing w:before="114"/>
              <w:ind w:left="111" w:right="102"/>
              <w:rPr>
                <w:sz w:val="12"/>
              </w:rPr>
            </w:pPr>
            <w:r>
              <w:rPr>
                <w:sz w:val="18"/>
              </w:rPr>
              <w:t>0.25</w:t>
            </w:r>
            <w:r>
              <w:rPr>
                <w:position w:val="8"/>
                <w:sz w:val="12"/>
              </w:rPr>
              <w:t>b</w:t>
            </w:r>
          </w:p>
        </w:tc>
        <w:tc>
          <w:tcPr>
            <w:tcW w:w="697" w:type="dxa"/>
            <w:tcBorders>
              <w:top w:val="nil"/>
              <w:left w:val="nil"/>
              <w:bottom w:val="nil"/>
              <w:right w:val="nil"/>
            </w:tcBorders>
          </w:tcPr>
          <w:p>
            <w:pPr>
              <w:pStyle w:val="TableParagraph"/>
              <w:spacing w:before="114"/>
              <w:ind w:right="151"/>
              <w:jc w:val="right"/>
              <w:rPr>
                <w:sz w:val="12"/>
              </w:rPr>
            </w:pPr>
            <w:r>
              <w:rPr>
                <w:sz w:val="18"/>
              </w:rPr>
              <w:t>0.22</w:t>
            </w:r>
            <w:r>
              <w:rPr>
                <w:position w:val="8"/>
                <w:sz w:val="12"/>
              </w:rPr>
              <w:t>c</w:t>
            </w:r>
          </w:p>
        </w:tc>
        <w:tc>
          <w:tcPr>
            <w:tcW w:w="936" w:type="dxa"/>
            <w:tcBorders>
              <w:top w:val="nil"/>
              <w:left w:val="nil"/>
              <w:bottom w:val="nil"/>
              <w:right w:val="nil"/>
            </w:tcBorders>
          </w:tcPr>
          <w:p>
            <w:pPr>
              <w:pStyle w:val="TableParagraph"/>
              <w:spacing w:before="138"/>
              <w:ind w:left="153"/>
              <w:jc w:val="left"/>
              <w:rPr>
                <w:sz w:val="18"/>
              </w:rPr>
            </w:pPr>
            <w:r>
              <w:rPr>
                <w:sz w:val="18"/>
              </w:rPr>
              <w:t>0.007</w:t>
            </w:r>
          </w:p>
        </w:tc>
        <w:tc>
          <w:tcPr>
            <w:tcW w:w="803" w:type="dxa"/>
            <w:tcBorders>
              <w:top w:val="nil"/>
              <w:left w:val="nil"/>
              <w:bottom w:val="nil"/>
              <w:right w:val="nil"/>
            </w:tcBorders>
          </w:tcPr>
          <w:p>
            <w:pPr>
              <w:pStyle w:val="TableParagraph"/>
              <w:spacing w:before="114"/>
              <w:ind w:left="122" w:right="171"/>
              <w:rPr>
                <w:sz w:val="12"/>
              </w:rPr>
            </w:pPr>
            <w:r>
              <w:rPr>
                <w:sz w:val="18"/>
              </w:rPr>
              <w:t>0.26</w:t>
            </w:r>
            <w:r>
              <w:rPr>
                <w:position w:val="8"/>
                <w:sz w:val="12"/>
              </w:rPr>
              <w:t>x</w:t>
            </w:r>
          </w:p>
        </w:tc>
        <w:tc>
          <w:tcPr>
            <w:tcW w:w="897" w:type="dxa"/>
            <w:tcBorders>
              <w:top w:val="nil"/>
              <w:left w:val="nil"/>
              <w:bottom w:val="nil"/>
              <w:right w:val="nil"/>
            </w:tcBorders>
          </w:tcPr>
          <w:p>
            <w:pPr>
              <w:pStyle w:val="TableParagraph"/>
              <w:spacing w:before="114"/>
              <w:ind w:left="168" w:right="218"/>
              <w:rPr>
                <w:sz w:val="12"/>
              </w:rPr>
            </w:pPr>
            <w:r>
              <w:rPr>
                <w:sz w:val="18"/>
              </w:rPr>
              <w:t>0.23</w:t>
            </w:r>
            <w:r>
              <w:rPr>
                <w:position w:val="8"/>
                <w:sz w:val="12"/>
              </w:rPr>
              <w:t>y</w:t>
            </w:r>
          </w:p>
        </w:tc>
        <w:tc>
          <w:tcPr>
            <w:tcW w:w="624" w:type="dxa"/>
            <w:tcBorders>
              <w:top w:val="nil"/>
              <w:left w:val="nil"/>
              <w:bottom w:val="nil"/>
              <w:right w:val="nil"/>
            </w:tcBorders>
          </w:tcPr>
          <w:p>
            <w:pPr>
              <w:pStyle w:val="TableParagraph"/>
              <w:spacing w:before="138"/>
              <w:ind w:right="108"/>
              <w:jc w:val="right"/>
              <w:rPr>
                <w:sz w:val="18"/>
              </w:rPr>
            </w:pPr>
            <w:r>
              <w:rPr>
                <w:sz w:val="18"/>
              </w:rPr>
              <w:t>0.006</w:t>
            </w:r>
          </w:p>
        </w:tc>
        <w:tc>
          <w:tcPr>
            <w:tcW w:w="797" w:type="dxa"/>
            <w:tcBorders>
              <w:top w:val="nil"/>
              <w:left w:val="nil"/>
              <w:bottom w:val="nil"/>
              <w:right w:val="nil"/>
            </w:tcBorders>
          </w:tcPr>
          <w:p>
            <w:pPr>
              <w:pStyle w:val="TableParagraph"/>
              <w:spacing w:before="138"/>
              <w:ind w:left="123" w:right="126"/>
              <w:rPr>
                <w:sz w:val="18"/>
              </w:rPr>
            </w:pPr>
            <w:r>
              <w:rPr>
                <w:sz w:val="18"/>
              </w:rPr>
              <w:t>&lt;.0001</w:t>
            </w:r>
          </w:p>
        </w:tc>
        <w:tc>
          <w:tcPr>
            <w:tcW w:w="805" w:type="dxa"/>
            <w:tcBorders>
              <w:top w:val="nil"/>
              <w:left w:val="nil"/>
              <w:bottom w:val="nil"/>
              <w:right w:val="nil"/>
            </w:tcBorders>
          </w:tcPr>
          <w:p>
            <w:pPr>
              <w:pStyle w:val="TableParagraph"/>
              <w:spacing w:before="138"/>
              <w:ind w:left="124" w:right="129"/>
              <w:rPr>
                <w:sz w:val="18"/>
              </w:rPr>
            </w:pPr>
            <w:r>
              <w:rPr>
                <w:sz w:val="18"/>
              </w:rPr>
              <w:t>0.0040</w:t>
            </w:r>
          </w:p>
        </w:tc>
        <w:tc>
          <w:tcPr>
            <w:tcW w:w="800" w:type="dxa"/>
            <w:tcBorders>
              <w:top w:val="nil"/>
              <w:left w:val="nil"/>
              <w:bottom w:val="nil"/>
              <w:right w:val="nil"/>
            </w:tcBorders>
          </w:tcPr>
          <w:p>
            <w:pPr>
              <w:pStyle w:val="TableParagraph"/>
              <w:spacing w:before="138"/>
              <w:ind w:left="128" w:right="134"/>
              <w:rPr>
                <w:sz w:val="18"/>
              </w:rPr>
            </w:pPr>
            <w:r>
              <w:rPr>
                <w:sz w:val="18"/>
              </w:rPr>
              <w:t>0.0119</w:t>
            </w:r>
          </w:p>
        </w:tc>
      </w:tr>
      <w:tr>
        <w:trPr>
          <w:trHeight w:val="474" w:hRule="exact"/>
        </w:trPr>
        <w:tc>
          <w:tcPr>
            <w:tcW w:w="1206" w:type="dxa"/>
            <w:tcBorders>
              <w:top w:val="nil"/>
              <w:left w:val="nil"/>
              <w:bottom w:val="nil"/>
              <w:right w:val="nil"/>
            </w:tcBorders>
          </w:tcPr>
          <w:p>
            <w:pPr>
              <w:pStyle w:val="TableParagraph"/>
              <w:spacing w:before="126"/>
              <w:ind w:left="110" w:right="140"/>
              <w:jc w:val="left"/>
              <w:rPr>
                <w:sz w:val="18"/>
              </w:rPr>
            </w:pPr>
            <w:r>
              <w:rPr>
                <w:sz w:val="18"/>
              </w:rPr>
              <w:t>C18:0</w:t>
            </w:r>
          </w:p>
        </w:tc>
        <w:tc>
          <w:tcPr>
            <w:tcW w:w="724" w:type="dxa"/>
            <w:tcBorders>
              <w:top w:val="nil"/>
              <w:left w:val="nil"/>
              <w:bottom w:val="nil"/>
              <w:right w:val="nil"/>
            </w:tcBorders>
          </w:tcPr>
          <w:p>
            <w:pPr>
              <w:pStyle w:val="TableParagraph"/>
              <w:spacing w:before="102"/>
              <w:ind w:right="130"/>
              <w:jc w:val="right"/>
              <w:rPr>
                <w:sz w:val="12"/>
              </w:rPr>
            </w:pPr>
            <w:r>
              <w:rPr>
                <w:sz w:val="18"/>
              </w:rPr>
              <w:t>12.68</w:t>
            </w:r>
            <w:r>
              <w:rPr>
                <w:position w:val="8"/>
                <w:sz w:val="12"/>
              </w:rPr>
              <w:t>a</w:t>
            </w:r>
          </w:p>
        </w:tc>
        <w:tc>
          <w:tcPr>
            <w:tcW w:w="773" w:type="dxa"/>
            <w:tcBorders>
              <w:top w:val="nil"/>
              <w:left w:val="nil"/>
              <w:bottom w:val="nil"/>
              <w:right w:val="nil"/>
            </w:tcBorders>
          </w:tcPr>
          <w:p>
            <w:pPr>
              <w:pStyle w:val="TableParagraph"/>
              <w:spacing w:before="102"/>
              <w:ind w:left="107" w:right="102"/>
              <w:rPr>
                <w:sz w:val="12"/>
              </w:rPr>
            </w:pPr>
            <w:r>
              <w:rPr>
                <w:sz w:val="18"/>
              </w:rPr>
              <w:t>11.90</w:t>
            </w:r>
            <w:r>
              <w:rPr>
                <w:position w:val="8"/>
                <w:sz w:val="12"/>
              </w:rPr>
              <w:t>b</w:t>
            </w:r>
          </w:p>
        </w:tc>
        <w:tc>
          <w:tcPr>
            <w:tcW w:w="697" w:type="dxa"/>
            <w:tcBorders>
              <w:top w:val="nil"/>
              <w:left w:val="nil"/>
              <w:bottom w:val="nil"/>
              <w:right w:val="nil"/>
            </w:tcBorders>
          </w:tcPr>
          <w:p>
            <w:pPr>
              <w:pStyle w:val="TableParagraph"/>
              <w:spacing w:before="102"/>
              <w:ind w:right="107"/>
              <w:jc w:val="right"/>
              <w:rPr>
                <w:sz w:val="12"/>
              </w:rPr>
            </w:pPr>
            <w:r>
              <w:rPr>
                <w:sz w:val="18"/>
              </w:rPr>
              <w:t>10.64</w:t>
            </w:r>
            <w:r>
              <w:rPr>
                <w:position w:val="8"/>
                <w:sz w:val="12"/>
              </w:rPr>
              <w:t>c</w:t>
            </w:r>
          </w:p>
        </w:tc>
        <w:tc>
          <w:tcPr>
            <w:tcW w:w="936" w:type="dxa"/>
            <w:tcBorders>
              <w:top w:val="nil"/>
              <w:left w:val="nil"/>
              <w:bottom w:val="nil"/>
              <w:right w:val="nil"/>
            </w:tcBorders>
          </w:tcPr>
          <w:p>
            <w:pPr>
              <w:pStyle w:val="TableParagraph"/>
              <w:spacing w:before="126"/>
              <w:ind w:left="153"/>
              <w:jc w:val="left"/>
              <w:rPr>
                <w:sz w:val="18"/>
              </w:rPr>
            </w:pPr>
            <w:r>
              <w:rPr>
                <w:sz w:val="18"/>
              </w:rPr>
              <w:t>0.235</w:t>
            </w:r>
          </w:p>
        </w:tc>
        <w:tc>
          <w:tcPr>
            <w:tcW w:w="803" w:type="dxa"/>
            <w:tcBorders>
              <w:top w:val="nil"/>
              <w:left w:val="nil"/>
              <w:bottom w:val="nil"/>
              <w:right w:val="nil"/>
            </w:tcBorders>
          </w:tcPr>
          <w:p>
            <w:pPr>
              <w:pStyle w:val="TableParagraph"/>
              <w:spacing w:before="126"/>
              <w:ind w:left="124" w:right="171"/>
              <w:rPr>
                <w:sz w:val="18"/>
              </w:rPr>
            </w:pPr>
            <w:r>
              <w:rPr>
                <w:sz w:val="18"/>
              </w:rPr>
              <w:t>11.79</w:t>
            </w:r>
          </w:p>
        </w:tc>
        <w:tc>
          <w:tcPr>
            <w:tcW w:w="897" w:type="dxa"/>
            <w:tcBorders>
              <w:top w:val="nil"/>
              <w:left w:val="nil"/>
              <w:bottom w:val="nil"/>
              <w:right w:val="nil"/>
            </w:tcBorders>
          </w:tcPr>
          <w:p>
            <w:pPr>
              <w:pStyle w:val="TableParagraph"/>
              <w:spacing w:before="126"/>
              <w:ind w:left="171" w:right="218"/>
              <w:rPr>
                <w:sz w:val="18"/>
              </w:rPr>
            </w:pPr>
            <w:r>
              <w:rPr>
                <w:sz w:val="18"/>
              </w:rPr>
              <w:t>11.66</w:t>
            </w:r>
          </w:p>
        </w:tc>
        <w:tc>
          <w:tcPr>
            <w:tcW w:w="624" w:type="dxa"/>
            <w:tcBorders>
              <w:top w:val="nil"/>
              <w:left w:val="nil"/>
              <w:bottom w:val="nil"/>
              <w:right w:val="nil"/>
            </w:tcBorders>
          </w:tcPr>
          <w:p>
            <w:pPr>
              <w:pStyle w:val="TableParagraph"/>
              <w:spacing w:before="126"/>
              <w:ind w:right="108"/>
              <w:jc w:val="right"/>
              <w:rPr>
                <w:sz w:val="18"/>
              </w:rPr>
            </w:pPr>
            <w:r>
              <w:rPr>
                <w:sz w:val="18"/>
              </w:rPr>
              <w:t>0.193</w:t>
            </w:r>
          </w:p>
        </w:tc>
        <w:tc>
          <w:tcPr>
            <w:tcW w:w="797" w:type="dxa"/>
            <w:tcBorders>
              <w:top w:val="nil"/>
              <w:left w:val="nil"/>
              <w:bottom w:val="nil"/>
              <w:right w:val="nil"/>
            </w:tcBorders>
          </w:tcPr>
          <w:p>
            <w:pPr>
              <w:pStyle w:val="TableParagraph"/>
              <w:spacing w:before="126"/>
              <w:ind w:left="123" w:right="126"/>
              <w:rPr>
                <w:sz w:val="18"/>
              </w:rPr>
            </w:pPr>
            <w:r>
              <w:rPr>
                <w:sz w:val="18"/>
              </w:rPr>
              <w:t>&lt;.0001</w:t>
            </w:r>
          </w:p>
        </w:tc>
        <w:tc>
          <w:tcPr>
            <w:tcW w:w="805" w:type="dxa"/>
            <w:tcBorders>
              <w:top w:val="nil"/>
              <w:left w:val="nil"/>
              <w:bottom w:val="nil"/>
              <w:right w:val="nil"/>
            </w:tcBorders>
          </w:tcPr>
          <w:p>
            <w:pPr>
              <w:pStyle w:val="TableParagraph"/>
              <w:spacing w:before="126"/>
              <w:ind w:left="124" w:right="129"/>
              <w:rPr>
                <w:sz w:val="18"/>
              </w:rPr>
            </w:pPr>
            <w:r>
              <w:rPr>
                <w:sz w:val="18"/>
              </w:rPr>
              <w:t>0.6414</w:t>
            </w:r>
          </w:p>
        </w:tc>
        <w:tc>
          <w:tcPr>
            <w:tcW w:w="800" w:type="dxa"/>
            <w:tcBorders>
              <w:top w:val="nil"/>
              <w:left w:val="nil"/>
              <w:bottom w:val="nil"/>
              <w:right w:val="nil"/>
            </w:tcBorders>
          </w:tcPr>
          <w:p>
            <w:pPr>
              <w:pStyle w:val="TableParagraph"/>
              <w:spacing w:before="126"/>
              <w:ind w:left="128" w:right="134"/>
              <w:rPr>
                <w:sz w:val="18"/>
              </w:rPr>
            </w:pPr>
            <w:r>
              <w:rPr>
                <w:sz w:val="18"/>
              </w:rPr>
              <w:t>0.2053</w:t>
            </w:r>
          </w:p>
        </w:tc>
      </w:tr>
      <w:tr>
        <w:trPr>
          <w:trHeight w:val="453" w:hRule="exact"/>
        </w:trPr>
        <w:tc>
          <w:tcPr>
            <w:tcW w:w="1206" w:type="dxa"/>
            <w:tcBorders>
              <w:top w:val="nil"/>
              <w:left w:val="nil"/>
              <w:bottom w:val="nil"/>
              <w:right w:val="nil"/>
            </w:tcBorders>
          </w:tcPr>
          <w:p>
            <w:pPr>
              <w:pStyle w:val="TableParagraph"/>
              <w:spacing w:before="122"/>
              <w:ind w:left="110" w:right="140"/>
              <w:jc w:val="left"/>
              <w:rPr>
                <w:sz w:val="18"/>
              </w:rPr>
            </w:pPr>
            <w:r>
              <w:rPr>
                <w:sz w:val="18"/>
              </w:rPr>
              <w:t>C18:1t11</w:t>
            </w:r>
          </w:p>
        </w:tc>
        <w:tc>
          <w:tcPr>
            <w:tcW w:w="724" w:type="dxa"/>
            <w:tcBorders>
              <w:top w:val="nil"/>
              <w:left w:val="nil"/>
              <w:bottom w:val="nil"/>
              <w:right w:val="nil"/>
            </w:tcBorders>
          </w:tcPr>
          <w:p>
            <w:pPr>
              <w:pStyle w:val="TableParagraph"/>
              <w:spacing w:before="122"/>
              <w:ind w:right="198"/>
              <w:jc w:val="right"/>
              <w:rPr>
                <w:sz w:val="18"/>
              </w:rPr>
            </w:pPr>
            <w:r>
              <w:rPr>
                <w:sz w:val="18"/>
              </w:rPr>
              <w:t>2.39</w:t>
            </w:r>
          </w:p>
        </w:tc>
        <w:tc>
          <w:tcPr>
            <w:tcW w:w="773" w:type="dxa"/>
            <w:tcBorders>
              <w:top w:val="nil"/>
              <w:left w:val="nil"/>
              <w:bottom w:val="nil"/>
              <w:right w:val="nil"/>
            </w:tcBorders>
          </w:tcPr>
          <w:p>
            <w:pPr>
              <w:pStyle w:val="TableParagraph"/>
              <w:spacing w:before="122"/>
              <w:ind w:left="111" w:right="100"/>
              <w:rPr>
                <w:sz w:val="18"/>
              </w:rPr>
            </w:pPr>
            <w:r>
              <w:rPr>
                <w:sz w:val="18"/>
              </w:rPr>
              <w:t>2.19</w:t>
            </w:r>
          </w:p>
        </w:tc>
        <w:tc>
          <w:tcPr>
            <w:tcW w:w="697" w:type="dxa"/>
            <w:tcBorders>
              <w:top w:val="nil"/>
              <w:left w:val="nil"/>
              <w:bottom w:val="nil"/>
              <w:right w:val="nil"/>
            </w:tcBorders>
          </w:tcPr>
          <w:p>
            <w:pPr>
              <w:pStyle w:val="TableParagraph"/>
              <w:spacing w:before="122"/>
              <w:ind w:left="193"/>
              <w:jc w:val="left"/>
              <w:rPr>
                <w:sz w:val="18"/>
              </w:rPr>
            </w:pPr>
            <w:r>
              <w:rPr>
                <w:sz w:val="18"/>
              </w:rPr>
              <w:t>2.19</w:t>
            </w:r>
          </w:p>
        </w:tc>
        <w:tc>
          <w:tcPr>
            <w:tcW w:w="936" w:type="dxa"/>
            <w:tcBorders>
              <w:top w:val="nil"/>
              <w:left w:val="nil"/>
              <w:bottom w:val="nil"/>
              <w:right w:val="nil"/>
            </w:tcBorders>
          </w:tcPr>
          <w:p>
            <w:pPr>
              <w:pStyle w:val="TableParagraph"/>
              <w:spacing w:before="122"/>
              <w:ind w:left="153"/>
              <w:jc w:val="left"/>
              <w:rPr>
                <w:sz w:val="18"/>
              </w:rPr>
            </w:pPr>
            <w:r>
              <w:rPr>
                <w:sz w:val="18"/>
              </w:rPr>
              <w:t>0.087</w:t>
            </w:r>
          </w:p>
        </w:tc>
        <w:tc>
          <w:tcPr>
            <w:tcW w:w="803" w:type="dxa"/>
            <w:tcBorders>
              <w:top w:val="nil"/>
              <w:left w:val="nil"/>
              <w:bottom w:val="nil"/>
              <w:right w:val="nil"/>
            </w:tcBorders>
          </w:tcPr>
          <w:p>
            <w:pPr>
              <w:pStyle w:val="TableParagraph"/>
              <w:spacing w:before="122"/>
              <w:ind w:left="124" w:right="171"/>
              <w:rPr>
                <w:sz w:val="18"/>
              </w:rPr>
            </w:pPr>
            <w:r>
              <w:rPr>
                <w:sz w:val="18"/>
              </w:rPr>
              <w:t>2.29</w:t>
            </w:r>
          </w:p>
        </w:tc>
        <w:tc>
          <w:tcPr>
            <w:tcW w:w="897" w:type="dxa"/>
            <w:tcBorders>
              <w:top w:val="nil"/>
              <w:left w:val="nil"/>
              <w:bottom w:val="nil"/>
              <w:right w:val="nil"/>
            </w:tcBorders>
          </w:tcPr>
          <w:p>
            <w:pPr>
              <w:pStyle w:val="TableParagraph"/>
              <w:spacing w:before="122"/>
              <w:ind w:left="171" w:right="218"/>
              <w:rPr>
                <w:sz w:val="18"/>
              </w:rPr>
            </w:pPr>
            <w:r>
              <w:rPr>
                <w:sz w:val="18"/>
              </w:rPr>
              <w:t>2.19</w:t>
            </w:r>
          </w:p>
        </w:tc>
        <w:tc>
          <w:tcPr>
            <w:tcW w:w="624" w:type="dxa"/>
            <w:tcBorders>
              <w:top w:val="nil"/>
              <w:left w:val="nil"/>
              <w:bottom w:val="nil"/>
              <w:right w:val="nil"/>
            </w:tcBorders>
          </w:tcPr>
          <w:p>
            <w:pPr>
              <w:pStyle w:val="TableParagraph"/>
              <w:spacing w:before="122"/>
              <w:ind w:right="108"/>
              <w:jc w:val="right"/>
              <w:rPr>
                <w:sz w:val="18"/>
              </w:rPr>
            </w:pPr>
            <w:r>
              <w:rPr>
                <w:sz w:val="18"/>
              </w:rPr>
              <w:t>0.071</w:t>
            </w:r>
          </w:p>
        </w:tc>
        <w:tc>
          <w:tcPr>
            <w:tcW w:w="797" w:type="dxa"/>
            <w:tcBorders>
              <w:top w:val="nil"/>
              <w:left w:val="nil"/>
              <w:bottom w:val="nil"/>
              <w:right w:val="nil"/>
            </w:tcBorders>
          </w:tcPr>
          <w:p>
            <w:pPr>
              <w:pStyle w:val="TableParagraph"/>
              <w:spacing w:before="122"/>
              <w:ind w:left="123" w:right="123"/>
              <w:rPr>
                <w:sz w:val="18"/>
              </w:rPr>
            </w:pPr>
            <w:r>
              <w:rPr>
                <w:sz w:val="18"/>
              </w:rPr>
              <w:t>0.2164</w:t>
            </w:r>
          </w:p>
        </w:tc>
        <w:tc>
          <w:tcPr>
            <w:tcW w:w="805" w:type="dxa"/>
            <w:tcBorders>
              <w:top w:val="nil"/>
              <w:left w:val="nil"/>
              <w:bottom w:val="nil"/>
              <w:right w:val="nil"/>
            </w:tcBorders>
          </w:tcPr>
          <w:p>
            <w:pPr>
              <w:pStyle w:val="TableParagraph"/>
              <w:spacing w:before="122"/>
              <w:ind w:left="124" w:right="129"/>
              <w:rPr>
                <w:sz w:val="18"/>
              </w:rPr>
            </w:pPr>
            <w:r>
              <w:rPr>
                <w:sz w:val="18"/>
              </w:rPr>
              <w:t>0.3088</w:t>
            </w:r>
          </w:p>
        </w:tc>
        <w:tc>
          <w:tcPr>
            <w:tcW w:w="800" w:type="dxa"/>
            <w:tcBorders>
              <w:top w:val="nil"/>
              <w:left w:val="nil"/>
              <w:bottom w:val="nil"/>
              <w:right w:val="nil"/>
            </w:tcBorders>
          </w:tcPr>
          <w:p>
            <w:pPr>
              <w:pStyle w:val="TableParagraph"/>
              <w:spacing w:before="122"/>
              <w:ind w:left="128" w:right="134"/>
              <w:rPr>
                <w:sz w:val="18"/>
              </w:rPr>
            </w:pPr>
            <w:r>
              <w:rPr>
                <w:sz w:val="18"/>
              </w:rPr>
              <w:t>0.6476</w:t>
            </w:r>
          </w:p>
        </w:tc>
      </w:tr>
      <w:tr>
        <w:trPr>
          <w:trHeight w:val="459"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C18:1n9c</w:t>
            </w:r>
          </w:p>
        </w:tc>
        <w:tc>
          <w:tcPr>
            <w:tcW w:w="724" w:type="dxa"/>
            <w:tcBorders>
              <w:top w:val="nil"/>
              <w:left w:val="nil"/>
              <w:bottom w:val="nil"/>
              <w:right w:val="nil"/>
            </w:tcBorders>
          </w:tcPr>
          <w:p>
            <w:pPr>
              <w:pStyle w:val="TableParagraph"/>
              <w:spacing w:before="112"/>
              <w:ind w:right="130"/>
              <w:jc w:val="right"/>
              <w:rPr>
                <w:sz w:val="12"/>
              </w:rPr>
            </w:pPr>
            <w:r>
              <w:rPr>
                <w:sz w:val="18"/>
              </w:rPr>
              <w:t>23.13</w:t>
            </w:r>
            <w:r>
              <w:rPr>
                <w:position w:val="8"/>
                <w:sz w:val="12"/>
              </w:rPr>
              <w:t>a</w:t>
            </w:r>
          </w:p>
        </w:tc>
        <w:tc>
          <w:tcPr>
            <w:tcW w:w="773" w:type="dxa"/>
            <w:tcBorders>
              <w:top w:val="nil"/>
              <w:left w:val="nil"/>
              <w:bottom w:val="nil"/>
              <w:right w:val="nil"/>
            </w:tcBorders>
          </w:tcPr>
          <w:p>
            <w:pPr>
              <w:pStyle w:val="TableParagraph"/>
              <w:spacing w:before="112"/>
              <w:ind w:left="111" w:right="102"/>
              <w:rPr>
                <w:sz w:val="12"/>
              </w:rPr>
            </w:pPr>
            <w:r>
              <w:rPr>
                <w:sz w:val="18"/>
              </w:rPr>
              <w:t>21.92</w:t>
            </w:r>
            <w:r>
              <w:rPr>
                <w:position w:val="8"/>
                <w:sz w:val="12"/>
              </w:rPr>
              <w:t>ab</w:t>
            </w:r>
          </w:p>
        </w:tc>
        <w:tc>
          <w:tcPr>
            <w:tcW w:w="697" w:type="dxa"/>
            <w:tcBorders>
              <w:top w:val="nil"/>
              <w:left w:val="nil"/>
              <w:bottom w:val="nil"/>
              <w:right w:val="nil"/>
            </w:tcBorders>
          </w:tcPr>
          <w:p>
            <w:pPr>
              <w:pStyle w:val="TableParagraph"/>
              <w:spacing w:before="112"/>
              <w:ind w:right="107"/>
              <w:jc w:val="right"/>
              <w:rPr>
                <w:sz w:val="12"/>
              </w:rPr>
            </w:pPr>
            <w:r>
              <w:rPr>
                <w:sz w:val="18"/>
              </w:rPr>
              <w:t>20.82</w:t>
            </w:r>
            <w:r>
              <w:rPr>
                <w:position w:val="8"/>
                <w:sz w:val="12"/>
              </w:rPr>
              <w:t>b</w:t>
            </w:r>
          </w:p>
        </w:tc>
        <w:tc>
          <w:tcPr>
            <w:tcW w:w="936" w:type="dxa"/>
            <w:tcBorders>
              <w:top w:val="nil"/>
              <w:left w:val="nil"/>
              <w:bottom w:val="nil"/>
              <w:right w:val="nil"/>
            </w:tcBorders>
          </w:tcPr>
          <w:p>
            <w:pPr>
              <w:pStyle w:val="TableParagraph"/>
              <w:spacing w:before="136"/>
              <w:ind w:left="153"/>
              <w:jc w:val="left"/>
              <w:rPr>
                <w:sz w:val="18"/>
              </w:rPr>
            </w:pPr>
            <w:r>
              <w:rPr>
                <w:sz w:val="18"/>
              </w:rPr>
              <w:t>0.438</w:t>
            </w:r>
          </w:p>
        </w:tc>
        <w:tc>
          <w:tcPr>
            <w:tcW w:w="803" w:type="dxa"/>
            <w:tcBorders>
              <w:top w:val="nil"/>
              <w:left w:val="nil"/>
              <w:bottom w:val="nil"/>
              <w:right w:val="nil"/>
            </w:tcBorders>
          </w:tcPr>
          <w:p>
            <w:pPr>
              <w:pStyle w:val="TableParagraph"/>
              <w:spacing w:before="136"/>
              <w:ind w:left="124" w:right="171"/>
              <w:rPr>
                <w:sz w:val="18"/>
              </w:rPr>
            </w:pPr>
            <w:r>
              <w:rPr>
                <w:sz w:val="18"/>
              </w:rPr>
              <w:t>22.26</w:t>
            </w:r>
          </w:p>
        </w:tc>
        <w:tc>
          <w:tcPr>
            <w:tcW w:w="897" w:type="dxa"/>
            <w:tcBorders>
              <w:top w:val="nil"/>
              <w:left w:val="nil"/>
              <w:bottom w:val="nil"/>
              <w:right w:val="nil"/>
            </w:tcBorders>
          </w:tcPr>
          <w:p>
            <w:pPr>
              <w:pStyle w:val="TableParagraph"/>
              <w:spacing w:before="136"/>
              <w:ind w:left="171" w:right="218"/>
              <w:rPr>
                <w:sz w:val="18"/>
              </w:rPr>
            </w:pPr>
            <w:r>
              <w:rPr>
                <w:sz w:val="18"/>
              </w:rPr>
              <w:t>21.34</w:t>
            </w:r>
          </w:p>
        </w:tc>
        <w:tc>
          <w:tcPr>
            <w:tcW w:w="624" w:type="dxa"/>
            <w:tcBorders>
              <w:top w:val="nil"/>
              <w:left w:val="nil"/>
              <w:bottom w:val="nil"/>
              <w:right w:val="nil"/>
            </w:tcBorders>
          </w:tcPr>
          <w:p>
            <w:pPr>
              <w:pStyle w:val="TableParagraph"/>
              <w:spacing w:before="136"/>
              <w:ind w:right="108"/>
              <w:jc w:val="right"/>
              <w:rPr>
                <w:sz w:val="18"/>
              </w:rPr>
            </w:pPr>
            <w:r>
              <w:rPr>
                <w:sz w:val="18"/>
              </w:rPr>
              <w:t>0.358</w:t>
            </w:r>
          </w:p>
        </w:tc>
        <w:tc>
          <w:tcPr>
            <w:tcW w:w="797" w:type="dxa"/>
            <w:tcBorders>
              <w:top w:val="nil"/>
              <w:left w:val="nil"/>
              <w:bottom w:val="nil"/>
              <w:right w:val="nil"/>
            </w:tcBorders>
          </w:tcPr>
          <w:p>
            <w:pPr>
              <w:pStyle w:val="TableParagraph"/>
              <w:spacing w:before="136"/>
              <w:ind w:left="123" w:right="123"/>
              <w:rPr>
                <w:sz w:val="18"/>
              </w:rPr>
            </w:pPr>
            <w:r>
              <w:rPr>
                <w:sz w:val="18"/>
              </w:rPr>
              <w:t>0.0002</w:t>
            </w:r>
          </w:p>
        </w:tc>
        <w:tc>
          <w:tcPr>
            <w:tcW w:w="805" w:type="dxa"/>
            <w:tcBorders>
              <w:top w:val="nil"/>
              <w:left w:val="nil"/>
              <w:bottom w:val="nil"/>
              <w:right w:val="nil"/>
            </w:tcBorders>
          </w:tcPr>
          <w:p>
            <w:pPr>
              <w:pStyle w:val="TableParagraph"/>
              <w:spacing w:before="136"/>
              <w:ind w:left="124" w:right="129"/>
              <w:rPr>
                <w:sz w:val="18"/>
              </w:rPr>
            </w:pPr>
            <w:r>
              <w:rPr>
                <w:sz w:val="18"/>
              </w:rPr>
              <w:t>0.0685</w:t>
            </w:r>
          </w:p>
        </w:tc>
        <w:tc>
          <w:tcPr>
            <w:tcW w:w="800" w:type="dxa"/>
            <w:tcBorders>
              <w:top w:val="nil"/>
              <w:left w:val="nil"/>
              <w:bottom w:val="nil"/>
              <w:right w:val="nil"/>
            </w:tcBorders>
          </w:tcPr>
          <w:p>
            <w:pPr>
              <w:pStyle w:val="TableParagraph"/>
              <w:spacing w:before="136"/>
              <w:ind w:left="128" w:right="134"/>
              <w:rPr>
                <w:sz w:val="18"/>
              </w:rPr>
            </w:pPr>
            <w:r>
              <w:rPr>
                <w:sz w:val="18"/>
              </w:rPr>
              <w:t>0.2891</w:t>
            </w:r>
          </w:p>
        </w:tc>
      </w:tr>
      <w:tr>
        <w:trPr>
          <w:trHeight w:val="458" w:hRule="exact"/>
        </w:trPr>
        <w:tc>
          <w:tcPr>
            <w:tcW w:w="1206" w:type="dxa"/>
            <w:tcBorders>
              <w:top w:val="nil"/>
              <w:left w:val="nil"/>
              <w:bottom w:val="nil"/>
              <w:right w:val="nil"/>
            </w:tcBorders>
          </w:tcPr>
          <w:p>
            <w:pPr>
              <w:pStyle w:val="TableParagraph"/>
              <w:spacing w:before="129"/>
              <w:ind w:left="110" w:right="140"/>
              <w:jc w:val="left"/>
              <w:rPr>
                <w:sz w:val="18"/>
              </w:rPr>
            </w:pPr>
            <w:r>
              <w:rPr>
                <w:sz w:val="18"/>
              </w:rPr>
              <w:t>C18:2n6t</w:t>
            </w:r>
          </w:p>
        </w:tc>
        <w:tc>
          <w:tcPr>
            <w:tcW w:w="724" w:type="dxa"/>
            <w:tcBorders>
              <w:top w:val="nil"/>
              <w:left w:val="nil"/>
              <w:bottom w:val="nil"/>
              <w:right w:val="nil"/>
            </w:tcBorders>
          </w:tcPr>
          <w:p>
            <w:pPr>
              <w:pStyle w:val="TableParagraph"/>
              <w:spacing w:before="105"/>
              <w:ind w:right="173"/>
              <w:jc w:val="right"/>
              <w:rPr>
                <w:sz w:val="12"/>
              </w:rPr>
            </w:pPr>
            <w:r>
              <w:rPr>
                <w:sz w:val="18"/>
              </w:rPr>
              <w:t>0.21</w:t>
            </w:r>
            <w:r>
              <w:rPr>
                <w:position w:val="8"/>
                <w:sz w:val="12"/>
              </w:rPr>
              <w:t>a</w:t>
            </w:r>
          </w:p>
        </w:tc>
        <w:tc>
          <w:tcPr>
            <w:tcW w:w="773" w:type="dxa"/>
            <w:tcBorders>
              <w:top w:val="nil"/>
              <w:left w:val="nil"/>
              <w:bottom w:val="nil"/>
              <w:right w:val="nil"/>
            </w:tcBorders>
          </w:tcPr>
          <w:p>
            <w:pPr>
              <w:pStyle w:val="TableParagraph"/>
              <w:spacing w:before="105"/>
              <w:ind w:left="111" w:right="102"/>
              <w:rPr>
                <w:sz w:val="12"/>
              </w:rPr>
            </w:pPr>
            <w:r>
              <w:rPr>
                <w:sz w:val="18"/>
              </w:rPr>
              <w:t>0.19</w:t>
            </w:r>
            <w:r>
              <w:rPr>
                <w:position w:val="8"/>
                <w:sz w:val="12"/>
              </w:rPr>
              <w:t>b</w:t>
            </w:r>
          </w:p>
        </w:tc>
        <w:tc>
          <w:tcPr>
            <w:tcW w:w="697" w:type="dxa"/>
            <w:tcBorders>
              <w:top w:val="nil"/>
              <w:left w:val="nil"/>
              <w:bottom w:val="nil"/>
              <w:right w:val="nil"/>
            </w:tcBorders>
          </w:tcPr>
          <w:p>
            <w:pPr>
              <w:pStyle w:val="TableParagraph"/>
              <w:spacing w:before="105"/>
              <w:ind w:right="155"/>
              <w:jc w:val="right"/>
              <w:rPr>
                <w:sz w:val="12"/>
              </w:rPr>
            </w:pPr>
            <w:r>
              <w:rPr>
                <w:sz w:val="18"/>
              </w:rPr>
              <w:t>0.19</w:t>
            </w:r>
            <w:r>
              <w:rPr>
                <w:position w:val="8"/>
                <w:sz w:val="12"/>
              </w:rPr>
              <w:t>b</w:t>
            </w:r>
          </w:p>
        </w:tc>
        <w:tc>
          <w:tcPr>
            <w:tcW w:w="936" w:type="dxa"/>
            <w:tcBorders>
              <w:top w:val="nil"/>
              <w:left w:val="nil"/>
              <w:bottom w:val="nil"/>
              <w:right w:val="nil"/>
            </w:tcBorders>
          </w:tcPr>
          <w:p>
            <w:pPr>
              <w:pStyle w:val="TableParagraph"/>
              <w:spacing w:before="129"/>
              <w:ind w:left="153"/>
              <w:jc w:val="left"/>
              <w:rPr>
                <w:sz w:val="18"/>
              </w:rPr>
            </w:pPr>
            <w:r>
              <w:rPr>
                <w:sz w:val="18"/>
              </w:rPr>
              <w:t>0.006</w:t>
            </w:r>
          </w:p>
        </w:tc>
        <w:tc>
          <w:tcPr>
            <w:tcW w:w="803" w:type="dxa"/>
            <w:tcBorders>
              <w:top w:val="nil"/>
              <w:left w:val="nil"/>
              <w:bottom w:val="nil"/>
              <w:right w:val="nil"/>
            </w:tcBorders>
          </w:tcPr>
          <w:p>
            <w:pPr>
              <w:pStyle w:val="TableParagraph"/>
              <w:spacing w:before="105"/>
              <w:ind w:left="122" w:right="171"/>
              <w:rPr>
                <w:sz w:val="12"/>
              </w:rPr>
            </w:pPr>
            <w:r>
              <w:rPr>
                <w:sz w:val="18"/>
              </w:rPr>
              <w:t>0.21</w:t>
            </w:r>
            <w:r>
              <w:rPr>
                <w:position w:val="8"/>
                <w:sz w:val="12"/>
              </w:rPr>
              <w:t>x</w:t>
            </w:r>
          </w:p>
        </w:tc>
        <w:tc>
          <w:tcPr>
            <w:tcW w:w="897" w:type="dxa"/>
            <w:tcBorders>
              <w:top w:val="nil"/>
              <w:left w:val="nil"/>
              <w:bottom w:val="nil"/>
              <w:right w:val="nil"/>
            </w:tcBorders>
          </w:tcPr>
          <w:p>
            <w:pPr>
              <w:pStyle w:val="TableParagraph"/>
              <w:spacing w:before="105"/>
              <w:ind w:left="168" w:right="218"/>
              <w:rPr>
                <w:sz w:val="12"/>
              </w:rPr>
            </w:pPr>
            <w:r>
              <w:rPr>
                <w:sz w:val="18"/>
              </w:rPr>
              <w:t>0.19</w:t>
            </w:r>
            <w:r>
              <w:rPr>
                <w:position w:val="8"/>
                <w:sz w:val="12"/>
              </w:rPr>
              <w:t>y</w:t>
            </w:r>
          </w:p>
        </w:tc>
        <w:tc>
          <w:tcPr>
            <w:tcW w:w="624" w:type="dxa"/>
            <w:tcBorders>
              <w:top w:val="nil"/>
              <w:left w:val="nil"/>
              <w:bottom w:val="nil"/>
              <w:right w:val="nil"/>
            </w:tcBorders>
          </w:tcPr>
          <w:p>
            <w:pPr>
              <w:pStyle w:val="TableParagraph"/>
              <w:spacing w:before="129"/>
              <w:ind w:right="108"/>
              <w:jc w:val="right"/>
              <w:rPr>
                <w:sz w:val="18"/>
              </w:rPr>
            </w:pPr>
            <w:r>
              <w:rPr>
                <w:sz w:val="18"/>
              </w:rPr>
              <w:t>0.005</w:t>
            </w:r>
          </w:p>
        </w:tc>
        <w:tc>
          <w:tcPr>
            <w:tcW w:w="797" w:type="dxa"/>
            <w:tcBorders>
              <w:top w:val="nil"/>
              <w:left w:val="nil"/>
              <w:bottom w:val="nil"/>
              <w:right w:val="nil"/>
            </w:tcBorders>
          </w:tcPr>
          <w:p>
            <w:pPr>
              <w:pStyle w:val="TableParagraph"/>
              <w:spacing w:before="129"/>
              <w:ind w:left="123" w:right="123"/>
              <w:rPr>
                <w:sz w:val="18"/>
              </w:rPr>
            </w:pPr>
            <w:r>
              <w:rPr>
                <w:sz w:val="18"/>
              </w:rPr>
              <w:t>0.0149</w:t>
            </w:r>
          </w:p>
        </w:tc>
        <w:tc>
          <w:tcPr>
            <w:tcW w:w="805" w:type="dxa"/>
            <w:tcBorders>
              <w:top w:val="nil"/>
              <w:left w:val="nil"/>
              <w:bottom w:val="nil"/>
              <w:right w:val="nil"/>
            </w:tcBorders>
          </w:tcPr>
          <w:p>
            <w:pPr>
              <w:pStyle w:val="TableParagraph"/>
              <w:spacing w:before="129"/>
              <w:ind w:left="124" w:right="129"/>
              <w:rPr>
                <w:sz w:val="18"/>
              </w:rPr>
            </w:pPr>
            <w:r>
              <w:rPr>
                <w:sz w:val="18"/>
              </w:rPr>
              <w:t>0.0456</w:t>
            </w:r>
          </w:p>
        </w:tc>
        <w:tc>
          <w:tcPr>
            <w:tcW w:w="800" w:type="dxa"/>
            <w:tcBorders>
              <w:top w:val="nil"/>
              <w:left w:val="nil"/>
              <w:bottom w:val="nil"/>
              <w:right w:val="nil"/>
            </w:tcBorders>
          </w:tcPr>
          <w:p>
            <w:pPr>
              <w:pStyle w:val="TableParagraph"/>
              <w:spacing w:before="129"/>
              <w:ind w:left="128" w:right="134"/>
              <w:rPr>
                <w:sz w:val="18"/>
              </w:rPr>
            </w:pPr>
            <w:r>
              <w:rPr>
                <w:sz w:val="18"/>
              </w:rPr>
              <w:t>0.0077</w:t>
            </w:r>
          </w:p>
        </w:tc>
      </w:tr>
      <w:tr>
        <w:trPr>
          <w:trHeight w:val="481"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C18:2n6c</w:t>
            </w:r>
          </w:p>
        </w:tc>
        <w:tc>
          <w:tcPr>
            <w:tcW w:w="724" w:type="dxa"/>
            <w:tcBorders>
              <w:top w:val="nil"/>
              <w:left w:val="nil"/>
              <w:bottom w:val="nil"/>
              <w:right w:val="nil"/>
            </w:tcBorders>
          </w:tcPr>
          <w:p>
            <w:pPr>
              <w:pStyle w:val="TableParagraph"/>
              <w:spacing w:before="112"/>
              <w:ind w:right="173"/>
              <w:jc w:val="right"/>
              <w:rPr>
                <w:sz w:val="12"/>
              </w:rPr>
            </w:pPr>
            <w:r>
              <w:rPr>
                <w:sz w:val="18"/>
              </w:rPr>
              <w:t>1.28</w:t>
            </w:r>
            <w:r>
              <w:rPr>
                <w:position w:val="8"/>
                <w:sz w:val="12"/>
              </w:rPr>
              <w:t>b</w:t>
            </w:r>
          </w:p>
        </w:tc>
        <w:tc>
          <w:tcPr>
            <w:tcW w:w="773" w:type="dxa"/>
            <w:tcBorders>
              <w:top w:val="nil"/>
              <w:left w:val="nil"/>
              <w:bottom w:val="nil"/>
              <w:right w:val="nil"/>
            </w:tcBorders>
          </w:tcPr>
          <w:p>
            <w:pPr>
              <w:pStyle w:val="TableParagraph"/>
              <w:spacing w:before="112"/>
              <w:ind w:left="102" w:right="102"/>
              <w:rPr>
                <w:sz w:val="12"/>
              </w:rPr>
            </w:pPr>
            <w:r>
              <w:rPr>
                <w:sz w:val="18"/>
              </w:rPr>
              <w:t>1.32</w:t>
            </w:r>
            <w:r>
              <w:rPr>
                <w:position w:val="8"/>
                <w:sz w:val="12"/>
              </w:rPr>
              <w:t>ab</w:t>
            </w:r>
          </w:p>
        </w:tc>
        <w:tc>
          <w:tcPr>
            <w:tcW w:w="697" w:type="dxa"/>
            <w:tcBorders>
              <w:top w:val="nil"/>
              <w:left w:val="nil"/>
              <w:bottom w:val="nil"/>
              <w:right w:val="nil"/>
            </w:tcBorders>
          </w:tcPr>
          <w:p>
            <w:pPr>
              <w:pStyle w:val="TableParagraph"/>
              <w:spacing w:before="112"/>
              <w:ind w:right="151"/>
              <w:jc w:val="right"/>
              <w:rPr>
                <w:sz w:val="12"/>
              </w:rPr>
            </w:pPr>
            <w:r>
              <w:rPr>
                <w:sz w:val="18"/>
              </w:rPr>
              <w:t>1.40</w:t>
            </w:r>
            <w:r>
              <w:rPr>
                <w:position w:val="8"/>
                <w:sz w:val="12"/>
              </w:rPr>
              <w:t>a</w:t>
            </w:r>
          </w:p>
        </w:tc>
        <w:tc>
          <w:tcPr>
            <w:tcW w:w="936" w:type="dxa"/>
            <w:tcBorders>
              <w:top w:val="nil"/>
              <w:left w:val="nil"/>
              <w:bottom w:val="nil"/>
              <w:right w:val="nil"/>
            </w:tcBorders>
          </w:tcPr>
          <w:p>
            <w:pPr>
              <w:pStyle w:val="TableParagraph"/>
              <w:spacing w:before="136"/>
              <w:ind w:left="153"/>
              <w:jc w:val="left"/>
              <w:rPr>
                <w:sz w:val="18"/>
              </w:rPr>
            </w:pPr>
            <w:r>
              <w:rPr>
                <w:sz w:val="18"/>
              </w:rPr>
              <w:t>0.035</w:t>
            </w:r>
          </w:p>
        </w:tc>
        <w:tc>
          <w:tcPr>
            <w:tcW w:w="803" w:type="dxa"/>
            <w:tcBorders>
              <w:top w:val="nil"/>
              <w:left w:val="nil"/>
              <w:bottom w:val="nil"/>
              <w:right w:val="nil"/>
            </w:tcBorders>
          </w:tcPr>
          <w:p>
            <w:pPr>
              <w:pStyle w:val="TableParagraph"/>
              <w:spacing w:before="136"/>
              <w:ind w:left="124" w:right="171"/>
              <w:rPr>
                <w:sz w:val="18"/>
              </w:rPr>
            </w:pPr>
            <w:r>
              <w:rPr>
                <w:sz w:val="18"/>
              </w:rPr>
              <w:t>1.31</w:t>
            </w:r>
          </w:p>
        </w:tc>
        <w:tc>
          <w:tcPr>
            <w:tcW w:w="897" w:type="dxa"/>
            <w:tcBorders>
              <w:top w:val="nil"/>
              <w:left w:val="nil"/>
              <w:bottom w:val="nil"/>
              <w:right w:val="nil"/>
            </w:tcBorders>
          </w:tcPr>
          <w:p>
            <w:pPr>
              <w:pStyle w:val="TableParagraph"/>
              <w:spacing w:before="136"/>
              <w:ind w:left="171" w:right="218"/>
              <w:rPr>
                <w:sz w:val="18"/>
              </w:rPr>
            </w:pPr>
            <w:r>
              <w:rPr>
                <w:sz w:val="18"/>
              </w:rPr>
              <w:t>1.38</w:t>
            </w:r>
          </w:p>
        </w:tc>
        <w:tc>
          <w:tcPr>
            <w:tcW w:w="624" w:type="dxa"/>
            <w:tcBorders>
              <w:top w:val="nil"/>
              <w:left w:val="nil"/>
              <w:bottom w:val="nil"/>
              <w:right w:val="nil"/>
            </w:tcBorders>
          </w:tcPr>
          <w:p>
            <w:pPr>
              <w:pStyle w:val="TableParagraph"/>
              <w:spacing w:before="136"/>
              <w:ind w:right="108"/>
              <w:jc w:val="right"/>
              <w:rPr>
                <w:sz w:val="18"/>
              </w:rPr>
            </w:pPr>
            <w:r>
              <w:rPr>
                <w:sz w:val="18"/>
              </w:rPr>
              <w:t>0.029</w:t>
            </w:r>
          </w:p>
        </w:tc>
        <w:tc>
          <w:tcPr>
            <w:tcW w:w="797" w:type="dxa"/>
            <w:tcBorders>
              <w:top w:val="nil"/>
              <w:left w:val="nil"/>
              <w:bottom w:val="nil"/>
              <w:right w:val="nil"/>
            </w:tcBorders>
          </w:tcPr>
          <w:p>
            <w:pPr>
              <w:pStyle w:val="TableParagraph"/>
              <w:spacing w:before="136"/>
              <w:ind w:left="123" w:right="123"/>
              <w:rPr>
                <w:sz w:val="18"/>
              </w:rPr>
            </w:pPr>
            <w:r>
              <w:rPr>
                <w:sz w:val="18"/>
              </w:rPr>
              <w:t>0.0120</w:t>
            </w:r>
          </w:p>
        </w:tc>
        <w:tc>
          <w:tcPr>
            <w:tcW w:w="805" w:type="dxa"/>
            <w:tcBorders>
              <w:top w:val="nil"/>
              <w:left w:val="nil"/>
              <w:bottom w:val="nil"/>
              <w:right w:val="nil"/>
            </w:tcBorders>
          </w:tcPr>
          <w:p>
            <w:pPr>
              <w:pStyle w:val="TableParagraph"/>
              <w:spacing w:before="136"/>
              <w:ind w:left="124" w:right="129"/>
              <w:rPr>
                <w:sz w:val="18"/>
              </w:rPr>
            </w:pPr>
            <w:r>
              <w:rPr>
                <w:sz w:val="18"/>
              </w:rPr>
              <w:t>0.0972</w:t>
            </w:r>
          </w:p>
        </w:tc>
        <w:tc>
          <w:tcPr>
            <w:tcW w:w="800" w:type="dxa"/>
            <w:tcBorders>
              <w:top w:val="nil"/>
              <w:left w:val="nil"/>
              <w:bottom w:val="nil"/>
              <w:right w:val="nil"/>
            </w:tcBorders>
          </w:tcPr>
          <w:p>
            <w:pPr>
              <w:pStyle w:val="TableParagraph"/>
              <w:spacing w:before="136"/>
              <w:ind w:left="128" w:right="134"/>
              <w:rPr>
                <w:sz w:val="18"/>
              </w:rPr>
            </w:pPr>
            <w:r>
              <w:rPr>
                <w:sz w:val="18"/>
              </w:rPr>
              <w:t>0.6108</w:t>
            </w:r>
          </w:p>
        </w:tc>
      </w:tr>
      <w:tr>
        <w:trPr>
          <w:trHeight w:val="450" w:hRule="exact"/>
        </w:trPr>
        <w:tc>
          <w:tcPr>
            <w:tcW w:w="1206" w:type="dxa"/>
            <w:tcBorders>
              <w:top w:val="nil"/>
              <w:left w:val="nil"/>
              <w:bottom w:val="nil"/>
              <w:right w:val="nil"/>
            </w:tcBorders>
          </w:tcPr>
          <w:p>
            <w:pPr>
              <w:pStyle w:val="TableParagraph"/>
              <w:spacing w:before="120"/>
              <w:ind w:left="110" w:right="140"/>
              <w:jc w:val="left"/>
              <w:rPr>
                <w:sz w:val="18"/>
              </w:rPr>
            </w:pPr>
            <w:r>
              <w:rPr>
                <w:sz w:val="18"/>
              </w:rPr>
              <w:t>C18:2c9t11</w:t>
            </w:r>
          </w:p>
        </w:tc>
        <w:tc>
          <w:tcPr>
            <w:tcW w:w="724" w:type="dxa"/>
            <w:tcBorders>
              <w:top w:val="nil"/>
              <w:left w:val="nil"/>
              <w:bottom w:val="nil"/>
              <w:right w:val="nil"/>
            </w:tcBorders>
          </w:tcPr>
          <w:p>
            <w:pPr>
              <w:pStyle w:val="TableParagraph"/>
              <w:spacing w:before="120"/>
              <w:ind w:right="198"/>
              <w:jc w:val="right"/>
              <w:rPr>
                <w:sz w:val="18"/>
              </w:rPr>
            </w:pPr>
            <w:r>
              <w:rPr>
                <w:sz w:val="18"/>
              </w:rPr>
              <w:t>0.79</w:t>
            </w:r>
          </w:p>
        </w:tc>
        <w:tc>
          <w:tcPr>
            <w:tcW w:w="773" w:type="dxa"/>
            <w:tcBorders>
              <w:top w:val="nil"/>
              <w:left w:val="nil"/>
              <w:bottom w:val="nil"/>
              <w:right w:val="nil"/>
            </w:tcBorders>
          </w:tcPr>
          <w:p>
            <w:pPr>
              <w:pStyle w:val="TableParagraph"/>
              <w:spacing w:before="120"/>
              <w:ind w:left="111" w:right="100"/>
              <w:rPr>
                <w:sz w:val="18"/>
              </w:rPr>
            </w:pPr>
            <w:r>
              <w:rPr>
                <w:sz w:val="18"/>
              </w:rPr>
              <w:t>0.71</w:t>
            </w:r>
          </w:p>
        </w:tc>
        <w:tc>
          <w:tcPr>
            <w:tcW w:w="697" w:type="dxa"/>
            <w:tcBorders>
              <w:top w:val="nil"/>
              <w:left w:val="nil"/>
              <w:bottom w:val="nil"/>
              <w:right w:val="nil"/>
            </w:tcBorders>
          </w:tcPr>
          <w:p>
            <w:pPr>
              <w:pStyle w:val="TableParagraph"/>
              <w:spacing w:before="120"/>
              <w:ind w:left="193"/>
              <w:jc w:val="left"/>
              <w:rPr>
                <w:sz w:val="18"/>
              </w:rPr>
            </w:pPr>
            <w:r>
              <w:rPr>
                <w:sz w:val="18"/>
              </w:rPr>
              <w:t>0.69</w:t>
            </w:r>
          </w:p>
        </w:tc>
        <w:tc>
          <w:tcPr>
            <w:tcW w:w="936" w:type="dxa"/>
            <w:tcBorders>
              <w:top w:val="nil"/>
              <w:left w:val="nil"/>
              <w:bottom w:val="nil"/>
              <w:right w:val="nil"/>
            </w:tcBorders>
          </w:tcPr>
          <w:p>
            <w:pPr>
              <w:pStyle w:val="TableParagraph"/>
              <w:spacing w:before="120"/>
              <w:ind w:left="153"/>
              <w:jc w:val="left"/>
              <w:rPr>
                <w:sz w:val="18"/>
              </w:rPr>
            </w:pPr>
            <w:r>
              <w:rPr>
                <w:sz w:val="18"/>
              </w:rPr>
              <w:t>0.038</w:t>
            </w:r>
          </w:p>
        </w:tc>
        <w:tc>
          <w:tcPr>
            <w:tcW w:w="803" w:type="dxa"/>
            <w:tcBorders>
              <w:top w:val="nil"/>
              <w:left w:val="nil"/>
              <w:bottom w:val="nil"/>
              <w:right w:val="nil"/>
            </w:tcBorders>
          </w:tcPr>
          <w:p>
            <w:pPr>
              <w:pStyle w:val="TableParagraph"/>
              <w:spacing w:before="120"/>
              <w:ind w:left="124" w:right="171"/>
              <w:rPr>
                <w:sz w:val="18"/>
              </w:rPr>
            </w:pPr>
            <w:r>
              <w:rPr>
                <w:sz w:val="18"/>
              </w:rPr>
              <w:t>0.76</w:t>
            </w:r>
          </w:p>
        </w:tc>
        <w:tc>
          <w:tcPr>
            <w:tcW w:w="897" w:type="dxa"/>
            <w:tcBorders>
              <w:top w:val="nil"/>
              <w:left w:val="nil"/>
              <w:bottom w:val="nil"/>
              <w:right w:val="nil"/>
            </w:tcBorders>
          </w:tcPr>
          <w:p>
            <w:pPr>
              <w:pStyle w:val="TableParagraph"/>
              <w:spacing w:before="120"/>
              <w:ind w:left="171" w:right="218"/>
              <w:rPr>
                <w:sz w:val="18"/>
              </w:rPr>
            </w:pPr>
            <w:r>
              <w:rPr>
                <w:sz w:val="18"/>
              </w:rPr>
              <w:t>0.68</w:t>
            </w:r>
          </w:p>
        </w:tc>
        <w:tc>
          <w:tcPr>
            <w:tcW w:w="624" w:type="dxa"/>
            <w:tcBorders>
              <w:top w:val="nil"/>
              <w:left w:val="nil"/>
              <w:bottom w:val="nil"/>
              <w:right w:val="nil"/>
            </w:tcBorders>
          </w:tcPr>
          <w:p>
            <w:pPr>
              <w:pStyle w:val="TableParagraph"/>
              <w:spacing w:before="120"/>
              <w:ind w:right="108"/>
              <w:jc w:val="right"/>
              <w:rPr>
                <w:sz w:val="18"/>
              </w:rPr>
            </w:pPr>
            <w:r>
              <w:rPr>
                <w:sz w:val="18"/>
              </w:rPr>
              <w:t>0.032</w:t>
            </w:r>
          </w:p>
        </w:tc>
        <w:tc>
          <w:tcPr>
            <w:tcW w:w="797" w:type="dxa"/>
            <w:tcBorders>
              <w:top w:val="nil"/>
              <w:left w:val="nil"/>
              <w:bottom w:val="nil"/>
              <w:right w:val="nil"/>
            </w:tcBorders>
          </w:tcPr>
          <w:p>
            <w:pPr>
              <w:pStyle w:val="TableParagraph"/>
              <w:spacing w:before="120"/>
              <w:ind w:left="123" w:right="123"/>
              <w:rPr>
                <w:sz w:val="18"/>
              </w:rPr>
            </w:pPr>
            <w:r>
              <w:rPr>
                <w:sz w:val="18"/>
              </w:rPr>
              <w:t>0.1430</w:t>
            </w:r>
          </w:p>
        </w:tc>
        <w:tc>
          <w:tcPr>
            <w:tcW w:w="805" w:type="dxa"/>
            <w:tcBorders>
              <w:top w:val="nil"/>
              <w:left w:val="nil"/>
              <w:bottom w:val="nil"/>
              <w:right w:val="nil"/>
            </w:tcBorders>
          </w:tcPr>
          <w:p>
            <w:pPr>
              <w:pStyle w:val="TableParagraph"/>
              <w:spacing w:before="120"/>
              <w:ind w:left="124" w:right="129"/>
              <w:rPr>
                <w:sz w:val="18"/>
              </w:rPr>
            </w:pPr>
            <w:r>
              <w:rPr>
                <w:sz w:val="18"/>
              </w:rPr>
              <w:t>0.0629</w:t>
            </w:r>
          </w:p>
        </w:tc>
        <w:tc>
          <w:tcPr>
            <w:tcW w:w="800" w:type="dxa"/>
            <w:tcBorders>
              <w:top w:val="nil"/>
              <w:left w:val="nil"/>
              <w:bottom w:val="nil"/>
              <w:right w:val="nil"/>
            </w:tcBorders>
          </w:tcPr>
          <w:p>
            <w:pPr>
              <w:pStyle w:val="TableParagraph"/>
              <w:spacing w:before="120"/>
              <w:ind w:left="128" w:right="134"/>
              <w:rPr>
                <w:sz w:val="18"/>
              </w:rPr>
            </w:pPr>
            <w:r>
              <w:rPr>
                <w:sz w:val="18"/>
              </w:rPr>
              <w:t>0.8879</w:t>
            </w:r>
          </w:p>
        </w:tc>
      </w:tr>
      <w:tr>
        <w:trPr>
          <w:trHeight w:val="458" w:hRule="exact"/>
        </w:trPr>
        <w:tc>
          <w:tcPr>
            <w:tcW w:w="1206" w:type="dxa"/>
            <w:tcBorders>
              <w:top w:val="nil"/>
              <w:left w:val="nil"/>
              <w:bottom w:val="nil"/>
              <w:right w:val="nil"/>
            </w:tcBorders>
          </w:tcPr>
          <w:p>
            <w:pPr>
              <w:pStyle w:val="TableParagraph"/>
              <w:spacing w:before="136"/>
              <w:ind w:left="110" w:right="140"/>
              <w:jc w:val="left"/>
              <w:rPr>
                <w:sz w:val="18"/>
              </w:rPr>
            </w:pPr>
            <w:r>
              <w:rPr>
                <w:sz w:val="18"/>
              </w:rPr>
              <w:t>C18:3n3</w:t>
            </w:r>
          </w:p>
        </w:tc>
        <w:tc>
          <w:tcPr>
            <w:tcW w:w="724" w:type="dxa"/>
            <w:tcBorders>
              <w:top w:val="nil"/>
              <w:left w:val="nil"/>
              <w:bottom w:val="nil"/>
              <w:right w:val="nil"/>
            </w:tcBorders>
          </w:tcPr>
          <w:p>
            <w:pPr>
              <w:pStyle w:val="TableParagraph"/>
              <w:spacing w:before="112"/>
              <w:ind w:left="105"/>
              <w:jc w:val="left"/>
              <w:rPr>
                <w:sz w:val="12"/>
              </w:rPr>
            </w:pPr>
            <w:r>
              <w:rPr>
                <w:sz w:val="18"/>
              </w:rPr>
              <w:t>0.41</w:t>
            </w:r>
            <w:r>
              <w:rPr>
                <w:position w:val="8"/>
                <w:sz w:val="12"/>
              </w:rPr>
              <w:t>a</w:t>
            </w:r>
          </w:p>
        </w:tc>
        <w:tc>
          <w:tcPr>
            <w:tcW w:w="773" w:type="dxa"/>
            <w:tcBorders>
              <w:top w:val="nil"/>
              <w:left w:val="nil"/>
              <w:bottom w:val="nil"/>
              <w:right w:val="nil"/>
            </w:tcBorders>
          </w:tcPr>
          <w:p>
            <w:pPr>
              <w:pStyle w:val="TableParagraph"/>
              <w:spacing w:before="112"/>
              <w:ind w:left="109" w:right="102"/>
              <w:rPr>
                <w:sz w:val="12"/>
              </w:rPr>
            </w:pPr>
            <w:r>
              <w:rPr>
                <w:sz w:val="18"/>
              </w:rPr>
              <w:t>0.40</w:t>
            </w:r>
            <w:r>
              <w:rPr>
                <w:position w:val="8"/>
                <w:sz w:val="12"/>
              </w:rPr>
              <w:t>a</w:t>
            </w:r>
          </w:p>
        </w:tc>
        <w:tc>
          <w:tcPr>
            <w:tcW w:w="697" w:type="dxa"/>
            <w:tcBorders>
              <w:top w:val="nil"/>
              <w:left w:val="nil"/>
              <w:bottom w:val="nil"/>
              <w:right w:val="nil"/>
            </w:tcBorders>
          </w:tcPr>
          <w:p>
            <w:pPr>
              <w:pStyle w:val="TableParagraph"/>
              <w:spacing w:before="112"/>
              <w:ind w:right="155"/>
              <w:jc w:val="right"/>
              <w:rPr>
                <w:sz w:val="12"/>
              </w:rPr>
            </w:pPr>
            <w:r>
              <w:rPr>
                <w:sz w:val="18"/>
              </w:rPr>
              <w:t>0.37</w:t>
            </w:r>
            <w:r>
              <w:rPr>
                <w:position w:val="8"/>
                <w:sz w:val="12"/>
              </w:rPr>
              <w:t>b</w:t>
            </w:r>
          </w:p>
        </w:tc>
        <w:tc>
          <w:tcPr>
            <w:tcW w:w="936" w:type="dxa"/>
            <w:tcBorders>
              <w:top w:val="nil"/>
              <w:left w:val="nil"/>
              <w:bottom w:val="nil"/>
              <w:right w:val="nil"/>
            </w:tcBorders>
          </w:tcPr>
          <w:p>
            <w:pPr>
              <w:pStyle w:val="TableParagraph"/>
              <w:spacing w:before="136"/>
              <w:ind w:left="153"/>
              <w:jc w:val="left"/>
              <w:rPr>
                <w:sz w:val="18"/>
              </w:rPr>
            </w:pPr>
            <w:r>
              <w:rPr>
                <w:sz w:val="18"/>
              </w:rPr>
              <w:t>0.010</w:t>
            </w:r>
          </w:p>
        </w:tc>
        <w:tc>
          <w:tcPr>
            <w:tcW w:w="803" w:type="dxa"/>
            <w:tcBorders>
              <w:top w:val="nil"/>
              <w:left w:val="nil"/>
              <w:bottom w:val="nil"/>
              <w:right w:val="nil"/>
            </w:tcBorders>
          </w:tcPr>
          <w:p>
            <w:pPr>
              <w:pStyle w:val="TableParagraph"/>
              <w:spacing w:before="136"/>
              <w:ind w:left="124" w:right="171"/>
              <w:rPr>
                <w:sz w:val="18"/>
              </w:rPr>
            </w:pPr>
            <w:r>
              <w:rPr>
                <w:sz w:val="18"/>
              </w:rPr>
              <w:t>0.40</w:t>
            </w:r>
          </w:p>
        </w:tc>
        <w:tc>
          <w:tcPr>
            <w:tcW w:w="897" w:type="dxa"/>
            <w:tcBorders>
              <w:top w:val="nil"/>
              <w:left w:val="nil"/>
              <w:bottom w:val="nil"/>
              <w:right w:val="nil"/>
            </w:tcBorders>
          </w:tcPr>
          <w:p>
            <w:pPr>
              <w:pStyle w:val="TableParagraph"/>
              <w:spacing w:before="136"/>
              <w:ind w:left="171" w:right="218"/>
              <w:rPr>
                <w:sz w:val="18"/>
              </w:rPr>
            </w:pPr>
            <w:r>
              <w:rPr>
                <w:sz w:val="18"/>
              </w:rPr>
              <w:t>0.39</w:t>
            </w:r>
          </w:p>
        </w:tc>
        <w:tc>
          <w:tcPr>
            <w:tcW w:w="624" w:type="dxa"/>
            <w:tcBorders>
              <w:top w:val="nil"/>
              <w:left w:val="nil"/>
              <w:bottom w:val="nil"/>
              <w:right w:val="nil"/>
            </w:tcBorders>
          </w:tcPr>
          <w:p>
            <w:pPr>
              <w:pStyle w:val="TableParagraph"/>
              <w:spacing w:before="136"/>
              <w:ind w:right="108"/>
              <w:jc w:val="right"/>
              <w:rPr>
                <w:sz w:val="18"/>
              </w:rPr>
            </w:pPr>
            <w:r>
              <w:rPr>
                <w:sz w:val="18"/>
              </w:rPr>
              <w:t>0.009</w:t>
            </w:r>
          </w:p>
        </w:tc>
        <w:tc>
          <w:tcPr>
            <w:tcW w:w="797" w:type="dxa"/>
            <w:tcBorders>
              <w:top w:val="nil"/>
              <w:left w:val="nil"/>
              <w:bottom w:val="nil"/>
              <w:right w:val="nil"/>
            </w:tcBorders>
          </w:tcPr>
          <w:p>
            <w:pPr>
              <w:pStyle w:val="TableParagraph"/>
              <w:spacing w:before="136"/>
              <w:ind w:left="123" w:right="123"/>
              <w:rPr>
                <w:sz w:val="18"/>
              </w:rPr>
            </w:pPr>
            <w:r>
              <w:rPr>
                <w:sz w:val="18"/>
              </w:rPr>
              <w:t>0.0007</w:t>
            </w:r>
          </w:p>
        </w:tc>
        <w:tc>
          <w:tcPr>
            <w:tcW w:w="805" w:type="dxa"/>
            <w:tcBorders>
              <w:top w:val="nil"/>
              <w:left w:val="nil"/>
              <w:bottom w:val="nil"/>
              <w:right w:val="nil"/>
            </w:tcBorders>
          </w:tcPr>
          <w:p>
            <w:pPr>
              <w:pStyle w:val="TableParagraph"/>
              <w:spacing w:before="136"/>
              <w:ind w:left="124" w:right="129"/>
              <w:rPr>
                <w:sz w:val="18"/>
              </w:rPr>
            </w:pPr>
            <w:r>
              <w:rPr>
                <w:sz w:val="18"/>
              </w:rPr>
              <w:t>0.4421</w:t>
            </w:r>
          </w:p>
        </w:tc>
        <w:tc>
          <w:tcPr>
            <w:tcW w:w="800" w:type="dxa"/>
            <w:tcBorders>
              <w:top w:val="nil"/>
              <w:left w:val="nil"/>
              <w:bottom w:val="nil"/>
              <w:right w:val="nil"/>
            </w:tcBorders>
          </w:tcPr>
          <w:p>
            <w:pPr>
              <w:pStyle w:val="TableParagraph"/>
              <w:spacing w:before="136"/>
              <w:ind w:left="128" w:right="134"/>
              <w:rPr>
                <w:sz w:val="18"/>
              </w:rPr>
            </w:pPr>
            <w:r>
              <w:rPr>
                <w:sz w:val="18"/>
              </w:rPr>
              <w:t>0.2132</w:t>
            </w:r>
          </w:p>
        </w:tc>
      </w:tr>
      <w:tr>
        <w:trPr>
          <w:trHeight w:val="332" w:hRule="exact"/>
        </w:trPr>
        <w:tc>
          <w:tcPr>
            <w:tcW w:w="1206" w:type="dxa"/>
            <w:tcBorders>
              <w:top w:val="nil"/>
              <w:left w:val="nil"/>
              <w:bottom w:val="nil"/>
              <w:right w:val="nil"/>
            </w:tcBorders>
          </w:tcPr>
          <w:p>
            <w:pPr>
              <w:pStyle w:val="TableParagraph"/>
              <w:spacing w:before="129"/>
              <w:ind w:left="110" w:right="140"/>
              <w:jc w:val="left"/>
              <w:rPr>
                <w:sz w:val="18"/>
              </w:rPr>
            </w:pPr>
            <w:r>
              <w:rPr>
                <w:sz w:val="18"/>
              </w:rPr>
              <w:t>C20:0</w:t>
            </w:r>
          </w:p>
        </w:tc>
        <w:tc>
          <w:tcPr>
            <w:tcW w:w="724" w:type="dxa"/>
            <w:tcBorders>
              <w:top w:val="nil"/>
              <w:left w:val="nil"/>
              <w:bottom w:val="nil"/>
              <w:right w:val="nil"/>
            </w:tcBorders>
          </w:tcPr>
          <w:p>
            <w:pPr>
              <w:pStyle w:val="TableParagraph"/>
              <w:spacing w:before="105"/>
              <w:ind w:right="173"/>
              <w:jc w:val="right"/>
              <w:rPr>
                <w:sz w:val="12"/>
              </w:rPr>
            </w:pPr>
            <w:r>
              <w:rPr>
                <w:sz w:val="18"/>
              </w:rPr>
              <w:t>0.19</w:t>
            </w:r>
            <w:r>
              <w:rPr>
                <w:position w:val="8"/>
                <w:sz w:val="12"/>
              </w:rPr>
              <w:t>a</w:t>
            </w:r>
          </w:p>
        </w:tc>
        <w:tc>
          <w:tcPr>
            <w:tcW w:w="773" w:type="dxa"/>
            <w:tcBorders>
              <w:top w:val="nil"/>
              <w:left w:val="nil"/>
              <w:bottom w:val="nil"/>
              <w:right w:val="nil"/>
            </w:tcBorders>
          </w:tcPr>
          <w:p>
            <w:pPr>
              <w:pStyle w:val="TableParagraph"/>
              <w:spacing w:before="105"/>
              <w:ind w:left="111" w:right="102"/>
              <w:rPr>
                <w:sz w:val="12"/>
              </w:rPr>
            </w:pPr>
            <w:r>
              <w:rPr>
                <w:sz w:val="18"/>
              </w:rPr>
              <w:t>0.17</w:t>
            </w:r>
            <w:r>
              <w:rPr>
                <w:position w:val="8"/>
                <w:sz w:val="12"/>
              </w:rPr>
              <w:t>b</w:t>
            </w:r>
          </w:p>
        </w:tc>
        <w:tc>
          <w:tcPr>
            <w:tcW w:w="697" w:type="dxa"/>
            <w:tcBorders>
              <w:top w:val="nil"/>
              <w:left w:val="nil"/>
              <w:bottom w:val="nil"/>
              <w:right w:val="nil"/>
            </w:tcBorders>
          </w:tcPr>
          <w:p>
            <w:pPr>
              <w:pStyle w:val="TableParagraph"/>
              <w:spacing w:before="105"/>
              <w:ind w:right="151"/>
              <w:jc w:val="right"/>
              <w:rPr>
                <w:sz w:val="12"/>
              </w:rPr>
            </w:pPr>
            <w:r>
              <w:rPr>
                <w:sz w:val="18"/>
              </w:rPr>
              <w:t>0.15</w:t>
            </w:r>
            <w:r>
              <w:rPr>
                <w:position w:val="8"/>
                <w:sz w:val="12"/>
              </w:rPr>
              <w:t>c</w:t>
            </w:r>
          </w:p>
        </w:tc>
        <w:tc>
          <w:tcPr>
            <w:tcW w:w="936" w:type="dxa"/>
            <w:tcBorders>
              <w:top w:val="nil"/>
              <w:left w:val="nil"/>
              <w:bottom w:val="nil"/>
              <w:right w:val="nil"/>
            </w:tcBorders>
          </w:tcPr>
          <w:p>
            <w:pPr>
              <w:pStyle w:val="TableParagraph"/>
              <w:spacing w:before="129"/>
              <w:ind w:left="153"/>
              <w:jc w:val="left"/>
              <w:rPr>
                <w:sz w:val="18"/>
              </w:rPr>
            </w:pPr>
            <w:r>
              <w:rPr>
                <w:sz w:val="18"/>
              </w:rPr>
              <w:t>0.004</w:t>
            </w:r>
          </w:p>
        </w:tc>
        <w:tc>
          <w:tcPr>
            <w:tcW w:w="803" w:type="dxa"/>
            <w:tcBorders>
              <w:top w:val="nil"/>
              <w:left w:val="nil"/>
              <w:bottom w:val="nil"/>
              <w:right w:val="nil"/>
            </w:tcBorders>
          </w:tcPr>
          <w:p>
            <w:pPr>
              <w:pStyle w:val="TableParagraph"/>
              <w:spacing w:before="129"/>
              <w:ind w:left="124" w:right="171"/>
              <w:rPr>
                <w:sz w:val="18"/>
              </w:rPr>
            </w:pPr>
            <w:r>
              <w:rPr>
                <w:sz w:val="18"/>
              </w:rPr>
              <w:t>0.17</w:t>
            </w:r>
          </w:p>
        </w:tc>
        <w:tc>
          <w:tcPr>
            <w:tcW w:w="897" w:type="dxa"/>
            <w:tcBorders>
              <w:top w:val="nil"/>
              <w:left w:val="nil"/>
              <w:bottom w:val="nil"/>
              <w:right w:val="nil"/>
            </w:tcBorders>
          </w:tcPr>
          <w:p>
            <w:pPr>
              <w:pStyle w:val="TableParagraph"/>
              <w:spacing w:before="129"/>
              <w:ind w:left="171" w:right="218"/>
              <w:rPr>
                <w:sz w:val="18"/>
              </w:rPr>
            </w:pPr>
            <w:r>
              <w:rPr>
                <w:sz w:val="18"/>
              </w:rPr>
              <w:t>0.17</w:t>
            </w:r>
          </w:p>
        </w:tc>
        <w:tc>
          <w:tcPr>
            <w:tcW w:w="624" w:type="dxa"/>
            <w:tcBorders>
              <w:top w:val="nil"/>
              <w:left w:val="nil"/>
              <w:bottom w:val="nil"/>
              <w:right w:val="nil"/>
            </w:tcBorders>
          </w:tcPr>
          <w:p>
            <w:pPr>
              <w:pStyle w:val="TableParagraph"/>
              <w:spacing w:before="129"/>
              <w:ind w:right="108"/>
              <w:jc w:val="right"/>
              <w:rPr>
                <w:sz w:val="18"/>
              </w:rPr>
            </w:pPr>
            <w:r>
              <w:rPr>
                <w:sz w:val="18"/>
              </w:rPr>
              <w:t>0.004</w:t>
            </w:r>
          </w:p>
        </w:tc>
        <w:tc>
          <w:tcPr>
            <w:tcW w:w="797" w:type="dxa"/>
            <w:tcBorders>
              <w:top w:val="nil"/>
              <w:left w:val="nil"/>
              <w:bottom w:val="nil"/>
              <w:right w:val="nil"/>
            </w:tcBorders>
          </w:tcPr>
          <w:p>
            <w:pPr>
              <w:pStyle w:val="TableParagraph"/>
              <w:spacing w:before="129"/>
              <w:ind w:left="123" w:right="126"/>
              <w:rPr>
                <w:sz w:val="18"/>
              </w:rPr>
            </w:pPr>
            <w:r>
              <w:rPr>
                <w:sz w:val="18"/>
              </w:rPr>
              <w:t>&lt;.0001</w:t>
            </w:r>
          </w:p>
        </w:tc>
        <w:tc>
          <w:tcPr>
            <w:tcW w:w="805" w:type="dxa"/>
            <w:tcBorders>
              <w:top w:val="nil"/>
              <w:left w:val="nil"/>
              <w:bottom w:val="nil"/>
              <w:right w:val="nil"/>
            </w:tcBorders>
          </w:tcPr>
          <w:p>
            <w:pPr>
              <w:pStyle w:val="TableParagraph"/>
              <w:spacing w:before="129"/>
              <w:ind w:left="124" w:right="129"/>
              <w:rPr>
                <w:sz w:val="18"/>
              </w:rPr>
            </w:pPr>
            <w:r>
              <w:rPr>
                <w:sz w:val="18"/>
              </w:rPr>
              <w:t>0.3023</w:t>
            </w:r>
          </w:p>
        </w:tc>
        <w:tc>
          <w:tcPr>
            <w:tcW w:w="800" w:type="dxa"/>
            <w:tcBorders>
              <w:top w:val="nil"/>
              <w:left w:val="nil"/>
              <w:bottom w:val="nil"/>
              <w:right w:val="nil"/>
            </w:tcBorders>
          </w:tcPr>
          <w:p>
            <w:pPr>
              <w:pStyle w:val="TableParagraph"/>
              <w:spacing w:before="129"/>
              <w:ind w:left="128" w:right="134"/>
              <w:rPr>
                <w:sz w:val="18"/>
              </w:rPr>
            </w:pPr>
            <w:r>
              <w:rPr>
                <w:sz w:val="18"/>
              </w:rPr>
              <w:t>0.7444</w:t>
            </w:r>
          </w:p>
        </w:tc>
      </w:tr>
    </w:tbl>
    <w:p>
      <w:pPr>
        <w:spacing w:after="0"/>
        <w:rPr>
          <w:sz w:val="18"/>
        </w:rPr>
        <w:sectPr>
          <w:pgSz w:w="12240" w:h="15840"/>
          <w:pgMar w:header="1150" w:footer="1382" w:top="1420" w:bottom="1580" w:left="1360" w:right="1300"/>
        </w:sectPr>
      </w:pPr>
    </w:p>
    <w:p>
      <w:pPr>
        <w:pStyle w:val="BodyText"/>
        <w:rPr>
          <w:sz w:val="3"/>
        </w:rPr>
      </w:pPr>
    </w:p>
    <w:tbl>
      <w:tblPr>
        <w:tblW w:w="0" w:type="auto"/>
        <w:jc w:val="left"/>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73"/>
        <w:gridCol w:w="1052"/>
        <w:gridCol w:w="892"/>
        <w:gridCol w:w="773"/>
        <w:gridCol w:w="720"/>
        <w:gridCol w:w="798"/>
        <w:gridCol w:w="919"/>
        <w:gridCol w:w="831"/>
        <w:gridCol w:w="705"/>
        <w:gridCol w:w="785"/>
        <w:gridCol w:w="797"/>
        <w:gridCol w:w="681"/>
        <w:gridCol w:w="123"/>
      </w:tblGrid>
      <w:tr>
        <w:trPr>
          <w:trHeight w:val="724" w:hRule="exact"/>
        </w:trPr>
        <w:tc>
          <w:tcPr>
            <w:tcW w:w="273" w:type="dxa"/>
            <w:tcBorders>
              <w:left w:val="nil"/>
              <w:bottom w:val="nil"/>
              <w:right w:val="nil"/>
            </w:tcBorders>
          </w:tcPr>
          <w:p>
            <w:pPr/>
          </w:p>
        </w:tc>
        <w:tc>
          <w:tcPr>
            <w:tcW w:w="1052" w:type="dxa"/>
            <w:tcBorders>
              <w:left w:val="nil"/>
              <w:bottom w:val="nil"/>
              <w:right w:val="nil"/>
            </w:tcBorders>
          </w:tcPr>
          <w:p>
            <w:pPr>
              <w:pStyle w:val="TableParagraph"/>
              <w:jc w:val="left"/>
              <w:rPr>
                <w:sz w:val="18"/>
              </w:rPr>
            </w:pPr>
          </w:p>
          <w:p>
            <w:pPr>
              <w:pStyle w:val="TableParagraph"/>
              <w:spacing w:before="1"/>
              <w:jc w:val="left"/>
              <w:rPr>
                <w:sz w:val="17"/>
              </w:rPr>
            </w:pPr>
          </w:p>
          <w:p>
            <w:pPr>
              <w:pStyle w:val="TableParagraph"/>
              <w:spacing w:before="1"/>
              <w:ind w:left="125"/>
              <w:jc w:val="left"/>
              <w:rPr>
                <w:sz w:val="18"/>
              </w:rPr>
            </w:pPr>
            <w:r>
              <w:rPr>
                <w:sz w:val="18"/>
              </w:rPr>
              <w:t>OTROS</w:t>
            </w:r>
          </w:p>
        </w:tc>
        <w:tc>
          <w:tcPr>
            <w:tcW w:w="892" w:type="dxa"/>
            <w:tcBorders>
              <w:left w:val="nil"/>
              <w:bottom w:val="nil"/>
              <w:right w:val="nil"/>
            </w:tcBorders>
          </w:tcPr>
          <w:p>
            <w:pPr>
              <w:pStyle w:val="TableParagraph"/>
              <w:jc w:val="left"/>
              <w:rPr>
                <w:sz w:val="20"/>
              </w:rPr>
            </w:pPr>
          </w:p>
          <w:p>
            <w:pPr>
              <w:pStyle w:val="TableParagraph"/>
              <w:spacing w:before="150"/>
              <w:ind w:right="173"/>
              <w:jc w:val="right"/>
              <w:rPr>
                <w:sz w:val="12"/>
              </w:rPr>
            </w:pPr>
            <w:r>
              <w:rPr>
                <w:sz w:val="18"/>
              </w:rPr>
              <w:t>0.86</w:t>
            </w:r>
            <w:r>
              <w:rPr>
                <w:position w:val="8"/>
                <w:sz w:val="12"/>
              </w:rPr>
              <w:t>a</w:t>
            </w:r>
          </w:p>
        </w:tc>
        <w:tc>
          <w:tcPr>
            <w:tcW w:w="773" w:type="dxa"/>
            <w:tcBorders>
              <w:left w:val="nil"/>
              <w:bottom w:val="nil"/>
              <w:right w:val="nil"/>
            </w:tcBorders>
          </w:tcPr>
          <w:p>
            <w:pPr>
              <w:pStyle w:val="TableParagraph"/>
              <w:jc w:val="left"/>
              <w:rPr>
                <w:sz w:val="20"/>
              </w:rPr>
            </w:pPr>
          </w:p>
          <w:p>
            <w:pPr>
              <w:pStyle w:val="TableParagraph"/>
              <w:spacing w:before="150"/>
              <w:ind w:left="111" w:right="102"/>
              <w:rPr>
                <w:sz w:val="12"/>
              </w:rPr>
            </w:pPr>
            <w:r>
              <w:rPr>
                <w:sz w:val="18"/>
              </w:rPr>
              <w:t>0.79</w:t>
            </w:r>
            <w:r>
              <w:rPr>
                <w:position w:val="8"/>
                <w:sz w:val="12"/>
              </w:rPr>
              <w:t>b</w:t>
            </w:r>
          </w:p>
        </w:tc>
        <w:tc>
          <w:tcPr>
            <w:tcW w:w="720" w:type="dxa"/>
            <w:tcBorders>
              <w:left w:val="nil"/>
              <w:bottom w:val="nil"/>
              <w:right w:val="nil"/>
            </w:tcBorders>
          </w:tcPr>
          <w:p>
            <w:pPr>
              <w:pStyle w:val="TableParagraph"/>
              <w:jc w:val="left"/>
              <w:rPr>
                <w:sz w:val="20"/>
              </w:rPr>
            </w:pPr>
          </w:p>
          <w:p>
            <w:pPr>
              <w:pStyle w:val="TableParagraph"/>
              <w:spacing w:before="150"/>
              <w:ind w:left="104" w:right="108"/>
              <w:rPr>
                <w:sz w:val="12"/>
              </w:rPr>
            </w:pPr>
            <w:r>
              <w:rPr>
                <w:sz w:val="18"/>
              </w:rPr>
              <w:t>0.71</w:t>
            </w:r>
            <w:r>
              <w:rPr>
                <w:position w:val="8"/>
                <w:sz w:val="12"/>
              </w:rPr>
              <w:t>c</w:t>
            </w:r>
          </w:p>
        </w:tc>
        <w:tc>
          <w:tcPr>
            <w:tcW w:w="798" w:type="dxa"/>
            <w:tcBorders>
              <w:left w:val="nil"/>
              <w:bottom w:val="nil"/>
              <w:right w:val="nil"/>
            </w:tcBorders>
          </w:tcPr>
          <w:p>
            <w:pPr>
              <w:pStyle w:val="TableParagraph"/>
              <w:jc w:val="left"/>
              <w:rPr>
                <w:sz w:val="18"/>
              </w:rPr>
            </w:pPr>
          </w:p>
          <w:p>
            <w:pPr>
              <w:pStyle w:val="TableParagraph"/>
              <w:spacing w:before="1"/>
              <w:jc w:val="left"/>
              <w:rPr>
                <w:sz w:val="17"/>
              </w:rPr>
            </w:pPr>
          </w:p>
          <w:p>
            <w:pPr>
              <w:pStyle w:val="TableParagraph"/>
              <w:spacing w:before="1"/>
              <w:ind w:left="130"/>
              <w:jc w:val="left"/>
              <w:rPr>
                <w:sz w:val="18"/>
              </w:rPr>
            </w:pPr>
            <w:r>
              <w:rPr>
                <w:sz w:val="18"/>
              </w:rPr>
              <w:t>0.017</w:t>
            </w:r>
          </w:p>
        </w:tc>
        <w:tc>
          <w:tcPr>
            <w:tcW w:w="919" w:type="dxa"/>
            <w:tcBorders>
              <w:left w:val="nil"/>
              <w:bottom w:val="nil"/>
              <w:right w:val="nil"/>
            </w:tcBorders>
          </w:tcPr>
          <w:p>
            <w:pPr>
              <w:pStyle w:val="TableParagraph"/>
              <w:jc w:val="left"/>
              <w:rPr>
                <w:sz w:val="20"/>
              </w:rPr>
            </w:pPr>
          </w:p>
          <w:p>
            <w:pPr>
              <w:pStyle w:val="TableParagraph"/>
              <w:spacing w:before="150"/>
              <w:ind w:left="235" w:right="172"/>
              <w:rPr>
                <w:sz w:val="12"/>
              </w:rPr>
            </w:pPr>
            <w:r>
              <w:rPr>
                <w:sz w:val="18"/>
              </w:rPr>
              <w:t>0.81</w:t>
            </w:r>
            <w:r>
              <w:rPr>
                <w:position w:val="8"/>
                <w:sz w:val="12"/>
              </w:rPr>
              <w:t>x</w:t>
            </w:r>
          </w:p>
        </w:tc>
        <w:tc>
          <w:tcPr>
            <w:tcW w:w="831" w:type="dxa"/>
            <w:tcBorders>
              <w:left w:val="nil"/>
              <w:bottom w:val="nil"/>
              <w:right w:val="nil"/>
            </w:tcBorders>
          </w:tcPr>
          <w:p>
            <w:pPr>
              <w:pStyle w:val="TableParagraph"/>
              <w:jc w:val="left"/>
              <w:rPr>
                <w:sz w:val="20"/>
              </w:rPr>
            </w:pPr>
          </w:p>
          <w:p>
            <w:pPr>
              <w:pStyle w:val="TableParagraph"/>
              <w:spacing w:before="150"/>
              <w:ind w:left="233"/>
              <w:jc w:val="left"/>
              <w:rPr>
                <w:sz w:val="12"/>
              </w:rPr>
            </w:pPr>
            <w:r>
              <w:rPr>
                <w:sz w:val="18"/>
              </w:rPr>
              <w:t>0.73</w:t>
            </w:r>
            <w:r>
              <w:rPr>
                <w:position w:val="8"/>
                <w:sz w:val="12"/>
              </w:rPr>
              <w:t>y</w:t>
            </w:r>
          </w:p>
        </w:tc>
        <w:tc>
          <w:tcPr>
            <w:tcW w:w="705" w:type="dxa"/>
            <w:tcBorders>
              <w:left w:val="nil"/>
              <w:bottom w:val="nil"/>
              <w:right w:val="nil"/>
            </w:tcBorders>
          </w:tcPr>
          <w:p>
            <w:pPr>
              <w:pStyle w:val="TableParagraph"/>
              <w:jc w:val="left"/>
              <w:rPr>
                <w:sz w:val="18"/>
              </w:rPr>
            </w:pPr>
          </w:p>
          <w:p>
            <w:pPr>
              <w:pStyle w:val="TableParagraph"/>
              <w:spacing w:before="1"/>
              <w:jc w:val="left"/>
              <w:rPr>
                <w:sz w:val="17"/>
              </w:rPr>
            </w:pPr>
          </w:p>
          <w:p>
            <w:pPr>
              <w:pStyle w:val="TableParagraph"/>
              <w:spacing w:before="1"/>
              <w:ind w:right="122"/>
              <w:jc w:val="right"/>
              <w:rPr>
                <w:sz w:val="18"/>
              </w:rPr>
            </w:pPr>
            <w:r>
              <w:rPr>
                <w:sz w:val="18"/>
              </w:rPr>
              <w:t>0.014</w:t>
            </w:r>
          </w:p>
        </w:tc>
        <w:tc>
          <w:tcPr>
            <w:tcW w:w="785" w:type="dxa"/>
            <w:tcBorders>
              <w:left w:val="nil"/>
              <w:bottom w:val="nil"/>
              <w:right w:val="nil"/>
            </w:tcBorders>
          </w:tcPr>
          <w:p>
            <w:pPr>
              <w:pStyle w:val="TableParagraph"/>
              <w:jc w:val="left"/>
              <w:rPr>
                <w:sz w:val="18"/>
              </w:rPr>
            </w:pPr>
          </w:p>
          <w:p>
            <w:pPr>
              <w:pStyle w:val="TableParagraph"/>
              <w:spacing w:before="1"/>
              <w:jc w:val="left"/>
              <w:rPr>
                <w:sz w:val="17"/>
              </w:rPr>
            </w:pPr>
          </w:p>
          <w:p>
            <w:pPr>
              <w:pStyle w:val="TableParagraph"/>
              <w:spacing w:before="1"/>
              <w:ind w:left="109" w:right="128"/>
              <w:rPr>
                <w:sz w:val="18"/>
              </w:rPr>
            </w:pPr>
            <w:r>
              <w:rPr>
                <w:sz w:val="18"/>
              </w:rPr>
              <w:t>&lt;.0001</w:t>
            </w:r>
          </w:p>
        </w:tc>
        <w:tc>
          <w:tcPr>
            <w:tcW w:w="797" w:type="dxa"/>
            <w:tcBorders>
              <w:left w:val="nil"/>
              <w:bottom w:val="nil"/>
              <w:right w:val="nil"/>
            </w:tcBorders>
          </w:tcPr>
          <w:p>
            <w:pPr>
              <w:pStyle w:val="TableParagraph"/>
              <w:jc w:val="left"/>
              <w:rPr>
                <w:sz w:val="18"/>
              </w:rPr>
            </w:pPr>
          </w:p>
          <w:p>
            <w:pPr>
              <w:pStyle w:val="TableParagraph"/>
              <w:spacing w:before="1"/>
              <w:jc w:val="left"/>
              <w:rPr>
                <w:sz w:val="17"/>
              </w:rPr>
            </w:pPr>
          </w:p>
          <w:p>
            <w:pPr>
              <w:pStyle w:val="TableParagraph"/>
              <w:spacing w:before="1"/>
              <w:ind w:left="130" w:right="132"/>
              <w:rPr>
                <w:sz w:val="18"/>
              </w:rPr>
            </w:pPr>
            <w:r>
              <w:rPr>
                <w:sz w:val="18"/>
              </w:rPr>
              <w:t>0.0001</w:t>
            </w:r>
          </w:p>
        </w:tc>
        <w:tc>
          <w:tcPr>
            <w:tcW w:w="681" w:type="dxa"/>
            <w:tcBorders>
              <w:left w:val="nil"/>
              <w:bottom w:val="nil"/>
              <w:right w:val="nil"/>
            </w:tcBorders>
          </w:tcPr>
          <w:p>
            <w:pPr>
              <w:pStyle w:val="TableParagraph"/>
              <w:jc w:val="left"/>
              <w:rPr>
                <w:sz w:val="18"/>
              </w:rPr>
            </w:pPr>
          </w:p>
          <w:p>
            <w:pPr>
              <w:pStyle w:val="TableParagraph"/>
              <w:spacing w:before="1"/>
              <w:jc w:val="left"/>
              <w:rPr>
                <w:sz w:val="17"/>
              </w:rPr>
            </w:pPr>
          </w:p>
          <w:p>
            <w:pPr>
              <w:pStyle w:val="TableParagraph"/>
              <w:spacing w:before="1"/>
              <w:ind w:right="28"/>
              <w:jc w:val="right"/>
              <w:rPr>
                <w:sz w:val="18"/>
              </w:rPr>
            </w:pPr>
            <w:r>
              <w:rPr>
                <w:sz w:val="18"/>
              </w:rPr>
              <w:t>0.4264</w:t>
            </w:r>
          </w:p>
        </w:tc>
        <w:tc>
          <w:tcPr>
            <w:tcW w:w="123" w:type="dxa"/>
            <w:tcBorders>
              <w:top w:val="nil"/>
              <w:left w:val="nil"/>
              <w:bottom w:val="nil"/>
              <w:right w:val="nil"/>
            </w:tcBorders>
          </w:tcPr>
          <w:p>
            <w:pPr/>
          </w:p>
        </w:tc>
      </w:tr>
      <w:tr>
        <w:trPr>
          <w:trHeight w:val="459" w:hRule="exact"/>
        </w:trPr>
        <w:tc>
          <w:tcPr>
            <w:tcW w:w="273" w:type="dxa"/>
            <w:tcBorders>
              <w:top w:val="nil"/>
              <w:left w:val="nil"/>
              <w:bottom w:val="nil"/>
              <w:right w:val="nil"/>
            </w:tcBorders>
          </w:tcPr>
          <w:p>
            <w:pPr/>
          </w:p>
        </w:tc>
        <w:tc>
          <w:tcPr>
            <w:tcW w:w="1052" w:type="dxa"/>
            <w:tcBorders>
              <w:top w:val="nil"/>
              <w:left w:val="nil"/>
              <w:bottom w:val="nil"/>
              <w:right w:val="nil"/>
            </w:tcBorders>
          </w:tcPr>
          <w:p>
            <w:pPr>
              <w:pStyle w:val="TableParagraph"/>
              <w:spacing w:before="130"/>
              <w:ind w:left="125"/>
              <w:jc w:val="left"/>
              <w:rPr>
                <w:sz w:val="12"/>
              </w:rPr>
            </w:pPr>
            <w:r>
              <w:rPr>
                <w:sz w:val="18"/>
              </w:rPr>
              <w:t>SFA</w:t>
            </w:r>
            <w:r>
              <w:rPr>
                <w:position w:val="8"/>
                <w:sz w:val="12"/>
              </w:rPr>
              <w:t>¶</w:t>
            </w:r>
          </w:p>
        </w:tc>
        <w:tc>
          <w:tcPr>
            <w:tcW w:w="892" w:type="dxa"/>
            <w:tcBorders>
              <w:top w:val="nil"/>
              <w:left w:val="nil"/>
              <w:bottom w:val="nil"/>
              <w:right w:val="nil"/>
            </w:tcBorders>
          </w:tcPr>
          <w:p>
            <w:pPr>
              <w:pStyle w:val="TableParagraph"/>
              <w:spacing w:before="130"/>
              <w:ind w:right="128"/>
              <w:jc w:val="right"/>
              <w:rPr>
                <w:sz w:val="12"/>
              </w:rPr>
            </w:pPr>
            <w:r>
              <w:rPr>
                <w:sz w:val="18"/>
              </w:rPr>
              <w:t>68.02</w:t>
            </w:r>
            <w:r>
              <w:rPr>
                <w:position w:val="8"/>
                <w:sz w:val="12"/>
              </w:rPr>
              <w:t>b</w:t>
            </w:r>
          </w:p>
        </w:tc>
        <w:tc>
          <w:tcPr>
            <w:tcW w:w="773" w:type="dxa"/>
            <w:tcBorders>
              <w:top w:val="nil"/>
              <w:left w:val="nil"/>
              <w:bottom w:val="nil"/>
              <w:right w:val="nil"/>
            </w:tcBorders>
          </w:tcPr>
          <w:p>
            <w:pPr>
              <w:pStyle w:val="TableParagraph"/>
              <w:spacing w:before="130"/>
              <w:ind w:left="111" w:right="102"/>
              <w:rPr>
                <w:sz w:val="12"/>
              </w:rPr>
            </w:pPr>
            <w:r>
              <w:rPr>
                <w:sz w:val="18"/>
              </w:rPr>
              <w:t>69.43</w:t>
            </w:r>
            <w:r>
              <w:rPr>
                <w:position w:val="8"/>
                <w:sz w:val="12"/>
              </w:rPr>
              <w:t>ab</w:t>
            </w:r>
          </w:p>
        </w:tc>
        <w:tc>
          <w:tcPr>
            <w:tcW w:w="720" w:type="dxa"/>
            <w:tcBorders>
              <w:top w:val="nil"/>
              <w:left w:val="nil"/>
              <w:bottom w:val="nil"/>
              <w:right w:val="nil"/>
            </w:tcBorders>
          </w:tcPr>
          <w:p>
            <w:pPr>
              <w:pStyle w:val="TableParagraph"/>
              <w:spacing w:before="130"/>
              <w:ind w:left="104" w:right="108"/>
              <w:rPr>
                <w:sz w:val="12"/>
              </w:rPr>
            </w:pPr>
            <w:r>
              <w:rPr>
                <w:sz w:val="18"/>
              </w:rPr>
              <w:t>70.58</w:t>
            </w:r>
            <w:r>
              <w:rPr>
                <w:position w:val="8"/>
                <w:sz w:val="12"/>
              </w:rPr>
              <w:t>a</w:t>
            </w:r>
          </w:p>
        </w:tc>
        <w:tc>
          <w:tcPr>
            <w:tcW w:w="798" w:type="dxa"/>
            <w:tcBorders>
              <w:top w:val="nil"/>
              <w:left w:val="nil"/>
              <w:bottom w:val="nil"/>
              <w:right w:val="nil"/>
            </w:tcBorders>
          </w:tcPr>
          <w:p>
            <w:pPr>
              <w:pStyle w:val="TableParagraph"/>
              <w:spacing w:before="154"/>
              <w:ind w:left="130"/>
              <w:jc w:val="left"/>
              <w:rPr>
                <w:sz w:val="18"/>
              </w:rPr>
            </w:pPr>
            <w:r>
              <w:rPr>
                <w:sz w:val="18"/>
              </w:rPr>
              <w:t>0.561</w:t>
            </w:r>
          </w:p>
        </w:tc>
        <w:tc>
          <w:tcPr>
            <w:tcW w:w="919" w:type="dxa"/>
            <w:tcBorders>
              <w:top w:val="nil"/>
              <w:left w:val="nil"/>
              <w:bottom w:val="nil"/>
              <w:right w:val="nil"/>
            </w:tcBorders>
          </w:tcPr>
          <w:p>
            <w:pPr>
              <w:pStyle w:val="TableParagraph"/>
              <w:spacing w:before="130"/>
              <w:ind w:left="240" w:right="172"/>
              <w:rPr>
                <w:sz w:val="12"/>
              </w:rPr>
            </w:pPr>
            <w:r>
              <w:rPr>
                <w:sz w:val="18"/>
              </w:rPr>
              <w:t>68.86</w:t>
            </w:r>
            <w:r>
              <w:rPr>
                <w:position w:val="8"/>
                <w:sz w:val="12"/>
              </w:rPr>
              <w:t>y</w:t>
            </w:r>
          </w:p>
        </w:tc>
        <w:tc>
          <w:tcPr>
            <w:tcW w:w="831" w:type="dxa"/>
            <w:tcBorders>
              <w:top w:val="nil"/>
              <w:left w:val="nil"/>
              <w:bottom w:val="nil"/>
              <w:right w:val="nil"/>
            </w:tcBorders>
          </w:tcPr>
          <w:p>
            <w:pPr>
              <w:pStyle w:val="TableParagraph"/>
              <w:spacing w:before="130"/>
              <w:ind w:left="190"/>
              <w:jc w:val="left"/>
              <w:rPr>
                <w:sz w:val="12"/>
              </w:rPr>
            </w:pPr>
            <w:r>
              <w:rPr>
                <w:sz w:val="18"/>
              </w:rPr>
              <w:t>70.29</w:t>
            </w:r>
            <w:r>
              <w:rPr>
                <w:position w:val="8"/>
                <w:sz w:val="12"/>
              </w:rPr>
              <w:t>x</w:t>
            </w:r>
          </w:p>
        </w:tc>
        <w:tc>
          <w:tcPr>
            <w:tcW w:w="705" w:type="dxa"/>
            <w:tcBorders>
              <w:top w:val="nil"/>
              <w:left w:val="nil"/>
              <w:bottom w:val="nil"/>
              <w:right w:val="nil"/>
            </w:tcBorders>
          </w:tcPr>
          <w:p>
            <w:pPr>
              <w:pStyle w:val="TableParagraph"/>
              <w:spacing w:before="154"/>
              <w:ind w:right="122"/>
              <w:jc w:val="right"/>
              <w:rPr>
                <w:sz w:val="18"/>
              </w:rPr>
            </w:pPr>
            <w:r>
              <w:rPr>
                <w:sz w:val="18"/>
              </w:rPr>
              <w:t>0.459</w:t>
            </w:r>
          </w:p>
        </w:tc>
        <w:tc>
          <w:tcPr>
            <w:tcW w:w="785" w:type="dxa"/>
            <w:tcBorders>
              <w:top w:val="nil"/>
              <w:left w:val="nil"/>
              <w:bottom w:val="nil"/>
              <w:right w:val="nil"/>
            </w:tcBorders>
          </w:tcPr>
          <w:p>
            <w:pPr>
              <w:pStyle w:val="TableParagraph"/>
              <w:spacing w:before="154"/>
              <w:ind w:left="109" w:right="124"/>
              <w:rPr>
                <w:sz w:val="18"/>
              </w:rPr>
            </w:pPr>
            <w:r>
              <w:rPr>
                <w:sz w:val="18"/>
              </w:rPr>
              <w:t>0.0013</w:t>
            </w:r>
          </w:p>
        </w:tc>
        <w:tc>
          <w:tcPr>
            <w:tcW w:w="797" w:type="dxa"/>
            <w:tcBorders>
              <w:top w:val="nil"/>
              <w:left w:val="nil"/>
              <w:bottom w:val="nil"/>
              <w:right w:val="nil"/>
            </w:tcBorders>
          </w:tcPr>
          <w:p>
            <w:pPr>
              <w:pStyle w:val="TableParagraph"/>
              <w:spacing w:before="154"/>
              <w:ind w:left="130" w:right="132"/>
              <w:rPr>
                <w:sz w:val="18"/>
              </w:rPr>
            </w:pPr>
            <w:r>
              <w:rPr>
                <w:sz w:val="18"/>
              </w:rPr>
              <w:t>0.0294</w:t>
            </w:r>
          </w:p>
        </w:tc>
        <w:tc>
          <w:tcPr>
            <w:tcW w:w="681" w:type="dxa"/>
            <w:tcBorders>
              <w:top w:val="nil"/>
              <w:left w:val="nil"/>
              <w:bottom w:val="nil"/>
              <w:right w:val="nil"/>
            </w:tcBorders>
          </w:tcPr>
          <w:p>
            <w:pPr>
              <w:pStyle w:val="TableParagraph"/>
              <w:spacing w:before="154"/>
              <w:ind w:right="28"/>
              <w:jc w:val="right"/>
              <w:rPr>
                <w:sz w:val="18"/>
              </w:rPr>
            </w:pPr>
            <w:r>
              <w:rPr>
                <w:sz w:val="18"/>
              </w:rPr>
              <w:t>0.3024</w:t>
            </w:r>
          </w:p>
        </w:tc>
        <w:tc>
          <w:tcPr>
            <w:tcW w:w="123" w:type="dxa"/>
            <w:tcBorders>
              <w:top w:val="nil"/>
              <w:left w:val="nil"/>
              <w:bottom w:val="nil"/>
              <w:right w:val="nil"/>
            </w:tcBorders>
          </w:tcPr>
          <w:p>
            <w:pPr/>
          </w:p>
        </w:tc>
      </w:tr>
      <w:tr>
        <w:trPr>
          <w:trHeight w:val="460" w:hRule="exact"/>
        </w:trPr>
        <w:tc>
          <w:tcPr>
            <w:tcW w:w="273" w:type="dxa"/>
            <w:tcBorders>
              <w:top w:val="nil"/>
              <w:left w:val="nil"/>
              <w:bottom w:val="nil"/>
              <w:right w:val="nil"/>
            </w:tcBorders>
          </w:tcPr>
          <w:p>
            <w:pPr/>
          </w:p>
        </w:tc>
        <w:tc>
          <w:tcPr>
            <w:tcW w:w="1052" w:type="dxa"/>
            <w:tcBorders>
              <w:top w:val="nil"/>
              <w:left w:val="nil"/>
              <w:bottom w:val="nil"/>
              <w:right w:val="nil"/>
            </w:tcBorders>
          </w:tcPr>
          <w:p>
            <w:pPr>
              <w:pStyle w:val="TableParagraph"/>
              <w:spacing w:before="123"/>
              <w:ind w:left="125"/>
              <w:jc w:val="left"/>
              <w:rPr>
                <w:sz w:val="12"/>
              </w:rPr>
            </w:pPr>
            <w:r>
              <w:rPr>
                <w:sz w:val="18"/>
              </w:rPr>
              <w:t>MUFA</w:t>
            </w:r>
            <w:r>
              <w:rPr>
                <w:position w:val="8"/>
                <w:sz w:val="12"/>
              </w:rPr>
              <w:t>¶¶</w:t>
            </w:r>
          </w:p>
        </w:tc>
        <w:tc>
          <w:tcPr>
            <w:tcW w:w="892" w:type="dxa"/>
            <w:tcBorders>
              <w:top w:val="nil"/>
              <w:left w:val="nil"/>
              <w:bottom w:val="nil"/>
              <w:right w:val="nil"/>
            </w:tcBorders>
          </w:tcPr>
          <w:p>
            <w:pPr>
              <w:pStyle w:val="TableParagraph"/>
              <w:spacing w:before="123"/>
              <w:ind w:right="130"/>
              <w:jc w:val="right"/>
              <w:rPr>
                <w:sz w:val="12"/>
              </w:rPr>
            </w:pPr>
            <w:r>
              <w:rPr>
                <w:sz w:val="18"/>
              </w:rPr>
              <w:t>29.01</w:t>
            </w:r>
            <w:r>
              <w:rPr>
                <w:position w:val="8"/>
                <w:sz w:val="12"/>
              </w:rPr>
              <w:t>a</w:t>
            </w:r>
          </w:p>
        </w:tc>
        <w:tc>
          <w:tcPr>
            <w:tcW w:w="773" w:type="dxa"/>
            <w:tcBorders>
              <w:top w:val="nil"/>
              <w:left w:val="nil"/>
              <w:bottom w:val="nil"/>
              <w:right w:val="nil"/>
            </w:tcBorders>
          </w:tcPr>
          <w:p>
            <w:pPr>
              <w:pStyle w:val="TableParagraph"/>
              <w:spacing w:before="123"/>
              <w:ind w:left="111" w:right="102"/>
              <w:rPr>
                <w:sz w:val="12"/>
              </w:rPr>
            </w:pPr>
            <w:r>
              <w:rPr>
                <w:sz w:val="18"/>
              </w:rPr>
              <w:t>27.69</w:t>
            </w:r>
            <w:r>
              <w:rPr>
                <w:position w:val="8"/>
                <w:sz w:val="12"/>
              </w:rPr>
              <w:t>ab</w:t>
            </w:r>
          </w:p>
        </w:tc>
        <w:tc>
          <w:tcPr>
            <w:tcW w:w="720" w:type="dxa"/>
            <w:tcBorders>
              <w:top w:val="nil"/>
              <w:left w:val="nil"/>
              <w:bottom w:val="nil"/>
              <w:right w:val="nil"/>
            </w:tcBorders>
          </w:tcPr>
          <w:p>
            <w:pPr>
              <w:pStyle w:val="TableParagraph"/>
              <w:spacing w:before="123"/>
              <w:ind w:left="104" w:right="111"/>
              <w:rPr>
                <w:sz w:val="12"/>
              </w:rPr>
            </w:pPr>
            <w:r>
              <w:rPr>
                <w:sz w:val="18"/>
              </w:rPr>
              <w:t>26.54</w:t>
            </w:r>
            <w:r>
              <w:rPr>
                <w:position w:val="8"/>
                <w:sz w:val="12"/>
              </w:rPr>
              <w:t>b</w:t>
            </w:r>
          </w:p>
        </w:tc>
        <w:tc>
          <w:tcPr>
            <w:tcW w:w="798" w:type="dxa"/>
            <w:tcBorders>
              <w:top w:val="nil"/>
              <w:left w:val="nil"/>
              <w:bottom w:val="nil"/>
              <w:right w:val="nil"/>
            </w:tcBorders>
          </w:tcPr>
          <w:p>
            <w:pPr>
              <w:pStyle w:val="TableParagraph"/>
              <w:spacing w:before="147"/>
              <w:ind w:left="130"/>
              <w:jc w:val="left"/>
              <w:rPr>
                <w:sz w:val="18"/>
              </w:rPr>
            </w:pPr>
            <w:r>
              <w:rPr>
                <w:sz w:val="18"/>
              </w:rPr>
              <w:t>0.513</w:t>
            </w:r>
          </w:p>
        </w:tc>
        <w:tc>
          <w:tcPr>
            <w:tcW w:w="919" w:type="dxa"/>
            <w:tcBorders>
              <w:top w:val="nil"/>
              <w:left w:val="nil"/>
              <w:bottom w:val="nil"/>
              <w:right w:val="nil"/>
            </w:tcBorders>
          </w:tcPr>
          <w:p>
            <w:pPr>
              <w:pStyle w:val="TableParagraph"/>
              <w:spacing w:before="123"/>
              <w:ind w:left="240" w:right="172"/>
              <w:rPr>
                <w:sz w:val="12"/>
              </w:rPr>
            </w:pPr>
            <w:r>
              <w:rPr>
                <w:sz w:val="18"/>
              </w:rPr>
              <w:t>28.20</w:t>
            </w:r>
            <w:r>
              <w:rPr>
                <w:position w:val="8"/>
                <w:sz w:val="12"/>
              </w:rPr>
              <w:t>x</w:t>
            </w:r>
          </w:p>
        </w:tc>
        <w:tc>
          <w:tcPr>
            <w:tcW w:w="831" w:type="dxa"/>
            <w:tcBorders>
              <w:top w:val="nil"/>
              <w:left w:val="nil"/>
              <w:bottom w:val="nil"/>
              <w:right w:val="nil"/>
            </w:tcBorders>
          </w:tcPr>
          <w:p>
            <w:pPr>
              <w:pStyle w:val="TableParagraph"/>
              <w:spacing w:before="123"/>
              <w:ind w:left="190"/>
              <w:jc w:val="left"/>
              <w:rPr>
                <w:sz w:val="12"/>
              </w:rPr>
            </w:pPr>
            <w:r>
              <w:rPr>
                <w:sz w:val="18"/>
              </w:rPr>
              <w:t>26.84</w:t>
            </w:r>
            <w:r>
              <w:rPr>
                <w:position w:val="8"/>
                <w:sz w:val="12"/>
              </w:rPr>
              <w:t>y</w:t>
            </w:r>
          </w:p>
        </w:tc>
        <w:tc>
          <w:tcPr>
            <w:tcW w:w="705" w:type="dxa"/>
            <w:tcBorders>
              <w:top w:val="nil"/>
              <w:left w:val="nil"/>
              <w:bottom w:val="nil"/>
              <w:right w:val="nil"/>
            </w:tcBorders>
          </w:tcPr>
          <w:p>
            <w:pPr>
              <w:pStyle w:val="TableParagraph"/>
              <w:spacing w:before="147"/>
              <w:ind w:right="122"/>
              <w:jc w:val="right"/>
              <w:rPr>
                <w:sz w:val="18"/>
              </w:rPr>
            </w:pPr>
            <w:r>
              <w:rPr>
                <w:sz w:val="18"/>
              </w:rPr>
              <w:t>0.419</w:t>
            </w:r>
          </w:p>
        </w:tc>
        <w:tc>
          <w:tcPr>
            <w:tcW w:w="785" w:type="dxa"/>
            <w:tcBorders>
              <w:top w:val="nil"/>
              <w:left w:val="nil"/>
              <w:bottom w:val="nil"/>
              <w:right w:val="nil"/>
            </w:tcBorders>
          </w:tcPr>
          <w:p>
            <w:pPr>
              <w:pStyle w:val="TableParagraph"/>
              <w:spacing w:before="147"/>
              <w:ind w:left="109" w:right="124"/>
              <w:rPr>
                <w:sz w:val="18"/>
              </w:rPr>
            </w:pPr>
            <w:r>
              <w:rPr>
                <w:sz w:val="18"/>
              </w:rPr>
              <w:t>0.0007</w:t>
            </w:r>
          </w:p>
        </w:tc>
        <w:tc>
          <w:tcPr>
            <w:tcW w:w="797" w:type="dxa"/>
            <w:tcBorders>
              <w:top w:val="nil"/>
              <w:left w:val="nil"/>
              <w:bottom w:val="nil"/>
              <w:right w:val="nil"/>
            </w:tcBorders>
          </w:tcPr>
          <w:p>
            <w:pPr>
              <w:pStyle w:val="TableParagraph"/>
              <w:spacing w:before="147"/>
              <w:ind w:left="130" w:right="132"/>
              <w:rPr>
                <w:sz w:val="18"/>
              </w:rPr>
            </w:pPr>
            <w:r>
              <w:rPr>
                <w:sz w:val="18"/>
              </w:rPr>
              <w:t>0.0239</w:t>
            </w:r>
          </w:p>
        </w:tc>
        <w:tc>
          <w:tcPr>
            <w:tcW w:w="681" w:type="dxa"/>
            <w:tcBorders>
              <w:top w:val="nil"/>
              <w:left w:val="nil"/>
              <w:bottom w:val="nil"/>
              <w:right w:val="nil"/>
            </w:tcBorders>
          </w:tcPr>
          <w:p>
            <w:pPr>
              <w:pStyle w:val="TableParagraph"/>
              <w:spacing w:before="147"/>
              <w:ind w:right="28"/>
              <w:jc w:val="right"/>
              <w:rPr>
                <w:sz w:val="18"/>
              </w:rPr>
            </w:pPr>
            <w:r>
              <w:rPr>
                <w:sz w:val="18"/>
              </w:rPr>
              <w:t>0.3048</w:t>
            </w:r>
          </w:p>
        </w:tc>
        <w:tc>
          <w:tcPr>
            <w:tcW w:w="123" w:type="dxa"/>
            <w:tcBorders>
              <w:top w:val="nil"/>
              <w:left w:val="nil"/>
              <w:bottom w:val="nil"/>
              <w:right w:val="nil"/>
            </w:tcBorders>
          </w:tcPr>
          <w:p>
            <w:pPr/>
          </w:p>
        </w:tc>
      </w:tr>
      <w:tr>
        <w:trPr>
          <w:trHeight w:val="610" w:hRule="exact"/>
        </w:trPr>
        <w:tc>
          <w:tcPr>
            <w:tcW w:w="273" w:type="dxa"/>
            <w:tcBorders>
              <w:top w:val="nil"/>
              <w:left w:val="nil"/>
              <w:bottom w:val="nil"/>
              <w:right w:val="nil"/>
            </w:tcBorders>
          </w:tcPr>
          <w:p>
            <w:pPr/>
          </w:p>
        </w:tc>
        <w:tc>
          <w:tcPr>
            <w:tcW w:w="1052" w:type="dxa"/>
            <w:tcBorders>
              <w:top w:val="nil"/>
              <w:left w:val="nil"/>
              <w:bottom w:val="single" w:sz="4" w:space="0" w:color="000000"/>
              <w:right w:val="nil"/>
            </w:tcBorders>
          </w:tcPr>
          <w:p>
            <w:pPr>
              <w:pStyle w:val="TableParagraph"/>
              <w:spacing w:before="121"/>
              <w:ind w:left="125"/>
              <w:jc w:val="left"/>
              <w:rPr>
                <w:rFonts w:ascii="Calibri" w:hAnsi="Calibri" w:cs="Calibri" w:eastAsia="Calibri"/>
                <w:sz w:val="12"/>
                <w:szCs w:val="12"/>
              </w:rPr>
            </w:pPr>
            <w:r>
              <w:rPr>
                <w:sz w:val="18"/>
                <w:szCs w:val="18"/>
              </w:rPr>
              <w:t>PUFA</w:t>
            </w:r>
            <w:r>
              <w:rPr>
                <w:rFonts w:ascii="Calibri" w:hAnsi="Calibri" w:cs="Calibri" w:eastAsia="Calibri"/>
                <w:position w:val="9"/>
                <w:sz w:val="12"/>
                <w:szCs w:val="12"/>
              </w:rPr>
              <w:t>Ԑ</w:t>
            </w:r>
          </w:p>
        </w:tc>
        <w:tc>
          <w:tcPr>
            <w:tcW w:w="892" w:type="dxa"/>
            <w:tcBorders>
              <w:top w:val="nil"/>
              <w:left w:val="nil"/>
              <w:bottom w:val="single" w:sz="4" w:space="0" w:color="000000"/>
              <w:right w:val="nil"/>
            </w:tcBorders>
          </w:tcPr>
          <w:p>
            <w:pPr>
              <w:pStyle w:val="TableParagraph"/>
              <w:spacing w:before="153"/>
              <w:ind w:right="198"/>
              <w:jc w:val="right"/>
              <w:rPr>
                <w:sz w:val="18"/>
              </w:rPr>
            </w:pPr>
            <w:r>
              <w:rPr>
                <w:sz w:val="18"/>
              </w:rPr>
              <w:t>2.97</w:t>
            </w:r>
          </w:p>
        </w:tc>
        <w:tc>
          <w:tcPr>
            <w:tcW w:w="773" w:type="dxa"/>
            <w:tcBorders>
              <w:top w:val="nil"/>
              <w:left w:val="nil"/>
              <w:bottom w:val="single" w:sz="4" w:space="0" w:color="000000"/>
              <w:right w:val="nil"/>
            </w:tcBorders>
          </w:tcPr>
          <w:p>
            <w:pPr>
              <w:pStyle w:val="TableParagraph"/>
              <w:spacing w:before="153"/>
              <w:ind w:left="111" w:right="100"/>
              <w:rPr>
                <w:sz w:val="18"/>
              </w:rPr>
            </w:pPr>
            <w:r>
              <w:rPr>
                <w:sz w:val="18"/>
              </w:rPr>
              <w:t>2.88</w:t>
            </w:r>
          </w:p>
        </w:tc>
        <w:tc>
          <w:tcPr>
            <w:tcW w:w="720" w:type="dxa"/>
            <w:tcBorders>
              <w:top w:val="nil"/>
              <w:left w:val="nil"/>
              <w:bottom w:val="single" w:sz="4" w:space="0" w:color="000000"/>
              <w:right w:val="nil"/>
            </w:tcBorders>
          </w:tcPr>
          <w:p>
            <w:pPr>
              <w:pStyle w:val="TableParagraph"/>
              <w:spacing w:before="153"/>
              <w:ind w:left="102" w:right="111"/>
              <w:rPr>
                <w:sz w:val="18"/>
              </w:rPr>
            </w:pPr>
            <w:r>
              <w:rPr>
                <w:sz w:val="18"/>
              </w:rPr>
              <w:t>2.88</w:t>
            </w:r>
          </w:p>
        </w:tc>
        <w:tc>
          <w:tcPr>
            <w:tcW w:w="798" w:type="dxa"/>
            <w:tcBorders>
              <w:top w:val="nil"/>
              <w:left w:val="nil"/>
              <w:bottom w:val="single" w:sz="4" w:space="0" w:color="000000"/>
              <w:right w:val="nil"/>
            </w:tcBorders>
          </w:tcPr>
          <w:p>
            <w:pPr>
              <w:pStyle w:val="TableParagraph"/>
              <w:spacing w:before="153"/>
              <w:ind w:left="130"/>
              <w:jc w:val="left"/>
              <w:rPr>
                <w:sz w:val="18"/>
              </w:rPr>
            </w:pPr>
            <w:r>
              <w:rPr>
                <w:sz w:val="18"/>
              </w:rPr>
              <w:t>0.064</w:t>
            </w:r>
          </w:p>
        </w:tc>
        <w:tc>
          <w:tcPr>
            <w:tcW w:w="919" w:type="dxa"/>
            <w:tcBorders>
              <w:top w:val="nil"/>
              <w:left w:val="nil"/>
              <w:bottom w:val="single" w:sz="4" w:space="0" w:color="000000"/>
              <w:right w:val="nil"/>
            </w:tcBorders>
          </w:tcPr>
          <w:p>
            <w:pPr>
              <w:pStyle w:val="TableParagraph"/>
              <w:spacing w:before="153"/>
              <w:ind w:left="237" w:right="172"/>
              <w:rPr>
                <w:sz w:val="18"/>
              </w:rPr>
            </w:pPr>
            <w:r>
              <w:rPr>
                <w:sz w:val="18"/>
              </w:rPr>
              <w:t>2.94</w:t>
            </w:r>
          </w:p>
        </w:tc>
        <w:tc>
          <w:tcPr>
            <w:tcW w:w="831" w:type="dxa"/>
            <w:tcBorders>
              <w:top w:val="nil"/>
              <w:left w:val="nil"/>
              <w:bottom w:val="single" w:sz="4" w:space="0" w:color="000000"/>
              <w:right w:val="nil"/>
            </w:tcBorders>
          </w:tcPr>
          <w:p>
            <w:pPr>
              <w:pStyle w:val="TableParagraph"/>
              <w:spacing w:before="153"/>
              <w:ind w:left="262"/>
              <w:jc w:val="left"/>
              <w:rPr>
                <w:sz w:val="18"/>
              </w:rPr>
            </w:pPr>
            <w:r>
              <w:rPr>
                <w:sz w:val="18"/>
              </w:rPr>
              <w:t>2.87</w:t>
            </w:r>
          </w:p>
        </w:tc>
        <w:tc>
          <w:tcPr>
            <w:tcW w:w="705" w:type="dxa"/>
            <w:tcBorders>
              <w:top w:val="nil"/>
              <w:left w:val="nil"/>
              <w:bottom w:val="single" w:sz="4" w:space="0" w:color="000000"/>
              <w:right w:val="nil"/>
            </w:tcBorders>
          </w:tcPr>
          <w:p>
            <w:pPr>
              <w:pStyle w:val="TableParagraph"/>
              <w:spacing w:before="153"/>
              <w:ind w:right="122"/>
              <w:jc w:val="right"/>
              <w:rPr>
                <w:sz w:val="18"/>
              </w:rPr>
            </w:pPr>
            <w:r>
              <w:rPr>
                <w:sz w:val="18"/>
              </w:rPr>
              <w:t>0.053</w:t>
            </w:r>
          </w:p>
        </w:tc>
        <w:tc>
          <w:tcPr>
            <w:tcW w:w="785" w:type="dxa"/>
            <w:tcBorders>
              <w:top w:val="nil"/>
              <w:left w:val="nil"/>
              <w:bottom w:val="single" w:sz="4" w:space="0" w:color="000000"/>
              <w:right w:val="nil"/>
            </w:tcBorders>
          </w:tcPr>
          <w:p>
            <w:pPr>
              <w:pStyle w:val="TableParagraph"/>
              <w:spacing w:before="153"/>
              <w:ind w:left="109" w:right="124"/>
              <w:rPr>
                <w:sz w:val="18"/>
              </w:rPr>
            </w:pPr>
            <w:r>
              <w:rPr>
                <w:sz w:val="18"/>
              </w:rPr>
              <w:t>0.3125</w:t>
            </w:r>
          </w:p>
        </w:tc>
        <w:tc>
          <w:tcPr>
            <w:tcW w:w="797" w:type="dxa"/>
            <w:tcBorders>
              <w:top w:val="nil"/>
              <w:left w:val="nil"/>
              <w:bottom w:val="single" w:sz="4" w:space="0" w:color="000000"/>
              <w:right w:val="nil"/>
            </w:tcBorders>
          </w:tcPr>
          <w:p>
            <w:pPr>
              <w:pStyle w:val="TableParagraph"/>
              <w:spacing w:before="153"/>
              <w:ind w:left="130" w:right="132"/>
              <w:rPr>
                <w:sz w:val="18"/>
              </w:rPr>
            </w:pPr>
            <w:r>
              <w:rPr>
                <w:sz w:val="18"/>
              </w:rPr>
              <w:t>0.3213</w:t>
            </w:r>
          </w:p>
        </w:tc>
        <w:tc>
          <w:tcPr>
            <w:tcW w:w="681" w:type="dxa"/>
            <w:tcBorders>
              <w:top w:val="nil"/>
              <w:left w:val="nil"/>
              <w:bottom w:val="single" w:sz="4" w:space="0" w:color="000000"/>
              <w:right w:val="nil"/>
            </w:tcBorders>
          </w:tcPr>
          <w:p>
            <w:pPr>
              <w:pStyle w:val="TableParagraph"/>
              <w:spacing w:before="153"/>
              <w:ind w:right="28"/>
              <w:jc w:val="right"/>
              <w:rPr>
                <w:sz w:val="18"/>
              </w:rPr>
            </w:pPr>
            <w:r>
              <w:rPr>
                <w:sz w:val="18"/>
              </w:rPr>
              <w:t>0.4647</w:t>
            </w:r>
          </w:p>
        </w:tc>
        <w:tc>
          <w:tcPr>
            <w:tcW w:w="123" w:type="dxa"/>
            <w:tcBorders>
              <w:top w:val="nil"/>
              <w:left w:val="nil"/>
              <w:bottom w:val="single" w:sz="4" w:space="0" w:color="000000"/>
              <w:right w:val="nil"/>
            </w:tcBorders>
          </w:tcPr>
          <w:p>
            <w:pPr/>
          </w:p>
        </w:tc>
      </w:tr>
    </w:tbl>
    <w:p>
      <w:pPr>
        <w:spacing w:line="239" w:lineRule="exact" w:before="0"/>
        <w:ind w:left="512" w:right="0" w:firstLine="0"/>
        <w:jc w:val="both"/>
        <w:rPr>
          <w:sz w:val="20"/>
        </w:rPr>
      </w:pPr>
      <w:r>
        <w:rPr>
          <w:position w:val="9"/>
          <w:sz w:val="13"/>
        </w:rPr>
        <w:t>abc, xy   </w:t>
      </w:r>
      <w:r>
        <w:rPr>
          <w:sz w:val="20"/>
        </w:rPr>
        <w:t>Valores con distinta literal en la misma hilera son diferentes (P&lt;0.05).</w:t>
      </w:r>
    </w:p>
    <w:p>
      <w:pPr>
        <w:spacing w:line="350" w:lineRule="auto" w:before="91"/>
        <w:ind w:left="512" w:right="221" w:firstLine="0"/>
        <w:jc w:val="both"/>
        <w:rPr>
          <w:sz w:val="20"/>
        </w:rPr>
      </w:pPr>
      <w:r>
        <w:rPr>
          <w:position w:val="9"/>
          <w:sz w:val="13"/>
        </w:rPr>
        <w:t>†</w:t>
      </w:r>
      <w:r>
        <w:rPr>
          <w:sz w:val="20"/>
        </w:rPr>
        <w:t>Nivel de concentrado (C), 3c = complementación de 3.0 </w:t>
      </w:r>
      <w:r>
        <w:rPr>
          <w:spacing w:val="-3"/>
          <w:sz w:val="20"/>
        </w:rPr>
        <w:t>kg </w:t>
      </w:r>
      <w:r>
        <w:rPr>
          <w:sz w:val="20"/>
        </w:rPr>
        <w:t>de concentrado/v/d a vacas H y PS en pastoreo (de 7:00 a 15:00h y de 16:00 a 20:00h); 5c = complementación de 3.0 kg de concentrado/v/d a vacas H y PS en mismo tiempo de pastoreo que 3c; 8c = complementación de 8.0 kg de concentrado/v/d a vacas H y PS en pastoreo (de 7:00 a 15:00h). Todos los tratamientos recibieron ensilado de maíz a libre acceso en la estabulación. </w:t>
      </w:r>
      <w:r>
        <w:rPr>
          <w:position w:val="9"/>
          <w:sz w:val="13"/>
        </w:rPr>
        <w:t>††</w:t>
      </w:r>
      <w:r>
        <w:rPr>
          <w:sz w:val="20"/>
        </w:rPr>
        <w:t>EEM = Error estándar de la media. </w:t>
      </w:r>
      <w:r>
        <w:rPr>
          <w:position w:val="9"/>
          <w:sz w:val="13"/>
        </w:rPr>
        <w:t>‡</w:t>
      </w:r>
      <w:r>
        <w:rPr>
          <w:sz w:val="20"/>
        </w:rPr>
        <w:t>Significancia de los efectos: Nivel de concentrado (C), genotipo (G) y la  interacción nivel  de  concentrado </w:t>
      </w:r>
      <w:r>
        <w:rPr>
          <w:spacing w:val="-4"/>
          <w:sz w:val="20"/>
        </w:rPr>
        <w:t>por  </w:t>
      </w:r>
      <w:r>
        <w:rPr>
          <w:sz w:val="20"/>
        </w:rPr>
        <w:t>genotipo (C*G).  </w:t>
      </w:r>
      <w:r>
        <w:rPr>
          <w:position w:val="9"/>
          <w:sz w:val="13"/>
        </w:rPr>
        <w:t>¶</w:t>
      </w:r>
      <w:r>
        <w:rPr>
          <w:sz w:val="20"/>
        </w:rPr>
        <w:t>AGS  =  Ácidos  grasos</w:t>
      </w:r>
      <w:r>
        <w:rPr>
          <w:spacing w:val="18"/>
          <w:sz w:val="20"/>
        </w:rPr>
        <w:t> </w:t>
      </w:r>
      <w:r>
        <w:rPr>
          <w:sz w:val="20"/>
        </w:rPr>
        <w:t>saturados,</w:t>
      </w:r>
    </w:p>
    <w:p>
      <w:pPr>
        <w:spacing w:line="231" w:lineRule="exact" w:before="0"/>
        <w:ind w:left="512" w:right="0" w:firstLine="0"/>
        <w:jc w:val="both"/>
        <w:rPr>
          <w:sz w:val="20"/>
          <w:szCs w:val="20"/>
        </w:rPr>
      </w:pPr>
      <w:r>
        <w:rPr>
          <w:position w:val="9"/>
          <w:sz w:val="13"/>
          <w:szCs w:val="13"/>
        </w:rPr>
        <w:t>¶¶</w:t>
      </w:r>
      <w:r>
        <w:rPr>
          <w:sz w:val="20"/>
          <w:szCs w:val="20"/>
        </w:rPr>
        <w:t>AGMI = Ácidos grasos polinsaturados, </w:t>
      </w:r>
      <w:r>
        <w:rPr>
          <w:position w:val="9"/>
          <w:sz w:val="13"/>
          <w:szCs w:val="13"/>
        </w:rPr>
        <w:t>Ԑ </w:t>
      </w:r>
      <w:r>
        <w:rPr>
          <w:sz w:val="20"/>
          <w:szCs w:val="20"/>
        </w:rPr>
        <w:t>AGPI = Ácidos grasos polinsaturados.</w:t>
      </w:r>
    </w:p>
    <w:p>
      <w:pPr>
        <w:pStyle w:val="BodyText"/>
        <w:rPr>
          <w:sz w:val="22"/>
        </w:rPr>
      </w:pPr>
    </w:p>
    <w:p>
      <w:pPr>
        <w:pStyle w:val="BodyText"/>
      </w:pPr>
    </w:p>
    <w:p>
      <w:pPr>
        <w:pStyle w:val="BodyText"/>
        <w:spacing w:line="360" w:lineRule="auto"/>
        <w:ind w:left="512" w:right="221"/>
        <w:jc w:val="both"/>
      </w:pPr>
      <w:r>
        <w:rPr/>
        <w:t>No se observaron diferencias (</w:t>
      </w:r>
      <w:r>
        <w:rPr>
          <w:i/>
        </w:rPr>
        <w:t>P</w:t>
      </w:r>
      <w:r>
        <w:rPr/>
        <w:t>˃0.05) en </w:t>
      </w:r>
      <w:r>
        <w:rPr>
          <w:spacing w:val="-3"/>
        </w:rPr>
        <w:t>las </w:t>
      </w:r>
      <w:r>
        <w:rPr/>
        <w:t>concentraciones de palmitoleico (C16:1), vaccénico (C18:1 </w:t>
      </w:r>
      <w:r>
        <w:rPr>
          <w:i/>
        </w:rPr>
        <w:t>trans11</w:t>
      </w:r>
      <w:r>
        <w:rPr/>
        <w:t>) y CLA (C18:2 </w:t>
      </w:r>
      <w:r>
        <w:rPr>
          <w:i/>
        </w:rPr>
        <w:t>cis9 tras11</w:t>
      </w:r>
      <w:r>
        <w:rPr/>
        <w:t>). La concentración de AGS fue  mayor (</w:t>
      </w:r>
      <w:r>
        <w:rPr>
          <w:i/>
        </w:rPr>
        <w:t>P</w:t>
      </w:r>
      <w:r>
        <w:rPr/>
        <w:t>&lt;0.05) en 8c con respecto a 3c (70.58 </w:t>
      </w:r>
      <w:r>
        <w:rPr>
          <w:i/>
        </w:rPr>
        <w:t>vs </w:t>
      </w:r>
      <w:r>
        <w:rPr/>
        <w:t>68.02 g/100g AG). En contraste </w:t>
      </w:r>
      <w:r>
        <w:rPr>
          <w:spacing w:val="-5"/>
        </w:rPr>
        <w:t>la </w:t>
      </w:r>
      <w:r>
        <w:rPr/>
        <w:t>concentración de AGM </w:t>
      </w:r>
      <w:r>
        <w:rPr>
          <w:spacing w:val="-3"/>
        </w:rPr>
        <w:t>fue </w:t>
      </w:r>
      <w:r>
        <w:rPr/>
        <w:t>mayor (</w:t>
      </w:r>
      <w:r>
        <w:rPr>
          <w:i/>
        </w:rPr>
        <w:t>P</w:t>
      </w:r>
      <w:r>
        <w:rPr/>
        <w:t>&lt;0.05) en 3c con respecto a 8c (29.01 </w:t>
      </w:r>
      <w:r>
        <w:rPr>
          <w:i/>
        </w:rPr>
        <w:t>vs </w:t>
      </w:r>
      <w:r>
        <w:rPr/>
        <w:t>26.54 g/100g AG). La concentración de AGPI </w:t>
      </w:r>
      <w:r>
        <w:rPr>
          <w:spacing w:val="-3"/>
        </w:rPr>
        <w:t>no fue </w:t>
      </w:r>
      <w:r>
        <w:rPr/>
        <w:t>afectada (</w:t>
      </w:r>
      <w:r>
        <w:rPr>
          <w:i/>
        </w:rPr>
        <w:t>P</w:t>
      </w:r>
      <w:r>
        <w:rPr/>
        <w:t>˃0.05) por el nivel de</w:t>
      </w:r>
      <w:r>
        <w:rPr>
          <w:spacing w:val="-1"/>
        </w:rPr>
        <w:t> </w:t>
      </w:r>
      <w:r>
        <w:rPr/>
        <w:t>concentrado.</w:t>
      </w:r>
    </w:p>
    <w:p>
      <w:pPr>
        <w:pStyle w:val="BodyText"/>
      </w:pPr>
    </w:p>
    <w:p>
      <w:pPr>
        <w:pStyle w:val="BodyText"/>
        <w:spacing w:line="360" w:lineRule="auto" w:before="146"/>
        <w:ind w:left="512" w:right="222"/>
        <w:jc w:val="both"/>
      </w:pPr>
      <w:r>
        <w:rPr/>
        <w:t>El objetivo de </w:t>
      </w:r>
      <w:r>
        <w:rPr>
          <w:spacing w:val="-5"/>
        </w:rPr>
        <w:t>la </w:t>
      </w:r>
      <w:r>
        <w:rPr/>
        <w:t>complementación de vacas lecheras en pastoreo es incrementar el  consumo total de MS y el consumo de energía para incrementar a su vez </w:t>
      </w:r>
      <w:r>
        <w:rPr>
          <w:spacing w:val="-5"/>
        </w:rPr>
        <w:t>la </w:t>
      </w:r>
      <w:r>
        <w:rPr/>
        <w:t>producción láctea y evitar un balance de energía negativo (Peyraud y Delaby, 2001).  Complementar con altos niveles de concentrado afecta los procesos de biohidrogenación como resultado del </w:t>
      </w:r>
      <w:r>
        <w:rPr>
          <w:spacing w:val="-3"/>
        </w:rPr>
        <w:t>bajo </w:t>
      </w:r>
      <w:r>
        <w:rPr/>
        <w:t>pH ruminal (Lathamn </w:t>
      </w:r>
      <w:r>
        <w:rPr>
          <w:i/>
        </w:rPr>
        <w:t>et al</w:t>
      </w:r>
      <w:r>
        <w:rPr/>
        <w:t>., 1972; Bargo </w:t>
      </w:r>
      <w:r>
        <w:rPr>
          <w:i/>
        </w:rPr>
        <w:t>et al</w:t>
      </w:r>
      <w:r>
        <w:rPr/>
        <w:t>., 2006) y esto a su vez promueve cambios en </w:t>
      </w:r>
      <w:r>
        <w:rPr>
          <w:spacing w:val="-3"/>
        </w:rPr>
        <w:t>la </w:t>
      </w:r>
      <w:r>
        <w:rPr/>
        <w:t>producción de </w:t>
      </w:r>
      <w:r>
        <w:rPr>
          <w:spacing w:val="-3"/>
        </w:rPr>
        <w:t>AG </w:t>
      </w:r>
      <w:r>
        <w:rPr/>
        <w:t>en el rumen y en </w:t>
      </w:r>
      <w:r>
        <w:rPr>
          <w:spacing w:val="-3"/>
        </w:rPr>
        <w:t>la </w:t>
      </w:r>
      <w:r>
        <w:rPr/>
        <w:t>glándula mamaria (Enjalber </w:t>
      </w:r>
      <w:r>
        <w:rPr>
          <w:i/>
        </w:rPr>
        <w:t>et al</w:t>
      </w:r>
      <w:r>
        <w:rPr/>
        <w:t>., 2008) resultando en un incremento en </w:t>
      </w:r>
      <w:r>
        <w:rPr>
          <w:spacing w:val="-5"/>
        </w:rPr>
        <w:t>la </w:t>
      </w:r>
      <w:r>
        <w:rPr/>
        <w:t>insaturación de </w:t>
      </w:r>
      <w:r>
        <w:rPr>
          <w:spacing w:val="-5"/>
        </w:rPr>
        <w:t>la </w:t>
      </w:r>
      <w:r>
        <w:rPr/>
        <w:t>grasa de </w:t>
      </w:r>
      <w:r>
        <w:rPr>
          <w:spacing w:val="-5"/>
        </w:rPr>
        <w:t>la </w:t>
      </w:r>
      <w:r>
        <w:rPr/>
        <w:t>leche (Kemp </w:t>
      </w:r>
      <w:r>
        <w:rPr>
          <w:i/>
        </w:rPr>
        <w:t>et al</w:t>
      </w:r>
      <w:r>
        <w:rPr/>
        <w:t>., 1991). Un pH </w:t>
      </w:r>
      <w:r>
        <w:rPr>
          <w:spacing w:val="-3"/>
        </w:rPr>
        <w:t>bajo </w:t>
      </w:r>
      <w:r>
        <w:rPr/>
        <w:t>en el rumen ocasiona una declinación en </w:t>
      </w:r>
      <w:r>
        <w:rPr>
          <w:spacing w:val="-5"/>
        </w:rPr>
        <w:t>la </w:t>
      </w:r>
      <w:r>
        <w:rPr/>
        <w:t>población bacteriana de </w:t>
      </w:r>
      <w:r>
        <w:rPr>
          <w:i/>
        </w:rPr>
        <w:t>Butyrivibrio fibrisolvens </w:t>
      </w:r>
      <w:r>
        <w:rPr/>
        <w:t>(Kim </w:t>
      </w:r>
      <w:r>
        <w:rPr>
          <w:i/>
        </w:rPr>
        <w:t>et al</w:t>
      </w:r>
      <w:r>
        <w:rPr/>
        <w:t>., 2002), esta bacteria es </w:t>
      </w:r>
      <w:r>
        <w:rPr>
          <w:spacing w:val="-5"/>
        </w:rPr>
        <w:t>la </w:t>
      </w:r>
      <w:r>
        <w:rPr>
          <w:spacing w:val="-3"/>
        </w:rPr>
        <w:t>más </w:t>
      </w:r>
      <w:r>
        <w:rPr/>
        <w:t>importante en los procesos de biohidrogenación para </w:t>
      </w:r>
      <w:r>
        <w:rPr>
          <w:spacing w:val="-5"/>
        </w:rPr>
        <w:t>la </w:t>
      </w:r>
      <w:r>
        <w:rPr/>
        <w:t>desaturación de </w:t>
      </w:r>
      <w:r>
        <w:rPr>
          <w:spacing w:val="-3"/>
        </w:rPr>
        <w:t>AG </w:t>
      </w:r>
      <w:r>
        <w:rPr/>
        <w:t>en rumen (Jenkins, 1993). El incremento en los contenidos de </w:t>
      </w:r>
      <w:r>
        <w:rPr>
          <w:spacing w:val="-3"/>
        </w:rPr>
        <w:t>AG </w:t>
      </w:r>
      <w:r>
        <w:rPr/>
        <w:t>de cadena corta y media para 8c en el presente </w:t>
      </w:r>
      <w:r>
        <w:rPr>
          <w:spacing w:val="10"/>
        </w:rPr>
        <w:t> </w:t>
      </w:r>
      <w:r>
        <w:rPr/>
        <w:t>trabajo</w:t>
      </w:r>
    </w:p>
    <w:p>
      <w:pPr>
        <w:spacing w:after="0" w:line="360" w:lineRule="auto"/>
        <w:jc w:val="both"/>
        <w:sectPr>
          <w:headerReference w:type="default" r:id="rId29"/>
          <w:footerReference w:type="default" r:id="rId30"/>
          <w:pgSz w:w="12240" w:h="15840"/>
          <w:pgMar w:header="1150" w:footer="1382" w:top="1340" w:bottom="1580" w:left="1360" w:right="1300"/>
        </w:sectPr>
      </w:pPr>
    </w:p>
    <w:p>
      <w:pPr>
        <w:pStyle w:val="BodyText"/>
        <w:spacing w:before="11"/>
        <w:rPr>
          <w:sz w:val="27"/>
        </w:rPr>
      </w:pPr>
    </w:p>
    <w:p>
      <w:pPr>
        <w:pStyle w:val="BodyText"/>
        <w:spacing w:line="360" w:lineRule="auto" w:before="69"/>
        <w:ind w:left="512" w:right="101"/>
        <w:jc w:val="both"/>
      </w:pPr>
      <w:r>
        <w:rPr/>
        <w:t>es similar a estudios previos realizados por Stockdale </w:t>
      </w:r>
      <w:r>
        <w:rPr>
          <w:i/>
        </w:rPr>
        <w:t>et al</w:t>
      </w:r>
      <w:r>
        <w:rPr/>
        <w:t>. (2003) en vacas en pastoreo complementadas con 7 a 9 kg/día de concentrado; ellos reportan un incremento de </w:t>
      </w:r>
      <w:r>
        <w:rPr>
          <w:spacing w:val="-3"/>
        </w:rPr>
        <w:t>AG </w:t>
      </w:r>
      <w:r>
        <w:rPr/>
        <w:t>de cadena corta como C6:0 a C10:0 y de cadena media como C12:0 a C16:0 con respecto a vacas </w:t>
      </w:r>
      <w:r>
        <w:rPr>
          <w:spacing w:val="-3"/>
        </w:rPr>
        <w:t>no </w:t>
      </w:r>
      <w:r>
        <w:rPr/>
        <w:t>complementadas. Wijesundera </w:t>
      </w:r>
      <w:r>
        <w:rPr>
          <w:i/>
        </w:rPr>
        <w:t>et al</w:t>
      </w:r>
      <w:r>
        <w:rPr/>
        <w:t>. (2003) complementaron con 4.5 kg/día de granos de cereales a vacas </w:t>
      </w:r>
      <w:r>
        <w:rPr>
          <w:spacing w:val="3"/>
        </w:rPr>
        <w:t>en </w:t>
      </w:r>
      <w:r>
        <w:rPr/>
        <w:t>pastoreo incrementando </w:t>
      </w:r>
      <w:r>
        <w:rPr>
          <w:spacing w:val="-4"/>
        </w:rPr>
        <w:t>las </w:t>
      </w:r>
      <w:r>
        <w:rPr/>
        <w:t>concentraciones de C10:0 a  C14:0 en </w:t>
      </w:r>
      <w:r>
        <w:rPr>
          <w:spacing w:val="-5"/>
        </w:rPr>
        <w:t>la </w:t>
      </w:r>
      <w:r>
        <w:rPr/>
        <w:t>grasa de </w:t>
      </w:r>
      <w:r>
        <w:rPr>
          <w:spacing w:val="-3"/>
        </w:rPr>
        <w:t>la </w:t>
      </w:r>
      <w:r>
        <w:rPr/>
        <w:t>leche, estos autores atribuyen los resultados a </w:t>
      </w:r>
      <w:r>
        <w:rPr>
          <w:spacing w:val="-5"/>
        </w:rPr>
        <w:t>la </w:t>
      </w:r>
      <w:r>
        <w:rPr/>
        <w:t>reducción en el balance negativo de energía de las vacas por el aporte de energía en </w:t>
      </w:r>
      <w:r>
        <w:rPr>
          <w:spacing w:val="-3"/>
        </w:rPr>
        <w:t>la </w:t>
      </w:r>
      <w:r>
        <w:rPr/>
        <w:t>complementación y al aumento en el consumo de MS. En vacas con un balance de energía negativo  se sintetizan menos </w:t>
      </w:r>
      <w:r>
        <w:rPr>
          <w:spacing w:val="-3"/>
        </w:rPr>
        <w:t>AG </w:t>
      </w:r>
      <w:r>
        <w:rPr/>
        <w:t>de cadena corta y </w:t>
      </w:r>
      <w:r>
        <w:rPr>
          <w:spacing w:val="-3"/>
        </w:rPr>
        <w:t>media </w:t>
      </w:r>
      <w:r>
        <w:rPr/>
        <w:t>en </w:t>
      </w:r>
      <w:r>
        <w:rPr>
          <w:spacing w:val="-5"/>
        </w:rPr>
        <w:t>la </w:t>
      </w:r>
      <w:r>
        <w:rPr/>
        <w:t>glándula mamaria y se incrementa </w:t>
      </w:r>
      <w:r>
        <w:rPr>
          <w:spacing w:val="-3"/>
        </w:rPr>
        <w:t>la </w:t>
      </w:r>
      <w:r>
        <w:rPr/>
        <w:t>metabolización de </w:t>
      </w:r>
      <w:r>
        <w:rPr>
          <w:spacing w:val="-3"/>
        </w:rPr>
        <w:t>AG </w:t>
      </w:r>
      <w:r>
        <w:rPr/>
        <w:t>del tejido adiposo (Palmquist </w:t>
      </w:r>
      <w:r>
        <w:rPr>
          <w:i/>
        </w:rPr>
        <w:t>et al</w:t>
      </w:r>
      <w:r>
        <w:rPr/>
        <w:t>., 1993). Muchos de estos </w:t>
      </w:r>
      <w:r>
        <w:rPr>
          <w:spacing w:val="-3"/>
        </w:rPr>
        <w:t>AG </w:t>
      </w:r>
      <w:r>
        <w:rPr/>
        <w:t>son sintetizados en </w:t>
      </w:r>
      <w:r>
        <w:rPr>
          <w:spacing w:val="-3"/>
        </w:rPr>
        <w:t>la </w:t>
      </w:r>
      <w:r>
        <w:rPr/>
        <w:t>glándula mamaria por </w:t>
      </w:r>
      <w:r>
        <w:rPr>
          <w:spacing w:val="-4"/>
        </w:rPr>
        <w:t>medio </w:t>
      </w:r>
      <w:r>
        <w:rPr/>
        <w:t>de </w:t>
      </w:r>
      <w:r>
        <w:rPr>
          <w:spacing w:val="-3"/>
        </w:rPr>
        <w:t>la </w:t>
      </w:r>
      <w:r>
        <w:rPr/>
        <w:t>síntesis de </w:t>
      </w:r>
      <w:r>
        <w:rPr>
          <w:i/>
        </w:rPr>
        <w:t>novo </w:t>
      </w:r>
      <w:r>
        <w:rPr/>
        <w:t>a partir de acetato, por </w:t>
      </w:r>
      <w:r>
        <w:rPr>
          <w:spacing w:val="-5"/>
        </w:rPr>
        <w:t>lo </w:t>
      </w:r>
      <w:r>
        <w:rPr/>
        <w:t>que dietas altas en concentrados ocasionan una mayor disponibilidad de ácido acético en </w:t>
      </w:r>
      <w:r>
        <w:rPr>
          <w:spacing w:val="-3"/>
        </w:rPr>
        <w:t>la </w:t>
      </w:r>
      <w:r>
        <w:rPr/>
        <w:t>glándula mamaria originado por </w:t>
      </w:r>
      <w:r>
        <w:rPr>
          <w:spacing w:val="-5"/>
        </w:rPr>
        <w:t>la </w:t>
      </w:r>
      <w:r>
        <w:rPr/>
        <w:t>fermentación de los carbohidratos en el rumen (Stockdale </w:t>
      </w:r>
      <w:r>
        <w:rPr>
          <w:i/>
        </w:rPr>
        <w:t>et al</w:t>
      </w:r>
      <w:r>
        <w:rPr/>
        <w:t>., 2003). Por otra parte, los resultados obtenidos en nuestra investigación para 3c pueden ser atribuidos a un </w:t>
      </w:r>
      <w:r>
        <w:rPr>
          <w:spacing w:val="-3"/>
        </w:rPr>
        <w:t>mayor </w:t>
      </w:r>
      <w:r>
        <w:rPr/>
        <w:t>consumo de MS de forraje pese a </w:t>
      </w:r>
      <w:r>
        <w:rPr>
          <w:spacing w:val="-3"/>
        </w:rPr>
        <w:t>no </w:t>
      </w:r>
      <w:r>
        <w:rPr/>
        <w:t>encontrar diferencias en su consumo (</w:t>
      </w:r>
      <w:r>
        <w:rPr>
          <w:i/>
        </w:rPr>
        <w:t>P</w:t>
      </w:r>
      <w:r>
        <w:rPr/>
        <w:t>˃0.05) </w:t>
      </w:r>
      <w:r>
        <w:rPr>
          <w:spacing w:val="-5"/>
        </w:rPr>
        <w:t>ya </w:t>
      </w:r>
      <w:r>
        <w:rPr/>
        <w:t>que el forraje </w:t>
      </w:r>
      <w:r>
        <w:rPr>
          <w:spacing w:val="-2"/>
        </w:rPr>
        <w:t>fresco </w:t>
      </w:r>
      <w:r>
        <w:rPr/>
        <w:t>es una fuente muy rica en AGPI, principalmente ácido linolénico (Palmquist, 2001); incrementos en el consumo de MS de forrajes frescos puede tener efectos importantes sobre </w:t>
      </w:r>
      <w:r>
        <w:rPr>
          <w:spacing w:val="-3"/>
        </w:rPr>
        <w:t>la </w:t>
      </w:r>
      <w:r>
        <w:rPr/>
        <w:t>composición de </w:t>
      </w:r>
      <w:r>
        <w:rPr>
          <w:spacing w:val="-3"/>
        </w:rPr>
        <w:t>AG </w:t>
      </w:r>
      <w:r>
        <w:rPr/>
        <w:t>de </w:t>
      </w:r>
      <w:r>
        <w:rPr>
          <w:spacing w:val="-5"/>
        </w:rPr>
        <w:t>la </w:t>
      </w:r>
      <w:r>
        <w:rPr/>
        <w:t>grasa de </w:t>
      </w:r>
      <w:r>
        <w:rPr>
          <w:spacing w:val="-5"/>
        </w:rPr>
        <w:t>la </w:t>
      </w:r>
      <w:r>
        <w:rPr/>
        <w:t>leche (Morales-Almaráz </w:t>
      </w:r>
      <w:r>
        <w:rPr>
          <w:i/>
        </w:rPr>
        <w:t>et al</w:t>
      </w:r>
      <w:r>
        <w:rPr/>
        <w:t>., 2010). Las altas concentraciones de esteárico y oleico</w:t>
      </w:r>
      <w:r>
        <w:rPr>
          <w:spacing w:val="28"/>
        </w:rPr>
        <w:t> </w:t>
      </w:r>
      <w:r>
        <w:rPr/>
        <w:t>en</w:t>
      </w:r>
      <w:r>
        <w:rPr>
          <w:spacing w:val="19"/>
        </w:rPr>
        <w:t> </w:t>
      </w:r>
      <w:r>
        <w:rPr/>
        <w:t>el</w:t>
      </w:r>
      <w:r>
        <w:rPr>
          <w:spacing w:val="19"/>
        </w:rPr>
        <w:t> </w:t>
      </w:r>
      <w:r>
        <w:rPr/>
        <w:t>tratamiento</w:t>
      </w:r>
      <w:r>
        <w:rPr>
          <w:spacing w:val="28"/>
        </w:rPr>
        <w:t> </w:t>
      </w:r>
      <w:r>
        <w:rPr/>
        <w:t>3c</w:t>
      </w:r>
      <w:r>
        <w:rPr>
          <w:spacing w:val="23"/>
        </w:rPr>
        <w:t> </w:t>
      </w:r>
      <w:r>
        <w:rPr/>
        <w:t>y</w:t>
      </w:r>
      <w:r>
        <w:rPr>
          <w:spacing w:val="19"/>
        </w:rPr>
        <w:t> </w:t>
      </w:r>
      <w:r>
        <w:rPr>
          <w:spacing w:val="-3"/>
        </w:rPr>
        <w:t>la</w:t>
      </w:r>
      <w:r>
        <w:rPr>
          <w:spacing w:val="28"/>
        </w:rPr>
        <w:t> </w:t>
      </w:r>
      <w:r>
        <w:rPr/>
        <w:t>falta</w:t>
      </w:r>
      <w:r>
        <w:rPr>
          <w:spacing w:val="23"/>
        </w:rPr>
        <w:t> </w:t>
      </w:r>
      <w:r>
        <w:rPr/>
        <w:t>de</w:t>
      </w:r>
      <w:r>
        <w:rPr>
          <w:spacing w:val="23"/>
        </w:rPr>
        <w:t> </w:t>
      </w:r>
      <w:r>
        <w:rPr/>
        <w:t>significancia</w:t>
      </w:r>
      <w:r>
        <w:rPr>
          <w:spacing w:val="23"/>
        </w:rPr>
        <w:t> </w:t>
      </w:r>
      <w:r>
        <w:rPr/>
        <w:t>(</w:t>
      </w:r>
      <w:r>
        <w:rPr>
          <w:i/>
        </w:rPr>
        <w:t>P&gt;</w:t>
      </w:r>
      <w:r>
        <w:rPr/>
        <w:t>0.05)</w:t>
      </w:r>
      <w:r>
        <w:rPr>
          <w:spacing w:val="25"/>
        </w:rPr>
        <w:t> </w:t>
      </w:r>
      <w:r>
        <w:rPr/>
        <w:t>en</w:t>
      </w:r>
      <w:r>
        <w:rPr>
          <w:spacing w:val="24"/>
        </w:rPr>
        <w:t> </w:t>
      </w:r>
      <w:r>
        <w:rPr/>
        <w:t>las</w:t>
      </w:r>
      <w:r>
        <w:rPr>
          <w:spacing w:val="22"/>
        </w:rPr>
        <w:t> </w:t>
      </w:r>
      <w:r>
        <w:rPr/>
        <w:t>concentraciones</w:t>
      </w:r>
      <w:r>
        <w:rPr>
          <w:spacing w:val="22"/>
        </w:rPr>
        <w:t> </w:t>
      </w:r>
      <w:r>
        <w:rPr/>
        <w:t>de</w:t>
      </w:r>
    </w:p>
    <w:p>
      <w:pPr>
        <w:pStyle w:val="BodyText"/>
        <w:spacing w:line="348" w:lineRule="auto" w:before="4"/>
        <w:ind w:left="512" w:right="103"/>
        <w:jc w:val="both"/>
      </w:pPr>
      <w:r>
        <w:rPr/>
        <w:t>palmitoleico, vaccénico y CLA (ruménico) en el presente estudio sugiere que </w:t>
      </w:r>
      <w:r>
        <w:rPr>
          <w:spacing w:val="-3"/>
        </w:rPr>
        <w:t>la </w:t>
      </w:r>
      <w:r>
        <w:rPr/>
        <w:t>actividad de </w:t>
      </w:r>
      <w:r>
        <w:rPr>
          <w:spacing w:val="-5"/>
        </w:rPr>
        <w:t>la </w:t>
      </w:r>
      <w:r>
        <w:rPr/>
        <w:t>enzima ∆</w:t>
      </w:r>
      <w:r>
        <w:rPr>
          <w:position w:val="11"/>
          <w:sz w:val="16"/>
        </w:rPr>
        <w:t>9</w:t>
      </w:r>
      <w:r>
        <w:rPr/>
        <w:t>-desaturaza en </w:t>
      </w:r>
      <w:r>
        <w:rPr>
          <w:spacing w:val="-5"/>
        </w:rPr>
        <w:t>la </w:t>
      </w:r>
      <w:r>
        <w:rPr/>
        <w:t>glándula mamaria </w:t>
      </w:r>
      <w:r>
        <w:rPr>
          <w:spacing w:val="-3"/>
        </w:rPr>
        <w:t>no fue </w:t>
      </w:r>
      <w:r>
        <w:rPr/>
        <w:t>afectada </w:t>
      </w:r>
      <w:r>
        <w:rPr>
          <w:spacing w:val="2"/>
        </w:rPr>
        <w:t>por </w:t>
      </w:r>
      <w:r>
        <w:rPr/>
        <w:t>el efecto del nivel  de concentrado; existen 4 productos resultado de </w:t>
      </w:r>
      <w:r>
        <w:rPr>
          <w:spacing w:val="-5"/>
        </w:rPr>
        <w:t>la </w:t>
      </w:r>
      <w:r>
        <w:rPr/>
        <w:t>actividad de esta enzima, C14:1, C16:1, C18:1c9 y CLA </w:t>
      </w:r>
      <w:r>
        <w:rPr>
          <w:i/>
        </w:rPr>
        <w:t>cis-</w:t>
      </w:r>
      <w:r>
        <w:rPr/>
        <w:t>9 </w:t>
      </w:r>
      <w:r>
        <w:rPr>
          <w:i/>
        </w:rPr>
        <w:t>trans</w:t>
      </w:r>
      <w:r>
        <w:rPr/>
        <w:t>-11, los cuales son producidos a partir de C14:0, C16:0, C18:0</w:t>
      </w:r>
      <w:r>
        <w:rPr>
          <w:spacing w:val="33"/>
        </w:rPr>
        <w:t> </w:t>
      </w:r>
      <w:r>
        <w:rPr/>
        <w:t>y</w:t>
      </w:r>
    </w:p>
    <w:p>
      <w:pPr>
        <w:pStyle w:val="BodyText"/>
        <w:spacing w:before="22"/>
        <w:ind w:left="512"/>
        <w:jc w:val="both"/>
      </w:pPr>
      <w:r>
        <w:rPr/>
        <w:t>C18:1 </w:t>
      </w:r>
      <w:r>
        <w:rPr>
          <w:i/>
        </w:rPr>
        <w:t>trans-</w:t>
      </w:r>
      <w:r>
        <w:rPr/>
        <w:t>11, respectivamente (Lock y Garnsworthy, 2003).</w:t>
      </w:r>
    </w:p>
    <w:p>
      <w:pPr>
        <w:pStyle w:val="BodyText"/>
      </w:pPr>
    </w:p>
    <w:p>
      <w:pPr>
        <w:pStyle w:val="BodyText"/>
        <w:spacing w:before="9"/>
        <w:rPr>
          <w:sz w:val="23"/>
        </w:rPr>
      </w:pPr>
    </w:p>
    <w:p>
      <w:pPr>
        <w:pStyle w:val="BodyText"/>
        <w:spacing w:line="360" w:lineRule="auto"/>
        <w:ind w:left="512" w:right="109"/>
        <w:jc w:val="both"/>
      </w:pPr>
      <w:r>
        <w:rPr/>
        <w:t>Bargo </w:t>
      </w:r>
      <w:r>
        <w:rPr>
          <w:i/>
        </w:rPr>
        <w:t>et al</w:t>
      </w:r>
      <w:r>
        <w:rPr/>
        <w:t>. (2006) en un estudio de vacas en pastoreo complementadas con concentrado (1.0 kg de concentrado/4 kg leche) reportan una mayor concentración de C12:0 y C14:0 en comparación con vacas no complementadas (2.50 </w:t>
      </w:r>
      <w:r>
        <w:rPr>
          <w:i/>
        </w:rPr>
        <w:t>vs </w:t>
      </w:r>
      <w:r>
        <w:rPr/>
        <w:t>1.80 y 9.31 </w:t>
      </w:r>
      <w:r>
        <w:rPr>
          <w:i/>
        </w:rPr>
        <w:t>vs </w:t>
      </w:r>
      <w:r>
        <w:rPr/>
        <w:t>7.59 g/100g AG); en  su</w:t>
      </w:r>
    </w:p>
    <w:p>
      <w:pPr>
        <w:spacing w:after="0" w:line="360" w:lineRule="auto"/>
        <w:jc w:val="both"/>
        <w:sectPr>
          <w:headerReference w:type="default" r:id="rId31"/>
          <w:footerReference w:type="default" r:id="rId32"/>
          <w:pgSz w:w="12240" w:h="15840"/>
          <w:pgMar w:header="1150" w:footer="1382" w:top="1400" w:bottom="1580" w:left="1360" w:right="1420"/>
          <w:pgNumType w:start="71"/>
        </w:sectPr>
      </w:pPr>
    </w:p>
    <w:p>
      <w:pPr>
        <w:pStyle w:val="BodyText"/>
        <w:spacing w:before="3"/>
        <w:rPr>
          <w:sz w:val="27"/>
        </w:rPr>
      </w:pPr>
    </w:p>
    <w:p>
      <w:pPr>
        <w:pStyle w:val="BodyText"/>
        <w:spacing w:line="360" w:lineRule="auto" w:before="69"/>
        <w:ind w:left="512" w:right="101"/>
        <w:jc w:val="both"/>
      </w:pPr>
      <w:r>
        <w:rPr/>
        <w:t>estudio los ácidos grasos de cadena larga como el oleico y el linolénico fueron afectados negativamente por </w:t>
      </w:r>
      <w:r>
        <w:rPr>
          <w:spacing w:val="-5"/>
        </w:rPr>
        <w:t>la </w:t>
      </w:r>
      <w:r>
        <w:rPr/>
        <w:t>complementación con concentrados observando mayores concentraciones en vacas </w:t>
      </w:r>
      <w:r>
        <w:rPr>
          <w:spacing w:val="-3"/>
        </w:rPr>
        <w:t>no </w:t>
      </w:r>
      <w:r>
        <w:rPr/>
        <w:t>complementadas (30.89 </w:t>
      </w:r>
      <w:r>
        <w:rPr>
          <w:i/>
        </w:rPr>
        <w:t>vs </w:t>
      </w:r>
      <w:r>
        <w:rPr/>
        <w:t>27.18 y 1.16 </w:t>
      </w:r>
      <w:r>
        <w:rPr>
          <w:i/>
        </w:rPr>
        <w:t>vs </w:t>
      </w:r>
      <w:r>
        <w:rPr/>
        <w:t>0.79 g/100g AG); cabe resaltar que un efecto similar </w:t>
      </w:r>
      <w:r>
        <w:rPr>
          <w:spacing w:val="-3"/>
        </w:rPr>
        <w:t>fue </w:t>
      </w:r>
      <w:r>
        <w:rPr/>
        <w:t>observado en nuestro estudio por el efecto de </w:t>
      </w:r>
      <w:r>
        <w:rPr>
          <w:spacing w:val="-3"/>
        </w:rPr>
        <w:t>la </w:t>
      </w:r>
      <w:r>
        <w:rPr/>
        <w:t>complementación. Las concentraciones de ácido vaccénico y CLA </w:t>
      </w:r>
      <w:r>
        <w:rPr>
          <w:i/>
        </w:rPr>
        <w:t>cis</w:t>
      </w:r>
      <w:r>
        <w:rPr/>
        <w:t>-9  </w:t>
      </w:r>
      <w:r>
        <w:rPr>
          <w:i/>
        </w:rPr>
        <w:t>trans</w:t>
      </w:r>
      <w:r>
        <w:rPr/>
        <w:t>-11 reportadas por estos autores disminuyeron en vacas complementadas con respecto a  aquellas que </w:t>
      </w:r>
      <w:r>
        <w:rPr>
          <w:spacing w:val="-3"/>
        </w:rPr>
        <w:t>no </w:t>
      </w:r>
      <w:r>
        <w:rPr/>
        <w:t>recibieron concentrados (1.18 </w:t>
      </w:r>
      <w:r>
        <w:rPr>
          <w:i/>
        </w:rPr>
        <w:t>vs </w:t>
      </w:r>
      <w:r>
        <w:rPr/>
        <w:t>1.36 y 2.79 </w:t>
      </w:r>
      <w:r>
        <w:rPr>
          <w:i/>
        </w:rPr>
        <w:t>vs </w:t>
      </w:r>
      <w:r>
        <w:rPr/>
        <w:t>3.48 g/100g AG). Por </w:t>
      </w:r>
      <w:r>
        <w:rPr>
          <w:spacing w:val="-5"/>
        </w:rPr>
        <w:t>lo </w:t>
      </w:r>
      <w:r>
        <w:rPr/>
        <w:t>tanto, </w:t>
      </w:r>
      <w:r>
        <w:rPr>
          <w:spacing w:val="-5"/>
        </w:rPr>
        <w:t>la </w:t>
      </w:r>
      <w:r>
        <w:rPr/>
        <w:t>concentración de AGS se incrementó y los AGI disminuyeron por efecto de </w:t>
      </w:r>
      <w:r>
        <w:rPr>
          <w:spacing w:val="-5"/>
        </w:rPr>
        <w:t>la </w:t>
      </w:r>
      <w:r>
        <w:rPr/>
        <w:t>complementación de concentrados de manera similar a </w:t>
      </w:r>
      <w:r>
        <w:rPr>
          <w:spacing w:val="-5"/>
        </w:rPr>
        <w:t>lo </w:t>
      </w:r>
      <w:r>
        <w:rPr/>
        <w:t>reportado en </w:t>
      </w:r>
      <w:r>
        <w:rPr>
          <w:spacing w:val="-5"/>
        </w:rPr>
        <w:t>la </w:t>
      </w:r>
      <w:r>
        <w:rPr/>
        <w:t>presente investigación.</w:t>
      </w:r>
    </w:p>
    <w:p>
      <w:pPr>
        <w:pStyle w:val="BodyText"/>
      </w:pPr>
    </w:p>
    <w:p>
      <w:pPr>
        <w:pStyle w:val="BodyText"/>
        <w:spacing w:line="360" w:lineRule="auto" w:before="146"/>
        <w:ind w:left="512" w:right="103"/>
        <w:jc w:val="both"/>
        <w:rPr>
          <w:i/>
        </w:rPr>
      </w:pPr>
      <w:r>
        <w:rPr/>
        <w:t>Nielsen </w:t>
      </w:r>
      <w:r>
        <w:rPr>
          <w:i/>
        </w:rPr>
        <w:t>et al. </w:t>
      </w:r>
      <w:r>
        <w:rPr/>
        <w:t>(2006) evaluaron el efecto del tipo de ensilado (maíz o forraje) y el nivel de concentrado (alto o bajo) sobre la concentración de AG en leche de vacas; el nivel de concentrado no modifico las concentraciones de AGS como el C12:0, C14:0 y C16:0; las concentraciones de CLA </w:t>
      </w:r>
      <w:r>
        <w:rPr>
          <w:i/>
        </w:rPr>
        <w:t>cis</w:t>
      </w:r>
      <w:r>
        <w:rPr/>
        <w:t>-9 </w:t>
      </w:r>
      <w:r>
        <w:rPr>
          <w:i/>
        </w:rPr>
        <w:t>trans</w:t>
      </w:r>
      <w:r>
        <w:rPr/>
        <w:t>-11 y de ácido vaccénico reportadas por estos autores fueron mayores en vacas alimentadas con bajo nivel de concentrado (1.61 </w:t>
      </w:r>
      <w:r>
        <w:rPr>
          <w:i/>
        </w:rPr>
        <w:t>vs </w:t>
      </w:r>
      <w:r>
        <w:rPr/>
        <w:t>1.17 y 2.80  </w:t>
      </w:r>
      <w:r>
        <w:rPr>
          <w:i/>
        </w:rPr>
        <w:t>vs</w:t>
      </w:r>
    </w:p>
    <w:p>
      <w:pPr>
        <w:pStyle w:val="BodyText"/>
        <w:spacing w:line="360" w:lineRule="auto" w:before="4"/>
        <w:ind w:left="512" w:right="103"/>
        <w:jc w:val="both"/>
      </w:pPr>
      <w:r>
        <w:rPr/>
        <w:t>1.55 g/100g AG); no reportan diferencias en cuanto a la concentración de ácidos estérico, oleico y linolénico por efecto del nivel de concentrado.</w:t>
      </w:r>
    </w:p>
    <w:p>
      <w:pPr>
        <w:pStyle w:val="BodyText"/>
      </w:pPr>
    </w:p>
    <w:p>
      <w:pPr>
        <w:pStyle w:val="BodyText"/>
        <w:spacing w:line="360" w:lineRule="auto" w:before="146"/>
        <w:ind w:left="512" w:right="110"/>
        <w:jc w:val="both"/>
      </w:pPr>
      <w:r>
        <w:rPr/>
        <w:t>El tratamiento 3c podría representar una </w:t>
      </w:r>
      <w:r>
        <w:rPr>
          <w:spacing w:val="-3"/>
        </w:rPr>
        <w:t>leche </w:t>
      </w:r>
      <w:r>
        <w:rPr/>
        <w:t>de mejor calidad con potenciales beneficios  a </w:t>
      </w:r>
      <w:r>
        <w:rPr>
          <w:spacing w:val="-5"/>
        </w:rPr>
        <w:t>la </w:t>
      </w:r>
      <w:r>
        <w:rPr/>
        <w:t>salud humana por su menor concentración en AGS en comparación con 8c, </w:t>
      </w:r>
      <w:r>
        <w:rPr>
          <w:spacing w:val="-5"/>
        </w:rPr>
        <w:t>ya </w:t>
      </w:r>
      <w:r>
        <w:rPr/>
        <w:t>que muchos de estos </w:t>
      </w:r>
      <w:r>
        <w:rPr>
          <w:spacing w:val="-3"/>
        </w:rPr>
        <w:t>AG </w:t>
      </w:r>
      <w:r>
        <w:rPr/>
        <w:t>están relacionados a factores de riego en enfermedades cardiovasculares (Ascherio </w:t>
      </w:r>
      <w:r>
        <w:rPr>
          <w:i/>
        </w:rPr>
        <w:t>et al</w:t>
      </w:r>
      <w:r>
        <w:rPr/>
        <w:t>., 1996; Williams, 2000), y por una mejor concentración de </w:t>
      </w:r>
      <w:r>
        <w:rPr>
          <w:spacing w:val="-3"/>
        </w:rPr>
        <w:t>AG </w:t>
      </w:r>
      <w:r>
        <w:rPr/>
        <w:t>como oleico y linolénico que han sido estudiados por su acción hipocolesteromiante (Grundy,</w:t>
      </w:r>
      <w:r>
        <w:rPr>
          <w:spacing w:val="-6"/>
        </w:rPr>
        <w:t> </w:t>
      </w:r>
      <w:r>
        <w:rPr/>
        <w:t>1994).</w:t>
      </w:r>
    </w:p>
    <w:p>
      <w:pPr>
        <w:pStyle w:val="BodyText"/>
      </w:pPr>
    </w:p>
    <w:p>
      <w:pPr>
        <w:pStyle w:val="BodyText"/>
        <w:spacing w:line="360" w:lineRule="auto" w:before="141"/>
        <w:ind w:left="512" w:right="107"/>
        <w:jc w:val="both"/>
      </w:pPr>
      <w:r>
        <w:rPr/>
        <w:t>En cuanto al genotipo animal (Cuadro 7) se observó efecto (</w:t>
      </w:r>
      <w:r>
        <w:rPr>
          <w:i/>
        </w:rPr>
        <w:t>P</w:t>
      </w:r>
      <w:r>
        <w:rPr/>
        <w:t>&lt;0.05) principalmente en los ácidos grasos de cadena corta y media, pero casi nulo efecto (</w:t>
      </w:r>
      <w:r>
        <w:rPr>
          <w:i/>
        </w:rPr>
        <w:t>P</w:t>
      </w:r>
      <w:r>
        <w:rPr/>
        <w:t>&gt;0.05) sobre los de cadena larga. Se observó una tendencia (</w:t>
      </w:r>
      <w:r>
        <w:rPr>
          <w:i/>
        </w:rPr>
        <w:t>P</w:t>
      </w:r>
      <w:r>
        <w:rPr/>
        <w:t>=0.0629) en el efecto del genotipo sobre el ácido   C18:2</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12" w:right="100"/>
        <w:jc w:val="both"/>
      </w:pPr>
      <w:r>
        <w:rPr>
          <w:i/>
        </w:rPr>
        <w:t>cis</w:t>
      </w:r>
      <w:r>
        <w:rPr/>
        <w:t>-9 </w:t>
      </w:r>
      <w:r>
        <w:rPr>
          <w:i/>
        </w:rPr>
        <w:t>tras</w:t>
      </w:r>
      <w:r>
        <w:rPr/>
        <w:t>-11, cuyo contenido en la grasa de la leche fue más alto en las vacas Holstein que en las Pardo Suizo (0.76 </w:t>
      </w:r>
      <w:r>
        <w:rPr>
          <w:i/>
        </w:rPr>
        <w:t>vs </w:t>
      </w:r>
      <w:r>
        <w:rPr/>
        <w:t>0.68 g/100g AG). Similar patrón fue observado en el contenido en leche de C18:1 </w:t>
      </w:r>
      <w:r>
        <w:rPr>
          <w:i/>
        </w:rPr>
        <w:t>cis</w:t>
      </w:r>
      <w:r>
        <w:rPr/>
        <w:t>-9 (22.26 </w:t>
      </w:r>
      <w:r>
        <w:rPr>
          <w:i/>
        </w:rPr>
        <w:t>vs </w:t>
      </w:r>
      <w:r>
        <w:rPr/>
        <w:t>21.34 g/100g AG, </w:t>
      </w:r>
      <w:r>
        <w:rPr>
          <w:i/>
        </w:rPr>
        <w:t>P</w:t>
      </w:r>
      <w:r>
        <w:rPr/>
        <w:t>=0.0685). Es importante señalar que aquellos ácidos grasos saturados relacionados con el desarrollo de enfermedades cardiovasculares y otras no infecciosas, fue afectado por el genotipo, siendo el contenido de C12:0 (3.21 </w:t>
      </w:r>
      <w:r>
        <w:rPr>
          <w:i/>
        </w:rPr>
        <w:t>vs </w:t>
      </w:r>
      <w:r>
        <w:rPr/>
        <w:t>3.16 g/100g AG) y C14:0 (11.56 </w:t>
      </w:r>
      <w:r>
        <w:rPr>
          <w:i/>
        </w:rPr>
        <w:t>vs </w:t>
      </w:r>
      <w:r>
        <w:rPr/>
        <w:t>12.77 g/100g AG) menor en las vacas Holstein que en las Pardo Suizo; mientras que el ácido C16:0 tendió (</w:t>
      </w:r>
      <w:r>
        <w:rPr>
          <w:i/>
        </w:rPr>
        <w:t>P</w:t>
      </w:r>
      <w:r>
        <w:rPr/>
        <w:t>=0.0746) a  ser mayor en las Holstein, pese a que este genotipo animal mostró un aumento (</w:t>
      </w:r>
      <w:r>
        <w:rPr>
          <w:i/>
        </w:rPr>
        <w:t>P</w:t>
      </w:r>
      <w:r>
        <w:rPr/>
        <w:t>&lt;0.05) de C16:1 en la leche, un producto de la actividad desaturasa en la glándula mamaria utilizando como sustrato al ácido C16:0. Se ha observado en diferentes estudios que la raza o genotipo puede afectar la composición de los AG de la grasa de la leche, pero generalmente con alcances limitados (Lawless </w:t>
      </w:r>
      <w:r>
        <w:rPr>
          <w:i/>
        </w:rPr>
        <w:t>et al</w:t>
      </w:r>
      <w:r>
        <w:rPr/>
        <w:t>., 1999; Zegarska </w:t>
      </w:r>
      <w:r>
        <w:rPr>
          <w:i/>
        </w:rPr>
        <w:t>et al</w:t>
      </w:r>
      <w:r>
        <w:rPr/>
        <w:t>., 2001).</w:t>
      </w:r>
    </w:p>
    <w:p>
      <w:pPr>
        <w:pStyle w:val="BodyText"/>
      </w:pPr>
    </w:p>
    <w:p>
      <w:pPr>
        <w:pStyle w:val="BodyText"/>
        <w:spacing w:line="360" w:lineRule="auto" w:before="140"/>
        <w:ind w:left="512" w:right="105"/>
        <w:jc w:val="both"/>
      </w:pPr>
      <w:r>
        <w:rPr/>
        <w:t>Carrol </w:t>
      </w:r>
      <w:r>
        <w:rPr>
          <w:i/>
        </w:rPr>
        <w:t>et al</w:t>
      </w:r>
      <w:r>
        <w:rPr/>
        <w:t>. (2006) evaluaron el efecto del genotipo sobre </w:t>
      </w:r>
      <w:r>
        <w:rPr>
          <w:spacing w:val="-5"/>
        </w:rPr>
        <w:t>la </w:t>
      </w:r>
      <w:r>
        <w:rPr/>
        <w:t>composición de AG de  </w:t>
      </w:r>
      <w:r>
        <w:rPr>
          <w:spacing w:val="-3"/>
        </w:rPr>
        <w:t>la </w:t>
      </w:r>
      <w:r>
        <w:rPr/>
        <w:t>leche de vacas Holstein, Jersey y Pardo </w:t>
      </w:r>
      <w:r>
        <w:rPr>
          <w:spacing w:val="-3"/>
        </w:rPr>
        <w:t>Suizo </w:t>
      </w:r>
      <w:r>
        <w:rPr/>
        <w:t>incluyendo diferentes niveles de grasa en </w:t>
      </w:r>
      <w:r>
        <w:rPr>
          <w:spacing w:val="-5"/>
        </w:rPr>
        <w:t>la </w:t>
      </w:r>
      <w:r>
        <w:rPr/>
        <w:t>dieta. Estos autores reportan que </w:t>
      </w:r>
      <w:r>
        <w:rPr>
          <w:spacing w:val="-4"/>
        </w:rPr>
        <w:t>las </w:t>
      </w:r>
      <w:r>
        <w:rPr/>
        <w:t>concentraciones de ácidos grasos de cadena media como C12:0, C14:0 y C16:0 </w:t>
      </w:r>
      <w:r>
        <w:rPr>
          <w:spacing w:val="-3"/>
        </w:rPr>
        <w:t>no </w:t>
      </w:r>
      <w:r>
        <w:rPr/>
        <w:t>se vieron afectadas por el efecto del genotipo. Por su parte los contenidos de C18:1 </w:t>
      </w:r>
      <w:r>
        <w:rPr>
          <w:i/>
        </w:rPr>
        <w:t>trans</w:t>
      </w:r>
      <w:r>
        <w:rPr/>
        <w:t>-11 fueron mayores en </w:t>
      </w:r>
      <w:r>
        <w:rPr>
          <w:spacing w:val="-3"/>
        </w:rPr>
        <w:t>la </w:t>
      </w:r>
      <w:r>
        <w:rPr/>
        <w:t>raza Holstein comparadas con Pardo Suizo (1.28 </w:t>
      </w:r>
      <w:r>
        <w:rPr>
          <w:i/>
        </w:rPr>
        <w:t>vs </w:t>
      </w:r>
      <w:r>
        <w:rPr/>
        <w:t>1.07 g/100g AG). En contraste, C18:1 </w:t>
      </w:r>
      <w:r>
        <w:rPr>
          <w:i/>
        </w:rPr>
        <w:t>cis</w:t>
      </w:r>
      <w:r>
        <w:rPr/>
        <w:t>-9 </w:t>
      </w:r>
      <w:r>
        <w:rPr>
          <w:spacing w:val="-3"/>
        </w:rPr>
        <w:t>fue </w:t>
      </w:r>
      <w:r>
        <w:rPr/>
        <w:t>mayor en </w:t>
      </w:r>
      <w:r>
        <w:rPr>
          <w:spacing w:val="-3"/>
        </w:rPr>
        <w:t>la  </w:t>
      </w:r>
      <w:r>
        <w:rPr/>
        <w:t>raza Pardo  Suizo (23.23 </w:t>
      </w:r>
      <w:r>
        <w:rPr>
          <w:i/>
        </w:rPr>
        <w:t>vs </w:t>
      </w:r>
      <w:r>
        <w:rPr/>
        <w:t>19.98 g/100g AG). Los ácidos grasos como el linoleico, linolénico y CLA </w:t>
      </w:r>
      <w:r>
        <w:rPr>
          <w:i/>
        </w:rPr>
        <w:t>cis</w:t>
      </w:r>
      <w:r>
        <w:rPr/>
        <w:t>-9 </w:t>
      </w:r>
      <w:r>
        <w:rPr>
          <w:i/>
        </w:rPr>
        <w:t>trans</w:t>
      </w:r>
      <w:r>
        <w:rPr/>
        <w:t>-11 </w:t>
      </w:r>
      <w:r>
        <w:rPr>
          <w:spacing w:val="-3"/>
        </w:rPr>
        <w:t>no </w:t>
      </w:r>
      <w:r>
        <w:rPr/>
        <w:t>mostraron efecto del genotipo; estos resultados coinciden con los reportados en </w:t>
      </w:r>
      <w:r>
        <w:rPr>
          <w:spacing w:val="-5"/>
        </w:rPr>
        <w:t>la </w:t>
      </w:r>
      <w:r>
        <w:rPr/>
        <w:t>presente</w:t>
      </w:r>
      <w:r>
        <w:rPr>
          <w:spacing w:val="-5"/>
        </w:rPr>
        <w:t> </w:t>
      </w:r>
      <w:r>
        <w:rPr/>
        <w:t>investigación.</w:t>
      </w:r>
    </w:p>
    <w:p>
      <w:pPr>
        <w:pStyle w:val="BodyText"/>
      </w:pPr>
    </w:p>
    <w:p>
      <w:pPr>
        <w:pStyle w:val="BodyText"/>
        <w:spacing w:line="360" w:lineRule="auto" w:before="141"/>
        <w:ind w:left="512" w:right="98"/>
        <w:jc w:val="both"/>
      </w:pPr>
      <w:r>
        <w:rPr/>
        <w:t>Kelsey </w:t>
      </w:r>
      <w:r>
        <w:rPr>
          <w:i/>
        </w:rPr>
        <w:t>et al. </w:t>
      </w:r>
      <w:r>
        <w:rPr/>
        <w:t>(2003) reportan que AGS como C12:0 y C14:0 se encuentran en mayor concentración en la grasa de la leche de vacas Pardo Suizo comparadas con la raza Holstein (2.62 </w:t>
      </w:r>
      <w:r>
        <w:rPr>
          <w:i/>
        </w:rPr>
        <w:t>vs </w:t>
      </w:r>
      <w:r>
        <w:rPr/>
        <w:t>2.29 y 8.53 </w:t>
      </w:r>
      <w:r>
        <w:rPr>
          <w:i/>
        </w:rPr>
        <w:t>vs </w:t>
      </w:r>
      <w:r>
        <w:rPr/>
        <w:t>8.15 g/100g AG); de manera similar a lo reportado en nuestra investigación. Las concentraciones de ácidos vaccénico, linoleico y CLA </w:t>
      </w:r>
      <w:r>
        <w:rPr>
          <w:i/>
        </w:rPr>
        <w:t>cis</w:t>
      </w:r>
      <w:r>
        <w:rPr/>
        <w:t>-9 </w:t>
      </w:r>
      <w:r>
        <w:rPr>
          <w:i/>
        </w:rPr>
        <w:t>trans</w:t>
      </w:r>
      <w:r>
        <w:rPr/>
        <w:t>-11, reportados por estos autores, son mayores en la raza Holstein que en la Pardo Suizo (1.14 </w:t>
      </w:r>
      <w:r>
        <w:rPr>
          <w:i/>
        </w:rPr>
        <w:t>vs </w:t>
      </w:r>
      <w:r>
        <w:rPr/>
        <w:t>0.95, 3.62 </w:t>
      </w:r>
      <w:r>
        <w:rPr>
          <w:i/>
        </w:rPr>
        <w:t>vs </w:t>
      </w:r>
      <w:r>
        <w:rPr/>
        <w:t>3.41 y 0.44 </w:t>
      </w:r>
      <w:r>
        <w:rPr>
          <w:i/>
        </w:rPr>
        <w:t>vs </w:t>
      </w:r>
      <w:r>
        <w:rPr/>
        <w:t>0.41 g/100g AG).</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0"/>
          <w:numId w:val="10"/>
        </w:numPr>
        <w:tabs>
          <w:tab w:pos="4479" w:val="left" w:leader="none"/>
          <w:tab w:pos="4480" w:val="left" w:leader="none"/>
        </w:tabs>
        <w:spacing w:line="240" w:lineRule="auto" w:before="69" w:after="0"/>
        <w:ind w:left="4479" w:right="0" w:hanging="874"/>
        <w:jc w:val="left"/>
      </w:pPr>
      <w:bookmarkStart w:name="_TOC_250001" w:id="65"/>
      <w:bookmarkEnd w:id="65"/>
      <w:r>
        <w:rPr/>
        <w:t>CONCLUSION</w:t>
      </w:r>
    </w:p>
    <w:p>
      <w:pPr>
        <w:pStyle w:val="BodyText"/>
        <w:rPr>
          <w:b/>
        </w:rPr>
      </w:pPr>
    </w:p>
    <w:p>
      <w:pPr>
        <w:pStyle w:val="BodyText"/>
        <w:spacing w:before="4"/>
        <w:rPr>
          <w:b/>
          <w:sz w:val="23"/>
        </w:rPr>
      </w:pPr>
    </w:p>
    <w:p>
      <w:pPr>
        <w:pStyle w:val="BodyText"/>
        <w:spacing w:line="360" w:lineRule="auto" w:before="1"/>
        <w:ind w:left="512" w:right="105"/>
        <w:jc w:val="both"/>
      </w:pPr>
      <w:r>
        <w:rPr/>
        <w:t>Disminuir el nivel de concentrado a expensas de aumentar el tiempo de pastoreo en interacción con el genotipo de ganado lechero afectó </w:t>
      </w:r>
      <w:r>
        <w:rPr>
          <w:spacing w:val="-5"/>
        </w:rPr>
        <w:t>la </w:t>
      </w:r>
      <w:r>
        <w:rPr/>
        <w:t>ingestión de ensilado de </w:t>
      </w:r>
      <w:r>
        <w:rPr>
          <w:spacing w:val="-3"/>
        </w:rPr>
        <w:t>maíz </w:t>
      </w:r>
      <w:r>
        <w:rPr/>
        <w:t>sin afectar </w:t>
      </w:r>
      <w:r>
        <w:rPr>
          <w:spacing w:val="-5"/>
        </w:rPr>
        <w:t>la </w:t>
      </w:r>
      <w:r>
        <w:rPr/>
        <w:t>producción de leche, ni su contenido de macro-componentes. El efecto del nivel de concentrado tuvo </w:t>
      </w:r>
      <w:r>
        <w:rPr>
          <w:spacing w:val="-3"/>
        </w:rPr>
        <w:t>mayor </w:t>
      </w:r>
      <w:r>
        <w:rPr/>
        <w:t>influencia en </w:t>
      </w:r>
      <w:r>
        <w:rPr>
          <w:spacing w:val="-3"/>
        </w:rPr>
        <w:t>la </w:t>
      </w:r>
      <w:r>
        <w:rPr/>
        <w:t>producción láctea de vacas H que PS. El ahorro de 5.0 kg de concentrado complementado al ganado lechero al reducir el suministro de 8.0  a 3.0 kg/vaca/día, provocó el decremento de 3.0 kg de leche/d; ese déficit productivo parece tener menor impacto en el ganado PS comparado con H, sin embargo esta disminución en  </w:t>
      </w:r>
      <w:r>
        <w:rPr>
          <w:spacing w:val="-3"/>
        </w:rPr>
        <w:t>la </w:t>
      </w:r>
      <w:r>
        <w:rPr/>
        <w:t>cantidad de concentrado en </w:t>
      </w:r>
      <w:r>
        <w:rPr>
          <w:spacing w:val="-5"/>
        </w:rPr>
        <w:t>la </w:t>
      </w:r>
      <w:r>
        <w:rPr/>
        <w:t>dieta en el ganado lechero evaluado disminuye el porcentaje de ácidos grasos saturados y promueve </w:t>
      </w:r>
      <w:r>
        <w:rPr>
          <w:spacing w:val="-3"/>
        </w:rPr>
        <w:t>la </w:t>
      </w:r>
      <w:r>
        <w:rPr/>
        <w:t>presencia de ácidos grasos insaturados en </w:t>
      </w:r>
      <w:r>
        <w:rPr>
          <w:spacing w:val="-5"/>
        </w:rPr>
        <w:t>la </w:t>
      </w:r>
      <w:r>
        <w:rPr/>
        <w:t>leche, posiblemente debidos a cambios en el ambiente ruminal que favorecen </w:t>
      </w:r>
      <w:r>
        <w:rPr>
          <w:spacing w:val="-5"/>
        </w:rPr>
        <w:t>la </w:t>
      </w:r>
      <w:r>
        <w:rPr/>
        <w:t>biohidrogenación de éstos últimos, </w:t>
      </w:r>
      <w:r>
        <w:rPr>
          <w:spacing w:val="-5"/>
        </w:rPr>
        <w:t>lo </w:t>
      </w:r>
      <w:r>
        <w:rPr/>
        <w:t>que podría representar un producto natural con posibles beneficios a </w:t>
      </w:r>
      <w:r>
        <w:rPr>
          <w:spacing w:val="-3"/>
        </w:rPr>
        <w:t>la </w:t>
      </w:r>
      <w:r>
        <w:rPr/>
        <w:t>salud del consumidor, observando una mejor respuesta a esto en el ganado Holstein. La presencia de componentes funcionales en </w:t>
      </w:r>
      <w:r>
        <w:rPr>
          <w:spacing w:val="-3"/>
        </w:rPr>
        <w:t>la </w:t>
      </w:r>
      <w:r>
        <w:rPr/>
        <w:t>grasa de </w:t>
      </w:r>
      <w:r>
        <w:rPr>
          <w:spacing w:val="-3"/>
        </w:rPr>
        <w:t>la </w:t>
      </w:r>
      <w:r>
        <w:rPr/>
        <w:t>leche como el ácido linoleico conjugado y vaccénico </w:t>
      </w:r>
      <w:r>
        <w:rPr>
          <w:spacing w:val="-3"/>
        </w:rPr>
        <w:t>no </w:t>
      </w:r>
      <w:r>
        <w:rPr/>
        <w:t>fueron alteradas al aumentar el tiempo de acceso al pastoreo y al reducir el nivel de</w:t>
      </w:r>
      <w:r>
        <w:rPr>
          <w:spacing w:val="-19"/>
        </w:rPr>
        <w:t> </w:t>
      </w:r>
      <w:r>
        <w:rPr/>
        <w:t>concentrado.</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0"/>
          <w:numId w:val="10"/>
        </w:numPr>
        <w:tabs>
          <w:tab w:pos="3989" w:val="left" w:leader="none"/>
          <w:tab w:pos="3990" w:val="left" w:leader="none"/>
        </w:tabs>
        <w:spacing w:line="240" w:lineRule="auto" w:before="69" w:after="0"/>
        <w:ind w:left="3989" w:right="0" w:hanging="687"/>
        <w:jc w:val="left"/>
      </w:pPr>
      <w:bookmarkStart w:name="_TOC_250000" w:id="66"/>
      <w:r>
        <w:rPr/>
        <w:t>LITERATURA</w:t>
      </w:r>
      <w:r>
        <w:rPr>
          <w:spacing w:val="-11"/>
        </w:rPr>
        <w:t> </w:t>
      </w:r>
      <w:bookmarkEnd w:id="66"/>
      <w:r>
        <w:rPr/>
        <w:t>CITADA</w:t>
      </w:r>
    </w:p>
    <w:p>
      <w:pPr>
        <w:pStyle w:val="BodyText"/>
        <w:rPr>
          <w:b/>
        </w:rPr>
      </w:pPr>
    </w:p>
    <w:p>
      <w:pPr>
        <w:pStyle w:val="BodyText"/>
        <w:spacing w:before="4"/>
        <w:rPr>
          <w:b/>
          <w:sz w:val="23"/>
        </w:rPr>
      </w:pPr>
    </w:p>
    <w:p>
      <w:pPr>
        <w:pStyle w:val="BodyText"/>
        <w:spacing w:before="1"/>
        <w:ind w:left="575" w:right="105"/>
      </w:pPr>
      <w:r>
        <w:rPr/>
        <w:t>Association of Official Analytical Chemists. 1990. Official Methods of Analysis. 15th  ed.</w:t>
      </w:r>
    </w:p>
    <w:p>
      <w:pPr>
        <w:pStyle w:val="BodyText"/>
        <w:spacing w:before="141"/>
        <w:ind w:left="1079" w:right="105"/>
      </w:pPr>
      <w:r>
        <w:rPr/>
        <w:t>AOAC. Arlington. VA, USA.</w:t>
      </w:r>
    </w:p>
    <w:p>
      <w:pPr>
        <w:pStyle w:val="BodyText"/>
        <w:spacing w:line="360" w:lineRule="auto" w:before="137"/>
        <w:ind w:left="1079" w:right="107" w:hanging="567"/>
        <w:jc w:val="both"/>
      </w:pPr>
      <w:r>
        <w:rPr/>
        <w:t>AbuGhazaleh AA. Schingoethe DJ. Hippen AR. Kalscheur EK. (2003). Milk conjugated linoleic acid response to fish oil supplementation of diets differing in fatty acids profile. J. Dairy Sci. 86: 944-953.</w:t>
      </w:r>
    </w:p>
    <w:p>
      <w:pPr>
        <w:pStyle w:val="BodyText"/>
        <w:spacing w:line="360" w:lineRule="auto" w:before="8"/>
        <w:ind w:left="1079" w:right="101" w:hanging="567"/>
        <w:jc w:val="both"/>
      </w:pPr>
      <w:r>
        <w:rPr/>
        <w:t>AbuGhazaleh AA. Schingoethe DJ. Hippen AR. Whitlock LA. (2002). Feeding fish meal and extruded soybeans enhances the conjugated linoleic acid content of milk. J. Dairy Sci. 86: 944-953.</w:t>
      </w:r>
    </w:p>
    <w:p>
      <w:pPr>
        <w:pStyle w:val="BodyText"/>
        <w:spacing w:line="362" w:lineRule="auto" w:before="4"/>
        <w:ind w:left="1079" w:right="120" w:hanging="567"/>
        <w:jc w:val="both"/>
      </w:pPr>
      <w:r>
        <w:rPr/>
        <w:t>AFRC. (1993). Necesidades energéticas y proteicas de los rumiantes. Editorial Acribia, Zaragoza, España, p. 175.</w:t>
      </w:r>
    </w:p>
    <w:p>
      <w:pPr>
        <w:pStyle w:val="BodyText"/>
        <w:spacing w:line="360" w:lineRule="auto" w:before="1"/>
        <w:ind w:left="1079" w:right="112" w:hanging="567"/>
        <w:jc w:val="both"/>
      </w:pPr>
      <w:r>
        <w:rPr/>
        <w:t>Alfonso AAR. (2011). Efectos de las estrategias de alimentación en el rendimiento y composición de la leche en sistemas de producción de leche en pequeña escala en el noroeste del Estado de México en época de lluvias. Tesis de Maestría. Facultad de Medicina Veterinaria y Zootecnia, Universidad Autónoma de Estado de México. Toluca, México.</w:t>
      </w:r>
    </w:p>
    <w:p>
      <w:pPr>
        <w:pStyle w:val="BodyText"/>
        <w:spacing w:line="360" w:lineRule="auto" w:before="4"/>
        <w:ind w:left="1079" w:right="108" w:hanging="567"/>
        <w:jc w:val="both"/>
      </w:pPr>
      <w:r>
        <w:rPr/>
        <w:t>Allison CD. (1985). Factors affecting forage intake by range ruminants: a review. J. Range Management. 38: 305-311.</w:t>
      </w:r>
    </w:p>
    <w:p>
      <w:pPr>
        <w:pStyle w:val="BodyText"/>
        <w:spacing w:before="8"/>
        <w:ind w:left="512"/>
      </w:pPr>
      <w:r>
        <w:rPr/>
        <w:t>Álvarez-Nogal PJ. (2004).  Modificación del perfil de ácidos grasos de la  leche     de  vaca.</w:t>
      </w:r>
    </w:p>
    <w:p>
      <w:pPr>
        <w:pStyle w:val="BodyText"/>
        <w:spacing w:before="137"/>
        <w:ind w:left="1079" w:right="105"/>
      </w:pPr>
      <w:r>
        <w:rPr/>
        <w:t>Ganadería 2004. España. pp. 60-65.</w:t>
      </w:r>
    </w:p>
    <w:p>
      <w:pPr>
        <w:pStyle w:val="BodyText"/>
        <w:spacing w:before="137"/>
        <w:ind w:left="512" w:right="105"/>
      </w:pPr>
      <w:r>
        <w:rPr/>
        <w:t>Arnold GW. (1985). Regulation of forage intake. </w:t>
      </w:r>
      <w:r>
        <w:rPr>
          <w:i/>
        </w:rPr>
        <w:t>In</w:t>
      </w:r>
      <w:r>
        <w:rPr/>
        <w:t>: Grazing animals. FHW. Morley  (Ed).</w:t>
      </w:r>
    </w:p>
    <w:p>
      <w:pPr>
        <w:pStyle w:val="BodyText"/>
        <w:spacing w:before="137"/>
        <w:ind w:left="1079" w:right="105"/>
      </w:pPr>
      <w:r>
        <w:rPr/>
        <w:t>Elvesier. Amsterdam, Netherlands. pp. 79-104.</w:t>
      </w:r>
    </w:p>
    <w:p>
      <w:pPr>
        <w:pStyle w:val="BodyText"/>
        <w:spacing w:line="360" w:lineRule="auto" w:before="137"/>
        <w:ind w:left="1079" w:right="121" w:hanging="567"/>
        <w:jc w:val="both"/>
      </w:pPr>
      <w:r>
        <w:rPr/>
        <w:t>Aro A. Mannisto S. Salminen J. Ovaskainen ML. Kataja V. Uusitupa M. (2000). Inverse association between dietary and serum conjugated linoleic acid and risk of breast cancer in post-menopausal women. Nutr. Cancer. 38: 151-157.</w:t>
      </w:r>
    </w:p>
    <w:p>
      <w:pPr>
        <w:pStyle w:val="BodyText"/>
        <w:spacing w:line="360" w:lineRule="auto" w:before="4"/>
        <w:ind w:left="1079" w:right="111" w:hanging="567"/>
        <w:jc w:val="both"/>
      </w:pPr>
      <w:r>
        <w:rPr/>
        <w:t>Arriaga-Jordan C. Holmes W. (1986). The effect of concentrate supplementation on high yielding dairy cows under two systems of grazing. J. Agric. Sci. 107: 453-461.</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5" w:hanging="567"/>
        <w:jc w:val="both"/>
      </w:pPr>
      <w:r>
        <w:rPr/>
        <w:t>Ascherio A. Rimm EB. Giovannucci EL. Spiegelman D. Stampfer M. Willet WC. (1996). Dietary fat and risk of coronary heart disease in men: cohort follow up study in the United States. Brit. Med. J. 313: 84-90.</w:t>
      </w:r>
    </w:p>
    <w:p>
      <w:pPr>
        <w:pStyle w:val="BodyText"/>
        <w:spacing w:line="360" w:lineRule="auto" w:before="8"/>
        <w:ind w:left="1079" w:right="116" w:hanging="567"/>
        <w:jc w:val="both"/>
      </w:pPr>
      <w:r>
        <w:rPr/>
        <w:t>Auldist MJ. Kay JK. Thomson NA. Napper </w:t>
      </w:r>
      <w:r>
        <w:rPr>
          <w:spacing w:val="-3"/>
        </w:rPr>
        <w:t>AR. </w:t>
      </w:r>
      <w:r>
        <w:rPr/>
        <w:t>Kolver ES. (2002). Concentrations of CLA </w:t>
      </w:r>
      <w:r>
        <w:rPr>
          <w:spacing w:val="-3"/>
        </w:rPr>
        <w:t>in milk </w:t>
      </w:r>
      <w:r>
        <w:rPr/>
        <w:t>from cows grazing pasture or </w:t>
      </w:r>
      <w:r>
        <w:rPr>
          <w:spacing w:val="-3"/>
        </w:rPr>
        <w:t>fed </w:t>
      </w:r>
      <w:r>
        <w:rPr/>
        <w:t>a total mixed ration for an entire lactation. Proc. </w:t>
      </w:r>
      <w:r>
        <w:rPr>
          <w:spacing w:val="-3"/>
        </w:rPr>
        <w:t>N. </w:t>
      </w:r>
      <w:r>
        <w:rPr/>
        <w:t>Z. Soc. Anim. Prod. 62: 240-241.</w:t>
      </w:r>
    </w:p>
    <w:p>
      <w:pPr>
        <w:pStyle w:val="BodyText"/>
        <w:spacing w:line="362" w:lineRule="auto" w:before="4"/>
        <w:ind w:left="1079" w:right="111" w:hanging="567"/>
        <w:jc w:val="both"/>
      </w:pPr>
      <w:r>
        <w:rPr/>
        <w:t>Auldist MJ. Walsh BJ. Thomson NA. (1998). Seasonal and lactation in influences  on bovine milk composition in New Zealand. J. Dairy Res. 65: 401-411.</w:t>
      </w:r>
    </w:p>
    <w:p>
      <w:pPr>
        <w:pStyle w:val="BodyText"/>
        <w:spacing w:line="360" w:lineRule="auto" w:before="1"/>
        <w:ind w:left="1079" w:right="105" w:hanging="567"/>
        <w:jc w:val="both"/>
      </w:pPr>
      <w:r>
        <w:rPr/>
        <w:t>Baker RD. (1982). Estimating herbage intake from animal performance. </w:t>
      </w:r>
      <w:r>
        <w:rPr>
          <w:i/>
        </w:rPr>
        <w:t>In</w:t>
      </w:r>
      <w:r>
        <w:rPr/>
        <w:t>: Herbage Intake Handbook. ED. Leaver (Ed). British Grassland Society. Hurley, UK. 77-93.</w:t>
      </w:r>
    </w:p>
    <w:p>
      <w:pPr>
        <w:pStyle w:val="BodyText"/>
        <w:spacing w:line="360" w:lineRule="auto" w:before="4"/>
        <w:ind w:left="1079" w:right="116" w:hanging="567"/>
        <w:jc w:val="both"/>
      </w:pPr>
      <w:r>
        <w:rPr/>
        <w:t>Baker RD. Alvarez F. Le Du YLP. (1981). The effect of herbage allowance and milk intake upon herbage intake and performance of grazing sucker cows and calves. Grass Forage Sci. 36: 189-200.</w:t>
      </w:r>
    </w:p>
    <w:p>
      <w:pPr>
        <w:pStyle w:val="BodyText"/>
        <w:spacing w:line="360" w:lineRule="auto" w:before="4"/>
        <w:ind w:left="526" w:right="110"/>
        <w:jc w:val="right"/>
      </w:pPr>
      <w:r>
        <w:rPr/>
        <w:t>Banni S. Martin JC. (1998). Conjugated linoleic acid and metabolites. </w:t>
      </w:r>
      <w:r>
        <w:rPr>
          <w:i/>
        </w:rPr>
        <w:t>In</w:t>
      </w:r>
      <w:r>
        <w:rPr/>
        <w:t>: Trans</w:t>
      </w:r>
      <w:r>
        <w:rPr>
          <w:spacing w:val="-8"/>
        </w:rPr>
        <w:t> </w:t>
      </w:r>
      <w:r>
        <w:rPr/>
        <w:t>Fatty</w:t>
      </w:r>
      <w:r>
        <w:rPr>
          <w:spacing w:val="-7"/>
        </w:rPr>
        <w:t> </w:t>
      </w:r>
      <w:r>
        <w:rPr/>
        <w:t>Acids</w:t>
      </w:r>
      <w:r>
        <w:rPr>
          <w:w w:val="99"/>
        </w:rPr>
        <w:t> </w:t>
      </w:r>
      <w:r>
        <w:rPr>
          <w:spacing w:val="-3"/>
        </w:rPr>
        <w:t>in </w:t>
      </w:r>
      <w:r>
        <w:rPr/>
        <w:t>Human Nutrition. Sebedio JJ. Cristie </w:t>
      </w:r>
      <w:r>
        <w:rPr>
          <w:spacing w:val="-3"/>
        </w:rPr>
        <w:t>WW. </w:t>
      </w:r>
      <w:r>
        <w:rPr/>
        <w:t>Oily Press. Dundee,</w:t>
      </w:r>
      <w:r>
        <w:rPr>
          <w:spacing w:val="-4"/>
        </w:rPr>
        <w:t> </w:t>
      </w:r>
      <w:r>
        <w:rPr/>
        <w:t>Scotland. 261-302. Bargo F. Delahoy JE. Schroeder GF and Muller LD (2006). </w:t>
      </w:r>
      <w:r>
        <w:rPr>
          <w:spacing w:val="-4"/>
        </w:rPr>
        <w:t>Milk </w:t>
      </w:r>
      <w:r>
        <w:rPr/>
        <w:t>fatty acid</w:t>
      </w:r>
      <w:r>
        <w:rPr>
          <w:spacing w:val="32"/>
        </w:rPr>
        <w:t> </w:t>
      </w:r>
      <w:r>
        <w:rPr/>
        <w:t>composition</w:t>
      </w:r>
      <w:r>
        <w:rPr>
          <w:spacing w:val="3"/>
        </w:rPr>
        <w:t> </w:t>
      </w:r>
      <w:r>
        <w:rPr/>
        <w:t>of dairy cows grazing at two pasture allowance and supplemented with different  </w:t>
      </w:r>
      <w:r>
        <w:rPr>
          <w:spacing w:val="55"/>
        </w:rPr>
        <w:t> </w:t>
      </w:r>
      <w:r>
        <w:rPr/>
        <w:t>levels</w:t>
      </w:r>
    </w:p>
    <w:p>
      <w:pPr>
        <w:pStyle w:val="BodyText"/>
        <w:spacing w:before="4"/>
        <w:ind w:left="1079" w:right="105"/>
      </w:pPr>
      <w:r>
        <w:rPr/>
        <w:t>and sources of concentrate. Anim. Feed Sci. Tech. 125: 17-31.</w:t>
      </w:r>
    </w:p>
    <w:p>
      <w:pPr>
        <w:pStyle w:val="BodyText"/>
        <w:spacing w:line="360" w:lineRule="auto" w:before="137"/>
        <w:ind w:left="1079" w:right="111" w:hanging="567"/>
        <w:jc w:val="both"/>
      </w:pPr>
      <w:r>
        <w:rPr/>
        <w:t>Bargo F. Delahoy JE. Schroeder GF. Baumgard LH. Muller LD. (2006b). Supplementing total mixed rations with pasture increase the content of conjugated linoleic acid in milk. Anim. Feed Sci. Tech. 131: 226-240.</w:t>
      </w:r>
    </w:p>
    <w:p>
      <w:pPr>
        <w:pStyle w:val="BodyText"/>
        <w:spacing w:line="360" w:lineRule="auto" w:before="4"/>
        <w:ind w:left="1079" w:right="102" w:hanging="567"/>
        <w:jc w:val="both"/>
      </w:pPr>
      <w:r>
        <w:rPr/>
        <w:t>Bargo F. Muller LD. Delahoy JE. Cassidy TW. (2002). Milk response to concentrate supplementation of high producing dairy cows grazing at two pasture allowances. J. Dairy Sci. 85: 1777-1792.</w:t>
      </w:r>
    </w:p>
    <w:p>
      <w:pPr>
        <w:pStyle w:val="BodyText"/>
        <w:spacing w:line="360" w:lineRule="auto" w:before="8"/>
        <w:ind w:left="1079" w:right="114" w:hanging="567"/>
        <w:jc w:val="both"/>
      </w:pPr>
      <w:r>
        <w:rPr/>
        <w:t>Bargo F. Muller LD. Kolver ES. Delahoy JE. (2003). Invited Review: Production and digestion of supplements dairy cows on pasture. J. Dairy Sci. 86: 1-42.</w:t>
      </w:r>
    </w:p>
    <w:p>
      <w:pPr>
        <w:pStyle w:val="BodyText"/>
        <w:spacing w:line="360" w:lineRule="auto" w:before="4"/>
        <w:ind w:left="1079" w:right="107" w:hanging="567"/>
        <w:jc w:val="both"/>
      </w:pPr>
      <w:r>
        <w:rPr/>
        <w:t>Bauchard D. Verite R. Remon B. (1984). Long-chain fatty acid digestion </w:t>
      </w:r>
      <w:r>
        <w:rPr>
          <w:spacing w:val="-3"/>
        </w:rPr>
        <w:t>in </w:t>
      </w:r>
      <w:r>
        <w:rPr/>
        <w:t>lacting cows fed fresh grass from spring to </w:t>
      </w:r>
      <w:r>
        <w:rPr>
          <w:spacing w:val="-3"/>
        </w:rPr>
        <w:t>autumn. </w:t>
      </w:r>
      <w:r>
        <w:rPr/>
        <w:t>Can. J Anim. Sci. 64 (suppl):</w:t>
      </w:r>
      <w:r>
        <w:rPr>
          <w:spacing w:val="5"/>
        </w:rPr>
        <w:t> </w:t>
      </w:r>
      <w:r>
        <w:rPr/>
        <w:t>330-331.</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9" w:hanging="567"/>
        <w:jc w:val="both"/>
      </w:pPr>
      <w:r>
        <w:rPr/>
        <w:t>Bauman DE. Baumgard LH. Corl BA. Griinari JM. (1999). Biosynthesis of conjugated linoleic acid in ruminants. I. Proc. Am. Soc. Anim. Sci., IN. pp1-11.</w:t>
      </w:r>
    </w:p>
    <w:p>
      <w:pPr>
        <w:pStyle w:val="BodyText"/>
        <w:spacing w:line="360" w:lineRule="auto" w:before="4"/>
        <w:ind w:left="1079" w:right="110" w:hanging="567"/>
        <w:jc w:val="both"/>
      </w:pPr>
      <w:r>
        <w:rPr/>
        <w:t>Bauman DE. Corl BA. Baumgard LH. Griinari JM. (2001). Conjugated linoleic acid (CLA) and the dietary cow. </w:t>
      </w:r>
      <w:r>
        <w:rPr>
          <w:i/>
        </w:rPr>
        <w:t>In</w:t>
      </w:r>
      <w:r>
        <w:rPr/>
        <w:t>: Recent Advances in Animal Nutrition. Garnsworthy PC. Wiseman J. (Eds). Nottingham University Press. Nottingham, UK.</w:t>
      </w:r>
    </w:p>
    <w:p>
      <w:pPr>
        <w:pStyle w:val="BodyText"/>
        <w:spacing w:line="360" w:lineRule="auto" w:before="4"/>
        <w:ind w:left="1079" w:right="112" w:hanging="567"/>
        <w:jc w:val="both"/>
      </w:pPr>
      <w:r>
        <w:rPr/>
        <w:t>Bauman DE. Davis CL. (1974). Biosynthesis of milk fat. </w:t>
      </w:r>
      <w:r>
        <w:rPr>
          <w:i/>
        </w:rPr>
        <w:t>In</w:t>
      </w:r>
      <w:r>
        <w:rPr/>
        <w:t>: Lactation: A Comprehensive Treatise. BL. Larson. VR. Smith (Eds). Academic Press. New York. 31-75.</w:t>
      </w:r>
    </w:p>
    <w:p>
      <w:pPr>
        <w:pStyle w:val="BodyText"/>
        <w:spacing w:line="360" w:lineRule="auto" w:before="8"/>
        <w:ind w:left="1079" w:right="106" w:hanging="567"/>
        <w:jc w:val="both"/>
      </w:pPr>
      <w:r>
        <w:rPr/>
        <w:t>Bauman DE. Griinari JM. (2001). Regulation and nutritional manipulation of milk fat low- fat milk syndrome. Livest. Prod. Sci. 70:15-29.</w:t>
      </w:r>
    </w:p>
    <w:p>
      <w:pPr>
        <w:pStyle w:val="BodyText"/>
        <w:spacing w:line="360" w:lineRule="auto" w:before="4"/>
        <w:ind w:left="1079" w:right="121" w:hanging="567"/>
        <w:jc w:val="both"/>
      </w:pPr>
      <w:r>
        <w:rPr/>
        <w:t>Bauman DE. Mather IH. Wall RJ. Lock LA. (2006). Major Advances Associated with the Biosynthesis of Milk. J Dairy Sci. 89: 1235-1243.</w:t>
      </w:r>
    </w:p>
    <w:p>
      <w:pPr>
        <w:pStyle w:val="BodyText"/>
        <w:spacing w:line="360" w:lineRule="auto" w:before="8"/>
        <w:ind w:left="1079" w:right="101" w:hanging="567"/>
        <w:jc w:val="both"/>
      </w:pPr>
      <w:r>
        <w:rPr/>
        <w:t>Bell JA. Kennelly JJ. (2003). Short communication: Post-ruminal infusion of conjugated linoleic acid negatively impacts milk synthesis in Holstein cows. J. Dairy Sci. 86: 13- 21-1324.</w:t>
      </w:r>
    </w:p>
    <w:p>
      <w:pPr>
        <w:pStyle w:val="BodyText"/>
        <w:spacing w:line="362" w:lineRule="auto" w:before="4"/>
        <w:ind w:left="1079" w:right="109" w:hanging="567"/>
        <w:jc w:val="both"/>
      </w:pPr>
      <w:r>
        <w:rPr/>
        <w:t>Belury MA. (1995). Conjugated dienoic linoleate: A polyunsaturated fatty acid with unique chemoprotective properties. Nutr. Rev. 53: 83-89.</w:t>
      </w:r>
    </w:p>
    <w:p>
      <w:pPr>
        <w:pStyle w:val="BodyText"/>
        <w:spacing w:line="360" w:lineRule="auto" w:before="1"/>
        <w:ind w:left="1079" w:right="121" w:hanging="567"/>
        <w:jc w:val="both"/>
      </w:pPr>
      <w:r>
        <w:rPr/>
        <w:t>Belury MA. (2002). Dietary conjugated linoleic acid in health: physiological effects and mechanisms of action. Annual Rev. of Nutr. 22: 505-531.</w:t>
      </w:r>
    </w:p>
    <w:p>
      <w:pPr>
        <w:pStyle w:val="BodyText"/>
        <w:spacing w:line="360" w:lineRule="auto" w:before="4"/>
        <w:ind w:left="1079" w:right="116" w:hanging="567"/>
        <w:jc w:val="both"/>
      </w:pPr>
      <w:r>
        <w:rPr/>
        <w:t>Belury MA. Vanden Heuvel JP. (1999). Modulation of diabetes by conjugated linoleic acid. </w:t>
      </w:r>
      <w:r>
        <w:rPr>
          <w:i/>
        </w:rPr>
        <w:t>In</w:t>
      </w:r>
      <w:r>
        <w:rPr/>
        <w:t>: Advances in conjugated linoleic research. Yurawecz MP. Mossoba MM. Kramer JKG. Pariza MW. Nelson G. (Eds.). Camping: AOCS Press. 404-411.</w:t>
      </w:r>
    </w:p>
    <w:p>
      <w:pPr>
        <w:pStyle w:val="BodyText"/>
        <w:spacing w:line="360" w:lineRule="auto" w:before="4"/>
        <w:ind w:left="1079" w:right="100" w:hanging="567"/>
        <w:jc w:val="both"/>
      </w:pPr>
      <w:r>
        <w:rPr/>
        <w:t>Bines JA. Suzuki S. Balch CC. (1969). The quantitative significance of long-term  regulation of food intake </w:t>
      </w:r>
      <w:r>
        <w:rPr>
          <w:spacing w:val="-3"/>
        </w:rPr>
        <w:t>in </w:t>
      </w:r>
      <w:r>
        <w:rPr/>
        <w:t>the cow. Brit. J. Nutr. 23:</w:t>
      </w:r>
      <w:r>
        <w:rPr>
          <w:spacing w:val="-4"/>
        </w:rPr>
        <w:t> </w:t>
      </w:r>
      <w:r>
        <w:rPr/>
        <w:t>695-704.</w:t>
      </w:r>
    </w:p>
    <w:p>
      <w:pPr>
        <w:pStyle w:val="BodyText"/>
        <w:spacing w:line="360" w:lineRule="auto" w:before="4"/>
        <w:ind w:left="1079" w:right="109" w:hanging="567"/>
        <w:jc w:val="both"/>
      </w:pPr>
      <w:r>
        <w:rPr/>
        <w:t>Burke F. O’Donovan MA. Murphy JJ. O’Mara FP. Mulligan FJ. (2008). Effect of pasture allowance and supplementation with maize silage and concentrates differing in crude protein concentration on milk production and nitrogen excretion by dairy cows. Livest. Sci. 114: 325-335.</w:t>
      </w:r>
    </w:p>
    <w:p>
      <w:pPr>
        <w:pStyle w:val="BodyText"/>
        <w:spacing w:line="362" w:lineRule="auto" w:before="4"/>
        <w:ind w:left="1079" w:right="117" w:hanging="567"/>
        <w:jc w:val="both"/>
      </w:pPr>
      <w:r>
        <w:rPr/>
        <w:t>Burns JC. Pond </w:t>
      </w:r>
      <w:r>
        <w:rPr>
          <w:spacing w:val="-3"/>
        </w:rPr>
        <w:t>KR. Fisher </w:t>
      </w:r>
      <w:r>
        <w:rPr/>
        <w:t>DS. (1994). III. Intake as a critical element of forage </w:t>
      </w:r>
      <w:r>
        <w:rPr>
          <w:spacing w:val="-3"/>
        </w:rPr>
        <w:t>quality. Ch. </w:t>
      </w:r>
      <w:r>
        <w:rPr/>
        <w:t>12. Measurement of forage intake.   </w:t>
      </w:r>
      <w:r>
        <w:rPr>
          <w:spacing w:val="21"/>
        </w:rPr>
        <w:t> </w:t>
      </w:r>
      <w:r>
        <w:rPr>
          <w:i/>
        </w:rPr>
        <w:t>In</w:t>
      </w:r>
      <w:r>
        <w:rPr/>
        <w:t>: Forage quality evaluation and utilization.</w:t>
      </w:r>
    </w:p>
    <w:p>
      <w:pPr>
        <w:spacing w:after="0" w:line="362"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8"/>
        <w:jc w:val="both"/>
      </w:pPr>
      <w:r>
        <w:rPr/>
        <w:t>CC. Ferlay. M Collins. DR Mertens. LE Moser (Eds). American society of Agronomy, Inc. Corp. Science society of American, Inc. Madison, Wisconsin, USA. pp. 494-532.</w:t>
      </w:r>
    </w:p>
    <w:p>
      <w:pPr>
        <w:pStyle w:val="BodyText"/>
        <w:spacing w:line="360" w:lineRule="auto" w:before="8"/>
        <w:ind w:left="1079" w:right="102" w:hanging="567"/>
        <w:jc w:val="both"/>
      </w:pPr>
      <w:r>
        <w:rPr/>
        <w:t>Burns JC. Pond KR. Fisher DS. (1994). Measurement of forage intake. </w:t>
      </w:r>
      <w:r>
        <w:rPr>
          <w:i/>
        </w:rPr>
        <w:t>In: </w:t>
      </w:r>
      <w:r>
        <w:rPr/>
        <w:t>Forage quality, evaluation, and utilization. GC. Fahey, M. Collins, DR. Mertens, LE. Moser. (Eds.). ASA, CSSA, SSSA, Madison, WI. pp. 494.</w:t>
      </w:r>
    </w:p>
    <w:p>
      <w:pPr>
        <w:pStyle w:val="BodyText"/>
        <w:spacing w:line="360" w:lineRule="auto" w:before="4"/>
        <w:ind w:left="1079" w:right="113" w:hanging="567"/>
        <w:jc w:val="both"/>
      </w:pPr>
      <w:r>
        <w:rPr/>
        <w:t>Carroll SM. DePeters EJ. Taylor SJ. Rosenberg M. Perez-Monti H.Capps VA. (2006). Milk composition of Holstein, Jersey, and Brown Swiss cows in response to increasing levels of dietary fat. Anim. Feed Sci. Tech. 131: 451-473.</w:t>
      </w:r>
    </w:p>
    <w:p>
      <w:pPr>
        <w:pStyle w:val="BodyText"/>
        <w:spacing w:line="362" w:lineRule="auto" w:before="4"/>
        <w:ind w:left="1079" w:right="104" w:hanging="567"/>
        <w:jc w:val="both"/>
      </w:pPr>
      <w:r>
        <w:rPr/>
        <w:t>Chilliard Y. Doreau M. Gagliostro G. Elmeddah Y. (1993). Addition de lipids protégés (encapsulés ou savons de calcium) a la ration de vaches laitieres. Effects sur les performances et la composition du lait. INRA Prod. Anim. 6: 139-150.</w:t>
      </w:r>
    </w:p>
    <w:p>
      <w:pPr>
        <w:pStyle w:val="BodyText"/>
        <w:spacing w:line="360" w:lineRule="auto" w:before="1"/>
        <w:ind w:left="1079" w:right="121" w:hanging="567"/>
        <w:jc w:val="both"/>
      </w:pPr>
      <w:r>
        <w:rPr/>
        <w:t>Chilliard Y. Ferlay A. (2004). Dietary lipids and forges interactions on cow and goat milk fatty acid composition and sensory properties. Repr. Nutr. Dev. 44: 467-492.</w:t>
      </w:r>
    </w:p>
    <w:p>
      <w:pPr>
        <w:pStyle w:val="BodyText"/>
        <w:spacing w:line="360" w:lineRule="auto" w:before="4"/>
        <w:ind w:left="1079" w:right="116" w:hanging="567"/>
        <w:jc w:val="both"/>
      </w:pPr>
      <w:r>
        <w:rPr/>
        <w:t>Chilliard Y. Ferlay A. Doreau M. (2001). Effect of different types of forages animal fat marine oils in cows diet on milk fat secretion and composition, especially conjugated linoleic acid (CLA) and polyunsaturated fatty acids. Livest. Prod. Sci. 70: 31-48.</w:t>
      </w:r>
    </w:p>
    <w:p>
      <w:pPr>
        <w:pStyle w:val="BodyText"/>
        <w:spacing w:line="362" w:lineRule="auto" w:before="4"/>
        <w:ind w:left="1079" w:right="110" w:hanging="567"/>
        <w:jc w:val="both"/>
      </w:pPr>
      <w:r>
        <w:rPr/>
        <w:t>Chilliard Y. Ferlay A. Mansbridge RM. Doreau M. (2000). Ruminant milk fat plasticity: nutritional control of saturated, polyunsaturated, </w:t>
      </w:r>
      <w:r>
        <w:rPr>
          <w:i/>
        </w:rPr>
        <w:t>trans </w:t>
      </w:r>
      <w:r>
        <w:rPr/>
        <w:t>and conjugated fatty acids. Ann. Zootech. 49: 181-205.</w:t>
      </w:r>
    </w:p>
    <w:p>
      <w:pPr>
        <w:pStyle w:val="BodyText"/>
        <w:spacing w:line="360" w:lineRule="auto" w:before="1"/>
        <w:ind w:left="1079" w:right="112" w:hanging="567"/>
        <w:jc w:val="both"/>
      </w:pPr>
      <w:r>
        <w:rPr/>
        <w:t>Chin SF. Liu W. Storkson JM. Ha YL. Pariza MW. (1992). Dietary sources of conjugated dienoic isomers of linoleic acid, a newly recognized class of anticarcinogens. J. Food Comp Anal. 5: 185-197.</w:t>
      </w:r>
    </w:p>
    <w:p>
      <w:pPr>
        <w:pStyle w:val="BodyText"/>
        <w:spacing w:line="360" w:lineRule="auto" w:before="4"/>
        <w:ind w:left="1079" w:right="111" w:hanging="567"/>
        <w:jc w:val="both"/>
      </w:pPr>
      <w:r>
        <w:rPr/>
        <w:t>Chouinard PY. Corneau L. Barbano DM. Metzger LE. Bauman DE. (1999). Conjugated linoleic acids alter milk fatty acid composition and inhibit milk fat secretion in dairy cows. J. Nutr. 129: 1579-1584.</w:t>
      </w:r>
    </w:p>
    <w:p>
      <w:pPr>
        <w:pStyle w:val="BodyText"/>
        <w:spacing w:line="360" w:lineRule="auto" w:before="4"/>
        <w:ind w:left="1079" w:right="106" w:hanging="567"/>
        <w:jc w:val="both"/>
      </w:pPr>
      <w:r>
        <w:rPr/>
        <w:t>Chouinard PY. Corneau L. Butler WR. Chilliard Y. Drackley JK. Bauman DE. (2001). Effect of dietary lipid source on conjugated linoleic acid concentrations in milk fat. J. Dairy Sci. 84: 680-690.</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526" w:right="102"/>
        <w:jc w:val="right"/>
      </w:pPr>
      <w:r>
        <w:rPr/>
        <w:t>Clark DA. Kanneganti VR. (1998). Grazing management systems for dairy cattle. </w:t>
      </w:r>
      <w:r>
        <w:rPr>
          <w:i/>
        </w:rPr>
        <w:t>In</w:t>
      </w:r>
      <w:r>
        <w:rPr/>
        <w:t>: Grass</w:t>
      </w:r>
      <w:r>
        <w:rPr>
          <w:w w:val="99"/>
        </w:rPr>
        <w:t> </w:t>
      </w:r>
      <w:r>
        <w:rPr/>
        <w:t>for Dairy Cattle. Cherney JH. Cherney DJR. (Eds.). </w:t>
      </w:r>
      <w:r>
        <w:rPr>
          <w:spacing w:val="-3"/>
        </w:rPr>
        <w:t>CAB </w:t>
      </w:r>
      <w:r>
        <w:rPr/>
        <w:t>International Press. pp. 331. Conrad HR. Pratt AD. Hibbs JW. (1964). Regulation of feed intake</w:t>
      </w:r>
      <w:r>
        <w:rPr>
          <w:spacing w:val="54"/>
        </w:rPr>
        <w:t> </w:t>
      </w:r>
      <w:r>
        <w:rPr>
          <w:spacing w:val="-3"/>
        </w:rPr>
        <w:t>in </w:t>
      </w:r>
      <w:r>
        <w:rPr/>
        <w:t>dairy cows: change </w:t>
      </w:r>
      <w:r>
        <w:rPr>
          <w:spacing w:val="-3"/>
        </w:rPr>
        <w:t>in </w:t>
      </w:r>
      <w:r>
        <w:rPr/>
        <w:t>importance of physiological factors with increasing digestibility. J. Dairy Sci. 47:  54-</w:t>
      </w:r>
    </w:p>
    <w:p>
      <w:pPr>
        <w:pStyle w:val="BodyText"/>
        <w:spacing w:line="275" w:lineRule="exact"/>
        <w:ind w:left="796" w:right="105"/>
      </w:pPr>
      <w:r>
        <w:rPr/>
        <w:t>62.</w:t>
      </w:r>
    </w:p>
    <w:p>
      <w:pPr>
        <w:pStyle w:val="BodyText"/>
        <w:spacing w:before="10"/>
        <w:rPr>
          <w:sz w:val="29"/>
        </w:rPr>
      </w:pPr>
    </w:p>
    <w:p>
      <w:pPr>
        <w:pStyle w:val="BodyText"/>
        <w:spacing w:line="360" w:lineRule="auto"/>
        <w:ind w:left="1079" w:right="114" w:hanging="567"/>
        <w:jc w:val="both"/>
      </w:pPr>
      <w:r>
        <w:rPr/>
        <w:t>Cook ME. Miller CC. Park Y. Pariza M. (1993). Immune modulation by altered nutrient metabolism: nutritional control of immune induced growth depression. Poult. Sci. 72: 1301-1305.</w:t>
      </w:r>
    </w:p>
    <w:p>
      <w:pPr>
        <w:pStyle w:val="BodyText"/>
        <w:spacing w:line="360" w:lineRule="auto" w:before="8"/>
        <w:ind w:left="1079" w:right="110" w:hanging="567"/>
        <w:jc w:val="both"/>
      </w:pPr>
      <w:r>
        <w:rPr/>
        <w:t>Corl BA. Barbano DM. Bauman DE. Ip C. (2003). </w:t>
      </w:r>
      <w:r>
        <w:rPr>
          <w:i/>
        </w:rPr>
        <w:t>Cis</w:t>
      </w:r>
      <w:r>
        <w:rPr/>
        <w:t>-9, </w:t>
      </w:r>
      <w:r>
        <w:rPr>
          <w:i/>
        </w:rPr>
        <w:t>trans</w:t>
      </w:r>
      <w:r>
        <w:rPr/>
        <w:t>-11 CLA derived endogenously from trans-11 18:1 reduces cancer risk in rats. J. Nutr. 133: 2893-2900.</w:t>
      </w:r>
    </w:p>
    <w:p>
      <w:pPr>
        <w:pStyle w:val="BodyText"/>
        <w:spacing w:line="360" w:lineRule="auto" w:before="4"/>
        <w:ind w:left="1079" w:right="105" w:hanging="567"/>
        <w:jc w:val="both"/>
      </w:pPr>
      <w:r>
        <w:rPr/>
        <w:t>Corl BA. Baumgard LH. Dewyer DA. Griinari JM. Phillips BS. Bauman DE. (2001). The role of Delta-9 desaturase in the production of </w:t>
      </w:r>
      <w:r>
        <w:rPr>
          <w:i/>
        </w:rPr>
        <w:t>cis-9, trans-11 </w:t>
      </w:r>
      <w:r>
        <w:rPr/>
        <w:t>CLA. J. Nutr. Biochem. 12: 622-630.</w:t>
      </w:r>
    </w:p>
    <w:p>
      <w:pPr>
        <w:pStyle w:val="BodyText"/>
        <w:spacing w:line="360" w:lineRule="auto" w:before="9"/>
        <w:ind w:left="1079" w:right="111" w:hanging="567"/>
        <w:jc w:val="both"/>
      </w:pPr>
      <w:r>
        <w:rPr/>
        <w:t>Couvreur S. Hurtaud C. Lopez C. Delaby L. Peyraud JL. (2006). The linear relationship between the proportion of fresh grass in the cow diet, milk fat acid composition and butter properties. J. Dairy Sci. 89: 1956-1969.</w:t>
      </w:r>
    </w:p>
    <w:p>
      <w:pPr>
        <w:pStyle w:val="BodyText"/>
        <w:spacing w:line="362" w:lineRule="auto" w:before="4"/>
        <w:ind w:left="1079" w:right="118" w:hanging="567"/>
        <w:jc w:val="both"/>
      </w:pPr>
      <w:r>
        <w:rPr/>
        <w:t>Dalley DE. Roche JR. Grainger C. Moate PJ. (1999). Dry matter intake, nutrient selection and milk production of dairy cows grazing rained perennial pastures at different herbage allowances in spring. Aust. J. Exp. Agric. 39: 923-931.</w:t>
      </w:r>
    </w:p>
    <w:p>
      <w:pPr>
        <w:pStyle w:val="BodyText"/>
        <w:spacing w:line="360" w:lineRule="auto" w:before="1"/>
        <w:ind w:left="1079" w:right="119" w:hanging="567"/>
        <w:jc w:val="both"/>
      </w:pPr>
      <w:r>
        <w:rPr/>
        <w:t>Dewhurst RJ. (2005). Targets for milk fat research: nutrient, nuisance or nutraceutical?. J. Agric. Sci. 143: 359-367.</w:t>
      </w:r>
    </w:p>
    <w:p>
      <w:pPr>
        <w:pStyle w:val="BodyText"/>
        <w:spacing w:line="360" w:lineRule="auto" w:before="9"/>
        <w:ind w:left="1079" w:right="110" w:hanging="567"/>
        <w:jc w:val="both"/>
      </w:pPr>
      <w:r>
        <w:rPr/>
        <w:t>Dewhurst RJ. Scollan ND. Lee MRF. Ougham HJ. Humphreys MO. (2003). Forage dreading and management to increase the beneficial fatty acid content of ruminant products. Proc. Nutr. Soc. 62: 329-336.</w:t>
      </w:r>
    </w:p>
    <w:p>
      <w:pPr>
        <w:pStyle w:val="BodyText"/>
        <w:spacing w:line="362" w:lineRule="auto" w:before="4"/>
        <w:ind w:left="1079" w:right="110" w:hanging="567"/>
        <w:jc w:val="both"/>
      </w:pPr>
      <w:r>
        <w:rPr/>
        <w:t>Dewhurst RJ. Shingfield KJ. Lee MRF. Scollan ND. (2006). Increasing the concentrations of beneficial polyunsaturated fatty acids in milk produced by dairy cows in high- forage systems. Anim. Feed Sci. Tech. 131: 168-206.</w:t>
      </w:r>
    </w:p>
    <w:p>
      <w:pPr>
        <w:pStyle w:val="BodyText"/>
        <w:spacing w:line="360" w:lineRule="auto" w:before="1"/>
        <w:ind w:left="1079" w:right="115" w:hanging="567"/>
        <w:jc w:val="both"/>
      </w:pPr>
      <w:r>
        <w:rPr/>
        <w:t>Dhiman TR Anand GR. Satter LD. Pariza MW. (1999). Conjugated linoleic acid content of milk and cheese from cows fed extruded  soybeans. J. Dairy Sci. 82: 412-419.</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15" w:hanging="567"/>
        <w:jc w:val="both"/>
      </w:pPr>
      <w:r>
        <w:rPr/>
        <w:t>Dhiman TR. Satter LO. Pariza MW. Galli MP. Albright K. Tolosa MX. (2000). Conjugated linoleic acid (CLA) content of milk from cows offered diets rich in linoleic and linolenic acid. J. Dairy Sci. 83: 1016-1027.</w:t>
      </w:r>
    </w:p>
    <w:p>
      <w:pPr>
        <w:pStyle w:val="BodyText"/>
        <w:spacing w:line="360" w:lineRule="auto" w:before="8"/>
        <w:ind w:left="1079" w:right="120" w:hanging="567"/>
        <w:jc w:val="both"/>
      </w:pPr>
      <w:r>
        <w:rPr/>
        <w:t>Dixon RM. Stockdale CR. (1999). Associative effects between forages and grains: consequences for feed utilization. Aust. J. Agric. Res. 50:757-773.</w:t>
      </w:r>
    </w:p>
    <w:p>
      <w:pPr>
        <w:pStyle w:val="BodyText"/>
        <w:spacing w:line="360" w:lineRule="auto" w:before="4"/>
        <w:ind w:left="1079" w:right="111" w:hanging="567"/>
        <w:jc w:val="both"/>
      </w:pPr>
      <w:r>
        <w:rPr/>
        <w:t>Dong-Soon I. (2012). Omega-3 Fatty acids </w:t>
      </w:r>
      <w:r>
        <w:rPr>
          <w:spacing w:val="-3"/>
        </w:rPr>
        <w:t>in </w:t>
      </w:r>
      <w:r>
        <w:rPr/>
        <w:t>ant inflammation (pro-resolution) and GPCRs. Progress </w:t>
      </w:r>
      <w:r>
        <w:rPr>
          <w:spacing w:val="-3"/>
        </w:rPr>
        <w:t>Lip </w:t>
      </w:r>
      <w:r>
        <w:rPr/>
        <w:t>Reseach. 51(3):</w:t>
      </w:r>
      <w:r>
        <w:rPr>
          <w:spacing w:val="2"/>
        </w:rPr>
        <w:t> </w:t>
      </w:r>
      <w:r>
        <w:rPr/>
        <w:t>232-237.</w:t>
      </w:r>
    </w:p>
    <w:p>
      <w:pPr>
        <w:pStyle w:val="BodyText"/>
        <w:spacing w:line="360" w:lineRule="auto" w:before="8"/>
        <w:ind w:left="1079" w:right="114" w:hanging="567"/>
        <w:jc w:val="both"/>
      </w:pPr>
      <w:r>
        <w:rPr/>
        <w:t>Donovan DC. Schingoethe DJ. Baer RJ. Ryali J. Hippen </w:t>
      </w:r>
      <w:r>
        <w:rPr>
          <w:spacing w:val="-3"/>
        </w:rPr>
        <w:t>AR. </w:t>
      </w:r>
      <w:r>
        <w:rPr/>
        <w:t>Franklin ST. (2000).  Influence of dietary fish oil on conjugated linoleic acid and other fatty acids </w:t>
      </w:r>
      <w:r>
        <w:rPr>
          <w:spacing w:val="-3"/>
        </w:rPr>
        <w:t>in </w:t>
      </w:r>
      <w:r>
        <w:rPr/>
        <w:t>milk fat from lactating dairy cows. J. Dairy Sci. 83:</w:t>
      </w:r>
      <w:r>
        <w:rPr>
          <w:spacing w:val="-17"/>
        </w:rPr>
        <w:t> </w:t>
      </w:r>
      <w:r>
        <w:rPr/>
        <w:t>2620-2628.</w:t>
      </w:r>
    </w:p>
    <w:p>
      <w:pPr>
        <w:pStyle w:val="BodyText"/>
        <w:spacing w:line="360" w:lineRule="auto" w:before="4"/>
        <w:ind w:left="1079" w:right="102" w:hanging="567"/>
        <w:jc w:val="both"/>
      </w:pPr>
      <w:r>
        <w:rPr/>
        <w:t>Doreau M. Chilliard Y. Rulquin H. Demeyer DI. (1999). Manipulation of milk fat in dairy cows. </w:t>
      </w:r>
      <w:r>
        <w:rPr>
          <w:i/>
        </w:rPr>
        <w:t>In</w:t>
      </w:r>
      <w:r>
        <w:rPr/>
        <w:t>: Recent Advances in Animal Nutrition. Garnsworthy PC. Wiseman J. (Eds.). Nottingham Press. Nottingham, UK. 81-109.</w:t>
      </w:r>
    </w:p>
    <w:p>
      <w:pPr>
        <w:pStyle w:val="BodyText"/>
        <w:spacing w:line="362" w:lineRule="auto" w:before="4"/>
        <w:ind w:left="1079" w:right="113" w:hanging="567"/>
        <w:jc w:val="both"/>
      </w:pPr>
      <w:r>
        <w:rPr/>
        <w:t>Doreau M. Ferlay </w:t>
      </w:r>
      <w:r>
        <w:rPr>
          <w:spacing w:val="-3"/>
        </w:rPr>
        <w:t>A. </w:t>
      </w:r>
      <w:r>
        <w:rPr/>
        <w:t>Elmeddah Y. Bauchart </w:t>
      </w:r>
      <w:r>
        <w:rPr>
          <w:spacing w:val="-3"/>
        </w:rPr>
        <w:t>D. </w:t>
      </w:r>
      <w:r>
        <w:rPr/>
        <w:t>(1989). La “protection” des matikres grasses utilisees dans l´ alimentation des ruminants: consequenses sur </w:t>
      </w:r>
      <w:r>
        <w:rPr>
          <w:spacing w:val="-3"/>
        </w:rPr>
        <w:t>la </w:t>
      </w:r>
      <w:r>
        <w:rPr/>
        <w:t>digestión. Rev. Fr. Corps Gras. 36:</w:t>
      </w:r>
      <w:r>
        <w:rPr>
          <w:spacing w:val="-6"/>
        </w:rPr>
        <w:t> </w:t>
      </w:r>
      <w:r>
        <w:rPr/>
        <w:t>271.</w:t>
      </w:r>
    </w:p>
    <w:p>
      <w:pPr>
        <w:pStyle w:val="BodyText"/>
        <w:spacing w:line="360" w:lineRule="auto" w:before="1"/>
        <w:ind w:left="1079" w:right="111" w:hanging="567"/>
        <w:jc w:val="both"/>
      </w:pPr>
      <w:r>
        <w:rPr/>
        <w:t>Doreau M. Poncet C. (2000). Ruminal biohydrogenation of fatty acids originating from fresh or preserved grass. Reprod. Nutr. Dev. 40: 201.</w:t>
      </w:r>
    </w:p>
    <w:p>
      <w:pPr>
        <w:pStyle w:val="BodyText"/>
        <w:spacing w:line="360" w:lineRule="auto" w:before="4"/>
        <w:ind w:left="1079" w:right="103" w:hanging="567"/>
        <w:jc w:val="both"/>
      </w:pPr>
      <w:r>
        <w:rPr/>
        <w:t>Dove H. Freer M. Foot JZ. (2000). The nutrition of grazing ewes during pregnancy and lactation: A comparison of alkane based and chromium/in vitro-based estimates of herbage intake. Aust. J. Agric. Res. 51: 765-777.</w:t>
      </w:r>
    </w:p>
    <w:p>
      <w:pPr>
        <w:pStyle w:val="BodyText"/>
        <w:spacing w:line="360" w:lineRule="auto" w:before="4"/>
        <w:ind w:left="1079" w:right="101" w:hanging="567"/>
        <w:jc w:val="both"/>
      </w:pPr>
      <w:r>
        <w:rPr/>
        <w:t>Dynes RA. (1996). The animal: options for managing intake. Aus. J. Agr. Res. 47: 277- 287.</w:t>
      </w:r>
    </w:p>
    <w:p>
      <w:pPr>
        <w:pStyle w:val="BodyText"/>
        <w:spacing w:line="360" w:lineRule="auto" w:before="4"/>
        <w:ind w:left="1079" w:right="105" w:hanging="567"/>
        <w:jc w:val="both"/>
      </w:pPr>
      <w:r>
        <w:rPr/>
        <w:t>Elgersma A. Moudet P. Witkowska IM. Wever AC. (2005). Effects of nitrogen fertilization and regrowth period on fatty acid concentrations in perennial ryegrass (</w:t>
      </w:r>
      <w:r>
        <w:rPr>
          <w:i/>
        </w:rPr>
        <w:t>Lolium </w:t>
      </w:r>
      <w:r>
        <w:rPr>
          <w:i/>
        </w:rPr>
        <w:t>perenne </w:t>
      </w:r>
      <w:r>
        <w:rPr/>
        <w:t>L.). Ann. Appl. Biol. 147: 145-152.</w:t>
      </w:r>
    </w:p>
    <w:p>
      <w:pPr>
        <w:pStyle w:val="BodyText"/>
        <w:spacing w:line="360" w:lineRule="auto" w:before="4"/>
        <w:ind w:left="1079" w:right="112" w:hanging="567"/>
        <w:jc w:val="both"/>
      </w:pPr>
      <w:r>
        <w:rPr/>
        <w:t>Elgersma A. Ellen G. Dekker PR. Van der Horst H. Muuse BG. Boer H. Tamminga S. (2003). Influence of cultivar and cutting date on the fatty acid composition of perennial ryegrass. Grass Forage Sci. 58: 323-331.</w:t>
      </w:r>
    </w:p>
    <w:p>
      <w:pPr>
        <w:spacing w:after="0" w:line="360" w:lineRule="auto"/>
        <w:jc w:val="both"/>
        <w:sectPr>
          <w:footerReference w:type="default" r:id="rId33"/>
          <w:pgSz w:w="12240" w:h="15840"/>
          <w:pgMar w:footer="1382" w:header="1150" w:top="1420" w:bottom="1580" w:left="1360" w:right="1420"/>
        </w:sectPr>
      </w:pPr>
    </w:p>
    <w:p>
      <w:pPr>
        <w:pStyle w:val="BodyText"/>
        <w:spacing w:before="3"/>
        <w:rPr>
          <w:sz w:val="27"/>
        </w:rPr>
      </w:pPr>
    </w:p>
    <w:p>
      <w:pPr>
        <w:pStyle w:val="BodyText"/>
        <w:spacing w:line="360" w:lineRule="auto" w:before="69"/>
        <w:ind w:left="1079" w:right="105" w:hanging="567"/>
        <w:jc w:val="both"/>
      </w:pPr>
      <w:r>
        <w:rPr/>
        <w:t>Ellis KJ. Laby RH. Burns RG. (1981). Continues controlled-release administration of chromic oxide to sheep. Procc. Nutr. Soc. Aust. 6:145.</w:t>
      </w:r>
    </w:p>
    <w:p>
      <w:pPr>
        <w:pStyle w:val="BodyText"/>
        <w:spacing w:line="360" w:lineRule="auto" w:before="4"/>
        <w:ind w:left="1079" w:right="114" w:hanging="567"/>
        <w:jc w:val="both"/>
      </w:pPr>
      <w:r>
        <w:rPr/>
        <w:t>Enjalbert F. Videau Y. Nicot MC. Troegeler-Meynadier A. (2008). Effects of induced subacute ruminal acidosis on milk fat content and fatty acid profile. J. Anim. Physiol. Anim. Nutr. 92(3): 284-291.</w:t>
      </w:r>
    </w:p>
    <w:p>
      <w:pPr>
        <w:pStyle w:val="BodyText"/>
        <w:spacing w:line="360" w:lineRule="auto" w:before="4"/>
        <w:ind w:left="1079" w:right="108" w:hanging="567"/>
        <w:jc w:val="both"/>
      </w:pPr>
      <w:r>
        <w:rPr/>
        <w:t>Espinoza OA. Arriaga-Jordán C. Castelán-Ortega O. (1997). Análisis económico de la producción campesina de leche en el Valle de Toluca. </w:t>
      </w:r>
      <w:r>
        <w:rPr>
          <w:i/>
        </w:rPr>
        <w:t>In </w:t>
      </w:r>
      <w:r>
        <w:rPr/>
        <w:t>Memorias del Seminario en sistemas de Producción de Leche en Pequeña Escala. Centro de Investigación en Ciencias Agropecuarias y Facultad de Medicina Veterinaria y Zootecnia. Universidad Autónoma del Estado de México, Toluca. pp. 94-102.</w:t>
      </w:r>
    </w:p>
    <w:p>
      <w:pPr>
        <w:pStyle w:val="BodyText"/>
        <w:spacing w:line="360" w:lineRule="auto" w:before="4"/>
        <w:ind w:left="1079" w:right="102" w:hanging="567"/>
        <w:jc w:val="both"/>
      </w:pPr>
      <w:r>
        <w:rPr/>
        <w:t>Eulitz K. Yurrawecz MP. Sheat N. Fritsche J. Roach JAG. Mossoba MM. Kramer JKG. Adolf RO. Ku Y. (1999). Preparation, separation and confirmation of the eight geometrical cis/trans conjugated linoleic acid isomers 8.10- through 11, 13-18:2. Lipids 34: 873-877.</w:t>
      </w:r>
    </w:p>
    <w:p>
      <w:pPr>
        <w:pStyle w:val="BodyText"/>
        <w:spacing w:line="362" w:lineRule="auto" w:before="4"/>
        <w:ind w:left="1079" w:right="114" w:hanging="567"/>
        <w:jc w:val="both"/>
      </w:pPr>
      <w:r>
        <w:rPr/>
        <w:t>Evans M. Brown J. McIntosh M. (2002). Isomer-specific effects of conjugated linoleic acid (CLA) on adiposity and lipid metabolism.  J. Nutr. Biochem. 13: 508-516.</w:t>
      </w:r>
    </w:p>
    <w:p>
      <w:pPr>
        <w:pStyle w:val="BodyText"/>
        <w:spacing w:line="360" w:lineRule="auto" w:before="1"/>
        <w:ind w:left="1079" w:right="106" w:hanging="567"/>
        <w:jc w:val="both"/>
      </w:pPr>
      <w:r>
        <w:rPr/>
        <w:t>Fellner V. Sauer FD. Kramer JKG. (1995). Steady-state rates of linoleic acid biohydrogenation by ruminal bacteria in continuous culture. J. Dairy Sci. 78: 1815- 1823.</w:t>
      </w:r>
    </w:p>
    <w:p>
      <w:pPr>
        <w:pStyle w:val="BodyText"/>
        <w:spacing w:line="360" w:lineRule="auto" w:before="8"/>
        <w:ind w:left="1079" w:right="116" w:hanging="567"/>
        <w:jc w:val="both"/>
      </w:pPr>
      <w:r>
        <w:rPr/>
        <w:t>Feng S. Lock AL. Garnsworthy PC. (2004). Technical note: A rapid lipid  separation method for determining fatty acid composition of milk. J. Dairy Sci. 87: 3785-3788.</w:t>
      </w:r>
    </w:p>
    <w:p>
      <w:pPr>
        <w:pStyle w:val="BodyText"/>
        <w:spacing w:line="360" w:lineRule="auto" w:before="4"/>
        <w:ind w:left="1079" w:right="109" w:hanging="567"/>
        <w:jc w:val="both"/>
      </w:pPr>
      <w:r>
        <w:rPr/>
        <w:t>Ferlay </w:t>
      </w:r>
      <w:r>
        <w:rPr>
          <w:spacing w:val="-3"/>
        </w:rPr>
        <w:t>A. </w:t>
      </w:r>
      <w:r>
        <w:rPr/>
        <w:t>Matin B. Pradel Ph. Coulon JB. Chilliard Y. (2006). Influence of grass-based diets on </w:t>
      </w:r>
      <w:r>
        <w:rPr>
          <w:spacing w:val="-3"/>
        </w:rPr>
        <w:t>milk </w:t>
      </w:r>
      <w:r>
        <w:rPr/>
        <w:t>fatty acid composition and </w:t>
      </w:r>
      <w:r>
        <w:rPr>
          <w:spacing w:val="-3"/>
        </w:rPr>
        <w:t>milk </w:t>
      </w:r>
      <w:r>
        <w:rPr/>
        <w:t>lipolytic system </w:t>
      </w:r>
      <w:r>
        <w:rPr>
          <w:spacing w:val="-3"/>
        </w:rPr>
        <w:t>in </w:t>
      </w:r>
      <w:r>
        <w:rPr/>
        <w:t>Tarentaise and Montbéliarde cow breeds. J. Dairy Sci. 89:</w:t>
      </w:r>
      <w:r>
        <w:rPr>
          <w:spacing w:val="-14"/>
        </w:rPr>
        <w:t> </w:t>
      </w:r>
      <w:r>
        <w:rPr/>
        <w:t>4026-4041.</w:t>
      </w:r>
    </w:p>
    <w:p>
      <w:pPr>
        <w:pStyle w:val="BodyText"/>
        <w:spacing w:line="355" w:lineRule="auto" w:before="8"/>
        <w:ind w:left="796" w:right="105" w:hanging="284"/>
      </w:pPr>
      <w:r>
        <w:rPr/>
        <w:t>Ferrer R. Casasús I. Petit M. (1996). Factores determinantes de la ingestión de forrajes por el vacuno. ITEA. 92a: 143-154.</w:t>
      </w:r>
    </w:p>
    <w:p>
      <w:pPr>
        <w:pStyle w:val="BodyText"/>
        <w:spacing w:before="9"/>
        <w:rPr>
          <w:sz w:val="18"/>
        </w:rPr>
      </w:pPr>
    </w:p>
    <w:p>
      <w:pPr>
        <w:pStyle w:val="BodyText"/>
        <w:ind w:left="512" w:right="105"/>
      </w:pPr>
      <w:r>
        <w:rPr/>
        <w:t>Forbes JM.  (1971).  Physiological changes affecting  voluntary food intake </w:t>
      </w:r>
      <w:r>
        <w:rPr>
          <w:spacing w:val="-3"/>
        </w:rPr>
        <w:t>in   </w:t>
      </w:r>
      <w:r>
        <w:rPr>
          <w:spacing w:val="52"/>
        </w:rPr>
        <w:t> </w:t>
      </w:r>
      <w:r>
        <w:rPr/>
        <w:t>ruminants.</w:t>
      </w:r>
    </w:p>
    <w:p>
      <w:pPr>
        <w:pStyle w:val="BodyText"/>
        <w:spacing w:before="132"/>
        <w:ind w:left="796" w:right="105"/>
      </w:pPr>
      <w:r>
        <w:rPr/>
        <w:t>Proc. Nutr. Soc. 30: 135-142.</w:t>
      </w:r>
    </w:p>
    <w:p>
      <w:pPr>
        <w:spacing w:after="0"/>
        <w:sectPr>
          <w:footerReference w:type="default" r:id="rId34"/>
          <w:pgSz w:w="12240" w:h="15840"/>
          <w:pgMar w:footer="1382" w:header="1150" w:top="1420" w:bottom="1580" w:left="1360" w:right="1420"/>
          <w:pgNumType w:start="81"/>
        </w:sectPr>
      </w:pPr>
    </w:p>
    <w:p>
      <w:pPr>
        <w:pStyle w:val="BodyText"/>
        <w:spacing w:before="3"/>
        <w:rPr>
          <w:sz w:val="27"/>
        </w:rPr>
      </w:pPr>
    </w:p>
    <w:p>
      <w:pPr>
        <w:pStyle w:val="BodyText"/>
        <w:spacing w:line="360" w:lineRule="auto" w:before="69"/>
        <w:ind w:left="512" w:right="105"/>
      </w:pPr>
      <w:r>
        <w:rPr/>
        <w:t>Forbes JM. (1986). The voluntary food intake of farm animals. Butterworths. London, UK. Forbes  JM.  (1995).  Voluntary  food  intake  and  diet  selection  in  farm  animals.  CABI.</w:t>
      </w:r>
    </w:p>
    <w:p>
      <w:pPr>
        <w:pStyle w:val="BodyText"/>
        <w:spacing w:before="4"/>
        <w:ind w:left="1079" w:right="105"/>
      </w:pPr>
      <w:r>
        <w:rPr/>
        <w:t>Wallingford, UK.</w:t>
      </w:r>
    </w:p>
    <w:p>
      <w:pPr>
        <w:pStyle w:val="BodyText"/>
        <w:spacing w:before="141"/>
        <w:ind w:left="512" w:right="105"/>
      </w:pPr>
      <w:r>
        <w:rPr/>
        <w:t>Freer M. (1981). The control of food intake by grazing animals. </w:t>
      </w:r>
      <w:r>
        <w:rPr>
          <w:i/>
        </w:rPr>
        <w:t>In</w:t>
      </w:r>
      <w:r>
        <w:rPr/>
        <w:t>: World Animal Science.</w:t>
      </w:r>
    </w:p>
    <w:p>
      <w:pPr>
        <w:pStyle w:val="BodyText"/>
        <w:spacing w:before="137"/>
        <w:ind w:left="1079" w:right="105"/>
      </w:pPr>
      <w:r>
        <w:rPr/>
        <w:t>Grazing Animals. FHW. Morley (Ed). Elvesier. Ámsterdam. pp. 105-124.</w:t>
      </w:r>
    </w:p>
    <w:p>
      <w:pPr>
        <w:pStyle w:val="BodyText"/>
        <w:spacing w:line="362" w:lineRule="auto" w:before="137"/>
        <w:ind w:left="1079" w:right="118" w:hanging="567"/>
        <w:jc w:val="both"/>
      </w:pPr>
      <w:r>
        <w:rPr/>
        <w:t>Gagliostro GA. (2004). Control del contenido de ácido linoleico conjugado (CLA) en leche y su presencia en alimentos naturales funcionales. 1. Efectos de la salud  humana. Rev. Arg. Prod. Anim. 24: 113-136.</w:t>
      </w:r>
    </w:p>
    <w:p>
      <w:pPr>
        <w:pStyle w:val="BodyText"/>
        <w:spacing w:line="360" w:lineRule="auto" w:before="1"/>
        <w:ind w:left="1079" w:right="112" w:hanging="567"/>
        <w:jc w:val="both"/>
      </w:pPr>
      <w:r>
        <w:rPr/>
        <w:t>Gasque GR. Blanco OMA. (1998). Sistemas de Producción Animal. FMVZ-UNAM. México. pp. 65-69.</w:t>
      </w:r>
    </w:p>
    <w:p>
      <w:pPr>
        <w:pStyle w:val="BodyText"/>
        <w:spacing w:line="360" w:lineRule="auto" w:before="4"/>
        <w:ind w:left="1079" w:right="111" w:hanging="567"/>
        <w:jc w:val="both"/>
      </w:pPr>
      <w:r>
        <w:rPr/>
        <w:t>Gordon FJ. Ferris CP. Patterson DC. Mayne CS. (2000). A comparison of two grassland- based systems for autumn-calving dairy cows of high genetic merit. Grass Forage Sci. 55: 83-96.</w:t>
      </w:r>
    </w:p>
    <w:p>
      <w:pPr>
        <w:pStyle w:val="BodyText"/>
        <w:spacing w:line="362" w:lineRule="auto" w:before="4"/>
        <w:ind w:left="1079" w:right="103" w:hanging="567"/>
        <w:jc w:val="both"/>
      </w:pPr>
      <w:r>
        <w:rPr/>
        <w:t>Griinari JM. Corl BA. Lacy SH. Chouinard PY. Nurmela KVV. Bauman DE. (2000). Conjugated linoleic acid is synthesized endogenously in lacting cows by delta 9- desaturase. J. Nutr.</w:t>
      </w:r>
    </w:p>
    <w:p>
      <w:pPr>
        <w:pStyle w:val="BodyText"/>
        <w:spacing w:line="360" w:lineRule="auto" w:before="1"/>
        <w:ind w:left="1079" w:right="119" w:hanging="567"/>
        <w:jc w:val="both"/>
      </w:pPr>
      <w:r>
        <w:rPr/>
        <w:t>Grundy SM. (1994). Influence of stearic acid on cholesterol metabolism relative to other long-chain fatty acids. Am. J. Clin. Nutr. 60: 986-1110.</w:t>
      </w:r>
    </w:p>
    <w:p>
      <w:pPr>
        <w:pStyle w:val="BodyText"/>
        <w:spacing w:before="4"/>
        <w:ind w:left="512" w:right="105"/>
      </w:pPr>
      <w:r>
        <w:rPr/>
        <w:t>Harfoot CG. (1978). Lipid metabolism in the rumen. Prog. Lipid Res. 1: 17-21.</w:t>
      </w:r>
    </w:p>
    <w:p>
      <w:pPr>
        <w:pStyle w:val="BodyText"/>
        <w:spacing w:line="360" w:lineRule="auto" w:before="141"/>
        <w:ind w:left="1079" w:right="106" w:hanging="567"/>
        <w:jc w:val="both"/>
      </w:pPr>
      <w:r>
        <w:rPr/>
        <w:t>Harfoot CG. Hazlewood GP. (1988). Lipid metabolism in the rumen. </w:t>
      </w:r>
      <w:r>
        <w:rPr>
          <w:i/>
        </w:rPr>
        <w:t>In</w:t>
      </w:r>
      <w:r>
        <w:rPr/>
        <w:t>: The Rumen Microbial Ecosystem. PN. Hobson (Ed), Elsevier Appl. Sci. Publ. Co.  Inc.  New York. pp: 285.</w:t>
      </w:r>
    </w:p>
    <w:p>
      <w:pPr>
        <w:pStyle w:val="BodyText"/>
        <w:spacing w:line="360" w:lineRule="auto" w:before="4"/>
        <w:ind w:left="1079" w:right="106" w:hanging="567"/>
        <w:jc w:val="both"/>
      </w:pPr>
      <w:r>
        <w:rPr/>
        <w:t>Harfoot CG. Hazlewood GP. (1997). Lipid metabolism in the rumen. </w:t>
      </w:r>
      <w:r>
        <w:rPr>
          <w:i/>
        </w:rPr>
        <w:t>In</w:t>
      </w:r>
      <w:r>
        <w:rPr/>
        <w:t>: The Rumen Microbial Ecosystem. PN Hobson (ed.). London, UK, Elsevier: 382-426.</w:t>
      </w:r>
    </w:p>
    <w:p>
      <w:pPr>
        <w:pStyle w:val="BodyText"/>
        <w:spacing w:line="360" w:lineRule="auto" w:before="8"/>
        <w:ind w:left="1079" w:right="101" w:hanging="567"/>
        <w:jc w:val="both"/>
      </w:pPr>
      <w:r>
        <w:rPr/>
        <w:t>Hawke JC. (1973). Lipids. Chemistry and biochemistry of herbage. Butler GW. and Bailey EW (Eds.). London, UK, Academic Press: 213-263.</w:t>
      </w:r>
    </w:p>
    <w:p>
      <w:pPr>
        <w:pStyle w:val="BodyText"/>
        <w:spacing w:line="360" w:lineRule="auto" w:before="4"/>
        <w:ind w:left="1079" w:right="113" w:hanging="567"/>
        <w:jc w:val="both"/>
      </w:pPr>
      <w:r>
        <w:rPr/>
        <w:t>Henderson C. (1975). The isolation and characterization of strains of lipolytic bacteria from the ovine rumen. J. Appl. Bacteriol. 39: 101-109.</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before="69"/>
        <w:ind w:left="512" w:right="105"/>
      </w:pPr>
      <w:r>
        <w:rPr/>
        <w:t>Hodgson J. (1982). Ingestive behavior.</w:t>
      </w:r>
      <w:r>
        <w:rPr>
          <w:spacing w:val="50"/>
        </w:rPr>
        <w:t> </w:t>
      </w:r>
      <w:r>
        <w:rPr>
          <w:i/>
        </w:rPr>
        <w:t>In</w:t>
      </w:r>
      <w:r>
        <w:rPr/>
        <w:t>: Herbage intake Handbook. JD Leaver (Ed).</w:t>
      </w:r>
    </w:p>
    <w:p>
      <w:pPr>
        <w:pStyle w:val="BodyText"/>
        <w:spacing w:before="137"/>
        <w:ind w:left="1079" w:right="105"/>
      </w:pPr>
      <w:r>
        <w:rPr/>
        <w:t>British Grassland Society. Hurley, UK. pp. 113-138.</w:t>
      </w:r>
    </w:p>
    <w:p>
      <w:pPr>
        <w:pStyle w:val="BodyText"/>
        <w:spacing w:line="360" w:lineRule="auto" w:before="137"/>
        <w:ind w:left="1079" w:right="102" w:hanging="567"/>
        <w:jc w:val="both"/>
      </w:pPr>
      <w:r>
        <w:rPr/>
        <w:t>Hodgson J. Brookes IM. (1999). Nutrition of grazing animals. </w:t>
      </w:r>
      <w:r>
        <w:rPr>
          <w:i/>
        </w:rPr>
        <w:t>In</w:t>
      </w:r>
      <w:r>
        <w:rPr/>
        <w:t>: Pasture and Crop  Science. White J. Hodgson J. (Eds.). Oxford University Press, Auckland, N.Z. pp. 117.</w:t>
      </w:r>
    </w:p>
    <w:p>
      <w:pPr>
        <w:pStyle w:val="BodyText"/>
        <w:spacing w:line="362" w:lineRule="auto" w:before="4"/>
        <w:ind w:left="1079" w:right="114" w:hanging="567"/>
        <w:jc w:val="both"/>
      </w:pPr>
      <w:r>
        <w:rPr/>
        <w:t>Holden LA. Muller LD. Lykos T. Cassidy TW. (1995). </w:t>
      </w:r>
      <w:r>
        <w:rPr>
          <w:spacing w:val="-3"/>
        </w:rPr>
        <w:t>Effect </w:t>
      </w:r>
      <w:r>
        <w:rPr/>
        <w:t>of corn silage supplementation on intake and </w:t>
      </w:r>
      <w:r>
        <w:rPr>
          <w:spacing w:val="-3"/>
        </w:rPr>
        <w:t>milk </w:t>
      </w:r>
      <w:r>
        <w:rPr/>
        <w:t>production </w:t>
      </w:r>
      <w:r>
        <w:rPr>
          <w:spacing w:val="-3"/>
        </w:rPr>
        <w:t>in </w:t>
      </w:r>
      <w:r>
        <w:rPr/>
        <w:t>cows grazing grass pasture. J.  Dairy Sci. 78:</w:t>
      </w:r>
      <w:r>
        <w:rPr>
          <w:spacing w:val="-2"/>
        </w:rPr>
        <w:t> </w:t>
      </w:r>
      <w:r>
        <w:rPr/>
        <w:t>154-160.</w:t>
      </w:r>
    </w:p>
    <w:p>
      <w:pPr>
        <w:pStyle w:val="BodyText"/>
        <w:spacing w:line="360" w:lineRule="auto" w:before="1"/>
        <w:ind w:left="1079" w:right="113" w:hanging="567"/>
        <w:jc w:val="both"/>
      </w:pPr>
      <w:r>
        <w:rPr/>
        <w:t>Holmes W. (1989). The utilization of pasture. </w:t>
      </w:r>
      <w:r>
        <w:rPr>
          <w:i/>
        </w:rPr>
        <w:t>In</w:t>
      </w:r>
      <w:r>
        <w:rPr/>
        <w:t>: Ruminant Nutrition: Recommended Allowances and Feed Tables. R. Jarrige (Ed.). Ins. Natl. Rech. Agron., Paris, France. pp. 181-188.</w:t>
      </w:r>
    </w:p>
    <w:p>
      <w:pPr>
        <w:pStyle w:val="BodyText"/>
        <w:spacing w:line="360" w:lineRule="auto" w:before="8"/>
        <w:ind w:left="1079" w:right="108" w:hanging="567"/>
        <w:jc w:val="both"/>
      </w:pPr>
      <w:r>
        <w:rPr/>
        <w:t>Houseknecht KL. Vanden Heuvel JP. Moya-Camarena SY. Portocarrero CP. Peck LW. Nickel KP. Belury MA. (1998). Dietary conjugated linoleic acid normalizes impaired glucose tolerance in the Sucker diabetic fatty fa/fa rat. Biochem. Biophis. Res. Commun. 244: 678-682.</w:t>
      </w:r>
    </w:p>
    <w:p>
      <w:pPr>
        <w:pStyle w:val="BodyText"/>
        <w:spacing w:before="8"/>
        <w:ind w:left="512" w:right="105"/>
      </w:pPr>
      <w:r>
        <w:rPr/>
        <w:t>Illius AW. (1989). Allometry of food intake and grazing behavior with body size in   cattle.</w:t>
      </w:r>
    </w:p>
    <w:p>
      <w:pPr>
        <w:pStyle w:val="BodyText"/>
        <w:spacing w:before="137"/>
        <w:ind w:left="1079" w:right="105"/>
      </w:pPr>
      <w:r>
        <w:rPr/>
        <w:t>J. Agric. Sci. 113: 259-266.</w:t>
      </w:r>
    </w:p>
    <w:p>
      <w:pPr>
        <w:pStyle w:val="BodyText"/>
        <w:spacing w:before="137"/>
        <w:ind w:left="512" w:right="105"/>
      </w:pPr>
      <w:r>
        <w:rPr/>
        <w:t>Illius AW. Gordon IJ. (1987). The allometry of food intake in grazing ruminants. J.   Agric.</w:t>
      </w:r>
    </w:p>
    <w:p>
      <w:pPr>
        <w:pStyle w:val="BodyText"/>
        <w:spacing w:before="137"/>
        <w:ind w:left="1079" w:right="105"/>
      </w:pPr>
      <w:r>
        <w:rPr/>
        <w:t>Sci. 56: 989-999.</w:t>
      </w:r>
    </w:p>
    <w:p>
      <w:pPr>
        <w:pStyle w:val="BodyText"/>
        <w:spacing w:line="360" w:lineRule="auto" w:before="141"/>
        <w:ind w:left="1079" w:right="108" w:hanging="567"/>
        <w:jc w:val="both"/>
      </w:pPr>
      <w:r>
        <w:rPr/>
        <w:t>Illius AW. Gordon IJ. (1991). Prediction of intake and digestion in ruminants by a model of rumen kinetics integrating animal size and plant characteristics. J. Agric. Sci. 116: 145-157.</w:t>
      </w:r>
    </w:p>
    <w:p>
      <w:pPr>
        <w:pStyle w:val="BodyText"/>
        <w:spacing w:line="360" w:lineRule="auto" w:before="4"/>
        <w:ind w:left="1079" w:right="112" w:hanging="567"/>
        <w:jc w:val="both"/>
      </w:pPr>
      <w:r>
        <w:rPr/>
        <w:t>Instituto Nacional de Estadística, Geografía e Informática. (2007). Censo agropecuario [En línea]. Disponible en </w:t>
      </w:r>
      <w:hyperlink r:id="rId35">
        <w:r>
          <w:rPr/>
          <w:t>www.inegi.org.mx.</w:t>
        </w:r>
      </w:hyperlink>
      <w:r>
        <w:rPr/>
        <w:t> (Revisado el 16 de agosto de 2013).</w:t>
      </w:r>
    </w:p>
    <w:p>
      <w:pPr>
        <w:pStyle w:val="BodyText"/>
        <w:spacing w:line="360" w:lineRule="auto" w:before="8"/>
        <w:ind w:left="1079" w:right="110" w:hanging="567"/>
        <w:jc w:val="both"/>
      </w:pPr>
      <w:r>
        <w:rPr/>
        <w:t>Ip C. Banni S. Angioni E. Carta G. McGinley J. Thompson HJ. Barbano B. Bauman DE. (1999). Conjugated linoleic acid-enriched butterfat alters mammary gland morphogenesis and reduces cancer risk in rats. J. Nutr. 129: 2135-2142.</w:t>
      </w:r>
    </w:p>
    <w:p>
      <w:pPr>
        <w:pStyle w:val="BodyText"/>
        <w:spacing w:line="362" w:lineRule="auto" w:before="4"/>
        <w:ind w:left="1079" w:right="109" w:hanging="567"/>
        <w:jc w:val="both"/>
      </w:pPr>
      <w:r>
        <w:rPr/>
        <w:t>Ip C. Chin SF. Scimeca </w:t>
      </w:r>
      <w:r>
        <w:rPr>
          <w:spacing w:val="-3"/>
        </w:rPr>
        <w:t>JA. </w:t>
      </w:r>
      <w:r>
        <w:rPr/>
        <w:t>Pariza MW. (1991). Mammary cancer prevention by conjugated dienoic derivate of linoleic acid. Carcer Res. 51:</w:t>
      </w:r>
      <w:r>
        <w:rPr>
          <w:spacing w:val="-16"/>
        </w:rPr>
        <w:t> </w:t>
      </w:r>
      <w:r>
        <w:rPr/>
        <w:t>6118-6124.</w:t>
      </w:r>
    </w:p>
    <w:p>
      <w:pPr>
        <w:spacing w:after="0" w:line="362"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17" w:hanging="567"/>
        <w:jc w:val="both"/>
      </w:pPr>
      <w:r>
        <w:rPr/>
        <w:t>Ip C. Chin SF. Thompson HJ. (1994). Conjugated linoleic acid a powerful anticarcinogen from animal fat sources. Cancer. 74: 1050-1054.</w:t>
      </w:r>
    </w:p>
    <w:p>
      <w:pPr>
        <w:pStyle w:val="BodyText"/>
        <w:spacing w:line="362" w:lineRule="auto" w:before="4"/>
        <w:ind w:left="1079" w:right="116" w:hanging="567"/>
        <w:jc w:val="both"/>
      </w:pPr>
      <w:r>
        <w:rPr/>
        <w:t>Jahreis G. Fritsche J. Steinhart H. (1997). Conjugated linoleic acid in milk fat: high variation depending on production system. Nutr. Res. 17: 1479-1484.</w:t>
      </w:r>
    </w:p>
    <w:p>
      <w:pPr>
        <w:pStyle w:val="BodyText"/>
        <w:spacing w:line="360" w:lineRule="auto" w:before="1"/>
        <w:ind w:left="1079" w:right="113" w:hanging="567"/>
        <w:jc w:val="both"/>
      </w:pPr>
      <w:r>
        <w:rPr/>
        <w:t>Jenkins TC (1993). Symposium: advances in ruminant lipid metabolism. Lipid Metabolism in the Rumen. J. Dairy Sci. 76: 3851.</w:t>
      </w:r>
    </w:p>
    <w:p>
      <w:pPr>
        <w:pStyle w:val="BodyText"/>
        <w:spacing w:line="362" w:lineRule="auto" w:before="4"/>
        <w:ind w:left="1079" w:right="122" w:hanging="567"/>
        <w:jc w:val="both"/>
      </w:pPr>
      <w:r>
        <w:rPr/>
        <w:t>Jenkins TC. Palmquist DL. (1984). </w:t>
      </w:r>
      <w:r>
        <w:rPr>
          <w:spacing w:val="-3"/>
        </w:rPr>
        <w:t>Effect </w:t>
      </w:r>
      <w:r>
        <w:rPr/>
        <w:t>of fatty acids or calcium soaps on rumen and  total nutrient digestibility rations. J. Dairy Sci. 67:</w:t>
      </w:r>
      <w:r>
        <w:rPr>
          <w:spacing w:val="-16"/>
        </w:rPr>
        <w:t> </w:t>
      </w:r>
      <w:r>
        <w:rPr/>
        <w:t>978-986.</w:t>
      </w:r>
    </w:p>
    <w:p>
      <w:pPr>
        <w:pStyle w:val="BodyText"/>
        <w:spacing w:line="360" w:lineRule="auto" w:before="1"/>
        <w:ind w:left="1079" w:right="111" w:hanging="567"/>
        <w:jc w:val="both"/>
      </w:pPr>
      <w:r>
        <w:rPr/>
        <w:t>Jenkins TC. Wallace RJ. Moate PJ. Mosley EE. (2008). Board-Invited Review: recent advances in biohydrogenation of unsaturated fatty acids within the rumen microbial ecosystem. J. Anim. Sci. 86: 397-412.</w:t>
      </w:r>
    </w:p>
    <w:p>
      <w:pPr>
        <w:pStyle w:val="BodyText"/>
        <w:spacing w:line="360" w:lineRule="auto" w:before="8"/>
        <w:ind w:left="1079" w:right="106" w:hanging="567"/>
        <w:jc w:val="both"/>
      </w:pPr>
      <w:r>
        <w:rPr/>
        <w:t>Jensen RG. (2002). Invited review: the composition of bovine milk lipids: January 1995- December 2000. J. Dairy Sci. 85: 295-350.</w:t>
      </w:r>
    </w:p>
    <w:p>
      <w:pPr>
        <w:pStyle w:val="BodyText"/>
        <w:spacing w:line="362" w:lineRule="auto" w:before="4"/>
        <w:ind w:left="1079" w:right="109" w:hanging="567"/>
        <w:jc w:val="both"/>
      </w:pPr>
      <w:r>
        <w:rPr/>
        <w:t>Jensen RG. Clark RW. (1988). Lipid composition and properties. </w:t>
      </w:r>
      <w:r>
        <w:rPr>
          <w:i/>
        </w:rPr>
        <w:t>In</w:t>
      </w:r>
      <w:r>
        <w:rPr/>
        <w:t>: Wong NP. Jenness R. Keeney M. Marth E.H. (eds.) Fundamentals of Dairy Chemistry, 3rd ed., New York: Van Nostrand. pp. 171-213.</w:t>
      </w:r>
    </w:p>
    <w:p>
      <w:pPr>
        <w:pStyle w:val="BodyText"/>
        <w:spacing w:line="360" w:lineRule="auto" w:before="1"/>
        <w:ind w:left="1079" w:right="106" w:hanging="567"/>
        <w:jc w:val="both"/>
      </w:pPr>
      <w:r>
        <w:rPr/>
        <w:t>Jensen RG. Ferris AM. Lammi-Keefe CJ. (1991). Symposium </w:t>
      </w:r>
      <w:r>
        <w:rPr>
          <w:spacing w:val="-3"/>
        </w:rPr>
        <w:t>milk </w:t>
      </w:r>
      <w:r>
        <w:rPr/>
        <w:t>fat-composition  function and potential for change. J. Dairy Sci. 74:</w:t>
      </w:r>
      <w:r>
        <w:rPr>
          <w:spacing w:val="-15"/>
        </w:rPr>
        <w:t> </w:t>
      </w:r>
      <w:r>
        <w:rPr/>
        <w:t>3228-3243.</w:t>
      </w:r>
    </w:p>
    <w:p>
      <w:pPr>
        <w:pStyle w:val="BodyText"/>
        <w:spacing w:line="360" w:lineRule="auto" w:before="4"/>
        <w:ind w:left="1079" w:right="107" w:hanging="567"/>
        <w:jc w:val="both"/>
      </w:pPr>
      <w:r>
        <w:rPr/>
        <w:t>Jiang J. Bjoerck L. Fonden R. Emanuelson M. (1996). Occurrence of conjugated cis-9, trans-11- octadecadienoic acid in bovine milk: Effects of feed and dietary regimen. J. Dairy Sci. 79: 438-445.</w:t>
      </w:r>
    </w:p>
    <w:p>
      <w:pPr>
        <w:pStyle w:val="BodyText"/>
        <w:spacing w:line="360" w:lineRule="auto" w:before="4"/>
        <w:ind w:left="1079" w:right="109" w:hanging="567"/>
        <w:jc w:val="both"/>
      </w:pPr>
      <w:r>
        <w:rPr/>
        <w:t>Kay JK. Mackle TR. Auldist MJ. Thompson NA. Bauman DE. (2004) Endogenous synthesis of </w:t>
      </w:r>
      <w:r>
        <w:rPr>
          <w:i/>
        </w:rPr>
        <w:t>cis-9, trans-11 </w:t>
      </w:r>
      <w:r>
        <w:rPr/>
        <w:t>conjugated linoleic acid in dairy cows fed fresh pasture. J. Dairy Sci. 87: 369-378.</w:t>
      </w:r>
    </w:p>
    <w:p>
      <w:pPr>
        <w:pStyle w:val="BodyText"/>
        <w:spacing w:line="360" w:lineRule="auto" w:before="8"/>
        <w:ind w:left="1079" w:right="110" w:hanging="567"/>
        <w:jc w:val="both"/>
      </w:pPr>
      <w:r>
        <w:rPr/>
        <w:t>Kay JK. Mackle TR. Bauman DE. Thompson NA. Baumgard LH. (2007). Effects of a supplement containing </w:t>
      </w:r>
      <w:r>
        <w:rPr>
          <w:i/>
        </w:rPr>
        <w:t>Trans</w:t>
      </w:r>
      <w:r>
        <w:rPr/>
        <w:t>-10, </w:t>
      </w:r>
      <w:r>
        <w:rPr>
          <w:i/>
        </w:rPr>
        <w:t>Cis</w:t>
      </w:r>
      <w:r>
        <w:rPr/>
        <w:t>-12 conjugated linoleic acid on bioenergetics  and milk production parameters </w:t>
      </w:r>
      <w:r>
        <w:rPr>
          <w:spacing w:val="-3"/>
        </w:rPr>
        <w:t>in </w:t>
      </w:r>
      <w:r>
        <w:rPr/>
        <w:t>grazing dairy cows offered ad libitum or restricted pasture. J. Dairy Sci. 90:</w:t>
      </w:r>
      <w:r>
        <w:rPr>
          <w:spacing w:val="-5"/>
        </w:rPr>
        <w:t> </w:t>
      </w:r>
      <w:r>
        <w:rPr/>
        <w:t>721-730.</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9" w:hanging="567"/>
        <w:jc w:val="both"/>
      </w:pPr>
      <w:r>
        <w:rPr/>
        <w:t>Kellaway R. Porta S. (1993). Feeding concentrates supplements for dairy cows. Dairy Research and Development Corporation. Australia.</w:t>
      </w:r>
    </w:p>
    <w:p>
      <w:pPr>
        <w:pStyle w:val="BodyText"/>
        <w:spacing w:line="360" w:lineRule="auto" w:before="4"/>
        <w:ind w:left="1079" w:right="105" w:hanging="567"/>
        <w:jc w:val="both"/>
      </w:pPr>
      <w:r>
        <w:rPr/>
        <w:t>Kelly ML. Berry JR. Dewyer DA. Griinari JM. Chouinard PY. Van Amburgh ME. Bauman DE. (1998). Dietary fatty acid sources affect conjugated linoleic acid concentration in milk from lactating dairy cows. J. Nutr. 128: 881-885.</w:t>
      </w:r>
    </w:p>
    <w:p>
      <w:pPr>
        <w:pStyle w:val="BodyText"/>
        <w:spacing w:line="362" w:lineRule="auto" w:before="4"/>
        <w:ind w:left="1079" w:right="105" w:hanging="567"/>
        <w:jc w:val="both"/>
      </w:pPr>
      <w:r>
        <w:rPr/>
        <w:t>Kelly ML. Berry JR. Dwyer DA. Griinari JM. Chouinard PY. Van Amburgh ME. Bauman DE. (1998). Dietary fatty acid sources affect conjugated linoleic acid concentration in milk from lactating dairy cows. J. Nutr. 128: 881-885.</w:t>
      </w:r>
    </w:p>
    <w:p>
      <w:pPr>
        <w:pStyle w:val="BodyText"/>
        <w:spacing w:line="360" w:lineRule="auto" w:before="1"/>
        <w:ind w:left="1079" w:right="117" w:hanging="567"/>
        <w:jc w:val="both"/>
      </w:pPr>
      <w:r>
        <w:rPr/>
        <w:t>Kelsey JA. Corl BA. Bauman DE. (2003). The effect of breed, parity, and stage of lactation on conjugated linoleic acid (CLA) in milk fat from dairy cows. J. Dairy Sci. 86: 2588-2597.</w:t>
      </w:r>
    </w:p>
    <w:p>
      <w:pPr>
        <w:pStyle w:val="BodyText"/>
        <w:spacing w:line="360" w:lineRule="auto" w:before="8"/>
        <w:ind w:left="1079" w:right="113" w:hanging="567"/>
        <w:jc w:val="both"/>
      </w:pPr>
      <w:r>
        <w:rPr/>
        <w:t>Kemp JD. Mahyuddin M. Ely DG. Fox JD. Moody WG. (1991). Effect of feeding systems, slaughter weight and sex on organoleptic properties, and fatty acid composition of lamb. J. Anim. Sci. 51: 321-330.</w:t>
      </w:r>
    </w:p>
    <w:p>
      <w:pPr>
        <w:pStyle w:val="BodyText"/>
        <w:spacing w:line="360" w:lineRule="auto" w:before="4"/>
        <w:ind w:left="1079" w:right="101" w:hanging="567"/>
        <w:jc w:val="both"/>
      </w:pPr>
      <w:r>
        <w:rPr/>
        <w:t>Kemp P. White RW. Lander DJ. (1975). The hydrogenation of unsaturated fatty acids by five bacterial isolates from the sheep rumen, including a new species. J. Gen. Microbiol. 90: 100-114.</w:t>
      </w:r>
    </w:p>
    <w:p>
      <w:pPr>
        <w:pStyle w:val="BodyText"/>
        <w:spacing w:line="362" w:lineRule="auto" w:before="4"/>
        <w:ind w:left="1079" w:right="105" w:hanging="567"/>
        <w:jc w:val="both"/>
      </w:pPr>
      <w:r>
        <w:rPr/>
        <w:t>Kennedy E. McEvoy M. Murphy JP. O’Donovan M. (2009). Effect of restricted access time to pasture on dairy cow milk production, grazing behavior, and dry matter intake. J. Dairy Sci. 92:168-176.</w:t>
      </w:r>
    </w:p>
    <w:p>
      <w:pPr>
        <w:pStyle w:val="BodyText"/>
        <w:spacing w:line="360" w:lineRule="auto" w:before="1"/>
        <w:ind w:left="1079" w:right="109" w:hanging="567"/>
        <w:jc w:val="both"/>
      </w:pPr>
      <w:r>
        <w:rPr/>
        <w:t>Kepler CR. Hirons KP. McNeill JJ. Tove SB. (1966). Intermediates and products of the biohydrogenation of linoleic acid </w:t>
      </w:r>
      <w:r>
        <w:rPr>
          <w:i/>
        </w:rPr>
        <w:t>by Butyrivibrio fibrisolvens. </w:t>
      </w:r>
      <w:r>
        <w:rPr/>
        <w:t>J. Biol. Chem. 241: 1350-1354.</w:t>
      </w:r>
    </w:p>
    <w:p>
      <w:pPr>
        <w:pStyle w:val="BodyText"/>
        <w:spacing w:line="362" w:lineRule="auto" w:before="4"/>
        <w:ind w:left="1079" w:right="107" w:hanging="567"/>
        <w:jc w:val="both"/>
      </w:pPr>
      <w:r>
        <w:rPr/>
        <w:t>Khanal RC. Dhiman TR. Boman RL. (2003). Influence of turning cows out to pasture on fatty acid composition of milk. J. Dairy Sci. 86 (Suppl. 1): 356 (Abstr).</w:t>
      </w:r>
    </w:p>
    <w:p>
      <w:pPr>
        <w:pStyle w:val="BodyText"/>
        <w:spacing w:line="360" w:lineRule="auto" w:before="1"/>
        <w:ind w:left="1079" w:right="111" w:hanging="567"/>
        <w:jc w:val="both"/>
      </w:pPr>
      <w:r>
        <w:rPr/>
        <w:t>Khanal RC. Dhiman TR. McMahon DJ. Broman RL. (2002). Influence of diet on conjugated linoleic acid content of milk, cheese and blood serum. J. Dairy Sci. 85 (Suppl. 1): 356 (Abstr.).</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3" w:hanging="567"/>
        <w:jc w:val="both"/>
      </w:pPr>
      <w:r>
        <w:rPr/>
        <w:t>Khanal RC. Dhiman TR. Ure AL. Brennand CP. Boman RL. McMahon DJ. (2005). Consumer acceptability of conjugated linoleic acid enriched milk and cheddar cheese from cows grazing on pasture. J. Dairy Sci. 88: 1837-1847.</w:t>
      </w:r>
    </w:p>
    <w:p>
      <w:pPr>
        <w:pStyle w:val="BodyText"/>
        <w:spacing w:line="360" w:lineRule="auto" w:before="8"/>
        <w:ind w:left="1079" w:right="107" w:hanging="567"/>
        <w:jc w:val="both"/>
      </w:pPr>
      <w:r>
        <w:rPr/>
        <w:t>Kim YJ. Liu RH. Rychlik JK. Russel JB. (2002). The enrichment of a ruminal bacterium (</w:t>
      </w:r>
      <w:r>
        <w:rPr>
          <w:i/>
        </w:rPr>
        <w:t>Megasphaera elsdenii </w:t>
      </w:r>
      <w:r>
        <w:rPr/>
        <w:t>YJ-4) that produces the trans-10, cis-12 isomer of conjugated linoleic acid. J. App. Microbiol. 92: 976-982.</w:t>
      </w:r>
    </w:p>
    <w:p>
      <w:pPr>
        <w:pStyle w:val="BodyText"/>
        <w:spacing w:before="4"/>
        <w:ind w:left="512" w:right="105"/>
      </w:pPr>
      <w:r>
        <w:rPr/>
        <w:t>Kinsella, J. E. (1975). Butter flavour. Food Technology 29: 82-98.</w:t>
      </w:r>
    </w:p>
    <w:p>
      <w:pPr>
        <w:pStyle w:val="BodyText"/>
        <w:spacing w:line="360" w:lineRule="auto" w:before="141"/>
        <w:ind w:left="1079" w:right="117" w:hanging="567"/>
        <w:jc w:val="both"/>
      </w:pPr>
      <w:r>
        <w:rPr/>
        <w:t>Kolver ES. Muller LD. (1998). Performance and nutrient intake of high producing Holstein cows consuming pasture or a total mixed ration. J. Dairy Sci. 81: 1403-1411.</w:t>
      </w:r>
    </w:p>
    <w:p>
      <w:pPr>
        <w:pStyle w:val="BodyText"/>
        <w:spacing w:line="362" w:lineRule="auto" w:before="4"/>
        <w:ind w:left="1079" w:right="113" w:hanging="567"/>
        <w:jc w:val="both"/>
      </w:pPr>
      <w:r>
        <w:rPr/>
        <w:t>Lamb JB. Adams DC. Klopfenstein TJ. Grant RJ. Sims PL. White LM. Willer SS. (2002). Intake and digestive kinetics of leaf and stem fractions. J. Range Management. 55: 57-64.</w:t>
      </w:r>
    </w:p>
    <w:p>
      <w:pPr>
        <w:pStyle w:val="BodyText"/>
        <w:spacing w:line="360" w:lineRule="auto" w:before="1"/>
        <w:ind w:left="1079" w:right="109" w:hanging="567"/>
        <w:jc w:val="both"/>
      </w:pPr>
      <w:r>
        <w:rPr/>
        <w:t>Lathamn MJ. Stony JE. Sharpe ME. (1972). Effect of low-roughage diets on the rumen and lipid metabolism in the rumen. Appl. Microbiol. 24 (6): 871-877.</w:t>
      </w:r>
    </w:p>
    <w:p>
      <w:pPr>
        <w:pStyle w:val="BodyText"/>
        <w:spacing w:line="360" w:lineRule="auto" w:before="4"/>
        <w:ind w:left="1079" w:right="107" w:hanging="567"/>
        <w:jc w:val="both"/>
      </w:pPr>
      <w:r>
        <w:rPr/>
        <w:t>Lawless F. Murphy JJ. Harrington D. Devery R. Stanton C. (1998). Elevation of </w:t>
      </w:r>
      <w:r>
        <w:rPr>
          <w:i/>
        </w:rPr>
        <w:t>cis-</w:t>
      </w:r>
      <w:r>
        <w:rPr/>
        <w:t>9, </w:t>
      </w:r>
      <w:r>
        <w:rPr>
          <w:i/>
        </w:rPr>
        <w:t>trans-</w:t>
      </w:r>
      <w:r>
        <w:rPr/>
        <w:t>11- octadecadienoic acid in bovine milk because of dietary supplementation. J. Dairy Sci. 81: 3259-3267.</w:t>
      </w:r>
    </w:p>
    <w:p>
      <w:pPr>
        <w:pStyle w:val="BodyText"/>
        <w:spacing w:line="362" w:lineRule="auto" w:before="4"/>
        <w:ind w:left="1079" w:right="108" w:hanging="567"/>
        <w:jc w:val="both"/>
      </w:pPr>
      <w:r>
        <w:rPr/>
        <w:t>Lawless F. Stanton C. L´Escop P. Devery R. Dillon P. Murphy J. (1999). Influence of  breed on bovine milk cis-9, trans-11-conjugated linoleic acid content. Livest. Prod. Sci. 62:</w:t>
      </w:r>
      <w:r>
        <w:rPr>
          <w:spacing w:val="-5"/>
        </w:rPr>
        <w:t> </w:t>
      </w:r>
      <w:r>
        <w:rPr/>
        <w:t>43-49.</w:t>
      </w:r>
    </w:p>
    <w:p>
      <w:pPr>
        <w:pStyle w:val="BodyText"/>
        <w:spacing w:line="360" w:lineRule="auto" w:before="1"/>
        <w:ind w:left="1079" w:right="101" w:hanging="567"/>
        <w:jc w:val="both"/>
      </w:pPr>
      <w:r>
        <w:rPr/>
        <w:t>Leaver JD. (1985). Milk production from grazed temperate grassland. J. Dairy Res. 52:313- 344.</w:t>
      </w:r>
    </w:p>
    <w:p>
      <w:pPr>
        <w:pStyle w:val="BodyText"/>
        <w:spacing w:line="360" w:lineRule="auto" w:before="4"/>
        <w:ind w:left="1079" w:right="117" w:hanging="567"/>
        <w:jc w:val="both"/>
      </w:pPr>
      <w:r>
        <w:rPr/>
        <w:t>Lee KN. Krichevsky D. Pariza MW. (1994). Conjugated linoleic acid and atherosclerosis in rabbits. Atherosclerosis. 108: 19-25.</w:t>
      </w:r>
    </w:p>
    <w:p>
      <w:pPr>
        <w:pStyle w:val="BodyText"/>
        <w:spacing w:line="360" w:lineRule="auto" w:before="8"/>
        <w:ind w:left="1079" w:right="119" w:hanging="567"/>
        <w:jc w:val="both"/>
      </w:pPr>
      <w:r>
        <w:rPr/>
        <w:t>Lee MRF. Shingfield KJ. Tweed </w:t>
      </w:r>
      <w:r>
        <w:rPr>
          <w:spacing w:val="-3"/>
        </w:rPr>
        <w:t>JKS. </w:t>
      </w:r>
      <w:r>
        <w:rPr/>
        <w:t>Toivonen V. Huws SA. Scollan ND. (2008). </w:t>
      </w:r>
      <w:r>
        <w:rPr>
          <w:spacing w:val="-3"/>
        </w:rPr>
        <w:t>Effect  </w:t>
      </w:r>
      <w:r>
        <w:rPr/>
        <w:t>of fish oil on ruminal biohydrogenation of C18 unsaturated fatty acids </w:t>
      </w:r>
      <w:r>
        <w:rPr>
          <w:spacing w:val="-3"/>
        </w:rPr>
        <w:t>in </w:t>
      </w:r>
      <w:r>
        <w:rPr/>
        <w:t>steers fed grass o red </w:t>
      </w:r>
      <w:r>
        <w:rPr>
          <w:spacing w:val="-3"/>
        </w:rPr>
        <w:t>clover </w:t>
      </w:r>
      <w:r>
        <w:rPr/>
        <w:t>silages. Anim. Feed Sci. Technol. 2:</w:t>
      </w:r>
      <w:r>
        <w:rPr>
          <w:spacing w:val="6"/>
        </w:rPr>
        <w:t> </w:t>
      </w:r>
      <w:r>
        <w:rPr/>
        <w:t>1859-1869.</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10" w:hanging="567"/>
        <w:jc w:val="both"/>
      </w:pPr>
      <w:r>
        <w:rPr/>
        <w:t>Lee MRF. Tweed JKS. Moloney AP. Scollan ND. (2005). The effects of fish oil supplementation on rumen metabolism and biohydrogenation of unsaturated fatty acids in beef steers given diets containing sunflower oil. Anim. Sci. 80: 361-367.</w:t>
      </w:r>
    </w:p>
    <w:p>
      <w:pPr>
        <w:pStyle w:val="BodyText"/>
        <w:spacing w:line="360" w:lineRule="auto" w:before="8"/>
        <w:ind w:left="1079" w:right="111" w:hanging="567"/>
        <w:jc w:val="both"/>
      </w:pPr>
      <w:r>
        <w:rPr/>
        <w:t>Lock AL. Bauman DE (2004). Modifying milk fat composition of dairy cows to enhance fatty acids beneficial to human health. Lipids 39: 1197-1206.</w:t>
      </w:r>
    </w:p>
    <w:p>
      <w:pPr>
        <w:pStyle w:val="BodyText"/>
        <w:spacing w:line="360" w:lineRule="auto" w:before="4"/>
        <w:ind w:left="1079" w:right="107" w:hanging="567"/>
        <w:jc w:val="both"/>
      </w:pPr>
      <w:r>
        <w:rPr/>
        <w:t>Lock AL. Bauman DE. Garnsworthy PC. (2005) Effect of production variables on </w:t>
      </w:r>
      <w:r>
        <w:rPr>
          <w:i/>
        </w:rPr>
        <w:t>cis-</w:t>
      </w:r>
      <w:r>
        <w:rPr/>
        <w:t>9, </w:t>
      </w:r>
      <w:r>
        <w:rPr>
          <w:i/>
        </w:rPr>
        <w:t>trans-</w:t>
      </w:r>
      <w:r>
        <w:rPr/>
        <w:t>11 conjugated linoleic acid content of cows’ milk. J. Dairy Sci. 88: 2714-2717.</w:t>
      </w:r>
    </w:p>
    <w:p>
      <w:pPr>
        <w:pStyle w:val="BodyText"/>
        <w:spacing w:line="360" w:lineRule="auto" w:before="8"/>
        <w:ind w:left="1079" w:right="119" w:hanging="567"/>
        <w:jc w:val="both"/>
      </w:pPr>
      <w:r>
        <w:rPr/>
        <w:t>Lock AL. Garnsworthy PC. (2003). Seasonal variation in milk conjugate linoleic acid and Delta (9)-desaturase activity in dairy cows. Livest. Produc. Sci. 79: 47-59.</w:t>
      </w:r>
    </w:p>
    <w:p>
      <w:pPr>
        <w:pStyle w:val="BodyText"/>
        <w:spacing w:line="362" w:lineRule="auto" w:before="4"/>
        <w:ind w:left="1079" w:right="104" w:hanging="567"/>
        <w:jc w:val="both"/>
      </w:pPr>
      <w:r>
        <w:rPr/>
        <w:t>Lock AL. Shingfield KJ. (2004). Optimizing milk composition. </w:t>
      </w:r>
      <w:r>
        <w:rPr>
          <w:i/>
        </w:rPr>
        <w:t>In</w:t>
      </w:r>
      <w:r>
        <w:rPr/>
        <w:t>: Dairying-Using Science to Meet Consumer’ Needs. Kebreab E. Mills J. Beever DE. (Eds.). Occ. Pub. No. 29, Brit. Soc. Anim. Sci. Nottingham University Press, Loughborough, UK: 107-188.</w:t>
      </w:r>
    </w:p>
    <w:p>
      <w:pPr>
        <w:pStyle w:val="BodyText"/>
        <w:spacing w:line="360" w:lineRule="auto" w:before="1"/>
        <w:ind w:left="1079" w:right="112" w:hanging="567"/>
        <w:jc w:val="both"/>
      </w:pPr>
      <w:r>
        <w:rPr/>
        <w:t>Loor JJ. Herbein JH. (2003). Dietary canola or soybean oil with two levels of conjugated linoleic acid (CLA) alter profiles of 18:1 and 18:2 isomers in blood plasma and milk fat from dairy cows. Anim. Feed Sci. Technol. 103: 63-83.</w:t>
      </w:r>
    </w:p>
    <w:p>
      <w:pPr>
        <w:pStyle w:val="BodyText"/>
        <w:spacing w:line="360" w:lineRule="auto" w:before="8"/>
        <w:ind w:left="1079" w:right="103" w:hanging="567"/>
        <w:jc w:val="both"/>
      </w:pPr>
      <w:r>
        <w:rPr/>
        <w:t>Loor JJ. Herbein JH. Polan CE. (2002). Trans 18:1 and 18:2 isomers in blood plasm and milk fat of grazing cows fed a grain supplement containing solvent-extracted or mechanically extracted soybean meal. J. Dairy Sci. 85: 1197-1207.</w:t>
      </w:r>
    </w:p>
    <w:p>
      <w:pPr>
        <w:pStyle w:val="BodyText"/>
        <w:spacing w:line="360" w:lineRule="auto" w:before="4"/>
        <w:ind w:left="1079" w:right="109" w:hanging="567"/>
        <w:jc w:val="both"/>
      </w:pPr>
      <w:r>
        <w:rPr/>
        <w:t>Loor JJ. </w:t>
      </w:r>
      <w:r>
        <w:rPr>
          <w:spacing w:val="-3"/>
        </w:rPr>
        <w:t>Soriano </w:t>
      </w:r>
      <w:r>
        <w:rPr/>
        <w:t>FD. Herbein JH. Polan CE. (2003). Grazing allowance after the morning  of afternoon milking for lactating cows fed a total mixed ration (TMR) enhances trans11-18:1 and cis9,trans11-18:2 (rumenic acid) </w:t>
      </w:r>
      <w:r>
        <w:rPr>
          <w:spacing w:val="-3"/>
        </w:rPr>
        <w:t>in milk fat </w:t>
      </w:r>
      <w:r>
        <w:rPr/>
        <w:t>to different extents. Anim. Feed Sci. Tech. 109:</w:t>
      </w:r>
      <w:r>
        <w:rPr>
          <w:spacing w:val="-4"/>
        </w:rPr>
        <w:t> </w:t>
      </w:r>
      <w:r>
        <w:rPr/>
        <w:t>105-119.</w:t>
      </w:r>
    </w:p>
    <w:p>
      <w:pPr>
        <w:pStyle w:val="BodyText"/>
        <w:spacing w:line="360" w:lineRule="auto" w:before="4"/>
        <w:ind w:left="1079" w:right="100" w:hanging="567"/>
        <w:jc w:val="both"/>
      </w:pPr>
      <w:r>
        <w:rPr/>
        <w:t>MacGibben AK. Taylor </w:t>
      </w:r>
      <w:r>
        <w:rPr>
          <w:spacing w:val="-3"/>
        </w:rPr>
        <w:t>MW. </w:t>
      </w:r>
      <w:r>
        <w:rPr/>
        <w:t>(2006). Composition and structure of bovine </w:t>
      </w:r>
      <w:r>
        <w:rPr>
          <w:spacing w:val="-3"/>
        </w:rPr>
        <w:t>milk </w:t>
      </w:r>
      <w:r>
        <w:rPr/>
        <w:t>lipids. </w:t>
      </w:r>
      <w:r>
        <w:rPr>
          <w:i/>
        </w:rPr>
        <w:t>In</w:t>
      </w:r>
      <w:r>
        <w:rPr/>
        <w:t>: Fox, P. F. McSweeney, P. L. </w:t>
      </w:r>
      <w:r>
        <w:rPr>
          <w:spacing w:val="2"/>
        </w:rPr>
        <w:t>H. </w:t>
      </w:r>
      <w:r>
        <w:rPr/>
        <w:t>(eds.). Advanced Dairy Chemistry, Vol. 2: Lipids, 3rd ed., pp. 1-42.</w:t>
      </w:r>
    </w:p>
    <w:p>
      <w:pPr>
        <w:pStyle w:val="BodyText"/>
        <w:spacing w:line="360" w:lineRule="auto" w:before="4"/>
        <w:ind w:left="1079" w:right="113" w:hanging="567"/>
        <w:jc w:val="both"/>
      </w:pPr>
      <w:r>
        <w:rPr/>
        <w:t>MacGibbon AKH. Van der Does YEH. Fong BY. Robinson NP. Thomson NA. (2001). Variations in the CLA content of New Zealand milk fat. Aust. J. Dairy Technol. 56: 158.</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6" w:hanging="567"/>
        <w:jc w:val="both"/>
      </w:pPr>
      <w:r>
        <w:rPr/>
        <w:t>Macoon B. Sollenberger LE. Moore JE. Staples CR. Fike JH. Portier KM. (2003). Comparison of three techniques for estimating the forage intake of lactating dairy cows on pasture. J. Anim. Sci. 81: 2357-2366.</w:t>
      </w:r>
    </w:p>
    <w:p>
      <w:pPr>
        <w:pStyle w:val="BodyText"/>
        <w:spacing w:line="360" w:lineRule="auto" w:before="8"/>
        <w:ind w:left="1079" w:right="107" w:hanging="567"/>
        <w:jc w:val="both"/>
      </w:pPr>
      <w:r>
        <w:rPr/>
        <w:t>Martin SA. Jenkins TC. (2002). Factors affecting conjugated linoleic acid and trans C18:1 fatty acid production by mixed ruminal bacteria. J. Anim. Sci. 80: 3347-3352.</w:t>
      </w:r>
    </w:p>
    <w:p>
      <w:pPr>
        <w:pStyle w:val="BodyText"/>
        <w:spacing w:line="362" w:lineRule="auto" w:before="4"/>
        <w:ind w:left="1079" w:right="100" w:hanging="567"/>
        <w:jc w:val="both"/>
      </w:pPr>
      <w:r>
        <w:rPr/>
        <w:t>Mayne CS. Wright IA. (1988). Herbage intake and utilization by the grazing dairy cow. </w:t>
      </w:r>
      <w:r>
        <w:rPr>
          <w:i/>
        </w:rPr>
        <w:t>In</w:t>
      </w:r>
      <w:r>
        <w:rPr/>
        <w:t>: Nutrition and Lactation in the Dairy Cow. Garnsworthy PC. (Ed). Butterworths, London. pp. 280.</w:t>
      </w:r>
    </w:p>
    <w:p>
      <w:pPr>
        <w:pStyle w:val="BodyText"/>
        <w:spacing w:line="360" w:lineRule="auto" w:before="1"/>
        <w:ind w:left="1079" w:right="100" w:hanging="567"/>
        <w:jc w:val="both"/>
      </w:pPr>
      <w:r>
        <w:rPr/>
        <w:t>Mayne S. (1996). Can grazed grass provide? High </w:t>
      </w:r>
      <w:r>
        <w:rPr>
          <w:i/>
        </w:rPr>
        <w:t>vs</w:t>
      </w:r>
      <w:r>
        <w:rPr/>
        <w:t>. Medium genetic merit cows.  </w:t>
      </w:r>
      <w:r>
        <w:rPr>
          <w:i/>
        </w:rPr>
        <w:t>In</w:t>
      </w:r>
      <w:r>
        <w:rPr/>
        <w:t>: Grass and Forage for Cattle of High Genetic Merit. Garnsworthy PC. (Ed.). Proc. Br. Grassland Soc. Malvern England. Univ. Reading, Berkshire, England. pp. 17-22.</w:t>
      </w:r>
    </w:p>
    <w:p>
      <w:pPr>
        <w:pStyle w:val="BodyText"/>
        <w:spacing w:line="360" w:lineRule="auto" w:before="8"/>
        <w:ind w:left="1079" w:right="114" w:hanging="567"/>
        <w:jc w:val="both"/>
      </w:pPr>
      <w:r>
        <w:rPr/>
        <w:t>McGilloway DA. Mayne CS. (1996). The importance of grass availability for the high genetic merit dairy cow. </w:t>
      </w:r>
      <w:r>
        <w:rPr>
          <w:i/>
        </w:rPr>
        <w:t>In</w:t>
      </w:r>
      <w:r>
        <w:rPr/>
        <w:t>: Recent Advances in Animal Nutrition. Garnsworthy  PC.</w:t>
      </w:r>
    </w:p>
    <w:p>
      <w:pPr>
        <w:pStyle w:val="BodyText"/>
        <w:spacing w:before="4"/>
        <w:ind w:left="1079" w:right="105"/>
      </w:pPr>
      <w:r>
        <w:rPr/>
        <w:t>J. Wiseman, W. Haresign, (Eds.). Nottingham University Press. UK. pp. 135.</w:t>
      </w:r>
    </w:p>
    <w:p>
      <w:pPr>
        <w:pStyle w:val="BodyText"/>
        <w:spacing w:line="362" w:lineRule="auto" w:before="137"/>
        <w:ind w:left="1079" w:right="100" w:hanging="567"/>
        <w:jc w:val="both"/>
      </w:pPr>
      <w:r>
        <w:rPr/>
        <w:t>McGuire MA. McGuire MK. (2000). Conjugated linoleic acid (CLA): A ruminant fatty  acid with beneficial effects on human health. J. </w:t>
      </w:r>
      <w:r>
        <w:rPr>
          <w:spacing w:val="-3"/>
        </w:rPr>
        <w:t>Anim. </w:t>
      </w:r>
      <w:r>
        <w:rPr/>
        <w:t>Sci. 77:</w:t>
      </w:r>
      <w:r>
        <w:rPr>
          <w:spacing w:val="-16"/>
        </w:rPr>
        <w:t> </w:t>
      </w:r>
      <w:r>
        <w:rPr>
          <w:spacing w:val="2"/>
        </w:rPr>
        <w:t>1-8.</w:t>
      </w:r>
    </w:p>
    <w:p>
      <w:pPr>
        <w:pStyle w:val="BodyText"/>
        <w:spacing w:line="360" w:lineRule="auto" w:before="1"/>
        <w:ind w:left="1079" w:right="104" w:hanging="567"/>
        <w:jc w:val="both"/>
      </w:pPr>
      <w:r>
        <w:rPr/>
        <w:t>McInttyre GR. (1978). Statical aspects of vegetation sampling. </w:t>
      </w:r>
      <w:r>
        <w:rPr>
          <w:i/>
        </w:rPr>
        <w:t>In</w:t>
      </w:r>
      <w:r>
        <w:rPr/>
        <w:t>: Measurement of grassland and vegetation and animal production. LT. Mannetje (Ed.). Commonwealth Agriculture Bureaux, Franhan Royal, Bucks, England. pp. 8-21.</w:t>
      </w:r>
    </w:p>
    <w:p>
      <w:pPr>
        <w:pStyle w:val="BodyText"/>
        <w:spacing w:line="360" w:lineRule="auto" w:before="8"/>
        <w:ind w:left="1079" w:right="109" w:hanging="567"/>
        <w:jc w:val="both"/>
      </w:pPr>
      <w:r>
        <w:rPr/>
        <w:t>Meijis JAC. Walters RJK, Keen A. (1982). 2. Sward methods. JD Leaver (Ed.). </w:t>
      </w:r>
      <w:r>
        <w:rPr>
          <w:i/>
        </w:rPr>
        <w:t>In</w:t>
      </w:r>
      <w:r>
        <w:rPr/>
        <w:t>: Herbage intake handbook, Br. Grassl. Soc. Hurley, UK. pp. 195.</w:t>
      </w:r>
    </w:p>
    <w:p>
      <w:pPr>
        <w:pStyle w:val="BodyText"/>
        <w:spacing w:line="360" w:lineRule="auto" w:before="4"/>
        <w:ind w:left="1079" w:right="104" w:hanging="567"/>
        <w:jc w:val="both"/>
      </w:pPr>
      <w:r>
        <w:rPr/>
        <w:t>Mellado BM. (2010). Producción de leche en zonas templadas y tropicales. Trillas. México. pp. 6-14.</w:t>
      </w:r>
    </w:p>
    <w:p>
      <w:pPr>
        <w:pStyle w:val="BodyText"/>
        <w:spacing w:line="360" w:lineRule="auto" w:before="4"/>
        <w:ind w:left="526" w:right="116"/>
        <w:jc w:val="right"/>
      </w:pPr>
      <w:r>
        <w:rPr/>
        <w:t>Menke, KH. Steingass H. (1988). Estimation of the energetic feed value from chemical analysis and </w:t>
      </w:r>
      <w:r>
        <w:rPr>
          <w:i/>
        </w:rPr>
        <w:t>in vitro </w:t>
      </w:r>
      <w:r>
        <w:rPr/>
        <w:t>gas production using rumen fluid. Anim. Res. Develop. 28: 7-55. Michal JJ. Johnson KA. Treacher RJ. (1996). The impact of direct fed fibrolytic enzymes</w:t>
      </w:r>
      <w:r>
        <w:rPr>
          <w:w w:val="99"/>
        </w:rPr>
        <w:t> </w:t>
      </w:r>
      <w:r>
        <w:rPr/>
        <w:t>on the growth rate and feed efficiency of growing beef steers and heifers. J. Anim.</w:t>
      </w:r>
    </w:p>
    <w:p>
      <w:pPr>
        <w:pStyle w:val="BodyText"/>
        <w:spacing w:before="4"/>
        <w:ind w:left="1079" w:right="105"/>
      </w:pPr>
      <w:r>
        <w:rPr/>
        <w:t>Sci. 74 (Supl. 1): 296.</w:t>
      </w:r>
    </w:p>
    <w:p>
      <w:pPr>
        <w:spacing w:after="0"/>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7" w:hanging="567"/>
        <w:jc w:val="both"/>
      </w:pPr>
      <w:r>
        <w:rPr/>
        <w:t>Moore JE. (1996). Practical approaches to estimating pasture intake. </w:t>
      </w:r>
      <w:r>
        <w:rPr>
          <w:i/>
        </w:rPr>
        <w:t>In</w:t>
      </w:r>
      <w:r>
        <w:rPr/>
        <w:t>: Proceeding Nutrient cycling </w:t>
      </w:r>
      <w:r>
        <w:rPr>
          <w:spacing w:val="-3"/>
        </w:rPr>
        <w:t>in </w:t>
      </w:r>
      <w:r>
        <w:rPr/>
        <w:t>forage systems. RE Joost. CA Roberts (Eds.). Center for pasture management. Univ. of  Missouri, Columbia, MO. p.</w:t>
      </w:r>
      <w:r>
        <w:rPr>
          <w:spacing w:val="-23"/>
        </w:rPr>
        <w:t> </w:t>
      </w:r>
      <w:r>
        <w:rPr/>
        <w:t>193.</w:t>
      </w:r>
    </w:p>
    <w:p>
      <w:pPr>
        <w:pStyle w:val="BodyText"/>
        <w:spacing w:line="360" w:lineRule="auto" w:before="8"/>
        <w:ind w:left="1079" w:right="111" w:hanging="567"/>
        <w:jc w:val="both"/>
      </w:pPr>
      <w:r>
        <w:rPr/>
        <w:t>Moore JE. (1996). Practical approaches to estimating pasture intake. </w:t>
      </w:r>
      <w:r>
        <w:rPr>
          <w:i/>
        </w:rPr>
        <w:t>In</w:t>
      </w:r>
      <w:r>
        <w:rPr/>
        <w:t>: Proceedings, Nutrient cycling in forage systems. RE. Joost, CA. Roberts. (Eds). Center for Pasture Management, Univ. of Missouri, Columbia, MO. pp. 193.</w:t>
      </w:r>
    </w:p>
    <w:p>
      <w:pPr>
        <w:pStyle w:val="BodyText"/>
        <w:spacing w:line="360" w:lineRule="auto" w:before="4"/>
        <w:ind w:left="1079" w:right="107" w:hanging="567"/>
        <w:jc w:val="both"/>
      </w:pPr>
      <w:r>
        <w:rPr/>
        <w:t>Moore WEC. Burmeister JA. Brooks CN. Ranney RR. Hinkelmann KH. Schieken RM. Moore LVH. (1993). Investigation of the influences of puberty, genetics and environment on the composition of subgingival periodontal floras. Infect. Immun. 61: 853-858.</w:t>
      </w:r>
    </w:p>
    <w:p>
      <w:pPr>
        <w:pStyle w:val="BodyText"/>
        <w:spacing w:line="360" w:lineRule="auto" w:before="4"/>
        <w:ind w:left="1079" w:right="114" w:hanging="567"/>
        <w:jc w:val="both"/>
      </w:pPr>
      <w:r>
        <w:rPr/>
        <w:t>Morales-Almaráz E. De la Roza-Delgado B. González A. Soldado A. Rodríguez M.L. Peláez M. Vicente F. (2011). Effect of feeding system on unsaturated fatty acid levels in milk of dairy cows. Renew. Agric.  Food Syst. 26(3):224-229.</w:t>
      </w:r>
    </w:p>
    <w:p>
      <w:pPr>
        <w:pStyle w:val="BodyText"/>
        <w:spacing w:line="360" w:lineRule="auto" w:before="4"/>
        <w:ind w:left="1079" w:right="104" w:hanging="567"/>
        <w:jc w:val="both"/>
      </w:pPr>
      <w:r>
        <w:rPr/>
        <w:t>Morales-Almaráz E. Soldado </w:t>
      </w:r>
      <w:r>
        <w:rPr>
          <w:spacing w:val="-3"/>
        </w:rPr>
        <w:t>A. </w:t>
      </w:r>
      <w:r>
        <w:rPr/>
        <w:t>González </w:t>
      </w:r>
      <w:r>
        <w:rPr>
          <w:spacing w:val="-3"/>
        </w:rPr>
        <w:t>A. </w:t>
      </w:r>
      <w:r>
        <w:rPr/>
        <w:t>Martínez-Fernández </w:t>
      </w:r>
      <w:r>
        <w:rPr>
          <w:spacing w:val="-3"/>
        </w:rPr>
        <w:t>A. </w:t>
      </w:r>
      <w:r>
        <w:rPr/>
        <w:t>Domínguez-Vara I. De </w:t>
      </w:r>
      <w:r>
        <w:rPr>
          <w:spacing w:val="-5"/>
        </w:rPr>
        <w:t>la </w:t>
      </w:r>
      <w:r>
        <w:rPr/>
        <w:t>Roza-Delgado B. Vicente F. (2010). Improving the fatty acid profile of dairy cow </w:t>
      </w:r>
      <w:r>
        <w:rPr>
          <w:spacing w:val="-3"/>
        </w:rPr>
        <w:t>milk </w:t>
      </w:r>
      <w:r>
        <w:rPr/>
        <w:t>by combining grazing with feeding on total mixed ration. J. Dairy Res. 77 (2):</w:t>
      </w:r>
      <w:r>
        <w:rPr>
          <w:spacing w:val="1"/>
        </w:rPr>
        <w:t> </w:t>
      </w:r>
      <w:r>
        <w:rPr/>
        <w:t>225-230.</w:t>
      </w:r>
    </w:p>
    <w:p>
      <w:pPr>
        <w:pStyle w:val="BodyText"/>
        <w:spacing w:line="360" w:lineRule="auto" w:before="4"/>
        <w:ind w:left="1079" w:right="112" w:hanging="567"/>
        <w:jc w:val="both"/>
      </w:pPr>
      <w:r>
        <w:rPr/>
        <w:t>Nam S. Garnsworthy PC. (2007). Biohydrogenation of linoleic acid by rumen fungi compared with rumen bacteria. J. Appl. Microbiol. 103: 551-556.</w:t>
      </w:r>
    </w:p>
    <w:p>
      <w:pPr>
        <w:pStyle w:val="BodyText"/>
        <w:spacing w:line="360" w:lineRule="auto" w:before="8"/>
        <w:ind w:left="1079" w:right="109" w:hanging="567"/>
        <w:jc w:val="both"/>
      </w:pPr>
      <w:r>
        <w:rPr/>
        <w:t>Nielsen TS. Straarup EM. Vestergaard M. Sejrsen K. (2006). Effect of silage type and concentrate level on conjugated linoleic acids, trans-C18:1 isomers and fat content in milk from dairy cows. Repr. Nutr. Dev. 46: 699-712.</w:t>
      </w:r>
    </w:p>
    <w:p>
      <w:pPr>
        <w:pStyle w:val="BodyText"/>
        <w:spacing w:line="360" w:lineRule="auto" w:before="4"/>
        <w:ind w:left="1079" w:right="106" w:hanging="567"/>
        <w:jc w:val="both"/>
      </w:pPr>
      <w:r>
        <w:rPr/>
        <w:t>Noble RC. Moore JH. Harfoot CG. (1974). Observations of the pattern of biohydrogenation of esterified and unesterified linoleic acid in the rumen. British J. of Nutrition 31: 99- 108.</w:t>
      </w:r>
    </w:p>
    <w:p>
      <w:pPr>
        <w:pStyle w:val="BodyText"/>
        <w:spacing w:line="360" w:lineRule="auto" w:before="4"/>
        <w:ind w:left="1079" w:right="120" w:hanging="567"/>
        <w:jc w:val="both"/>
      </w:pPr>
      <w:r>
        <w:rPr/>
        <w:t>NRC. (2001). Nutrient requirements of dairy cattle. 7th rev. The National Academy Press, Washington, DC. USA. p. 292.</w:t>
      </w:r>
    </w:p>
    <w:p>
      <w:pPr>
        <w:pStyle w:val="BodyText"/>
        <w:spacing w:before="4"/>
        <w:ind w:left="512" w:right="105"/>
      </w:pPr>
      <w:r>
        <w:rPr/>
        <w:t>Palmquist DL. Jenkins TC. (1980). Fat in lactation rations: review. Dairy Sci. 63: 1-14.</w:t>
      </w:r>
    </w:p>
    <w:p>
      <w:pPr>
        <w:spacing w:after="0"/>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19" w:hanging="567"/>
        <w:jc w:val="both"/>
      </w:pPr>
      <w:r>
        <w:rPr/>
        <w:t>Palmquist DL. (2001). Ruminal and endogenous synthesis of CLA in cows. Australian J. Dairy Tech. 56: 127-134.</w:t>
      </w:r>
    </w:p>
    <w:p>
      <w:pPr>
        <w:pStyle w:val="BodyText"/>
        <w:spacing w:line="362" w:lineRule="auto" w:before="4"/>
        <w:ind w:left="1079" w:right="116" w:hanging="567"/>
        <w:jc w:val="both"/>
      </w:pPr>
      <w:r>
        <w:rPr/>
        <w:t>Palmquist DL. Beaulieu AD. Barbano DM. (1993). Feed and animal factors influencing milk fat composition. J. Dairy Sci. 76: 1753-1771.</w:t>
      </w:r>
    </w:p>
    <w:p>
      <w:pPr>
        <w:pStyle w:val="BodyText"/>
        <w:spacing w:before="1"/>
        <w:ind w:left="512" w:right="105"/>
      </w:pPr>
      <w:r>
        <w:rPr/>
        <w:t>Palmquist DL. Jenkins TC. (2003). Challenges with fats and fatty acid methods. J. Anim.</w:t>
      </w:r>
    </w:p>
    <w:p>
      <w:pPr>
        <w:pStyle w:val="BodyText"/>
        <w:spacing w:before="137"/>
        <w:ind w:left="1079" w:right="105"/>
      </w:pPr>
      <w:r>
        <w:rPr/>
        <w:t>Sci. 81: 3250-3254.</w:t>
      </w:r>
    </w:p>
    <w:p>
      <w:pPr>
        <w:pStyle w:val="BodyText"/>
        <w:spacing w:line="360" w:lineRule="auto" w:before="137"/>
        <w:ind w:left="1079" w:right="108" w:hanging="567"/>
        <w:jc w:val="both"/>
      </w:pPr>
      <w:r>
        <w:rPr/>
        <w:t>Palmquist DL. Lock AL. Shingfield KJ. Bauman DE. (2005). Biosynthesis of conjugated linoleic acid in ruminants and humans. </w:t>
      </w:r>
      <w:r>
        <w:rPr>
          <w:i/>
        </w:rPr>
        <w:t>In</w:t>
      </w:r>
      <w:r>
        <w:rPr/>
        <w:t>: Adv. Food Nutr. Res. Taylor SL. (Ed.). Elsevier Academic Press, San Diego, CA. Vol. 50: 179-217.</w:t>
      </w:r>
    </w:p>
    <w:p>
      <w:pPr>
        <w:pStyle w:val="BodyText"/>
        <w:spacing w:line="362" w:lineRule="auto" w:before="4"/>
        <w:ind w:left="1079" w:right="106" w:hanging="567"/>
        <w:jc w:val="both"/>
      </w:pPr>
      <w:r>
        <w:rPr/>
        <w:t>Pariza MW. (1999). The biological activities of conjugated linoleic acid. </w:t>
      </w:r>
      <w:r>
        <w:rPr>
          <w:i/>
        </w:rPr>
        <w:t>In</w:t>
      </w:r>
      <w:r>
        <w:rPr/>
        <w:t>: Advances in conjugated linoleic acid research. Yurawecz MP. Mossoba MM. Kremer JKG. Pariza MW. Nelson GJ. (Eds.). AOCS Press. Champaign, IL. Vol. 1: 12-20.</w:t>
      </w:r>
    </w:p>
    <w:p>
      <w:pPr>
        <w:pStyle w:val="BodyText"/>
        <w:spacing w:line="360" w:lineRule="auto" w:before="1"/>
        <w:ind w:left="1079" w:right="116" w:hanging="567"/>
        <w:jc w:val="both"/>
      </w:pPr>
      <w:r>
        <w:rPr/>
        <w:t>Pariza MW. Park Y. Cook ME. (2001). The biologically active isomers of conjugated linoleic acid. Prog. Lipid Res. 40: 269-281.</w:t>
      </w:r>
    </w:p>
    <w:p>
      <w:pPr>
        <w:pStyle w:val="BodyText"/>
        <w:spacing w:line="362" w:lineRule="auto" w:before="4"/>
        <w:ind w:left="1079" w:right="99" w:hanging="567"/>
        <w:jc w:val="both"/>
      </w:pPr>
      <w:r>
        <w:rPr/>
        <w:t>Park Y. Albright KJ. Liu W. Storkson JM. Cook ME. Pariza MW. (1997). Effect of conjugated linoleic acid on body composition in mice. Lipids. 32: 853-854.</w:t>
      </w:r>
    </w:p>
    <w:p>
      <w:pPr>
        <w:pStyle w:val="BodyText"/>
        <w:spacing w:line="360" w:lineRule="auto" w:before="1"/>
        <w:ind w:left="1079" w:right="107" w:hanging="567"/>
        <w:jc w:val="both"/>
      </w:pPr>
      <w:r>
        <w:rPr/>
        <w:t>Park Y. Storkson JM. Albrigth KJ. Liu W. Pariza MW. (1999). Evidence that the trans-10, cis12 isomer of conjugated linoleic acid induces body composition changes in mice. Lipids. 34: 235-241.</w:t>
      </w:r>
    </w:p>
    <w:p>
      <w:pPr>
        <w:pStyle w:val="BodyText"/>
        <w:spacing w:line="360" w:lineRule="auto" w:before="8"/>
        <w:ind w:left="1079" w:right="107" w:hanging="567"/>
        <w:jc w:val="both"/>
      </w:pPr>
      <w:r>
        <w:rPr/>
        <w:t>Park Y. Storkson JM. Albrigth KJ. Liu W. Pariza MW. (1999). Evidence that the trans-10, cis12 isomer of conjugated linoleic acid induces body composition changes in mice. Lipids. 34: 235-241.</w:t>
      </w:r>
    </w:p>
    <w:p>
      <w:pPr>
        <w:pStyle w:val="BodyText"/>
        <w:spacing w:line="360" w:lineRule="auto" w:before="4"/>
        <w:ind w:left="1079" w:right="120" w:hanging="567"/>
        <w:jc w:val="both"/>
      </w:pPr>
      <w:r>
        <w:rPr/>
        <w:t>Parody PW. (1999). Conjugated linoleic acid and other anticarcinogenic agents of bovine milk fat. J. Dairy Sci. 82: 1339-1349.</w:t>
      </w:r>
    </w:p>
    <w:p>
      <w:pPr>
        <w:pStyle w:val="BodyText"/>
        <w:spacing w:line="360" w:lineRule="auto" w:before="8"/>
        <w:ind w:left="526" w:right="111"/>
        <w:jc w:val="right"/>
      </w:pPr>
      <w:r>
        <w:rPr/>
        <w:t>Peterson DG. Kelsey JA. Bauman DE. (2002). Analysis of variation in cis9, trans11 conjugated linoleic acid (CLA) in milk fat of dairy cows. J. Dairy Sci. 85: 2164-2172. Peterson DG. Kelsey JA. Bauman DE. (2002). Analysis of variation in cis9, trans11 conjugated linoleic acid (CLA) in milk fat of dairy cows. J. Dairy Sci. 85: 2164-2172.</w:t>
      </w:r>
    </w:p>
    <w:p>
      <w:pPr>
        <w:spacing w:after="0" w:line="360" w:lineRule="auto"/>
        <w:jc w:val="right"/>
        <w:sectPr>
          <w:footerReference w:type="default" r:id="rId36"/>
          <w:pgSz w:w="12240" w:h="15840"/>
          <w:pgMar w:footer="1382" w:header="1150" w:top="1420" w:bottom="1580" w:left="1360" w:right="1420"/>
        </w:sectPr>
      </w:pPr>
    </w:p>
    <w:p>
      <w:pPr>
        <w:pStyle w:val="BodyText"/>
        <w:spacing w:before="3"/>
        <w:rPr>
          <w:sz w:val="27"/>
        </w:rPr>
      </w:pPr>
    </w:p>
    <w:p>
      <w:pPr>
        <w:pStyle w:val="BodyText"/>
        <w:spacing w:line="360" w:lineRule="auto" w:before="69"/>
        <w:ind w:left="1079" w:right="101" w:hanging="567"/>
        <w:jc w:val="both"/>
      </w:pPr>
      <w:r>
        <w:rPr/>
        <w:t>Peyraud JL. Delaby L. (2001). Ideal concentrate feeds for grazing dairy cow’s responses to supplementation in interaction with grazing management and grass quality. </w:t>
      </w:r>
      <w:r>
        <w:rPr>
          <w:i/>
        </w:rPr>
        <w:t>In</w:t>
      </w:r>
      <w:r>
        <w:rPr/>
        <w:t>: Recent Advances in Animal Nutrition. Garnsworthy PC. Wiseman J. (Eds.). Nottingham University Press, UK. pp. 203.</w:t>
      </w:r>
    </w:p>
    <w:p>
      <w:pPr>
        <w:pStyle w:val="BodyText"/>
        <w:spacing w:before="4"/>
        <w:ind w:left="512" w:right="105"/>
      </w:pPr>
      <w:r>
        <w:rPr/>
        <w:t>Phillips CJC. (1988). The use of conserved forage as supplement for grazing dairy cows.</w:t>
      </w:r>
    </w:p>
    <w:p>
      <w:pPr>
        <w:pStyle w:val="BodyText"/>
        <w:spacing w:before="137"/>
        <w:ind w:left="1079" w:right="105"/>
      </w:pPr>
      <w:r>
        <w:rPr/>
        <w:t>Grass Forage Sci. 43: 215-230.</w:t>
      </w:r>
    </w:p>
    <w:p>
      <w:pPr>
        <w:pStyle w:val="BodyText"/>
        <w:spacing w:line="360" w:lineRule="auto" w:before="137"/>
        <w:ind w:left="1079" w:right="118" w:hanging="567"/>
        <w:jc w:val="both"/>
      </w:pPr>
      <w:r>
        <w:rPr/>
        <w:t>Qui X. Reed DW. Hong H. Mackensie SL. Covello PS. (2001). Identification and analysis of gene from calendula officinalis encoding a fatty acid conjugated. Plant Physiology. 125: 847-855.</w:t>
      </w:r>
    </w:p>
    <w:p>
      <w:pPr>
        <w:pStyle w:val="BodyText"/>
        <w:spacing w:line="360" w:lineRule="auto" w:before="4"/>
        <w:ind w:left="1079" w:right="117" w:hanging="567"/>
        <w:jc w:val="both"/>
      </w:pPr>
      <w:r>
        <w:rPr/>
        <w:t>Raymond WF. Minson DJ. (1995). The use of chromic for estimating the fecal production of grazing animals. J. Br. Grassld. Soc. 10: 282-296.</w:t>
      </w:r>
    </w:p>
    <w:p>
      <w:pPr>
        <w:pStyle w:val="BodyText"/>
        <w:spacing w:line="360" w:lineRule="auto" w:before="8"/>
        <w:ind w:left="1079" w:right="110" w:hanging="567"/>
        <w:jc w:val="both"/>
      </w:pPr>
      <w:r>
        <w:rPr/>
        <w:t>Reeves MW. Fulkerson J. Kellaway RC. Dove H. (1996). A comparison of  three techniques to determine the herbage intake of dairy cows grazing kikuyu (</w:t>
      </w:r>
      <w:r>
        <w:rPr>
          <w:i/>
        </w:rPr>
        <w:t>Penissetum </w:t>
      </w:r>
      <w:r>
        <w:rPr>
          <w:i/>
        </w:rPr>
        <w:t>clandestinum</w:t>
      </w:r>
      <w:r>
        <w:rPr/>
        <w:t>) pasture. Aust. J. Exp. Agric. 36: 23-30.</w:t>
      </w:r>
    </w:p>
    <w:p>
      <w:pPr>
        <w:pStyle w:val="BodyText"/>
        <w:spacing w:line="360" w:lineRule="auto" w:before="4"/>
        <w:ind w:left="796" w:right="115" w:hanging="284"/>
        <w:jc w:val="both"/>
      </w:pPr>
      <w:r>
        <w:rPr/>
        <w:t>Riquelme C. Pulido RG. (2008). Efecto del nivel de suplementación con concentrado sobre el consumo voluntario y comportamiento ingestivo en vacas lecheras a pastoreo primaveral. Arch. Med. Vet. 40, 243-249.</w:t>
      </w:r>
    </w:p>
    <w:p>
      <w:pPr>
        <w:pStyle w:val="BodyText"/>
        <w:spacing w:line="357" w:lineRule="auto" w:before="210"/>
        <w:ind w:left="796" w:right="106" w:hanging="284"/>
        <w:jc w:val="both"/>
      </w:pPr>
      <w:r>
        <w:rPr/>
        <w:t>Robelin J. Agabril J. Malterre C. Bonnemaire J. (1990). Changes in body composition of mature dry cows of Holstein, Limousine and Charolaise breeds during fattening. 1. Skeleton, muscles, fatty tissues and offal. Livest. Prod. Sci. 25: 199-215.</w:t>
      </w:r>
    </w:p>
    <w:p>
      <w:pPr>
        <w:pStyle w:val="BodyText"/>
        <w:spacing w:line="362" w:lineRule="auto" w:before="213"/>
        <w:ind w:left="1079" w:right="105" w:hanging="567"/>
        <w:jc w:val="both"/>
      </w:pPr>
      <w:r>
        <w:rPr/>
        <w:t>Rochinotti D. (1998). Model components of forage-fed cattle systems: Energy expenditure of grazing cattle and prediction of intake in dairy cows. Ph.D. Diss., University of Florida, Gainesville.</w:t>
      </w:r>
    </w:p>
    <w:p>
      <w:pPr>
        <w:pStyle w:val="BodyText"/>
        <w:spacing w:line="360" w:lineRule="auto" w:before="1"/>
        <w:ind w:left="1079" w:right="111" w:hanging="567"/>
        <w:jc w:val="both"/>
      </w:pPr>
      <w:r>
        <w:rPr/>
        <w:t>SAGARPA (2010). Secretaría de Agricultura, Ganadería, Desarrollo Rural, Pesca y Alimentación. Coordinación General de Ganadería. “Claridades Agropecuarias” Situación actual y perspectiva de la producción de leche de bovino en México 2010. Noviembre, No. 207.</w:t>
      </w:r>
    </w:p>
    <w:p>
      <w:pPr>
        <w:spacing w:after="0" w:line="360" w:lineRule="auto"/>
        <w:jc w:val="both"/>
        <w:sectPr>
          <w:footerReference w:type="default" r:id="rId37"/>
          <w:pgSz w:w="12240" w:h="15840"/>
          <w:pgMar w:footer="1382" w:header="1150" w:top="1420" w:bottom="1580" w:left="1360" w:right="1420"/>
          <w:pgNumType w:start="91"/>
        </w:sectPr>
      </w:pPr>
    </w:p>
    <w:p>
      <w:pPr>
        <w:pStyle w:val="BodyText"/>
        <w:spacing w:before="3"/>
        <w:rPr>
          <w:sz w:val="27"/>
        </w:rPr>
      </w:pPr>
    </w:p>
    <w:p>
      <w:pPr>
        <w:pStyle w:val="BodyText"/>
        <w:spacing w:line="360" w:lineRule="auto" w:before="69"/>
        <w:ind w:left="1079" w:right="113" w:hanging="567"/>
        <w:jc w:val="both"/>
      </w:pPr>
      <w:r>
        <w:rPr/>
        <w:t>Salinas MJA. (2011). Rentabilidad de los sistemas de producción en pequeña escala de leche de vaca en Texcoco, Estado de México. Tesis de Maestría. Facultad de Medicina Veterinaria y Zootecnia, Universidad Autónoma de Estado de México. Toluca, México.</w:t>
      </w:r>
    </w:p>
    <w:p>
      <w:pPr>
        <w:pStyle w:val="BodyText"/>
        <w:spacing w:line="360" w:lineRule="auto" w:before="4"/>
        <w:ind w:left="1079" w:right="114" w:hanging="567"/>
        <w:jc w:val="both"/>
      </w:pPr>
      <w:r>
        <w:rPr/>
        <w:t>Salter AM. Daniels ZCTR. Wynn RJ. Lock AL. Garnsworthy PC. Buttery PJ. (2002). Manipulating the fatty acid composition of animal products. What has  and  what might be achieved? </w:t>
      </w:r>
      <w:r>
        <w:rPr>
          <w:i/>
        </w:rPr>
        <w:t>In</w:t>
      </w:r>
      <w:r>
        <w:rPr/>
        <w:t>: Recent advances in animal nutrition. Garnsworthy PC. Wiseman J. Nottingham Univ. Press. Nottingham, UK. pp. 33-44.</w:t>
      </w:r>
    </w:p>
    <w:p>
      <w:pPr>
        <w:pStyle w:val="BodyText"/>
        <w:spacing w:before="4"/>
        <w:ind w:left="512" w:right="105"/>
      </w:pPr>
      <w:r>
        <w:rPr/>
        <w:t>Santos MA. (2007). Leche y sus derivados. 2da ed. Trillas. México. pp. 27-108.</w:t>
      </w:r>
    </w:p>
    <w:p>
      <w:pPr>
        <w:pStyle w:val="BodyText"/>
        <w:spacing w:line="360" w:lineRule="auto" w:before="137"/>
        <w:ind w:left="1079" w:right="112" w:hanging="567"/>
        <w:jc w:val="both"/>
      </w:pPr>
      <w:r>
        <w:rPr/>
        <w:t>SAS. (1999). SAS/STATTM User's Guide. Statistical Analysis System Institute Inc. Cary, North Caroline, USA. p. 315.</w:t>
      </w:r>
    </w:p>
    <w:p>
      <w:pPr>
        <w:pStyle w:val="BodyText"/>
        <w:spacing w:line="360" w:lineRule="auto" w:before="8"/>
        <w:ind w:left="1079" w:right="110" w:hanging="567"/>
        <w:jc w:val="both"/>
      </w:pPr>
      <w:r>
        <w:rPr/>
        <w:t>Schilimne E. Buchheim W. (2002). La leche y sus componentes. Propiedades químicas y físicas. 2da ed. Acribia. Zaragoza, España. pp.54-77, 89-104.</w:t>
      </w:r>
    </w:p>
    <w:p>
      <w:pPr>
        <w:pStyle w:val="BodyText"/>
        <w:spacing w:line="362" w:lineRule="auto" w:before="4"/>
        <w:ind w:left="1079" w:right="105" w:hanging="567"/>
        <w:jc w:val="both"/>
      </w:pPr>
      <w:r>
        <w:rPr/>
        <w:t>Schroeder GF. Couderc JJ. Bargo F. Rearte DH. (2005). Milk production and fatty acid profile of milk fat by dairy cows fed a winter oats (</w:t>
      </w:r>
      <w:r>
        <w:rPr>
          <w:i/>
        </w:rPr>
        <w:t>avena sativa L.) </w:t>
      </w:r>
      <w:r>
        <w:rPr/>
        <w:t>pasture-only or a total mixed rations. N. Z. J. Agric. Res. 48: 187-195.</w:t>
      </w:r>
    </w:p>
    <w:p>
      <w:pPr>
        <w:pStyle w:val="BodyText"/>
        <w:spacing w:line="360" w:lineRule="auto" w:before="1"/>
        <w:ind w:left="1079" w:right="110" w:hanging="567"/>
        <w:jc w:val="both"/>
      </w:pPr>
      <w:r>
        <w:rPr/>
        <w:t>Schroeder GF. Delahoy JE. Vidaurret I. Bargo F. Gagliostro GA. Muller LD. (2003). </w:t>
      </w:r>
      <w:r>
        <w:rPr>
          <w:spacing w:val="-4"/>
        </w:rPr>
        <w:t>Milk</w:t>
      </w:r>
      <w:r>
        <w:rPr>
          <w:spacing w:val="52"/>
        </w:rPr>
        <w:t> </w:t>
      </w:r>
      <w:r>
        <w:rPr/>
        <w:t>fatty acid composition of cows </w:t>
      </w:r>
      <w:r>
        <w:rPr>
          <w:spacing w:val="-3"/>
        </w:rPr>
        <w:t>fed </w:t>
      </w:r>
      <w:r>
        <w:rPr/>
        <w:t>a total ration or pasture plus concentrates  replacing corn </w:t>
      </w:r>
      <w:r>
        <w:rPr>
          <w:spacing w:val="-3"/>
        </w:rPr>
        <w:t>whit </w:t>
      </w:r>
      <w:r>
        <w:rPr/>
        <w:t>fat. J. Dairy Sci. 86:</w:t>
      </w:r>
      <w:r>
        <w:rPr>
          <w:spacing w:val="3"/>
        </w:rPr>
        <w:t> </w:t>
      </w:r>
      <w:r>
        <w:rPr/>
        <w:t>3237-3248.</w:t>
      </w:r>
    </w:p>
    <w:p>
      <w:pPr>
        <w:pStyle w:val="BodyText"/>
        <w:spacing w:line="360" w:lineRule="auto" w:before="8"/>
        <w:ind w:left="1079" w:right="104" w:hanging="567"/>
        <w:jc w:val="both"/>
      </w:pPr>
      <w:r>
        <w:rPr/>
        <w:t>Schroeder GF. Gagliostro GA. Becu-Villalobos D. Lacau-Mengido I. (2002). Supplementation with partially hydrogenated oil in grazing dairy cows in early lactation. J. Dairy Sci. 85: 580-594.</w:t>
      </w:r>
    </w:p>
    <w:p>
      <w:pPr>
        <w:pStyle w:val="BodyText"/>
        <w:spacing w:line="360" w:lineRule="auto" w:before="4"/>
        <w:ind w:left="1079" w:right="116" w:hanging="567"/>
        <w:jc w:val="both"/>
      </w:pPr>
      <w:r>
        <w:rPr/>
        <w:t>Sehat N. Kramer JKG. Mossoba MM. Yurawecz MP. Roach JAG. Eulitz K. Morehouse KM. Ku Y (1998). Identification of conjugated linoleic acid isomers in cheese by gas chromatography, silver ion high performance liquid chromatography and mass spectral reconstructed ion profiles. Lipids 33: 963.971.</w:t>
      </w:r>
    </w:p>
    <w:p>
      <w:pPr>
        <w:pStyle w:val="BodyText"/>
        <w:spacing w:line="360" w:lineRule="auto" w:before="4"/>
        <w:ind w:left="1079" w:right="111" w:hanging="567"/>
        <w:jc w:val="both"/>
      </w:pPr>
      <w:r>
        <w:rPr/>
        <w:t>Shingfield K. Reynolds C. Lupoli B. Toivoven V. Yurawecz M. Delmonte P. Griinari J. Grandison A. Beever D. (2005). Effect of forage type and proportion of concentrate</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5"/>
      </w:pPr>
      <w:r>
        <w:rPr/>
        <w:t>in the diet on milk fatty acid composition in cows given sunflower oil and fish oil. J. Anim. Sci. 80: 225-238.</w:t>
      </w:r>
    </w:p>
    <w:p>
      <w:pPr>
        <w:pStyle w:val="BodyText"/>
        <w:spacing w:line="362" w:lineRule="auto" w:before="4"/>
        <w:ind w:left="1079" w:right="111" w:hanging="567"/>
        <w:jc w:val="both"/>
      </w:pPr>
      <w:r>
        <w:rPr/>
        <w:t>Sistema de Información Agroalimentaria y Pesquera. (2011). Dirección de Ganadería [En línea]. Disponible en </w:t>
      </w:r>
      <w:hyperlink r:id="rId38">
        <w:r>
          <w:rPr/>
          <w:t>www.siap.gob.mx.</w:t>
        </w:r>
      </w:hyperlink>
      <w:r>
        <w:rPr/>
        <w:t> (Revisado el 15 de agosto de 2013).</w:t>
      </w:r>
    </w:p>
    <w:p>
      <w:pPr>
        <w:pStyle w:val="BodyText"/>
        <w:spacing w:before="1"/>
        <w:ind w:left="512" w:right="105"/>
      </w:pPr>
      <w:r>
        <w:rPr/>
        <w:t>Sistema  Meteorológico  Nacional (SMN,  2012).  Temperatura  y precipitación [En  línea].</w:t>
      </w:r>
    </w:p>
    <w:p>
      <w:pPr>
        <w:pStyle w:val="BodyText"/>
        <w:spacing w:before="137"/>
        <w:ind w:left="1079" w:right="105"/>
      </w:pPr>
      <w:r>
        <w:rPr/>
        <w:t>Disponible en </w:t>
      </w:r>
      <w:hyperlink r:id="rId39">
        <w:r>
          <w:rPr/>
          <w:t>www.smn.conagua.gob.mx.</w:t>
        </w:r>
      </w:hyperlink>
      <w:r>
        <w:rPr/>
        <w:t> (revisado el 2 de noviembre de 2012).</w:t>
      </w:r>
    </w:p>
    <w:p>
      <w:pPr>
        <w:pStyle w:val="BodyText"/>
        <w:spacing w:line="360" w:lineRule="auto" w:before="137"/>
        <w:ind w:left="1079" w:right="112" w:hanging="567"/>
        <w:jc w:val="both"/>
      </w:pPr>
      <w:r>
        <w:rPr/>
        <w:t>Smit HJ. Taweel HZ. Tas BM. Tamminga S. Elgersma A. (2005). Comparison on techniques for estimating herbage intake of grazing dairy cows. J. Dairy Sci. 88: 1827-1836.</w:t>
      </w:r>
    </w:p>
    <w:p>
      <w:pPr>
        <w:pStyle w:val="BodyText"/>
        <w:spacing w:line="362" w:lineRule="auto" w:before="4"/>
        <w:ind w:left="1079" w:right="108" w:hanging="567"/>
        <w:jc w:val="both"/>
      </w:pPr>
      <w:r>
        <w:rPr/>
        <w:t>Song HJ. Grant I. Rotondo </w:t>
      </w:r>
      <w:r>
        <w:rPr>
          <w:spacing w:val="-3"/>
        </w:rPr>
        <w:t>D. </w:t>
      </w:r>
      <w:r>
        <w:rPr/>
        <w:t>Mohede I. Sattar </w:t>
      </w:r>
      <w:r>
        <w:rPr>
          <w:spacing w:val="-3"/>
        </w:rPr>
        <w:t>N. </w:t>
      </w:r>
      <w:r>
        <w:rPr/>
        <w:t>Heyes SD. Wahle </w:t>
      </w:r>
      <w:r>
        <w:rPr>
          <w:spacing w:val="-3"/>
        </w:rPr>
        <w:t>KWJ. </w:t>
      </w:r>
      <w:r>
        <w:rPr/>
        <w:t>(2005). Effect  of CLA supplementation on immune function </w:t>
      </w:r>
      <w:r>
        <w:rPr>
          <w:spacing w:val="-3"/>
        </w:rPr>
        <w:t>in young </w:t>
      </w:r>
      <w:r>
        <w:rPr/>
        <w:t>healthy volunteers. Eur. J. Clin. Nutr. 59:</w:t>
      </w:r>
      <w:r>
        <w:rPr>
          <w:spacing w:val="-6"/>
        </w:rPr>
        <w:t> </w:t>
      </w:r>
      <w:r>
        <w:rPr/>
        <w:t>508-517.</w:t>
      </w:r>
    </w:p>
    <w:p>
      <w:pPr>
        <w:pStyle w:val="BodyText"/>
        <w:spacing w:line="360" w:lineRule="auto" w:before="1"/>
        <w:ind w:left="1079" w:right="115" w:hanging="567"/>
        <w:jc w:val="both"/>
      </w:pPr>
      <w:r>
        <w:rPr/>
        <w:t>Soriano FD. Polan CE. Miller CN. (2001). Supplementing pasture to lactating Holsteins fed a total mixed ration diet. J. Dairy Sci. 84: 2460-2468.</w:t>
      </w:r>
    </w:p>
    <w:p>
      <w:pPr>
        <w:pStyle w:val="BodyText"/>
        <w:spacing w:line="360" w:lineRule="auto" w:before="4"/>
        <w:ind w:left="1079" w:right="114" w:hanging="567"/>
        <w:jc w:val="both"/>
      </w:pPr>
      <w:r>
        <w:rPr/>
        <w:t>Steel RGD. Torrie JH. Dickey DA. (1997). Principles and Procedures of Statistics: A Biometrical Approach. 3rd ed. McGraw-Hill Series in Probability and  Statistics. USA. 622 p.</w:t>
      </w:r>
    </w:p>
    <w:p>
      <w:pPr>
        <w:pStyle w:val="BodyText"/>
        <w:spacing w:before="4"/>
        <w:ind w:left="512" w:right="105"/>
      </w:pPr>
      <w:r>
        <w:rPr/>
        <w:t>Spreer E. (1991). Lactología Industrial. 6ta ed. Acribia. Zaragoza, España. pp. 7-31.</w:t>
      </w:r>
    </w:p>
    <w:p>
      <w:pPr>
        <w:pStyle w:val="BodyText"/>
        <w:spacing w:line="362" w:lineRule="auto" w:before="137"/>
        <w:ind w:left="1079" w:right="109" w:hanging="567"/>
        <w:jc w:val="both"/>
      </w:pPr>
      <w:r>
        <w:rPr/>
        <w:t>Stockdale CR. (1985). Influence of some sward characteristics on the consumption of irrigated pastures grazed by lactating dairy cows. Grass Forage Sci. 40: 31-39.</w:t>
      </w:r>
    </w:p>
    <w:p>
      <w:pPr>
        <w:pStyle w:val="BodyText"/>
        <w:spacing w:line="360" w:lineRule="auto" w:before="1"/>
        <w:ind w:left="1079" w:right="111" w:hanging="567"/>
        <w:jc w:val="both"/>
      </w:pPr>
      <w:r>
        <w:rPr/>
        <w:t>Stockdale CR. (1994). Persian clover and maize silage. I. Silage as a supplement for lactating dairy cows offered herbage of different quality. Aust. J. Agric. Res. 45: 1751-1765.</w:t>
      </w:r>
    </w:p>
    <w:p>
      <w:pPr>
        <w:pStyle w:val="BodyText"/>
        <w:spacing w:line="362" w:lineRule="auto" w:before="4"/>
        <w:ind w:left="1079" w:right="110" w:hanging="567"/>
        <w:jc w:val="both"/>
      </w:pPr>
      <w:r>
        <w:rPr/>
        <w:t>Stockdale CR. (1999). Effects of cereal grain, lupins-cereal grain or hay supplements on the intake and performance of grazing cows. Aust. J. Exp. Agric.39: 811-817.</w:t>
      </w:r>
    </w:p>
    <w:p>
      <w:pPr>
        <w:pStyle w:val="BodyText"/>
        <w:spacing w:line="360" w:lineRule="auto" w:before="1"/>
        <w:ind w:left="1079" w:right="113" w:hanging="567"/>
        <w:jc w:val="both"/>
      </w:pPr>
      <w:r>
        <w:rPr/>
        <w:t>Stockdale CR. (2000). Differences in body condition and body size affect the responses of grazing dairy cows to high energy supplements in early lactation. Aust. J. Exp. Agric. 40:903-911.</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10" w:hanging="567"/>
        <w:jc w:val="both"/>
      </w:pPr>
      <w:r>
        <w:rPr/>
        <w:t>Stockdale CR. Waler GP. Wales WJ. Dalley DE. Birkett A. Shen Z. Doley PT. (2003). Influence of pasture and concentrates in the diet of grazing dairy cows on the fatty acid composition of milk. J. Dairy Res. 70: 267-276.</w:t>
      </w:r>
    </w:p>
    <w:p>
      <w:pPr>
        <w:pStyle w:val="BodyText"/>
        <w:spacing w:line="360" w:lineRule="auto" w:before="8"/>
        <w:ind w:left="1079" w:right="107" w:hanging="567"/>
        <w:jc w:val="both"/>
      </w:pPr>
      <w:r>
        <w:rPr/>
        <w:t>Stuedemann JA. Matches AG. (1989). Measurement of animal responses in grazing research. </w:t>
      </w:r>
      <w:r>
        <w:rPr>
          <w:i/>
        </w:rPr>
        <w:t>In</w:t>
      </w:r>
      <w:r>
        <w:rPr/>
        <w:t>: Grazing research: Design, methodology and analysis. GC. Marten (Ed.). Crop. Sci. Soc. Amer. Special Pub. No. 16. Crop Sci. Soc. Amer., Inc. Madison, WI. pp. 21.</w:t>
      </w:r>
    </w:p>
    <w:p>
      <w:pPr>
        <w:pStyle w:val="BodyText"/>
        <w:spacing w:line="360" w:lineRule="auto" w:before="8"/>
        <w:ind w:left="1079" w:right="107" w:hanging="567"/>
        <w:jc w:val="both"/>
      </w:pPr>
      <w:r>
        <w:rPr/>
        <w:t>Stull JW. Brown WH. (1964). Fatty acid composition of milk. II. Some differences in common dairy breeds. J. Dairy Sci. 47: 1412.</w:t>
      </w:r>
    </w:p>
    <w:p>
      <w:pPr>
        <w:pStyle w:val="BodyText"/>
        <w:spacing w:line="362" w:lineRule="auto" w:before="4"/>
        <w:ind w:left="1079" w:right="101" w:hanging="567"/>
        <w:jc w:val="both"/>
      </w:pPr>
      <w:r>
        <w:rPr/>
        <w:t>Sukhija PS. Palmquist DL. (1988). Rapid method for determination of total fatty acid content and composition of feedstuffs and feces. J. Agric. Food Chem. 36: 1202- 1206.</w:t>
      </w:r>
    </w:p>
    <w:p>
      <w:pPr>
        <w:pStyle w:val="BodyText"/>
        <w:spacing w:line="360" w:lineRule="auto" w:before="1"/>
        <w:ind w:left="1079" w:right="120" w:hanging="567"/>
        <w:jc w:val="both"/>
      </w:pPr>
      <w:r>
        <w:rPr/>
        <w:t>Thompson HJ. Zhu Z. Banni S. Darcy K. Loftus T. Ip C. (1997). Morphological and biochemical status of the mammary gland as influenced by conjugated linoleic acid: implication for a reduction in mammary cancer risk. Cancer res. 57: 5067-5072.</w:t>
      </w:r>
    </w:p>
    <w:p>
      <w:pPr>
        <w:pStyle w:val="BodyText"/>
        <w:spacing w:line="355" w:lineRule="auto" w:before="8"/>
        <w:ind w:left="796" w:right="105" w:hanging="284"/>
      </w:pPr>
      <w:r>
        <w:rPr/>
        <w:t>Valk H. (1994). Effects of partial replacement of herbage by maize silage on N-utilization and milk production of dairy cows. Livest. Prod. Sci. 40: 241-250.</w:t>
      </w:r>
    </w:p>
    <w:p>
      <w:pPr>
        <w:pStyle w:val="BodyText"/>
        <w:spacing w:before="9"/>
        <w:rPr>
          <w:sz w:val="18"/>
        </w:rPr>
      </w:pPr>
    </w:p>
    <w:p>
      <w:pPr>
        <w:pStyle w:val="BodyText"/>
        <w:spacing w:line="360" w:lineRule="auto"/>
        <w:ind w:left="1079" w:right="118" w:hanging="567"/>
        <w:jc w:val="both"/>
      </w:pPr>
      <w:r>
        <w:rPr/>
        <w:t>Van Soest PJ. (1977). Plant fiber and its role on herbivore nutrition. The Cornell Veterinarian. 67: 307-326.</w:t>
      </w:r>
    </w:p>
    <w:p>
      <w:pPr>
        <w:pStyle w:val="BodyText"/>
        <w:spacing w:line="362" w:lineRule="auto" w:before="4"/>
        <w:ind w:left="1079" w:right="111" w:hanging="567"/>
        <w:jc w:val="both"/>
      </w:pPr>
      <w:r>
        <w:rPr/>
        <w:t>Van Soest PJ. Robertson JB. Lewis BA. (1991). Methods dietary, neutral detergent fiber and non-starch polysaccharides </w:t>
      </w:r>
      <w:r>
        <w:rPr>
          <w:spacing w:val="-3"/>
        </w:rPr>
        <w:t>in </w:t>
      </w:r>
      <w:r>
        <w:rPr/>
        <w:t>relation to animal nutrition. J. Dairy Sci. 74: 3583- 3597.</w:t>
      </w:r>
    </w:p>
    <w:p>
      <w:pPr>
        <w:pStyle w:val="BodyText"/>
        <w:spacing w:line="360" w:lineRule="auto" w:before="1"/>
        <w:ind w:left="1079" w:right="108" w:hanging="567"/>
        <w:jc w:val="both"/>
      </w:pPr>
      <w:r>
        <w:rPr/>
        <w:t>Velik M. Baumung R. Zollitsch W. Knaus WF. (2007). Effects of partial substitution of concentrates with maize silage in organic dairy cow rations on performance and feed efficiency. J. Sci Food Agric. 87: 2657-2664.</w:t>
      </w:r>
    </w:p>
    <w:p>
      <w:pPr>
        <w:pStyle w:val="BodyText"/>
        <w:spacing w:line="360" w:lineRule="auto" w:before="8"/>
        <w:ind w:left="1079" w:right="112" w:hanging="567"/>
        <w:jc w:val="both"/>
      </w:pPr>
      <w:r>
        <w:rPr/>
        <w:t>Vibart RE. Fellner V. Burns JC. Huntington GB. Green Jr. JT. (2008). Performance of lactating dairy cows fed varying levels of total mixed ration and pasture. J. Dairy Res. 75: 471-480.</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03" w:hanging="567"/>
        <w:jc w:val="both"/>
      </w:pPr>
      <w:r>
        <w:rPr/>
        <w:t>Visonneau SA. Cesano SA. Tepper JA. Scimeca JA. Santoli D. Krichevsky D. (1997). Conjugated linoleic acid suppresses the growth of human breast adenocarcinoma cells in scid mice. Anticancer Res. 17: 969-974.</w:t>
      </w:r>
    </w:p>
    <w:p>
      <w:pPr>
        <w:pStyle w:val="BodyText"/>
        <w:spacing w:line="360" w:lineRule="auto" w:before="8"/>
        <w:ind w:left="1079" w:right="113" w:hanging="567"/>
        <w:jc w:val="both"/>
      </w:pPr>
      <w:r>
        <w:rPr/>
        <w:t>Walstra P. Geurt TJ. Noomen A. Jellema A. Van Boekel M. (2001). Ciencia de la leche y tecnología de los productos lácteos. Marcel Dekker inc. New York. pp. 3-108.</w:t>
      </w:r>
    </w:p>
    <w:p>
      <w:pPr>
        <w:pStyle w:val="BodyText"/>
        <w:spacing w:line="362" w:lineRule="auto" w:before="4"/>
        <w:ind w:left="1079" w:right="108" w:hanging="567"/>
        <w:jc w:val="both"/>
      </w:pPr>
      <w:r>
        <w:rPr/>
        <w:t>Wayne CC. (1964). Symposium on nutrition of forages and pastures: Collecting samples for representative of ingested material of grazing animals for nutritional studies. J. Anim. Sci. 23:</w:t>
      </w:r>
      <w:r>
        <w:rPr>
          <w:spacing w:val="-5"/>
        </w:rPr>
        <w:t> </w:t>
      </w:r>
      <w:r>
        <w:rPr/>
        <w:t>265-270.</w:t>
      </w:r>
    </w:p>
    <w:p>
      <w:pPr>
        <w:pStyle w:val="BodyText"/>
        <w:spacing w:line="350" w:lineRule="auto" w:before="1"/>
        <w:ind w:left="1079" w:right="102" w:hanging="567"/>
        <w:jc w:val="both"/>
      </w:pPr>
      <w:r>
        <w:rPr/>
        <w:t>Weston RH. (1982). Animal factors affecting intake. </w:t>
      </w:r>
      <w:r>
        <w:rPr>
          <w:i/>
        </w:rPr>
        <w:t>In</w:t>
      </w:r>
      <w:r>
        <w:rPr/>
        <w:t>: Nutritional limits to animal production from pastures. JB. Hacker (Ed.). Farnham Royal, UK. Proceedings of an international symposium held at St. Lucia, Queensland, Australian 24-28</w:t>
      </w:r>
      <w:r>
        <w:rPr>
          <w:position w:val="11"/>
          <w:sz w:val="16"/>
        </w:rPr>
        <w:t>th </w:t>
      </w:r>
      <w:r>
        <w:rPr/>
        <w:t>1981. pp. 167-182.</w:t>
      </w:r>
    </w:p>
    <w:p>
      <w:pPr>
        <w:pStyle w:val="BodyText"/>
        <w:spacing w:line="360" w:lineRule="auto" w:before="14"/>
        <w:ind w:left="1079" w:right="107" w:hanging="567"/>
        <w:jc w:val="both"/>
      </w:pPr>
      <w:r>
        <w:rPr/>
        <w:t>White SL. Bertrand JA. Wade MR. Washburn SP. Green JR. Jenkins TC. (2001). Comparison of fatty acid content of milk from Jersey and Holstein cows in early lactation. J. Dairy Sci. 84: 2295-2301.</w:t>
      </w:r>
    </w:p>
    <w:p>
      <w:pPr>
        <w:pStyle w:val="BodyText"/>
        <w:spacing w:line="360" w:lineRule="auto" w:before="8"/>
        <w:ind w:left="1079" w:right="112" w:hanging="567"/>
        <w:jc w:val="both"/>
      </w:pPr>
      <w:r>
        <w:rPr/>
        <w:t>Wijesundera C. Shen Z. Wales WJ. Dalley DE. (2003). Effect of cereal grain and fibers supplements on the fatty acid composition of milk fat of grazing dairy cows in early lactation. J. Dairy Res. 70: 257-265.</w:t>
      </w:r>
    </w:p>
    <w:p>
      <w:pPr>
        <w:pStyle w:val="BodyText"/>
        <w:spacing w:line="362" w:lineRule="auto" w:before="4"/>
        <w:ind w:left="1079" w:right="115" w:hanging="567"/>
        <w:jc w:val="both"/>
      </w:pPr>
      <w:r>
        <w:rPr/>
        <w:t>Williams SM. (2000). Dietary fatty acids and human health. Annales de Zootechnie 49: 165-180.</w:t>
      </w:r>
    </w:p>
    <w:p>
      <w:pPr>
        <w:pStyle w:val="BodyText"/>
        <w:spacing w:line="343" w:lineRule="auto" w:before="1"/>
        <w:ind w:left="1079" w:right="107" w:hanging="567"/>
        <w:jc w:val="both"/>
      </w:pPr>
      <w:r>
        <w:rPr/>
        <w:t>Wright </w:t>
      </w:r>
      <w:r>
        <w:rPr>
          <w:spacing w:val="-3"/>
        </w:rPr>
        <w:t>AJ. </w:t>
      </w:r>
      <w:r>
        <w:rPr/>
        <w:t>Marangoni AG. (2006). Crystallization and rheological properties of </w:t>
      </w:r>
      <w:r>
        <w:rPr>
          <w:spacing w:val="-3"/>
        </w:rPr>
        <w:t>milk </w:t>
      </w:r>
      <w:r>
        <w:rPr/>
        <w:t>fat.  </w:t>
      </w:r>
      <w:r>
        <w:rPr>
          <w:i/>
        </w:rPr>
        <w:t>In</w:t>
      </w:r>
      <w:r>
        <w:rPr/>
        <w:t>: Fox PF. McSweeney PLH. (Eds.). Advanced Dairy Chemistry, Vol. 2: Lipids, 3</w:t>
      </w:r>
      <w:r>
        <w:rPr>
          <w:position w:val="11"/>
          <w:sz w:val="16"/>
        </w:rPr>
        <w:t>rd </w:t>
      </w:r>
      <w:r>
        <w:rPr/>
        <w:t>ed., pp. 245-291.</w:t>
      </w:r>
    </w:p>
    <w:p>
      <w:pPr>
        <w:pStyle w:val="BodyText"/>
        <w:spacing w:line="362" w:lineRule="auto" w:before="22"/>
        <w:ind w:left="1079" w:right="101" w:hanging="567"/>
        <w:jc w:val="both"/>
      </w:pPr>
      <w:r>
        <w:rPr/>
        <w:t>Wright DE. (1961). Lipase activity of rumen micro-organisms. N. Z. J. Agric. Res. 4: 216- 223.</w:t>
      </w:r>
    </w:p>
    <w:p>
      <w:pPr>
        <w:pStyle w:val="BodyText"/>
        <w:spacing w:line="360" w:lineRule="auto" w:before="1"/>
        <w:ind w:left="1079" w:right="102" w:hanging="567"/>
        <w:jc w:val="both"/>
      </w:pPr>
      <w:r>
        <w:rPr/>
        <w:t>Yashodhara BM. Umakanth S. Pappachan JM. Bhat SK. Kamath R. Choo BH. (2009). Omega-3 fatty acids: a comprehensive review of their role </w:t>
      </w:r>
      <w:r>
        <w:rPr>
          <w:spacing w:val="-3"/>
        </w:rPr>
        <w:t>in </w:t>
      </w:r>
      <w:r>
        <w:rPr/>
        <w:t>health and disease. Postgrad Med. J. 85:</w:t>
      </w:r>
      <w:r>
        <w:rPr>
          <w:spacing w:val="57"/>
        </w:rPr>
        <w:t> </w:t>
      </w:r>
      <w:r>
        <w:rPr/>
        <w:t>84-90.</w:t>
      </w:r>
    </w:p>
    <w:p>
      <w:pPr>
        <w:spacing w:after="0" w:line="360" w:lineRule="auto"/>
        <w:jc w:val="both"/>
        <w:sectPr>
          <w:pgSz w:w="12240" w:h="15840"/>
          <w:pgMar w:header="1150" w:footer="1382" w:top="1420" w:bottom="1580" w:left="1360" w:right="1420"/>
        </w:sectPr>
      </w:pPr>
    </w:p>
    <w:p>
      <w:pPr>
        <w:pStyle w:val="BodyText"/>
        <w:spacing w:before="3"/>
        <w:rPr>
          <w:sz w:val="27"/>
        </w:rPr>
      </w:pPr>
    </w:p>
    <w:p>
      <w:pPr>
        <w:pStyle w:val="BodyText"/>
        <w:spacing w:line="360" w:lineRule="auto" w:before="69"/>
        <w:ind w:left="1079" w:right="110" w:hanging="567"/>
        <w:jc w:val="both"/>
      </w:pPr>
      <w:r>
        <w:rPr/>
        <w:t>Yokohama MT. Davis CL. (1971). Hydrogenation of unsaturated fatty acids by </w:t>
      </w:r>
      <w:r>
        <w:rPr>
          <w:i/>
        </w:rPr>
        <w:t>Treponema </w:t>
      </w:r>
      <w:r>
        <w:rPr>
          <w:i/>
        </w:rPr>
        <w:t>(Borrelia) Strain </w:t>
      </w:r>
      <w:r>
        <w:rPr/>
        <w:t>B25, a Rumen Spirochete. J. Bacteriol. 107(2): 519-527.</w:t>
      </w:r>
    </w:p>
    <w:p>
      <w:pPr>
        <w:pStyle w:val="BodyText"/>
        <w:spacing w:line="360" w:lineRule="auto" w:before="4"/>
        <w:ind w:left="1079" w:right="111" w:hanging="567"/>
        <w:jc w:val="both"/>
      </w:pPr>
      <w:r>
        <w:rPr/>
        <w:t>Zegarska A. Jaworski J. Paszczyk B. Charkiewicz J. Borejszo Z. (2001). Fatty acid composition with emphasis on </w:t>
      </w:r>
      <w:r>
        <w:rPr>
          <w:i/>
        </w:rPr>
        <w:t>trans </w:t>
      </w:r>
      <w:r>
        <w:rPr/>
        <w:t>C18:1 isomers of milk fat form Lowland Black- White and Polish Red cows. Polish J. Food Nutr. Sci. 4: 41-44.</w:t>
      </w:r>
    </w:p>
    <w:p>
      <w:pPr>
        <w:spacing w:after="0" w:line="360" w:lineRule="auto"/>
        <w:jc w:val="both"/>
        <w:sectPr>
          <w:pgSz w:w="12240" w:h="15840"/>
          <w:pgMar w:header="1150" w:footer="1382" w:top="1420" w:bottom="1580" w:left="1360" w:right="1420"/>
        </w:sectPr>
      </w:pPr>
    </w:p>
    <w:p>
      <w:pPr>
        <w:pStyle w:val="BodyText"/>
        <w:spacing w:before="8"/>
        <w:rPr>
          <w:sz w:val="27"/>
        </w:rPr>
      </w:pPr>
    </w:p>
    <w:p>
      <w:pPr>
        <w:pStyle w:val="Heading1"/>
        <w:numPr>
          <w:ilvl w:val="0"/>
          <w:numId w:val="10"/>
        </w:numPr>
        <w:tabs>
          <w:tab w:pos="4791" w:val="left" w:leader="none"/>
          <w:tab w:pos="4792" w:val="left" w:leader="none"/>
        </w:tabs>
        <w:spacing w:line="360" w:lineRule="auto" w:before="69" w:after="0"/>
        <w:ind w:left="512" w:right="3511" w:firstLine="3684"/>
        <w:jc w:val="left"/>
      </w:pPr>
      <w:r>
        <w:rPr/>
        <w:drawing>
          <wp:anchor distT="0" distB="0" distL="0" distR="0" allowOverlap="1" layoutInCell="1" locked="0" behindDoc="0" simplePos="0" relativeHeight="1768">
            <wp:simplePos x="0" y="0"/>
            <wp:positionH relativeFrom="page">
              <wp:posOffset>1243330</wp:posOffset>
            </wp:positionH>
            <wp:positionV relativeFrom="paragraph">
              <wp:posOffset>604762</wp:posOffset>
            </wp:positionV>
            <wp:extent cx="5395469" cy="7120128"/>
            <wp:effectExtent l="0" t="0" r="0" b="0"/>
            <wp:wrapTopAndBottom/>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40" cstate="print"/>
                    <a:stretch>
                      <a:fillRect/>
                    </a:stretch>
                  </pic:blipFill>
                  <pic:spPr>
                    <a:xfrm>
                      <a:off x="0" y="0"/>
                      <a:ext cx="5395469" cy="7120128"/>
                    </a:xfrm>
                    <a:prstGeom prst="rect">
                      <a:avLst/>
                    </a:prstGeom>
                  </pic:spPr>
                </pic:pic>
              </a:graphicData>
            </a:graphic>
          </wp:anchor>
        </w:drawing>
      </w:r>
      <w:r>
        <w:rPr/>
        <w:t>ANEXOS Anexo 1. Artículo científico para revista</w:t>
      </w:r>
      <w:r>
        <w:rPr>
          <w:spacing w:val="-17"/>
        </w:rPr>
        <w:t> </w:t>
      </w:r>
      <w:r>
        <w:rPr/>
        <w:t>Agrociencia.</w:t>
      </w:r>
    </w:p>
    <w:p>
      <w:pPr>
        <w:spacing w:after="0" w:line="360" w:lineRule="auto"/>
        <w:jc w:val="left"/>
        <w:sectPr>
          <w:pgSz w:w="12240" w:h="15840"/>
          <w:pgMar w:header="1150" w:footer="1382" w:top="1420" w:bottom="1580" w:left="1360" w:right="1420"/>
        </w:sectPr>
      </w:pPr>
    </w:p>
    <w:p>
      <w:pPr>
        <w:pStyle w:val="BodyText"/>
        <w:spacing w:before="8"/>
        <w:rPr>
          <w:b/>
          <w:sz w:val="27"/>
        </w:rPr>
      </w:pPr>
    </w:p>
    <w:p>
      <w:pPr>
        <w:spacing w:line="480" w:lineRule="auto" w:before="69"/>
        <w:ind w:left="522" w:right="126" w:firstLine="0"/>
        <w:jc w:val="center"/>
        <w:rPr>
          <w:b/>
          <w:sz w:val="24"/>
        </w:rPr>
      </w:pPr>
      <w:r>
        <w:rPr>
          <w:b/>
          <w:sz w:val="24"/>
        </w:rPr>
        <w:t>EFECTO DEL NIVEL DE CONCENTRADO SOBRE PERFIL DE ÁCIDOS GRASOS DE LA LECHE DE VACAS HOLSTEIN EN PASTOREO</w:t>
      </w:r>
    </w:p>
    <w:p>
      <w:pPr>
        <w:pStyle w:val="BodyText"/>
        <w:spacing w:line="480" w:lineRule="auto" w:before="5"/>
        <w:ind w:left="522" w:right="126"/>
        <w:jc w:val="center"/>
      </w:pPr>
      <w:r>
        <w:rPr/>
        <w:t>EFFECT OF LEVEL OF CONCENTRATE ON MILK FATTY ACID PROFILE FROM HOLSTEIN COWS IN GRAZING</w:t>
      </w:r>
    </w:p>
    <w:p>
      <w:pPr>
        <w:spacing w:line="287" w:lineRule="exact" w:before="0"/>
        <w:ind w:left="524" w:right="126" w:firstLine="0"/>
        <w:jc w:val="center"/>
        <w:rPr>
          <w:sz w:val="24"/>
        </w:rPr>
      </w:pPr>
      <w:r>
        <w:rPr>
          <w:sz w:val="24"/>
        </w:rPr>
        <w:t>Horacio </w:t>
      </w:r>
      <w:r>
        <w:rPr>
          <w:b/>
          <w:sz w:val="24"/>
        </w:rPr>
        <w:t>Castro-Hernández</w:t>
      </w:r>
      <w:r>
        <w:rPr>
          <w:position w:val="11"/>
          <w:sz w:val="16"/>
        </w:rPr>
        <w:t>1</w:t>
      </w:r>
      <w:r>
        <w:rPr>
          <w:sz w:val="24"/>
        </w:rPr>
        <w:t>, Francisco Filiberto </w:t>
      </w:r>
      <w:r>
        <w:rPr>
          <w:b/>
          <w:sz w:val="24"/>
        </w:rPr>
        <w:t>González Martínez</w:t>
      </w:r>
      <w:r>
        <w:rPr>
          <w:position w:val="11"/>
          <w:sz w:val="16"/>
        </w:rPr>
        <w:t>1</w:t>
      </w:r>
      <w:r>
        <w:rPr>
          <w:sz w:val="24"/>
        </w:rPr>
        <w:t>, Ignacio Arturo</w:t>
      </w:r>
    </w:p>
    <w:p>
      <w:pPr>
        <w:spacing w:line="484" w:lineRule="auto" w:before="240"/>
        <w:ind w:left="524" w:right="111" w:firstLine="0"/>
        <w:jc w:val="center"/>
        <w:rPr>
          <w:b/>
          <w:sz w:val="24"/>
        </w:rPr>
      </w:pPr>
      <w:r>
        <w:rPr>
          <w:b/>
          <w:sz w:val="24"/>
        </w:rPr>
        <w:t>Domínguez-Vara</w:t>
      </w:r>
      <w:r>
        <w:rPr>
          <w:position w:val="11"/>
          <w:sz w:val="16"/>
        </w:rPr>
        <w:t>1</w:t>
      </w:r>
      <w:r>
        <w:rPr>
          <w:sz w:val="24"/>
        </w:rPr>
        <w:t>, Juan Manuel </w:t>
      </w:r>
      <w:r>
        <w:rPr>
          <w:b/>
          <w:sz w:val="24"/>
        </w:rPr>
        <w:t>Pinos Rodríguez</w:t>
      </w:r>
      <w:r>
        <w:rPr>
          <w:position w:val="11"/>
          <w:sz w:val="16"/>
        </w:rPr>
        <w:t>2</w:t>
      </w:r>
      <w:r>
        <w:rPr>
          <w:sz w:val="24"/>
        </w:rPr>
        <w:t>, Ernesto </w:t>
      </w:r>
      <w:r>
        <w:rPr>
          <w:b/>
          <w:sz w:val="24"/>
        </w:rPr>
        <w:t>Morales-Almaráz</w:t>
      </w:r>
      <w:r>
        <w:rPr>
          <w:position w:val="11"/>
          <w:sz w:val="16"/>
        </w:rPr>
        <w:t>1* </w:t>
      </w:r>
      <w:r>
        <w:rPr>
          <w:b/>
          <w:sz w:val="24"/>
        </w:rPr>
        <w:t>RESUMEN</w:t>
      </w:r>
    </w:p>
    <w:p>
      <w:pPr>
        <w:pStyle w:val="BodyText"/>
        <w:spacing w:line="480" w:lineRule="auto"/>
        <w:ind w:left="512" w:right="100"/>
        <w:jc w:val="both"/>
      </w:pPr>
      <w:r>
        <w:rPr/>
        <w:t>El contenido de ácido linoléico conjugado (CLA c9 t11) en leche depende  mayoritariamente de </w:t>
      </w:r>
      <w:r>
        <w:rPr>
          <w:spacing w:val="-5"/>
        </w:rPr>
        <w:t>la </w:t>
      </w:r>
      <w:r>
        <w:rPr/>
        <w:t>producción en rumen de ácido vaccénico, este está influenciado por el aporte de los ácidos linoléico y linolénico con </w:t>
      </w:r>
      <w:r>
        <w:rPr>
          <w:spacing w:val="-5"/>
        </w:rPr>
        <w:t>la </w:t>
      </w:r>
      <w:r>
        <w:rPr/>
        <w:t>dieta. El objetivo de este estudio </w:t>
      </w:r>
      <w:r>
        <w:rPr>
          <w:spacing w:val="-3"/>
        </w:rPr>
        <w:t>fue </w:t>
      </w:r>
      <w:r>
        <w:rPr/>
        <w:t>evaluar el efecto del nivel de concentrado sobre </w:t>
      </w:r>
      <w:r>
        <w:rPr>
          <w:spacing w:val="-3"/>
        </w:rPr>
        <w:t>la </w:t>
      </w:r>
      <w:r>
        <w:rPr/>
        <w:t>producción, composición y perfil de ácidos grasos de </w:t>
      </w:r>
      <w:r>
        <w:rPr>
          <w:spacing w:val="-5"/>
        </w:rPr>
        <w:t>la </w:t>
      </w:r>
      <w:r>
        <w:rPr/>
        <w:t>leche de nueve vacas Holstein en praderas asociadas de gramíneas y leguminosas. El diseño experimental </w:t>
      </w:r>
      <w:r>
        <w:rPr>
          <w:spacing w:val="-3"/>
        </w:rPr>
        <w:t>fue </w:t>
      </w:r>
      <w:r>
        <w:rPr/>
        <w:t>un cuadro latino 3 x 3 y los tratamientos fueron: 1) 8</w:t>
      </w:r>
      <w:r>
        <w:rPr>
          <w:spacing w:val="11"/>
        </w:rPr>
        <w:t> </w:t>
      </w:r>
      <w:r>
        <w:rPr/>
        <w:t>kg</w:t>
      </w:r>
      <w:r>
        <w:rPr>
          <w:spacing w:val="11"/>
        </w:rPr>
        <w:t> </w:t>
      </w:r>
      <w:r>
        <w:rPr/>
        <w:t>concentrado</w:t>
      </w:r>
      <w:r>
        <w:rPr>
          <w:spacing w:val="11"/>
        </w:rPr>
        <w:t> </w:t>
      </w:r>
      <w:r>
        <w:rPr/>
        <w:t>y</w:t>
      </w:r>
      <w:r>
        <w:rPr>
          <w:spacing w:val="2"/>
        </w:rPr>
        <w:t> </w:t>
      </w:r>
      <w:r>
        <w:rPr/>
        <w:t>8</w:t>
      </w:r>
      <w:r>
        <w:rPr>
          <w:spacing w:val="14"/>
        </w:rPr>
        <w:t> </w:t>
      </w:r>
      <w:r>
        <w:rPr/>
        <w:t>h</w:t>
      </w:r>
      <w:r>
        <w:rPr>
          <w:spacing w:val="6"/>
        </w:rPr>
        <w:t> </w:t>
      </w:r>
      <w:r>
        <w:rPr/>
        <w:t>en</w:t>
      </w:r>
      <w:r>
        <w:rPr>
          <w:spacing w:val="11"/>
        </w:rPr>
        <w:t> </w:t>
      </w:r>
      <w:r>
        <w:rPr>
          <w:spacing w:val="-3"/>
        </w:rPr>
        <w:t>la</w:t>
      </w:r>
      <w:r>
        <w:rPr>
          <w:spacing w:val="10"/>
        </w:rPr>
        <w:t> </w:t>
      </w:r>
      <w:r>
        <w:rPr/>
        <w:t>pradera</w:t>
      </w:r>
      <w:r>
        <w:rPr>
          <w:spacing w:val="10"/>
        </w:rPr>
        <w:t> </w:t>
      </w:r>
      <w:r>
        <w:rPr/>
        <w:t>(</w:t>
      </w:r>
      <w:r>
        <w:rPr>
          <w:b/>
        </w:rPr>
        <w:t>8c</w:t>
      </w:r>
      <w:r>
        <w:rPr/>
        <w:t>);</w:t>
      </w:r>
      <w:r>
        <w:rPr>
          <w:spacing w:val="7"/>
        </w:rPr>
        <w:t> </w:t>
      </w:r>
      <w:r>
        <w:rPr/>
        <w:t>2)</w:t>
      </w:r>
      <w:r>
        <w:rPr>
          <w:spacing w:val="13"/>
        </w:rPr>
        <w:t> </w:t>
      </w:r>
      <w:r>
        <w:rPr/>
        <w:t>5</w:t>
      </w:r>
      <w:r>
        <w:rPr>
          <w:spacing w:val="11"/>
        </w:rPr>
        <w:t> </w:t>
      </w:r>
      <w:r>
        <w:rPr/>
        <w:t>kg</w:t>
      </w:r>
      <w:r>
        <w:rPr>
          <w:spacing w:val="6"/>
        </w:rPr>
        <w:t> </w:t>
      </w:r>
      <w:r>
        <w:rPr/>
        <w:t>concentrado</w:t>
      </w:r>
      <w:r>
        <w:rPr>
          <w:spacing w:val="16"/>
        </w:rPr>
        <w:t> </w:t>
      </w:r>
      <w:r>
        <w:rPr/>
        <w:t>y</w:t>
      </w:r>
      <w:r>
        <w:rPr>
          <w:spacing w:val="2"/>
        </w:rPr>
        <w:t> </w:t>
      </w:r>
      <w:r>
        <w:rPr/>
        <w:t>12</w:t>
      </w:r>
      <w:r>
        <w:rPr>
          <w:spacing w:val="11"/>
        </w:rPr>
        <w:t> </w:t>
      </w:r>
      <w:r>
        <w:rPr/>
        <w:t>h</w:t>
      </w:r>
      <w:r>
        <w:rPr>
          <w:spacing w:val="6"/>
        </w:rPr>
        <w:t> </w:t>
      </w:r>
      <w:r>
        <w:rPr/>
        <w:t>en</w:t>
      </w:r>
      <w:r>
        <w:rPr>
          <w:spacing w:val="11"/>
        </w:rPr>
        <w:t> </w:t>
      </w:r>
      <w:r>
        <w:rPr>
          <w:spacing w:val="-5"/>
        </w:rPr>
        <w:t>la</w:t>
      </w:r>
      <w:r>
        <w:rPr>
          <w:spacing w:val="10"/>
        </w:rPr>
        <w:t> </w:t>
      </w:r>
      <w:r>
        <w:rPr/>
        <w:t>pradera</w:t>
      </w:r>
      <w:r>
        <w:rPr>
          <w:spacing w:val="10"/>
        </w:rPr>
        <w:t> </w:t>
      </w:r>
      <w:r>
        <w:rPr/>
        <w:t>(</w:t>
      </w:r>
      <w:r>
        <w:rPr>
          <w:b/>
        </w:rPr>
        <w:t>5c</w:t>
      </w:r>
      <w:r>
        <w:rPr/>
        <w:t>),</w:t>
      </w:r>
      <w:r>
        <w:rPr>
          <w:spacing w:val="13"/>
        </w:rPr>
        <w:t> </w:t>
      </w:r>
      <w:r>
        <w:rPr/>
        <w:t>y</w:t>
      </w:r>
    </w:p>
    <w:p>
      <w:pPr>
        <w:pStyle w:val="BodyText"/>
        <w:spacing w:line="480" w:lineRule="auto" w:before="10"/>
        <w:ind w:left="512" w:right="102"/>
        <w:jc w:val="both"/>
      </w:pPr>
      <w:r>
        <w:rPr/>
        <w:t>3) 3 kg de concentrado y 12 h en </w:t>
      </w:r>
      <w:r>
        <w:rPr>
          <w:spacing w:val="-5"/>
        </w:rPr>
        <w:t>la </w:t>
      </w:r>
      <w:r>
        <w:rPr/>
        <w:t>pradera (</w:t>
      </w:r>
      <w:r>
        <w:rPr>
          <w:b/>
        </w:rPr>
        <w:t>3c</w:t>
      </w:r>
      <w:r>
        <w:rPr/>
        <w:t>). Los datos se analizaron con el procedimiento MIXED de SAS y las medias de los de los tratamientos se compararon con </w:t>
      </w:r>
      <w:r>
        <w:rPr>
          <w:spacing w:val="-3"/>
        </w:rPr>
        <w:t>la </w:t>
      </w:r>
      <w:r>
        <w:rPr/>
        <w:t>prueba de Tukey (p ≤ 0.05). La producción de leche y el contenido de grasa, proteína y lactosa fueron mayores (p ≤ 0.05) en el tratamiento 8c. La concentración de los ácidos grasos (AG) láurico, mirístico y palmítico se incrementó (p ≤ 0.05) al aumentar el nivel de concentrado. El contenido de los </w:t>
      </w:r>
      <w:r>
        <w:rPr>
          <w:spacing w:val="-3"/>
        </w:rPr>
        <w:t>AG </w:t>
      </w:r>
      <w:r>
        <w:rPr/>
        <w:t>de cadena larga (≥C18) </w:t>
      </w:r>
      <w:r>
        <w:rPr>
          <w:spacing w:val="-3"/>
        </w:rPr>
        <w:t>fue </w:t>
      </w:r>
      <w:r>
        <w:rPr/>
        <w:t>mayor (p ≤ 0.05) con 3 kg de concentrado, excepto para C18:2 c9c12. La reducción del concentrado suministrado a vacas Holstein en praderas asociadas disminuye  el contenido  de  los </w:t>
      </w:r>
      <w:r>
        <w:rPr>
          <w:spacing w:val="-3"/>
        </w:rPr>
        <w:t>AG  </w:t>
      </w:r>
      <w:r>
        <w:rPr/>
        <w:t>saturados,   </w:t>
      </w:r>
      <w:r>
        <w:rPr>
          <w:spacing w:val="4"/>
        </w:rPr>
        <w:t> </w:t>
      </w:r>
      <w:r>
        <w:rPr/>
        <w:t>pero</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512" w:right="105"/>
      </w:pPr>
      <w:r>
        <w:rPr/>
        <w:t>aumenta el contenido de los insaturados, especialmente de ácidos oleico, linolénico, vaccénico y CLA c9 t11.</w:t>
      </w:r>
    </w:p>
    <w:p>
      <w:pPr>
        <w:spacing w:before="10"/>
        <w:ind w:left="512" w:right="105" w:firstLine="0"/>
        <w:jc w:val="left"/>
        <w:rPr>
          <w:sz w:val="24"/>
        </w:rPr>
      </w:pPr>
      <w:r>
        <w:rPr>
          <w:b/>
          <w:sz w:val="24"/>
        </w:rPr>
        <w:t>Palabras clave: </w:t>
      </w:r>
      <w:r>
        <w:rPr>
          <w:sz w:val="24"/>
        </w:rPr>
        <w:t>Bovinos, ácido linoléico conjugado, leche, pastoreo.</w:t>
      </w:r>
    </w:p>
    <w:p>
      <w:pPr>
        <w:pStyle w:val="BodyText"/>
      </w:pPr>
    </w:p>
    <w:p>
      <w:pPr>
        <w:pStyle w:val="BodyText"/>
      </w:pPr>
    </w:p>
    <w:p>
      <w:pPr>
        <w:pStyle w:val="BodyText"/>
        <w:spacing w:before="5"/>
      </w:pPr>
    </w:p>
    <w:p>
      <w:pPr>
        <w:pStyle w:val="Heading1"/>
        <w:spacing w:before="0"/>
        <w:ind w:left="524" w:right="124" w:firstLine="0"/>
        <w:jc w:val="center"/>
      </w:pPr>
      <w:r>
        <w:rPr/>
        <w:t>INTRODUCCIÓN</w:t>
      </w:r>
    </w:p>
    <w:p>
      <w:pPr>
        <w:pStyle w:val="BodyText"/>
        <w:spacing w:before="6"/>
        <w:rPr>
          <w:b/>
          <w:sz w:val="23"/>
        </w:rPr>
      </w:pPr>
    </w:p>
    <w:p>
      <w:pPr>
        <w:pStyle w:val="BodyText"/>
        <w:spacing w:line="480" w:lineRule="auto"/>
        <w:ind w:left="512" w:right="104" w:firstLine="302"/>
        <w:jc w:val="both"/>
      </w:pPr>
      <w:r>
        <w:rPr/>
        <w:t>La grasa de </w:t>
      </w:r>
      <w:r>
        <w:rPr>
          <w:spacing w:val="-3"/>
        </w:rPr>
        <w:t>la </w:t>
      </w:r>
      <w:r>
        <w:rPr/>
        <w:t>leche contiene 70 a 75% de ácidos grasos (AG) saturados (AGS) (Lock y Shingfield, 2004), los cuales están relacionados con efectos hipercolesteromiantes y enfermedades cardiacas, en especial los ácidos láurico, mirístico y palmítico (Williams, 2000). La grasa de </w:t>
      </w:r>
      <w:r>
        <w:rPr>
          <w:spacing w:val="-5"/>
        </w:rPr>
        <w:t>la </w:t>
      </w:r>
      <w:r>
        <w:rPr/>
        <w:t>leche contiene </w:t>
      </w:r>
      <w:r>
        <w:rPr>
          <w:spacing w:val="-3"/>
        </w:rPr>
        <w:t>AG </w:t>
      </w:r>
      <w:r>
        <w:rPr/>
        <w:t>poliinsaturados (AGPI) (Lock y Shingfield, 2004) y el ácido linoleico tiene una acción hipocolesteromiante en seres humanos (Grundy, 1994). El ácido linoleico conjugado, específicamente el isómero C18:2 </w:t>
      </w:r>
      <w:r>
        <w:rPr>
          <w:i/>
        </w:rPr>
        <w:t>cis9 tras11 </w:t>
      </w:r>
      <w:r>
        <w:rPr/>
        <w:t>(ruménico), muestra propiedades anticarcinogénicas en modelos animales (Ip </w:t>
      </w:r>
      <w:r>
        <w:rPr>
          <w:i/>
        </w:rPr>
        <w:t>et al</w:t>
      </w:r>
      <w:r>
        <w:rPr/>
        <w:t>., 1994; Corl </w:t>
      </w:r>
      <w:r>
        <w:rPr>
          <w:i/>
        </w:rPr>
        <w:t>et al</w:t>
      </w:r>
      <w:r>
        <w:rPr/>
        <w:t>., 2003) y posiblemente en humanos (Belury, 2002). Por </w:t>
      </w:r>
      <w:r>
        <w:rPr>
          <w:spacing w:val="-5"/>
        </w:rPr>
        <w:t>lo </w:t>
      </w:r>
      <w:r>
        <w:rPr/>
        <w:t>tanto, es importante aumentar </w:t>
      </w:r>
      <w:r>
        <w:rPr>
          <w:spacing w:val="-3"/>
        </w:rPr>
        <w:t>la </w:t>
      </w:r>
      <w:r>
        <w:rPr/>
        <w:t>concentración de AGPI y disminuir </w:t>
      </w:r>
      <w:r>
        <w:rPr>
          <w:spacing w:val="-3"/>
        </w:rPr>
        <w:t>la </w:t>
      </w:r>
      <w:r>
        <w:rPr/>
        <w:t>de AGS en </w:t>
      </w:r>
      <w:r>
        <w:rPr>
          <w:spacing w:val="-3"/>
        </w:rPr>
        <w:t>la </w:t>
      </w:r>
      <w:r>
        <w:rPr/>
        <w:t>leche, productos lácteos y otros alimentos para consumo</w:t>
      </w:r>
      <w:r>
        <w:rPr>
          <w:spacing w:val="-18"/>
        </w:rPr>
        <w:t> </w:t>
      </w:r>
      <w:r>
        <w:rPr/>
        <w:t>humano.</w:t>
      </w:r>
    </w:p>
    <w:p>
      <w:pPr>
        <w:pStyle w:val="BodyText"/>
        <w:spacing w:line="480" w:lineRule="auto" w:before="10"/>
        <w:ind w:left="512" w:right="103" w:firstLine="302"/>
        <w:jc w:val="both"/>
      </w:pPr>
      <w:r>
        <w:rPr/>
        <w:t>El perfil lipídico de </w:t>
      </w:r>
      <w:r>
        <w:rPr>
          <w:spacing w:val="-5"/>
        </w:rPr>
        <w:t>la </w:t>
      </w:r>
      <w:r>
        <w:rPr/>
        <w:t>leche es afectado por </w:t>
      </w:r>
      <w:r>
        <w:rPr>
          <w:spacing w:val="-5"/>
        </w:rPr>
        <w:t>la </w:t>
      </w:r>
      <w:r>
        <w:rPr/>
        <w:t>dieta consumida (Shingfield </w:t>
      </w:r>
      <w:r>
        <w:rPr>
          <w:i/>
        </w:rPr>
        <w:t>et al</w:t>
      </w:r>
      <w:r>
        <w:rPr/>
        <w:t>., 2005), </w:t>
      </w:r>
      <w:r>
        <w:rPr>
          <w:spacing w:val="-3"/>
        </w:rPr>
        <w:t>la </w:t>
      </w:r>
      <w:r>
        <w:rPr/>
        <w:t>raza animal (Carroll </w:t>
      </w:r>
      <w:r>
        <w:rPr>
          <w:i/>
        </w:rPr>
        <w:t>et al</w:t>
      </w:r>
      <w:r>
        <w:rPr/>
        <w:t>., 2006), </w:t>
      </w:r>
      <w:r>
        <w:rPr>
          <w:spacing w:val="-5"/>
        </w:rPr>
        <w:t>la </w:t>
      </w:r>
      <w:r>
        <w:rPr/>
        <w:t>época del año (Lock y Garnsworthy, 2003), o </w:t>
      </w:r>
      <w:r>
        <w:rPr>
          <w:spacing w:val="-5"/>
        </w:rPr>
        <w:t>la </w:t>
      </w:r>
      <w:r>
        <w:rPr/>
        <w:t>etapa de lactancia (Auldist </w:t>
      </w:r>
      <w:r>
        <w:rPr>
          <w:i/>
        </w:rPr>
        <w:t>et al</w:t>
      </w:r>
      <w:r>
        <w:rPr/>
        <w:t>., 1998). La dieta tiene un efecto principal sobre </w:t>
      </w:r>
      <w:r>
        <w:rPr>
          <w:spacing w:val="-3"/>
        </w:rPr>
        <w:t>la </w:t>
      </w:r>
      <w:r>
        <w:rPr/>
        <w:t>variación del perfil de </w:t>
      </w:r>
      <w:r>
        <w:rPr>
          <w:spacing w:val="-3"/>
        </w:rPr>
        <w:t>AG </w:t>
      </w:r>
      <w:r>
        <w:rPr/>
        <w:t>en </w:t>
      </w:r>
      <w:r>
        <w:rPr>
          <w:spacing w:val="-3"/>
        </w:rPr>
        <w:t>la </w:t>
      </w:r>
      <w:r>
        <w:rPr/>
        <w:t>leche, el cual se puede modificar incrementando </w:t>
      </w:r>
      <w:r>
        <w:rPr>
          <w:spacing w:val="-5"/>
        </w:rPr>
        <w:t>la </w:t>
      </w:r>
      <w:r>
        <w:rPr/>
        <w:t>concentración de AGPI con el pastoreo (Kelly </w:t>
      </w:r>
      <w:r>
        <w:rPr>
          <w:i/>
        </w:rPr>
        <w:t>et al</w:t>
      </w:r>
      <w:r>
        <w:rPr/>
        <w:t>., 1998), con el tipo de ensilado utilizado (Dewhurst </w:t>
      </w:r>
      <w:r>
        <w:rPr>
          <w:i/>
        </w:rPr>
        <w:t>et al</w:t>
      </w:r>
      <w:r>
        <w:rPr/>
        <w:t>., 2003), </w:t>
      </w:r>
      <w:r>
        <w:rPr>
          <w:spacing w:val="-5"/>
        </w:rPr>
        <w:t>la </w:t>
      </w:r>
      <w:r>
        <w:rPr/>
        <w:t>cantidad de concentrado en </w:t>
      </w:r>
      <w:r>
        <w:rPr>
          <w:spacing w:val="-5"/>
        </w:rPr>
        <w:t>la </w:t>
      </w:r>
      <w:r>
        <w:rPr/>
        <w:t>dieta (Bargo </w:t>
      </w:r>
      <w:r>
        <w:rPr>
          <w:i/>
        </w:rPr>
        <w:t>et al</w:t>
      </w:r>
      <w:r>
        <w:rPr/>
        <w:t>., 2006), </w:t>
      </w:r>
      <w:r>
        <w:rPr>
          <w:spacing w:val="-5"/>
        </w:rPr>
        <w:t>la </w:t>
      </w:r>
      <w:r>
        <w:rPr/>
        <w:t>fuente de granos (Wijesundera</w:t>
      </w:r>
      <w:r>
        <w:rPr>
          <w:spacing w:val="18"/>
        </w:rPr>
        <w:t> </w:t>
      </w:r>
      <w:r>
        <w:rPr>
          <w:i/>
        </w:rPr>
        <w:t>et</w:t>
      </w:r>
      <w:r>
        <w:rPr>
          <w:i/>
          <w:spacing w:val="18"/>
        </w:rPr>
        <w:t> </w:t>
      </w:r>
      <w:r>
        <w:rPr>
          <w:i/>
        </w:rPr>
        <w:t>al</w:t>
      </w:r>
      <w:r>
        <w:rPr/>
        <w:t>.,</w:t>
      </w:r>
      <w:r>
        <w:rPr>
          <w:spacing w:val="15"/>
        </w:rPr>
        <w:t> </w:t>
      </w:r>
      <w:r>
        <w:rPr/>
        <w:t>2003),</w:t>
      </w:r>
      <w:r>
        <w:rPr>
          <w:spacing w:val="15"/>
        </w:rPr>
        <w:t> </w:t>
      </w:r>
      <w:r>
        <w:rPr/>
        <w:t>el</w:t>
      </w:r>
      <w:r>
        <w:rPr>
          <w:spacing w:val="9"/>
        </w:rPr>
        <w:t> </w:t>
      </w:r>
      <w:r>
        <w:rPr/>
        <w:t>suministro</w:t>
      </w:r>
      <w:r>
        <w:rPr>
          <w:spacing w:val="22"/>
        </w:rPr>
        <w:t> </w:t>
      </w:r>
      <w:r>
        <w:rPr/>
        <w:t>de</w:t>
      </w:r>
      <w:r>
        <w:rPr>
          <w:spacing w:val="12"/>
        </w:rPr>
        <w:t> </w:t>
      </w:r>
      <w:r>
        <w:rPr/>
        <w:t>aceites</w:t>
      </w:r>
      <w:r>
        <w:rPr>
          <w:spacing w:val="16"/>
        </w:rPr>
        <w:t> </w:t>
      </w:r>
      <w:r>
        <w:rPr/>
        <w:t>de</w:t>
      </w:r>
      <w:r>
        <w:rPr>
          <w:spacing w:val="17"/>
        </w:rPr>
        <w:t> </w:t>
      </w:r>
      <w:r>
        <w:rPr/>
        <w:t>oleaginosas</w:t>
      </w:r>
      <w:r>
        <w:rPr>
          <w:spacing w:val="16"/>
        </w:rPr>
        <w:t> </w:t>
      </w:r>
      <w:r>
        <w:rPr/>
        <w:t>(Khanal</w:t>
      </w:r>
      <w:r>
        <w:rPr>
          <w:spacing w:val="22"/>
        </w:rPr>
        <w:t> </w:t>
      </w:r>
      <w:r>
        <w:rPr>
          <w:i/>
        </w:rPr>
        <w:t>et</w:t>
      </w:r>
      <w:r>
        <w:rPr>
          <w:i/>
          <w:spacing w:val="18"/>
        </w:rPr>
        <w:t> </w:t>
      </w:r>
      <w:r>
        <w:rPr>
          <w:i/>
        </w:rPr>
        <w:t>al</w:t>
      </w:r>
      <w:r>
        <w:rPr/>
        <w:t>.,</w:t>
      </w:r>
      <w:r>
        <w:rPr>
          <w:spacing w:val="15"/>
        </w:rPr>
        <w:t> </w:t>
      </w:r>
      <w:r>
        <w:rPr/>
        <w:t>2002)</w:t>
      </w:r>
      <w:r>
        <w:rPr>
          <w:spacing w:val="10"/>
        </w:rPr>
        <w:t> </w:t>
      </w:r>
      <w:r>
        <w:rPr/>
        <w:t>o</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512" w:right="100"/>
        <w:jc w:val="both"/>
      </w:pPr>
      <w:r>
        <w:rPr/>
        <w:t>de aceites de pescado (Abu-Ghazaleh </w:t>
      </w:r>
      <w:r>
        <w:rPr>
          <w:i/>
        </w:rPr>
        <w:t>et al</w:t>
      </w:r>
      <w:r>
        <w:rPr/>
        <w:t>., 2003). En México se </w:t>
      </w:r>
      <w:r>
        <w:rPr>
          <w:spacing w:val="-3"/>
        </w:rPr>
        <w:t>ha </w:t>
      </w:r>
      <w:r>
        <w:rPr/>
        <w:t>evaluado el efecto de  </w:t>
      </w:r>
      <w:r>
        <w:rPr>
          <w:spacing w:val="-3"/>
        </w:rPr>
        <w:t>la </w:t>
      </w:r>
      <w:r>
        <w:rPr/>
        <w:t>alimentación sobre </w:t>
      </w:r>
      <w:r>
        <w:rPr>
          <w:spacing w:val="-3"/>
        </w:rPr>
        <w:t>la </w:t>
      </w:r>
      <w:r>
        <w:rPr/>
        <w:t>composición química de </w:t>
      </w:r>
      <w:r>
        <w:rPr>
          <w:spacing w:val="-5"/>
        </w:rPr>
        <w:t>la </w:t>
      </w:r>
      <w:r>
        <w:rPr/>
        <w:t>leche (Arriaga-Jordan </w:t>
      </w:r>
      <w:r>
        <w:rPr>
          <w:i/>
        </w:rPr>
        <w:t>et al., </w:t>
      </w:r>
      <w:r>
        <w:rPr/>
        <w:t>2002; Heredia-Nava </w:t>
      </w:r>
      <w:r>
        <w:rPr>
          <w:i/>
        </w:rPr>
        <w:t>et al., </w:t>
      </w:r>
      <w:r>
        <w:rPr/>
        <w:t>2007), </w:t>
      </w:r>
      <w:r>
        <w:rPr>
          <w:spacing w:val="-3"/>
        </w:rPr>
        <w:t>pero </w:t>
      </w:r>
      <w:r>
        <w:rPr/>
        <w:t>en </w:t>
      </w:r>
      <w:r>
        <w:rPr>
          <w:spacing w:val="-5"/>
        </w:rPr>
        <w:t>la </w:t>
      </w:r>
      <w:r>
        <w:rPr/>
        <w:t>literatura revisada hay poca información sobre </w:t>
      </w:r>
      <w:r>
        <w:rPr>
          <w:spacing w:val="4"/>
        </w:rPr>
        <w:t>el </w:t>
      </w:r>
      <w:r>
        <w:rPr/>
        <w:t>contenido de </w:t>
      </w:r>
      <w:r>
        <w:rPr>
          <w:spacing w:val="-3"/>
        </w:rPr>
        <w:t>AG </w:t>
      </w:r>
      <w:r>
        <w:rPr/>
        <w:t>en </w:t>
      </w:r>
      <w:r>
        <w:rPr>
          <w:spacing w:val="-3"/>
        </w:rPr>
        <w:t>la </w:t>
      </w:r>
      <w:r>
        <w:rPr/>
        <w:t>leche, así como de su modificación mediante estrategias de alimentación. La presente investigación tuvo el objetivo de evaluar el efecto de tres niveles de concentrado y el tiempo de acceso a </w:t>
      </w:r>
      <w:r>
        <w:rPr>
          <w:spacing w:val="-3"/>
        </w:rPr>
        <w:t>la </w:t>
      </w:r>
      <w:r>
        <w:rPr/>
        <w:t>pradera sobre </w:t>
      </w:r>
      <w:r>
        <w:rPr>
          <w:spacing w:val="-5"/>
        </w:rPr>
        <w:t>la </w:t>
      </w:r>
      <w:r>
        <w:rPr/>
        <w:t>producción, composición y perfil de </w:t>
      </w:r>
      <w:r>
        <w:rPr>
          <w:spacing w:val="-3"/>
        </w:rPr>
        <w:t>AG </w:t>
      </w:r>
      <w:r>
        <w:rPr/>
        <w:t>de </w:t>
      </w:r>
      <w:r>
        <w:rPr>
          <w:spacing w:val="-5"/>
        </w:rPr>
        <w:t>la </w:t>
      </w:r>
      <w:r>
        <w:rPr/>
        <w:t>leche de vacas Holstein en el Valle de Toluca,</w:t>
      </w:r>
      <w:r>
        <w:rPr>
          <w:spacing w:val="3"/>
        </w:rPr>
        <w:t> </w:t>
      </w:r>
      <w:r>
        <w:rPr/>
        <w:t>México.</w:t>
      </w:r>
    </w:p>
    <w:p>
      <w:pPr>
        <w:pStyle w:val="Heading1"/>
        <w:spacing w:before="15"/>
        <w:ind w:left="524" w:right="122" w:firstLine="0"/>
        <w:jc w:val="center"/>
      </w:pPr>
      <w:r>
        <w:rPr/>
        <w:t>MATERIALES Y MÉTODOS</w:t>
      </w:r>
    </w:p>
    <w:p>
      <w:pPr>
        <w:pStyle w:val="BodyText"/>
        <w:rPr>
          <w:b/>
        </w:rPr>
      </w:pPr>
    </w:p>
    <w:p>
      <w:pPr>
        <w:spacing w:before="0"/>
        <w:ind w:left="524" w:right="121" w:firstLine="0"/>
        <w:jc w:val="center"/>
        <w:rPr>
          <w:b/>
          <w:sz w:val="24"/>
        </w:rPr>
      </w:pPr>
      <w:r>
        <w:rPr>
          <w:b/>
          <w:sz w:val="24"/>
        </w:rPr>
        <w:t>Zona de estudio</w:t>
      </w:r>
    </w:p>
    <w:p>
      <w:pPr>
        <w:pStyle w:val="BodyText"/>
        <w:spacing w:before="6"/>
        <w:rPr>
          <w:b/>
          <w:sz w:val="23"/>
        </w:rPr>
      </w:pPr>
    </w:p>
    <w:p>
      <w:pPr>
        <w:pStyle w:val="BodyText"/>
        <w:spacing w:line="480" w:lineRule="auto"/>
        <w:ind w:left="512" w:right="114" w:firstLine="302"/>
        <w:jc w:val="both"/>
      </w:pPr>
      <w:r>
        <w:rPr/>
        <w:t>El experimento se realizó durante mayo y junio de 2011, en la Facultad de Medicina Veterinaria y Zootecnia de la Universidad Autónoma del Estado de México, ubicada a 19° 24’ 48’’ O, 99° 40’ 45’’ N y una altitud de 2632 m (INEGI, 2003). El clima es templado subhúmedo con lluvias en verano, clasificado como Cb (W2) (W2) (García, 1987).</w:t>
      </w:r>
    </w:p>
    <w:p>
      <w:pPr>
        <w:pStyle w:val="Heading1"/>
        <w:spacing w:before="15"/>
        <w:ind w:left="524" w:right="125" w:firstLine="0"/>
        <w:jc w:val="center"/>
      </w:pPr>
      <w:r>
        <w:rPr/>
        <w:t>Animales, dieta y tratamientos</w:t>
      </w:r>
    </w:p>
    <w:p>
      <w:pPr>
        <w:pStyle w:val="BodyText"/>
        <w:spacing w:before="6"/>
        <w:rPr>
          <w:b/>
          <w:sz w:val="20"/>
        </w:rPr>
      </w:pPr>
    </w:p>
    <w:p>
      <w:pPr>
        <w:pStyle w:val="BodyText"/>
        <w:spacing w:line="480" w:lineRule="auto"/>
        <w:ind w:left="512" w:right="105" w:firstLine="302"/>
        <w:jc w:val="both"/>
        <w:rPr>
          <w:i/>
        </w:rPr>
      </w:pPr>
      <w:r>
        <w:rPr/>
        <w:t>Nueve vacas Holstein multíparas (22.6 ±4.0 </w:t>
      </w:r>
      <w:r>
        <w:rPr>
          <w:spacing w:val="-3"/>
        </w:rPr>
        <w:t>kg </w:t>
      </w:r>
      <w:r>
        <w:rPr/>
        <w:t>leche </w:t>
      </w:r>
      <w:r>
        <w:rPr>
          <w:spacing w:val="2"/>
        </w:rPr>
        <w:t>d</w:t>
      </w:r>
      <w:r>
        <w:rPr>
          <w:spacing w:val="2"/>
          <w:position w:val="11"/>
          <w:sz w:val="16"/>
        </w:rPr>
        <w:t>-1 </w:t>
      </w:r>
      <w:r>
        <w:rPr/>
        <w:t>y 99.0 ±42.0 d en lactancia) fueron agrupadas en un diseño 3x3 con tres periodos experimentales. La alimentación de  las vacas estuvo basada en un sistema de producción mixto con tiempos de acceso al pastoreo y complementación de ensilado de </w:t>
      </w:r>
      <w:r>
        <w:rPr>
          <w:spacing w:val="-3"/>
        </w:rPr>
        <w:t>maíz </w:t>
      </w:r>
      <w:r>
        <w:rPr/>
        <w:t>y concentrado en el establo. El pastoreo fue rotacional en praderas polífitas de 2.5 ha. Las especies predominantes fueron </w:t>
      </w:r>
      <w:r>
        <w:rPr>
          <w:i/>
        </w:rPr>
        <w:t>Lolium </w:t>
      </w:r>
      <w:r>
        <w:rPr>
          <w:i/>
        </w:rPr>
        <w:t>perenne</w:t>
      </w:r>
      <w:r>
        <w:rPr/>
        <w:t>,   </w:t>
      </w:r>
      <w:r>
        <w:rPr>
          <w:i/>
        </w:rPr>
        <w:t>Trifolium   repens</w:t>
      </w:r>
      <w:r>
        <w:rPr/>
        <w:t>,   </w:t>
      </w:r>
      <w:r>
        <w:rPr>
          <w:i/>
        </w:rPr>
        <w:t>Festuca   arundinacea</w:t>
      </w:r>
      <w:r>
        <w:rPr/>
        <w:t>,   </w:t>
      </w:r>
      <w:r>
        <w:rPr>
          <w:i/>
        </w:rPr>
        <w:t>Dactylis   glomerata   </w:t>
      </w:r>
      <w:r>
        <w:rPr/>
        <w:t>y</w:t>
      </w:r>
      <w:r>
        <w:rPr>
          <w:spacing w:val="27"/>
        </w:rPr>
        <w:t> </w:t>
      </w:r>
      <w:r>
        <w:rPr>
          <w:i/>
        </w:rPr>
        <w:t>Penissetum</w:t>
      </w:r>
    </w:p>
    <w:p>
      <w:pPr>
        <w:pStyle w:val="BodyText"/>
        <w:spacing w:line="287" w:lineRule="exact"/>
        <w:ind w:left="524" w:right="126"/>
        <w:jc w:val="center"/>
      </w:pPr>
      <w:r>
        <w:rPr>
          <w:i/>
        </w:rPr>
        <w:t>clandestinum</w:t>
      </w:r>
      <w:r>
        <w:rPr/>
        <w:t>. Las praderas fueron fertilizadas con 50 kg urea ha</w:t>
      </w:r>
      <w:r>
        <w:rPr>
          <w:position w:val="11"/>
          <w:sz w:val="16"/>
        </w:rPr>
        <w:t>-1</w:t>
      </w:r>
      <w:r>
        <w:rPr/>
        <w:t>. El concentrado contenía</w:t>
      </w:r>
    </w:p>
    <w:p>
      <w:pPr>
        <w:pStyle w:val="BodyText"/>
        <w:spacing w:before="240"/>
        <w:ind w:left="524" w:right="125"/>
        <w:jc w:val="center"/>
      </w:pPr>
      <w:r>
        <w:rPr/>
        <w:t>18 % (BS) de proteína cruda y 2.0 Mcal kg</w:t>
      </w:r>
      <w:r>
        <w:rPr>
          <w:position w:val="11"/>
          <w:sz w:val="16"/>
        </w:rPr>
        <w:t>-1  </w:t>
      </w:r>
      <w:r>
        <w:rPr/>
        <w:t>MS de EN para lactancia (ENL), elaborado</w:t>
      </w:r>
    </w:p>
    <w:p>
      <w:pPr>
        <w:spacing w:after="0"/>
        <w:jc w:val="center"/>
        <w:sectPr>
          <w:footerReference w:type="default" r:id="rId41"/>
          <w:pgSz w:w="12240" w:h="15840"/>
          <w:pgMar w:footer="1382" w:header="1150" w:top="1420" w:bottom="1580" w:left="1360" w:right="1420"/>
        </w:sectPr>
      </w:pPr>
    </w:p>
    <w:p>
      <w:pPr>
        <w:pStyle w:val="BodyText"/>
        <w:spacing w:before="4"/>
        <w:rPr>
          <w:sz w:val="23"/>
        </w:rPr>
      </w:pPr>
    </w:p>
    <w:p>
      <w:pPr>
        <w:pStyle w:val="BodyText"/>
        <w:spacing w:line="472" w:lineRule="auto" w:before="79"/>
        <w:ind w:left="512" w:right="102"/>
        <w:jc w:val="both"/>
      </w:pPr>
      <w:r>
        <w:rPr/>
        <w:t>con (g kg</w:t>
      </w:r>
      <w:r>
        <w:rPr>
          <w:position w:val="11"/>
          <w:sz w:val="16"/>
        </w:rPr>
        <w:t>-1 </w:t>
      </w:r>
      <w:r>
        <w:rPr/>
        <w:t>MS) sorgo (486.7), pasta de soya (200.4), </w:t>
      </w:r>
      <w:r>
        <w:rPr>
          <w:spacing w:val="-3"/>
        </w:rPr>
        <w:t>canola </w:t>
      </w:r>
      <w:r>
        <w:rPr/>
        <w:t>(147.5), salvado de trigo (146.7) y una premezcla de vitaminas y minerales (18.7). El concentrado (kg MS vaca</w:t>
      </w:r>
      <w:r>
        <w:rPr>
          <w:position w:val="11"/>
          <w:sz w:val="16"/>
        </w:rPr>
        <w:t>-1 </w:t>
      </w:r>
      <w:r>
        <w:rPr/>
        <w:t>d</w:t>
      </w:r>
      <w:r>
        <w:rPr>
          <w:position w:val="11"/>
          <w:sz w:val="16"/>
        </w:rPr>
        <w:t>- 1</w:t>
      </w:r>
      <w:r>
        <w:rPr/>
        <w:t>), asociado al tiempo de acceso a </w:t>
      </w:r>
      <w:r>
        <w:rPr>
          <w:spacing w:val="-5"/>
        </w:rPr>
        <w:t>la </w:t>
      </w:r>
      <w:r>
        <w:rPr/>
        <w:t>pradera </w:t>
      </w:r>
      <w:r>
        <w:rPr>
          <w:spacing w:val="-3"/>
        </w:rPr>
        <w:t>fue: </w:t>
      </w:r>
      <w:r>
        <w:rPr/>
        <w:t>1) 7.2 kg de concentrado (</w:t>
      </w:r>
      <w:r>
        <w:rPr>
          <w:b/>
        </w:rPr>
        <w:t>8c</w:t>
      </w:r>
      <w:r>
        <w:rPr/>
        <w:t>) con acceso a </w:t>
      </w:r>
      <w:r>
        <w:rPr>
          <w:spacing w:val="-3"/>
        </w:rPr>
        <w:t>la </w:t>
      </w:r>
      <w:r>
        <w:rPr/>
        <w:t>pradera de 07:00 a 15:00 h; 2) 4.5 kg de concentrado (</w:t>
      </w:r>
      <w:r>
        <w:rPr>
          <w:b/>
        </w:rPr>
        <w:t>5c</w:t>
      </w:r>
      <w:r>
        <w:rPr/>
        <w:t>) con acceso a </w:t>
      </w:r>
      <w:r>
        <w:rPr>
          <w:spacing w:val="-5"/>
        </w:rPr>
        <w:t>la </w:t>
      </w:r>
      <w:r>
        <w:rPr/>
        <w:t>pradera de 7:00 a 15:00h y de 16:00 a 20:00 h; 3) 2.7 kg de concentrado (</w:t>
      </w:r>
      <w:r>
        <w:rPr>
          <w:b/>
        </w:rPr>
        <w:t>3c</w:t>
      </w:r>
      <w:r>
        <w:rPr/>
        <w:t>) con acceso a </w:t>
      </w:r>
      <w:r>
        <w:rPr>
          <w:spacing w:val="-5"/>
        </w:rPr>
        <w:t>la </w:t>
      </w:r>
      <w:r>
        <w:rPr/>
        <w:t>pradera igual a </w:t>
      </w:r>
      <w:r>
        <w:rPr>
          <w:b/>
        </w:rPr>
        <w:t>5c</w:t>
      </w:r>
      <w:r>
        <w:rPr/>
        <w:t>. El concentrado se ofreció en dos comidas, a las 16:00 y 20:00 h para el tratamiento 1, y a </w:t>
      </w:r>
      <w:r>
        <w:rPr>
          <w:spacing w:val="-3"/>
        </w:rPr>
        <w:t>las </w:t>
      </w:r>
      <w:r>
        <w:rPr/>
        <w:t>20 y 24 h en los tratamientos 2 y 3. El ensilado de </w:t>
      </w:r>
      <w:r>
        <w:rPr>
          <w:spacing w:val="-3"/>
        </w:rPr>
        <w:t>maíz </w:t>
      </w:r>
      <w:r>
        <w:rPr/>
        <w:t>se ofreció a libre acceso en los </w:t>
      </w:r>
      <w:r>
        <w:rPr>
          <w:spacing w:val="-3"/>
        </w:rPr>
        <w:t>mismo </w:t>
      </w:r>
      <w:r>
        <w:rPr/>
        <w:t>tiempos. Las vacas tuvieron </w:t>
      </w:r>
      <w:r>
        <w:rPr>
          <w:spacing w:val="-3"/>
        </w:rPr>
        <w:t>libre </w:t>
      </w:r>
      <w:r>
        <w:rPr/>
        <w:t>acceso al agua de bebida en </w:t>
      </w:r>
      <w:r>
        <w:rPr>
          <w:spacing w:val="-5"/>
        </w:rPr>
        <w:t>la </w:t>
      </w:r>
      <w:r>
        <w:rPr/>
        <w:t>pradera y en el establo.</w:t>
      </w:r>
    </w:p>
    <w:p>
      <w:pPr>
        <w:pStyle w:val="Heading1"/>
        <w:spacing w:before="23"/>
        <w:ind w:left="523" w:right="126" w:firstLine="0"/>
        <w:jc w:val="center"/>
      </w:pPr>
      <w:r>
        <w:rPr/>
        <w:t>Desarrollo experimental</w:t>
      </w:r>
    </w:p>
    <w:p>
      <w:pPr>
        <w:pStyle w:val="BodyText"/>
        <w:spacing w:before="6"/>
        <w:rPr>
          <w:b/>
          <w:sz w:val="23"/>
        </w:rPr>
      </w:pPr>
    </w:p>
    <w:p>
      <w:pPr>
        <w:pStyle w:val="BodyText"/>
        <w:spacing w:line="470" w:lineRule="auto"/>
        <w:ind w:left="512" w:right="104" w:firstLine="302"/>
        <w:jc w:val="both"/>
      </w:pPr>
      <w:r>
        <w:rPr/>
        <w:t>El estudio comprendió tres periodos experimentales, cada uno de 14 d de adaptación y 5 días de muestreo. Se realizaron dos ordeños al día (06:00 y 15:00h). La asignación de forraje en pastoreo </w:t>
      </w:r>
      <w:r>
        <w:rPr>
          <w:spacing w:val="-3"/>
        </w:rPr>
        <w:t>fue </w:t>
      </w:r>
      <w:r>
        <w:rPr/>
        <w:t>de 25 kg de MS vaca</w:t>
      </w:r>
      <w:r>
        <w:rPr>
          <w:position w:val="11"/>
          <w:sz w:val="16"/>
        </w:rPr>
        <w:t>-1 </w:t>
      </w:r>
      <w:r>
        <w:rPr/>
        <w:t>d</w:t>
      </w:r>
      <w:r>
        <w:rPr>
          <w:position w:val="11"/>
          <w:sz w:val="16"/>
        </w:rPr>
        <w:t>-1</w:t>
      </w:r>
      <w:r>
        <w:rPr/>
        <w:t>, determinada por medición de </w:t>
      </w:r>
      <w:r>
        <w:rPr>
          <w:spacing w:val="-3"/>
        </w:rPr>
        <w:t>la </w:t>
      </w:r>
      <w:r>
        <w:rPr/>
        <w:t>biomasa pre-pastoreo, mediante el corte de forraje en ocho cuadrantes (0.25 m</w:t>
      </w:r>
      <w:r>
        <w:rPr>
          <w:position w:val="11"/>
          <w:sz w:val="16"/>
        </w:rPr>
        <w:t>2 </w:t>
      </w:r>
      <w:r>
        <w:rPr/>
        <w:t>cuadrante</w:t>
      </w:r>
      <w:r>
        <w:rPr>
          <w:position w:val="11"/>
          <w:sz w:val="16"/>
        </w:rPr>
        <w:t>-1</w:t>
      </w:r>
      <w:r>
        <w:rPr/>
        <w:t>) a ras de suelo, tras el pesaje y homogenización del material fresco se tomó </w:t>
      </w:r>
      <w:r>
        <w:rPr>
          <w:spacing w:val="-5"/>
        </w:rPr>
        <w:t>la </w:t>
      </w:r>
      <w:r>
        <w:rPr/>
        <w:t>muestra y se seco a  60º C en estufa de </w:t>
      </w:r>
      <w:r>
        <w:rPr>
          <w:spacing w:val="-3"/>
        </w:rPr>
        <w:t>aire </w:t>
      </w:r>
      <w:r>
        <w:rPr/>
        <w:t>forzado. La superficie de pastoreo designada </w:t>
      </w:r>
      <w:r>
        <w:rPr>
          <w:spacing w:val="-3"/>
        </w:rPr>
        <w:t>fue </w:t>
      </w:r>
      <w:r>
        <w:rPr/>
        <w:t>ajustada cada </w:t>
      </w:r>
      <w:r>
        <w:rPr>
          <w:spacing w:val="-4"/>
        </w:rPr>
        <w:t>día </w:t>
      </w:r>
      <w:r>
        <w:rPr/>
        <w:t>durante </w:t>
      </w:r>
      <w:r>
        <w:rPr>
          <w:spacing w:val="-5"/>
        </w:rPr>
        <w:t>la </w:t>
      </w:r>
      <w:r>
        <w:rPr/>
        <w:t>etapa de medición. </w:t>
      </w:r>
      <w:r>
        <w:rPr>
          <w:spacing w:val="3"/>
        </w:rPr>
        <w:t>El </w:t>
      </w:r>
      <w:r>
        <w:rPr>
          <w:spacing w:val="-4"/>
        </w:rPr>
        <w:t>manejo </w:t>
      </w:r>
      <w:r>
        <w:rPr>
          <w:spacing w:val="-3"/>
        </w:rPr>
        <w:t>fue </w:t>
      </w:r>
      <w:r>
        <w:rPr/>
        <w:t>el siguiente: finalizado el ordeño matutino (07:00</w:t>
      </w:r>
      <w:r>
        <w:rPr>
          <w:spacing w:val="24"/>
        </w:rPr>
        <w:t> </w:t>
      </w:r>
      <w:r>
        <w:rPr/>
        <w:t>h),</w:t>
      </w:r>
      <w:r>
        <w:rPr>
          <w:spacing w:val="26"/>
        </w:rPr>
        <w:t> </w:t>
      </w:r>
      <w:r>
        <w:rPr/>
        <w:t>los</w:t>
      </w:r>
      <w:r>
        <w:rPr>
          <w:spacing w:val="22"/>
        </w:rPr>
        <w:t> </w:t>
      </w:r>
      <w:r>
        <w:rPr/>
        <w:t>tres</w:t>
      </w:r>
      <w:r>
        <w:rPr>
          <w:spacing w:val="22"/>
        </w:rPr>
        <w:t> </w:t>
      </w:r>
      <w:r>
        <w:rPr/>
        <w:t>grupos</w:t>
      </w:r>
      <w:r>
        <w:rPr>
          <w:spacing w:val="22"/>
        </w:rPr>
        <w:t> </w:t>
      </w:r>
      <w:r>
        <w:rPr/>
        <w:t>de</w:t>
      </w:r>
      <w:r>
        <w:rPr>
          <w:spacing w:val="23"/>
        </w:rPr>
        <w:t> </w:t>
      </w:r>
      <w:r>
        <w:rPr/>
        <w:t>vacas</w:t>
      </w:r>
      <w:r>
        <w:rPr>
          <w:spacing w:val="26"/>
        </w:rPr>
        <w:t> </w:t>
      </w:r>
      <w:r>
        <w:rPr/>
        <w:t>fueron</w:t>
      </w:r>
      <w:r>
        <w:rPr>
          <w:spacing w:val="24"/>
        </w:rPr>
        <w:t> </w:t>
      </w:r>
      <w:r>
        <w:rPr/>
        <w:t>llevados</w:t>
      </w:r>
      <w:r>
        <w:rPr>
          <w:spacing w:val="22"/>
        </w:rPr>
        <w:t> </w:t>
      </w:r>
      <w:r>
        <w:rPr/>
        <w:t>a</w:t>
      </w:r>
      <w:r>
        <w:rPr>
          <w:spacing w:val="23"/>
        </w:rPr>
        <w:t> </w:t>
      </w:r>
      <w:r>
        <w:rPr>
          <w:spacing w:val="-5"/>
        </w:rPr>
        <w:t>la</w:t>
      </w:r>
      <w:r>
        <w:rPr>
          <w:spacing w:val="23"/>
        </w:rPr>
        <w:t> </w:t>
      </w:r>
      <w:r>
        <w:rPr/>
        <w:t>pradera,</w:t>
      </w:r>
      <w:r>
        <w:rPr>
          <w:spacing w:val="26"/>
        </w:rPr>
        <w:t> </w:t>
      </w:r>
      <w:r>
        <w:rPr/>
        <w:t>en</w:t>
      </w:r>
      <w:r>
        <w:rPr>
          <w:spacing w:val="19"/>
        </w:rPr>
        <w:t> </w:t>
      </w:r>
      <w:r>
        <w:rPr/>
        <w:t>donde</w:t>
      </w:r>
      <w:r>
        <w:rPr>
          <w:spacing w:val="23"/>
        </w:rPr>
        <w:t> </w:t>
      </w:r>
      <w:r>
        <w:rPr/>
        <w:t>permanecieron</w:t>
      </w:r>
    </w:p>
    <w:p>
      <w:pPr>
        <w:pStyle w:val="BodyText"/>
        <w:spacing w:line="480" w:lineRule="auto" w:before="21"/>
        <w:ind w:left="512" w:right="105"/>
        <w:jc w:val="both"/>
      </w:pPr>
      <w:r>
        <w:rPr/>
        <w:t>hasta el comienzo del ordeño vespertino (15:00 h), al término de este (16:00 h), </w:t>
      </w:r>
      <w:r>
        <w:rPr>
          <w:spacing w:val="-4"/>
        </w:rPr>
        <w:t>las </w:t>
      </w:r>
      <w:r>
        <w:rPr/>
        <w:t>vacas del grupo </w:t>
      </w:r>
      <w:r>
        <w:rPr>
          <w:b/>
        </w:rPr>
        <w:t>8c </w:t>
      </w:r>
      <w:r>
        <w:rPr/>
        <w:t>fueron estabuladas y se </w:t>
      </w:r>
      <w:r>
        <w:rPr>
          <w:spacing w:val="-4"/>
        </w:rPr>
        <w:t>les </w:t>
      </w:r>
      <w:r>
        <w:rPr/>
        <w:t>suministró el concentrado y el ensilado de maíz; mientras que </w:t>
      </w:r>
      <w:r>
        <w:rPr>
          <w:spacing w:val="-4"/>
        </w:rPr>
        <w:t>las </w:t>
      </w:r>
      <w:r>
        <w:rPr/>
        <w:t>vacas de los grupos </w:t>
      </w:r>
      <w:r>
        <w:rPr>
          <w:b/>
        </w:rPr>
        <w:t>5c </w:t>
      </w:r>
      <w:r>
        <w:rPr/>
        <w:t>y </w:t>
      </w:r>
      <w:r>
        <w:rPr>
          <w:b/>
        </w:rPr>
        <w:t>3c</w:t>
      </w:r>
      <w:r>
        <w:rPr/>
        <w:t>, se trasladaron nuevamente a </w:t>
      </w:r>
      <w:r>
        <w:rPr>
          <w:spacing w:val="-5"/>
        </w:rPr>
        <w:t>la </w:t>
      </w:r>
      <w:r>
        <w:rPr/>
        <w:t>pradera donde permanecieron  hasta  </w:t>
      </w:r>
      <w:r>
        <w:rPr>
          <w:spacing w:val="-3"/>
        </w:rPr>
        <w:t>las  </w:t>
      </w:r>
      <w:r>
        <w:rPr/>
        <w:t>20:00  h;  después  fueron  estabuladas  y  se  les  suministró    </w:t>
      </w:r>
      <w:r>
        <w:rPr>
          <w:spacing w:val="16"/>
        </w:rPr>
        <w:t> </w:t>
      </w:r>
      <w:r>
        <w:rPr/>
        <w:t>el</w:t>
      </w:r>
    </w:p>
    <w:p>
      <w:pPr>
        <w:spacing w:after="0" w:line="480" w:lineRule="auto"/>
        <w:jc w:val="both"/>
        <w:sectPr>
          <w:footerReference w:type="default" r:id="rId42"/>
          <w:pgSz w:w="12240" w:h="15840"/>
          <w:pgMar w:footer="1382" w:header="1150" w:top="1420" w:bottom="1580" w:left="1360" w:right="1420"/>
          <w:pgNumType w:start="101"/>
        </w:sectPr>
      </w:pPr>
    </w:p>
    <w:p>
      <w:pPr>
        <w:pStyle w:val="BodyText"/>
        <w:spacing w:before="3"/>
        <w:rPr>
          <w:sz w:val="27"/>
        </w:rPr>
      </w:pPr>
    </w:p>
    <w:p>
      <w:pPr>
        <w:pStyle w:val="BodyText"/>
        <w:spacing w:line="480" w:lineRule="auto" w:before="69"/>
        <w:ind w:left="512" w:right="225"/>
        <w:jc w:val="both"/>
      </w:pPr>
      <w:r>
        <w:rPr/>
        <w:t>concentrado y el ensilado de </w:t>
      </w:r>
      <w:r>
        <w:rPr>
          <w:spacing w:val="-3"/>
        </w:rPr>
        <w:t>maíz. </w:t>
      </w:r>
      <w:r>
        <w:rPr/>
        <w:t>Para todos los grupos, </w:t>
      </w:r>
      <w:r>
        <w:rPr>
          <w:spacing w:val="-3"/>
        </w:rPr>
        <w:t>la </w:t>
      </w:r>
      <w:r>
        <w:rPr/>
        <w:t>alimentación en </w:t>
      </w:r>
      <w:r>
        <w:rPr>
          <w:spacing w:val="-3"/>
        </w:rPr>
        <w:t>la </w:t>
      </w:r>
      <w:r>
        <w:rPr/>
        <w:t>estabulación fue a </w:t>
      </w:r>
      <w:r>
        <w:rPr>
          <w:spacing w:val="-4"/>
        </w:rPr>
        <w:t>las </w:t>
      </w:r>
      <w:r>
        <w:rPr/>
        <w:t>20:00 y 24:00 h en comederos individuales, y para el grupo </w:t>
      </w:r>
      <w:r>
        <w:rPr>
          <w:b/>
        </w:rPr>
        <w:t>8c </w:t>
      </w:r>
      <w:r>
        <w:rPr/>
        <w:t>una comida previa  a </w:t>
      </w:r>
      <w:r>
        <w:rPr>
          <w:spacing w:val="-3"/>
        </w:rPr>
        <w:t>las </w:t>
      </w:r>
      <w:r>
        <w:rPr/>
        <w:t>16:00 h y en </w:t>
      </w:r>
      <w:r>
        <w:rPr>
          <w:spacing w:val="-5"/>
        </w:rPr>
        <w:t>la </w:t>
      </w:r>
      <w:r>
        <w:rPr/>
        <w:t>comida de las 24:00 </w:t>
      </w:r>
      <w:r>
        <w:rPr>
          <w:spacing w:val="-3"/>
        </w:rPr>
        <w:t>h, </w:t>
      </w:r>
      <w:r>
        <w:rPr/>
        <w:t>únicamente se </w:t>
      </w:r>
      <w:r>
        <w:rPr>
          <w:spacing w:val="-4"/>
        </w:rPr>
        <w:t>les </w:t>
      </w:r>
      <w:r>
        <w:rPr/>
        <w:t>suministró ensilado de maíz. Se </w:t>
      </w:r>
      <w:r>
        <w:rPr>
          <w:spacing w:val="-4"/>
        </w:rPr>
        <w:t>midió </w:t>
      </w:r>
      <w:r>
        <w:rPr/>
        <w:t>el consumo de alimento en </w:t>
      </w:r>
      <w:r>
        <w:rPr>
          <w:spacing w:val="-3"/>
        </w:rPr>
        <w:t>la </w:t>
      </w:r>
      <w:r>
        <w:rPr/>
        <w:t>estabulación por diferencia de </w:t>
      </w:r>
      <w:r>
        <w:rPr>
          <w:spacing w:val="-3"/>
        </w:rPr>
        <w:t>la </w:t>
      </w:r>
      <w:r>
        <w:rPr/>
        <w:t>oferta y el rechazo; y </w:t>
      </w:r>
      <w:r>
        <w:rPr>
          <w:spacing w:val="-3"/>
        </w:rPr>
        <w:t>la </w:t>
      </w:r>
      <w:r>
        <w:rPr/>
        <w:t>producción de </w:t>
      </w:r>
      <w:r>
        <w:rPr>
          <w:spacing w:val="-3"/>
        </w:rPr>
        <w:t>leche </w:t>
      </w:r>
      <w:r>
        <w:rPr/>
        <w:t>se </w:t>
      </w:r>
      <w:r>
        <w:rPr>
          <w:spacing w:val="-4"/>
        </w:rPr>
        <w:t>midió </w:t>
      </w:r>
      <w:r>
        <w:rPr/>
        <w:t>diariamente. La leche fue muestreada individualmente en cada ordeño, después se obtuvo una alícuota que se mantuvo en congelación </w:t>
      </w:r>
      <w:r>
        <w:rPr>
          <w:spacing w:val="2"/>
        </w:rPr>
        <w:t>(-20º </w:t>
      </w:r>
      <w:r>
        <w:rPr/>
        <w:t>C) hasta su</w:t>
      </w:r>
      <w:r>
        <w:rPr>
          <w:spacing w:val="-15"/>
        </w:rPr>
        <w:t> </w:t>
      </w:r>
      <w:r>
        <w:rPr/>
        <w:t>análisis.</w:t>
      </w:r>
    </w:p>
    <w:p>
      <w:pPr>
        <w:pStyle w:val="Heading1"/>
        <w:spacing w:before="15"/>
        <w:ind w:left="3739" w:right="3466" w:firstLine="0"/>
        <w:jc w:val="center"/>
      </w:pPr>
      <w:r>
        <w:rPr/>
        <w:t>Análisis de laboratorio</w:t>
      </w:r>
    </w:p>
    <w:p>
      <w:pPr>
        <w:pStyle w:val="BodyText"/>
        <w:spacing w:before="6"/>
        <w:rPr>
          <w:b/>
          <w:sz w:val="23"/>
        </w:rPr>
      </w:pPr>
    </w:p>
    <w:p>
      <w:pPr>
        <w:pStyle w:val="BodyText"/>
        <w:spacing w:line="480" w:lineRule="auto"/>
        <w:ind w:left="512" w:right="229" w:firstLine="302"/>
        <w:jc w:val="both"/>
      </w:pPr>
      <w:r>
        <w:rPr/>
        <w:t>En los alimentos suministrados se determinó el contenido de materia seca (MS), materia orgánica (MO) y proteína cruda (PC) (AOAC, 1990); fracciones de fibra, neutro detergente (FND), </w:t>
      </w:r>
      <w:r>
        <w:rPr>
          <w:spacing w:val="-3"/>
        </w:rPr>
        <w:t>ácido </w:t>
      </w:r>
      <w:r>
        <w:rPr/>
        <w:t>detergente (FAD) y lignina ácido detergente (LAD), de acuerdo con Van Soest </w:t>
      </w:r>
      <w:r>
        <w:rPr>
          <w:i/>
        </w:rPr>
        <w:t>et al. </w:t>
      </w:r>
      <w:r>
        <w:rPr/>
        <w:t>(1991). El aporte de energía neta de los alimentos se </w:t>
      </w:r>
      <w:r>
        <w:rPr>
          <w:spacing w:val="-3"/>
        </w:rPr>
        <w:t>estimó </w:t>
      </w:r>
      <w:r>
        <w:rPr/>
        <w:t>según </w:t>
      </w:r>
      <w:r>
        <w:rPr>
          <w:spacing w:val="-4"/>
        </w:rPr>
        <w:t>las</w:t>
      </w:r>
      <w:r>
        <w:rPr>
          <w:spacing w:val="52"/>
        </w:rPr>
        <w:t> </w:t>
      </w:r>
      <w:r>
        <w:rPr/>
        <w:t>ecuaciones descritas por Menke y Steingass (1988); el contenido de los ácidos grasos de los alimentos (Cuadro </w:t>
      </w:r>
      <w:r>
        <w:rPr>
          <w:spacing w:val="-3"/>
        </w:rPr>
        <w:t>1) </w:t>
      </w:r>
      <w:r>
        <w:rPr/>
        <w:t>se determinó mediante </w:t>
      </w:r>
      <w:r>
        <w:rPr>
          <w:spacing w:val="-3"/>
        </w:rPr>
        <w:t>la </w:t>
      </w:r>
      <w:r>
        <w:rPr/>
        <w:t>técnica descrita por </w:t>
      </w:r>
      <w:r>
        <w:rPr>
          <w:spacing w:val="-3"/>
        </w:rPr>
        <w:t>Sukhija </w:t>
      </w:r>
      <w:r>
        <w:rPr/>
        <w:t>y Palmquist (1988) con modificaciones de Palmquist y Jenkins (2003) utilizando ácido clorhídrico metanólico al 10 % y hexano </w:t>
      </w:r>
      <w:r>
        <w:rPr>
          <w:spacing w:val="-3"/>
        </w:rPr>
        <w:t>como </w:t>
      </w:r>
      <w:r>
        <w:rPr/>
        <w:t>solvente</w:t>
      </w:r>
      <w:r>
        <w:rPr>
          <w:spacing w:val="-7"/>
        </w:rPr>
        <w:t> </w:t>
      </w:r>
      <w:r>
        <w:rPr/>
        <w:t>orgánico.</w:t>
      </w:r>
    </w:p>
    <w:p>
      <w:pPr>
        <w:pStyle w:val="Heading1"/>
        <w:spacing w:before="15"/>
        <w:ind w:left="512" w:firstLine="0"/>
        <w:jc w:val="both"/>
      </w:pPr>
      <w:r>
        <w:rPr/>
        <w:t>Cuadro 1. Composición química y contenido de ácidos grasos de los alimentos.</w:t>
      </w:r>
    </w:p>
    <w:p>
      <w:pPr>
        <w:pStyle w:val="BodyText"/>
        <w:spacing w:before="3" w:after="1"/>
        <w:rPr>
          <w:b/>
        </w:rPr>
      </w:pPr>
    </w:p>
    <w:tbl>
      <w:tblPr>
        <w:tblW w:w="0" w:type="auto"/>
        <w:jc w:val="left"/>
        <w:tblInd w:w="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73"/>
        <w:gridCol w:w="2210"/>
        <w:gridCol w:w="1308"/>
        <w:gridCol w:w="1870"/>
      </w:tblGrid>
      <w:tr>
        <w:trPr>
          <w:trHeight w:val="562" w:hRule="exact"/>
        </w:trPr>
        <w:tc>
          <w:tcPr>
            <w:tcW w:w="3673" w:type="dxa"/>
            <w:tcBorders>
              <w:left w:val="nil"/>
              <w:right w:val="nil"/>
            </w:tcBorders>
          </w:tcPr>
          <w:p>
            <w:pPr>
              <w:pStyle w:val="TableParagraph"/>
              <w:spacing w:line="268" w:lineRule="exact"/>
              <w:ind w:left="110"/>
              <w:jc w:val="left"/>
              <w:rPr>
                <w:sz w:val="24"/>
              </w:rPr>
            </w:pPr>
            <w:r>
              <w:rPr>
                <w:sz w:val="24"/>
              </w:rPr>
              <w:t>Composición química (g kg</w:t>
            </w:r>
            <w:r>
              <w:rPr>
                <w:position w:val="11"/>
                <w:sz w:val="16"/>
              </w:rPr>
              <w:t>-1 </w:t>
            </w:r>
            <w:r>
              <w:rPr>
                <w:sz w:val="24"/>
              </w:rPr>
              <w:t>MS)</w:t>
            </w:r>
          </w:p>
        </w:tc>
        <w:tc>
          <w:tcPr>
            <w:tcW w:w="2210" w:type="dxa"/>
            <w:tcBorders>
              <w:left w:val="nil"/>
              <w:right w:val="nil"/>
            </w:tcBorders>
          </w:tcPr>
          <w:p>
            <w:pPr>
              <w:pStyle w:val="TableParagraph"/>
              <w:spacing w:line="268" w:lineRule="exact"/>
              <w:ind w:left="248" w:right="268"/>
              <w:rPr>
                <w:sz w:val="24"/>
              </w:rPr>
            </w:pPr>
            <w:r>
              <w:rPr>
                <w:sz w:val="24"/>
              </w:rPr>
              <w:t>Ensilado de maíz</w:t>
            </w:r>
          </w:p>
        </w:tc>
        <w:tc>
          <w:tcPr>
            <w:tcW w:w="1308" w:type="dxa"/>
            <w:tcBorders>
              <w:left w:val="nil"/>
              <w:right w:val="nil"/>
            </w:tcBorders>
          </w:tcPr>
          <w:p>
            <w:pPr>
              <w:pStyle w:val="TableParagraph"/>
              <w:spacing w:line="268" w:lineRule="exact"/>
              <w:ind w:left="292"/>
              <w:jc w:val="left"/>
              <w:rPr>
                <w:sz w:val="24"/>
              </w:rPr>
            </w:pPr>
            <w:r>
              <w:rPr>
                <w:sz w:val="24"/>
              </w:rPr>
              <w:t>Forraje</w:t>
            </w:r>
          </w:p>
        </w:tc>
        <w:tc>
          <w:tcPr>
            <w:tcW w:w="1870" w:type="dxa"/>
            <w:tcBorders>
              <w:left w:val="nil"/>
              <w:right w:val="nil"/>
            </w:tcBorders>
          </w:tcPr>
          <w:p>
            <w:pPr>
              <w:pStyle w:val="TableParagraph"/>
              <w:spacing w:line="268" w:lineRule="exact"/>
              <w:ind w:left="306" w:right="296"/>
              <w:rPr>
                <w:sz w:val="24"/>
              </w:rPr>
            </w:pPr>
            <w:r>
              <w:rPr>
                <w:sz w:val="24"/>
              </w:rPr>
              <w:t>Concentrado</w:t>
            </w:r>
          </w:p>
        </w:tc>
      </w:tr>
      <w:tr>
        <w:trPr>
          <w:trHeight w:val="424" w:hRule="exact"/>
        </w:trPr>
        <w:tc>
          <w:tcPr>
            <w:tcW w:w="3673" w:type="dxa"/>
            <w:tcBorders>
              <w:left w:val="nil"/>
              <w:bottom w:val="nil"/>
              <w:right w:val="nil"/>
            </w:tcBorders>
          </w:tcPr>
          <w:p>
            <w:pPr>
              <w:pStyle w:val="TableParagraph"/>
              <w:spacing w:line="268" w:lineRule="exact"/>
              <w:ind w:left="110"/>
              <w:jc w:val="left"/>
              <w:rPr>
                <w:sz w:val="24"/>
              </w:rPr>
            </w:pPr>
            <w:r>
              <w:rPr>
                <w:sz w:val="24"/>
              </w:rPr>
              <w:t>MS</w:t>
            </w:r>
          </w:p>
        </w:tc>
        <w:tc>
          <w:tcPr>
            <w:tcW w:w="2210" w:type="dxa"/>
            <w:tcBorders>
              <w:left w:val="nil"/>
              <w:bottom w:val="nil"/>
              <w:right w:val="nil"/>
            </w:tcBorders>
          </w:tcPr>
          <w:p>
            <w:pPr>
              <w:pStyle w:val="TableParagraph"/>
              <w:spacing w:line="268" w:lineRule="exact"/>
              <w:ind w:left="248" w:right="265"/>
              <w:rPr>
                <w:sz w:val="24"/>
              </w:rPr>
            </w:pPr>
            <w:r>
              <w:rPr>
                <w:sz w:val="24"/>
              </w:rPr>
              <w:t>326.84</w:t>
            </w:r>
          </w:p>
        </w:tc>
        <w:tc>
          <w:tcPr>
            <w:tcW w:w="1308" w:type="dxa"/>
            <w:tcBorders>
              <w:left w:val="nil"/>
              <w:bottom w:val="nil"/>
              <w:right w:val="nil"/>
            </w:tcBorders>
          </w:tcPr>
          <w:p>
            <w:pPr>
              <w:pStyle w:val="TableParagraph"/>
              <w:spacing w:line="268" w:lineRule="exact"/>
              <w:ind w:left="311"/>
              <w:jc w:val="left"/>
              <w:rPr>
                <w:sz w:val="24"/>
              </w:rPr>
            </w:pPr>
            <w:r>
              <w:rPr>
                <w:sz w:val="24"/>
              </w:rPr>
              <w:t>243.67</w:t>
            </w:r>
          </w:p>
        </w:tc>
        <w:tc>
          <w:tcPr>
            <w:tcW w:w="1870" w:type="dxa"/>
            <w:tcBorders>
              <w:left w:val="nil"/>
              <w:bottom w:val="nil"/>
              <w:right w:val="nil"/>
            </w:tcBorders>
          </w:tcPr>
          <w:p>
            <w:pPr>
              <w:pStyle w:val="TableParagraph"/>
              <w:spacing w:line="268" w:lineRule="exact"/>
              <w:ind w:left="306" w:right="295"/>
              <w:rPr>
                <w:sz w:val="24"/>
              </w:rPr>
            </w:pPr>
            <w:r>
              <w:rPr>
                <w:sz w:val="24"/>
              </w:rPr>
              <w:t>925.0</w:t>
            </w:r>
          </w:p>
        </w:tc>
      </w:tr>
      <w:tr>
        <w:trPr>
          <w:trHeight w:val="552" w:hRule="exact"/>
        </w:trPr>
        <w:tc>
          <w:tcPr>
            <w:tcW w:w="3673" w:type="dxa"/>
            <w:tcBorders>
              <w:top w:val="nil"/>
              <w:left w:val="nil"/>
              <w:bottom w:val="nil"/>
              <w:right w:val="nil"/>
            </w:tcBorders>
          </w:tcPr>
          <w:p>
            <w:pPr>
              <w:pStyle w:val="TableParagraph"/>
              <w:spacing w:before="125"/>
              <w:ind w:left="110"/>
              <w:jc w:val="left"/>
              <w:rPr>
                <w:sz w:val="24"/>
              </w:rPr>
            </w:pPr>
            <w:r>
              <w:rPr>
                <w:sz w:val="24"/>
              </w:rPr>
              <w:t>MO</w:t>
            </w:r>
          </w:p>
        </w:tc>
        <w:tc>
          <w:tcPr>
            <w:tcW w:w="2210" w:type="dxa"/>
            <w:tcBorders>
              <w:top w:val="nil"/>
              <w:left w:val="nil"/>
              <w:bottom w:val="nil"/>
              <w:right w:val="nil"/>
            </w:tcBorders>
          </w:tcPr>
          <w:p>
            <w:pPr>
              <w:pStyle w:val="TableParagraph"/>
              <w:spacing w:before="125"/>
              <w:ind w:left="248" w:right="265"/>
              <w:rPr>
                <w:sz w:val="24"/>
              </w:rPr>
            </w:pPr>
            <w:r>
              <w:rPr>
                <w:sz w:val="24"/>
              </w:rPr>
              <w:t>944.43</w:t>
            </w:r>
          </w:p>
        </w:tc>
        <w:tc>
          <w:tcPr>
            <w:tcW w:w="1308" w:type="dxa"/>
            <w:tcBorders>
              <w:top w:val="nil"/>
              <w:left w:val="nil"/>
              <w:bottom w:val="nil"/>
              <w:right w:val="nil"/>
            </w:tcBorders>
          </w:tcPr>
          <w:p>
            <w:pPr>
              <w:pStyle w:val="TableParagraph"/>
              <w:spacing w:before="125"/>
              <w:ind w:left="311"/>
              <w:jc w:val="left"/>
              <w:rPr>
                <w:sz w:val="24"/>
              </w:rPr>
            </w:pPr>
            <w:r>
              <w:rPr>
                <w:sz w:val="24"/>
              </w:rPr>
              <w:t>879.50</w:t>
            </w:r>
          </w:p>
        </w:tc>
        <w:tc>
          <w:tcPr>
            <w:tcW w:w="1870" w:type="dxa"/>
            <w:tcBorders>
              <w:top w:val="nil"/>
              <w:left w:val="nil"/>
              <w:bottom w:val="nil"/>
              <w:right w:val="nil"/>
            </w:tcBorders>
          </w:tcPr>
          <w:p>
            <w:pPr>
              <w:pStyle w:val="TableParagraph"/>
              <w:spacing w:before="125"/>
              <w:ind w:left="306" w:right="295"/>
              <w:rPr>
                <w:sz w:val="24"/>
              </w:rPr>
            </w:pPr>
            <w:r>
              <w:rPr>
                <w:sz w:val="24"/>
              </w:rPr>
              <w:t>951.1</w:t>
            </w:r>
          </w:p>
        </w:tc>
      </w:tr>
      <w:tr>
        <w:trPr>
          <w:trHeight w:val="396" w:hRule="exact"/>
        </w:trPr>
        <w:tc>
          <w:tcPr>
            <w:tcW w:w="3673" w:type="dxa"/>
            <w:tcBorders>
              <w:top w:val="nil"/>
              <w:left w:val="nil"/>
              <w:bottom w:val="nil"/>
              <w:right w:val="nil"/>
            </w:tcBorders>
          </w:tcPr>
          <w:p>
            <w:pPr>
              <w:pStyle w:val="TableParagraph"/>
              <w:spacing w:before="125"/>
              <w:ind w:left="110"/>
              <w:jc w:val="left"/>
              <w:rPr>
                <w:sz w:val="24"/>
              </w:rPr>
            </w:pPr>
            <w:r>
              <w:rPr>
                <w:sz w:val="24"/>
              </w:rPr>
              <w:t>PC</w:t>
            </w:r>
          </w:p>
        </w:tc>
        <w:tc>
          <w:tcPr>
            <w:tcW w:w="2210" w:type="dxa"/>
            <w:tcBorders>
              <w:top w:val="nil"/>
              <w:left w:val="nil"/>
              <w:bottom w:val="nil"/>
              <w:right w:val="nil"/>
            </w:tcBorders>
          </w:tcPr>
          <w:p>
            <w:pPr>
              <w:pStyle w:val="TableParagraph"/>
              <w:spacing w:before="125"/>
              <w:ind w:left="248" w:right="260"/>
              <w:rPr>
                <w:sz w:val="24"/>
              </w:rPr>
            </w:pPr>
            <w:r>
              <w:rPr>
                <w:sz w:val="24"/>
              </w:rPr>
              <w:t>70.11</w:t>
            </w:r>
          </w:p>
        </w:tc>
        <w:tc>
          <w:tcPr>
            <w:tcW w:w="1308" w:type="dxa"/>
            <w:tcBorders>
              <w:top w:val="nil"/>
              <w:left w:val="nil"/>
              <w:bottom w:val="nil"/>
              <w:right w:val="nil"/>
            </w:tcBorders>
          </w:tcPr>
          <w:p>
            <w:pPr>
              <w:pStyle w:val="TableParagraph"/>
              <w:spacing w:before="125"/>
              <w:ind w:left="311"/>
              <w:jc w:val="left"/>
              <w:rPr>
                <w:sz w:val="24"/>
              </w:rPr>
            </w:pPr>
            <w:r>
              <w:rPr>
                <w:sz w:val="24"/>
              </w:rPr>
              <w:t>147.97</w:t>
            </w:r>
          </w:p>
        </w:tc>
        <w:tc>
          <w:tcPr>
            <w:tcW w:w="1870" w:type="dxa"/>
            <w:tcBorders>
              <w:top w:val="nil"/>
              <w:left w:val="nil"/>
              <w:bottom w:val="nil"/>
              <w:right w:val="nil"/>
            </w:tcBorders>
          </w:tcPr>
          <w:p>
            <w:pPr>
              <w:pStyle w:val="TableParagraph"/>
              <w:spacing w:before="125"/>
              <w:ind w:left="306" w:right="295"/>
              <w:rPr>
                <w:sz w:val="24"/>
              </w:rPr>
            </w:pPr>
            <w:r>
              <w:rPr>
                <w:sz w:val="24"/>
              </w:rPr>
              <w:t>182.2</w:t>
            </w:r>
          </w:p>
        </w:tc>
      </w:tr>
    </w:tbl>
    <w:p>
      <w:pPr>
        <w:spacing w:after="0"/>
        <w:rPr>
          <w:sz w:val="24"/>
        </w:rPr>
        <w:sectPr>
          <w:pgSz w:w="12240" w:h="15840"/>
          <w:pgMar w:header="1150" w:footer="1382" w:top="1420" w:bottom="1580" w:left="136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5"/>
        </w:rPr>
      </w:pPr>
    </w:p>
    <w:p>
      <w:pPr>
        <w:pStyle w:val="BodyText"/>
        <w:spacing w:line="480" w:lineRule="auto" w:before="79"/>
        <w:ind w:left="512" w:right="322"/>
      </w:pPr>
      <w:r>
        <w:rPr/>
        <w:pict>
          <v:group style="position:absolute;margin-left:87.134003pt;margin-top:5.628746pt;width:454.3pt;height:.5pt;mso-position-horizontal-relative:page;mso-position-vertical-relative:paragraph;z-index:-157528" coordorigin="1743,113" coordsize="9086,10">
            <v:line style="position:absolute" from="1748,118" to="5460,118" stroked="true" strokeweight=".47998pt" strokecolor="#000000"/>
            <v:line style="position:absolute" from="5446,118" to="5455,118" stroked="true" strokeweight=".47998pt" strokecolor="#000000"/>
            <v:line style="position:absolute" from="5455,118" to="7601,118" stroked="true" strokeweight=".47998pt" strokecolor="#000000"/>
            <v:line style="position:absolute" from="7587,118" to="7596,118" stroked="true" strokeweight=".47998pt" strokecolor="#000000"/>
            <v:line style="position:absolute" from="7596,118" to="8970,118" stroked="true" strokeweight=".47998pt" strokecolor="#000000"/>
            <v:line style="position:absolute" from="8956,118" to="8965,118" stroked="true" strokeweight=".47998pt" strokecolor="#000000"/>
            <v:line style="position:absolute" from="8965,118" to="10823,118" stroked="true" strokeweight=".47998pt" strokecolor="#000000"/>
            <w10:wrap type="none"/>
          </v:group>
        </w:pict>
      </w:r>
      <w:r>
        <w:rPr/>
        <w:pict>
          <v:shape style="position:absolute;margin-left:73.75pt;margin-top:-428.421265pt;width:444.55pt;height:434.3pt;mso-position-horizontal-relative:page;mso-position-vertical-relative:paragraph;z-index:1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
                    <w:gridCol w:w="2752"/>
                    <w:gridCol w:w="2909"/>
                    <w:gridCol w:w="1712"/>
                    <w:gridCol w:w="1244"/>
                  </w:tblGrid>
                  <w:tr>
                    <w:trPr>
                      <w:trHeight w:val="818" w:hRule="exact"/>
                    </w:trPr>
                    <w:tc>
                      <w:tcPr>
                        <w:tcW w:w="273" w:type="dxa"/>
                      </w:tcPr>
                      <w:p>
                        <w:pPr/>
                      </w:p>
                    </w:tc>
                    <w:tc>
                      <w:tcPr>
                        <w:tcW w:w="2752" w:type="dxa"/>
                      </w:tcPr>
                      <w:p>
                        <w:pPr>
                          <w:pStyle w:val="TableParagraph"/>
                          <w:spacing w:before="11"/>
                          <w:jc w:val="left"/>
                          <w:rPr>
                            <w:sz w:val="33"/>
                          </w:rPr>
                        </w:pPr>
                      </w:p>
                      <w:p>
                        <w:pPr>
                          <w:pStyle w:val="TableParagraph"/>
                          <w:ind w:left="125"/>
                          <w:jc w:val="left"/>
                          <w:rPr>
                            <w:sz w:val="24"/>
                          </w:rPr>
                        </w:pPr>
                        <w:r>
                          <w:rPr>
                            <w:sz w:val="24"/>
                          </w:rPr>
                          <w:t>FDN</w:t>
                        </w:r>
                      </w:p>
                    </w:tc>
                    <w:tc>
                      <w:tcPr>
                        <w:tcW w:w="2909" w:type="dxa"/>
                      </w:tcPr>
                      <w:p>
                        <w:pPr>
                          <w:pStyle w:val="TableParagraph"/>
                          <w:spacing w:before="11"/>
                          <w:jc w:val="left"/>
                          <w:rPr>
                            <w:sz w:val="33"/>
                          </w:rPr>
                        </w:pPr>
                      </w:p>
                      <w:p>
                        <w:pPr>
                          <w:pStyle w:val="TableParagraph"/>
                          <w:ind w:right="545"/>
                          <w:jc w:val="right"/>
                          <w:rPr>
                            <w:sz w:val="24"/>
                          </w:rPr>
                        </w:pPr>
                        <w:r>
                          <w:rPr>
                            <w:sz w:val="24"/>
                          </w:rPr>
                          <w:t>608.11</w:t>
                        </w:r>
                      </w:p>
                    </w:tc>
                    <w:tc>
                      <w:tcPr>
                        <w:tcW w:w="1712" w:type="dxa"/>
                      </w:tcPr>
                      <w:p>
                        <w:pPr>
                          <w:pStyle w:val="TableParagraph"/>
                          <w:spacing w:before="11"/>
                          <w:jc w:val="left"/>
                          <w:rPr>
                            <w:sz w:val="33"/>
                          </w:rPr>
                        </w:pPr>
                      </w:p>
                      <w:p>
                        <w:pPr>
                          <w:pStyle w:val="TableParagraph"/>
                          <w:ind w:left="528" w:right="483"/>
                          <w:rPr>
                            <w:sz w:val="24"/>
                          </w:rPr>
                        </w:pPr>
                        <w:r>
                          <w:rPr>
                            <w:sz w:val="24"/>
                          </w:rPr>
                          <w:t>559.34</w:t>
                        </w:r>
                      </w:p>
                    </w:tc>
                    <w:tc>
                      <w:tcPr>
                        <w:tcW w:w="1244" w:type="dxa"/>
                      </w:tcPr>
                      <w:p>
                        <w:pPr>
                          <w:pStyle w:val="TableParagraph"/>
                          <w:spacing w:before="11"/>
                          <w:jc w:val="left"/>
                          <w:rPr>
                            <w:sz w:val="33"/>
                          </w:rPr>
                        </w:pPr>
                      </w:p>
                      <w:p>
                        <w:pPr>
                          <w:pStyle w:val="TableParagraph"/>
                          <w:ind w:left="482" w:right="181"/>
                          <w:rPr>
                            <w:sz w:val="24"/>
                          </w:rPr>
                        </w:pPr>
                        <w:r>
                          <w:rPr>
                            <w:sz w:val="24"/>
                          </w:rPr>
                          <w:t>155.6</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FDA</w:t>
                        </w:r>
                      </w:p>
                    </w:tc>
                    <w:tc>
                      <w:tcPr>
                        <w:tcW w:w="2909" w:type="dxa"/>
                      </w:tcPr>
                      <w:p>
                        <w:pPr>
                          <w:pStyle w:val="TableParagraph"/>
                          <w:spacing w:before="125"/>
                          <w:ind w:right="545"/>
                          <w:jc w:val="right"/>
                          <w:rPr>
                            <w:sz w:val="24"/>
                          </w:rPr>
                        </w:pPr>
                        <w:r>
                          <w:rPr>
                            <w:sz w:val="24"/>
                          </w:rPr>
                          <w:t>328.64</w:t>
                        </w:r>
                      </w:p>
                    </w:tc>
                    <w:tc>
                      <w:tcPr>
                        <w:tcW w:w="1712" w:type="dxa"/>
                      </w:tcPr>
                      <w:p>
                        <w:pPr>
                          <w:pStyle w:val="TableParagraph"/>
                          <w:spacing w:before="125"/>
                          <w:ind w:left="528" w:right="483"/>
                          <w:rPr>
                            <w:sz w:val="24"/>
                          </w:rPr>
                        </w:pPr>
                        <w:r>
                          <w:rPr>
                            <w:sz w:val="24"/>
                          </w:rPr>
                          <w:t>281.80</w:t>
                        </w:r>
                      </w:p>
                    </w:tc>
                    <w:tc>
                      <w:tcPr>
                        <w:tcW w:w="1244" w:type="dxa"/>
                      </w:tcPr>
                      <w:p>
                        <w:pPr>
                          <w:pStyle w:val="TableParagraph"/>
                          <w:spacing w:before="125"/>
                          <w:ind w:left="482" w:right="176"/>
                          <w:rPr>
                            <w:sz w:val="24"/>
                          </w:rPr>
                        </w:pPr>
                        <w:r>
                          <w:rPr>
                            <w:sz w:val="24"/>
                          </w:rPr>
                          <w:t>64.0</w:t>
                        </w:r>
                      </w:p>
                    </w:tc>
                  </w:tr>
                  <w:tr>
                    <w:trPr>
                      <w:trHeight w:val="530" w:hRule="exact"/>
                    </w:trPr>
                    <w:tc>
                      <w:tcPr>
                        <w:tcW w:w="273" w:type="dxa"/>
                      </w:tcPr>
                      <w:p>
                        <w:pPr/>
                      </w:p>
                    </w:tc>
                    <w:tc>
                      <w:tcPr>
                        <w:tcW w:w="2752" w:type="dxa"/>
                      </w:tcPr>
                      <w:p>
                        <w:pPr>
                          <w:pStyle w:val="TableParagraph"/>
                          <w:spacing w:before="125"/>
                          <w:ind w:left="125"/>
                          <w:jc w:val="left"/>
                          <w:rPr>
                            <w:sz w:val="24"/>
                          </w:rPr>
                        </w:pPr>
                        <w:r>
                          <w:rPr>
                            <w:sz w:val="24"/>
                          </w:rPr>
                          <w:t>LDA</w:t>
                        </w:r>
                      </w:p>
                    </w:tc>
                    <w:tc>
                      <w:tcPr>
                        <w:tcW w:w="2909" w:type="dxa"/>
                      </w:tcPr>
                      <w:p>
                        <w:pPr>
                          <w:pStyle w:val="TableParagraph"/>
                          <w:spacing w:before="125"/>
                          <w:ind w:right="603"/>
                          <w:jc w:val="right"/>
                          <w:rPr>
                            <w:sz w:val="24"/>
                          </w:rPr>
                        </w:pPr>
                        <w:r>
                          <w:rPr>
                            <w:sz w:val="24"/>
                          </w:rPr>
                          <w:t>45.42</w:t>
                        </w:r>
                      </w:p>
                    </w:tc>
                    <w:tc>
                      <w:tcPr>
                        <w:tcW w:w="1712" w:type="dxa"/>
                      </w:tcPr>
                      <w:p>
                        <w:pPr>
                          <w:pStyle w:val="TableParagraph"/>
                          <w:spacing w:before="125"/>
                          <w:ind w:left="524" w:right="483"/>
                          <w:rPr>
                            <w:sz w:val="24"/>
                          </w:rPr>
                        </w:pPr>
                        <w:r>
                          <w:rPr>
                            <w:sz w:val="24"/>
                          </w:rPr>
                          <w:t>36.43</w:t>
                        </w:r>
                      </w:p>
                    </w:tc>
                    <w:tc>
                      <w:tcPr>
                        <w:tcW w:w="1244" w:type="dxa"/>
                      </w:tcPr>
                      <w:p>
                        <w:pPr>
                          <w:pStyle w:val="TableParagraph"/>
                          <w:spacing w:before="125"/>
                          <w:ind w:left="482" w:right="176"/>
                          <w:rPr>
                            <w:sz w:val="24"/>
                          </w:rPr>
                        </w:pPr>
                        <w:r>
                          <w:rPr>
                            <w:sz w:val="24"/>
                          </w:rPr>
                          <w:t>23.1</w:t>
                        </w:r>
                      </w:p>
                    </w:tc>
                  </w:tr>
                  <w:tr>
                    <w:trPr>
                      <w:trHeight w:val="552" w:hRule="exact"/>
                    </w:trPr>
                    <w:tc>
                      <w:tcPr>
                        <w:tcW w:w="273" w:type="dxa"/>
                      </w:tcPr>
                      <w:p>
                        <w:pPr/>
                      </w:p>
                    </w:tc>
                    <w:tc>
                      <w:tcPr>
                        <w:tcW w:w="2752" w:type="dxa"/>
                      </w:tcPr>
                      <w:p>
                        <w:pPr>
                          <w:pStyle w:val="TableParagraph"/>
                          <w:spacing w:before="112"/>
                          <w:ind w:left="125"/>
                          <w:jc w:val="left"/>
                          <w:rPr>
                            <w:sz w:val="16"/>
                          </w:rPr>
                        </w:pPr>
                        <w:r>
                          <w:rPr>
                            <w:sz w:val="24"/>
                          </w:rPr>
                          <w:t>ENL</w:t>
                        </w:r>
                        <w:r>
                          <w:rPr>
                            <w:position w:val="11"/>
                            <w:sz w:val="16"/>
                          </w:rPr>
                          <w:t>†</w:t>
                        </w:r>
                      </w:p>
                    </w:tc>
                    <w:tc>
                      <w:tcPr>
                        <w:tcW w:w="2909" w:type="dxa"/>
                      </w:tcPr>
                      <w:p>
                        <w:pPr>
                          <w:pStyle w:val="TableParagraph"/>
                          <w:spacing w:before="147"/>
                          <w:ind w:right="665"/>
                          <w:jc w:val="right"/>
                          <w:rPr>
                            <w:sz w:val="24"/>
                          </w:rPr>
                        </w:pPr>
                        <w:r>
                          <w:rPr>
                            <w:sz w:val="24"/>
                          </w:rPr>
                          <w:t>1.41</w:t>
                        </w:r>
                      </w:p>
                    </w:tc>
                    <w:tc>
                      <w:tcPr>
                        <w:tcW w:w="1712" w:type="dxa"/>
                      </w:tcPr>
                      <w:p>
                        <w:pPr>
                          <w:pStyle w:val="TableParagraph"/>
                          <w:spacing w:before="147"/>
                          <w:ind w:left="528" w:right="483"/>
                          <w:rPr>
                            <w:sz w:val="24"/>
                          </w:rPr>
                        </w:pPr>
                        <w:r>
                          <w:rPr>
                            <w:sz w:val="24"/>
                          </w:rPr>
                          <w:t>1.52</w:t>
                        </w:r>
                      </w:p>
                    </w:tc>
                    <w:tc>
                      <w:tcPr>
                        <w:tcW w:w="1244" w:type="dxa"/>
                      </w:tcPr>
                      <w:p>
                        <w:pPr>
                          <w:pStyle w:val="TableParagraph"/>
                          <w:spacing w:before="147"/>
                          <w:ind w:left="482" w:right="181"/>
                          <w:rPr>
                            <w:sz w:val="24"/>
                          </w:rPr>
                        </w:pPr>
                        <w:r>
                          <w:rPr>
                            <w:sz w:val="24"/>
                          </w:rPr>
                          <w:t>2.0</w:t>
                        </w:r>
                      </w:p>
                    </w:tc>
                  </w:tr>
                  <w:tr>
                    <w:trPr>
                      <w:trHeight w:val="575" w:hRule="exact"/>
                    </w:trPr>
                    <w:tc>
                      <w:tcPr>
                        <w:tcW w:w="8890" w:type="dxa"/>
                        <w:gridSpan w:val="5"/>
                      </w:tcPr>
                      <w:p>
                        <w:pPr>
                          <w:pStyle w:val="TableParagraph"/>
                          <w:spacing w:before="112"/>
                          <w:ind w:left="397"/>
                          <w:jc w:val="left"/>
                          <w:rPr>
                            <w:sz w:val="24"/>
                          </w:rPr>
                        </w:pPr>
                        <w:r>
                          <w:rPr>
                            <w:sz w:val="24"/>
                          </w:rPr>
                          <w:t>Ácidos grasos (g 100 g</w:t>
                        </w:r>
                        <w:r>
                          <w:rPr>
                            <w:position w:val="11"/>
                            <w:sz w:val="16"/>
                          </w:rPr>
                          <w:t>-1 </w:t>
                        </w:r>
                        <w:r>
                          <w:rPr>
                            <w:sz w:val="24"/>
                          </w:rPr>
                          <w:t>AG)</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C12:0</w:t>
                        </w:r>
                      </w:p>
                    </w:tc>
                    <w:tc>
                      <w:tcPr>
                        <w:tcW w:w="2909" w:type="dxa"/>
                      </w:tcPr>
                      <w:p>
                        <w:pPr>
                          <w:pStyle w:val="TableParagraph"/>
                          <w:spacing w:before="125"/>
                          <w:ind w:right="665"/>
                          <w:jc w:val="right"/>
                          <w:rPr>
                            <w:sz w:val="24"/>
                          </w:rPr>
                        </w:pPr>
                        <w:r>
                          <w:rPr>
                            <w:sz w:val="24"/>
                          </w:rPr>
                          <w:t>0.40</w:t>
                        </w:r>
                      </w:p>
                    </w:tc>
                    <w:tc>
                      <w:tcPr>
                        <w:tcW w:w="1712" w:type="dxa"/>
                      </w:tcPr>
                      <w:p>
                        <w:pPr>
                          <w:pStyle w:val="TableParagraph"/>
                          <w:spacing w:before="125"/>
                          <w:ind w:left="528" w:right="483"/>
                          <w:rPr>
                            <w:sz w:val="24"/>
                          </w:rPr>
                        </w:pPr>
                        <w:r>
                          <w:rPr>
                            <w:sz w:val="24"/>
                          </w:rPr>
                          <w:t>1.63</w:t>
                        </w:r>
                      </w:p>
                    </w:tc>
                    <w:tc>
                      <w:tcPr>
                        <w:tcW w:w="1244" w:type="dxa"/>
                      </w:tcPr>
                      <w:p>
                        <w:pPr>
                          <w:pStyle w:val="TableParagraph"/>
                          <w:spacing w:before="125"/>
                          <w:ind w:left="482" w:right="176"/>
                          <w:rPr>
                            <w:sz w:val="24"/>
                          </w:rPr>
                        </w:pPr>
                        <w:r>
                          <w:rPr>
                            <w:sz w:val="24"/>
                          </w:rPr>
                          <w:t>0.05</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C13:0</w:t>
                        </w:r>
                      </w:p>
                    </w:tc>
                    <w:tc>
                      <w:tcPr>
                        <w:tcW w:w="2909" w:type="dxa"/>
                      </w:tcPr>
                      <w:p>
                        <w:pPr>
                          <w:pStyle w:val="TableParagraph"/>
                          <w:spacing w:before="125"/>
                          <w:ind w:right="665"/>
                          <w:jc w:val="right"/>
                          <w:rPr>
                            <w:sz w:val="24"/>
                          </w:rPr>
                        </w:pPr>
                        <w:r>
                          <w:rPr>
                            <w:sz w:val="24"/>
                          </w:rPr>
                          <w:t>0.03</w:t>
                        </w:r>
                      </w:p>
                    </w:tc>
                    <w:tc>
                      <w:tcPr>
                        <w:tcW w:w="1712" w:type="dxa"/>
                      </w:tcPr>
                      <w:p>
                        <w:pPr>
                          <w:pStyle w:val="TableParagraph"/>
                          <w:spacing w:before="125"/>
                          <w:ind w:left="528" w:right="483"/>
                          <w:rPr>
                            <w:sz w:val="24"/>
                          </w:rPr>
                        </w:pPr>
                        <w:r>
                          <w:rPr>
                            <w:sz w:val="24"/>
                          </w:rPr>
                          <w:t>1.02</w:t>
                        </w:r>
                      </w:p>
                    </w:tc>
                    <w:tc>
                      <w:tcPr>
                        <w:tcW w:w="1244" w:type="dxa"/>
                      </w:tcPr>
                      <w:p>
                        <w:pPr>
                          <w:pStyle w:val="TableParagraph"/>
                          <w:spacing w:before="125"/>
                          <w:ind w:left="482" w:right="176"/>
                          <w:rPr>
                            <w:sz w:val="24"/>
                          </w:rPr>
                        </w:pPr>
                        <w:r>
                          <w:rPr>
                            <w:sz w:val="24"/>
                          </w:rPr>
                          <w:t>0.64</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C14:0</w:t>
                        </w:r>
                      </w:p>
                    </w:tc>
                    <w:tc>
                      <w:tcPr>
                        <w:tcW w:w="2909" w:type="dxa"/>
                      </w:tcPr>
                      <w:p>
                        <w:pPr>
                          <w:pStyle w:val="TableParagraph"/>
                          <w:spacing w:before="125"/>
                          <w:ind w:right="665"/>
                          <w:jc w:val="right"/>
                          <w:rPr>
                            <w:sz w:val="24"/>
                          </w:rPr>
                        </w:pPr>
                        <w:r>
                          <w:rPr>
                            <w:sz w:val="24"/>
                          </w:rPr>
                          <w:t>0.63</w:t>
                        </w:r>
                      </w:p>
                    </w:tc>
                    <w:tc>
                      <w:tcPr>
                        <w:tcW w:w="1712" w:type="dxa"/>
                      </w:tcPr>
                      <w:p>
                        <w:pPr>
                          <w:pStyle w:val="TableParagraph"/>
                          <w:spacing w:before="125"/>
                          <w:ind w:left="528" w:right="483"/>
                          <w:rPr>
                            <w:sz w:val="24"/>
                          </w:rPr>
                        </w:pPr>
                        <w:r>
                          <w:rPr>
                            <w:sz w:val="24"/>
                          </w:rPr>
                          <w:t>1.15</w:t>
                        </w:r>
                      </w:p>
                    </w:tc>
                    <w:tc>
                      <w:tcPr>
                        <w:tcW w:w="1244" w:type="dxa"/>
                      </w:tcPr>
                      <w:p>
                        <w:pPr>
                          <w:pStyle w:val="TableParagraph"/>
                          <w:spacing w:before="125"/>
                          <w:ind w:left="482" w:right="176"/>
                          <w:rPr>
                            <w:sz w:val="24"/>
                          </w:rPr>
                        </w:pPr>
                        <w:r>
                          <w:rPr>
                            <w:sz w:val="24"/>
                          </w:rPr>
                          <w:t>0.16</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C16:0</w:t>
                        </w:r>
                      </w:p>
                    </w:tc>
                    <w:tc>
                      <w:tcPr>
                        <w:tcW w:w="2909" w:type="dxa"/>
                      </w:tcPr>
                      <w:p>
                        <w:pPr>
                          <w:pStyle w:val="TableParagraph"/>
                          <w:spacing w:before="125"/>
                          <w:ind w:right="603"/>
                          <w:jc w:val="right"/>
                          <w:rPr>
                            <w:sz w:val="24"/>
                          </w:rPr>
                        </w:pPr>
                        <w:r>
                          <w:rPr>
                            <w:sz w:val="24"/>
                          </w:rPr>
                          <w:t>19.09</w:t>
                        </w:r>
                      </w:p>
                    </w:tc>
                    <w:tc>
                      <w:tcPr>
                        <w:tcW w:w="1712" w:type="dxa"/>
                      </w:tcPr>
                      <w:p>
                        <w:pPr>
                          <w:pStyle w:val="TableParagraph"/>
                          <w:spacing w:before="125"/>
                          <w:ind w:left="524" w:right="483"/>
                          <w:rPr>
                            <w:sz w:val="24"/>
                          </w:rPr>
                        </w:pPr>
                        <w:r>
                          <w:rPr>
                            <w:sz w:val="24"/>
                          </w:rPr>
                          <w:t>19.90</w:t>
                        </w:r>
                      </w:p>
                    </w:tc>
                    <w:tc>
                      <w:tcPr>
                        <w:tcW w:w="1244" w:type="dxa"/>
                      </w:tcPr>
                      <w:p>
                        <w:pPr>
                          <w:pStyle w:val="TableParagraph"/>
                          <w:spacing w:before="125"/>
                          <w:ind w:left="482" w:right="181"/>
                          <w:rPr>
                            <w:sz w:val="24"/>
                          </w:rPr>
                        </w:pPr>
                        <w:r>
                          <w:rPr>
                            <w:sz w:val="24"/>
                          </w:rPr>
                          <w:t>21.26</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C16:1</w:t>
                        </w:r>
                      </w:p>
                    </w:tc>
                    <w:tc>
                      <w:tcPr>
                        <w:tcW w:w="2909" w:type="dxa"/>
                      </w:tcPr>
                      <w:p>
                        <w:pPr>
                          <w:pStyle w:val="TableParagraph"/>
                          <w:spacing w:before="125"/>
                          <w:ind w:right="665"/>
                          <w:jc w:val="right"/>
                          <w:rPr>
                            <w:sz w:val="24"/>
                          </w:rPr>
                        </w:pPr>
                        <w:r>
                          <w:rPr>
                            <w:sz w:val="24"/>
                          </w:rPr>
                          <w:t>0.47</w:t>
                        </w:r>
                      </w:p>
                    </w:tc>
                    <w:tc>
                      <w:tcPr>
                        <w:tcW w:w="1712" w:type="dxa"/>
                      </w:tcPr>
                      <w:p>
                        <w:pPr>
                          <w:pStyle w:val="TableParagraph"/>
                          <w:spacing w:before="125"/>
                          <w:ind w:left="528" w:right="483"/>
                          <w:rPr>
                            <w:sz w:val="24"/>
                          </w:rPr>
                        </w:pPr>
                        <w:r>
                          <w:rPr>
                            <w:sz w:val="24"/>
                          </w:rPr>
                          <w:t>2.36</w:t>
                        </w:r>
                      </w:p>
                    </w:tc>
                    <w:tc>
                      <w:tcPr>
                        <w:tcW w:w="1244" w:type="dxa"/>
                      </w:tcPr>
                      <w:p>
                        <w:pPr>
                          <w:pStyle w:val="TableParagraph"/>
                          <w:spacing w:before="125"/>
                          <w:ind w:left="482" w:right="176"/>
                          <w:rPr>
                            <w:sz w:val="24"/>
                          </w:rPr>
                        </w:pPr>
                        <w:r>
                          <w:rPr>
                            <w:sz w:val="24"/>
                          </w:rPr>
                          <w:t>0.69</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C18:0</w:t>
                        </w:r>
                      </w:p>
                    </w:tc>
                    <w:tc>
                      <w:tcPr>
                        <w:tcW w:w="2909" w:type="dxa"/>
                      </w:tcPr>
                      <w:p>
                        <w:pPr>
                          <w:pStyle w:val="TableParagraph"/>
                          <w:spacing w:before="125"/>
                          <w:ind w:right="665"/>
                          <w:jc w:val="right"/>
                          <w:rPr>
                            <w:sz w:val="24"/>
                          </w:rPr>
                        </w:pPr>
                        <w:r>
                          <w:rPr>
                            <w:sz w:val="24"/>
                          </w:rPr>
                          <w:t>4.59</w:t>
                        </w:r>
                      </w:p>
                    </w:tc>
                    <w:tc>
                      <w:tcPr>
                        <w:tcW w:w="1712" w:type="dxa"/>
                      </w:tcPr>
                      <w:p>
                        <w:pPr>
                          <w:pStyle w:val="TableParagraph"/>
                          <w:spacing w:before="125"/>
                          <w:ind w:left="528" w:right="483"/>
                          <w:rPr>
                            <w:sz w:val="24"/>
                          </w:rPr>
                        </w:pPr>
                        <w:r>
                          <w:rPr>
                            <w:sz w:val="24"/>
                          </w:rPr>
                          <w:t>4.00</w:t>
                        </w:r>
                      </w:p>
                    </w:tc>
                    <w:tc>
                      <w:tcPr>
                        <w:tcW w:w="1244" w:type="dxa"/>
                      </w:tcPr>
                      <w:p>
                        <w:pPr>
                          <w:pStyle w:val="TableParagraph"/>
                          <w:spacing w:before="125"/>
                          <w:ind w:left="482" w:right="176"/>
                          <w:rPr>
                            <w:sz w:val="24"/>
                          </w:rPr>
                        </w:pPr>
                        <w:r>
                          <w:rPr>
                            <w:sz w:val="24"/>
                          </w:rPr>
                          <w:t>2.30</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C18:1n9c</w:t>
                        </w:r>
                      </w:p>
                    </w:tc>
                    <w:tc>
                      <w:tcPr>
                        <w:tcW w:w="2909" w:type="dxa"/>
                      </w:tcPr>
                      <w:p>
                        <w:pPr>
                          <w:pStyle w:val="TableParagraph"/>
                          <w:spacing w:before="125"/>
                          <w:ind w:right="603"/>
                          <w:jc w:val="right"/>
                          <w:rPr>
                            <w:sz w:val="24"/>
                          </w:rPr>
                        </w:pPr>
                        <w:r>
                          <w:rPr>
                            <w:sz w:val="24"/>
                          </w:rPr>
                          <w:t>29.56</w:t>
                        </w:r>
                      </w:p>
                    </w:tc>
                    <w:tc>
                      <w:tcPr>
                        <w:tcW w:w="1712" w:type="dxa"/>
                      </w:tcPr>
                      <w:p>
                        <w:pPr>
                          <w:pStyle w:val="TableParagraph"/>
                          <w:spacing w:before="125"/>
                          <w:ind w:left="528" w:right="483"/>
                          <w:rPr>
                            <w:sz w:val="24"/>
                          </w:rPr>
                        </w:pPr>
                        <w:r>
                          <w:rPr>
                            <w:sz w:val="24"/>
                          </w:rPr>
                          <w:t>5.28</w:t>
                        </w:r>
                      </w:p>
                    </w:tc>
                    <w:tc>
                      <w:tcPr>
                        <w:tcW w:w="1244" w:type="dxa"/>
                      </w:tcPr>
                      <w:p>
                        <w:pPr>
                          <w:pStyle w:val="TableParagraph"/>
                          <w:spacing w:before="125"/>
                          <w:ind w:left="482" w:right="181"/>
                          <w:rPr>
                            <w:sz w:val="24"/>
                          </w:rPr>
                        </w:pPr>
                        <w:r>
                          <w:rPr>
                            <w:sz w:val="24"/>
                          </w:rPr>
                          <w:t>34.71</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C18:2n6c</w:t>
                        </w:r>
                      </w:p>
                    </w:tc>
                    <w:tc>
                      <w:tcPr>
                        <w:tcW w:w="2909" w:type="dxa"/>
                      </w:tcPr>
                      <w:p>
                        <w:pPr>
                          <w:pStyle w:val="TableParagraph"/>
                          <w:spacing w:before="125"/>
                          <w:ind w:right="603"/>
                          <w:jc w:val="right"/>
                          <w:rPr>
                            <w:sz w:val="24"/>
                          </w:rPr>
                        </w:pPr>
                        <w:r>
                          <w:rPr>
                            <w:sz w:val="24"/>
                          </w:rPr>
                          <w:t>35.43</w:t>
                        </w:r>
                      </w:p>
                    </w:tc>
                    <w:tc>
                      <w:tcPr>
                        <w:tcW w:w="1712" w:type="dxa"/>
                      </w:tcPr>
                      <w:p>
                        <w:pPr>
                          <w:pStyle w:val="TableParagraph"/>
                          <w:spacing w:before="125"/>
                          <w:ind w:left="524" w:right="483"/>
                          <w:rPr>
                            <w:sz w:val="24"/>
                          </w:rPr>
                        </w:pPr>
                        <w:r>
                          <w:rPr>
                            <w:sz w:val="24"/>
                          </w:rPr>
                          <w:t>12.10</w:t>
                        </w:r>
                      </w:p>
                    </w:tc>
                    <w:tc>
                      <w:tcPr>
                        <w:tcW w:w="1244" w:type="dxa"/>
                      </w:tcPr>
                      <w:p>
                        <w:pPr>
                          <w:pStyle w:val="TableParagraph"/>
                          <w:spacing w:before="125"/>
                          <w:ind w:left="482" w:right="181"/>
                          <w:rPr>
                            <w:sz w:val="24"/>
                          </w:rPr>
                        </w:pPr>
                        <w:r>
                          <w:rPr>
                            <w:sz w:val="24"/>
                          </w:rPr>
                          <w:t>31.75</w:t>
                        </w:r>
                      </w:p>
                    </w:tc>
                  </w:tr>
                  <w:tr>
                    <w:trPr>
                      <w:trHeight w:val="552" w:hRule="exact"/>
                    </w:trPr>
                    <w:tc>
                      <w:tcPr>
                        <w:tcW w:w="273" w:type="dxa"/>
                      </w:tcPr>
                      <w:p>
                        <w:pPr/>
                      </w:p>
                    </w:tc>
                    <w:tc>
                      <w:tcPr>
                        <w:tcW w:w="2752" w:type="dxa"/>
                      </w:tcPr>
                      <w:p>
                        <w:pPr>
                          <w:pStyle w:val="TableParagraph"/>
                          <w:spacing w:before="125"/>
                          <w:ind w:left="125"/>
                          <w:jc w:val="left"/>
                          <w:rPr>
                            <w:sz w:val="24"/>
                          </w:rPr>
                        </w:pPr>
                        <w:r>
                          <w:rPr>
                            <w:sz w:val="24"/>
                          </w:rPr>
                          <w:t>C18:3n3</w:t>
                        </w:r>
                      </w:p>
                    </w:tc>
                    <w:tc>
                      <w:tcPr>
                        <w:tcW w:w="2909" w:type="dxa"/>
                      </w:tcPr>
                      <w:p>
                        <w:pPr>
                          <w:pStyle w:val="TableParagraph"/>
                          <w:spacing w:before="125"/>
                          <w:ind w:right="665"/>
                          <w:jc w:val="right"/>
                          <w:rPr>
                            <w:sz w:val="24"/>
                          </w:rPr>
                        </w:pPr>
                        <w:r>
                          <w:rPr>
                            <w:sz w:val="24"/>
                          </w:rPr>
                          <w:t>4.27</w:t>
                        </w:r>
                      </w:p>
                    </w:tc>
                    <w:tc>
                      <w:tcPr>
                        <w:tcW w:w="1712" w:type="dxa"/>
                      </w:tcPr>
                      <w:p>
                        <w:pPr>
                          <w:pStyle w:val="TableParagraph"/>
                          <w:spacing w:before="125"/>
                          <w:ind w:left="524" w:right="483"/>
                          <w:rPr>
                            <w:sz w:val="24"/>
                          </w:rPr>
                        </w:pPr>
                        <w:r>
                          <w:rPr>
                            <w:sz w:val="24"/>
                          </w:rPr>
                          <w:t>45.15</w:t>
                        </w:r>
                      </w:p>
                    </w:tc>
                    <w:tc>
                      <w:tcPr>
                        <w:tcW w:w="1244" w:type="dxa"/>
                      </w:tcPr>
                      <w:p>
                        <w:pPr>
                          <w:pStyle w:val="TableParagraph"/>
                          <w:spacing w:before="125"/>
                          <w:ind w:left="482" w:right="176"/>
                          <w:rPr>
                            <w:sz w:val="24"/>
                          </w:rPr>
                        </w:pPr>
                        <w:r>
                          <w:rPr>
                            <w:sz w:val="24"/>
                          </w:rPr>
                          <w:t>2.27</w:t>
                        </w:r>
                      </w:p>
                    </w:tc>
                  </w:tr>
                  <w:tr>
                    <w:trPr>
                      <w:trHeight w:val="690" w:hRule="exact"/>
                    </w:trPr>
                    <w:tc>
                      <w:tcPr>
                        <w:tcW w:w="273" w:type="dxa"/>
                      </w:tcPr>
                      <w:p>
                        <w:pPr/>
                      </w:p>
                    </w:tc>
                    <w:tc>
                      <w:tcPr>
                        <w:tcW w:w="2752" w:type="dxa"/>
                      </w:tcPr>
                      <w:p>
                        <w:pPr>
                          <w:pStyle w:val="TableParagraph"/>
                          <w:spacing w:before="125"/>
                          <w:ind w:left="125"/>
                          <w:jc w:val="left"/>
                          <w:rPr>
                            <w:sz w:val="24"/>
                          </w:rPr>
                        </w:pPr>
                        <w:r>
                          <w:rPr>
                            <w:sz w:val="24"/>
                          </w:rPr>
                          <w:t>Otros</w:t>
                        </w:r>
                      </w:p>
                    </w:tc>
                    <w:tc>
                      <w:tcPr>
                        <w:tcW w:w="2909" w:type="dxa"/>
                      </w:tcPr>
                      <w:p>
                        <w:pPr>
                          <w:pStyle w:val="TableParagraph"/>
                          <w:spacing w:before="125"/>
                          <w:ind w:right="665"/>
                          <w:jc w:val="right"/>
                          <w:rPr>
                            <w:sz w:val="24"/>
                          </w:rPr>
                        </w:pPr>
                        <w:r>
                          <w:rPr>
                            <w:sz w:val="24"/>
                          </w:rPr>
                          <w:t>5.55</w:t>
                        </w:r>
                      </w:p>
                    </w:tc>
                    <w:tc>
                      <w:tcPr>
                        <w:tcW w:w="1712" w:type="dxa"/>
                      </w:tcPr>
                      <w:p>
                        <w:pPr>
                          <w:pStyle w:val="TableParagraph"/>
                          <w:spacing w:before="125"/>
                          <w:ind w:left="528" w:right="483"/>
                          <w:rPr>
                            <w:sz w:val="24"/>
                          </w:rPr>
                        </w:pPr>
                        <w:r>
                          <w:rPr>
                            <w:sz w:val="24"/>
                          </w:rPr>
                          <w:t>7.40</w:t>
                        </w:r>
                      </w:p>
                    </w:tc>
                    <w:tc>
                      <w:tcPr>
                        <w:tcW w:w="1244" w:type="dxa"/>
                      </w:tcPr>
                      <w:p>
                        <w:pPr>
                          <w:pStyle w:val="TableParagraph"/>
                          <w:spacing w:before="125"/>
                          <w:ind w:left="482" w:right="176"/>
                          <w:rPr>
                            <w:sz w:val="24"/>
                          </w:rPr>
                        </w:pPr>
                        <w:r>
                          <w:rPr>
                            <w:sz w:val="24"/>
                          </w:rPr>
                          <w:t>6.17</w:t>
                        </w:r>
                      </w:p>
                    </w:tc>
                  </w:tr>
                </w:tbl>
                <w:p>
                  <w:pPr>
                    <w:pStyle w:val="BodyText"/>
                  </w:pPr>
                </w:p>
              </w:txbxContent>
            </v:textbox>
            <w10:wrap type="none"/>
          </v:shape>
        </w:pict>
      </w:r>
      <w:r>
        <w:rPr>
          <w:position w:val="11"/>
          <w:sz w:val="16"/>
        </w:rPr>
        <w:t>† </w:t>
      </w:r>
      <w:r>
        <w:rPr/>
        <w:t>Energía neta de lactación en Mcal kg</w:t>
      </w:r>
      <w:r>
        <w:rPr>
          <w:position w:val="11"/>
          <w:sz w:val="16"/>
        </w:rPr>
        <w:t>-1 </w:t>
      </w:r>
      <w:r>
        <w:rPr/>
        <w:t>MS, calculada según la ecuación: (9.07- 0.0097*FAD)/4.184 (Menke y Steingass, 1988).</w:t>
      </w:r>
    </w:p>
    <w:p>
      <w:pPr>
        <w:pStyle w:val="BodyText"/>
        <w:spacing w:line="480" w:lineRule="auto" w:before="11"/>
        <w:ind w:left="512" w:right="225" w:firstLine="302"/>
        <w:jc w:val="both"/>
      </w:pPr>
      <w:r>
        <w:rPr/>
        <w:t>La composición química de </w:t>
      </w:r>
      <w:r>
        <w:rPr>
          <w:spacing w:val="-3"/>
        </w:rPr>
        <w:t>la leche </w:t>
      </w:r>
      <w:r>
        <w:rPr/>
        <w:t>(proteína, grasa y lactosa) se determinó con un equipo analizador de leche (Lactoscan </w:t>
      </w:r>
      <w:r>
        <w:rPr>
          <w:spacing w:val="2"/>
        </w:rPr>
        <w:t>S-L </w:t>
      </w:r>
      <w:r>
        <w:rPr/>
        <w:t>60). La determinación del perfil de ácidos  grasos de </w:t>
      </w:r>
      <w:r>
        <w:rPr>
          <w:spacing w:val="-5"/>
        </w:rPr>
        <w:t>la </w:t>
      </w:r>
      <w:r>
        <w:rPr/>
        <w:t>leche se hizo previa extracción de </w:t>
      </w:r>
      <w:r>
        <w:rPr>
          <w:spacing w:val="-5"/>
        </w:rPr>
        <w:t>la </w:t>
      </w:r>
      <w:r>
        <w:rPr/>
        <w:t>grasa de acuerdo con </w:t>
      </w:r>
      <w:r>
        <w:rPr>
          <w:spacing w:val="-5"/>
        </w:rPr>
        <w:t>la </w:t>
      </w:r>
      <w:r>
        <w:rPr/>
        <w:t>técnica descrita  por </w:t>
      </w:r>
      <w:r>
        <w:rPr>
          <w:spacing w:val="-3"/>
        </w:rPr>
        <w:t>Feng </w:t>
      </w:r>
      <w:r>
        <w:rPr>
          <w:i/>
        </w:rPr>
        <w:t>et al</w:t>
      </w:r>
      <w:r>
        <w:rPr/>
        <w:t>. (2004); </w:t>
      </w:r>
      <w:r>
        <w:rPr>
          <w:spacing w:val="-5"/>
        </w:rPr>
        <w:t>la </w:t>
      </w:r>
      <w:r>
        <w:rPr/>
        <w:t>metilación de </w:t>
      </w:r>
      <w:r>
        <w:rPr>
          <w:spacing w:val="-3"/>
        </w:rPr>
        <w:t>la </w:t>
      </w:r>
      <w:r>
        <w:rPr/>
        <w:t>muestra se realizó de acuerdo con </w:t>
      </w:r>
      <w:r>
        <w:rPr>
          <w:spacing w:val="-5"/>
        </w:rPr>
        <w:t>la </w:t>
      </w:r>
      <w:r>
        <w:rPr/>
        <w:t>metodología descrita por Christie (1982)  con modificaciones  de Chouinard  </w:t>
      </w:r>
      <w:r>
        <w:rPr>
          <w:i/>
        </w:rPr>
        <w:t>et  al.  </w:t>
      </w:r>
      <w:r>
        <w:rPr/>
        <w:t>(1999).  Los </w:t>
      </w:r>
      <w:r>
        <w:rPr>
          <w:spacing w:val="20"/>
        </w:rPr>
        <w:t> </w:t>
      </w:r>
      <w:r>
        <w:rPr/>
        <w:t>esteres</w:t>
      </w:r>
    </w:p>
    <w:p>
      <w:pPr>
        <w:spacing w:after="0" w:line="480" w:lineRule="auto"/>
        <w:jc w:val="both"/>
        <w:sectPr>
          <w:pgSz w:w="12240" w:h="15840"/>
          <w:pgMar w:header="1150" w:footer="1382" w:top="1400" w:bottom="1580" w:left="1360" w:right="1300"/>
        </w:sectPr>
      </w:pPr>
    </w:p>
    <w:p>
      <w:pPr>
        <w:pStyle w:val="BodyText"/>
        <w:spacing w:before="3"/>
        <w:rPr>
          <w:sz w:val="27"/>
        </w:rPr>
      </w:pPr>
    </w:p>
    <w:p>
      <w:pPr>
        <w:pStyle w:val="BodyText"/>
        <w:spacing w:line="480" w:lineRule="auto" w:before="69"/>
        <w:ind w:left="512" w:right="116"/>
        <w:jc w:val="both"/>
      </w:pPr>
      <w:r>
        <w:rPr/>
        <w:t>metílicos de los ácidos grasos de la leche y los alimentos fueron separados y cuantificados por cromatografía de gases (Perkin Elmer Clarus 500) con una columna capilar de 100 m  x</w:t>
      </w:r>
    </w:p>
    <w:p>
      <w:pPr>
        <w:pStyle w:val="BodyText"/>
        <w:spacing w:line="480" w:lineRule="auto" w:before="10"/>
        <w:ind w:left="512" w:right="103"/>
        <w:jc w:val="both"/>
      </w:pPr>
      <w:r>
        <w:rPr/>
        <w:t>0.25 mm x 0.2 µm (SUPELCO TM-2560) utilizando nitrógeno como gas acarreador. Cada pico fue identificado de acuerdo con los tiempos de retención de estándares de esteres metílicos (Supelco 37, FAME MIX analytical SIGMA USA).</w:t>
      </w:r>
    </w:p>
    <w:p>
      <w:pPr>
        <w:pStyle w:val="Heading1"/>
        <w:spacing w:before="15"/>
        <w:ind w:left="524" w:right="125" w:firstLine="0"/>
        <w:jc w:val="center"/>
      </w:pPr>
      <w:r>
        <w:rPr/>
        <w:t>Análisis estadístico</w:t>
      </w:r>
    </w:p>
    <w:p>
      <w:pPr>
        <w:pStyle w:val="BodyText"/>
        <w:spacing w:before="6"/>
        <w:rPr>
          <w:b/>
          <w:sz w:val="23"/>
        </w:rPr>
      </w:pPr>
    </w:p>
    <w:p>
      <w:pPr>
        <w:pStyle w:val="BodyText"/>
        <w:spacing w:line="480" w:lineRule="auto"/>
        <w:ind w:left="512" w:firstLine="302"/>
        <w:rPr>
          <w:sz w:val="16"/>
        </w:rPr>
      </w:pPr>
      <w:r>
        <w:rPr/>
        <w:t>El diseño experimental fue de cuadro latino 3x3 y los datos se analizaron con procedimiento MIXED de SAS (1999). El modelo lineal fue el siguiente: Y</w:t>
      </w:r>
      <w:r>
        <w:rPr>
          <w:position w:val="-2"/>
          <w:sz w:val="16"/>
        </w:rPr>
        <w:t>ijk  </w:t>
      </w:r>
      <w:r>
        <w:rPr/>
        <w:t>= μ + P</w:t>
      </w:r>
      <w:r>
        <w:rPr>
          <w:position w:val="-2"/>
          <w:sz w:val="16"/>
        </w:rPr>
        <w:t>i  </w:t>
      </w:r>
      <w:r>
        <w:rPr/>
        <w:t>+  G</w:t>
      </w:r>
      <w:r>
        <w:rPr>
          <w:position w:val="-2"/>
          <w:sz w:val="16"/>
        </w:rPr>
        <w:t>j</w:t>
      </w:r>
    </w:p>
    <w:p>
      <w:pPr>
        <w:pStyle w:val="BodyText"/>
        <w:spacing w:line="274" w:lineRule="exact"/>
        <w:ind w:left="512"/>
        <w:jc w:val="both"/>
      </w:pPr>
      <w:r>
        <w:rPr/>
        <w:t>+ C</w:t>
      </w:r>
      <w:r>
        <w:rPr>
          <w:position w:val="-2"/>
          <w:sz w:val="16"/>
        </w:rPr>
        <w:t>k  </w:t>
      </w:r>
      <w:r>
        <w:rPr/>
        <w:t>+ E</w:t>
      </w:r>
      <w:r>
        <w:rPr>
          <w:position w:val="-2"/>
          <w:sz w:val="16"/>
        </w:rPr>
        <w:t>z</w:t>
      </w:r>
      <w:r>
        <w:rPr/>
        <w:t>, donde Y</w:t>
      </w:r>
      <w:r>
        <w:rPr>
          <w:position w:val="-2"/>
          <w:sz w:val="16"/>
        </w:rPr>
        <w:t>ijkz  </w:t>
      </w:r>
      <w:r>
        <w:rPr/>
        <w:t>= es </w:t>
      </w:r>
      <w:r>
        <w:rPr>
          <w:spacing w:val="-5"/>
        </w:rPr>
        <w:t>la </w:t>
      </w:r>
      <w:r>
        <w:rPr/>
        <w:t>variable dependiente, μ = es </w:t>
      </w:r>
      <w:r>
        <w:rPr>
          <w:spacing w:val="-5"/>
        </w:rPr>
        <w:t>la </w:t>
      </w:r>
      <w:r>
        <w:rPr>
          <w:spacing w:val="-3"/>
        </w:rPr>
        <w:t>media </w:t>
      </w:r>
      <w:r>
        <w:rPr/>
        <w:t>general, </w:t>
      </w:r>
      <w:r>
        <w:rPr>
          <w:spacing w:val="4"/>
        </w:rPr>
        <w:t>P</w:t>
      </w:r>
      <w:r>
        <w:rPr>
          <w:spacing w:val="4"/>
          <w:position w:val="-2"/>
          <w:sz w:val="16"/>
        </w:rPr>
        <w:t>i  </w:t>
      </w:r>
      <w:r>
        <w:rPr/>
        <w:t>= efecto </w:t>
      </w:r>
      <w:r>
        <w:rPr>
          <w:spacing w:val="53"/>
        </w:rPr>
        <w:t> </w:t>
      </w:r>
      <w:r>
        <w:rPr/>
        <w:t>del</w:t>
      </w:r>
    </w:p>
    <w:p>
      <w:pPr>
        <w:pStyle w:val="BodyText"/>
        <w:spacing w:before="10"/>
        <w:rPr>
          <w:sz w:val="22"/>
        </w:rPr>
      </w:pPr>
    </w:p>
    <w:p>
      <w:pPr>
        <w:pStyle w:val="BodyText"/>
        <w:spacing w:line="468" w:lineRule="auto"/>
        <w:ind w:left="512" w:right="108"/>
        <w:jc w:val="both"/>
      </w:pPr>
      <w:r>
        <w:rPr/>
        <w:t>periodo (1, </w:t>
      </w:r>
      <w:r>
        <w:rPr>
          <w:spacing w:val="-3"/>
        </w:rPr>
        <w:t>2, </w:t>
      </w:r>
      <w:r>
        <w:rPr/>
        <w:t>3), G</w:t>
      </w:r>
      <w:r>
        <w:rPr>
          <w:position w:val="-2"/>
          <w:sz w:val="16"/>
        </w:rPr>
        <w:t>j </w:t>
      </w:r>
      <w:r>
        <w:rPr/>
        <w:t>= efecto del grupo (1, 2, 3), C</w:t>
      </w:r>
      <w:r>
        <w:rPr>
          <w:position w:val="-2"/>
          <w:sz w:val="16"/>
        </w:rPr>
        <w:t>k </w:t>
      </w:r>
      <w:r>
        <w:rPr/>
        <w:t>= efecto del nivel de concentrado (3, 5,  y 8 kg MF), E</w:t>
      </w:r>
      <w:r>
        <w:rPr>
          <w:position w:val="-2"/>
          <w:sz w:val="16"/>
        </w:rPr>
        <w:t>z </w:t>
      </w:r>
      <w:r>
        <w:rPr/>
        <w:t>= error residual. Las medias de los tratamientos se compararon con  </w:t>
      </w:r>
      <w:r>
        <w:rPr>
          <w:spacing w:val="-5"/>
        </w:rPr>
        <w:t>la  </w:t>
      </w:r>
      <w:r>
        <w:rPr/>
        <w:t>prueba de Tukey (p ≤ 0.05) (Steel </w:t>
      </w:r>
      <w:r>
        <w:rPr>
          <w:i/>
        </w:rPr>
        <w:t>et al.</w:t>
      </w:r>
      <w:r>
        <w:rPr/>
        <w:t>,</w:t>
      </w:r>
      <w:r>
        <w:rPr>
          <w:spacing w:val="-7"/>
        </w:rPr>
        <w:t> </w:t>
      </w:r>
      <w:r>
        <w:rPr/>
        <w:t>1997).</w:t>
      </w:r>
    </w:p>
    <w:p>
      <w:pPr>
        <w:pStyle w:val="Heading1"/>
        <w:spacing w:before="28"/>
        <w:ind w:left="519" w:right="126" w:firstLine="0"/>
        <w:jc w:val="center"/>
      </w:pPr>
      <w:r>
        <w:rPr/>
        <w:t>RESULTADOS Y DISCUSIÓN</w:t>
      </w:r>
    </w:p>
    <w:p>
      <w:pPr>
        <w:pStyle w:val="BodyText"/>
        <w:rPr>
          <w:b/>
        </w:rPr>
      </w:pPr>
    </w:p>
    <w:p>
      <w:pPr>
        <w:spacing w:before="0"/>
        <w:ind w:left="524" w:right="124" w:firstLine="0"/>
        <w:jc w:val="center"/>
        <w:rPr>
          <w:b/>
          <w:sz w:val="24"/>
        </w:rPr>
      </w:pPr>
      <w:r>
        <w:rPr>
          <w:b/>
          <w:sz w:val="24"/>
        </w:rPr>
        <w:t>Variables productivas</w:t>
      </w:r>
    </w:p>
    <w:p>
      <w:pPr>
        <w:pStyle w:val="BodyText"/>
        <w:spacing w:before="7"/>
        <w:rPr>
          <w:b/>
          <w:sz w:val="23"/>
        </w:rPr>
      </w:pPr>
    </w:p>
    <w:p>
      <w:pPr>
        <w:pStyle w:val="BodyText"/>
        <w:ind w:left="815" w:right="105"/>
      </w:pPr>
      <w:r>
        <w:rPr/>
        <w:t>Los datos de consumo, producción y composición de la leche se presentan en el  Cuadro</w:t>
      </w:r>
    </w:p>
    <w:p>
      <w:pPr>
        <w:pStyle w:val="BodyText"/>
      </w:pPr>
    </w:p>
    <w:p>
      <w:pPr>
        <w:pStyle w:val="BodyText"/>
        <w:spacing w:line="468" w:lineRule="auto"/>
        <w:ind w:left="512" w:right="105"/>
        <w:jc w:val="both"/>
      </w:pPr>
      <w:r>
        <w:rPr/>
        <w:t>2. El tratamiento </w:t>
      </w:r>
      <w:r>
        <w:rPr>
          <w:b/>
        </w:rPr>
        <w:t>8c </w:t>
      </w:r>
      <w:r>
        <w:rPr/>
        <w:t>mostró la mayor ingestión (p ≤ 0.05) de ensilado de maíz y en el consumo total en estabulación con respecto a los otros tratamientos. En el presente trabajo no se estimó el consumo de pasto en la pradera; de acuerdo con el NRC (2001), el ganado lechero con un peso vivo promedio de 680 kg, con un promedio de 90 días de lactación y una producción de 25 kg de leche d</w:t>
      </w:r>
      <w:r>
        <w:rPr>
          <w:position w:val="11"/>
          <w:sz w:val="16"/>
        </w:rPr>
        <w:t>-1 </w:t>
      </w:r>
      <w:r>
        <w:rPr/>
        <w:t>requiere consumir 19.6 kg de materia seca, mientras que las vacas de 450 kg de PV, con producción de 20 kg de leche d</w:t>
      </w:r>
      <w:r>
        <w:rPr>
          <w:position w:val="11"/>
          <w:sz w:val="16"/>
        </w:rPr>
        <w:t>-1</w:t>
      </w:r>
      <w:r>
        <w:rPr/>
        <w:t>, requieren consumir</w:t>
      </w:r>
    </w:p>
    <w:p>
      <w:pPr>
        <w:spacing w:after="0" w:line="468" w:lineRule="auto"/>
        <w:jc w:val="both"/>
        <w:sectPr>
          <w:pgSz w:w="12240" w:h="15840"/>
          <w:pgMar w:header="1150" w:footer="1382" w:top="1420" w:bottom="1580" w:left="1360" w:right="1420"/>
        </w:sectPr>
      </w:pPr>
    </w:p>
    <w:p>
      <w:pPr>
        <w:pStyle w:val="BodyText"/>
        <w:spacing w:before="4"/>
        <w:rPr>
          <w:sz w:val="23"/>
        </w:rPr>
      </w:pPr>
    </w:p>
    <w:p>
      <w:pPr>
        <w:pStyle w:val="BodyText"/>
        <w:spacing w:line="472" w:lineRule="auto" w:before="79" w:after="26"/>
        <w:ind w:left="512" w:right="322"/>
        <w:rPr>
          <w:b/>
        </w:rPr>
      </w:pPr>
      <w:r>
        <w:rPr/>
        <w:t>16.5 kg de MS; en </w:t>
      </w:r>
      <w:r>
        <w:rPr>
          <w:spacing w:val="-5"/>
        </w:rPr>
        <w:t>la </w:t>
      </w:r>
      <w:r>
        <w:rPr/>
        <w:t>presente investigación, </w:t>
      </w:r>
      <w:r>
        <w:rPr>
          <w:spacing w:val="-5"/>
        </w:rPr>
        <w:t>la </w:t>
      </w:r>
      <w:r>
        <w:rPr/>
        <w:t>producción láctea </w:t>
      </w:r>
      <w:r>
        <w:rPr>
          <w:spacing w:val="-3"/>
        </w:rPr>
        <w:t>no </w:t>
      </w:r>
      <w:r>
        <w:rPr/>
        <w:t>rebasó los 20.0 kg </w:t>
      </w:r>
      <w:r>
        <w:rPr>
          <w:spacing w:val="2"/>
        </w:rPr>
        <w:t>d</w:t>
      </w:r>
      <w:r>
        <w:rPr>
          <w:spacing w:val="2"/>
          <w:position w:val="11"/>
          <w:sz w:val="16"/>
        </w:rPr>
        <w:t>-1 </w:t>
      </w:r>
      <w:r>
        <w:rPr/>
        <w:t>por </w:t>
      </w:r>
      <w:r>
        <w:rPr>
          <w:spacing w:val="-5"/>
        </w:rPr>
        <w:t>lo </w:t>
      </w:r>
      <w:r>
        <w:rPr/>
        <w:t>que se esperarían consumos de MS </w:t>
      </w:r>
      <w:r>
        <w:rPr>
          <w:spacing w:val="-3"/>
        </w:rPr>
        <w:t>no </w:t>
      </w:r>
      <w:r>
        <w:rPr/>
        <w:t>superiores a los 16 kg d</w:t>
      </w:r>
      <w:r>
        <w:rPr>
          <w:position w:val="11"/>
          <w:sz w:val="16"/>
        </w:rPr>
        <w:t>-1  </w:t>
      </w:r>
      <w:r>
        <w:rPr/>
        <w:t>(NRC, 2001). Cuadro 2.  </w:t>
      </w:r>
      <w:r>
        <w:rPr>
          <w:spacing w:val="-3"/>
        </w:rPr>
        <w:t>Consumo </w:t>
      </w:r>
      <w:r>
        <w:rPr/>
        <w:t>de materia seca, producción, composición y rendimiento de </w:t>
      </w:r>
      <w:r>
        <w:rPr>
          <w:spacing w:val="-5"/>
        </w:rPr>
        <w:t>la </w:t>
      </w:r>
      <w:r>
        <w:rPr/>
        <w:t>leche  de vacas en pastoreo complementadas con distintos niveles de concentrado en el Valle de Toluca,</w:t>
      </w:r>
      <w:r>
        <w:rPr>
          <w:spacing w:val="-8"/>
        </w:rPr>
        <w:t> </w:t>
      </w:r>
      <w:r>
        <w:rPr/>
        <w:t>México</w:t>
      </w:r>
      <w:r>
        <w:rPr>
          <w:b/>
        </w:rPr>
        <w:t>.</w:t>
      </w:r>
    </w:p>
    <w:tbl>
      <w:tblPr>
        <w:tblW w:w="0" w:type="auto"/>
        <w:jc w:val="left"/>
        <w:tblInd w:w="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25"/>
        <w:gridCol w:w="1360"/>
        <w:gridCol w:w="1757"/>
        <w:gridCol w:w="1022"/>
        <w:gridCol w:w="1397"/>
      </w:tblGrid>
      <w:tr>
        <w:trPr>
          <w:trHeight w:val="763" w:hRule="exact"/>
        </w:trPr>
        <w:tc>
          <w:tcPr>
            <w:tcW w:w="3525" w:type="dxa"/>
            <w:tcBorders>
              <w:left w:val="nil"/>
              <w:bottom w:val="nil"/>
              <w:right w:val="nil"/>
            </w:tcBorders>
          </w:tcPr>
          <w:p>
            <w:pPr>
              <w:pStyle w:val="TableParagraph"/>
              <w:spacing w:line="268" w:lineRule="exact"/>
              <w:ind w:left="110"/>
              <w:jc w:val="left"/>
              <w:rPr>
                <w:sz w:val="24"/>
              </w:rPr>
            </w:pPr>
            <w:r>
              <w:rPr>
                <w:sz w:val="24"/>
              </w:rPr>
              <w:t>Consumo  (kg d</w:t>
            </w:r>
            <w:r>
              <w:rPr>
                <w:position w:val="11"/>
                <w:sz w:val="16"/>
              </w:rPr>
              <w:t>-1</w:t>
            </w:r>
            <w:r>
              <w:rPr>
                <w:sz w:val="24"/>
              </w:rPr>
              <w:t>)</w:t>
            </w:r>
          </w:p>
        </w:tc>
        <w:tc>
          <w:tcPr>
            <w:tcW w:w="3118" w:type="dxa"/>
            <w:gridSpan w:val="2"/>
            <w:tcBorders>
              <w:left w:val="nil"/>
              <w:right w:val="nil"/>
            </w:tcBorders>
          </w:tcPr>
          <w:p>
            <w:pPr>
              <w:pStyle w:val="TableParagraph"/>
              <w:spacing w:line="268" w:lineRule="exact"/>
              <w:ind w:left="1037"/>
              <w:jc w:val="left"/>
              <w:rPr>
                <w:sz w:val="24"/>
              </w:rPr>
            </w:pPr>
            <w:r>
              <w:rPr>
                <w:sz w:val="24"/>
              </w:rPr>
              <w:t>Nivel de concentrado</w:t>
            </w:r>
          </w:p>
        </w:tc>
        <w:tc>
          <w:tcPr>
            <w:tcW w:w="1022" w:type="dxa"/>
            <w:tcBorders>
              <w:left w:val="nil"/>
              <w:right w:val="nil"/>
            </w:tcBorders>
          </w:tcPr>
          <w:p>
            <w:pPr/>
          </w:p>
        </w:tc>
        <w:tc>
          <w:tcPr>
            <w:tcW w:w="1397" w:type="dxa"/>
            <w:tcBorders>
              <w:left w:val="nil"/>
              <w:bottom w:val="nil"/>
              <w:right w:val="nil"/>
            </w:tcBorders>
          </w:tcPr>
          <w:p>
            <w:pPr>
              <w:pStyle w:val="TableParagraph"/>
              <w:spacing w:line="268" w:lineRule="exact"/>
              <w:ind w:left="403"/>
              <w:jc w:val="left"/>
              <w:rPr>
                <w:sz w:val="16"/>
              </w:rPr>
            </w:pPr>
            <w:r>
              <w:rPr>
                <w:sz w:val="24"/>
              </w:rPr>
              <w:t>EEM</w:t>
            </w:r>
            <w:r>
              <w:rPr>
                <w:position w:val="11"/>
                <w:sz w:val="16"/>
              </w:rPr>
              <w:t>†</w:t>
            </w:r>
          </w:p>
        </w:tc>
      </w:tr>
      <w:tr>
        <w:trPr>
          <w:trHeight w:val="742" w:hRule="exact"/>
        </w:trPr>
        <w:tc>
          <w:tcPr>
            <w:tcW w:w="3525" w:type="dxa"/>
            <w:tcBorders>
              <w:top w:val="nil"/>
              <w:left w:val="nil"/>
              <w:right w:val="nil"/>
            </w:tcBorders>
          </w:tcPr>
          <w:p>
            <w:pPr/>
          </w:p>
        </w:tc>
        <w:tc>
          <w:tcPr>
            <w:tcW w:w="1360" w:type="dxa"/>
            <w:tcBorders>
              <w:left w:val="nil"/>
              <w:right w:val="nil"/>
            </w:tcBorders>
          </w:tcPr>
          <w:p>
            <w:pPr>
              <w:pStyle w:val="TableParagraph"/>
              <w:spacing w:line="268" w:lineRule="exact"/>
              <w:ind w:left="353" w:right="344"/>
              <w:rPr>
                <w:sz w:val="24"/>
              </w:rPr>
            </w:pPr>
            <w:r>
              <w:rPr>
                <w:sz w:val="24"/>
              </w:rPr>
              <w:t>3c</w:t>
            </w:r>
          </w:p>
        </w:tc>
        <w:tc>
          <w:tcPr>
            <w:tcW w:w="1757" w:type="dxa"/>
            <w:tcBorders>
              <w:left w:val="nil"/>
              <w:right w:val="nil"/>
            </w:tcBorders>
          </w:tcPr>
          <w:p>
            <w:pPr>
              <w:pStyle w:val="TableParagraph"/>
              <w:spacing w:line="268" w:lineRule="exact"/>
              <w:ind w:left="575" w:right="915"/>
              <w:rPr>
                <w:sz w:val="24"/>
              </w:rPr>
            </w:pPr>
            <w:r>
              <w:rPr>
                <w:sz w:val="24"/>
              </w:rPr>
              <w:t>5c</w:t>
            </w:r>
          </w:p>
        </w:tc>
        <w:tc>
          <w:tcPr>
            <w:tcW w:w="1022" w:type="dxa"/>
            <w:tcBorders>
              <w:left w:val="nil"/>
              <w:right w:val="nil"/>
            </w:tcBorders>
          </w:tcPr>
          <w:p>
            <w:pPr>
              <w:pStyle w:val="TableParagraph"/>
              <w:spacing w:line="268" w:lineRule="exact"/>
              <w:ind w:left="219"/>
              <w:jc w:val="left"/>
              <w:rPr>
                <w:sz w:val="24"/>
              </w:rPr>
            </w:pPr>
            <w:r>
              <w:rPr>
                <w:sz w:val="24"/>
              </w:rPr>
              <w:t>8c</w:t>
            </w:r>
          </w:p>
        </w:tc>
        <w:tc>
          <w:tcPr>
            <w:tcW w:w="1397" w:type="dxa"/>
            <w:tcBorders>
              <w:top w:val="nil"/>
              <w:left w:val="nil"/>
              <w:right w:val="nil"/>
            </w:tcBorders>
          </w:tcPr>
          <w:p>
            <w:pPr/>
          </w:p>
        </w:tc>
      </w:tr>
      <w:tr>
        <w:trPr>
          <w:trHeight w:val="542" w:hRule="exact"/>
        </w:trPr>
        <w:tc>
          <w:tcPr>
            <w:tcW w:w="3525" w:type="dxa"/>
            <w:tcBorders>
              <w:left w:val="nil"/>
              <w:bottom w:val="nil"/>
              <w:right w:val="nil"/>
            </w:tcBorders>
          </w:tcPr>
          <w:p>
            <w:pPr>
              <w:pStyle w:val="TableParagraph"/>
              <w:spacing w:line="268" w:lineRule="exact"/>
              <w:ind w:left="110"/>
              <w:jc w:val="left"/>
              <w:rPr>
                <w:sz w:val="24"/>
              </w:rPr>
            </w:pPr>
            <w:r>
              <w:rPr>
                <w:sz w:val="24"/>
              </w:rPr>
              <w:t>Ensilado</w:t>
            </w:r>
          </w:p>
        </w:tc>
        <w:tc>
          <w:tcPr>
            <w:tcW w:w="1360" w:type="dxa"/>
            <w:tcBorders>
              <w:left w:val="nil"/>
              <w:bottom w:val="nil"/>
              <w:right w:val="nil"/>
            </w:tcBorders>
          </w:tcPr>
          <w:p>
            <w:pPr>
              <w:pStyle w:val="TableParagraph"/>
              <w:spacing w:line="268" w:lineRule="exact"/>
              <w:ind w:left="350" w:right="344"/>
              <w:rPr>
                <w:sz w:val="16"/>
              </w:rPr>
            </w:pPr>
            <w:r>
              <w:rPr>
                <w:sz w:val="24"/>
              </w:rPr>
              <w:t>7.71</w:t>
            </w:r>
            <w:r>
              <w:rPr>
                <w:position w:val="11"/>
                <w:sz w:val="16"/>
              </w:rPr>
              <w:t>b</w:t>
            </w:r>
          </w:p>
        </w:tc>
        <w:tc>
          <w:tcPr>
            <w:tcW w:w="1757" w:type="dxa"/>
            <w:tcBorders>
              <w:left w:val="nil"/>
              <w:bottom w:val="nil"/>
              <w:right w:val="nil"/>
            </w:tcBorders>
          </w:tcPr>
          <w:p>
            <w:pPr>
              <w:pStyle w:val="TableParagraph"/>
              <w:spacing w:line="268" w:lineRule="exact"/>
              <w:ind w:left="459"/>
              <w:jc w:val="left"/>
              <w:rPr>
                <w:sz w:val="16"/>
              </w:rPr>
            </w:pPr>
            <w:r>
              <w:rPr>
                <w:sz w:val="24"/>
              </w:rPr>
              <w:t>7.40</w:t>
            </w:r>
            <w:r>
              <w:rPr>
                <w:position w:val="11"/>
                <w:sz w:val="16"/>
              </w:rPr>
              <w:t>b</w:t>
            </w:r>
          </w:p>
        </w:tc>
        <w:tc>
          <w:tcPr>
            <w:tcW w:w="1022" w:type="dxa"/>
            <w:tcBorders>
              <w:left w:val="nil"/>
              <w:bottom w:val="nil"/>
              <w:right w:val="nil"/>
            </w:tcBorders>
          </w:tcPr>
          <w:p>
            <w:pPr>
              <w:pStyle w:val="TableParagraph"/>
              <w:spacing w:line="268" w:lineRule="exact"/>
              <w:ind w:left="90"/>
              <w:jc w:val="left"/>
              <w:rPr>
                <w:sz w:val="16"/>
              </w:rPr>
            </w:pPr>
            <w:r>
              <w:rPr>
                <w:sz w:val="24"/>
              </w:rPr>
              <w:t>8.38</w:t>
            </w:r>
            <w:r>
              <w:rPr>
                <w:position w:val="11"/>
                <w:sz w:val="16"/>
              </w:rPr>
              <w:t>a</w:t>
            </w:r>
          </w:p>
        </w:tc>
        <w:tc>
          <w:tcPr>
            <w:tcW w:w="1397" w:type="dxa"/>
            <w:tcBorders>
              <w:left w:val="nil"/>
              <w:bottom w:val="nil"/>
              <w:right w:val="nil"/>
            </w:tcBorders>
          </w:tcPr>
          <w:p>
            <w:pPr>
              <w:pStyle w:val="TableParagraph"/>
              <w:spacing w:line="268" w:lineRule="exact"/>
              <w:ind w:left="369"/>
              <w:jc w:val="left"/>
              <w:rPr>
                <w:sz w:val="24"/>
              </w:rPr>
            </w:pPr>
            <w:r>
              <w:rPr>
                <w:sz w:val="24"/>
              </w:rPr>
              <w:t>0.1243</w:t>
            </w:r>
          </w:p>
        </w:tc>
      </w:tr>
      <w:tr>
        <w:trPr>
          <w:trHeight w:val="731" w:hRule="exact"/>
        </w:trPr>
        <w:tc>
          <w:tcPr>
            <w:tcW w:w="3525" w:type="dxa"/>
            <w:tcBorders>
              <w:top w:val="nil"/>
              <w:left w:val="nil"/>
              <w:bottom w:val="nil"/>
              <w:right w:val="nil"/>
            </w:tcBorders>
          </w:tcPr>
          <w:p>
            <w:pPr>
              <w:pStyle w:val="TableParagraph"/>
              <w:spacing w:before="7"/>
              <w:jc w:val="left"/>
              <w:rPr>
                <w:b/>
                <w:sz w:val="19"/>
              </w:rPr>
            </w:pPr>
          </w:p>
          <w:p>
            <w:pPr>
              <w:pStyle w:val="TableParagraph"/>
              <w:ind w:left="110"/>
              <w:jc w:val="left"/>
              <w:rPr>
                <w:sz w:val="24"/>
              </w:rPr>
            </w:pPr>
            <w:r>
              <w:rPr>
                <w:sz w:val="24"/>
              </w:rPr>
              <w:t>Concentrado</w:t>
            </w:r>
          </w:p>
        </w:tc>
        <w:tc>
          <w:tcPr>
            <w:tcW w:w="1360" w:type="dxa"/>
            <w:tcBorders>
              <w:top w:val="nil"/>
              <w:left w:val="nil"/>
              <w:bottom w:val="nil"/>
              <w:right w:val="nil"/>
            </w:tcBorders>
          </w:tcPr>
          <w:p>
            <w:pPr>
              <w:pStyle w:val="TableParagraph"/>
              <w:spacing w:before="7"/>
              <w:jc w:val="left"/>
              <w:rPr>
                <w:b/>
                <w:sz w:val="19"/>
              </w:rPr>
            </w:pPr>
          </w:p>
          <w:p>
            <w:pPr>
              <w:pStyle w:val="TableParagraph"/>
              <w:ind w:left="355" w:right="342"/>
              <w:rPr>
                <w:sz w:val="24"/>
              </w:rPr>
            </w:pPr>
            <w:r>
              <w:rPr>
                <w:sz w:val="24"/>
              </w:rPr>
              <w:t>2.70</w:t>
            </w:r>
          </w:p>
        </w:tc>
        <w:tc>
          <w:tcPr>
            <w:tcW w:w="1757" w:type="dxa"/>
            <w:tcBorders>
              <w:top w:val="nil"/>
              <w:left w:val="nil"/>
              <w:bottom w:val="nil"/>
              <w:right w:val="nil"/>
            </w:tcBorders>
          </w:tcPr>
          <w:p>
            <w:pPr>
              <w:pStyle w:val="TableParagraph"/>
              <w:spacing w:before="7"/>
              <w:jc w:val="left"/>
              <w:rPr>
                <w:b/>
                <w:sz w:val="19"/>
              </w:rPr>
            </w:pPr>
          </w:p>
          <w:p>
            <w:pPr>
              <w:pStyle w:val="TableParagraph"/>
              <w:ind w:left="498"/>
              <w:jc w:val="left"/>
              <w:rPr>
                <w:sz w:val="24"/>
              </w:rPr>
            </w:pPr>
            <w:r>
              <w:rPr>
                <w:sz w:val="24"/>
              </w:rPr>
              <w:t>4.50</w:t>
            </w:r>
          </w:p>
        </w:tc>
        <w:tc>
          <w:tcPr>
            <w:tcW w:w="1022" w:type="dxa"/>
            <w:tcBorders>
              <w:top w:val="nil"/>
              <w:left w:val="nil"/>
              <w:bottom w:val="nil"/>
              <w:right w:val="nil"/>
            </w:tcBorders>
          </w:tcPr>
          <w:p>
            <w:pPr>
              <w:pStyle w:val="TableParagraph"/>
              <w:spacing w:before="7"/>
              <w:jc w:val="left"/>
              <w:rPr>
                <w:b/>
                <w:sz w:val="19"/>
              </w:rPr>
            </w:pPr>
          </w:p>
          <w:p>
            <w:pPr>
              <w:pStyle w:val="TableParagraph"/>
              <w:ind w:left="123"/>
              <w:jc w:val="left"/>
              <w:rPr>
                <w:sz w:val="24"/>
              </w:rPr>
            </w:pPr>
            <w:r>
              <w:rPr>
                <w:sz w:val="24"/>
              </w:rPr>
              <w:t>7.20</w:t>
            </w:r>
          </w:p>
        </w:tc>
        <w:tc>
          <w:tcPr>
            <w:tcW w:w="1397" w:type="dxa"/>
            <w:tcBorders>
              <w:top w:val="nil"/>
              <w:left w:val="nil"/>
              <w:bottom w:val="nil"/>
              <w:right w:val="nil"/>
            </w:tcBorders>
          </w:tcPr>
          <w:p>
            <w:pPr/>
          </w:p>
        </w:tc>
      </w:tr>
      <w:tr>
        <w:trPr>
          <w:trHeight w:val="751" w:hRule="exact"/>
        </w:trPr>
        <w:tc>
          <w:tcPr>
            <w:tcW w:w="3525" w:type="dxa"/>
            <w:tcBorders>
              <w:top w:val="nil"/>
              <w:left w:val="nil"/>
              <w:bottom w:val="nil"/>
              <w:right w:val="nil"/>
            </w:tcBorders>
          </w:tcPr>
          <w:p>
            <w:pPr>
              <w:pStyle w:val="TableParagraph"/>
              <w:spacing w:before="213"/>
              <w:ind w:left="110"/>
              <w:jc w:val="left"/>
              <w:rPr>
                <w:sz w:val="16"/>
              </w:rPr>
            </w:pPr>
            <w:r>
              <w:rPr>
                <w:sz w:val="24"/>
              </w:rPr>
              <w:t>Estabulado</w:t>
            </w:r>
            <w:r>
              <w:rPr>
                <w:position w:val="11"/>
                <w:sz w:val="16"/>
              </w:rPr>
              <w:t>¶</w:t>
            </w:r>
          </w:p>
        </w:tc>
        <w:tc>
          <w:tcPr>
            <w:tcW w:w="1360" w:type="dxa"/>
            <w:tcBorders>
              <w:top w:val="nil"/>
              <w:left w:val="nil"/>
              <w:bottom w:val="nil"/>
              <w:right w:val="nil"/>
            </w:tcBorders>
          </w:tcPr>
          <w:p>
            <w:pPr>
              <w:pStyle w:val="TableParagraph"/>
              <w:spacing w:before="213"/>
              <w:ind w:left="355" w:right="344"/>
              <w:rPr>
                <w:sz w:val="16"/>
              </w:rPr>
            </w:pPr>
            <w:r>
              <w:rPr>
                <w:sz w:val="24"/>
              </w:rPr>
              <w:t>10.41</w:t>
            </w:r>
            <w:r>
              <w:rPr>
                <w:position w:val="11"/>
                <w:sz w:val="16"/>
              </w:rPr>
              <w:t>c</w:t>
            </w:r>
          </w:p>
        </w:tc>
        <w:tc>
          <w:tcPr>
            <w:tcW w:w="1757" w:type="dxa"/>
            <w:tcBorders>
              <w:top w:val="nil"/>
              <w:left w:val="nil"/>
              <w:bottom w:val="nil"/>
              <w:right w:val="nil"/>
            </w:tcBorders>
          </w:tcPr>
          <w:p>
            <w:pPr>
              <w:pStyle w:val="TableParagraph"/>
              <w:spacing w:before="213"/>
              <w:ind w:left="397"/>
              <w:jc w:val="left"/>
              <w:rPr>
                <w:sz w:val="16"/>
              </w:rPr>
            </w:pPr>
            <w:r>
              <w:rPr>
                <w:sz w:val="24"/>
              </w:rPr>
              <w:t>11.90</w:t>
            </w:r>
            <w:r>
              <w:rPr>
                <w:position w:val="11"/>
                <w:sz w:val="16"/>
              </w:rPr>
              <w:t>b</w:t>
            </w:r>
          </w:p>
        </w:tc>
        <w:tc>
          <w:tcPr>
            <w:tcW w:w="1022" w:type="dxa"/>
            <w:tcBorders>
              <w:top w:val="nil"/>
              <w:left w:val="nil"/>
              <w:bottom w:val="nil"/>
              <w:right w:val="nil"/>
            </w:tcBorders>
          </w:tcPr>
          <w:p>
            <w:pPr>
              <w:pStyle w:val="TableParagraph"/>
              <w:spacing w:before="213"/>
              <w:ind w:left="27"/>
              <w:jc w:val="left"/>
              <w:rPr>
                <w:sz w:val="16"/>
              </w:rPr>
            </w:pPr>
            <w:r>
              <w:rPr>
                <w:sz w:val="24"/>
              </w:rPr>
              <w:t>15.58</w:t>
            </w:r>
            <w:r>
              <w:rPr>
                <w:position w:val="11"/>
                <w:sz w:val="16"/>
              </w:rPr>
              <w:t>a</w:t>
            </w:r>
          </w:p>
        </w:tc>
        <w:tc>
          <w:tcPr>
            <w:tcW w:w="1397" w:type="dxa"/>
            <w:tcBorders>
              <w:top w:val="nil"/>
              <w:left w:val="nil"/>
              <w:bottom w:val="nil"/>
              <w:right w:val="nil"/>
            </w:tcBorders>
          </w:tcPr>
          <w:p>
            <w:pPr>
              <w:pStyle w:val="TableParagraph"/>
              <w:spacing w:before="6"/>
              <w:jc w:val="left"/>
              <w:rPr>
                <w:b/>
                <w:sz w:val="21"/>
              </w:rPr>
            </w:pPr>
          </w:p>
          <w:p>
            <w:pPr>
              <w:pStyle w:val="TableParagraph"/>
              <w:spacing w:before="1"/>
              <w:ind w:left="369"/>
              <w:jc w:val="left"/>
              <w:rPr>
                <w:sz w:val="24"/>
              </w:rPr>
            </w:pPr>
            <w:r>
              <w:rPr>
                <w:sz w:val="24"/>
              </w:rPr>
              <w:t>0.1536</w:t>
            </w:r>
          </w:p>
        </w:tc>
      </w:tr>
      <w:tr>
        <w:trPr>
          <w:trHeight w:val="751" w:hRule="exact"/>
        </w:trPr>
        <w:tc>
          <w:tcPr>
            <w:tcW w:w="3525" w:type="dxa"/>
            <w:tcBorders>
              <w:top w:val="nil"/>
              <w:left w:val="nil"/>
              <w:bottom w:val="nil"/>
              <w:right w:val="nil"/>
            </w:tcBorders>
          </w:tcPr>
          <w:p>
            <w:pPr>
              <w:pStyle w:val="TableParagraph"/>
              <w:spacing w:before="210"/>
              <w:ind w:left="110"/>
              <w:jc w:val="left"/>
              <w:rPr>
                <w:sz w:val="24"/>
              </w:rPr>
            </w:pPr>
            <w:r>
              <w:rPr>
                <w:sz w:val="24"/>
              </w:rPr>
              <w:t>Producción láctea (kg d</w:t>
            </w:r>
            <w:r>
              <w:rPr>
                <w:position w:val="11"/>
                <w:sz w:val="16"/>
              </w:rPr>
              <w:t>-1</w:t>
            </w:r>
            <w:r>
              <w:rPr>
                <w:sz w:val="24"/>
              </w:rPr>
              <w:t>)</w:t>
            </w:r>
          </w:p>
        </w:tc>
        <w:tc>
          <w:tcPr>
            <w:tcW w:w="1360" w:type="dxa"/>
            <w:tcBorders>
              <w:top w:val="nil"/>
              <w:left w:val="nil"/>
              <w:bottom w:val="nil"/>
              <w:right w:val="nil"/>
            </w:tcBorders>
          </w:tcPr>
          <w:p>
            <w:pPr>
              <w:pStyle w:val="TableParagraph"/>
              <w:spacing w:before="210"/>
              <w:ind w:left="355" w:right="344"/>
              <w:rPr>
                <w:sz w:val="16"/>
              </w:rPr>
            </w:pPr>
            <w:r>
              <w:rPr>
                <w:sz w:val="24"/>
              </w:rPr>
              <w:t>15.46</w:t>
            </w:r>
            <w:r>
              <w:rPr>
                <w:position w:val="11"/>
                <w:sz w:val="16"/>
              </w:rPr>
              <w:t>c</w:t>
            </w:r>
          </w:p>
        </w:tc>
        <w:tc>
          <w:tcPr>
            <w:tcW w:w="1757" w:type="dxa"/>
            <w:tcBorders>
              <w:top w:val="nil"/>
              <w:left w:val="nil"/>
              <w:bottom w:val="nil"/>
              <w:right w:val="nil"/>
            </w:tcBorders>
          </w:tcPr>
          <w:p>
            <w:pPr>
              <w:pStyle w:val="TableParagraph"/>
              <w:spacing w:before="210"/>
              <w:ind w:left="397"/>
              <w:jc w:val="left"/>
              <w:rPr>
                <w:sz w:val="16"/>
              </w:rPr>
            </w:pPr>
            <w:r>
              <w:rPr>
                <w:sz w:val="24"/>
              </w:rPr>
              <w:t>17.07</w:t>
            </w:r>
            <w:r>
              <w:rPr>
                <w:position w:val="11"/>
                <w:sz w:val="16"/>
              </w:rPr>
              <w:t>b</w:t>
            </w:r>
          </w:p>
        </w:tc>
        <w:tc>
          <w:tcPr>
            <w:tcW w:w="1022" w:type="dxa"/>
            <w:tcBorders>
              <w:top w:val="nil"/>
              <w:left w:val="nil"/>
              <w:bottom w:val="nil"/>
              <w:right w:val="nil"/>
            </w:tcBorders>
          </w:tcPr>
          <w:p>
            <w:pPr>
              <w:pStyle w:val="TableParagraph"/>
              <w:spacing w:before="210"/>
              <w:ind w:left="27"/>
              <w:jc w:val="left"/>
              <w:rPr>
                <w:sz w:val="16"/>
              </w:rPr>
            </w:pPr>
            <w:r>
              <w:rPr>
                <w:sz w:val="24"/>
              </w:rPr>
              <w:t>19.03</w:t>
            </w:r>
            <w:r>
              <w:rPr>
                <w:position w:val="11"/>
                <w:sz w:val="16"/>
              </w:rPr>
              <w:t>a</w:t>
            </w:r>
          </w:p>
        </w:tc>
        <w:tc>
          <w:tcPr>
            <w:tcW w:w="1397" w:type="dxa"/>
            <w:tcBorders>
              <w:top w:val="nil"/>
              <w:left w:val="nil"/>
              <w:bottom w:val="nil"/>
              <w:right w:val="nil"/>
            </w:tcBorders>
          </w:tcPr>
          <w:p>
            <w:pPr>
              <w:pStyle w:val="TableParagraph"/>
              <w:spacing w:before="4"/>
              <w:jc w:val="left"/>
              <w:rPr>
                <w:b/>
                <w:sz w:val="21"/>
              </w:rPr>
            </w:pPr>
          </w:p>
          <w:p>
            <w:pPr>
              <w:pStyle w:val="TableParagraph"/>
              <w:ind w:left="369"/>
              <w:jc w:val="left"/>
              <w:rPr>
                <w:sz w:val="24"/>
              </w:rPr>
            </w:pPr>
            <w:r>
              <w:rPr>
                <w:sz w:val="24"/>
              </w:rPr>
              <w:t>0.3317</w:t>
            </w:r>
          </w:p>
        </w:tc>
      </w:tr>
      <w:tr>
        <w:trPr>
          <w:trHeight w:val="754" w:hRule="exact"/>
        </w:trPr>
        <w:tc>
          <w:tcPr>
            <w:tcW w:w="3525" w:type="dxa"/>
            <w:tcBorders>
              <w:top w:val="nil"/>
              <w:left w:val="nil"/>
              <w:bottom w:val="nil"/>
              <w:right w:val="nil"/>
            </w:tcBorders>
          </w:tcPr>
          <w:p>
            <w:pPr>
              <w:pStyle w:val="TableParagraph"/>
              <w:spacing w:before="213"/>
              <w:ind w:left="110"/>
              <w:jc w:val="left"/>
              <w:rPr>
                <w:sz w:val="24"/>
              </w:rPr>
            </w:pPr>
            <w:r>
              <w:rPr>
                <w:sz w:val="24"/>
              </w:rPr>
              <w:t>Proteína (g kg</w:t>
            </w:r>
            <w:r>
              <w:rPr>
                <w:position w:val="11"/>
                <w:sz w:val="16"/>
              </w:rPr>
              <w:t>-1</w:t>
            </w:r>
            <w:r>
              <w:rPr>
                <w:sz w:val="24"/>
              </w:rPr>
              <w:t>)</w:t>
            </w:r>
          </w:p>
        </w:tc>
        <w:tc>
          <w:tcPr>
            <w:tcW w:w="1360" w:type="dxa"/>
            <w:tcBorders>
              <w:top w:val="nil"/>
              <w:left w:val="nil"/>
              <w:bottom w:val="nil"/>
              <w:right w:val="nil"/>
            </w:tcBorders>
          </w:tcPr>
          <w:p>
            <w:pPr>
              <w:pStyle w:val="TableParagraph"/>
              <w:spacing w:before="7"/>
              <w:jc w:val="left"/>
              <w:rPr>
                <w:b/>
                <w:sz w:val="21"/>
              </w:rPr>
            </w:pPr>
          </w:p>
          <w:p>
            <w:pPr>
              <w:pStyle w:val="TableParagraph"/>
              <w:ind w:left="352" w:right="344"/>
              <w:rPr>
                <w:sz w:val="24"/>
              </w:rPr>
            </w:pPr>
            <w:r>
              <w:rPr>
                <w:sz w:val="24"/>
              </w:rPr>
              <w:t>31.98</w:t>
            </w:r>
          </w:p>
        </w:tc>
        <w:tc>
          <w:tcPr>
            <w:tcW w:w="1757" w:type="dxa"/>
            <w:tcBorders>
              <w:top w:val="nil"/>
              <w:left w:val="nil"/>
              <w:bottom w:val="nil"/>
              <w:right w:val="nil"/>
            </w:tcBorders>
          </w:tcPr>
          <w:p>
            <w:pPr>
              <w:pStyle w:val="TableParagraph"/>
              <w:spacing w:before="7"/>
              <w:jc w:val="left"/>
              <w:rPr>
                <w:b/>
                <w:sz w:val="21"/>
              </w:rPr>
            </w:pPr>
          </w:p>
          <w:p>
            <w:pPr>
              <w:pStyle w:val="TableParagraph"/>
              <w:ind w:left="440"/>
              <w:jc w:val="left"/>
              <w:rPr>
                <w:sz w:val="24"/>
              </w:rPr>
            </w:pPr>
            <w:r>
              <w:rPr>
                <w:sz w:val="24"/>
              </w:rPr>
              <w:t>30.74</w:t>
            </w:r>
          </w:p>
        </w:tc>
        <w:tc>
          <w:tcPr>
            <w:tcW w:w="1022" w:type="dxa"/>
            <w:tcBorders>
              <w:top w:val="nil"/>
              <w:left w:val="nil"/>
              <w:bottom w:val="nil"/>
              <w:right w:val="nil"/>
            </w:tcBorders>
          </w:tcPr>
          <w:p>
            <w:pPr>
              <w:pStyle w:val="TableParagraph"/>
              <w:spacing w:before="7"/>
              <w:jc w:val="left"/>
              <w:rPr>
                <w:b/>
                <w:sz w:val="21"/>
              </w:rPr>
            </w:pPr>
          </w:p>
          <w:p>
            <w:pPr>
              <w:pStyle w:val="TableParagraph"/>
              <w:ind w:left="66"/>
              <w:jc w:val="left"/>
              <w:rPr>
                <w:sz w:val="24"/>
              </w:rPr>
            </w:pPr>
            <w:r>
              <w:rPr>
                <w:sz w:val="24"/>
              </w:rPr>
              <w:t>31.04</w:t>
            </w:r>
          </w:p>
        </w:tc>
        <w:tc>
          <w:tcPr>
            <w:tcW w:w="1397" w:type="dxa"/>
            <w:tcBorders>
              <w:top w:val="nil"/>
              <w:left w:val="nil"/>
              <w:bottom w:val="nil"/>
              <w:right w:val="nil"/>
            </w:tcBorders>
          </w:tcPr>
          <w:p>
            <w:pPr>
              <w:pStyle w:val="TableParagraph"/>
              <w:spacing w:before="7"/>
              <w:jc w:val="left"/>
              <w:rPr>
                <w:b/>
                <w:sz w:val="21"/>
              </w:rPr>
            </w:pPr>
          </w:p>
          <w:p>
            <w:pPr>
              <w:pStyle w:val="TableParagraph"/>
              <w:ind w:left="369"/>
              <w:jc w:val="left"/>
              <w:rPr>
                <w:sz w:val="24"/>
              </w:rPr>
            </w:pPr>
            <w:r>
              <w:rPr>
                <w:sz w:val="24"/>
              </w:rPr>
              <w:t>0.5256</w:t>
            </w:r>
          </w:p>
        </w:tc>
      </w:tr>
      <w:tr>
        <w:trPr>
          <w:trHeight w:val="751" w:hRule="exact"/>
        </w:trPr>
        <w:tc>
          <w:tcPr>
            <w:tcW w:w="3525" w:type="dxa"/>
            <w:tcBorders>
              <w:top w:val="nil"/>
              <w:left w:val="nil"/>
              <w:bottom w:val="nil"/>
              <w:right w:val="nil"/>
            </w:tcBorders>
          </w:tcPr>
          <w:p>
            <w:pPr>
              <w:pStyle w:val="TableParagraph"/>
              <w:spacing w:before="213"/>
              <w:ind w:left="110"/>
              <w:jc w:val="left"/>
              <w:rPr>
                <w:sz w:val="24"/>
              </w:rPr>
            </w:pPr>
            <w:r>
              <w:rPr>
                <w:sz w:val="24"/>
              </w:rPr>
              <w:t>Grasa (g kg</w:t>
            </w:r>
            <w:r>
              <w:rPr>
                <w:position w:val="11"/>
                <w:sz w:val="16"/>
              </w:rPr>
              <w:t>-1</w:t>
            </w:r>
            <w:r>
              <w:rPr>
                <w:sz w:val="24"/>
              </w:rPr>
              <w:t>)</w:t>
            </w:r>
          </w:p>
        </w:tc>
        <w:tc>
          <w:tcPr>
            <w:tcW w:w="1360" w:type="dxa"/>
            <w:tcBorders>
              <w:top w:val="nil"/>
              <w:left w:val="nil"/>
              <w:bottom w:val="nil"/>
              <w:right w:val="nil"/>
            </w:tcBorders>
          </w:tcPr>
          <w:p>
            <w:pPr>
              <w:pStyle w:val="TableParagraph"/>
              <w:spacing w:before="6"/>
              <w:jc w:val="left"/>
              <w:rPr>
                <w:b/>
                <w:sz w:val="21"/>
              </w:rPr>
            </w:pPr>
          </w:p>
          <w:p>
            <w:pPr>
              <w:pStyle w:val="TableParagraph"/>
              <w:ind w:left="352" w:right="344"/>
              <w:rPr>
                <w:sz w:val="24"/>
              </w:rPr>
            </w:pPr>
            <w:r>
              <w:rPr>
                <w:sz w:val="24"/>
              </w:rPr>
              <w:t>37.38</w:t>
            </w:r>
          </w:p>
        </w:tc>
        <w:tc>
          <w:tcPr>
            <w:tcW w:w="1757" w:type="dxa"/>
            <w:tcBorders>
              <w:top w:val="nil"/>
              <w:left w:val="nil"/>
              <w:bottom w:val="nil"/>
              <w:right w:val="nil"/>
            </w:tcBorders>
          </w:tcPr>
          <w:p>
            <w:pPr>
              <w:pStyle w:val="TableParagraph"/>
              <w:spacing w:before="6"/>
              <w:jc w:val="left"/>
              <w:rPr>
                <w:b/>
                <w:sz w:val="21"/>
              </w:rPr>
            </w:pPr>
          </w:p>
          <w:p>
            <w:pPr>
              <w:pStyle w:val="TableParagraph"/>
              <w:ind w:left="440"/>
              <w:jc w:val="left"/>
              <w:rPr>
                <w:sz w:val="24"/>
              </w:rPr>
            </w:pPr>
            <w:r>
              <w:rPr>
                <w:sz w:val="24"/>
              </w:rPr>
              <w:t>35.86</w:t>
            </w:r>
          </w:p>
        </w:tc>
        <w:tc>
          <w:tcPr>
            <w:tcW w:w="1022" w:type="dxa"/>
            <w:tcBorders>
              <w:top w:val="nil"/>
              <w:left w:val="nil"/>
              <w:bottom w:val="nil"/>
              <w:right w:val="nil"/>
            </w:tcBorders>
          </w:tcPr>
          <w:p>
            <w:pPr>
              <w:pStyle w:val="TableParagraph"/>
              <w:spacing w:before="6"/>
              <w:jc w:val="left"/>
              <w:rPr>
                <w:b/>
                <w:sz w:val="21"/>
              </w:rPr>
            </w:pPr>
          </w:p>
          <w:p>
            <w:pPr>
              <w:pStyle w:val="TableParagraph"/>
              <w:ind w:left="66"/>
              <w:jc w:val="left"/>
              <w:rPr>
                <w:sz w:val="24"/>
              </w:rPr>
            </w:pPr>
            <w:r>
              <w:rPr>
                <w:sz w:val="24"/>
              </w:rPr>
              <w:t>36.63</w:t>
            </w:r>
          </w:p>
        </w:tc>
        <w:tc>
          <w:tcPr>
            <w:tcW w:w="1397" w:type="dxa"/>
            <w:tcBorders>
              <w:top w:val="nil"/>
              <w:left w:val="nil"/>
              <w:bottom w:val="nil"/>
              <w:right w:val="nil"/>
            </w:tcBorders>
          </w:tcPr>
          <w:p>
            <w:pPr>
              <w:pStyle w:val="TableParagraph"/>
              <w:spacing w:before="6"/>
              <w:jc w:val="left"/>
              <w:rPr>
                <w:b/>
                <w:sz w:val="21"/>
              </w:rPr>
            </w:pPr>
          </w:p>
          <w:p>
            <w:pPr>
              <w:pStyle w:val="TableParagraph"/>
              <w:ind w:left="369"/>
              <w:jc w:val="left"/>
              <w:rPr>
                <w:sz w:val="24"/>
              </w:rPr>
            </w:pPr>
            <w:r>
              <w:rPr>
                <w:sz w:val="24"/>
              </w:rPr>
              <w:t>0.9707</w:t>
            </w:r>
          </w:p>
        </w:tc>
      </w:tr>
      <w:tr>
        <w:trPr>
          <w:trHeight w:val="751" w:hRule="exact"/>
        </w:trPr>
        <w:tc>
          <w:tcPr>
            <w:tcW w:w="3525" w:type="dxa"/>
            <w:tcBorders>
              <w:top w:val="nil"/>
              <w:left w:val="nil"/>
              <w:bottom w:val="nil"/>
              <w:right w:val="nil"/>
            </w:tcBorders>
          </w:tcPr>
          <w:p>
            <w:pPr>
              <w:pStyle w:val="TableParagraph"/>
              <w:spacing w:before="210"/>
              <w:ind w:left="110"/>
              <w:jc w:val="left"/>
              <w:rPr>
                <w:sz w:val="24"/>
              </w:rPr>
            </w:pPr>
            <w:r>
              <w:rPr>
                <w:sz w:val="24"/>
              </w:rPr>
              <w:t>Lactosa (g kg</w:t>
            </w:r>
            <w:r>
              <w:rPr>
                <w:position w:val="11"/>
                <w:sz w:val="16"/>
              </w:rPr>
              <w:t>-1</w:t>
            </w:r>
            <w:r>
              <w:rPr>
                <w:sz w:val="24"/>
              </w:rPr>
              <w:t>)</w:t>
            </w:r>
          </w:p>
        </w:tc>
        <w:tc>
          <w:tcPr>
            <w:tcW w:w="1360" w:type="dxa"/>
            <w:tcBorders>
              <w:top w:val="nil"/>
              <w:left w:val="nil"/>
              <w:bottom w:val="nil"/>
              <w:right w:val="nil"/>
            </w:tcBorders>
          </w:tcPr>
          <w:p>
            <w:pPr>
              <w:pStyle w:val="TableParagraph"/>
              <w:spacing w:before="4"/>
              <w:jc w:val="left"/>
              <w:rPr>
                <w:b/>
                <w:sz w:val="21"/>
              </w:rPr>
            </w:pPr>
          </w:p>
          <w:p>
            <w:pPr>
              <w:pStyle w:val="TableParagraph"/>
              <w:ind w:left="352" w:right="344"/>
              <w:rPr>
                <w:sz w:val="24"/>
              </w:rPr>
            </w:pPr>
            <w:r>
              <w:rPr>
                <w:sz w:val="24"/>
              </w:rPr>
              <w:t>43.69</w:t>
            </w:r>
          </w:p>
        </w:tc>
        <w:tc>
          <w:tcPr>
            <w:tcW w:w="1757" w:type="dxa"/>
            <w:tcBorders>
              <w:top w:val="nil"/>
              <w:left w:val="nil"/>
              <w:bottom w:val="nil"/>
              <w:right w:val="nil"/>
            </w:tcBorders>
          </w:tcPr>
          <w:p>
            <w:pPr>
              <w:pStyle w:val="TableParagraph"/>
              <w:spacing w:before="4"/>
              <w:jc w:val="left"/>
              <w:rPr>
                <w:b/>
                <w:sz w:val="21"/>
              </w:rPr>
            </w:pPr>
          </w:p>
          <w:p>
            <w:pPr>
              <w:pStyle w:val="TableParagraph"/>
              <w:ind w:left="440"/>
              <w:jc w:val="left"/>
              <w:rPr>
                <w:sz w:val="24"/>
              </w:rPr>
            </w:pPr>
            <w:r>
              <w:rPr>
                <w:sz w:val="24"/>
              </w:rPr>
              <w:t>44.08</w:t>
            </w:r>
          </w:p>
        </w:tc>
        <w:tc>
          <w:tcPr>
            <w:tcW w:w="1022" w:type="dxa"/>
            <w:tcBorders>
              <w:top w:val="nil"/>
              <w:left w:val="nil"/>
              <w:bottom w:val="nil"/>
              <w:right w:val="nil"/>
            </w:tcBorders>
          </w:tcPr>
          <w:p>
            <w:pPr>
              <w:pStyle w:val="TableParagraph"/>
              <w:spacing w:before="4"/>
              <w:jc w:val="left"/>
              <w:rPr>
                <w:b/>
                <w:sz w:val="21"/>
              </w:rPr>
            </w:pPr>
          </w:p>
          <w:p>
            <w:pPr>
              <w:pStyle w:val="TableParagraph"/>
              <w:ind w:left="66"/>
              <w:jc w:val="left"/>
              <w:rPr>
                <w:sz w:val="24"/>
              </w:rPr>
            </w:pPr>
            <w:r>
              <w:rPr>
                <w:sz w:val="24"/>
              </w:rPr>
              <w:t>43.72</w:t>
            </w:r>
          </w:p>
        </w:tc>
        <w:tc>
          <w:tcPr>
            <w:tcW w:w="1397" w:type="dxa"/>
            <w:tcBorders>
              <w:top w:val="nil"/>
              <w:left w:val="nil"/>
              <w:bottom w:val="nil"/>
              <w:right w:val="nil"/>
            </w:tcBorders>
          </w:tcPr>
          <w:p>
            <w:pPr>
              <w:pStyle w:val="TableParagraph"/>
              <w:spacing w:before="4"/>
              <w:jc w:val="left"/>
              <w:rPr>
                <w:b/>
                <w:sz w:val="21"/>
              </w:rPr>
            </w:pPr>
          </w:p>
          <w:p>
            <w:pPr>
              <w:pStyle w:val="TableParagraph"/>
              <w:ind w:left="369"/>
              <w:jc w:val="left"/>
              <w:rPr>
                <w:sz w:val="24"/>
              </w:rPr>
            </w:pPr>
            <w:r>
              <w:rPr>
                <w:sz w:val="24"/>
              </w:rPr>
              <w:t>0.4236</w:t>
            </w:r>
          </w:p>
        </w:tc>
      </w:tr>
      <w:tr>
        <w:trPr>
          <w:trHeight w:val="754" w:hRule="exact"/>
        </w:trPr>
        <w:tc>
          <w:tcPr>
            <w:tcW w:w="3525" w:type="dxa"/>
            <w:tcBorders>
              <w:top w:val="nil"/>
              <w:left w:val="nil"/>
              <w:bottom w:val="nil"/>
              <w:right w:val="nil"/>
            </w:tcBorders>
          </w:tcPr>
          <w:p>
            <w:pPr>
              <w:pStyle w:val="TableParagraph"/>
              <w:spacing w:before="213"/>
              <w:ind w:left="110"/>
              <w:jc w:val="left"/>
              <w:rPr>
                <w:sz w:val="24"/>
              </w:rPr>
            </w:pPr>
            <w:r>
              <w:rPr>
                <w:sz w:val="24"/>
              </w:rPr>
              <w:t>Proteína (kg d</w:t>
            </w:r>
            <w:r>
              <w:rPr>
                <w:position w:val="11"/>
                <w:sz w:val="16"/>
              </w:rPr>
              <w:t>-1</w:t>
            </w:r>
            <w:r>
              <w:rPr>
                <w:sz w:val="24"/>
              </w:rPr>
              <w:t>)</w:t>
            </w:r>
          </w:p>
        </w:tc>
        <w:tc>
          <w:tcPr>
            <w:tcW w:w="1360" w:type="dxa"/>
            <w:tcBorders>
              <w:top w:val="nil"/>
              <w:left w:val="nil"/>
              <w:bottom w:val="nil"/>
              <w:right w:val="nil"/>
            </w:tcBorders>
          </w:tcPr>
          <w:p>
            <w:pPr>
              <w:pStyle w:val="TableParagraph"/>
              <w:spacing w:before="213"/>
              <w:ind w:left="355" w:right="344"/>
              <w:rPr>
                <w:sz w:val="16"/>
              </w:rPr>
            </w:pPr>
            <w:r>
              <w:rPr>
                <w:sz w:val="24"/>
              </w:rPr>
              <w:t>0.493</w:t>
            </w:r>
            <w:r>
              <w:rPr>
                <w:position w:val="11"/>
                <w:sz w:val="16"/>
              </w:rPr>
              <w:t>b</w:t>
            </w:r>
          </w:p>
        </w:tc>
        <w:tc>
          <w:tcPr>
            <w:tcW w:w="1757" w:type="dxa"/>
            <w:tcBorders>
              <w:top w:val="nil"/>
              <w:left w:val="nil"/>
              <w:bottom w:val="nil"/>
              <w:right w:val="nil"/>
            </w:tcBorders>
          </w:tcPr>
          <w:p>
            <w:pPr>
              <w:pStyle w:val="TableParagraph"/>
              <w:spacing w:before="213"/>
              <w:ind w:left="397"/>
              <w:jc w:val="left"/>
              <w:rPr>
                <w:sz w:val="16"/>
              </w:rPr>
            </w:pPr>
            <w:r>
              <w:rPr>
                <w:sz w:val="24"/>
              </w:rPr>
              <w:t>0.523</w:t>
            </w:r>
            <w:r>
              <w:rPr>
                <w:position w:val="11"/>
                <w:sz w:val="16"/>
              </w:rPr>
              <w:t>b</w:t>
            </w:r>
          </w:p>
        </w:tc>
        <w:tc>
          <w:tcPr>
            <w:tcW w:w="1022" w:type="dxa"/>
            <w:tcBorders>
              <w:top w:val="nil"/>
              <w:left w:val="nil"/>
              <w:bottom w:val="nil"/>
              <w:right w:val="nil"/>
            </w:tcBorders>
          </w:tcPr>
          <w:p>
            <w:pPr>
              <w:pStyle w:val="TableParagraph"/>
              <w:spacing w:before="213"/>
              <w:ind w:left="27"/>
              <w:jc w:val="left"/>
              <w:rPr>
                <w:sz w:val="16"/>
              </w:rPr>
            </w:pPr>
            <w:r>
              <w:rPr>
                <w:sz w:val="24"/>
              </w:rPr>
              <w:t>0.592</w:t>
            </w:r>
            <w:r>
              <w:rPr>
                <w:position w:val="11"/>
                <w:sz w:val="16"/>
              </w:rPr>
              <w:t>a</w:t>
            </w:r>
          </w:p>
        </w:tc>
        <w:tc>
          <w:tcPr>
            <w:tcW w:w="1397" w:type="dxa"/>
            <w:tcBorders>
              <w:top w:val="nil"/>
              <w:left w:val="nil"/>
              <w:bottom w:val="nil"/>
              <w:right w:val="nil"/>
            </w:tcBorders>
          </w:tcPr>
          <w:p>
            <w:pPr>
              <w:pStyle w:val="TableParagraph"/>
              <w:spacing w:before="7"/>
              <w:jc w:val="left"/>
              <w:rPr>
                <w:b/>
                <w:sz w:val="21"/>
              </w:rPr>
            </w:pPr>
          </w:p>
          <w:p>
            <w:pPr>
              <w:pStyle w:val="TableParagraph"/>
              <w:ind w:left="369"/>
              <w:jc w:val="left"/>
              <w:rPr>
                <w:sz w:val="24"/>
              </w:rPr>
            </w:pPr>
            <w:r>
              <w:rPr>
                <w:sz w:val="24"/>
              </w:rPr>
              <w:t>0.0127</w:t>
            </w:r>
          </w:p>
        </w:tc>
      </w:tr>
      <w:tr>
        <w:trPr>
          <w:trHeight w:val="751" w:hRule="exact"/>
        </w:trPr>
        <w:tc>
          <w:tcPr>
            <w:tcW w:w="3525" w:type="dxa"/>
            <w:tcBorders>
              <w:top w:val="nil"/>
              <w:left w:val="nil"/>
              <w:bottom w:val="nil"/>
              <w:right w:val="nil"/>
            </w:tcBorders>
          </w:tcPr>
          <w:p>
            <w:pPr>
              <w:pStyle w:val="TableParagraph"/>
              <w:spacing w:before="213"/>
              <w:ind w:left="110"/>
              <w:jc w:val="left"/>
              <w:rPr>
                <w:sz w:val="24"/>
              </w:rPr>
            </w:pPr>
            <w:r>
              <w:rPr>
                <w:sz w:val="24"/>
              </w:rPr>
              <w:t>Grasa (kg d</w:t>
            </w:r>
            <w:r>
              <w:rPr>
                <w:position w:val="11"/>
                <w:sz w:val="16"/>
              </w:rPr>
              <w:t>-1</w:t>
            </w:r>
            <w:r>
              <w:rPr>
                <w:sz w:val="24"/>
              </w:rPr>
              <w:t>)</w:t>
            </w:r>
          </w:p>
        </w:tc>
        <w:tc>
          <w:tcPr>
            <w:tcW w:w="1360" w:type="dxa"/>
            <w:tcBorders>
              <w:top w:val="nil"/>
              <w:left w:val="nil"/>
              <w:bottom w:val="nil"/>
              <w:right w:val="nil"/>
            </w:tcBorders>
          </w:tcPr>
          <w:p>
            <w:pPr>
              <w:pStyle w:val="TableParagraph"/>
              <w:spacing w:before="213"/>
              <w:ind w:left="355" w:right="344"/>
              <w:rPr>
                <w:sz w:val="16"/>
              </w:rPr>
            </w:pPr>
            <w:r>
              <w:rPr>
                <w:sz w:val="24"/>
              </w:rPr>
              <w:t>0.584</w:t>
            </w:r>
            <w:r>
              <w:rPr>
                <w:position w:val="11"/>
                <w:sz w:val="16"/>
              </w:rPr>
              <w:t>b</w:t>
            </w:r>
          </w:p>
        </w:tc>
        <w:tc>
          <w:tcPr>
            <w:tcW w:w="1757" w:type="dxa"/>
            <w:tcBorders>
              <w:top w:val="nil"/>
              <w:left w:val="nil"/>
              <w:bottom w:val="nil"/>
              <w:right w:val="nil"/>
            </w:tcBorders>
          </w:tcPr>
          <w:p>
            <w:pPr>
              <w:pStyle w:val="TableParagraph"/>
              <w:spacing w:before="213"/>
              <w:ind w:left="363"/>
              <w:jc w:val="left"/>
              <w:rPr>
                <w:sz w:val="16"/>
              </w:rPr>
            </w:pPr>
            <w:r>
              <w:rPr>
                <w:sz w:val="24"/>
              </w:rPr>
              <w:t>0.613</w:t>
            </w:r>
            <w:r>
              <w:rPr>
                <w:position w:val="11"/>
                <w:sz w:val="16"/>
              </w:rPr>
              <w:t>ab</w:t>
            </w:r>
          </w:p>
        </w:tc>
        <w:tc>
          <w:tcPr>
            <w:tcW w:w="1022" w:type="dxa"/>
            <w:tcBorders>
              <w:top w:val="nil"/>
              <w:left w:val="nil"/>
              <w:bottom w:val="nil"/>
              <w:right w:val="nil"/>
            </w:tcBorders>
          </w:tcPr>
          <w:p>
            <w:pPr>
              <w:pStyle w:val="TableParagraph"/>
              <w:spacing w:before="213"/>
              <w:ind w:left="27"/>
              <w:jc w:val="left"/>
              <w:rPr>
                <w:sz w:val="16"/>
              </w:rPr>
            </w:pPr>
            <w:r>
              <w:rPr>
                <w:sz w:val="24"/>
              </w:rPr>
              <w:t>0.699</w:t>
            </w:r>
            <w:r>
              <w:rPr>
                <w:position w:val="11"/>
                <w:sz w:val="16"/>
              </w:rPr>
              <w:t>a</w:t>
            </w:r>
          </w:p>
        </w:tc>
        <w:tc>
          <w:tcPr>
            <w:tcW w:w="1397" w:type="dxa"/>
            <w:tcBorders>
              <w:top w:val="nil"/>
              <w:left w:val="nil"/>
              <w:bottom w:val="nil"/>
              <w:right w:val="nil"/>
            </w:tcBorders>
          </w:tcPr>
          <w:p>
            <w:pPr>
              <w:pStyle w:val="TableParagraph"/>
              <w:spacing w:before="6"/>
              <w:jc w:val="left"/>
              <w:rPr>
                <w:b/>
                <w:sz w:val="21"/>
              </w:rPr>
            </w:pPr>
          </w:p>
          <w:p>
            <w:pPr>
              <w:pStyle w:val="TableParagraph"/>
              <w:ind w:left="369"/>
              <w:jc w:val="left"/>
              <w:rPr>
                <w:sz w:val="24"/>
              </w:rPr>
            </w:pPr>
            <w:r>
              <w:rPr>
                <w:sz w:val="24"/>
              </w:rPr>
              <w:t>0.0210</w:t>
            </w:r>
          </w:p>
        </w:tc>
      </w:tr>
      <w:tr>
        <w:trPr>
          <w:trHeight w:val="517" w:hRule="exact"/>
        </w:trPr>
        <w:tc>
          <w:tcPr>
            <w:tcW w:w="3525" w:type="dxa"/>
            <w:tcBorders>
              <w:top w:val="nil"/>
              <w:left w:val="nil"/>
              <w:bottom w:val="nil"/>
              <w:right w:val="nil"/>
            </w:tcBorders>
          </w:tcPr>
          <w:p>
            <w:pPr>
              <w:pStyle w:val="TableParagraph"/>
              <w:spacing w:before="210"/>
              <w:ind w:left="110"/>
              <w:jc w:val="left"/>
              <w:rPr>
                <w:sz w:val="24"/>
              </w:rPr>
            </w:pPr>
            <w:r>
              <w:rPr>
                <w:sz w:val="24"/>
              </w:rPr>
              <w:t>Lactosa (kg d</w:t>
            </w:r>
            <w:r>
              <w:rPr>
                <w:position w:val="11"/>
                <w:sz w:val="16"/>
              </w:rPr>
              <w:t>-1</w:t>
            </w:r>
            <w:r>
              <w:rPr>
                <w:sz w:val="24"/>
              </w:rPr>
              <w:t>)</w:t>
            </w:r>
          </w:p>
        </w:tc>
        <w:tc>
          <w:tcPr>
            <w:tcW w:w="1360" w:type="dxa"/>
            <w:tcBorders>
              <w:top w:val="nil"/>
              <w:left w:val="nil"/>
              <w:bottom w:val="nil"/>
              <w:right w:val="nil"/>
            </w:tcBorders>
          </w:tcPr>
          <w:p>
            <w:pPr>
              <w:pStyle w:val="TableParagraph"/>
              <w:spacing w:before="210"/>
              <w:ind w:left="355" w:right="344"/>
              <w:rPr>
                <w:sz w:val="16"/>
              </w:rPr>
            </w:pPr>
            <w:r>
              <w:rPr>
                <w:sz w:val="24"/>
              </w:rPr>
              <w:t>0.679</w:t>
            </w:r>
            <w:r>
              <w:rPr>
                <w:position w:val="11"/>
                <w:sz w:val="16"/>
              </w:rPr>
              <w:t>c</w:t>
            </w:r>
          </w:p>
        </w:tc>
        <w:tc>
          <w:tcPr>
            <w:tcW w:w="1757" w:type="dxa"/>
            <w:tcBorders>
              <w:top w:val="nil"/>
              <w:left w:val="nil"/>
              <w:bottom w:val="nil"/>
              <w:right w:val="nil"/>
            </w:tcBorders>
          </w:tcPr>
          <w:p>
            <w:pPr>
              <w:pStyle w:val="TableParagraph"/>
              <w:spacing w:before="210"/>
              <w:ind w:left="397"/>
              <w:jc w:val="left"/>
              <w:rPr>
                <w:sz w:val="16"/>
              </w:rPr>
            </w:pPr>
            <w:r>
              <w:rPr>
                <w:sz w:val="24"/>
              </w:rPr>
              <w:t>0.752</w:t>
            </w:r>
            <w:r>
              <w:rPr>
                <w:position w:val="11"/>
                <w:sz w:val="16"/>
              </w:rPr>
              <w:t>b</w:t>
            </w:r>
          </w:p>
        </w:tc>
        <w:tc>
          <w:tcPr>
            <w:tcW w:w="1022" w:type="dxa"/>
            <w:tcBorders>
              <w:top w:val="nil"/>
              <w:left w:val="nil"/>
              <w:bottom w:val="nil"/>
              <w:right w:val="nil"/>
            </w:tcBorders>
          </w:tcPr>
          <w:p>
            <w:pPr>
              <w:pStyle w:val="TableParagraph"/>
              <w:spacing w:before="210"/>
              <w:ind w:left="27"/>
              <w:jc w:val="left"/>
              <w:rPr>
                <w:sz w:val="16"/>
              </w:rPr>
            </w:pPr>
            <w:r>
              <w:rPr>
                <w:sz w:val="24"/>
              </w:rPr>
              <w:t>0.835</w:t>
            </w:r>
            <w:r>
              <w:rPr>
                <w:position w:val="11"/>
                <w:sz w:val="16"/>
              </w:rPr>
              <w:t>a</w:t>
            </w:r>
          </w:p>
        </w:tc>
        <w:tc>
          <w:tcPr>
            <w:tcW w:w="1397" w:type="dxa"/>
            <w:tcBorders>
              <w:top w:val="nil"/>
              <w:left w:val="nil"/>
              <w:bottom w:val="nil"/>
              <w:right w:val="nil"/>
            </w:tcBorders>
          </w:tcPr>
          <w:p>
            <w:pPr>
              <w:pStyle w:val="TableParagraph"/>
              <w:spacing w:before="4"/>
              <w:jc w:val="left"/>
              <w:rPr>
                <w:b/>
                <w:sz w:val="21"/>
              </w:rPr>
            </w:pPr>
          </w:p>
          <w:p>
            <w:pPr>
              <w:pStyle w:val="TableParagraph"/>
              <w:ind w:left="369"/>
              <w:jc w:val="left"/>
              <w:rPr>
                <w:sz w:val="24"/>
              </w:rPr>
            </w:pPr>
            <w:r>
              <w:rPr>
                <w:sz w:val="24"/>
              </w:rPr>
              <w:t>0.0169</w:t>
            </w:r>
          </w:p>
        </w:tc>
      </w:tr>
    </w:tbl>
    <w:p>
      <w:pPr>
        <w:pStyle w:val="BodyText"/>
        <w:rPr>
          <w:b/>
          <w:sz w:val="20"/>
        </w:rPr>
      </w:pPr>
    </w:p>
    <w:p>
      <w:pPr>
        <w:pStyle w:val="BodyText"/>
        <w:spacing w:before="227"/>
        <w:ind w:left="512" w:right="322"/>
      </w:pPr>
      <w:r>
        <w:rPr/>
        <w:pict>
          <v:group style="position:absolute;margin-left:87.134003pt;margin-top:13.026759pt;width:454.3pt;height:.5pt;mso-position-horizontal-relative:page;mso-position-vertical-relative:paragraph;z-index:-157480" coordorigin="1743,261" coordsize="9086,10">
            <v:line style="position:absolute" from="1748,266" to="5287,266" stroked="true" strokeweight=".47998pt" strokecolor="#000000"/>
            <v:line style="position:absolute" from="5272,266" to="5282,266" stroked="true" strokeweight=".47998pt" strokecolor="#000000"/>
            <v:line style="position:absolute" from="5282,266" to="6661,266" stroked="true" strokeweight=".47998pt" strokecolor="#000000"/>
            <v:line style="position:absolute" from="6646,266" to="6656,266" stroked="true" strokeweight=".47998pt" strokecolor="#000000"/>
            <v:line style="position:absolute" from="6656,266" to="8048,266" stroked="true" strokeweight=".47998pt" strokecolor="#000000"/>
            <v:line style="position:absolute" from="8034,266" to="8043,266" stroked="true" strokeweight=".47998pt" strokecolor="#000000"/>
            <v:line style="position:absolute" from="8043,266" to="9426,266" stroked="true" strokeweight=".47998pt" strokecolor="#000000"/>
            <v:line style="position:absolute" from="9412,266" to="9421,266" stroked="true" strokeweight=".47998pt" strokecolor="#000000"/>
            <v:line style="position:absolute" from="9421,266" to="10823,266" stroked="true" strokeweight=".47998pt" strokecolor="#000000"/>
            <w10:wrap type="none"/>
          </v:group>
        </w:pict>
      </w:r>
      <w:r>
        <w:rPr>
          <w:position w:val="11"/>
          <w:sz w:val="16"/>
        </w:rPr>
        <w:t>abc </w:t>
      </w:r>
      <w:r>
        <w:rPr/>
        <w:t>Valores con distinta literal en la misma hilera son diferentes (p ≤ 0.05).</w:t>
      </w:r>
    </w:p>
    <w:p>
      <w:pPr>
        <w:spacing w:after="0"/>
        <w:sectPr>
          <w:pgSz w:w="12240" w:h="15840"/>
          <w:pgMar w:header="1150" w:footer="1382" w:top="1420" w:bottom="1580" w:left="1360" w:right="1300"/>
        </w:sectPr>
      </w:pPr>
    </w:p>
    <w:p>
      <w:pPr>
        <w:pStyle w:val="BodyText"/>
        <w:spacing w:before="4"/>
        <w:rPr>
          <w:sz w:val="23"/>
        </w:rPr>
      </w:pPr>
    </w:p>
    <w:p>
      <w:pPr>
        <w:pStyle w:val="BodyText"/>
        <w:spacing w:line="480" w:lineRule="auto" w:before="79"/>
        <w:ind w:left="512" w:right="106" w:firstLine="38"/>
        <w:jc w:val="both"/>
      </w:pPr>
      <w:r>
        <w:rPr>
          <w:position w:val="11"/>
          <w:sz w:val="16"/>
        </w:rPr>
        <w:t>† </w:t>
      </w:r>
      <w:r>
        <w:rPr/>
        <w:t>EEM = Error estándar de la media. </w:t>
      </w:r>
      <w:r>
        <w:rPr>
          <w:position w:val="11"/>
          <w:sz w:val="16"/>
        </w:rPr>
        <w:t>¶ </w:t>
      </w:r>
      <w:r>
        <w:rPr/>
        <w:t>Considera la suma del consumo de concentrado y ensilado de maíz suministrados en la estabulación.</w:t>
      </w:r>
    </w:p>
    <w:p>
      <w:pPr>
        <w:pStyle w:val="BodyText"/>
        <w:spacing w:line="472" w:lineRule="auto" w:before="10"/>
        <w:ind w:left="512" w:right="104" w:firstLine="302"/>
        <w:jc w:val="both"/>
        <w:rPr>
          <w:sz w:val="16"/>
        </w:rPr>
      </w:pPr>
      <w:r>
        <w:rPr/>
        <w:t>Se observó un aumento (p ≤ 0.05) de la producción de leche conforme se incrementó el concentrado, siendo 23.0 y 10.4 % mayor en </w:t>
      </w:r>
      <w:r>
        <w:rPr>
          <w:b/>
        </w:rPr>
        <w:t>8c </w:t>
      </w:r>
      <w:r>
        <w:rPr/>
        <w:t>y </w:t>
      </w:r>
      <w:r>
        <w:rPr>
          <w:b/>
        </w:rPr>
        <w:t>5c </w:t>
      </w:r>
      <w:r>
        <w:rPr/>
        <w:t>respecto a </w:t>
      </w:r>
      <w:r>
        <w:rPr>
          <w:b/>
        </w:rPr>
        <w:t>3c </w:t>
      </w:r>
      <w:r>
        <w:rPr/>
        <w:t>(Cuadro 2) pero sin afectar (p </w:t>
      </w:r>
      <w:r>
        <w:rPr>
          <w:i/>
        </w:rPr>
        <w:t>˃</w:t>
      </w:r>
      <w:r>
        <w:rPr/>
        <w:t>0.05) el contenido de grasa (36.63 </w:t>
      </w:r>
      <w:r>
        <w:rPr>
          <w:rFonts w:ascii="Symbol" w:hAnsi="Symbol"/>
        </w:rPr>
        <w:t></w:t>
      </w:r>
      <w:r>
        <w:rPr/>
        <w:t>8.86 g kg</w:t>
      </w:r>
      <w:r>
        <w:rPr>
          <w:position w:val="11"/>
          <w:sz w:val="16"/>
        </w:rPr>
        <w:t>-1</w:t>
      </w:r>
      <w:r>
        <w:rPr/>
        <w:t>), de proteína (31.25 </w:t>
      </w:r>
      <w:r>
        <w:rPr>
          <w:rFonts w:ascii="Symbol" w:hAnsi="Symbol"/>
        </w:rPr>
        <w:t></w:t>
      </w:r>
      <w:r>
        <w:rPr/>
        <w:t>5.55 g  kg</w:t>
      </w:r>
      <w:r>
        <w:rPr>
          <w:position w:val="11"/>
          <w:sz w:val="16"/>
        </w:rPr>
        <w:t>-</w:t>
      </w:r>
    </w:p>
    <w:p>
      <w:pPr>
        <w:pStyle w:val="BodyText"/>
        <w:spacing w:line="289" w:lineRule="exact"/>
        <w:ind w:left="512"/>
        <w:jc w:val="both"/>
      </w:pPr>
      <w:r>
        <w:rPr>
          <w:position w:val="11"/>
          <w:sz w:val="16"/>
        </w:rPr>
        <w:t>1</w:t>
      </w:r>
      <w:r>
        <w:rPr/>
        <w:t>) y de lactosa (43.83 </w:t>
      </w:r>
      <w:r>
        <w:rPr>
          <w:rFonts w:ascii="Symbol" w:hAnsi="Symbol"/>
        </w:rPr>
        <w:t></w:t>
      </w:r>
      <w:r>
        <w:rPr/>
        <w:t>3.77 g kg</w:t>
      </w:r>
      <w:r>
        <w:rPr>
          <w:position w:val="11"/>
          <w:sz w:val="16"/>
        </w:rPr>
        <w:t>-1</w:t>
      </w:r>
      <w:r>
        <w:rPr/>
        <w:t>) en la leche.</w:t>
      </w:r>
    </w:p>
    <w:p>
      <w:pPr>
        <w:pStyle w:val="BodyText"/>
        <w:spacing w:before="6"/>
        <w:rPr>
          <w:sz w:val="25"/>
        </w:rPr>
      </w:pPr>
    </w:p>
    <w:p>
      <w:pPr>
        <w:pStyle w:val="BodyText"/>
        <w:spacing w:line="480" w:lineRule="auto" w:before="1"/>
        <w:ind w:left="512" w:right="102" w:firstLine="302"/>
        <w:jc w:val="both"/>
      </w:pPr>
      <w:r>
        <w:rPr/>
        <w:t>El rendimiento de los componentes grasa, proteína y lactosa </w:t>
      </w:r>
      <w:r>
        <w:rPr>
          <w:spacing w:val="-3"/>
        </w:rPr>
        <w:t>fue </w:t>
      </w:r>
      <w:r>
        <w:rPr/>
        <w:t>superior en </w:t>
      </w:r>
      <w:r>
        <w:rPr>
          <w:b/>
        </w:rPr>
        <w:t>8c </w:t>
      </w:r>
      <w:r>
        <w:rPr/>
        <w:t>(p ≤ 0.05), estas diferencias son explicadas por el mayor aporte de energía en </w:t>
      </w:r>
      <w:r>
        <w:rPr>
          <w:spacing w:val="-3"/>
        </w:rPr>
        <w:t>la </w:t>
      </w:r>
      <w:r>
        <w:rPr/>
        <w:t>dieta al aumentar el nivel de concentrado, </w:t>
      </w:r>
      <w:r>
        <w:rPr>
          <w:spacing w:val="-5"/>
        </w:rPr>
        <w:t>lo </w:t>
      </w:r>
      <w:r>
        <w:rPr/>
        <w:t>cual se reflejó en un incremento de </w:t>
      </w:r>
      <w:r>
        <w:rPr>
          <w:spacing w:val="-5"/>
        </w:rPr>
        <w:t>la </w:t>
      </w:r>
      <w:r>
        <w:rPr/>
        <w:t>producción de leche dado que los componentes de </w:t>
      </w:r>
      <w:r>
        <w:rPr>
          <w:spacing w:val="-3"/>
        </w:rPr>
        <w:t>la </w:t>
      </w:r>
      <w:r>
        <w:rPr/>
        <w:t>leche </w:t>
      </w:r>
      <w:r>
        <w:rPr>
          <w:spacing w:val="-3"/>
        </w:rPr>
        <w:t>no </w:t>
      </w:r>
      <w:r>
        <w:rPr/>
        <w:t>fueron afectados. Bargo </w:t>
      </w:r>
      <w:r>
        <w:rPr>
          <w:i/>
        </w:rPr>
        <w:t>et al</w:t>
      </w:r>
      <w:r>
        <w:rPr/>
        <w:t>., (2002) observaron similar respuesta en el rendimiento de componentes en </w:t>
      </w:r>
      <w:r>
        <w:rPr>
          <w:spacing w:val="-5"/>
        </w:rPr>
        <w:t>la </w:t>
      </w:r>
      <w:r>
        <w:rPr/>
        <w:t>leche de vaca suplementadas (1 kg concentrado/4 kg de leche) </w:t>
      </w:r>
      <w:r>
        <w:rPr>
          <w:i/>
        </w:rPr>
        <w:t>versus </w:t>
      </w:r>
      <w:r>
        <w:rPr>
          <w:spacing w:val="-3"/>
        </w:rPr>
        <w:t>no</w:t>
      </w:r>
      <w:r>
        <w:rPr>
          <w:spacing w:val="-19"/>
        </w:rPr>
        <w:t> </w:t>
      </w:r>
      <w:r>
        <w:rPr/>
        <w:t>suplementadas.</w:t>
      </w:r>
    </w:p>
    <w:p>
      <w:pPr>
        <w:pStyle w:val="Heading1"/>
        <w:spacing w:before="15"/>
        <w:ind w:left="521" w:right="126" w:firstLine="0"/>
        <w:jc w:val="center"/>
      </w:pPr>
      <w:r>
        <w:rPr/>
        <w:t>Perfil de ácidos grasos</w:t>
      </w:r>
    </w:p>
    <w:p>
      <w:pPr>
        <w:pStyle w:val="BodyText"/>
        <w:spacing w:before="7"/>
        <w:rPr>
          <w:b/>
          <w:sz w:val="23"/>
        </w:rPr>
      </w:pPr>
    </w:p>
    <w:p>
      <w:pPr>
        <w:pStyle w:val="BodyText"/>
        <w:spacing w:line="480" w:lineRule="auto"/>
        <w:ind w:left="512" w:right="106" w:firstLine="302"/>
        <w:jc w:val="both"/>
      </w:pPr>
      <w:r>
        <w:rPr/>
        <w:t>El nivel de concentrado afectó </w:t>
      </w:r>
      <w:r>
        <w:rPr>
          <w:spacing w:val="3"/>
        </w:rPr>
        <w:t>(p </w:t>
      </w:r>
      <w:r>
        <w:rPr/>
        <w:t>≤ 0.05) a </w:t>
      </w:r>
      <w:r>
        <w:rPr>
          <w:spacing w:val="-3"/>
        </w:rPr>
        <w:t>la </w:t>
      </w:r>
      <w:r>
        <w:rPr/>
        <w:t>gran mayoría de los </w:t>
      </w:r>
      <w:r>
        <w:rPr>
          <w:spacing w:val="-3"/>
        </w:rPr>
        <w:t>AG </w:t>
      </w:r>
      <w:r>
        <w:rPr/>
        <w:t>de </w:t>
      </w:r>
      <w:r>
        <w:rPr>
          <w:spacing w:val="-3"/>
        </w:rPr>
        <w:t>la </w:t>
      </w:r>
      <w:r>
        <w:rPr/>
        <w:t>leche (Cuadro 3). Los </w:t>
      </w:r>
      <w:r>
        <w:rPr>
          <w:spacing w:val="-3"/>
        </w:rPr>
        <w:t>AG </w:t>
      </w:r>
      <w:r>
        <w:rPr/>
        <w:t>de cadena corta (C4-C11) tuvieron </w:t>
      </w:r>
      <w:r>
        <w:rPr>
          <w:spacing w:val="-3"/>
        </w:rPr>
        <w:t>mayor </w:t>
      </w:r>
      <w:r>
        <w:rPr/>
        <w:t>concentración en </w:t>
      </w:r>
      <w:r>
        <w:rPr>
          <w:spacing w:val="-3"/>
        </w:rPr>
        <w:t>la </w:t>
      </w:r>
      <w:r>
        <w:rPr/>
        <w:t>leche de </w:t>
      </w:r>
      <w:r>
        <w:rPr>
          <w:b/>
        </w:rPr>
        <w:t>8c</w:t>
      </w:r>
      <w:r>
        <w:rPr/>
        <w:t>, excepto C4 y C6. Los ácidos grasos láurico (C12), mirístico (C14) y palmítico (C16) aumentaron  su   concentración  </w:t>
      </w:r>
      <w:r>
        <w:rPr>
          <w:spacing w:val="3"/>
        </w:rPr>
        <w:t>(p  </w:t>
      </w:r>
      <w:r>
        <w:rPr/>
        <w:t>≤  0.05)   en  24.4,   8.5   y  4.8%,   respectivamente  </w:t>
      </w:r>
      <w:r>
        <w:rPr>
          <w:spacing w:val="54"/>
        </w:rPr>
        <w:t> </w:t>
      </w:r>
      <w:r>
        <w:rPr>
          <w:spacing w:val="4"/>
        </w:rPr>
        <w:t>al</w:t>
      </w:r>
    </w:p>
    <w:p>
      <w:pPr>
        <w:pStyle w:val="BodyText"/>
        <w:spacing w:line="472" w:lineRule="auto" w:before="10"/>
        <w:ind w:left="512" w:right="106"/>
        <w:jc w:val="both"/>
      </w:pPr>
      <w:r>
        <w:rPr/>
        <w:t>incrementar el nivel de concentrado de 3 a 8 kg, lo cual contribuyó al mayor contenido total de AGS en la leche (68.00 </w:t>
      </w:r>
      <w:r>
        <w:rPr>
          <w:i/>
        </w:rPr>
        <w:t>vs </w:t>
      </w:r>
      <w:r>
        <w:rPr/>
        <w:t>69.76 g 100 g</w:t>
      </w:r>
      <w:r>
        <w:rPr>
          <w:position w:val="11"/>
          <w:sz w:val="16"/>
        </w:rPr>
        <w:t>-1 </w:t>
      </w:r>
      <w:r>
        <w:rPr/>
        <w:t>AG, respectivamente para </w:t>
      </w:r>
      <w:r>
        <w:rPr>
          <w:b/>
        </w:rPr>
        <w:t>3c </w:t>
      </w:r>
      <w:r>
        <w:rPr/>
        <w:t>y </w:t>
      </w:r>
      <w:r>
        <w:rPr>
          <w:b/>
        </w:rPr>
        <w:t>8c</w:t>
      </w:r>
      <w:r>
        <w:rPr/>
        <w:t>). Esto contrasta con lo reportado por Nielsen </w:t>
      </w:r>
      <w:r>
        <w:rPr>
          <w:i/>
        </w:rPr>
        <w:t>et al. </w:t>
      </w:r>
      <w:r>
        <w:rPr/>
        <w:t>(2006) al evaluar el efecto del nivel de concentrado (alto o bajo) sobre la concentración de AG en leche de vacas, quienes no observaron efecto en las concentraciones de los ácidos C12:0, C14:0 y C16:0. Respecto a</w:t>
      </w:r>
    </w:p>
    <w:p>
      <w:pPr>
        <w:spacing w:after="0" w:line="472"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512" w:right="232"/>
        <w:jc w:val="both"/>
      </w:pPr>
      <w:r>
        <w:rPr/>
        <w:t>estos tres ácidos grasos se ha sugerido reducir su contenido en la leche, debido a su relación con el aumento de lipoproteínas de baja densidad y con la concentración total de colesterol sanguíneo (Williams, 2000).</w:t>
      </w:r>
    </w:p>
    <w:p>
      <w:pPr>
        <w:pStyle w:val="BodyText"/>
        <w:spacing w:line="480" w:lineRule="auto" w:before="10"/>
        <w:ind w:left="512" w:right="322" w:firstLine="302"/>
      </w:pPr>
      <w:r>
        <w:rPr/>
        <w:t>No se observaron diferencias (p ˃ 0.05) en las concentraciones de palmitoleico (C16:1 c9), C15 y C15:1 excretados en leche.</w:t>
      </w:r>
    </w:p>
    <w:p>
      <w:pPr>
        <w:pStyle w:val="BodyText"/>
        <w:spacing w:line="286" w:lineRule="exact"/>
        <w:ind w:left="512"/>
        <w:jc w:val="both"/>
      </w:pPr>
      <w:r>
        <w:rPr/>
        <w:t>Cuadro 3. Efecto del nivel de concentrado sobre el perfil de ácidos grasos (g 100 g</w:t>
      </w:r>
      <w:r>
        <w:rPr>
          <w:position w:val="11"/>
          <w:sz w:val="16"/>
        </w:rPr>
        <w:t>-1  </w:t>
      </w:r>
      <w:r>
        <w:rPr/>
        <w:t>AG) de</w:t>
      </w:r>
    </w:p>
    <w:p>
      <w:pPr>
        <w:pStyle w:val="BodyText"/>
      </w:pPr>
    </w:p>
    <w:p>
      <w:pPr>
        <w:pStyle w:val="BodyText"/>
        <w:ind w:left="512"/>
        <w:jc w:val="both"/>
      </w:pPr>
      <w:r>
        <w:rPr/>
        <w:t>la leche de vacas en pastoreo en el Valle de Toluca, México.</w:t>
      </w:r>
    </w:p>
    <w:p>
      <w:pPr>
        <w:pStyle w:val="BodyText"/>
        <w:spacing w:before="8"/>
      </w:pPr>
    </w:p>
    <w:tbl>
      <w:tblPr>
        <w:tblW w:w="0" w:type="auto"/>
        <w:jc w:val="left"/>
        <w:tblInd w:w="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3"/>
        <w:gridCol w:w="1634"/>
        <w:gridCol w:w="2065"/>
        <w:gridCol w:w="1296"/>
        <w:gridCol w:w="1479"/>
      </w:tblGrid>
      <w:tr>
        <w:trPr>
          <w:trHeight w:val="529" w:hRule="exact"/>
        </w:trPr>
        <w:tc>
          <w:tcPr>
            <w:tcW w:w="2603" w:type="dxa"/>
            <w:tcBorders>
              <w:left w:val="nil"/>
              <w:bottom w:val="nil"/>
              <w:right w:val="nil"/>
            </w:tcBorders>
          </w:tcPr>
          <w:p>
            <w:pPr>
              <w:pStyle w:val="TableParagraph"/>
              <w:spacing w:line="264" w:lineRule="exact"/>
              <w:ind w:left="125"/>
              <w:jc w:val="left"/>
              <w:rPr>
                <w:sz w:val="24"/>
              </w:rPr>
            </w:pPr>
            <w:r>
              <w:rPr>
                <w:sz w:val="24"/>
              </w:rPr>
              <w:t>Ácido graso</w:t>
            </w:r>
          </w:p>
        </w:tc>
        <w:tc>
          <w:tcPr>
            <w:tcW w:w="3698" w:type="dxa"/>
            <w:gridSpan w:val="2"/>
            <w:tcBorders>
              <w:left w:val="nil"/>
              <w:right w:val="nil"/>
            </w:tcBorders>
          </w:tcPr>
          <w:p>
            <w:pPr>
              <w:pStyle w:val="TableParagraph"/>
              <w:spacing w:line="264" w:lineRule="exact"/>
              <w:ind w:left="1469"/>
              <w:jc w:val="left"/>
              <w:rPr>
                <w:sz w:val="24"/>
              </w:rPr>
            </w:pPr>
            <w:r>
              <w:rPr>
                <w:sz w:val="24"/>
              </w:rPr>
              <w:t>Nivel de concentrado</w:t>
            </w:r>
          </w:p>
        </w:tc>
        <w:tc>
          <w:tcPr>
            <w:tcW w:w="1296" w:type="dxa"/>
            <w:tcBorders>
              <w:left w:val="nil"/>
              <w:right w:val="nil"/>
            </w:tcBorders>
          </w:tcPr>
          <w:p>
            <w:pPr/>
          </w:p>
        </w:tc>
        <w:tc>
          <w:tcPr>
            <w:tcW w:w="1479" w:type="dxa"/>
            <w:tcBorders>
              <w:left w:val="nil"/>
              <w:bottom w:val="nil"/>
              <w:right w:val="nil"/>
            </w:tcBorders>
          </w:tcPr>
          <w:p>
            <w:pPr>
              <w:pStyle w:val="TableParagraph"/>
              <w:spacing w:line="264" w:lineRule="exact"/>
              <w:ind w:left="110"/>
              <w:jc w:val="left"/>
              <w:rPr>
                <w:sz w:val="16"/>
              </w:rPr>
            </w:pPr>
            <w:r>
              <w:rPr>
                <w:sz w:val="24"/>
              </w:rPr>
              <w:t>EEM</w:t>
            </w:r>
            <w:r>
              <w:rPr>
                <w:position w:val="11"/>
                <w:sz w:val="16"/>
              </w:rPr>
              <w:t>†</w:t>
            </w:r>
          </w:p>
        </w:tc>
      </w:tr>
      <w:tr>
        <w:trPr>
          <w:trHeight w:val="528" w:hRule="exact"/>
        </w:trPr>
        <w:tc>
          <w:tcPr>
            <w:tcW w:w="2603" w:type="dxa"/>
            <w:tcBorders>
              <w:top w:val="nil"/>
              <w:left w:val="nil"/>
              <w:right w:val="nil"/>
            </w:tcBorders>
          </w:tcPr>
          <w:p>
            <w:pPr/>
          </w:p>
        </w:tc>
        <w:tc>
          <w:tcPr>
            <w:tcW w:w="1634" w:type="dxa"/>
            <w:tcBorders>
              <w:left w:val="nil"/>
              <w:right w:val="nil"/>
            </w:tcBorders>
          </w:tcPr>
          <w:p>
            <w:pPr>
              <w:pStyle w:val="TableParagraph"/>
              <w:spacing w:line="263" w:lineRule="exact"/>
              <w:ind w:left="479" w:right="492"/>
              <w:rPr>
                <w:sz w:val="24"/>
              </w:rPr>
            </w:pPr>
            <w:r>
              <w:rPr>
                <w:sz w:val="24"/>
              </w:rPr>
              <w:t>3c</w:t>
            </w:r>
          </w:p>
        </w:tc>
        <w:tc>
          <w:tcPr>
            <w:tcW w:w="2065" w:type="dxa"/>
            <w:tcBorders>
              <w:left w:val="nil"/>
              <w:right w:val="nil"/>
            </w:tcBorders>
          </w:tcPr>
          <w:p>
            <w:pPr>
              <w:pStyle w:val="TableParagraph"/>
              <w:spacing w:line="263" w:lineRule="exact"/>
              <w:ind w:left="729" w:right="1069"/>
              <w:rPr>
                <w:sz w:val="24"/>
              </w:rPr>
            </w:pPr>
            <w:r>
              <w:rPr>
                <w:sz w:val="24"/>
              </w:rPr>
              <w:t>5c</w:t>
            </w:r>
          </w:p>
        </w:tc>
        <w:tc>
          <w:tcPr>
            <w:tcW w:w="1296" w:type="dxa"/>
            <w:tcBorders>
              <w:left w:val="nil"/>
              <w:right w:val="nil"/>
            </w:tcBorders>
          </w:tcPr>
          <w:p>
            <w:pPr>
              <w:pStyle w:val="TableParagraph"/>
              <w:spacing w:line="263" w:lineRule="exact"/>
              <w:ind w:left="368"/>
              <w:jc w:val="left"/>
              <w:rPr>
                <w:sz w:val="24"/>
              </w:rPr>
            </w:pPr>
            <w:r>
              <w:rPr>
                <w:sz w:val="24"/>
              </w:rPr>
              <w:t>8c</w:t>
            </w:r>
          </w:p>
        </w:tc>
        <w:tc>
          <w:tcPr>
            <w:tcW w:w="1479" w:type="dxa"/>
            <w:tcBorders>
              <w:top w:val="nil"/>
              <w:left w:val="nil"/>
              <w:right w:val="nil"/>
            </w:tcBorders>
          </w:tcPr>
          <w:p>
            <w:pPr/>
          </w:p>
        </w:tc>
      </w:tr>
      <w:tr>
        <w:trPr>
          <w:trHeight w:val="400" w:hRule="exact"/>
        </w:trPr>
        <w:tc>
          <w:tcPr>
            <w:tcW w:w="2603" w:type="dxa"/>
            <w:tcBorders>
              <w:left w:val="nil"/>
              <w:bottom w:val="nil"/>
              <w:right w:val="nil"/>
            </w:tcBorders>
          </w:tcPr>
          <w:p>
            <w:pPr>
              <w:pStyle w:val="TableParagraph"/>
              <w:spacing w:line="263" w:lineRule="exact"/>
              <w:ind w:left="125"/>
              <w:jc w:val="left"/>
              <w:rPr>
                <w:sz w:val="24"/>
              </w:rPr>
            </w:pPr>
            <w:r>
              <w:rPr>
                <w:sz w:val="24"/>
              </w:rPr>
              <w:t>C4:0</w:t>
            </w:r>
          </w:p>
        </w:tc>
        <w:tc>
          <w:tcPr>
            <w:tcW w:w="1634" w:type="dxa"/>
            <w:tcBorders>
              <w:left w:val="nil"/>
              <w:bottom w:val="nil"/>
              <w:right w:val="nil"/>
            </w:tcBorders>
          </w:tcPr>
          <w:p>
            <w:pPr>
              <w:pStyle w:val="TableParagraph"/>
              <w:spacing w:line="263" w:lineRule="exact"/>
              <w:ind w:left="481" w:right="490"/>
              <w:rPr>
                <w:sz w:val="24"/>
              </w:rPr>
            </w:pPr>
            <w:r>
              <w:rPr>
                <w:sz w:val="24"/>
              </w:rPr>
              <w:t>3.10</w:t>
            </w:r>
          </w:p>
        </w:tc>
        <w:tc>
          <w:tcPr>
            <w:tcW w:w="2065" w:type="dxa"/>
            <w:tcBorders>
              <w:left w:val="nil"/>
              <w:bottom w:val="nil"/>
              <w:right w:val="nil"/>
            </w:tcBorders>
          </w:tcPr>
          <w:p>
            <w:pPr>
              <w:pStyle w:val="TableParagraph"/>
              <w:spacing w:line="263" w:lineRule="exact"/>
              <w:ind w:left="651"/>
              <w:jc w:val="left"/>
              <w:rPr>
                <w:sz w:val="24"/>
              </w:rPr>
            </w:pPr>
            <w:r>
              <w:rPr>
                <w:sz w:val="24"/>
              </w:rPr>
              <w:t>3.16</w:t>
            </w:r>
          </w:p>
        </w:tc>
        <w:tc>
          <w:tcPr>
            <w:tcW w:w="1296" w:type="dxa"/>
            <w:tcBorders>
              <w:left w:val="nil"/>
              <w:bottom w:val="nil"/>
              <w:right w:val="nil"/>
            </w:tcBorders>
          </w:tcPr>
          <w:p>
            <w:pPr>
              <w:pStyle w:val="TableParagraph"/>
              <w:spacing w:line="263" w:lineRule="exact"/>
              <w:ind w:left="272"/>
              <w:jc w:val="left"/>
              <w:rPr>
                <w:sz w:val="24"/>
              </w:rPr>
            </w:pPr>
            <w:r>
              <w:rPr>
                <w:sz w:val="24"/>
              </w:rPr>
              <w:t>3.25</w:t>
            </w:r>
          </w:p>
        </w:tc>
        <w:tc>
          <w:tcPr>
            <w:tcW w:w="1479" w:type="dxa"/>
            <w:tcBorders>
              <w:left w:val="nil"/>
              <w:bottom w:val="nil"/>
              <w:right w:val="nil"/>
            </w:tcBorders>
          </w:tcPr>
          <w:p>
            <w:pPr>
              <w:pStyle w:val="TableParagraph"/>
              <w:spacing w:line="263" w:lineRule="exact"/>
              <w:ind w:left="110"/>
              <w:jc w:val="left"/>
              <w:rPr>
                <w:sz w:val="24"/>
              </w:rPr>
            </w:pPr>
            <w:r>
              <w:rPr>
                <w:sz w:val="24"/>
              </w:rPr>
              <w:t>0.0643</w:t>
            </w:r>
          </w:p>
        </w:tc>
      </w:tr>
      <w:tr>
        <w:trPr>
          <w:trHeight w:val="494" w:hRule="exact"/>
        </w:trPr>
        <w:tc>
          <w:tcPr>
            <w:tcW w:w="2603" w:type="dxa"/>
            <w:tcBorders>
              <w:top w:val="nil"/>
              <w:left w:val="nil"/>
              <w:bottom w:val="nil"/>
              <w:right w:val="nil"/>
            </w:tcBorders>
          </w:tcPr>
          <w:p>
            <w:pPr>
              <w:pStyle w:val="TableParagraph"/>
              <w:spacing w:before="106"/>
              <w:ind w:left="125"/>
              <w:jc w:val="left"/>
              <w:rPr>
                <w:sz w:val="24"/>
              </w:rPr>
            </w:pPr>
            <w:r>
              <w:rPr>
                <w:sz w:val="24"/>
              </w:rPr>
              <w:t>C6:0</w:t>
            </w:r>
          </w:p>
        </w:tc>
        <w:tc>
          <w:tcPr>
            <w:tcW w:w="1634" w:type="dxa"/>
            <w:tcBorders>
              <w:top w:val="nil"/>
              <w:left w:val="nil"/>
              <w:bottom w:val="nil"/>
              <w:right w:val="nil"/>
            </w:tcBorders>
          </w:tcPr>
          <w:p>
            <w:pPr>
              <w:pStyle w:val="TableParagraph"/>
              <w:spacing w:before="106"/>
              <w:ind w:left="481" w:right="490"/>
              <w:rPr>
                <w:sz w:val="24"/>
              </w:rPr>
            </w:pPr>
            <w:r>
              <w:rPr>
                <w:sz w:val="24"/>
              </w:rPr>
              <w:t>2.14</w:t>
            </w:r>
          </w:p>
        </w:tc>
        <w:tc>
          <w:tcPr>
            <w:tcW w:w="2065" w:type="dxa"/>
            <w:tcBorders>
              <w:top w:val="nil"/>
              <w:left w:val="nil"/>
              <w:bottom w:val="nil"/>
              <w:right w:val="nil"/>
            </w:tcBorders>
          </w:tcPr>
          <w:p>
            <w:pPr>
              <w:pStyle w:val="TableParagraph"/>
              <w:spacing w:before="106"/>
              <w:ind w:left="651"/>
              <w:jc w:val="left"/>
              <w:rPr>
                <w:sz w:val="24"/>
              </w:rPr>
            </w:pPr>
            <w:r>
              <w:rPr>
                <w:sz w:val="24"/>
              </w:rPr>
              <w:t>2.17</w:t>
            </w:r>
          </w:p>
        </w:tc>
        <w:tc>
          <w:tcPr>
            <w:tcW w:w="1296" w:type="dxa"/>
            <w:tcBorders>
              <w:top w:val="nil"/>
              <w:left w:val="nil"/>
              <w:bottom w:val="nil"/>
              <w:right w:val="nil"/>
            </w:tcBorders>
          </w:tcPr>
          <w:p>
            <w:pPr>
              <w:pStyle w:val="TableParagraph"/>
              <w:spacing w:before="106"/>
              <w:ind w:left="272"/>
              <w:jc w:val="left"/>
              <w:rPr>
                <w:sz w:val="24"/>
              </w:rPr>
            </w:pPr>
            <w:r>
              <w:rPr>
                <w:sz w:val="24"/>
              </w:rPr>
              <w:t>2.27</w:t>
            </w:r>
          </w:p>
        </w:tc>
        <w:tc>
          <w:tcPr>
            <w:tcW w:w="1479" w:type="dxa"/>
            <w:tcBorders>
              <w:top w:val="nil"/>
              <w:left w:val="nil"/>
              <w:bottom w:val="nil"/>
              <w:right w:val="nil"/>
            </w:tcBorders>
          </w:tcPr>
          <w:p>
            <w:pPr>
              <w:pStyle w:val="TableParagraph"/>
              <w:spacing w:before="106"/>
              <w:ind w:left="110"/>
              <w:jc w:val="left"/>
              <w:rPr>
                <w:sz w:val="24"/>
              </w:rPr>
            </w:pPr>
            <w:r>
              <w:rPr>
                <w:sz w:val="24"/>
              </w:rPr>
              <w:t>0.0466</w:t>
            </w:r>
          </w:p>
        </w:tc>
      </w:tr>
      <w:tr>
        <w:trPr>
          <w:trHeight w:val="519" w:hRule="exact"/>
        </w:trPr>
        <w:tc>
          <w:tcPr>
            <w:tcW w:w="2603" w:type="dxa"/>
            <w:tcBorders>
              <w:top w:val="nil"/>
              <w:left w:val="nil"/>
              <w:bottom w:val="nil"/>
              <w:right w:val="nil"/>
            </w:tcBorders>
          </w:tcPr>
          <w:p>
            <w:pPr>
              <w:pStyle w:val="TableParagraph"/>
              <w:spacing w:before="131"/>
              <w:ind w:left="125"/>
              <w:jc w:val="left"/>
              <w:rPr>
                <w:sz w:val="24"/>
              </w:rPr>
            </w:pPr>
            <w:r>
              <w:rPr>
                <w:sz w:val="24"/>
              </w:rPr>
              <w:t>C8:0</w:t>
            </w:r>
          </w:p>
        </w:tc>
        <w:tc>
          <w:tcPr>
            <w:tcW w:w="1634" w:type="dxa"/>
            <w:tcBorders>
              <w:top w:val="nil"/>
              <w:left w:val="nil"/>
              <w:bottom w:val="nil"/>
              <w:right w:val="nil"/>
            </w:tcBorders>
          </w:tcPr>
          <w:p>
            <w:pPr>
              <w:pStyle w:val="TableParagraph"/>
              <w:spacing w:before="95"/>
              <w:ind w:left="481" w:right="486"/>
              <w:rPr>
                <w:sz w:val="16"/>
              </w:rPr>
            </w:pPr>
            <w:r>
              <w:rPr>
                <w:sz w:val="24"/>
              </w:rPr>
              <w:t>1.12</w:t>
            </w:r>
            <w:r>
              <w:rPr>
                <w:position w:val="11"/>
                <w:sz w:val="16"/>
              </w:rPr>
              <w:t>c</w:t>
            </w:r>
          </w:p>
        </w:tc>
        <w:tc>
          <w:tcPr>
            <w:tcW w:w="2065" w:type="dxa"/>
            <w:tcBorders>
              <w:top w:val="nil"/>
              <w:left w:val="nil"/>
              <w:bottom w:val="nil"/>
              <w:right w:val="nil"/>
            </w:tcBorders>
          </w:tcPr>
          <w:p>
            <w:pPr>
              <w:pStyle w:val="TableParagraph"/>
              <w:spacing w:before="95"/>
              <w:ind w:left="608"/>
              <w:jc w:val="left"/>
              <w:rPr>
                <w:sz w:val="16"/>
              </w:rPr>
            </w:pPr>
            <w:r>
              <w:rPr>
                <w:sz w:val="24"/>
              </w:rPr>
              <w:t>1.22</w:t>
            </w:r>
            <w:r>
              <w:rPr>
                <w:position w:val="11"/>
                <w:sz w:val="16"/>
              </w:rPr>
              <w:t>b</w:t>
            </w:r>
          </w:p>
        </w:tc>
        <w:tc>
          <w:tcPr>
            <w:tcW w:w="1296" w:type="dxa"/>
            <w:tcBorders>
              <w:top w:val="nil"/>
              <w:left w:val="nil"/>
              <w:bottom w:val="nil"/>
              <w:right w:val="nil"/>
            </w:tcBorders>
          </w:tcPr>
          <w:p>
            <w:pPr>
              <w:pStyle w:val="TableParagraph"/>
              <w:spacing w:before="95"/>
              <w:ind w:left="239"/>
              <w:jc w:val="left"/>
              <w:rPr>
                <w:sz w:val="16"/>
              </w:rPr>
            </w:pPr>
            <w:r>
              <w:rPr>
                <w:sz w:val="24"/>
              </w:rPr>
              <w:t>1.33</w:t>
            </w:r>
            <w:r>
              <w:rPr>
                <w:position w:val="11"/>
                <w:sz w:val="16"/>
              </w:rPr>
              <w:t>a</w:t>
            </w:r>
          </w:p>
        </w:tc>
        <w:tc>
          <w:tcPr>
            <w:tcW w:w="1479" w:type="dxa"/>
            <w:tcBorders>
              <w:top w:val="nil"/>
              <w:left w:val="nil"/>
              <w:bottom w:val="nil"/>
              <w:right w:val="nil"/>
            </w:tcBorders>
          </w:tcPr>
          <w:p>
            <w:pPr>
              <w:pStyle w:val="TableParagraph"/>
              <w:spacing w:before="131"/>
              <w:ind w:left="110"/>
              <w:jc w:val="left"/>
              <w:rPr>
                <w:sz w:val="24"/>
              </w:rPr>
            </w:pPr>
            <w:r>
              <w:rPr>
                <w:sz w:val="24"/>
              </w:rPr>
              <w:t>0.0267</w:t>
            </w:r>
          </w:p>
        </w:tc>
      </w:tr>
      <w:tr>
        <w:trPr>
          <w:trHeight w:val="518" w:hRule="exact"/>
        </w:trPr>
        <w:tc>
          <w:tcPr>
            <w:tcW w:w="2603" w:type="dxa"/>
            <w:tcBorders>
              <w:top w:val="nil"/>
              <w:left w:val="nil"/>
              <w:bottom w:val="nil"/>
              <w:right w:val="nil"/>
            </w:tcBorders>
          </w:tcPr>
          <w:p>
            <w:pPr>
              <w:pStyle w:val="TableParagraph"/>
              <w:spacing w:before="130"/>
              <w:ind w:left="125"/>
              <w:jc w:val="left"/>
              <w:rPr>
                <w:sz w:val="24"/>
              </w:rPr>
            </w:pPr>
            <w:r>
              <w:rPr>
                <w:sz w:val="24"/>
              </w:rPr>
              <w:t>C10:0</w:t>
            </w:r>
          </w:p>
        </w:tc>
        <w:tc>
          <w:tcPr>
            <w:tcW w:w="1634" w:type="dxa"/>
            <w:tcBorders>
              <w:top w:val="nil"/>
              <w:left w:val="nil"/>
              <w:bottom w:val="nil"/>
              <w:right w:val="nil"/>
            </w:tcBorders>
          </w:tcPr>
          <w:p>
            <w:pPr>
              <w:pStyle w:val="TableParagraph"/>
              <w:spacing w:before="95"/>
              <w:ind w:left="481" w:right="486"/>
              <w:rPr>
                <w:sz w:val="16"/>
              </w:rPr>
            </w:pPr>
            <w:r>
              <w:rPr>
                <w:sz w:val="24"/>
              </w:rPr>
              <w:t>2.42</w:t>
            </w:r>
            <w:r>
              <w:rPr>
                <w:position w:val="11"/>
                <w:sz w:val="16"/>
              </w:rPr>
              <w:t>c</w:t>
            </w:r>
          </w:p>
        </w:tc>
        <w:tc>
          <w:tcPr>
            <w:tcW w:w="2065" w:type="dxa"/>
            <w:tcBorders>
              <w:top w:val="nil"/>
              <w:left w:val="nil"/>
              <w:bottom w:val="nil"/>
              <w:right w:val="nil"/>
            </w:tcBorders>
          </w:tcPr>
          <w:p>
            <w:pPr>
              <w:pStyle w:val="TableParagraph"/>
              <w:spacing w:before="95"/>
              <w:ind w:left="608"/>
              <w:jc w:val="left"/>
              <w:rPr>
                <w:sz w:val="16"/>
              </w:rPr>
            </w:pPr>
            <w:r>
              <w:rPr>
                <w:sz w:val="24"/>
              </w:rPr>
              <w:t>2.70</w:t>
            </w:r>
            <w:r>
              <w:rPr>
                <w:position w:val="11"/>
                <w:sz w:val="16"/>
              </w:rPr>
              <w:t>b</w:t>
            </w:r>
          </w:p>
        </w:tc>
        <w:tc>
          <w:tcPr>
            <w:tcW w:w="1296" w:type="dxa"/>
            <w:tcBorders>
              <w:top w:val="nil"/>
              <w:left w:val="nil"/>
              <w:bottom w:val="nil"/>
              <w:right w:val="nil"/>
            </w:tcBorders>
          </w:tcPr>
          <w:p>
            <w:pPr>
              <w:pStyle w:val="TableParagraph"/>
              <w:spacing w:before="95"/>
              <w:ind w:left="239"/>
              <w:jc w:val="left"/>
              <w:rPr>
                <w:sz w:val="16"/>
              </w:rPr>
            </w:pPr>
            <w:r>
              <w:rPr>
                <w:sz w:val="24"/>
              </w:rPr>
              <w:t>2.98</w:t>
            </w:r>
            <w:r>
              <w:rPr>
                <w:position w:val="11"/>
                <w:sz w:val="16"/>
              </w:rPr>
              <w:t>a</w:t>
            </w:r>
          </w:p>
        </w:tc>
        <w:tc>
          <w:tcPr>
            <w:tcW w:w="1479" w:type="dxa"/>
            <w:tcBorders>
              <w:top w:val="nil"/>
              <w:left w:val="nil"/>
              <w:bottom w:val="nil"/>
              <w:right w:val="nil"/>
            </w:tcBorders>
          </w:tcPr>
          <w:p>
            <w:pPr>
              <w:pStyle w:val="TableParagraph"/>
              <w:spacing w:before="130"/>
              <w:ind w:left="110"/>
              <w:jc w:val="left"/>
              <w:rPr>
                <w:sz w:val="24"/>
              </w:rPr>
            </w:pPr>
            <w:r>
              <w:rPr>
                <w:sz w:val="24"/>
              </w:rPr>
              <w:t>0.0601</w:t>
            </w:r>
          </w:p>
        </w:tc>
      </w:tr>
      <w:tr>
        <w:trPr>
          <w:trHeight w:val="519" w:hRule="exact"/>
        </w:trPr>
        <w:tc>
          <w:tcPr>
            <w:tcW w:w="2603" w:type="dxa"/>
            <w:tcBorders>
              <w:top w:val="nil"/>
              <w:left w:val="nil"/>
              <w:bottom w:val="nil"/>
              <w:right w:val="nil"/>
            </w:tcBorders>
          </w:tcPr>
          <w:p>
            <w:pPr>
              <w:pStyle w:val="TableParagraph"/>
              <w:spacing w:before="130"/>
              <w:ind w:left="125"/>
              <w:jc w:val="left"/>
              <w:rPr>
                <w:sz w:val="24"/>
              </w:rPr>
            </w:pPr>
            <w:r>
              <w:rPr>
                <w:sz w:val="24"/>
              </w:rPr>
              <w:t>C11:0</w:t>
            </w:r>
          </w:p>
        </w:tc>
        <w:tc>
          <w:tcPr>
            <w:tcW w:w="1634" w:type="dxa"/>
            <w:tcBorders>
              <w:top w:val="nil"/>
              <w:left w:val="nil"/>
              <w:bottom w:val="nil"/>
              <w:right w:val="nil"/>
            </w:tcBorders>
          </w:tcPr>
          <w:p>
            <w:pPr>
              <w:pStyle w:val="TableParagraph"/>
              <w:spacing w:before="95"/>
              <w:ind w:left="481" w:right="486"/>
              <w:rPr>
                <w:sz w:val="16"/>
              </w:rPr>
            </w:pPr>
            <w:r>
              <w:rPr>
                <w:sz w:val="24"/>
              </w:rPr>
              <w:t>0.34</w:t>
            </w:r>
            <w:r>
              <w:rPr>
                <w:position w:val="11"/>
                <w:sz w:val="16"/>
              </w:rPr>
              <w:t>c</w:t>
            </w:r>
          </w:p>
        </w:tc>
        <w:tc>
          <w:tcPr>
            <w:tcW w:w="2065" w:type="dxa"/>
            <w:tcBorders>
              <w:top w:val="nil"/>
              <w:left w:val="nil"/>
              <w:bottom w:val="nil"/>
              <w:right w:val="nil"/>
            </w:tcBorders>
          </w:tcPr>
          <w:p>
            <w:pPr>
              <w:pStyle w:val="TableParagraph"/>
              <w:spacing w:before="95"/>
              <w:ind w:left="608"/>
              <w:jc w:val="left"/>
              <w:rPr>
                <w:sz w:val="16"/>
              </w:rPr>
            </w:pPr>
            <w:r>
              <w:rPr>
                <w:sz w:val="24"/>
              </w:rPr>
              <w:t>0.40</w:t>
            </w:r>
            <w:r>
              <w:rPr>
                <w:position w:val="11"/>
                <w:sz w:val="16"/>
              </w:rPr>
              <w:t>b</w:t>
            </w:r>
          </w:p>
        </w:tc>
        <w:tc>
          <w:tcPr>
            <w:tcW w:w="1296" w:type="dxa"/>
            <w:tcBorders>
              <w:top w:val="nil"/>
              <w:left w:val="nil"/>
              <w:bottom w:val="nil"/>
              <w:right w:val="nil"/>
            </w:tcBorders>
          </w:tcPr>
          <w:p>
            <w:pPr>
              <w:pStyle w:val="TableParagraph"/>
              <w:spacing w:before="95"/>
              <w:ind w:left="239"/>
              <w:jc w:val="left"/>
              <w:rPr>
                <w:sz w:val="16"/>
              </w:rPr>
            </w:pPr>
            <w:r>
              <w:rPr>
                <w:sz w:val="24"/>
              </w:rPr>
              <w:t>0.45</w:t>
            </w:r>
            <w:r>
              <w:rPr>
                <w:position w:val="11"/>
                <w:sz w:val="16"/>
              </w:rPr>
              <w:t>a</w:t>
            </w:r>
          </w:p>
        </w:tc>
        <w:tc>
          <w:tcPr>
            <w:tcW w:w="1479" w:type="dxa"/>
            <w:tcBorders>
              <w:top w:val="nil"/>
              <w:left w:val="nil"/>
              <w:bottom w:val="nil"/>
              <w:right w:val="nil"/>
            </w:tcBorders>
          </w:tcPr>
          <w:p>
            <w:pPr>
              <w:pStyle w:val="TableParagraph"/>
              <w:spacing w:before="130"/>
              <w:ind w:left="110"/>
              <w:jc w:val="left"/>
              <w:rPr>
                <w:sz w:val="24"/>
              </w:rPr>
            </w:pPr>
            <w:r>
              <w:rPr>
                <w:sz w:val="24"/>
              </w:rPr>
              <w:t>0.0111</w:t>
            </w:r>
          </w:p>
        </w:tc>
      </w:tr>
      <w:tr>
        <w:trPr>
          <w:trHeight w:val="516" w:hRule="exact"/>
        </w:trPr>
        <w:tc>
          <w:tcPr>
            <w:tcW w:w="2603" w:type="dxa"/>
            <w:tcBorders>
              <w:top w:val="nil"/>
              <w:left w:val="nil"/>
              <w:bottom w:val="nil"/>
              <w:right w:val="nil"/>
            </w:tcBorders>
          </w:tcPr>
          <w:p>
            <w:pPr>
              <w:pStyle w:val="TableParagraph"/>
              <w:spacing w:before="131"/>
              <w:ind w:left="125"/>
              <w:jc w:val="left"/>
              <w:rPr>
                <w:sz w:val="24"/>
              </w:rPr>
            </w:pPr>
            <w:r>
              <w:rPr>
                <w:sz w:val="24"/>
              </w:rPr>
              <w:t>C12:0</w:t>
            </w:r>
          </w:p>
        </w:tc>
        <w:tc>
          <w:tcPr>
            <w:tcW w:w="1634" w:type="dxa"/>
            <w:tcBorders>
              <w:top w:val="nil"/>
              <w:left w:val="nil"/>
              <w:bottom w:val="nil"/>
              <w:right w:val="nil"/>
            </w:tcBorders>
          </w:tcPr>
          <w:p>
            <w:pPr>
              <w:pStyle w:val="TableParagraph"/>
              <w:spacing w:before="95"/>
              <w:ind w:left="481" w:right="486"/>
              <w:rPr>
                <w:sz w:val="16"/>
              </w:rPr>
            </w:pPr>
            <w:r>
              <w:rPr>
                <w:sz w:val="24"/>
              </w:rPr>
              <w:t>2.86</w:t>
            </w:r>
            <w:r>
              <w:rPr>
                <w:position w:val="11"/>
                <w:sz w:val="16"/>
              </w:rPr>
              <w:t>c</w:t>
            </w:r>
          </w:p>
        </w:tc>
        <w:tc>
          <w:tcPr>
            <w:tcW w:w="2065" w:type="dxa"/>
            <w:tcBorders>
              <w:top w:val="nil"/>
              <w:left w:val="nil"/>
              <w:bottom w:val="nil"/>
              <w:right w:val="nil"/>
            </w:tcBorders>
          </w:tcPr>
          <w:p>
            <w:pPr>
              <w:pStyle w:val="TableParagraph"/>
              <w:spacing w:before="95"/>
              <w:ind w:left="608"/>
              <w:jc w:val="left"/>
              <w:rPr>
                <w:sz w:val="16"/>
              </w:rPr>
            </w:pPr>
            <w:r>
              <w:rPr>
                <w:sz w:val="24"/>
              </w:rPr>
              <w:t>3.20</w:t>
            </w:r>
            <w:r>
              <w:rPr>
                <w:position w:val="11"/>
                <w:sz w:val="16"/>
              </w:rPr>
              <w:t>b</w:t>
            </w:r>
          </w:p>
        </w:tc>
        <w:tc>
          <w:tcPr>
            <w:tcW w:w="1296" w:type="dxa"/>
            <w:tcBorders>
              <w:top w:val="nil"/>
              <w:left w:val="nil"/>
              <w:bottom w:val="nil"/>
              <w:right w:val="nil"/>
            </w:tcBorders>
          </w:tcPr>
          <w:p>
            <w:pPr>
              <w:pStyle w:val="TableParagraph"/>
              <w:spacing w:before="95"/>
              <w:ind w:left="239"/>
              <w:jc w:val="left"/>
              <w:rPr>
                <w:sz w:val="16"/>
              </w:rPr>
            </w:pPr>
            <w:r>
              <w:rPr>
                <w:sz w:val="24"/>
              </w:rPr>
              <w:t>3.56</w:t>
            </w:r>
            <w:r>
              <w:rPr>
                <w:position w:val="11"/>
                <w:sz w:val="16"/>
              </w:rPr>
              <w:t>a</w:t>
            </w:r>
          </w:p>
        </w:tc>
        <w:tc>
          <w:tcPr>
            <w:tcW w:w="1479" w:type="dxa"/>
            <w:tcBorders>
              <w:top w:val="nil"/>
              <w:left w:val="nil"/>
              <w:bottom w:val="nil"/>
              <w:right w:val="nil"/>
            </w:tcBorders>
          </w:tcPr>
          <w:p>
            <w:pPr>
              <w:pStyle w:val="TableParagraph"/>
              <w:spacing w:before="131"/>
              <w:ind w:left="110"/>
              <w:jc w:val="left"/>
              <w:rPr>
                <w:sz w:val="24"/>
              </w:rPr>
            </w:pPr>
            <w:r>
              <w:rPr>
                <w:sz w:val="24"/>
              </w:rPr>
              <w:t>0.0680</w:t>
            </w:r>
          </w:p>
        </w:tc>
      </w:tr>
      <w:tr>
        <w:trPr>
          <w:trHeight w:val="516" w:hRule="exact"/>
        </w:trPr>
        <w:tc>
          <w:tcPr>
            <w:tcW w:w="2603" w:type="dxa"/>
            <w:tcBorders>
              <w:top w:val="nil"/>
              <w:left w:val="nil"/>
              <w:bottom w:val="nil"/>
              <w:right w:val="nil"/>
            </w:tcBorders>
          </w:tcPr>
          <w:p>
            <w:pPr>
              <w:pStyle w:val="TableParagraph"/>
              <w:spacing w:before="128"/>
              <w:ind w:left="125"/>
              <w:jc w:val="left"/>
              <w:rPr>
                <w:sz w:val="24"/>
              </w:rPr>
            </w:pPr>
            <w:r>
              <w:rPr>
                <w:sz w:val="24"/>
              </w:rPr>
              <w:t>C13:0</w:t>
            </w:r>
          </w:p>
        </w:tc>
        <w:tc>
          <w:tcPr>
            <w:tcW w:w="1634" w:type="dxa"/>
            <w:tcBorders>
              <w:top w:val="nil"/>
              <w:left w:val="nil"/>
              <w:bottom w:val="nil"/>
              <w:right w:val="nil"/>
            </w:tcBorders>
          </w:tcPr>
          <w:p>
            <w:pPr>
              <w:pStyle w:val="TableParagraph"/>
              <w:spacing w:before="93"/>
              <w:ind w:left="481" w:right="487"/>
              <w:rPr>
                <w:sz w:val="16"/>
              </w:rPr>
            </w:pPr>
            <w:r>
              <w:rPr>
                <w:sz w:val="24"/>
              </w:rPr>
              <w:t>0.16</w:t>
            </w:r>
            <w:r>
              <w:rPr>
                <w:position w:val="11"/>
                <w:sz w:val="16"/>
              </w:rPr>
              <w:t>b</w:t>
            </w:r>
          </w:p>
        </w:tc>
        <w:tc>
          <w:tcPr>
            <w:tcW w:w="2065" w:type="dxa"/>
            <w:tcBorders>
              <w:top w:val="nil"/>
              <w:left w:val="nil"/>
              <w:bottom w:val="nil"/>
              <w:right w:val="nil"/>
            </w:tcBorders>
          </w:tcPr>
          <w:p>
            <w:pPr>
              <w:pStyle w:val="TableParagraph"/>
              <w:spacing w:before="93"/>
              <w:ind w:left="608"/>
              <w:jc w:val="left"/>
              <w:rPr>
                <w:sz w:val="16"/>
              </w:rPr>
            </w:pPr>
            <w:r>
              <w:rPr>
                <w:sz w:val="24"/>
              </w:rPr>
              <w:t>0.18</w:t>
            </w:r>
            <w:r>
              <w:rPr>
                <w:position w:val="11"/>
                <w:sz w:val="16"/>
              </w:rPr>
              <w:t>b</w:t>
            </w:r>
          </w:p>
        </w:tc>
        <w:tc>
          <w:tcPr>
            <w:tcW w:w="1296" w:type="dxa"/>
            <w:tcBorders>
              <w:top w:val="nil"/>
              <w:left w:val="nil"/>
              <w:bottom w:val="nil"/>
              <w:right w:val="nil"/>
            </w:tcBorders>
          </w:tcPr>
          <w:p>
            <w:pPr>
              <w:pStyle w:val="TableParagraph"/>
              <w:spacing w:before="93"/>
              <w:ind w:left="239"/>
              <w:jc w:val="left"/>
              <w:rPr>
                <w:sz w:val="16"/>
              </w:rPr>
            </w:pPr>
            <w:r>
              <w:rPr>
                <w:sz w:val="24"/>
              </w:rPr>
              <w:t>0.21</w:t>
            </w:r>
            <w:r>
              <w:rPr>
                <w:position w:val="11"/>
                <w:sz w:val="16"/>
              </w:rPr>
              <w:t>a</w:t>
            </w:r>
          </w:p>
        </w:tc>
        <w:tc>
          <w:tcPr>
            <w:tcW w:w="1479" w:type="dxa"/>
            <w:tcBorders>
              <w:top w:val="nil"/>
              <w:left w:val="nil"/>
              <w:bottom w:val="nil"/>
              <w:right w:val="nil"/>
            </w:tcBorders>
          </w:tcPr>
          <w:p>
            <w:pPr>
              <w:pStyle w:val="TableParagraph"/>
              <w:spacing w:before="128"/>
              <w:ind w:left="110"/>
              <w:jc w:val="left"/>
              <w:rPr>
                <w:sz w:val="24"/>
              </w:rPr>
            </w:pPr>
            <w:r>
              <w:rPr>
                <w:sz w:val="24"/>
              </w:rPr>
              <w:t>0.0059</w:t>
            </w:r>
          </w:p>
        </w:tc>
      </w:tr>
      <w:tr>
        <w:trPr>
          <w:trHeight w:val="519" w:hRule="exact"/>
        </w:trPr>
        <w:tc>
          <w:tcPr>
            <w:tcW w:w="2603" w:type="dxa"/>
            <w:tcBorders>
              <w:top w:val="nil"/>
              <w:left w:val="nil"/>
              <w:bottom w:val="nil"/>
              <w:right w:val="nil"/>
            </w:tcBorders>
          </w:tcPr>
          <w:p>
            <w:pPr>
              <w:pStyle w:val="TableParagraph"/>
              <w:spacing w:before="130"/>
              <w:ind w:left="125"/>
              <w:jc w:val="left"/>
              <w:rPr>
                <w:sz w:val="24"/>
              </w:rPr>
            </w:pPr>
            <w:r>
              <w:rPr>
                <w:sz w:val="24"/>
              </w:rPr>
              <w:t>C14:0</w:t>
            </w:r>
          </w:p>
        </w:tc>
        <w:tc>
          <w:tcPr>
            <w:tcW w:w="1634" w:type="dxa"/>
            <w:tcBorders>
              <w:top w:val="nil"/>
              <w:left w:val="nil"/>
              <w:bottom w:val="nil"/>
              <w:right w:val="nil"/>
            </w:tcBorders>
          </w:tcPr>
          <w:p>
            <w:pPr>
              <w:pStyle w:val="TableParagraph"/>
              <w:spacing w:before="95"/>
              <w:ind w:left="481" w:right="492"/>
              <w:rPr>
                <w:sz w:val="16"/>
              </w:rPr>
            </w:pPr>
            <w:r>
              <w:rPr>
                <w:sz w:val="24"/>
              </w:rPr>
              <w:t>11.06</w:t>
            </w:r>
            <w:r>
              <w:rPr>
                <w:position w:val="11"/>
                <w:sz w:val="16"/>
              </w:rPr>
              <w:t>b</w:t>
            </w:r>
          </w:p>
        </w:tc>
        <w:tc>
          <w:tcPr>
            <w:tcW w:w="2065" w:type="dxa"/>
            <w:tcBorders>
              <w:top w:val="nil"/>
              <w:left w:val="nil"/>
              <w:bottom w:val="nil"/>
              <w:right w:val="nil"/>
            </w:tcBorders>
          </w:tcPr>
          <w:p>
            <w:pPr>
              <w:pStyle w:val="TableParagraph"/>
              <w:spacing w:before="95"/>
              <w:ind w:left="555"/>
              <w:jc w:val="left"/>
              <w:rPr>
                <w:sz w:val="16"/>
              </w:rPr>
            </w:pPr>
            <w:r>
              <w:rPr>
                <w:sz w:val="24"/>
              </w:rPr>
              <w:t>11.63</w:t>
            </w:r>
            <w:r>
              <w:rPr>
                <w:position w:val="11"/>
                <w:sz w:val="16"/>
              </w:rPr>
              <w:t>a</w:t>
            </w:r>
          </w:p>
        </w:tc>
        <w:tc>
          <w:tcPr>
            <w:tcW w:w="1296" w:type="dxa"/>
            <w:tcBorders>
              <w:top w:val="nil"/>
              <w:left w:val="nil"/>
              <w:bottom w:val="nil"/>
              <w:right w:val="nil"/>
            </w:tcBorders>
          </w:tcPr>
          <w:p>
            <w:pPr>
              <w:pStyle w:val="TableParagraph"/>
              <w:spacing w:before="95"/>
              <w:ind w:left="176"/>
              <w:jc w:val="left"/>
              <w:rPr>
                <w:sz w:val="16"/>
              </w:rPr>
            </w:pPr>
            <w:r>
              <w:rPr>
                <w:sz w:val="24"/>
              </w:rPr>
              <w:t>12.00</w:t>
            </w:r>
            <w:r>
              <w:rPr>
                <w:position w:val="11"/>
                <w:sz w:val="16"/>
              </w:rPr>
              <w:t>a</w:t>
            </w:r>
          </w:p>
        </w:tc>
        <w:tc>
          <w:tcPr>
            <w:tcW w:w="1479" w:type="dxa"/>
            <w:tcBorders>
              <w:top w:val="nil"/>
              <w:left w:val="nil"/>
              <w:bottom w:val="nil"/>
              <w:right w:val="nil"/>
            </w:tcBorders>
          </w:tcPr>
          <w:p>
            <w:pPr>
              <w:pStyle w:val="TableParagraph"/>
              <w:spacing w:before="130"/>
              <w:ind w:left="110"/>
              <w:jc w:val="left"/>
              <w:rPr>
                <w:sz w:val="24"/>
              </w:rPr>
            </w:pPr>
            <w:r>
              <w:rPr>
                <w:sz w:val="24"/>
              </w:rPr>
              <w:t>0.1271</w:t>
            </w:r>
          </w:p>
        </w:tc>
      </w:tr>
      <w:tr>
        <w:trPr>
          <w:trHeight w:val="541" w:hRule="exact"/>
        </w:trPr>
        <w:tc>
          <w:tcPr>
            <w:tcW w:w="2603" w:type="dxa"/>
            <w:tcBorders>
              <w:top w:val="nil"/>
              <w:left w:val="nil"/>
              <w:bottom w:val="nil"/>
              <w:right w:val="nil"/>
            </w:tcBorders>
          </w:tcPr>
          <w:p>
            <w:pPr>
              <w:pStyle w:val="TableParagraph"/>
              <w:spacing w:before="131"/>
              <w:ind w:left="125"/>
              <w:jc w:val="left"/>
              <w:rPr>
                <w:sz w:val="24"/>
              </w:rPr>
            </w:pPr>
            <w:r>
              <w:rPr>
                <w:sz w:val="24"/>
              </w:rPr>
              <w:t>C14:1</w:t>
            </w:r>
          </w:p>
        </w:tc>
        <w:tc>
          <w:tcPr>
            <w:tcW w:w="1634" w:type="dxa"/>
            <w:tcBorders>
              <w:top w:val="nil"/>
              <w:left w:val="nil"/>
              <w:bottom w:val="nil"/>
              <w:right w:val="nil"/>
            </w:tcBorders>
          </w:tcPr>
          <w:p>
            <w:pPr>
              <w:pStyle w:val="TableParagraph"/>
              <w:spacing w:before="95"/>
              <w:ind w:left="481" w:right="487"/>
              <w:rPr>
                <w:sz w:val="16"/>
              </w:rPr>
            </w:pPr>
            <w:r>
              <w:rPr>
                <w:sz w:val="24"/>
              </w:rPr>
              <w:t>1.02</w:t>
            </w:r>
            <w:r>
              <w:rPr>
                <w:position w:val="11"/>
                <w:sz w:val="16"/>
              </w:rPr>
              <w:t>b</w:t>
            </w:r>
          </w:p>
        </w:tc>
        <w:tc>
          <w:tcPr>
            <w:tcW w:w="2065" w:type="dxa"/>
            <w:tcBorders>
              <w:top w:val="nil"/>
              <w:left w:val="nil"/>
              <w:bottom w:val="nil"/>
              <w:right w:val="nil"/>
            </w:tcBorders>
          </w:tcPr>
          <w:p>
            <w:pPr>
              <w:pStyle w:val="TableParagraph"/>
              <w:spacing w:before="95"/>
              <w:ind w:left="613"/>
              <w:jc w:val="left"/>
              <w:rPr>
                <w:sz w:val="16"/>
              </w:rPr>
            </w:pPr>
            <w:r>
              <w:rPr>
                <w:sz w:val="24"/>
              </w:rPr>
              <w:t>1.17</w:t>
            </w:r>
            <w:r>
              <w:rPr>
                <w:position w:val="11"/>
                <w:sz w:val="16"/>
              </w:rPr>
              <w:t>a</w:t>
            </w:r>
          </w:p>
        </w:tc>
        <w:tc>
          <w:tcPr>
            <w:tcW w:w="1296" w:type="dxa"/>
            <w:tcBorders>
              <w:top w:val="nil"/>
              <w:left w:val="nil"/>
              <w:bottom w:val="nil"/>
              <w:right w:val="nil"/>
            </w:tcBorders>
          </w:tcPr>
          <w:p>
            <w:pPr>
              <w:pStyle w:val="TableParagraph"/>
              <w:spacing w:before="95"/>
              <w:ind w:left="239"/>
              <w:jc w:val="left"/>
              <w:rPr>
                <w:sz w:val="16"/>
              </w:rPr>
            </w:pPr>
            <w:r>
              <w:rPr>
                <w:sz w:val="24"/>
              </w:rPr>
              <w:t>1.22</w:t>
            </w:r>
            <w:r>
              <w:rPr>
                <w:position w:val="11"/>
                <w:sz w:val="16"/>
              </w:rPr>
              <w:t>a</w:t>
            </w:r>
          </w:p>
        </w:tc>
        <w:tc>
          <w:tcPr>
            <w:tcW w:w="1479" w:type="dxa"/>
            <w:tcBorders>
              <w:top w:val="nil"/>
              <w:left w:val="nil"/>
              <w:bottom w:val="nil"/>
              <w:right w:val="nil"/>
            </w:tcBorders>
          </w:tcPr>
          <w:p>
            <w:pPr>
              <w:pStyle w:val="TableParagraph"/>
              <w:spacing w:before="131"/>
              <w:ind w:left="110"/>
              <w:jc w:val="left"/>
              <w:rPr>
                <w:sz w:val="24"/>
              </w:rPr>
            </w:pPr>
            <w:r>
              <w:rPr>
                <w:sz w:val="24"/>
              </w:rPr>
              <w:t>0.0402</w:t>
            </w:r>
          </w:p>
        </w:tc>
      </w:tr>
      <w:tr>
        <w:trPr>
          <w:trHeight w:val="518" w:hRule="exact"/>
        </w:trPr>
        <w:tc>
          <w:tcPr>
            <w:tcW w:w="2603" w:type="dxa"/>
            <w:tcBorders>
              <w:top w:val="nil"/>
              <w:left w:val="nil"/>
              <w:bottom w:val="nil"/>
              <w:right w:val="nil"/>
            </w:tcBorders>
          </w:tcPr>
          <w:p>
            <w:pPr>
              <w:pStyle w:val="TableParagraph"/>
              <w:spacing w:before="108"/>
              <w:ind w:left="125"/>
              <w:jc w:val="left"/>
              <w:rPr>
                <w:sz w:val="24"/>
              </w:rPr>
            </w:pPr>
            <w:r>
              <w:rPr>
                <w:sz w:val="24"/>
              </w:rPr>
              <w:t>C15:0</w:t>
            </w:r>
          </w:p>
        </w:tc>
        <w:tc>
          <w:tcPr>
            <w:tcW w:w="1634" w:type="dxa"/>
            <w:tcBorders>
              <w:top w:val="nil"/>
              <w:left w:val="nil"/>
              <w:bottom w:val="nil"/>
              <w:right w:val="nil"/>
            </w:tcBorders>
          </w:tcPr>
          <w:p>
            <w:pPr>
              <w:pStyle w:val="TableParagraph"/>
              <w:spacing w:before="108"/>
              <w:ind w:left="481" w:right="490"/>
              <w:rPr>
                <w:sz w:val="24"/>
              </w:rPr>
            </w:pPr>
            <w:r>
              <w:rPr>
                <w:sz w:val="24"/>
              </w:rPr>
              <w:t>1.19</w:t>
            </w:r>
          </w:p>
        </w:tc>
        <w:tc>
          <w:tcPr>
            <w:tcW w:w="2065" w:type="dxa"/>
            <w:tcBorders>
              <w:top w:val="nil"/>
              <w:left w:val="nil"/>
              <w:bottom w:val="nil"/>
              <w:right w:val="nil"/>
            </w:tcBorders>
          </w:tcPr>
          <w:p>
            <w:pPr>
              <w:pStyle w:val="TableParagraph"/>
              <w:spacing w:before="108"/>
              <w:ind w:left="651"/>
              <w:jc w:val="left"/>
              <w:rPr>
                <w:sz w:val="24"/>
              </w:rPr>
            </w:pPr>
            <w:r>
              <w:rPr>
                <w:sz w:val="24"/>
              </w:rPr>
              <w:t>1.21</w:t>
            </w:r>
          </w:p>
        </w:tc>
        <w:tc>
          <w:tcPr>
            <w:tcW w:w="1296" w:type="dxa"/>
            <w:tcBorders>
              <w:top w:val="nil"/>
              <w:left w:val="nil"/>
              <w:bottom w:val="nil"/>
              <w:right w:val="nil"/>
            </w:tcBorders>
          </w:tcPr>
          <w:p>
            <w:pPr>
              <w:pStyle w:val="TableParagraph"/>
              <w:spacing w:before="108"/>
              <w:ind w:left="272"/>
              <w:jc w:val="left"/>
              <w:rPr>
                <w:sz w:val="24"/>
              </w:rPr>
            </w:pPr>
            <w:r>
              <w:rPr>
                <w:sz w:val="24"/>
              </w:rPr>
              <w:t>1.22</w:t>
            </w:r>
          </w:p>
        </w:tc>
        <w:tc>
          <w:tcPr>
            <w:tcW w:w="1479" w:type="dxa"/>
            <w:tcBorders>
              <w:top w:val="nil"/>
              <w:left w:val="nil"/>
              <w:bottom w:val="nil"/>
              <w:right w:val="nil"/>
            </w:tcBorders>
          </w:tcPr>
          <w:p>
            <w:pPr>
              <w:pStyle w:val="TableParagraph"/>
              <w:spacing w:before="108"/>
              <w:ind w:left="110"/>
              <w:jc w:val="left"/>
              <w:rPr>
                <w:sz w:val="24"/>
              </w:rPr>
            </w:pPr>
            <w:r>
              <w:rPr>
                <w:sz w:val="24"/>
              </w:rPr>
              <w:t>0.0264</w:t>
            </w:r>
          </w:p>
        </w:tc>
      </w:tr>
      <w:tr>
        <w:trPr>
          <w:trHeight w:val="494" w:hRule="exact"/>
        </w:trPr>
        <w:tc>
          <w:tcPr>
            <w:tcW w:w="2603" w:type="dxa"/>
            <w:tcBorders>
              <w:top w:val="nil"/>
              <w:left w:val="nil"/>
              <w:bottom w:val="nil"/>
              <w:right w:val="nil"/>
            </w:tcBorders>
          </w:tcPr>
          <w:p>
            <w:pPr>
              <w:pStyle w:val="TableParagraph"/>
              <w:spacing w:before="108"/>
              <w:ind w:left="125"/>
              <w:jc w:val="left"/>
              <w:rPr>
                <w:sz w:val="24"/>
              </w:rPr>
            </w:pPr>
            <w:r>
              <w:rPr>
                <w:sz w:val="24"/>
              </w:rPr>
              <w:t>C15:1</w:t>
            </w:r>
          </w:p>
        </w:tc>
        <w:tc>
          <w:tcPr>
            <w:tcW w:w="1634" w:type="dxa"/>
            <w:tcBorders>
              <w:top w:val="nil"/>
              <w:left w:val="nil"/>
              <w:bottom w:val="nil"/>
              <w:right w:val="nil"/>
            </w:tcBorders>
          </w:tcPr>
          <w:p>
            <w:pPr>
              <w:pStyle w:val="TableParagraph"/>
              <w:spacing w:before="108"/>
              <w:ind w:left="481" w:right="490"/>
              <w:rPr>
                <w:sz w:val="24"/>
              </w:rPr>
            </w:pPr>
            <w:r>
              <w:rPr>
                <w:sz w:val="24"/>
              </w:rPr>
              <w:t>0.01</w:t>
            </w:r>
          </w:p>
        </w:tc>
        <w:tc>
          <w:tcPr>
            <w:tcW w:w="2065" w:type="dxa"/>
            <w:tcBorders>
              <w:top w:val="nil"/>
              <w:left w:val="nil"/>
              <w:bottom w:val="nil"/>
              <w:right w:val="nil"/>
            </w:tcBorders>
          </w:tcPr>
          <w:p>
            <w:pPr>
              <w:pStyle w:val="TableParagraph"/>
              <w:spacing w:before="108"/>
              <w:ind w:left="651"/>
              <w:jc w:val="left"/>
              <w:rPr>
                <w:sz w:val="24"/>
              </w:rPr>
            </w:pPr>
            <w:r>
              <w:rPr>
                <w:sz w:val="24"/>
              </w:rPr>
              <w:t>0.01</w:t>
            </w:r>
          </w:p>
        </w:tc>
        <w:tc>
          <w:tcPr>
            <w:tcW w:w="1296" w:type="dxa"/>
            <w:tcBorders>
              <w:top w:val="nil"/>
              <w:left w:val="nil"/>
              <w:bottom w:val="nil"/>
              <w:right w:val="nil"/>
            </w:tcBorders>
          </w:tcPr>
          <w:p>
            <w:pPr>
              <w:pStyle w:val="TableParagraph"/>
              <w:spacing w:before="108"/>
              <w:ind w:left="272"/>
              <w:jc w:val="left"/>
              <w:rPr>
                <w:sz w:val="24"/>
              </w:rPr>
            </w:pPr>
            <w:r>
              <w:rPr>
                <w:sz w:val="24"/>
              </w:rPr>
              <w:t>0.01</w:t>
            </w:r>
          </w:p>
        </w:tc>
        <w:tc>
          <w:tcPr>
            <w:tcW w:w="1479" w:type="dxa"/>
            <w:tcBorders>
              <w:top w:val="nil"/>
              <w:left w:val="nil"/>
              <w:bottom w:val="nil"/>
              <w:right w:val="nil"/>
            </w:tcBorders>
          </w:tcPr>
          <w:p>
            <w:pPr>
              <w:pStyle w:val="TableParagraph"/>
              <w:spacing w:before="108"/>
              <w:ind w:left="110"/>
              <w:jc w:val="left"/>
              <w:rPr>
                <w:sz w:val="24"/>
              </w:rPr>
            </w:pPr>
            <w:r>
              <w:rPr>
                <w:sz w:val="24"/>
              </w:rPr>
              <w:t>0.0001</w:t>
            </w:r>
          </w:p>
        </w:tc>
      </w:tr>
      <w:tr>
        <w:trPr>
          <w:trHeight w:val="539" w:hRule="exact"/>
        </w:trPr>
        <w:tc>
          <w:tcPr>
            <w:tcW w:w="2603" w:type="dxa"/>
            <w:tcBorders>
              <w:top w:val="nil"/>
              <w:left w:val="nil"/>
              <w:bottom w:val="nil"/>
              <w:right w:val="nil"/>
            </w:tcBorders>
          </w:tcPr>
          <w:p>
            <w:pPr>
              <w:pStyle w:val="TableParagraph"/>
              <w:spacing w:before="128"/>
              <w:ind w:left="125"/>
              <w:jc w:val="left"/>
              <w:rPr>
                <w:sz w:val="24"/>
              </w:rPr>
            </w:pPr>
            <w:r>
              <w:rPr>
                <w:sz w:val="24"/>
              </w:rPr>
              <w:t>C16:0</w:t>
            </w:r>
          </w:p>
        </w:tc>
        <w:tc>
          <w:tcPr>
            <w:tcW w:w="1634" w:type="dxa"/>
            <w:tcBorders>
              <w:top w:val="nil"/>
              <w:left w:val="nil"/>
              <w:bottom w:val="nil"/>
              <w:right w:val="nil"/>
            </w:tcBorders>
          </w:tcPr>
          <w:p>
            <w:pPr>
              <w:pStyle w:val="TableParagraph"/>
              <w:spacing w:before="93"/>
              <w:ind w:left="481" w:right="492"/>
              <w:rPr>
                <w:sz w:val="16"/>
              </w:rPr>
            </w:pPr>
            <w:r>
              <w:rPr>
                <w:sz w:val="24"/>
              </w:rPr>
              <w:t>29.31</w:t>
            </w:r>
            <w:r>
              <w:rPr>
                <w:position w:val="11"/>
                <w:sz w:val="16"/>
              </w:rPr>
              <w:t>b</w:t>
            </w:r>
          </w:p>
        </w:tc>
        <w:tc>
          <w:tcPr>
            <w:tcW w:w="2065" w:type="dxa"/>
            <w:tcBorders>
              <w:top w:val="nil"/>
              <w:left w:val="nil"/>
              <w:bottom w:val="nil"/>
              <w:right w:val="nil"/>
            </w:tcBorders>
          </w:tcPr>
          <w:p>
            <w:pPr>
              <w:pStyle w:val="TableParagraph"/>
              <w:spacing w:before="93"/>
              <w:ind w:left="512"/>
              <w:jc w:val="left"/>
              <w:rPr>
                <w:sz w:val="16"/>
              </w:rPr>
            </w:pPr>
            <w:r>
              <w:rPr>
                <w:sz w:val="24"/>
              </w:rPr>
              <w:t>29.88</w:t>
            </w:r>
            <w:r>
              <w:rPr>
                <w:position w:val="11"/>
                <w:sz w:val="16"/>
              </w:rPr>
              <w:t>ab</w:t>
            </w:r>
          </w:p>
        </w:tc>
        <w:tc>
          <w:tcPr>
            <w:tcW w:w="1296" w:type="dxa"/>
            <w:tcBorders>
              <w:top w:val="nil"/>
              <w:left w:val="nil"/>
              <w:bottom w:val="nil"/>
              <w:right w:val="nil"/>
            </w:tcBorders>
          </w:tcPr>
          <w:p>
            <w:pPr>
              <w:pStyle w:val="TableParagraph"/>
              <w:spacing w:before="93"/>
              <w:ind w:left="176"/>
              <w:jc w:val="left"/>
              <w:rPr>
                <w:sz w:val="16"/>
              </w:rPr>
            </w:pPr>
            <w:r>
              <w:rPr>
                <w:sz w:val="24"/>
              </w:rPr>
              <w:t>30.74</w:t>
            </w:r>
            <w:r>
              <w:rPr>
                <w:position w:val="11"/>
                <w:sz w:val="16"/>
              </w:rPr>
              <w:t>a</w:t>
            </w:r>
          </w:p>
        </w:tc>
        <w:tc>
          <w:tcPr>
            <w:tcW w:w="1479" w:type="dxa"/>
            <w:tcBorders>
              <w:top w:val="nil"/>
              <w:left w:val="nil"/>
              <w:bottom w:val="nil"/>
              <w:right w:val="nil"/>
            </w:tcBorders>
          </w:tcPr>
          <w:p>
            <w:pPr>
              <w:pStyle w:val="TableParagraph"/>
              <w:spacing w:before="128"/>
              <w:ind w:left="110"/>
              <w:jc w:val="left"/>
              <w:rPr>
                <w:sz w:val="24"/>
              </w:rPr>
            </w:pPr>
            <w:r>
              <w:rPr>
                <w:sz w:val="24"/>
              </w:rPr>
              <w:t>0.3682</w:t>
            </w:r>
          </w:p>
        </w:tc>
      </w:tr>
      <w:tr>
        <w:trPr>
          <w:trHeight w:val="644" w:hRule="exact"/>
        </w:trPr>
        <w:tc>
          <w:tcPr>
            <w:tcW w:w="2603" w:type="dxa"/>
            <w:tcBorders>
              <w:top w:val="nil"/>
              <w:left w:val="nil"/>
              <w:right w:val="nil"/>
            </w:tcBorders>
          </w:tcPr>
          <w:p>
            <w:pPr>
              <w:pStyle w:val="TableParagraph"/>
              <w:spacing w:before="108"/>
              <w:ind w:left="125"/>
              <w:jc w:val="left"/>
              <w:rPr>
                <w:sz w:val="24"/>
              </w:rPr>
            </w:pPr>
            <w:r>
              <w:rPr>
                <w:sz w:val="24"/>
              </w:rPr>
              <w:t>C16:1</w:t>
            </w:r>
          </w:p>
        </w:tc>
        <w:tc>
          <w:tcPr>
            <w:tcW w:w="1634" w:type="dxa"/>
            <w:tcBorders>
              <w:top w:val="nil"/>
              <w:left w:val="nil"/>
              <w:right w:val="nil"/>
            </w:tcBorders>
          </w:tcPr>
          <w:p>
            <w:pPr>
              <w:pStyle w:val="TableParagraph"/>
              <w:spacing w:before="108"/>
              <w:ind w:left="481" w:right="490"/>
              <w:rPr>
                <w:sz w:val="24"/>
              </w:rPr>
            </w:pPr>
            <w:r>
              <w:rPr>
                <w:sz w:val="24"/>
              </w:rPr>
              <w:t>2.00</w:t>
            </w:r>
          </w:p>
        </w:tc>
        <w:tc>
          <w:tcPr>
            <w:tcW w:w="2065" w:type="dxa"/>
            <w:tcBorders>
              <w:top w:val="nil"/>
              <w:left w:val="nil"/>
              <w:right w:val="nil"/>
            </w:tcBorders>
          </w:tcPr>
          <w:p>
            <w:pPr>
              <w:pStyle w:val="TableParagraph"/>
              <w:spacing w:before="108"/>
              <w:ind w:left="651"/>
              <w:jc w:val="left"/>
              <w:rPr>
                <w:sz w:val="24"/>
              </w:rPr>
            </w:pPr>
            <w:r>
              <w:rPr>
                <w:sz w:val="24"/>
              </w:rPr>
              <w:t>2.08</w:t>
            </w:r>
          </w:p>
        </w:tc>
        <w:tc>
          <w:tcPr>
            <w:tcW w:w="1296" w:type="dxa"/>
            <w:tcBorders>
              <w:top w:val="nil"/>
              <w:left w:val="nil"/>
              <w:right w:val="nil"/>
            </w:tcBorders>
          </w:tcPr>
          <w:p>
            <w:pPr>
              <w:pStyle w:val="TableParagraph"/>
              <w:spacing w:before="108"/>
              <w:ind w:left="272"/>
              <w:jc w:val="left"/>
              <w:rPr>
                <w:sz w:val="24"/>
              </w:rPr>
            </w:pPr>
            <w:r>
              <w:rPr>
                <w:sz w:val="24"/>
              </w:rPr>
              <w:t>1.99</w:t>
            </w:r>
          </w:p>
        </w:tc>
        <w:tc>
          <w:tcPr>
            <w:tcW w:w="1479" w:type="dxa"/>
            <w:tcBorders>
              <w:top w:val="nil"/>
              <w:left w:val="nil"/>
              <w:right w:val="nil"/>
            </w:tcBorders>
          </w:tcPr>
          <w:p>
            <w:pPr>
              <w:pStyle w:val="TableParagraph"/>
              <w:spacing w:before="108"/>
              <w:ind w:left="110"/>
              <w:jc w:val="left"/>
              <w:rPr>
                <w:sz w:val="24"/>
              </w:rPr>
            </w:pPr>
            <w:r>
              <w:rPr>
                <w:sz w:val="24"/>
              </w:rPr>
              <w:t>0.0552</w:t>
            </w:r>
          </w:p>
        </w:tc>
      </w:tr>
    </w:tbl>
    <w:p>
      <w:pPr>
        <w:spacing w:after="0"/>
        <w:jc w:val="left"/>
        <w:rPr>
          <w:sz w:val="24"/>
        </w:rPr>
        <w:sectPr>
          <w:pgSz w:w="12240" w:h="15840"/>
          <w:pgMar w:header="1150" w:footer="1382" w:top="1420" w:bottom="1580" w:left="136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BodyText"/>
        <w:spacing w:before="79"/>
        <w:ind w:left="512" w:right="322"/>
      </w:pPr>
      <w:r>
        <w:rPr/>
        <w:pict>
          <v:shape style="position:absolute;margin-left:73.75pt;margin-top:-378.39624pt;width:467.45pt;height:384.5pt;mso-position-horizontal-relative:page;mso-position-vertical-relative:paragraph;z-index:186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0"/>
                    <w:gridCol w:w="2185"/>
                    <w:gridCol w:w="2045"/>
                    <w:gridCol w:w="1722"/>
                    <w:gridCol w:w="1442"/>
                    <w:gridCol w:w="1551"/>
                    <w:gridCol w:w="123"/>
                  </w:tblGrid>
                  <w:tr>
                    <w:trPr>
                      <w:trHeight w:val="404" w:hRule="exact"/>
                    </w:trPr>
                    <w:tc>
                      <w:tcPr>
                        <w:tcW w:w="280" w:type="dxa"/>
                        <w:tcBorders>
                          <w:left w:val="nil"/>
                          <w:bottom w:val="nil"/>
                          <w:right w:val="nil"/>
                        </w:tcBorders>
                      </w:tcPr>
                      <w:p>
                        <w:pPr/>
                      </w:p>
                    </w:tc>
                    <w:tc>
                      <w:tcPr>
                        <w:tcW w:w="2185" w:type="dxa"/>
                        <w:tcBorders>
                          <w:left w:val="nil"/>
                          <w:bottom w:val="single" w:sz="4" w:space="0" w:color="000000"/>
                          <w:right w:val="nil"/>
                        </w:tcBorders>
                      </w:tcPr>
                      <w:p>
                        <w:pPr/>
                      </w:p>
                    </w:tc>
                    <w:tc>
                      <w:tcPr>
                        <w:tcW w:w="2045" w:type="dxa"/>
                        <w:tcBorders>
                          <w:left w:val="nil"/>
                          <w:bottom w:val="single" w:sz="4" w:space="0" w:color="000000"/>
                          <w:right w:val="nil"/>
                        </w:tcBorders>
                      </w:tcPr>
                      <w:p>
                        <w:pPr/>
                      </w:p>
                    </w:tc>
                    <w:tc>
                      <w:tcPr>
                        <w:tcW w:w="1722" w:type="dxa"/>
                        <w:tcBorders>
                          <w:left w:val="nil"/>
                          <w:bottom w:val="single" w:sz="4" w:space="0" w:color="000000"/>
                          <w:right w:val="nil"/>
                        </w:tcBorders>
                      </w:tcPr>
                      <w:p>
                        <w:pPr/>
                      </w:p>
                    </w:tc>
                    <w:tc>
                      <w:tcPr>
                        <w:tcW w:w="1442" w:type="dxa"/>
                        <w:tcBorders>
                          <w:left w:val="nil"/>
                          <w:bottom w:val="single" w:sz="4" w:space="0" w:color="000000"/>
                          <w:right w:val="nil"/>
                        </w:tcBorders>
                      </w:tcPr>
                      <w:p>
                        <w:pPr/>
                      </w:p>
                    </w:tc>
                    <w:tc>
                      <w:tcPr>
                        <w:tcW w:w="1551" w:type="dxa"/>
                        <w:tcBorders>
                          <w:left w:val="nil"/>
                          <w:bottom w:val="single" w:sz="4" w:space="0" w:color="000000"/>
                          <w:right w:val="nil"/>
                        </w:tcBorders>
                      </w:tcPr>
                      <w:p>
                        <w:pPr/>
                      </w:p>
                    </w:tc>
                    <w:tc>
                      <w:tcPr>
                        <w:tcW w:w="123" w:type="dxa"/>
                        <w:tcBorders>
                          <w:top w:val="nil"/>
                          <w:left w:val="nil"/>
                          <w:bottom w:val="single" w:sz="4" w:space="0" w:color="000000"/>
                          <w:right w:val="nil"/>
                        </w:tcBorders>
                      </w:tcPr>
                      <w:p>
                        <w:pPr/>
                      </w:p>
                    </w:tc>
                  </w:tr>
                  <w:tr>
                    <w:trPr>
                      <w:trHeight w:val="380" w:hRule="exact"/>
                    </w:trPr>
                    <w:tc>
                      <w:tcPr>
                        <w:tcW w:w="280" w:type="dxa"/>
                        <w:tcBorders>
                          <w:top w:val="nil"/>
                          <w:left w:val="nil"/>
                          <w:bottom w:val="nil"/>
                          <w:right w:val="nil"/>
                        </w:tcBorders>
                      </w:tcPr>
                      <w:p>
                        <w:pPr/>
                      </w:p>
                    </w:tc>
                    <w:tc>
                      <w:tcPr>
                        <w:tcW w:w="2185" w:type="dxa"/>
                        <w:tcBorders>
                          <w:top w:val="single" w:sz="4" w:space="0" w:color="000000"/>
                          <w:left w:val="nil"/>
                          <w:bottom w:val="nil"/>
                          <w:right w:val="nil"/>
                        </w:tcBorders>
                      </w:tcPr>
                      <w:p>
                        <w:pPr>
                          <w:pStyle w:val="TableParagraph"/>
                          <w:spacing w:line="263" w:lineRule="exact"/>
                          <w:ind w:left="118"/>
                          <w:jc w:val="left"/>
                          <w:rPr>
                            <w:sz w:val="24"/>
                          </w:rPr>
                        </w:pPr>
                        <w:r>
                          <w:rPr>
                            <w:sz w:val="24"/>
                          </w:rPr>
                          <w:t>C17:0</w:t>
                        </w:r>
                      </w:p>
                    </w:tc>
                    <w:tc>
                      <w:tcPr>
                        <w:tcW w:w="2045" w:type="dxa"/>
                        <w:tcBorders>
                          <w:top w:val="single" w:sz="4" w:space="0" w:color="000000"/>
                          <w:left w:val="nil"/>
                          <w:bottom w:val="nil"/>
                          <w:right w:val="nil"/>
                        </w:tcBorders>
                      </w:tcPr>
                      <w:p>
                        <w:pPr>
                          <w:pStyle w:val="TableParagraph"/>
                          <w:spacing w:line="263" w:lineRule="exact"/>
                          <w:ind w:right="609"/>
                          <w:jc w:val="right"/>
                          <w:rPr>
                            <w:sz w:val="24"/>
                          </w:rPr>
                        </w:pPr>
                        <w:r>
                          <w:rPr>
                            <w:sz w:val="24"/>
                          </w:rPr>
                          <w:t>0.77</w:t>
                        </w:r>
                      </w:p>
                    </w:tc>
                    <w:tc>
                      <w:tcPr>
                        <w:tcW w:w="1722" w:type="dxa"/>
                        <w:tcBorders>
                          <w:top w:val="single" w:sz="4" w:space="0" w:color="000000"/>
                          <w:left w:val="nil"/>
                          <w:bottom w:val="nil"/>
                          <w:right w:val="nil"/>
                        </w:tcBorders>
                      </w:tcPr>
                      <w:p>
                        <w:pPr>
                          <w:pStyle w:val="TableParagraph"/>
                          <w:spacing w:line="263" w:lineRule="exact"/>
                          <w:ind w:left="632" w:right="629"/>
                          <w:rPr>
                            <w:sz w:val="24"/>
                          </w:rPr>
                        </w:pPr>
                        <w:r>
                          <w:rPr>
                            <w:sz w:val="24"/>
                          </w:rPr>
                          <w:t>0.76</w:t>
                        </w:r>
                      </w:p>
                    </w:tc>
                    <w:tc>
                      <w:tcPr>
                        <w:tcW w:w="1442" w:type="dxa"/>
                        <w:tcBorders>
                          <w:top w:val="single" w:sz="4" w:space="0" w:color="000000"/>
                          <w:left w:val="nil"/>
                          <w:bottom w:val="nil"/>
                          <w:right w:val="nil"/>
                        </w:tcBorders>
                      </w:tcPr>
                      <w:p>
                        <w:pPr>
                          <w:pStyle w:val="TableParagraph"/>
                          <w:spacing w:line="263" w:lineRule="exact"/>
                          <w:ind w:left="495" w:right="285"/>
                          <w:rPr>
                            <w:sz w:val="24"/>
                          </w:rPr>
                        </w:pPr>
                        <w:r>
                          <w:rPr>
                            <w:sz w:val="24"/>
                          </w:rPr>
                          <w:t>0.74</w:t>
                        </w:r>
                      </w:p>
                    </w:tc>
                    <w:tc>
                      <w:tcPr>
                        <w:tcW w:w="1551" w:type="dxa"/>
                        <w:tcBorders>
                          <w:top w:val="single" w:sz="4" w:space="0" w:color="000000"/>
                          <w:left w:val="nil"/>
                          <w:bottom w:val="nil"/>
                          <w:right w:val="nil"/>
                        </w:tcBorders>
                      </w:tcPr>
                      <w:p>
                        <w:pPr>
                          <w:pStyle w:val="TableParagraph"/>
                          <w:spacing w:line="263" w:lineRule="exact"/>
                          <w:ind w:left="306"/>
                          <w:jc w:val="left"/>
                          <w:rPr>
                            <w:sz w:val="24"/>
                          </w:rPr>
                        </w:pPr>
                        <w:r>
                          <w:rPr>
                            <w:sz w:val="24"/>
                          </w:rPr>
                          <w:t>0.0106</w:t>
                        </w:r>
                      </w:p>
                    </w:tc>
                    <w:tc>
                      <w:tcPr>
                        <w:tcW w:w="123" w:type="dxa"/>
                        <w:tcBorders>
                          <w:top w:val="single" w:sz="4" w:space="0" w:color="000000"/>
                          <w:left w:val="nil"/>
                          <w:bottom w:val="nil"/>
                          <w:right w:val="nil"/>
                        </w:tcBorders>
                      </w:tcPr>
                      <w:p>
                        <w:pPr/>
                      </w:p>
                    </w:tc>
                  </w:tr>
                  <w:tr>
                    <w:trPr>
                      <w:trHeight w:val="519"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1"/>
                          <w:ind w:left="118"/>
                          <w:jc w:val="left"/>
                          <w:rPr>
                            <w:sz w:val="24"/>
                          </w:rPr>
                        </w:pPr>
                        <w:r>
                          <w:rPr>
                            <w:sz w:val="24"/>
                          </w:rPr>
                          <w:t>C17:1</w:t>
                        </w:r>
                      </w:p>
                    </w:tc>
                    <w:tc>
                      <w:tcPr>
                        <w:tcW w:w="2045" w:type="dxa"/>
                        <w:tcBorders>
                          <w:top w:val="nil"/>
                          <w:left w:val="nil"/>
                          <w:bottom w:val="nil"/>
                          <w:right w:val="nil"/>
                        </w:tcBorders>
                      </w:tcPr>
                      <w:p>
                        <w:pPr>
                          <w:pStyle w:val="TableParagraph"/>
                          <w:spacing w:before="96"/>
                          <w:ind w:right="572"/>
                          <w:jc w:val="right"/>
                          <w:rPr>
                            <w:sz w:val="16"/>
                          </w:rPr>
                        </w:pPr>
                        <w:r>
                          <w:rPr>
                            <w:sz w:val="24"/>
                          </w:rPr>
                          <w:t>0.27</w:t>
                        </w:r>
                        <w:r>
                          <w:rPr>
                            <w:position w:val="11"/>
                            <w:sz w:val="16"/>
                          </w:rPr>
                          <w:t>a</w:t>
                        </w:r>
                      </w:p>
                    </w:tc>
                    <w:tc>
                      <w:tcPr>
                        <w:tcW w:w="1722" w:type="dxa"/>
                        <w:tcBorders>
                          <w:top w:val="nil"/>
                          <w:left w:val="nil"/>
                          <w:bottom w:val="nil"/>
                          <w:right w:val="nil"/>
                        </w:tcBorders>
                      </w:tcPr>
                      <w:p>
                        <w:pPr>
                          <w:pStyle w:val="TableParagraph"/>
                          <w:spacing w:before="96"/>
                          <w:ind w:right="614"/>
                          <w:jc w:val="right"/>
                          <w:rPr>
                            <w:sz w:val="16"/>
                          </w:rPr>
                        </w:pPr>
                        <w:r>
                          <w:rPr>
                            <w:sz w:val="24"/>
                          </w:rPr>
                          <w:t>0.26</w:t>
                        </w:r>
                        <w:r>
                          <w:rPr>
                            <w:position w:val="11"/>
                            <w:sz w:val="16"/>
                          </w:rPr>
                          <w:t>a</w:t>
                        </w:r>
                      </w:p>
                    </w:tc>
                    <w:tc>
                      <w:tcPr>
                        <w:tcW w:w="1442" w:type="dxa"/>
                        <w:tcBorders>
                          <w:top w:val="nil"/>
                          <w:left w:val="nil"/>
                          <w:bottom w:val="nil"/>
                          <w:right w:val="nil"/>
                        </w:tcBorders>
                      </w:tcPr>
                      <w:p>
                        <w:pPr>
                          <w:pStyle w:val="TableParagraph"/>
                          <w:spacing w:before="96"/>
                          <w:ind w:left="495" w:right="283"/>
                          <w:rPr>
                            <w:sz w:val="16"/>
                          </w:rPr>
                        </w:pPr>
                        <w:r>
                          <w:rPr>
                            <w:sz w:val="24"/>
                          </w:rPr>
                          <w:t>0.23</w:t>
                        </w:r>
                        <w:r>
                          <w:rPr>
                            <w:position w:val="11"/>
                            <w:sz w:val="16"/>
                          </w:rPr>
                          <w:t>b</w:t>
                        </w:r>
                      </w:p>
                    </w:tc>
                    <w:tc>
                      <w:tcPr>
                        <w:tcW w:w="1551" w:type="dxa"/>
                        <w:tcBorders>
                          <w:top w:val="nil"/>
                          <w:left w:val="nil"/>
                          <w:bottom w:val="nil"/>
                          <w:right w:val="nil"/>
                        </w:tcBorders>
                      </w:tcPr>
                      <w:p>
                        <w:pPr>
                          <w:pStyle w:val="TableParagraph"/>
                          <w:spacing w:before="131"/>
                          <w:ind w:left="306"/>
                          <w:jc w:val="left"/>
                          <w:rPr>
                            <w:sz w:val="24"/>
                          </w:rPr>
                        </w:pPr>
                        <w:r>
                          <w:rPr>
                            <w:sz w:val="24"/>
                          </w:rPr>
                          <w:t>0.0063</w:t>
                        </w:r>
                      </w:p>
                    </w:tc>
                    <w:tc>
                      <w:tcPr>
                        <w:tcW w:w="123" w:type="dxa"/>
                        <w:tcBorders>
                          <w:top w:val="nil"/>
                          <w:left w:val="nil"/>
                          <w:bottom w:val="nil"/>
                          <w:right w:val="nil"/>
                        </w:tcBorders>
                      </w:tcPr>
                      <w:p>
                        <w:pPr/>
                      </w:p>
                    </w:tc>
                  </w:tr>
                  <w:tr>
                    <w:trPr>
                      <w:trHeight w:val="516"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0"/>
                          <w:ind w:left="118"/>
                          <w:jc w:val="left"/>
                          <w:rPr>
                            <w:sz w:val="24"/>
                          </w:rPr>
                        </w:pPr>
                        <w:r>
                          <w:rPr>
                            <w:sz w:val="24"/>
                          </w:rPr>
                          <w:t>C18:0</w:t>
                        </w:r>
                      </w:p>
                    </w:tc>
                    <w:tc>
                      <w:tcPr>
                        <w:tcW w:w="2045" w:type="dxa"/>
                        <w:tcBorders>
                          <w:top w:val="nil"/>
                          <w:left w:val="nil"/>
                          <w:bottom w:val="nil"/>
                          <w:right w:val="nil"/>
                        </w:tcBorders>
                      </w:tcPr>
                      <w:p>
                        <w:pPr>
                          <w:pStyle w:val="TableParagraph"/>
                          <w:spacing w:before="95"/>
                          <w:ind w:right="514"/>
                          <w:jc w:val="right"/>
                          <w:rPr>
                            <w:sz w:val="16"/>
                          </w:rPr>
                        </w:pPr>
                        <w:r>
                          <w:rPr>
                            <w:sz w:val="24"/>
                          </w:rPr>
                          <w:t>12.95</w:t>
                        </w:r>
                        <w:r>
                          <w:rPr>
                            <w:position w:val="11"/>
                            <w:sz w:val="16"/>
                          </w:rPr>
                          <w:t>a</w:t>
                        </w:r>
                      </w:p>
                    </w:tc>
                    <w:tc>
                      <w:tcPr>
                        <w:tcW w:w="1722" w:type="dxa"/>
                        <w:tcBorders>
                          <w:top w:val="nil"/>
                          <w:left w:val="nil"/>
                          <w:bottom w:val="nil"/>
                          <w:right w:val="nil"/>
                        </w:tcBorders>
                      </w:tcPr>
                      <w:p>
                        <w:pPr>
                          <w:pStyle w:val="TableParagraph"/>
                          <w:spacing w:before="95"/>
                          <w:ind w:right="547"/>
                          <w:jc w:val="right"/>
                          <w:rPr>
                            <w:sz w:val="16"/>
                          </w:rPr>
                        </w:pPr>
                        <w:r>
                          <w:rPr>
                            <w:sz w:val="24"/>
                          </w:rPr>
                          <w:t>11.82</w:t>
                        </w:r>
                        <w:r>
                          <w:rPr>
                            <w:position w:val="11"/>
                            <w:sz w:val="16"/>
                          </w:rPr>
                          <w:t>b</w:t>
                        </w:r>
                      </w:p>
                    </w:tc>
                    <w:tc>
                      <w:tcPr>
                        <w:tcW w:w="1442" w:type="dxa"/>
                        <w:tcBorders>
                          <w:top w:val="nil"/>
                          <w:left w:val="nil"/>
                          <w:bottom w:val="nil"/>
                          <w:right w:val="nil"/>
                        </w:tcBorders>
                      </w:tcPr>
                      <w:p>
                        <w:pPr>
                          <w:pStyle w:val="TableParagraph"/>
                          <w:spacing w:before="95"/>
                          <w:ind w:left="495" w:right="287"/>
                          <w:rPr>
                            <w:sz w:val="16"/>
                          </w:rPr>
                        </w:pPr>
                        <w:r>
                          <w:rPr>
                            <w:sz w:val="24"/>
                          </w:rPr>
                          <w:t>10.58</w:t>
                        </w:r>
                        <w:r>
                          <w:rPr>
                            <w:position w:val="11"/>
                            <w:sz w:val="16"/>
                          </w:rPr>
                          <w:t>c</w:t>
                        </w:r>
                      </w:p>
                    </w:tc>
                    <w:tc>
                      <w:tcPr>
                        <w:tcW w:w="1551" w:type="dxa"/>
                        <w:tcBorders>
                          <w:top w:val="nil"/>
                          <w:left w:val="nil"/>
                          <w:bottom w:val="nil"/>
                          <w:right w:val="nil"/>
                        </w:tcBorders>
                      </w:tcPr>
                      <w:p>
                        <w:pPr>
                          <w:pStyle w:val="TableParagraph"/>
                          <w:spacing w:before="130"/>
                          <w:ind w:left="306"/>
                          <w:jc w:val="left"/>
                          <w:rPr>
                            <w:sz w:val="24"/>
                          </w:rPr>
                        </w:pPr>
                        <w:r>
                          <w:rPr>
                            <w:sz w:val="24"/>
                          </w:rPr>
                          <w:t>0.2457</w:t>
                        </w:r>
                      </w:p>
                    </w:tc>
                    <w:tc>
                      <w:tcPr>
                        <w:tcW w:w="123" w:type="dxa"/>
                        <w:tcBorders>
                          <w:top w:val="nil"/>
                          <w:left w:val="nil"/>
                          <w:bottom w:val="nil"/>
                          <w:right w:val="nil"/>
                        </w:tcBorders>
                      </w:tcPr>
                      <w:p>
                        <w:pPr/>
                      </w:p>
                    </w:tc>
                  </w:tr>
                  <w:tr>
                    <w:trPr>
                      <w:trHeight w:val="516"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28"/>
                          <w:ind w:left="118"/>
                          <w:jc w:val="left"/>
                          <w:rPr>
                            <w:sz w:val="24"/>
                          </w:rPr>
                        </w:pPr>
                        <w:r>
                          <w:rPr>
                            <w:sz w:val="24"/>
                          </w:rPr>
                          <w:t>C18:1t11</w:t>
                        </w:r>
                      </w:p>
                    </w:tc>
                    <w:tc>
                      <w:tcPr>
                        <w:tcW w:w="2045" w:type="dxa"/>
                        <w:tcBorders>
                          <w:top w:val="nil"/>
                          <w:left w:val="nil"/>
                          <w:bottom w:val="nil"/>
                          <w:right w:val="nil"/>
                        </w:tcBorders>
                      </w:tcPr>
                      <w:p>
                        <w:pPr>
                          <w:pStyle w:val="TableParagraph"/>
                          <w:spacing w:before="93"/>
                          <w:ind w:right="572"/>
                          <w:jc w:val="right"/>
                          <w:rPr>
                            <w:sz w:val="16"/>
                          </w:rPr>
                        </w:pPr>
                        <w:r>
                          <w:rPr>
                            <w:sz w:val="24"/>
                          </w:rPr>
                          <w:t>2.45</w:t>
                        </w:r>
                        <w:r>
                          <w:rPr>
                            <w:position w:val="11"/>
                            <w:sz w:val="16"/>
                          </w:rPr>
                          <w:t>a</w:t>
                        </w:r>
                      </w:p>
                    </w:tc>
                    <w:tc>
                      <w:tcPr>
                        <w:tcW w:w="1722" w:type="dxa"/>
                        <w:tcBorders>
                          <w:top w:val="nil"/>
                          <w:left w:val="nil"/>
                          <w:bottom w:val="nil"/>
                          <w:right w:val="nil"/>
                        </w:tcBorders>
                      </w:tcPr>
                      <w:p>
                        <w:pPr>
                          <w:pStyle w:val="TableParagraph"/>
                          <w:spacing w:before="93"/>
                          <w:ind w:right="609"/>
                          <w:jc w:val="right"/>
                          <w:rPr>
                            <w:sz w:val="16"/>
                          </w:rPr>
                        </w:pPr>
                        <w:r>
                          <w:rPr>
                            <w:sz w:val="24"/>
                          </w:rPr>
                          <w:t>2.24</w:t>
                        </w:r>
                        <w:r>
                          <w:rPr>
                            <w:position w:val="11"/>
                            <w:sz w:val="16"/>
                          </w:rPr>
                          <w:t>b</w:t>
                        </w:r>
                      </w:p>
                    </w:tc>
                    <w:tc>
                      <w:tcPr>
                        <w:tcW w:w="1442" w:type="dxa"/>
                        <w:tcBorders>
                          <w:top w:val="nil"/>
                          <w:left w:val="nil"/>
                          <w:bottom w:val="nil"/>
                          <w:right w:val="nil"/>
                        </w:tcBorders>
                      </w:tcPr>
                      <w:p>
                        <w:pPr>
                          <w:pStyle w:val="TableParagraph"/>
                          <w:spacing w:before="93"/>
                          <w:ind w:left="495" w:right="283"/>
                          <w:rPr>
                            <w:sz w:val="16"/>
                          </w:rPr>
                        </w:pPr>
                        <w:r>
                          <w:rPr>
                            <w:sz w:val="24"/>
                          </w:rPr>
                          <w:t>2.18</w:t>
                        </w:r>
                        <w:r>
                          <w:rPr>
                            <w:position w:val="11"/>
                            <w:sz w:val="16"/>
                          </w:rPr>
                          <w:t>b</w:t>
                        </w:r>
                      </w:p>
                    </w:tc>
                    <w:tc>
                      <w:tcPr>
                        <w:tcW w:w="1551" w:type="dxa"/>
                        <w:tcBorders>
                          <w:top w:val="nil"/>
                          <w:left w:val="nil"/>
                          <w:bottom w:val="nil"/>
                          <w:right w:val="nil"/>
                        </w:tcBorders>
                      </w:tcPr>
                      <w:p>
                        <w:pPr>
                          <w:pStyle w:val="TableParagraph"/>
                          <w:spacing w:before="128"/>
                          <w:ind w:left="306"/>
                          <w:jc w:val="left"/>
                          <w:rPr>
                            <w:sz w:val="24"/>
                          </w:rPr>
                        </w:pPr>
                        <w:r>
                          <w:rPr>
                            <w:sz w:val="24"/>
                          </w:rPr>
                          <w:t>0.0603</w:t>
                        </w:r>
                      </w:p>
                    </w:tc>
                    <w:tc>
                      <w:tcPr>
                        <w:tcW w:w="123" w:type="dxa"/>
                        <w:tcBorders>
                          <w:top w:val="nil"/>
                          <w:left w:val="nil"/>
                          <w:bottom w:val="nil"/>
                          <w:right w:val="nil"/>
                        </w:tcBorders>
                      </w:tcPr>
                      <w:p>
                        <w:pPr/>
                      </w:p>
                    </w:tc>
                  </w:tr>
                  <w:tr>
                    <w:trPr>
                      <w:trHeight w:val="541"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0"/>
                          <w:ind w:left="118"/>
                          <w:jc w:val="left"/>
                          <w:rPr>
                            <w:sz w:val="24"/>
                          </w:rPr>
                        </w:pPr>
                        <w:r>
                          <w:rPr>
                            <w:sz w:val="24"/>
                          </w:rPr>
                          <w:t>C18:1c9</w:t>
                        </w:r>
                      </w:p>
                    </w:tc>
                    <w:tc>
                      <w:tcPr>
                        <w:tcW w:w="2045" w:type="dxa"/>
                        <w:tcBorders>
                          <w:top w:val="nil"/>
                          <w:left w:val="nil"/>
                          <w:bottom w:val="nil"/>
                          <w:right w:val="nil"/>
                        </w:tcBorders>
                      </w:tcPr>
                      <w:p>
                        <w:pPr>
                          <w:pStyle w:val="TableParagraph"/>
                          <w:spacing w:before="95"/>
                          <w:ind w:right="514"/>
                          <w:jc w:val="right"/>
                          <w:rPr>
                            <w:sz w:val="16"/>
                          </w:rPr>
                        </w:pPr>
                        <w:r>
                          <w:rPr>
                            <w:sz w:val="24"/>
                          </w:rPr>
                          <w:t>23.05</w:t>
                        </w:r>
                        <w:r>
                          <w:rPr>
                            <w:position w:val="11"/>
                            <w:sz w:val="16"/>
                          </w:rPr>
                          <w:t>a</w:t>
                        </w:r>
                      </w:p>
                    </w:tc>
                    <w:tc>
                      <w:tcPr>
                        <w:tcW w:w="1722" w:type="dxa"/>
                        <w:tcBorders>
                          <w:top w:val="nil"/>
                          <w:left w:val="nil"/>
                          <w:bottom w:val="nil"/>
                          <w:right w:val="nil"/>
                        </w:tcBorders>
                      </w:tcPr>
                      <w:p>
                        <w:pPr>
                          <w:pStyle w:val="TableParagraph"/>
                          <w:spacing w:before="95"/>
                          <w:ind w:right="512"/>
                          <w:jc w:val="right"/>
                          <w:rPr>
                            <w:sz w:val="16"/>
                          </w:rPr>
                        </w:pPr>
                        <w:r>
                          <w:rPr>
                            <w:sz w:val="24"/>
                          </w:rPr>
                          <w:t>22.31</w:t>
                        </w:r>
                        <w:r>
                          <w:rPr>
                            <w:position w:val="11"/>
                            <w:sz w:val="16"/>
                          </w:rPr>
                          <w:t>ab</w:t>
                        </w:r>
                      </w:p>
                    </w:tc>
                    <w:tc>
                      <w:tcPr>
                        <w:tcW w:w="1442" w:type="dxa"/>
                        <w:tcBorders>
                          <w:top w:val="nil"/>
                          <w:left w:val="nil"/>
                          <w:bottom w:val="nil"/>
                          <w:right w:val="nil"/>
                        </w:tcBorders>
                      </w:tcPr>
                      <w:p>
                        <w:pPr>
                          <w:pStyle w:val="TableParagraph"/>
                          <w:spacing w:before="95"/>
                          <w:ind w:left="495" w:right="287"/>
                          <w:rPr>
                            <w:sz w:val="16"/>
                          </w:rPr>
                        </w:pPr>
                        <w:r>
                          <w:rPr>
                            <w:sz w:val="24"/>
                          </w:rPr>
                          <w:t>21.38</w:t>
                        </w:r>
                        <w:r>
                          <w:rPr>
                            <w:position w:val="11"/>
                            <w:sz w:val="16"/>
                          </w:rPr>
                          <w:t>b</w:t>
                        </w:r>
                      </w:p>
                    </w:tc>
                    <w:tc>
                      <w:tcPr>
                        <w:tcW w:w="1551" w:type="dxa"/>
                        <w:tcBorders>
                          <w:top w:val="nil"/>
                          <w:left w:val="nil"/>
                          <w:bottom w:val="nil"/>
                          <w:right w:val="nil"/>
                        </w:tcBorders>
                      </w:tcPr>
                      <w:p>
                        <w:pPr>
                          <w:pStyle w:val="TableParagraph"/>
                          <w:spacing w:before="130"/>
                          <w:ind w:left="306"/>
                          <w:jc w:val="left"/>
                          <w:rPr>
                            <w:sz w:val="24"/>
                          </w:rPr>
                        </w:pPr>
                        <w:r>
                          <w:rPr>
                            <w:sz w:val="24"/>
                          </w:rPr>
                          <w:t>0.3581</w:t>
                        </w:r>
                      </w:p>
                    </w:tc>
                    <w:tc>
                      <w:tcPr>
                        <w:tcW w:w="123" w:type="dxa"/>
                        <w:tcBorders>
                          <w:top w:val="nil"/>
                          <w:left w:val="nil"/>
                          <w:bottom w:val="nil"/>
                          <w:right w:val="nil"/>
                        </w:tcBorders>
                      </w:tcPr>
                      <w:p>
                        <w:pPr/>
                      </w:p>
                    </w:tc>
                  </w:tr>
                  <w:tr>
                    <w:trPr>
                      <w:trHeight w:val="496"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08"/>
                          <w:ind w:left="118"/>
                          <w:jc w:val="left"/>
                          <w:rPr>
                            <w:sz w:val="24"/>
                          </w:rPr>
                        </w:pPr>
                        <w:r>
                          <w:rPr>
                            <w:sz w:val="24"/>
                          </w:rPr>
                          <w:t>C18:2t</w:t>
                        </w:r>
                      </w:p>
                    </w:tc>
                    <w:tc>
                      <w:tcPr>
                        <w:tcW w:w="2045" w:type="dxa"/>
                        <w:tcBorders>
                          <w:top w:val="nil"/>
                          <w:left w:val="nil"/>
                          <w:bottom w:val="nil"/>
                          <w:right w:val="nil"/>
                        </w:tcBorders>
                      </w:tcPr>
                      <w:p>
                        <w:pPr>
                          <w:pStyle w:val="TableParagraph"/>
                          <w:spacing w:before="108"/>
                          <w:ind w:right="609"/>
                          <w:jc w:val="right"/>
                          <w:rPr>
                            <w:sz w:val="24"/>
                          </w:rPr>
                        </w:pPr>
                        <w:r>
                          <w:rPr>
                            <w:sz w:val="24"/>
                          </w:rPr>
                          <w:t>0.21</w:t>
                        </w:r>
                      </w:p>
                    </w:tc>
                    <w:tc>
                      <w:tcPr>
                        <w:tcW w:w="1722" w:type="dxa"/>
                        <w:tcBorders>
                          <w:top w:val="nil"/>
                          <w:left w:val="nil"/>
                          <w:bottom w:val="nil"/>
                          <w:right w:val="nil"/>
                        </w:tcBorders>
                      </w:tcPr>
                      <w:p>
                        <w:pPr>
                          <w:pStyle w:val="TableParagraph"/>
                          <w:spacing w:before="108"/>
                          <w:ind w:left="632" w:right="629"/>
                          <w:rPr>
                            <w:sz w:val="24"/>
                          </w:rPr>
                        </w:pPr>
                        <w:r>
                          <w:rPr>
                            <w:sz w:val="24"/>
                          </w:rPr>
                          <w:t>0.20</w:t>
                        </w:r>
                      </w:p>
                    </w:tc>
                    <w:tc>
                      <w:tcPr>
                        <w:tcW w:w="1442" w:type="dxa"/>
                        <w:tcBorders>
                          <w:top w:val="nil"/>
                          <w:left w:val="nil"/>
                          <w:bottom w:val="nil"/>
                          <w:right w:val="nil"/>
                        </w:tcBorders>
                      </w:tcPr>
                      <w:p>
                        <w:pPr>
                          <w:pStyle w:val="TableParagraph"/>
                          <w:spacing w:before="108"/>
                          <w:ind w:left="495" w:right="285"/>
                          <w:rPr>
                            <w:sz w:val="24"/>
                          </w:rPr>
                        </w:pPr>
                        <w:r>
                          <w:rPr>
                            <w:sz w:val="24"/>
                          </w:rPr>
                          <w:t>0.21</w:t>
                        </w:r>
                      </w:p>
                    </w:tc>
                    <w:tc>
                      <w:tcPr>
                        <w:tcW w:w="1551" w:type="dxa"/>
                        <w:tcBorders>
                          <w:top w:val="nil"/>
                          <w:left w:val="nil"/>
                          <w:bottom w:val="nil"/>
                          <w:right w:val="nil"/>
                        </w:tcBorders>
                      </w:tcPr>
                      <w:p>
                        <w:pPr>
                          <w:pStyle w:val="TableParagraph"/>
                          <w:spacing w:before="108"/>
                          <w:ind w:left="306"/>
                          <w:jc w:val="left"/>
                          <w:rPr>
                            <w:sz w:val="24"/>
                          </w:rPr>
                        </w:pPr>
                        <w:r>
                          <w:rPr>
                            <w:sz w:val="24"/>
                          </w:rPr>
                          <w:t>0.0053</w:t>
                        </w:r>
                      </w:p>
                    </w:tc>
                    <w:tc>
                      <w:tcPr>
                        <w:tcW w:w="123" w:type="dxa"/>
                        <w:tcBorders>
                          <w:top w:val="nil"/>
                          <w:left w:val="nil"/>
                          <w:bottom w:val="nil"/>
                          <w:right w:val="nil"/>
                        </w:tcBorders>
                      </w:tcPr>
                      <w:p>
                        <w:pPr/>
                      </w:p>
                    </w:tc>
                  </w:tr>
                  <w:tr>
                    <w:trPr>
                      <w:trHeight w:val="518"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0"/>
                          <w:ind w:left="118"/>
                          <w:jc w:val="left"/>
                          <w:rPr>
                            <w:sz w:val="24"/>
                          </w:rPr>
                        </w:pPr>
                        <w:r>
                          <w:rPr>
                            <w:sz w:val="24"/>
                          </w:rPr>
                          <w:t>C18:2c9c12</w:t>
                        </w:r>
                      </w:p>
                    </w:tc>
                    <w:tc>
                      <w:tcPr>
                        <w:tcW w:w="2045" w:type="dxa"/>
                        <w:tcBorders>
                          <w:top w:val="nil"/>
                          <w:left w:val="nil"/>
                          <w:bottom w:val="nil"/>
                          <w:right w:val="nil"/>
                        </w:tcBorders>
                      </w:tcPr>
                      <w:p>
                        <w:pPr>
                          <w:pStyle w:val="TableParagraph"/>
                          <w:spacing w:before="95"/>
                          <w:ind w:right="569"/>
                          <w:jc w:val="right"/>
                          <w:rPr>
                            <w:sz w:val="16"/>
                          </w:rPr>
                        </w:pPr>
                        <w:r>
                          <w:rPr>
                            <w:sz w:val="24"/>
                          </w:rPr>
                          <w:t>1.24</w:t>
                        </w:r>
                        <w:r>
                          <w:rPr>
                            <w:position w:val="11"/>
                            <w:sz w:val="16"/>
                          </w:rPr>
                          <w:t>b</w:t>
                        </w:r>
                      </w:p>
                    </w:tc>
                    <w:tc>
                      <w:tcPr>
                        <w:tcW w:w="1722" w:type="dxa"/>
                        <w:tcBorders>
                          <w:top w:val="nil"/>
                          <w:left w:val="nil"/>
                          <w:bottom w:val="nil"/>
                          <w:right w:val="nil"/>
                        </w:tcBorders>
                      </w:tcPr>
                      <w:p>
                        <w:pPr>
                          <w:pStyle w:val="TableParagraph"/>
                          <w:spacing w:before="95"/>
                          <w:ind w:right="569"/>
                          <w:jc w:val="right"/>
                          <w:rPr>
                            <w:sz w:val="16"/>
                          </w:rPr>
                        </w:pPr>
                        <w:r>
                          <w:rPr>
                            <w:sz w:val="24"/>
                          </w:rPr>
                          <w:t>1.31</w:t>
                        </w:r>
                        <w:r>
                          <w:rPr>
                            <w:position w:val="11"/>
                            <w:sz w:val="16"/>
                          </w:rPr>
                          <w:t>ab</w:t>
                        </w:r>
                      </w:p>
                    </w:tc>
                    <w:tc>
                      <w:tcPr>
                        <w:tcW w:w="1442" w:type="dxa"/>
                        <w:tcBorders>
                          <w:top w:val="nil"/>
                          <w:left w:val="nil"/>
                          <w:bottom w:val="nil"/>
                          <w:right w:val="nil"/>
                        </w:tcBorders>
                      </w:tcPr>
                      <w:p>
                        <w:pPr>
                          <w:pStyle w:val="TableParagraph"/>
                          <w:spacing w:before="95"/>
                          <w:ind w:left="495" w:right="282"/>
                          <w:rPr>
                            <w:sz w:val="16"/>
                          </w:rPr>
                        </w:pPr>
                        <w:r>
                          <w:rPr>
                            <w:sz w:val="24"/>
                          </w:rPr>
                          <w:t>1.39</w:t>
                        </w:r>
                        <w:r>
                          <w:rPr>
                            <w:position w:val="11"/>
                            <w:sz w:val="16"/>
                          </w:rPr>
                          <w:t>a</w:t>
                        </w:r>
                      </w:p>
                    </w:tc>
                    <w:tc>
                      <w:tcPr>
                        <w:tcW w:w="1551" w:type="dxa"/>
                        <w:tcBorders>
                          <w:top w:val="nil"/>
                          <w:left w:val="nil"/>
                          <w:bottom w:val="nil"/>
                          <w:right w:val="nil"/>
                        </w:tcBorders>
                      </w:tcPr>
                      <w:p>
                        <w:pPr>
                          <w:pStyle w:val="TableParagraph"/>
                          <w:spacing w:before="130"/>
                          <w:ind w:left="306"/>
                          <w:jc w:val="left"/>
                          <w:rPr>
                            <w:sz w:val="24"/>
                          </w:rPr>
                        </w:pPr>
                        <w:r>
                          <w:rPr>
                            <w:sz w:val="24"/>
                          </w:rPr>
                          <w:t>0.0416</w:t>
                        </w:r>
                      </w:p>
                    </w:tc>
                    <w:tc>
                      <w:tcPr>
                        <w:tcW w:w="123" w:type="dxa"/>
                        <w:tcBorders>
                          <w:top w:val="nil"/>
                          <w:left w:val="nil"/>
                          <w:bottom w:val="nil"/>
                          <w:right w:val="nil"/>
                        </w:tcBorders>
                      </w:tcPr>
                      <w:p>
                        <w:pPr/>
                      </w:p>
                    </w:tc>
                  </w:tr>
                  <w:tr>
                    <w:trPr>
                      <w:trHeight w:val="516"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0"/>
                          <w:ind w:left="118"/>
                          <w:jc w:val="left"/>
                          <w:rPr>
                            <w:sz w:val="24"/>
                          </w:rPr>
                        </w:pPr>
                        <w:r>
                          <w:rPr>
                            <w:sz w:val="24"/>
                          </w:rPr>
                          <w:t>C18:2c9t11</w:t>
                        </w:r>
                      </w:p>
                    </w:tc>
                    <w:tc>
                      <w:tcPr>
                        <w:tcW w:w="2045" w:type="dxa"/>
                        <w:tcBorders>
                          <w:top w:val="nil"/>
                          <w:left w:val="nil"/>
                          <w:bottom w:val="nil"/>
                          <w:right w:val="nil"/>
                        </w:tcBorders>
                      </w:tcPr>
                      <w:p>
                        <w:pPr>
                          <w:pStyle w:val="TableParagraph"/>
                          <w:spacing w:before="95"/>
                          <w:ind w:right="572"/>
                          <w:jc w:val="right"/>
                          <w:rPr>
                            <w:sz w:val="16"/>
                          </w:rPr>
                        </w:pPr>
                        <w:r>
                          <w:rPr>
                            <w:sz w:val="24"/>
                          </w:rPr>
                          <w:t>0.81</w:t>
                        </w:r>
                        <w:r>
                          <w:rPr>
                            <w:position w:val="11"/>
                            <w:sz w:val="16"/>
                          </w:rPr>
                          <w:t>a</w:t>
                        </w:r>
                      </w:p>
                    </w:tc>
                    <w:tc>
                      <w:tcPr>
                        <w:tcW w:w="1722" w:type="dxa"/>
                        <w:tcBorders>
                          <w:top w:val="nil"/>
                          <w:left w:val="nil"/>
                          <w:bottom w:val="nil"/>
                          <w:right w:val="nil"/>
                        </w:tcBorders>
                      </w:tcPr>
                      <w:p>
                        <w:pPr>
                          <w:pStyle w:val="TableParagraph"/>
                          <w:spacing w:before="95"/>
                          <w:ind w:right="609"/>
                          <w:jc w:val="right"/>
                          <w:rPr>
                            <w:sz w:val="16"/>
                          </w:rPr>
                        </w:pPr>
                        <w:r>
                          <w:rPr>
                            <w:sz w:val="24"/>
                          </w:rPr>
                          <w:t>0.74</w:t>
                        </w:r>
                        <w:r>
                          <w:rPr>
                            <w:position w:val="11"/>
                            <w:sz w:val="16"/>
                          </w:rPr>
                          <w:t>b</w:t>
                        </w:r>
                      </w:p>
                    </w:tc>
                    <w:tc>
                      <w:tcPr>
                        <w:tcW w:w="1442" w:type="dxa"/>
                        <w:tcBorders>
                          <w:top w:val="nil"/>
                          <w:left w:val="nil"/>
                          <w:bottom w:val="nil"/>
                          <w:right w:val="nil"/>
                        </w:tcBorders>
                      </w:tcPr>
                      <w:p>
                        <w:pPr>
                          <w:pStyle w:val="TableParagraph"/>
                          <w:spacing w:before="95"/>
                          <w:ind w:left="495" w:right="283"/>
                          <w:rPr>
                            <w:sz w:val="16"/>
                          </w:rPr>
                        </w:pPr>
                        <w:r>
                          <w:rPr>
                            <w:sz w:val="24"/>
                          </w:rPr>
                          <w:t>0.73</w:t>
                        </w:r>
                        <w:r>
                          <w:rPr>
                            <w:position w:val="11"/>
                            <w:sz w:val="16"/>
                          </w:rPr>
                          <w:t>b</w:t>
                        </w:r>
                      </w:p>
                    </w:tc>
                    <w:tc>
                      <w:tcPr>
                        <w:tcW w:w="1551" w:type="dxa"/>
                        <w:tcBorders>
                          <w:top w:val="nil"/>
                          <w:left w:val="nil"/>
                          <w:bottom w:val="nil"/>
                          <w:right w:val="nil"/>
                        </w:tcBorders>
                      </w:tcPr>
                      <w:p>
                        <w:pPr>
                          <w:pStyle w:val="TableParagraph"/>
                          <w:spacing w:before="130"/>
                          <w:ind w:left="306"/>
                          <w:jc w:val="left"/>
                          <w:rPr>
                            <w:sz w:val="24"/>
                          </w:rPr>
                        </w:pPr>
                        <w:r>
                          <w:rPr>
                            <w:sz w:val="24"/>
                          </w:rPr>
                          <w:t>0.0276</w:t>
                        </w:r>
                      </w:p>
                    </w:tc>
                    <w:tc>
                      <w:tcPr>
                        <w:tcW w:w="123" w:type="dxa"/>
                        <w:tcBorders>
                          <w:top w:val="nil"/>
                          <w:left w:val="nil"/>
                          <w:bottom w:val="nil"/>
                          <w:right w:val="nil"/>
                        </w:tcBorders>
                      </w:tcPr>
                      <w:p>
                        <w:pPr/>
                      </w:p>
                    </w:tc>
                  </w:tr>
                  <w:tr>
                    <w:trPr>
                      <w:trHeight w:val="516"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28"/>
                          <w:ind w:left="118"/>
                          <w:jc w:val="left"/>
                          <w:rPr>
                            <w:sz w:val="24"/>
                          </w:rPr>
                        </w:pPr>
                        <w:r>
                          <w:rPr>
                            <w:sz w:val="24"/>
                          </w:rPr>
                          <w:t>C18:3</w:t>
                        </w:r>
                      </w:p>
                    </w:tc>
                    <w:tc>
                      <w:tcPr>
                        <w:tcW w:w="2045" w:type="dxa"/>
                        <w:tcBorders>
                          <w:top w:val="nil"/>
                          <w:left w:val="nil"/>
                          <w:bottom w:val="nil"/>
                          <w:right w:val="nil"/>
                        </w:tcBorders>
                      </w:tcPr>
                      <w:p>
                        <w:pPr>
                          <w:pStyle w:val="TableParagraph"/>
                          <w:spacing w:before="93"/>
                          <w:ind w:right="572"/>
                          <w:jc w:val="right"/>
                          <w:rPr>
                            <w:sz w:val="16"/>
                          </w:rPr>
                        </w:pPr>
                        <w:r>
                          <w:rPr>
                            <w:sz w:val="24"/>
                          </w:rPr>
                          <w:t>0.41</w:t>
                        </w:r>
                        <w:r>
                          <w:rPr>
                            <w:position w:val="11"/>
                            <w:sz w:val="16"/>
                          </w:rPr>
                          <w:t>a</w:t>
                        </w:r>
                      </w:p>
                    </w:tc>
                    <w:tc>
                      <w:tcPr>
                        <w:tcW w:w="1722" w:type="dxa"/>
                        <w:tcBorders>
                          <w:top w:val="nil"/>
                          <w:left w:val="nil"/>
                          <w:bottom w:val="nil"/>
                          <w:right w:val="nil"/>
                        </w:tcBorders>
                      </w:tcPr>
                      <w:p>
                        <w:pPr>
                          <w:pStyle w:val="TableParagraph"/>
                          <w:spacing w:before="93"/>
                          <w:ind w:right="569"/>
                          <w:jc w:val="right"/>
                          <w:rPr>
                            <w:sz w:val="16"/>
                          </w:rPr>
                        </w:pPr>
                        <w:r>
                          <w:rPr>
                            <w:sz w:val="24"/>
                          </w:rPr>
                          <w:t>0.40</w:t>
                        </w:r>
                        <w:r>
                          <w:rPr>
                            <w:position w:val="11"/>
                            <w:sz w:val="16"/>
                          </w:rPr>
                          <w:t>ab</w:t>
                        </w:r>
                      </w:p>
                    </w:tc>
                    <w:tc>
                      <w:tcPr>
                        <w:tcW w:w="1442" w:type="dxa"/>
                        <w:tcBorders>
                          <w:top w:val="nil"/>
                          <w:left w:val="nil"/>
                          <w:bottom w:val="nil"/>
                          <w:right w:val="nil"/>
                        </w:tcBorders>
                      </w:tcPr>
                      <w:p>
                        <w:pPr>
                          <w:pStyle w:val="TableParagraph"/>
                          <w:spacing w:before="93"/>
                          <w:ind w:left="495" w:right="283"/>
                          <w:rPr>
                            <w:sz w:val="16"/>
                          </w:rPr>
                        </w:pPr>
                        <w:r>
                          <w:rPr>
                            <w:sz w:val="24"/>
                          </w:rPr>
                          <w:t>0.38</w:t>
                        </w:r>
                        <w:r>
                          <w:rPr>
                            <w:position w:val="11"/>
                            <w:sz w:val="16"/>
                          </w:rPr>
                          <w:t>b</w:t>
                        </w:r>
                      </w:p>
                    </w:tc>
                    <w:tc>
                      <w:tcPr>
                        <w:tcW w:w="1551" w:type="dxa"/>
                        <w:tcBorders>
                          <w:top w:val="nil"/>
                          <w:left w:val="nil"/>
                          <w:bottom w:val="nil"/>
                          <w:right w:val="nil"/>
                        </w:tcBorders>
                      </w:tcPr>
                      <w:p>
                        <w:pPr>
                          <w:pStyle w:val="TableParagraph"/>
                          <w:spacing w:before="128"/>
                          <w:ind w:left="306"/>
                          <w:jc w:val="left"/>
                          <w:rPr>
                            <w:sz w:val="24"/>
                          </w:rPr>
                        </w:pPr>
                        <w:r>
                          <w:rPr>
                            <w:sz w:val="24"/>
                          </w:rPr>
                          <w:t>0.0100</w:t>
                        </w:r>
                      </w:p>
                    </w:tc>
                    <w:tc>
                      <w:tcPr>
                        <w:tcW w:w="123" w:type="dxa"/>
                        <w:tcBorders>
                          <w:top w:val="nil"/>
                          <w:left w:val="nil"/>
                          <w:bottom w:val="nil"/>
                          <w:right w:val="nil"/>
                        </w:tcBorders>
                      </w:tcPr>
                      <w:p>
                        <w:pPr/>
                      </w:p>
                    </w:tc>
                  </w:tr>
                  <w:tr>
                    <w:trPr>
                      <w:trHeight w:val="518"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0"/>
                          <w:ind w:left="118"/>
                          <w:jc w:val="left"/>
                          <w:rPr>
                            <w:sz w:val="24"/>
                          </w:rPr>
                        </w:pPr>
                        <w:r>
                          <w:rPr>
                            <w:sz w:val="24"/>
                          </w:rPr>
                          <w:t>C20:0</w:t>
                        </w:r>
                      </w:p>
                    </w:tc>
                    <w:tc>
                      <w:tcPr>
                        <w:tcW w:w="2045" w:type="dxa"/>
                        <w:tcBorders>
                          <w:top w:val="nil"/>
                          <w:left w:val="nil"/>
                          <w:bottom w:val="nil"/>
                          <w:right w:val="nil"/>
                        </w:tcBorders>
                      </w:tcPr>
                      <w:p>
                        <w:pPr>
                          <w:pStyle w:val="TableParagraph"/>
                          <w:spacing w:before="95"/>
                          <w:ind w:right="572"/>
                          <w:jc w:val="right"/>
                          <w:rPr>
                            <w:sz w:val="16"/>
                          </w:rPr>
                        </w:pPr>
                        <w:r>
                          <w:rPr>
                            <w:sz w:val="24"/>
                          </w:rPr>
                          <w:t>0.19</w:t>
                        </w:r>
                        <w:r>
                          <w:rPr>
                            <w:position w:val="11"/>
                            <w:sz w:val="16"/>
                          </w:rPr>
                          <w:t>a</w:t>
                        </w:r>
                      </w:p>
                    </w:tc>
                    <w:tc>
                      <w:tcPr>
                        <w:tcW w:w="1722" w:type="dxa"/>
                        <w:tcBorders>
                          <w:top w:val="nil"/>
                          <w:left w:val="nil"/>
                          <w:bottom w:val="nil"/>
                          <w:right w:val="nil"/>
                        </w:tcBorders>
                      </w:tcPr>
                      <w:p>
                        <w:pPr>
                          <w:pStyle w:val="TableParagraph"/>
                          <w:spacing w:before="95"/>
                          <w:ind w:right="609"/>
                          <w:jc w:val="right"/>
                          <w:rPr>
                            <w:sz w:val="16"/>
                          </w:rPr>
                        </w:pPr>
                        <w:r>
                          <w:rPr>
                            <w:sz w:val="24"/>
                          </w:rPr>
                          <w:t>0.17</w:t>
                        </w:r>
                        <w:r>
                          <w:rPr>
                            <w:position w:val="11"/>
                            <w:sz w:val="16"/>
                          </w:rPr>
                          <w:t>b</w:t>
                        </w:r>
                      </w:p>
                    </w:tc>
                    <w:tc>
                      <w:tcPr>
                        <w:tcW w:w="1442" w:type="dxa"/>
                        <w:tcBorders>
                          <w:top w:val="nil"/>
                          <w:left w:val="nil"/>
                          <w:bottom w:val="nil"/>
                          <w:right w:val="nil"/>
                        </w:tcBorders>
                      </w:tcPr>
                      <w:p>
                        <w:pPr>
                          <w:pStyle w:val="TableParagraph"/>
                          <w:spacing w:before="95"/>
                          <w:ind w:left="495" w:right="282"/>
                          <w:rPr>
                            <w:sz w:val="16"/>
                          </w:rPr>
                        </w:pPr>
                        <w:r>
                          <w:rPr>
                            <w:sz w:val="24"/>
                          </w:rPr>
                          <w:t>0.15</w:t>
                        </w:r>
                        <w:r>
                          <w:rPr>
                            <w:position w:val="11"/>
                            <w:sz w:val="16"/>
                          </w:rPr>
                          <w:t>c</w:t>
                        </w:r>
                      </w:p>
                    </w:tc>
                    <w:tc>
                      <w:tcPr>
                        <w:tcW w:w="1551" w:type="dxa"/>
                        <w:tcBorders>
                          <w:top w:val="nil"/>
                          <w:left w:val="nil"/>
                          <w:bottom w:val="nil"/>
                          <w:right w:val="nil"/>
                        </w:tcBorders>
                      </w:tcPr>
                      <w:p>
                        <w:pPr>
                          <w:pStyle w:val="TableParagraph"/>
                          <w:spacing w:before="130"/>
                          <w:ind w:left="306"/>
                          <w:jc w:val="left"/>
                          <w:rPr>
                            <w:sz w:val="24"/>
                          </w:rPr>
                        </w:pPr>
                        <w:r>
                          <w:rPr>
                            <w:sz w:val="24"/>
                          </w:rPr>
                          <w:t>0.0053</w:t>
                        </w:r>
                      </w:p>
                    </w:tc>
                    <w:tc>
                      <w:tcPr>
                        <w:tcW w:w="123" w:type="dxa"/>
                        <w:tcBorders>
                          <w:top w:val="nil"/>
                          <w:left w:val="nil"/>
                          <w:bottom w:val="nil"/>
                          <w:right w:val="nil"/>
                        </w:tcBorders>
                      </w:tcPr>
                      <w:p>
                        <w:pPr/>
                      </w:p>
                    </w:tc>
                  </w:tr>
                  <w:tr>
                    <w:trPr>
                      <w:trHeight w:val="519"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130"/>
                          <w:ind w:left="118"/>
                          <w:jc w:val="left"/>
                          <w:rPr>
                            <w:sz w:val="24"/>
                          </w:rPr>
                        </w:pPr>
                        <w:r>
                          <w:rPr>
                            <w:sz w:val="24"/>
                          </w:rPr>
                          <w:t>OTROS</w:t>
                        </w:r>
                      </w:p>
                    </w:tc>
                    <w:tc>
                      <w:tcPr>
                        <w:tcW w:w="2045" w:type="dxa"/>
                        <w:tcBorders>
                          <w:top w:val="nil"/>
                          <w:left w:val="nil"/>
                          <w:bottom w:val="nil"/>
                          <w:right w:val="nil"/>
                        </w:tcBorders>
                      </w:tcPr>
                      <w:p>
                        <w:pPr>
                          <w:pStyle w:val="TableParagraph"/>
                          <w:spacing w:before="95"/>
                          <w:ind w:right="572"/>
                          <w:jc w:val="right"/>
                          <w:rPr>
                            <w:sz w:val="16"/>
                          </w:rPr>
                        </w:pPr>
                        <w:r>
                          <w:rPr>
                            <w:sz w:val="24"/>
                          </w:rPr>
                          <w:t>0.88</w:t>
                        </w:r>
                        <w:r>
                          <w:rPr>
                            <w:position w:val="11"/>
                            <w:sz w:val="16"/>
                          </w:rPr>
                          <w:t>a</w:t>
                        </w:r>
                      </w:p>
                    </w:tc>
                    <w:tc>
                      <w:tcPr>
                        <w:tcW w:w="1722" w:type="dxa"/>
                        <w:tcBorders>
                          <w:top w:val="nil"/>
                          <w:left w:val="nil"/>
                          <w:bottom w:val="nil"/>
                          <w:right w:val="nil"/>
                        </w:tcBorders>
                      </w:tcPr>
                      <w:p>
                        <w:pPr>
                          <w:pStyle w:val="TableParagraph"/>
                          <w:spacing w:before="95"/>
                          <w:ind w:right="614"/>
                          <w:jc w:val="right"/>
                          <w:rPr>
                            <w:sz w:val="16"/>
                          </w:rPr>
                        </w:pPr>
                        <w:r>
                          <w:rPr>
                            <w:sz w:val="24"/>
                          </w:rPr>
                          <w:t>0.83</w:t>
                        </w:r>
                        <w:r>
                          <w:rPr>
                            <w:position w:val="11"/>
                            <w:sz w:val="16"/>
                          </w:rPr>
                          <w:t>a</w:t>
                        </w:r>
                      </w:p>
                    </w:tc>
                    <w:tc>
                      <w:tcPr>
                        <w:tcW w:w="1442" w:type="dxa"/>
                        <w:tcBorders>
                          <w:top w:val="nil"/>
                          <w:left w:val="nil"/>
                          <w:bottom w:val="nil"/>
                          <w:right w:val="nil"/>
                        </w:tcBorders>
                      </w:tcPr>
                      <w:p>
                        <w:pPr>
                          <w:pStyle w:val="TableParagraph"/>
                          <w:spacing w:before="95"/>
                          <w:ind w:left="495" w:right="283"/>
                          <w:rPr>
                            <w:sz w:val="16"/>
                          </w:rPr>
                        </w:pPr>
                        <w:r>
                          <w:rPr>
                            <w:sz w:val="24"/>
                          </w:rPr>
                          <w:t>0.73</w:t>
                        </w:r>
                        <w:r>
                          <w:rPr>
                            <w:position w:val="11"/>
                            <w:sz w:val="16"/>
                          </w:rPr>
                          <w:t>b</w:t>
                        </w:r>
                      </w:p>
                    </w:tc>
                    <w:tc>
                      <w:tcPr>
                        <w:tcW w:w="1551" w:type="dxa"/>
                        <w:tcBorders>
                          <w:top w:val="nil"/>
                          <w:left w:val="nil"/>
                          <w:bottom w:val="nil"/>
                          <w:right w:val="nil"/>
                        </w:tcBorders>
                      </w:tcPr>
                      <w:p>
                        <w:pPr>
                          <w:pStyle w:val="TableParagraph"/>
                          <w:spacing w:before="130"/>
                          <w:ind w:left="306"/>
                          <w:jc w:val="left"/>
                          <w:rPr>
                            <w:sz w:val="24"/>
                          </w:rPr>
                        </w:pPr>
                        <w:r>
                          <w:rPr>
                            <w:sz w:val="24"/>
                          </w:rPr>
                          <w:t>0.0178</w:t>
                        </w:r>
                      </w:p>
                    </w:tc>
                    <w:tc>
                      <w:tcPr>
                        <w:tcW w:w="123" w:type="dxa"/>
                        <w:tcBorders>
                          <w:top w:val="nil"/>
                          <w:left w:val="nil"/>
                          <w:bottom w:val="nil"/>
                          <w:right w:val="nil"/>
                        </w:tcBorders>
                      </w:tcPr>
                      <w:p>
                        <w:pPr/>
                      </w:p>
                    </w:tc>
                  </w:tr>
                  <w:tr>
                    <w:trPr>
                      <w:trHeight w:val="516"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95"/>
                          <w:ind w:left="118"/>
                          <w:jc w:val="left"/>
                          <w:rPr>
                            <w:sz w:val="16"/>
                          </w:rPr>
                        </w:pPr>
                        <w:r>
                          <w:rPr>
                            <w:sz w:val="24"/>
                          </w:rPr>
                          <w:t>AGS</w:t>
                        </w:r>
                        <w:r>
                          <w:rPr>
                            <w:position w:val="11"/>
                            <w:sz w:val="16"/>
                          </w:rPr>
                          <w:t>¶</w:t>
                        </w:r>
                      </w:p>
                    </w:tc>
                    <w:tc>
                      <w:tcPr>
                        <w:tcW w:w="2045" w:type="dxa"/>
                        <w:tcBorders>
                          <w:top w:val="nil"/>
                          <w:left w:val="nil"/>
                          <w:bottom w:val="nil"/>
                          <w:right w:val="nil"/>
                        </w:tcBorders>
                      </w:tcPr>
                      <w:p>
                        <w:pPr>
                          <w:pStyle w:val="TableParagraph"/>
                          <w:spacing w:before="95"/>
                          <w:ind w:right="510"/>
                          <w:jc w:val="right"/>
                          <w:rPr>
                            <w:sz w:val="16"/>
                          </w:rPr>
                        </w:pPr>
                        <w:r>
                          <w:rPr>
                            <w:sz w:val="24"/>
                          </w:rPr>
                          <w:t>68.00</w:t>
                        </w:r>
                        <w:r>
                          <w:rPr>
                            <w:position w:val="11"/>
                            <w:sz w:val="16"/>
                          </w:rPr>
                          <w:t>b</w:t>
                        </w:r>
                      </w:p>
                    </w:tc>
                    <w:tc>
                      <w:tcPr>
                        <w:tcW w:w="1722" w:type="dxa"/>
                        <w:tcBorders>
                          <w:top w:val="nil"/>
                          <w:left w:val="nil"/>
                          <w:bottom w:val="nil"/>
                          <w:right w:val="nil"/>
                        </w:tcBorders>
                      </w:tcPr>
                      <w:p>
                        <w:pPr>
                          <w:pStyle w:val="TableParagraph"/>
                          <w:spacing w:before="95"/>
                          <w:ind w:right="512"/>
                          <w:jc w:val="right"/>
                          <w:rPr>
                            <w:sz w:val="16"/>
                          </w:rPr>
                        </w:pPr>
                        <w:r>
                          <w:rPr>
                            <w:sz w:val="24"/>
                          </w:rPr>
                          <w:t>68.83</w:t>
                        </w:r>
                        <w:r>
                          <w:rPr>
                            <w:position w:val="11"/>
                            <w:sz w:val="16"/>
                          </w:rPr>
                          <w:t>ab</w:t>
                        </w:r>
                      </w:p>
                    </w:tc>
                    <w:tc>
                      <w:tcPr>
                        <w:tcW w:w="1442" w:type="dxa"/>
                        <w:tcBorders>
                          <w:top w:val="nil"/>
                          <w:left w:val="nil"/>
                          <w:bottom w:val="nil"/>
                          <w:right w:val="nil"/>
                        </w:tcBorders>
                      </w:tcPr>
                      <w:p>
                        <w:pPr>
                          <w:pStyle w:val="TableParagraph"/>
                          <w:spacing w:before="95"/>
                          <w:ind w:left="495" w:right="287"/>
                          <w:rPr>
                            <w:sz w:val="16"/>
                          </w:rPr>
                        </w:pPr>
                        <w:r>
                          <w:rPr>
                            <w:sz w:val="24"/>
                          </w:rPr>
                          <w:t>69.76</w:t>
                        </w:r>
                        <w:r>
                          <w:rPr>
                            <w:position w:val="11"/>
                            <w:sz w:val="16"/>
                          </w:rPr>
                          <w:t>a</w:t>
                        </w:r>
                      </w:p>
                    </w:tc>
                    <w:tc>
                      <w:tcPr>
                        <w:tcW w:w="1551" w:type="dxa"/>
                        <w:tcBorders>
                          <w:top w:val="nil"/>
                          <w:left w:val="nil"/>
                          <w:bottom w:val="nil"/>
                          <w:right w:val="nil"/>
                        </w:tcBorders>
                      </w:tcPr>
                      <w:p>
                        <w:pPr>
                          <w:pStyle w:val="TableParagraph"/>
                          <w:spacing w:before="131"/>
                          <w:ind w:left="306"/>
                          <w:jc w:val="left"/>
                          <w:rPr>
                            <w:sz w:val="24"/>
                          </w:rPr>
                        </w:pPr>
                        <w:r>
                          <w:rPr>
                            <w:sz w:val="24"/>
                          </w:rPr>
                          <w:t>0.4236</w:t>
                        </w:r>
                      </w:p>
                    </w:tc>
                    <w:tc>
                      <w:tcPr>
                        <w:tcW w:w="123" w:type="dxa"/>
                        <w:tcBorders>
                          <w:top w:val="nil"/>
                          <w:left w:val="nil"/>
                          <w:bottom w:val="nil"/>
                          <w:right w:val="nil"/>
                        </w:tcBorders>
                      </w:tcPr>
                      <w:p>
                        <w:pPr/>
                      </w:p>
                    </w:tc>
                  </w:tr>
                  <w:tr>
                    <w:trPr>
                      <w:trHeight w:val="528" w:hRule="exact"/>
                    </w:trPr>
                    <w:tc>
                      <w:tcPr>
                        <w:tcW w:w="280" w:type="dxa"/>
                        <w:tcBorders>
                          <w:top w:val="nil"/>
                          <w:left w:val="nil"/>
                          <w:bottom w:val="nil"/>
                          <w:right w:val="nil"/>
                        </w:tcBorders>
                      </w:tcPr>
                      <w:p>
                        <w:pPr/>
                      </w:p>
                    </w:tc>
                    <w:tc>
                      <w:tcPr>
                        <w:tcW w:w="2185" w:type="dxa"/>
                        <w:tcBorders>
                          <w:top w:val="nil"/>
                          <w:left w:val="nil"/>
                          <w:bottom w:val="nil"/>
                          <w:right w:val="nil"/>
                        </w:tcBorders>
                      </w:tcPr>
                      <w:p>
                        <w:pPr>
                          <w:pStyle w:val="TableParagraph"/>
                          <w:spacing w:before="93"/>
                          <w:ind w:left="118"/>
                          <w:jc w:val="left"/>
                          <w:rPr>
                            <w:sz w:val="16"/>
                          </w:rPr>
                        </w:pPr>
                        <w:r>
                          <w:rPr>
                            <w:sz w:val="24"/>
                          </w:rPr>
                          <w:t>AGMI</w:t>
                        </w:r>
                        <w:r>
                          <w:rPr>
                            <w:position w:val="11"/>
                            <w:sz w:val="16"/>
                          </w:rPr>
                          <w:t>¶¶</w:t>
                        </w:r>
                      </w:p>
                    </w:tc>
                    <w:tc>
                      <w:tcPr>
                        <w:tcW w:w="2045" w:type="dxa"/>
                        <w:tcBorders>
                          <w:top w:val="nil"/>
                          <w:left w:val="nil"/>
                          <w:bottom w:val="nil"/>
                          <w:right w:val="nil"/>
                        </w:tcBorders>
                      </w:tcPr>
                      <w:p>
                        <w:pPr>
                          <w:pStyle w:val="TableParagraph"/>
                          <w:spacing w:before="93"/>
                          <w:ind w:right="514"/>
                          <w:jc w:val="right"/>
                          <w:rPr>
                            <w:sz w:val="16"/>
                          </w:rPr>
                        </w:pPr>
                        <w:r>
                          <w:rPr>
                            <w:sz w:val="24"/>
                          </w:rPr>
                          <w:t>29.05</w:t>
                        </w:r>
                        <w:r>
                          <w:rPr>
                            <w:position w:val="11"/>
                            <w:sz w:val="16"/>
                          </w:rPr>
                          <w:t>a</w:t>
                        </w:r>
                      </w:p>
                    </w:tc>
                    <w:tc>
                      <w:tcPr>
                        <w:tcW w:w="1722" w:type="dxa"/>
                        <w:tcBorders>
                          <w:top w:val="nil"/>
                          <w:left w:val="nil"/>
                          <w:bottom w:val="nil"/>
                          <w:right w:val="nil"/>
                        </w:tcBorders>
                      </w:tcPr>
                      <w:p>
                        <w:pPr>
                          <w:pStyle w:val="TableParagraph"/>
                          <w:spacing w:before="93"/>
                          <w:ind w:right="512"/>
                          <w:jc w:val="right"/>
                          <w:rPr>
                            <w:sz w:val="16"/>
                          </w:rPr>
                        </w:pPr>
                        <w:r>
                          <w:rPr>
                            <w:sz w:val="24"/>
                          </w:rPr>
                          <w:t>28.26</w:t>
                        </w:r>
                        <w:r>
                          <w:rPr>
                            <w:position w:val="11"/>
                            <w:sz w:val="16"/>
                          </w:rPr>
                          <w:t>ab</w:t>
                        </w:r>
                      </w:p>
                    </w:tc>
                    <w:tc>
                      <w:tcPr>
                        <w:tcW w:w="1442" w:type="dxa"/>
                        <w:tcBorders>
                          <w:top w:val="nil"/>
                          <w:left w:val="nil"/>
                          <w:bottom w:val="nil"/>
                          <w:right w:val="nil"/>
                        </w:tcBorders>
                      </w:tcPr>
                      <w:p>
                        <w:pPr>
                          <w:pStyle w:val="TableParagraph"/>
                          <w:spacing w:before="93"/>
                          <w:ind w:left="495" w:right="287"/>
                          <w:rPr>
                            <w:sz w:val="16"/>
                          </w:rPr>
                        </w:pPr>
                        <w:r>
                          <w:rPr>
                            <w:sz w:val="24"/>
                          </w:rPr>
                          <w:t>27.29</w:t>
                        </w:r>
                        <w:r>
                          <w:rPr>
                            <w:position w:val="11"/>
                            <w:sz w:val="16"/>
                          </w:rPr>
                          <w:t>b</w:t>
                        </w:r>
                      </w:p>
                    </w:tc>
                    <w:tc>
                      <w:tcPr>
                        <w:tcW w:w="1551" w:type="dxa"/>
                        <w:tcBorders>
                          <w:top w:val="nil"/>
                          <w:left w:val="nil"/>
                          <w:bottom w:val="nil"/>
                          <w:right w:val="nil"/>
                        </w:tcBorders>
                      </w:tcPr>
                      <w:p>
                        <w:pPr>
                          <w:pStyle w:val="TableParagraph"/>
                          <w:spacing w:before="128"/>
                          <w:ind w:left="306"/>
                          <w:jc w:val="left"/>
                          <w:rPr>
                            <w:sz w:val="24"/>
                          </w:rPr>
                        </w:pPr>
                        <w:r>
                          <w:rPr>
                            <w:sz w:val="24"/>
                          </w:rPr>
                          <w:t>0.3974</w:t>
                        </w:r>
                      </w:p>
                    </w:tc>
                    <w:tc>
                      <w:tcPr>
                        <w:tcW w:w="123" w:type="dxa"/>
                        <w:tcBorders>
                          <w:top w:val="nil"/>
                          <w:left w:val="nil"/>
                          <w:bottom w:val="nil"/>
                          <w:right w:val="nil"/>
                        </w:tcBorders>
                      </w:tcPr>
                      <w:p>
                        <w:pPr/>
                      </w:p>
                    </w:tc>
                  </w:tr>
                  <w:tr>
                    <w:trPr>
                      <w:trHeight w:val="674" w:hRule="exact"/>
                    </w:trPr>
                    <w:tc>
                      <w:tcPr>
                        <w:tcW w:w="280" w:type="dxa"/>
                        <w:tcBorders>
                          <w:top w:val="nil"/>
                          <w:left w:val="nil"/>
                          <w:bottom w:val="nil"/>
                          <w:right w:val="nil"/>
                        </w:tcBorders>
                      </w:tcPr>
                      <w:p>
                        <w:pPr/>
                      </w:p>
                    </w:tc>
                    <w:tc>
                      <w:tcPr>
                        <w:tcW w:w="2185" w:type="dxa"/>
                        <w:tcBorders>
                          <w:top w:val="nil"/>
                          <w:left w:val="nil"/>
                          <w:bottom w:val="single" w:sz="4" w:space="0" w:color="000000"/>
                          <w:right w:val="nil"/>
                        </w:tcBorders>
                      </w:tcPr>
                      <w:p>
                        <w:pPr>
                          <w:pStyle w:val="TableParagraph"/>
                          <w:spacing w:before="95"/>
                          <w:ind w:left="118"/>
                          <w:jc w:val="left"/>
                          <w:rPr>
                            <w:rFonts w:ascii="Calibri" w:hAnsi="Calibri" w:cs="Calibri" w:eastAsia="Calibri"/>
                            <w:sz w:val="16"/>
                            <w:szCs w:val="16"/>
                          </w:rPr>
                        </w:pPr>
                        <w:r>
                          <w:rPr>
                            <w:sz w:val="24"/>
                            <w:szCs w:val="24"/>
                          </w:rPr>
                          <w:t>AGPI</w:t>
                        </w:r>
                        <w:r>
                          <w:rPr>
                            <w:rFonts w:ascii="Calibri" w:hAnsi="Calibri" w:cs="Calibri" w:eastAsia="Calibri"/>
                            <w:position w:val="11"/>
                            <w:sz w:val="16"/>
                            <w:szCs w:val="16"/>
                          </w:rPr>
                          <w:t>Ԑ</w:t>
                        </w:r>
                      </w:p>
                    </w:tc>
                    <w:tc>
                      <w:tcPr>
                        <w:tcW w:w="2045" w:type="dxa"/>
                        <w:tcBorders>
                          <w:top w:val="nil"/>
                          <w:left w:val="nil"/>
                          <w:bottom w:val="single" w:sz="4" w:space="0" w:color="000000"/>
                          <w:right w:val="nil"/>
                        </w:tcBorders>
                      </w:tcPr>
                      <w:p>
                        <w:pPr>
                          <w:pStyle w:val="TableParagraph"/>
                          <w:spacing w:before="119"/>
                          <w:ind w:right="609"/>
                          <w:jc w:val="right"/>
                          <w:rPr>
                            <w:sz w:val="24"/>
                          </w:rPr>
                        </w:pPr>
                        <w:r>
                          <w:rPr>
                            <w:sz w:val="24"/>
                          </w:rPr>
                          <w:t>2.96</w:t>
                        </w:r>
                      </w:p>
                    </w:tc>
                    <w:tc>
                      <w:tcPr>
                        <w:tcW w:w="1722" w:type="dxa"/>
                        <w:tcBorders>
                          <w:top w:val="nil"/>
                          <w:left w:val="nil"/>
                          <w:bottom w:val="single" w:sz="4" w:space="0" w:color="000000"/>
                          <w:right w:val="nil"/>
                        </w:tcBorders>
                      </w:tcPr>
                      <w:p>
                        <w:pPr>
                          <w:pStyle w:val="TableParagraph"/>
                          <w:spacing w:before="119"/>
                          <w:ind w:left="632" w:right="629"/>
                          <w:rPr>
                            <w:sz w:val="24"/>
                          </w:rPr>
                        </w:pPr>
                        <w:r>
                          <w:rPr>
                            <w:sz w:val="24"/>
                          </w:rPr>
                          <w:t>2.95</w:t>
                        </w:r>
                      </w:p>
                    </w:tc>
                    <w:tc>
                      <w:tcPr>
                        <w:tcW w:w="1442" w:type="dxa"/>
                        <w:tcBorders>
                          <w:top w:val="nil"/>
                          <w:left w:val="nil"/>
                          <w:bottom w:val="single" w:sz="4" w:space="0" w:color="000000"/>
                          <w:right w:val="nil"/>
                        </w:tcBorders>
                      </w:tcPr>
                      <w:p>
                        <w:pPr>
                          <w:pStyle w:val="TableParagraph"/>
                          <w:spacing w:before="119"/>
                          <w:ind w:left="495" w:right="285"/>
                          <w:rPr>
                            <w:sz w:val="24"/>
                          </w:rPr>
                        </w:pPr>
                        <w:r>
                          <w:rPr>
                            <w:sz w:val="24"/>
                          </w:rPr>
                          <w:t>2.91</w:t>
                        </w:r>
                      </w:p>
                    </w:tc>
                    <w:tc>
                      <w:tcPr>
                        <w:tcW w:w="1551" w:type="dxa"/>
                        <w:tcBorders>
                          <w:top w:val="nil"/>
                          <w:left w:val="nil"/>
                          <w:bottom w:val="single" w:sz="4" w:space="0" w:color="000000"/>
                          <w:right w:val="nil"/>
                        </w:tcBorders>
                      </w:tcPr>
                      <w:p>
                        <w:pPr>
                          <w:pStyle w:val="TableParagraph"/>
                          <w:spacing w:before="119"/>
                          <w:ind w:left="306"/>
                          <w:jc w:val="left"/>
                          <w:rPr>
                            <w:sz w:val="24"/>
                          </w:rPr>
                        </w:pPr>
                        <w:r>
                          <w:rPr>
                            <w:sz w:val="24"/>
                          </w:rPr>
                          <w:t>0.0546</w:t>
                        </w:r>
                      </w:p>
                    </w:tc>
                    <w:tc>
                      <w:tcPr>
                        <w:tcW w:w="123" w:type="dxa"/>
                        <w:tcBorders>
                          <w:top w:val="nil"/>
                          <w:left w:val="nil"/>
                          <w:bottom w:val="single" w:sz="4" w:space="0" w:color="000000"/>
                          <w:right w:val="nil"/>
                        </w:tcBorders>
                      </w:tcPr>
                      <w:p>
                        <w:pPr/>
                      </w:p>
                    </w:tc>
                  </w:tr>
                </w:tbl>
                <w:p>
                  <w:pPr>
                    <w:pStyle w:val="BodyText"/>
                  </w:pPr>
                </w:p>
              </w:txbxContent>
            </v:textbox>
            <w10:wrap type="none"/>
          </v:shape>
        </w:pict>
      </w:r>
      <w:r>
        <w:rPr>
          <w:position w:val="11"/>
          <w:sz w:val="16"/>
        </w:rPr>
        <w:t>abc </w:t>
      </w:r>
      <w:r>
        <w:rPr/>
        <w:t>Valores con distinta literal en la misma hilera son diferentes (p ≤ 0.05).</w:t>
      </w:r>
    </w:p>
    <w:p>
      <w:pPr>
        <w:pStyle w:val="BodyText"/>
        <w:spacing w:line="458" w:lineRule="auto" w:before="240"/>
        <w:ind w:left="512" w:right="322"/>
      </w:pPr>
      <w:r>
        <w:rPr>
          <w:position w:val="11"/>
          <w:sz w:val="16"/>
          <w:szCs w:val="16"/>
        </w:rPr>
        <w:t>† </w:t>
      </w:r>
      <w:r>
        <w:rPr/>
        <w:t>EEM = Error estándar de la media. </w:t>
      </w:r>
      <w:r>
        <w:rPr>
          <w:position w:val="11"/>
          <w:sz w:val="16"/>
          <w:szCs w:val="16"/>
        </w:rPr>
        <w:t>¶ </w:t>
      </w:r>
      <w:r>
        <w:rPr/>
        <w:t>AGS = Ácidos grasos saturados, </w:t>
      </w:r>
      <w:r>
        <w:rPr>
          <w:position w:val="11"/>
          <w:sz w:val="16"/>
          <w:szCs w:val="16"/>
        </w:rPr>
        <w:t>¶¶ </w:t>
      </w:r>
      <w:r>
        <w:rPr/>
        <w:t>AGMI = Ácidos grasos monoinsaturados, </w:t>
      </w:r>
      <w:r>
        <w:rPr>
          <w:rFonts w:ascii="Calibri" w:hAnsi="Calibri" w:cs="Calibri" w:eastAsia="Calibri"/>
          <w:position w:val="11"/>
          <w:sz w:val="16"/>
          <w:szCs w:val="16"/>
        </w:rPr>
        <w:t>Ԑ  </w:t>
      </w:r>
      <w:r>
        <w:rPr/>
        <w:t>AGPI = Ácidos grasos polinsaturados.</w:t>
      </w:r>
    </w:p>
    <w:p>
      <w:pPr>
        <w:pStyle w:val="BodyText"/>
        <w:spacing w:line="480" w:lineRule="auto" w:before="10"/>
        <w:ind w:left="512" w:right="222" w:firstLine="302"/>
        <w:jc w:val="both"/>
      </w:pPr>
      <w:r>
        <w:rPr/>
        <w:t>Con excepción del ácido linoléico (C18:2 c9 c12), los ácidos grasos de cadena larga (&gt;C17) fueron mayores (p ≤ 0.05) con el nivel más bajo de concentrado. El contenido de ácido vaccénico (C18:1 t11) en leche fue 9.3 y 12.3% mayor (p ≤ 0.05) en </w:t>
      </w:r>
      <w:r>
        <w:rPr>
          <w:b/>
        </w:rPr>
        <w:t>3c </w:t>
      </w:r>
      <w:r>
        <w:rPr/>
        <w:t>comparado con </w:t>
      </w:r>
      <w:r>
        <w:rPr>
          <w:b/>
        </w:rPr>
        <w:t>5c </w:t>
      </w:r>
      <w:r>
        <w:rPr/>
        <w:t>y </w:t>
      </w:r>
      <w:r>
        <w:rPr>
          <w:b/>
        </w:rPr>
        <w:t>8c </w:t>
      </w:r>
      <w:r>
        <w:rPr/>
        <w:t>,cuyo contenido fue estadísticamente igual entre si. De forma similar, el contenido de CLA c9 t11 fue 9.8 % mayor en </w:t>
      </w:r>
      <w:r>
        <w:rPr>
          <w:b/>
        </w:rPr>
        <w:t>3c </w:t>
      </w:r>
      <w:r>
        <w:rPr/>
        <w:t>comparado con  otros  tratamientos. Aunque  con  valores  más  altos  de  CLA  en  leche,  otros  autores  (Nielsen  </w:t>
      </w:r>
      <w:r>
        <w:rPr>
          <w:i/>
        </w:rPr>
        <w:t>et  al.</w:t>
      </w:r>
      <w:r>
        <w:rPr/>
        <w:t>, 2006)</w:t>
      </w:r>
    </w:p>
    <w:p>
      <w:pPr>
        <w:spacing w:after="0" w:line="480" w:lineRule="auto"/>
        <w:jc w:val="both"/>
        <w:sectPr>
          <w:headerReference w:type="default" r:id="rId43"/>
          <w:pgSz w:w="12240" w:h="15840"/>
          <w:pgMar w:header="1150" w:footer="1382" w:top="1340" w:bottom="1580" w:left="1360" w:right="1300"/>
        </w:sectPr>
      </w:pPr>
    </w:p>
    <w:p>
      <w:pPr>
        <w:pStyle w:val="BodyText"/>
        <w:spacing w:before="4"/>
        <w:rPr>
          <w:sz w:val="23"/>
        </w:rPr>
      </w:pPr>
    </w:p>
    <w:p>
      <w:pPr>
        <w:pStyle w:val="BodyText"/>
        <w:spacing w:line="472" w:lineRule="auto" w:before="79"/>
        <w:ind w:left="512" w:right="101"/>
        <w:jc w:val="both"/>
      </w:pPr>
      <w:r>
        <w:rPr/>
        <w:t>observaron que los contenidos de CLA c9 t11 (1.61 </w:t>
      </w:r>
      <w:r>
        <w:rPr>
          <w:i/>
        </w:rPr>
        <w:t>vs </w:t>
      </w:r>
      <w:r>
        <w:rPr/>
        <w:t>1.17 g 100 g</w:t>
      </w:r>
      <w:r>
        <w:rPr>
          <w:position w:val="11"/>
          <w:sz w:val="16"/>
        </w:rPr>
        <w:t>-1 </w:t>
      </w:r>
      <w:r>
        <w:rPr/>
        <w:t>AG) y  ácido vaccénico (2.80 </w:t>
      </w:r>
      <w:r>
        <w:rPr>
          <w:i/>
        </w:rPr>
        <w:t>vs </w:t>
      </w:r>
      <w:r>
        <w:rPr/>
        <w:t>1.55 g 100 g</w:t>
      </w:r>
      <w:r>
        <w:rPr>
          <w:position w:val="11"/>
          <w:sz w:val="16"/>
        </w:rPr>
        <w:t>-1 </w:t>
      </w:r>
      <w:r>
        <w:rPr/>
        <w:t>AG) fueron mayores en la leche de vacas alimentadas con bajo nivel de concentrado; sin embargo, no reportaron diferencias en la concentración de ácido esteárico, oleico y linolénico por efecto del nivel de concentrado (Nielsen </w:t>
      </w:r>
      <w:r>
        <w:rPr>
          <w:i/>
        </w:rPr>
        <w:t>et al.</w:t>
      </w:r>
      <w:r>
        <w:rPr/>
        <w:t>, 2006). En la presente investigación, el ácido oleico (C18:1 c9) en la leche de </w:t>
      </w:r>
      <w:r>
        <w:rPr>
          <w:b/>
        </w:rPr>
        <w:t>3c </w:t>
      </w:r>
      <w:r>
        <w:rPr/>
        <w:t>fue 7.8 y</w:t>
      </w:r>
    </w:p>
    <w:p>
      <w:pPr>
        <w:pStyle w:val="BodyText"/>
        <w:spacing w:before="18"/>
        <w:ind w:left="512"/>
        <w:jc w:val="both"/>
      </w:pPr>
      <w:r>
        <w:rPr/>
        <w:t>3.3 % mayor (p ≤ 0.05) que en </w:t>
      </w:r>
      <w:r>
        <w:rPr>
          <w:b/>
        </w:rPr>
        <w:t>8c </w:t>
      </w:r>
      <w:r>
        <w:rPr/>
        <w:t>y </w:t>
      </w:r>
      <w:r>
        <w:rPr>
          <w:b/>
        </w:rPr>
        <w:t>5c</w:t>
      </w:r>
      <w:r>
        <w:rPr/>
        <w:t>, mientras que con el mismo patrón C18 fue 22.4 y</w:t>
      </w:r>
    </w:p>
    <w:p>
      <w:pPr>
        <w:pStyle w:val="BodyText"/>
      </w:pPr>
    </w:p>
    <w:p>
      <w:pPr>
        <w:pStyle w:val="BodyText"/>
        <w:ind w:left="512"/>
        <w:jc w:val="both"/>
      </w:pPr>
      <w:r>
        <w:rPr/>
        <w:t>9.5 % mayor (p ≤ 0.05)  con el nivel más bajo de concentrado.</w:t>
      </w:r>
    </w:p>
    <w:p>
      <w:pPr>
        <w:pStyle w:val="BodyText"/>
      </w:pPr>
    </w:p>
    <w:p>
      <w:pPr>
        <w:pStyle w:val="BodyText"/>
        <w:spacing w:line="480" w:lineRule="auto"/>
        <w:ind w:left="512" w:right="104" w:firstLine="302"/>
        <w:jc w:val="both"/>
      </w:pPr>
      <w:r>
        <w:rPr/>
        <w:t>El incremento de C18:2 c9 c12 en la grasa de la leche en el tratamiento </w:t>
      </w:r>
      <w:r>
        <w:rPr>
          <w:b/>
        </w:rPr>
        <w:t>8c</w:t>
      </w:r>
      <w:r>
        <w:rPr/>
        <w:t>, comparado con los otros tratamientos, es explicado por el mayor consumo de ácido linoleico, debido básicamente al mayor consumo de ensilado de maíz, el cual es una importante fuente de ácido linoleico, además de los ácidos palmítico y oleico; la composición de los AG del ensilado de maíz, reportada en varios estudios, indica que contiene altos niveles de ácidos linoleico (Nielsen </w:t>
      </w:r>
      <w:r>
        <w:rPr>
          <w:i/>
        </w:rPr>
        <w:t>et al</w:t>
      </w:r>
      <w:r>
        <w:rPr/>
        <w:t>., 2006) y oleico, pero es bajo en ácido linolénico (Dewhurst </w:t>
      </w:r>
      <w:r>
        <w:rPr>
          <w:i/>
        </w:rPr>
        <w:t>et al</w:t>
      </w:r>
      <w:r>
        <w:rPr/>
        <w:t>., 2006), similar a lo reportado en el Cuadro 1.</w:t>
      </w:r>
    </w:p>
    <w:p>
      <w:pPr>
        <w:pStyle w:val="BodyText"/>
        <w:spacing w:line="480" w:lineRule="auto" w:before="10"/>
        <w:ind w:left="512" w:right="102" w:firstLine="302"/>
        <w:jc w:val="both"/>
      </w:pPr>
      <w:r>
        <w:rPr/>
        <w:t>Incrementos en el consumo de MS de forrajes frescos pueden tener efectos importantes sobre </w:t>
      </w:r>
      <w:r>
        <w:rPr>
          <w:spacing w:val="-5"/>
        </w:rPr>
        <w:t>la </w:t>
      </w:r>
      <w:r>
        <w:rPr/>
        <w:t>composición de los </w:t>
      </w:r>
      <w:r>
        <w:rPr>
          <w:spacing w:val="-3"/>
        </w:rPr>
        <w:t>AG </w:t>
      </w:r>
      <w:r>
        <w:rPr/>
        <w:t>de </w:t>
      </w:r>
      <w:r>
        <w:rPr>
          <w:spacing w:val="-3"/>
        </w:rPr>
        <w:t>la </w:t>
      </w:r>
      <w:r>
        <w:rPr/>
        <w:t>grasa de </w:t>
      </w:r>
      <w:r>
        <w:rPr>
          <w:spacing w:val="-3"/>
        </w:rPr>
        <w:t>la </w:t>
      </w:r>
      <w:r>
        <w:rPr/>
        <w:t>leche (Kelly </w:t>
      </w:r>
      <w:r>
        <w:rPr>
          <w:i/>
        </w:rPr>
        <w:t>et al</w:t>
      </w:r>
      <w:r>
        <w:rPr/>
        <w:t>., 1998; Bargo </w:t>
      </w:r>
      <w:r>
        <w:rPr>
          <w:i/>
        </w:rPr>
        <w:t>et al</w:t>
      </w:r>
      <w:r>
        <w:rPr/>
        <w:t>., 2006; Morales-Almaráz </w:t>
      </w:r>
      <w:r>
        <w:rPr>
          <w:i/>
        </w:rPr>
        <w:t>et al</w:t>
      </w:r>
      <w:r>
        <w:rPr/>
        <w:t>., 2010). La </w:t>
      </w:r>
      <w:r>
        <w:rPr>
          <w:spacing w:val="-3"/>
        </w:rPr>
        <w:t>leche </w:t>
      </w:r>
      <w:r>
        <w:rPr/>
        <w:t>de </w:t>
      </w:r>
      <w:r>
        <w:rPr>
          <w:spacing w:val="-4"/>
        </w:rPr>
        <w:t>las </w:t>
      </w:r>
      <w:r>
        <w:rPr/>
        <w:t>vacas con el nivel más </w:t>
      </w:r>
      <w:r>
        <w:rPr>
          <w:spacing w:val="-3"/>
        </w:rPr>
        <w:t>bajo </w:t>
      </w:r>
      <w:r>
        <w:rPr/>
        <w:t>de concentrado mostró altas </w:t>
      </w:r>
      <w:r>
        <w:rPr>
          <w:spacing w:val="2"/>
        </w:rPr>
        <w:t>(p </w:t>
      </w:r>
      <w:r>
        <w:rPr/>
        <w:t>≤ 0.05) concentraciones de los ácidos esteárico, oleico y vaccénico (Cuadro </w:t>
      </w:r>
      <w:r>
        <w:rPr>
          <w:spacing w:val="-3"/>
        </w:rPr>
        <w:t>3) </w:t>
      </w:r>
      <w:r>
        <w:rPr/>
        <w:t>comparado con los otros dos niveles de concentrado, en especial con </w:t>
      </w:r>
      <w:r>
        <w:rPr>
          <w:b/>
        </w:rPr>
        <w:t>5c</w:t>
      </w:r>
      <w:r>
        <w:rPr/>
        <w:t>, en consecuencia, dado que tuvieron el </w:t>
      </w:r>
      <w:r>
        <w:rPr>
          <w:spacing w:val="-4"/>
        </w:rPr>
        <w:t>mismo </w:t>
      </w:r>
      <w:r>
        <w:rPr/>
        <w:t>tiempo de acceso a </w:t>
      </w:r>
      <w:r>
        <w:rPr>
          <w:spacing w:val="-5"/>
        </w:rPr>
        <w:t>la </w:t>
      </w:r>
      <w:r>
        <w:rPr/>
        <w:t>pradera, suministrar dos kg </w:t>
      </w:r>
      <w:r>
        <w:rPr>
          <w:spacing w:val="-3"/>
        </w:rPr>
        <w:t>más </w:t>
      </w:r>
      <w:r>
        <w:rPr/>
        <w:t>de concentrado a </w:t>
      </w:r>
      <w:r>
        <w:rPr>
          <w:spacing w:val="-4"/>
        </w:rPr>
        <w:t>las </w:t>
      </w:r>
      <w:r>
        <w:rPr/>
        <w:t>vacas pudo causar cambios sobre el metabolismo ruminal de los lípidos en los procesos de lipólisis e hidrogenación, en especial en los </w:t>
      </w:r>
      <w:r>
        <w:rPr>
          <w:spacing w:val="-3"/>
        </w:rPr>
        <w:t>AG </w:t>
      </w:r>
      <w:r>
        <w:rPr/>
        <w:t>de</w:t>
      </w:r>
      <w:r>
        <w:rPr>
          <w:spacing w:val="58"/>
        </w:rPr>
        <w:t> </w:t>
      </w:r>
      <w:r>
        <w:rPr/>
        <w:t>cadena</w:t>
      </w:r>
    </w:p>
    <w:p>
      <w:pPr>
        <w:spacing w:after="0" w:line="480" w:lineRule="auto"/>
        <w:jc w:val="both"/>
        <w:sectPr>
          <w:headerReference w:type="default" r:id="rId44"/>
          <w:pgSz w:w="12240" w:h="15840"/>
          <w:pgMar w:header="1150" w:footer="1382" w:top="1420" w:bottom="1580" w:left="1360" w:right="1420"/>
        </w:sectPr>
      </w:pPr>
    </w:p>
    <w:p>
      <w:pPr>
        <w:pStyle w:val="BodyText"/>
        <w:spacing w:before="3"/>
        <w:rPr>
          <w:sz w:val="27"/>
        </w:rPr>
      </w:pPr>
    </w:p>
    <w:p>
      <w:pPr>
        <w:pStyle w:val="BodyText"/>
        <w:spacing w:line="480" w:lineRule="auto" w:before="69"/>
        <w:ind w:left="512" w:right="112"/>
        <w:jc w:val="both"/>
      </w:pPr>
      <w:r>
        <w:rPr/>
        <w:t>larga, así como el flujo de estos AG y el de sus intermediarios al tejido mamario y su excreción en la leche. Además, el efecto en el contenido en leche de aquellos ácidos, incluido el CLA c9 t11 o ácido ruménico, podría estar relacionado con la variación individual en el sentido de la eficiencia en la síntesis </w:t>
      </w:r>
      <w:r>
        <w:rPr>
          <w:i/>
        </w:rPr>
        <w:t>de novo </w:t>
      </w:r>
      <w:r>
        <w:rPr/>
        <w:t>en la glándula mamaria, dado que, aunque la dieta juega un papel determinante en el contenido de ácido ruménico en la grasa de la leche del ganado vacuno, las diferencias entre individuos tienen un efecto significativo (Peterson </w:t>
      </w:r>
      <w:r>
        <w:rPr>
          <w:i/>
        </w:rPr>
        <w:t>et al</w:t>
      </w:r>
      <w:r>
        <w:rPr/>
        <w:t>., 2002), lo cual radica en la eficiencia de desaturación para sintetizar </w:t>
      </w:r>
      <w:r>
        <w:rPr>
          <w:i/>
        </w:rPr>
        <w:t>de novo </w:t>
      </w:r>
      <w:r>
        <w:rPr/>
        <w:t>CLA c9 t11 desde vaccénico, principal ruta de síntesis del CLA c9 t11 excretado en leche (Griinari </w:t>
      </w:r>
      <w:r>
        <w:rPr>
          <w:i/>
        </w:rPr>
        <w:t>et al</w:t>
      </w:r>
      <w:r>
        <w:rPr/>
        <w:t>., 2000).</w:t>
      </w:r>
    </w:p>
    <w:p>
      <w:pPr>
        <w:pStyle w:val="BodyText"/>
        <w:spacing w:line="477" w:lineRule="auto" w:before="10"/>
        <w:ind w:left="512" w:right="103" w:firstLine="302"/>
        <w:jc w:val="both"/>
      </w:pPr>
      <w:r>
        <w:rPr/>
        <w:t>Está aceptado que el ácido oleico de la leche tiene procedencia directa de los ácidos grasos de cadena larga preformados (Barber </w:t>
      </w:r>
      <w:r>
        <w:rPr>
          <w:i/>
        </w:rPr>
        <w:t>et al</w:t>
      </w:r>
      <w:r>
        <w:rPr/>
        <w:t>., 1997), o que es producto de la desaturación, en la glándula mamaria, por la enzima </w:t>
      </w:r>
      <w:r>
        <w:rPr>
          <w:rFonts w:ascii="Calibri" w:hAnsi="Calibri"/>
        </w:rPr>
        <w:t>∆</w:t>
      </w:r>
      <w:r>
        <w:rPr>
          <w:position w:val="11"/>
          <w:sz w:val="16"/>
        </w:rPr>
        <w:t>9</w:t>
      </w:r>
      <w:r>
        <w:rPr/>
        <w:t>-desaturaza, teniendo al ácido C18 como sustrato (Lock y Garnsworthy, 2003), lo cual es factible si se considera que esta enzima tiene preferencia por dicho sustrato (Ntambi y Miyazaqui, 2004). Chilliard </w:t>
      </w:r>
      <w:r>
        <w:rPr>
          <w:i/>
        </w:rPr>
        <w:t>et al. </w:t>
      </w:r>
      <w:r>
        <w:rPr/>
        <w:t>(2001) reportaron que, en promedio, el 40 % del C18 que llega a la glándula mamaria procedente de los lípidos plasmáticos circulantes se convierte en C18:1 c9, aunque otros productos de la actividad de esa enzima son C14:1, C16:1 y CLA c9 t11, a partir de C14, C16, y C18:1 t11, respectivamente (Lock y Garnsworthy, 2003),</w:t>
      </w:r>
    </w:p>
    <w:p>
      <w:pPr>
        <w:pStyle w:val="BodyText"/>
        <w:spacing w:line="480" w:lineRule="auto" w:before="13"/>
        <w:ind w:left="512" w:right="104" w:firstLine="302"/>
        <w:jc w:val="both"/>
      </w:pPr>
      <w:r>
        <w:rPr/>
        <w:t>La literatura </w:t>
      </w:r>
      <w:r>
        <w:rPr>
          <w:spacing w:val="-2"/>
        </w:rPr>
        <w:t>indica </w:t>
      </w:r>
      <w:r>
        <w:rPr/>
        <w:t>que </w:t>
      </w:r>
      <w:r>
        <w:rPr>
          <w:spacing w:val="-5"/>
        </w:rPr>
        <w:t>la </w:t>
      </w:r>
      <w:r>
        <w:rPr/>
        <w:t>complementación </w:t>
      </w:r>
      <w:r>
        <w:rPr>
          <w:spacing w:val="2"/>
        </w:rPr>
        <w:t>con </w:t>
      </w:r>
      <w:r>
        <w:rPr/>
        <w:t>altos niveles de concentrado afecta a  los procesos de biohidrogenación como resultado del </w:t>
      </w:r>
      <w:r>
        <w:rPr>
          <w:spacing w:val="-3"/>
        </w:rPr>
        <w:t>bajo </w:t>
      </w:r>
      <w:r>
        <w:rPr/>
        <w:t>pH ruminal (Lathamn </w:t>
      </w:r>
      <w:r>
        <w:rPr>
          <w:i/>
        </w:rPr>
        <w:t>et al</w:t>
      </w:r>
      <w:r>
        <w:rPr/>
        <w:t>., 1972; Bargo </w:t>
      </w:r>
      <w:r>
        <w:rPr>
          <w:i/>
        </w:rPr>
        <w:t>et al</w:t>
      </w:r>
      <w:r>
        <w:rPr/>
        <w:t>., 2006), y esto, a su vez, promueve cambios en </w:t>
      </w:r>
      <w:r>
        <w:rPr>
          <w:spacing w:val="-3"/>
        </w:rPr>
        <w:t>la </w:t>
      </w:r>
      <w:r>
        <w:rPr/>
        <w:t>producción de </w:t>
      </w:r>
      <w:r>
        <w:rPr>
          <w:spacing w:val="-3"/>
        </w:rPr>
        <w:t>AG </w:t>
      </w:r>
      <w:r>
        <w:rPr/>
        <w:t>en </w:t>
      </w:r>
      <w:r>
        <w:rPr>
          <w:spacing w:val="4"/>
        </w:rPr>
        <w:t>el </w:t>
      </w:r>
      <w:r>
        <w:rPr/>
        <w:t>rumen y en </w:t>
      </w:r>
      <w:r>
        <w:rPr>
          <w:spacing w:val="-5"/>
        </w:rPr>
        <w:t>la </w:t>
      </w:r>
      <w:r>
        <w:rPr/>
        <w:t>glándula mamaria (Enjalber </w:t>
      </w:r>
      <w:r>
        <w:rPr>
          <w:i/>
        </w:rPr>
        <w:t>et al</w:t>
      </w:r>
      <w:r>
        <w:rPr/>
        <w:t>.,</w:t>
      </w:r>
      <w:r>
        <w:rPr>
          <w:spacing w:val="-6"/>
        </w:rPr>
        <w:t> </w:t>
      </w:r>
      <w:r>
        <w:rPr/>
        <w:t>2008).</w:t>
      </w:r>
    </w:p>
    <w:p>
      <w:pPr>
        <w:spacing w:after="0" w:line="480" w:lineRule="auto"/>
        <w:jc w:val="both"/>
        <w:sectPr>
          <w:footerReference w:type="default" r:id="rId45"/>
          <w:pgSz w:w="12240" w:h="15840"/>
          <w:pgMar w:footer="1382" w:header="1150" w:top="1420" w:bottom="1580" w:left="1360" w:right="1420"/>
        </w:sectPr>
      </w:pPr>
    </w:p>
    <w:p>
      <w:pPr>
        <w:pStyle w:val="BodyText"/>
        <w:spacing w:before="3"/>
        <w:rPr>
          <w:sz w:val="27"/>
        </w:rPr>
      </w:pPr>
    </w:p>
    <w:p>
      <w:pPr>
        <w:pStyle w:val="BodyText"/>
        <w:spacing w:line="470" w:lineRule="auto" w:before="69"/>
        <w:ind w:left="512" w:right="100" w:firstLine="302"/>
        <w:jc w:val="both"/>
      </w:pPr>
      <w:r>
        <w:rPr/>
        <w:t>En esta investigación, el incremento en el contenido de </w:t>
      </w:r>
      <w:r>
        <w:rPr>
          <w:spacing w:val="-3"/>
        </w:rPr>
        <w:t>AG </w:t>
      </w:r>
      <w:r>
        <w:rPr/>
        <w:t>de cadena corta y media  para </w:t>
      </w:r>
      <w:r>
        <w:rPr>
          <w:b/>
        </w:rPr>
        <w:t>8c </w:t>
      </w:r>
      <w:r>
        <w:rPr/>
        <w:t>es similar a estudios previos realizados por Stockdale </w:t>
      </w:r>
      <w:r>
        <w:rPr>
          <w:i/>
        </w:rPr>
        <w:t>et al. </w:t>
      </w:r>
      <w:r>
        <w:rPr/>
        <w:t>(2003) en vacas en pastoreo complementadas con 7 y 9 kg d</w:t>
      </w:r>
      <w:r>
        <w:rPr>
          <w:position w:val="11"/>
          <w:sz w:val="16"/>
        </w:rPr>
        <w:t>-1 </w:t>
      </w:r>
      <w:r>
        <w:rPr/>
        <w:t>de concentrado, estos autores reportaron un incremento de los </w:t>
      </w:r>
      <w:r>
        <w:rPr>
          <w:spacing w:val="-3"/>
        </w:rPr>
        <w:t>AG </w:t>
      </w:r>
      <w:r>
        <w:rPr/>
        <w:t>de cadena corta </w:t>
      </w:r>
      <w:r>
        <w:rPr>
          <w:spacing w:val="-3"/>
        </w:rPr>
        <w:t>como </w:t>
      </w:r>
      <w:r>
        <w:rPr/>
        <w:t>C6:0 a C10:0 y de cadena media como C12:0  a C16:0 con respecto a vacas </w:t>
      </w:r>
      <w:r>
        <w:rPr>
          <w:spacing w:val="-3"/>
        </w:rPr>
        <w:t>no </w:t>
      </w:r>
      <w:r>
        <w:rPr/>
        <w:t>complementadas. Wijesundera </w:t>
      </w:r>
      <w:r>
        <w:rPr>
          <w:i/>
        </w:rPr>
        <w:t>et al</w:t>
      </w:r>
      <w:r>
        <w:rPr/>
        <w:t>. (2003) complementaron 4.5 kg d</w:t>
      </w:r>
      <w:r>
        <w:rPr>
          <w:position w:val="11"/>
          <w:sz w:val="16"/>
        </w:rPr>
        <w:t>-1 </w:t>
      </w:r>
      <w:r>
        <w:rPr/>
        <w:t>de granos de cereales a vacas en pastoreo incrementando </w:t>
      </w:r>
      <w:r>
        <w:rPr>
          <w:spacing w:val="-3"/>
        </w:rPr>
        <w:t>las </w:t>
      </w:r>
      <w:r>
        <w:rPr/>
        <w:t>concentraciones de C10:0 a C14:0 en </w:t>
      </w:r>
      <w:r>
        <w:rPr>
          <w:spacing w:val="-3"/>
        </w:rPr>
        <w:t>la </w:t>
      </w:r>
      <w:r>
        <w:rPr/>
        <w:t>grasa de </w:t>
      </w:r>
      <w:r>
        <w:rPr>
          <w:spacing w:val="-3"/>
        </w:rPr>
        <w:t>la leche. </w:t>
      </w:r>
      <w:r>
        <w:rPr/>
        <w:t>Bargo </w:t>
      </w:r>
      <w:r>
        <w:rPr>
          <w:i/>
        </w:rPr>
        <w:t>et al</w:t>
      </w:r>
      <w:r>
        <w:rPr/>
        <w:t>. (2006), en un estudio de vacas en pastoreo complementadas con concentrado (1 kg concentrado/4 kg leche), reportaron una mayor concentración de C12:0 y C14:0 en comparación con vacas </w:t>
      </w:r>
      <w:r>
        <w:rPr>
          <w:spacing w:val="-3"/>
        </w:rPr>
        <w:t>no </w:t>
      </w:r>
      <w:r>
        <w:rPr/>
        <w:t>complementadas (2.50 </w:t>
      </w:r>
      <w:r>
        <w:rPr>
          <w:i/>
        </w:rPr>
        <w:t>vs </w:t>
      </w:r>
      <w:r>
        <w:rPr/>
        <w:t>1.80 y 9.31 </w:t>
      </w:r>
      <w:r>
        <w:rPr>
          <w:i/>
        </w:rPr>
        <w:t>vs </w:t>
      </w:r>
      <w:r>
        <w:rPr/>
        <w:t>7.59 g 100 g</w:t>
      </w:r>
      <w:r>
        <w:rPr>
          <w:position w:val="11"/>
          <w:sz w:val="16"/>
        </w:rPr>
        <w:t>-1 </w:t>
      </w:r>
      <w:r>
        <w:rPr/>
        <w:t>AG); en su estudio los ácidos grasos de cadena larga, oleico y linolénico, fueron afectados negativamente por </w:t>
      </w:r>
      <w:r>
        <w:rPr>
          <w:spacing w:val="-5"/>
        </w:rPr>
        <w:t>la </w:t>
      </w:r>
      <w:r>
        <w:rPr/>
        <w:t>complementación con concentrados, observando mayores concentraciones en vacas </w:t>
      </w:r>
      <w:r>
        <w:rPr>
          <w:spacing w:val="-3"/>
        </w:rPr>
        <w:t>no </w:t>
      </w:r>
      <w:r>
        <w:rPr/>
        <w:t>complementadas (30.89 </w:t>
      </w:r>
      <w:r>
        <w:rPr>
          <w:i/>
        </w:rPr>
        <w:t>vs </w:t>
      </w:r>
      <w:r>
        <w:rPr/>
        <w:t>27.18 y 1.16 </w:t>
      </w:r>
      <w:r>
        <w:rPr>
          <w:i/>
        </w:rPr>
        <w:t>vs </w:t>
      </w:r>
      <w:r>
        <w:rPr/>
        <w:t>0.79 g 100 g</w:t>
      </w:r>
      <w:r>
        <w:rPr>
          <w:position w:val="11"/>
          <w:sz w:val="16"/>
        </w:rPr>
        <w:t>-1 </w:t>
      </w:r>
      <w:r>
        <w:rPr/>
        <w:t>AG, respectivamente); un efecto similar fue observado en el presente estudio al disminuir el nivel de concentrado.  Asimismo, similar a nuestros resultados, </w:t>
      </w:r>
      <w:r>
        <w:rPr>
          <w:spacing w:val="-3"/>
        </w:rPr>
        <w:t>las </w:t>
      </w:r>
      <w:r>
        <w:rPr/>
        <w:t>concentraciones de los ácidos vaccénico y  CLA c9 t11 en </w:t>
      </w:r>
      <w:r>
        <w:rPr>
          <w:spacing w:val="-3"/>
        </w:rPr>
        <w:t>leche, </w:t>
      </w:r>
      <w:r>
        <w:rPr/>
        <w:t>reportadas por Bargo </w:t>
      </w:r>
      <w:r>
        <w:rPr>
          <w:i/>
        </w:rPr>
        <w:t>et al</w:t>
      </w:r>
      <w:r>
        <w:rPr/>
        <w:t>. (2006) disminuyeron en las vacas complementadas con respecto a aquellas que </w:t>
      </w:r>
      <w:r>
        <w:rPr>
          <w:spacing w:val="-3"/>
        </w:rPr>
        <w:t>no </w:t>
      </w:r>
      <w:r>
        <w:rPr/>
        <w:t>recibieron concentrados (1.18 </w:t>
      </w:r>
      <w:r>
        <w:rPr>
          <w:i/>
        </w:rPr>
        <w:t>vs </w:t>
      </w:r>
      <w:r>
        <w:rPr/>
        <w:t>1.36 y 2.79 </w:t>
      </w:r>
      <w:r>
        <w:rPr>
          <w:i/>
        </w:rPr>
        <w:t>vs </w:t>
      </w:r>
      <w:r>
        <w:rPr/>
        <w:t>3.48 g 100 g</w:t>
      </w:r>
      <w:r>
        <w:rPr>
          <w:position w:val="11"/>
          <w:sz w:val="16"/>
        </w:rPr>
        <w:t>-1</w:t>
      </w:r>
      <w:r>
        <w:rPr>
          <w:spacing w:val="13"/>
          <w:position w:val="11"/>
          <w:sz w:val="16"/>
        </w:rPr>
        <w:t> </w:t>
      </w:r>
      <w:r>
        <w:rPr/>
        <w:t>AG).</w:t>
      </w:r>
    </w:p>
    <w:p>
      <w:pPr>
        <w:pStyle w:val="BodyText"/>
        <w:spacing w:line="260" w:lineRule="exact"/>
        <w:ind w:left="512" w:firstLine="302"/>
        <w:jc w:val="both"/>
      </w:pPr>
      <w:r>
        <w:rPr/>
        <w:t>La concentración total de AGS en leche se incrementó (p ≤ 0.05) y la de AGI disminuyó</w:t>
      </w:r>
    </w:p>
    <w:p>
      <w:pPr>
        <w:pStyle w:val="BodyText"/>
      </w:pPr>
    </w:p>
    <w:p>
      <w:pPr>
        <w:pStyle w:val="BodyText"/>
        <w:spacing w:line="480" w:lineRule="auto"/>
        <w:ind w:left="512" w:right="101"/>
        <w:jc w:val="both"/>
      </w:pPr>
      <w:r>
        <w:rPr/>
        <w:t>por efecto del nivel de concentrado, algo similar a lo reportado por Bargo </w:t>
      </w:r>
      <w:r>
        <w:rPr>
          <w:i/>
        </w:rPr>
        <w:t>et al</w:t>
      </w:r>
      <w:r>
        <w:rPr/>
        <w:t>. (2006). Por la estrategia de alimentación, suministrar 3.0 kg de concentrado podría representar la producción de leche de mejor calidad por su menor concentración de AGS y su implicación</w:t>
      </w:r>
    </w:p>
    <w:p>
      <w:pPr>
        <w:spacing w:after="0" w:line="480" w:lineRule="auto"/>
        <w:jc w:val="both"/>
        <w:sectPr>
          <w:footerReference w:type="default" r:id="rId46"/>
          <w:pgSz w:w="12240" w:h="15840"/>
          <w:pgMar w:footer="1382" w:header="1150" w:top="1420" w:bottom="1580" w:left="1360" w:right="1420"/>
          <w:pgNumType w:start="111"/>
        </w:sectPr>
      </w:pPr>
    </w:p>
    <w:p>
      <w:pPr>
        <w:pStyle w:val="BodyText"/>
        <w:spacing w:before="3"/>
        <w:rPr>
          <w:sz w:val="27"/>
        </w:rPr>
      </w:pPr>
    </w:p>
    <w:p>
      <w:pPr>
        <w:pStyle w:val="BodyText"/>
        <w:spacing w:line="480" w:lineRule="auto" w:before="69"/>
        <w:ind w:left="512" w:right="110"/>
        <w:jc w:val="both"/>
      </w:pPr>
      <w:r>
        <w:rPr/>
        <w:t>como factores de riego en enfermedades cardiovasculares (Williams, 2000); además de tener mayor concentración de ácidos oleico, linolénico, vaccénico y CLA c9 t11, benéficos por su acción hipocolesteromiante (Grundy, 1994).</w:t>
      </w:r>
    </w:p>
    <w:p>
      <w:pPr>
        <w:pStyle w:val="Heading1"/>
        <w:spacing w:before="15"/>
        <w:ind w:left="521" w:right="126" w:firstLine="0"/>
        <w:jc w:val="center"/>
      </w:pPr>
      <w:r>
        <w:rPr/>
        <w:t>CONCLUSIONES</w:t>
      </w:r>
    </w:p>
    <w:p>
      <w:pPr>
        <w:pStyle w:val="BodyText"/>
        <w:spacing w:before="7"/>
        <w:rPr>
          <w:b/>
          <w:sz w:val="23"/>
        </w:rPr>
      </w:pPr>
    </w:p>
    <w:p>
      <w:pPr>
        <w:pStyle w:val="BodyText"/>
        <w:spacing w:line="480" w:lineRule="auto"/>
        <w:ind w:left="512" w:right="115" w:firstLine="302"/>
        <w:jc w:val="both"/>
      </w:pPr>
      <w:r>
        <w:rPr/>
        <w:t>Reducir el suministo de concentrado a vacas en pastoreo provocó una disminución de la producción láctea, pero mejoró el perfil de AG incrementando el contenido de los ácidos oleico, linolénico, vaccénico y CLA c9 t11, lo cual resulta en un producto más saludable para el consumidor.</w:t>
      </w:r>
    </w:p>
    <w:p>
      <w:pPr>
        <w:pStyle w:val="Heading1"/>
        <w:spacing w:before="15"/>
        <w:ind w:left="524" w:right="125" w:firstLine="0"/>
        <w:jc w:val="center"/>
      </w:pPr>
      <w:r>
        <w:rPr/>
        <w:t>LITERATURA CITADA</w:t>
      </w:r>
    </w:p>
    <w:p>
      <w:pPr>
        <w:pStyle w:val="BodyText"/>
        <w:spacing w:before="6"/>
        <w:rPr>
          <w:b/>
          <w:sz w:val="23"/>
        </w:rPr>
      </w:pPr>
    </w:p>
    <w:p>
      <w:pPr>
        <w:pStyle w:val="BodyText"/>
        <w:spacing w:line="480" w:lineRule="auto"/>
        <w:ind w:left="796" w:right="112" w:hanging="284"/>
        <w:jc w:val="both"/>
      </w:pPr>
      <w:r>
        <w:rPr/>
        <w:t>AbuGhazaleh, A. A., D. J. Schingoethe, A. R. Hippen, and E. K. Kalscheur. 2003. Milk conjugated linoleic acid response to fish oil supplementation of diets differing in fatty acids profile. J. Dairy Sci. 86: 944-953.</w:t>
      </w:r>
    </w:p>
    <w:p>
      <w:pPr>
        <w:pStyle w:val="BodyText"/>
        <w:spacing w:before="10"/>
        <w:ind w:left="512"/>
      </w:pPr>
      <w:r>
        <w:rPr/>
        <w:t>Association of Official Analytical Chemists. 1990. Official Methods of Analysis. 15th  </w:t>
      </w:r>
      <w:r>
        <w:rPr>
          <w:spacing w:val="56"/>
        </w:rPr>
        <w:t> </w:t>
      </w:r>
      <w:r>
        <w:rPr/>
        <w:t>ed.</w:t>
      </w:r>
    </w:p>
    <w:p>
      <w:pPr>
        <w:pStyle w:val="BodyText"/>
      </w:pPr>
    </w:p>
    <w:p>
      <w:pPr>
        <w:pStyle w:val="BodyText"/>
        <w:ind w:left="796"/>
        <w:jc w:val="both"/>
      </w:pPr>
      <w:r>
        <w:rPr/>
        <w:t>AOAC. Arlington. VA, USA.</w:t>
      </w:r>
    </w:p>
    <w:p>
      <w:pPr>
        <w:pStyle w:val="BodyText"/>
      </w:pPr>
    </w:p>
    <w:p>
      <w:pPr>
        <w:pStyle w:val="BodyText"/>
        <w:ind w:left="512" w:right="105"/>
      </w:pPr>
      <w:r>
        <w:rPr/>
        <w:t>Arriaga-Jordán, C. M., B. Albarrán-Portillo, A. Espinoza-Ortega, A. García-Martínez,   and</w:t>
      </w:r>
    </w:p>
    <w:p>
      <w:pPr>
        <w:pStyle w:val="BodyText"/>
      </w:pPr>
    </w:p>
    <w:p>
      <w:pPr>
        <w:pStyle w:val="BodyText"/>
        <w:spacing w:line="480" w:lineRule="auto"/>
        <w:ind w:left="796" w:right="107"/>
        <w:jc w:val="both"/>
      </w:pPr>
      <w:r>
        <w:rPr/>
        <w:t>O. </w:t>
      </w:r>
      <w:r>
        <w:rPr>
          <w:spacing w:val="-3"/>
        </w:rPr>
        <w:t>A. </w:t>
      </w:r>
      <w:r>
        <w:rPr/>
        <w:t>Castelán-Ortega. 2002. On-farm comparison of feeding strategies based on forages for small-scale Dairy production systems </w:t>
      </w:r>
      <w:r>
        <w:rPr>
          <w:spacing w:val="-3"/>
        </w:rPr>
        <w:t>in </w:t>
      </w:r>
      <w:r>
        <w:rPr/>
        <w:t>the highlands of Central Mexico. Exp.  Agric. 38:</w:t>
      </w:r>
      <w:r>
        <w:rPr>
          <w:spacing w:val="-3"/>
        </w:rPr>
        <w:t> </w:t>
      </w:r>
      <w:r>
        <w:rPr/>
        <w:t>375-388.</w:t>
      </w:r>
    </w:p>
    <w:p>
      <w:pPr>
        <w:pStyle w:val="BodyText"/>
        <w:spacing w:line="480" w:lineRule="auto" w:before="10"/>
        <w:ind w:left="796" w:right="120" w:hanging="284"/>
        <w:jc w:val="both"/>
      </w:pPr>
      <w:r>
        <w:rPr/>
        <w:t>Auldist, M. J., B. J. Walsh, and N. A. Thomson. 1998. Seasonal and lactational influences on bovine milk composition in New Zeland. J. Dairy Res. 65: 401-411.</w:t>
      </w:r>
    </w:p>
    <w:p>
      <w:pPr>
        <w:pStyle w:val="BodyText"/>
        <w:spacing w:line="480" w:lineRule="auto" w:before="10"/>
        <w:ind w:left="796" w:right="122" w:hanging="284"/>
        <w:jc w:val="both"/>
      </w:pPr>
      <w:r>
        <w:rPr/>
        <w:t>Barber, M.C., Clegg, R.A., Travers, M.T., Vernon, R.G., 1997. Lipid metabolism in the lactating mammary gland. Biochim. Biophys. Acta. 1347: 101–126.</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796" w:right="115" w:hanging="284"/>
        <w:jc w:val="both"/>
      </w:pPr>
      <w:r>
        <w:rPr/>
        <w:t>Bargo, F., J. E. Delahoy, G. F. Schroeder, and L. D. Muller. 2006. Milk fatty acid composition of dairy cows grazing at two pasture allowance and supplemented with different levels and sources of concentrate. Anim. Feed Sci. Tech. 125: 17-31.</w:t>
      </w:r>
    </w:p>
    <w:p>
      <w:pPr>
        <w:pStyle w:val="BodyText"/>
        <w:spacing w:line="480" w:lineRule="auto" w:before="10"/>
        <w:ind w:left="796" w:right="109" w:hanging="284"/>
        <w:jc w:val="both"/>
      </w:pPr>
      <w:r>
        <w:rPr/>
        <w:t>Bargo F., L. D. Muller, J. E. Delahoy, and T. W. Cassidy. 2002. Milk response to concentrate supplementation of high producing dairy cows at two pasture allowances. J. Dairy Sci. 85: 1777- 1792.</w:t>
      </w:r>
    </w:p>
    <w:p>
      <w:pPr>
        <w:pStyle w:val="BodyText"/>
        <w:spacing w:line="480" w:lineRule="auto" w:before="10"/>
        <w:ind w:left="796" w:right="121" w:hanging="284"/>
        <w:jc w:val="both"/>
      </w:pPr>
      <w:r>
        <w:rPr/>
        <w:t>Belury, M. A. 2002. Dietary conjugated linoleic acid in health: physiological effects and mechanisms of action. Annu. Rev. Nutr. 22: 505-531.</w:t>
      </w:r>
    </w:p>
    <w:p>
      <w:pPr>
        <w:pStyle w:val="BodyText"/>
        <w:spacing w:line="480" w:lineRule="auto" w:before="10"/>
        <w:ind w:left="796" w:right="110" w:hanging="284"/>
        <w:jc w:val="both"/>
      </w:pPr>
      <w:r>
        <w:rPr/>
        <w:t>Carroll, S.M., E. J. DePeters, S. J. Taylor, H. Rosenberg, H. Perez-Monti, and V. A. Capps. 2006. Milk composition of Holstein, Jersey, and Brown Swiss cows in response to increasing levels of dietary fat. Anim. Feed Sci. Tech. 131: 451-473.</w:t>
      </w:r>
    </w:p>
    <w:p>
      <w:pPr>
        <w:pStyle w:val="BodyText"/>
        <w:spacing w:line="480" w:lineRule="auto" w:before="10"/>
        <w:ind w:left="796" w:right="115" w:hanging="284"/>
        <w:jc w:val="both"/>
      </w:pPr>
      <w:r>
        <w:rPr/>
        <w:t>Chilliard Y., A. Ferlay, M. Doreau. 2001. Effect of different types of forages animal fat marine oils in cows diet on milk fat secretion and composition, especially conjugated linoleic acid (CLA) and polyunsaturated fatty acids. Livest. Prod. Sci. 70: 31-48.</w:t>
      </w:r>
    </w:p>
    <w:p>
      <w:pPr>
        <w:pStyle w:val="BodyText"/>
        <w:spacing w:line="480" w:lineRule="auto" w:before="10"/>
        <w:ind w:left="796" w:right="115" w:hanging="284"/>
        <w:jc w:val="both"/>
      </w:pPr>
      <w:r>
        <w:rPr/>
        <w:t>Chouinard, P. Y., L. Corneau, D. M. Barbano, L. E. Metzger, and D. E. Bauman. 1999. Conjugated linoleic acids alter milk fatty acid composition and inhibit milk fat secretion in dairy cows. J. Nutr. 129: 1579-1584.</w:t>
      </w:r>
    </w:p>
    <w:p>
      <w:pPr>
        <w:pStyle w:val="BodyText"/>
        <w:spacing w:line="480" w:lineRule="auto" w:before="11"/>
        <w:ind w:left="796" w:right="119" w:hanging="284"/>
        <w:jc w:val="both"/>
      </w:pPr>
      <w:r>
        <w:rPr/>
        <w:t>Christie, W. W. 1982. A simple procedure for rapid transmethylation of glycerolipids and cholesterol esters. J. Lipid Res. 23: 1072-1075.</w:t>
      </w:r>
    </w:p>
    <w:p>
      <w:pPr>
        <w:pStyle w:val="BodyText"/>
        <w:spacing w:line="480" w:lineRule="auto" w:before="10"/>
        <w:ind w:left="796" w:right="110" w:hanging="284"/>
        <w:jc w:val="both"/>
      </w:pPr>
      <w:r>
        <w:rPr/>
        <w:t>Corl, B. A., D. M. Barbano, D. E. Bauman, and C. Ip. 2003. </w:t>
      </w:r>
      <w:r>
        <w:rPr>
          <w:i/>
        </w:rPr>
        <w:t>Cis-9, trans-11 </w:t>
      </w:r>
      <w:r>
        <w:rPr/>
        <w:t>CLA derived endogenously from trans-11 18:1 reduces cancer risk in rats. J. Nutr. 133: 2893-2900.</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796" w:right="104" w:hanging="284"/>
        <w:jc w:val="both"/>
      </w:pPr>
      <w:r>
        <w:rPr/>
        <w:t>Dewhurst R. J., K. F. Shingfield., M. R. F. Lee, and N. D. Scollan. 2006. Increasing the concentrations of beneficial polyunsaturated fatty acids in milk produced by dairy cows in high-forage systems. Anim. Feed Sci.Tech. 131: 168-206.</w:t>
      </w:r>
    </w:p>
    <w:p>
      <w:pPr>
        <w:pStyle w:val="BodyText"/>
        <w:spacing w:line="480" w:lineRule="auto" w:before="10"/>
        <w:ind w:left="796" w:right="113" w:hanging="284"/>
        <w:jc w:val="both"/>
      </w:pPr>
      <w:r>
        <w:rPr/>
        <w:t>Dewhurst, R. J., N. D. Scollan, M. R. F. Lee, H. J. Ougham, and M. O. Humphreys. 2003. Forage dreading and management to increase the beneficial fatty acid content of ruminant products. Proc. Nutr. Soc. 62: 329-336.</w:t>
      </w:r>
    </w:p>
    <w:p>
      <w:pPr>
        <w:pStyle w:val="BodyText"/>
        <w:spacing w:line="480" w:lineRule="auto" w:before="10"/>
        <w:ind w:left="796" w:right="105" w:hanging="284"/>
        <w:jc w:val="both"/>
      </w:pPr>
      <w:r>
        <w:rPr/>
        <w:t>Enjalbert, F., Y. Videau, M. C. Nicot, and A. Troegeler-Meynadier. 2008. Effects of induced subacute ruminal acidosis on milk fat content and fatty acid profile. J. Anim. Physiol. Anim. Nutr. 92(3): 284-291.</w:t>
      </w:r>
    </w:p>
    <w:p>
      <w:pPr>
        <w:pStyle w:val="BodyText"/>
        <w:spacing w:line="480" w:lineRule="auto" w:before="10"/>
        <w:ind w:left="796" w:right="116" w:hanging="284"/>
        <w:jc w:val="both"/>
      </w:pPr>
      <w:r>
        <w:rPr/>
        <w:t>Feng, S., A. L. Lock, and P. C. Garnsworthy. 2004. Technical note: A rapid lipid separation method for determining fatty acid composition of milk. J. Dairy Sci. 87: 3785-3788.</w:t>
      </w:r>
    </w:p>
    <w:p>
      <w:pPr>
        <w:pStyle w:val="BodyText"/>
        <w:spacing w:line="480" w:lineRule="auto" w:before="10"/>
        <w:ind w:left="796" w:right="103" w:hanging="284"/>
        <w:jc w:val="both"/>
      </w:pPr>
      <w:r>
        <w:rPr/>
        <w:t>García, E. 1987. Modificaciones al Sistema de Clasificación Climática de Köppen. 4ª. Ed., México, D. F. 217 p.</w:t>
      </w:r>
    </w:p>
    <w:p>
      <w:pPr>
        <w:pStyle w:val="BodyText"/>
        <w:spacing w:line="480" w:lineRule="auto" w:before="10"/>
        <w:ind w:left="796" w:right="117" w:hanging="284"/>
        <w:jc w:val="both"/>
      </w:pPr>
      <w:r>
        <w:rPr/>
        <w:t>Griinari J. M., B. </w:t>
      </w:r>
      <w:r>
        <w:rPr>
          <w:spacing w:val="-3"/>
        </w:rPr>
        <w:t>A. Corl, </w:t>
      </w:r>
      <w:r>
        <w:rPr/>
        <w:t>S. H. </w:t>
      </w:r>
      <w:r>
        <w:rPr>
          <w:spacing w:val="-3"/>
        </w:rPr>
        <w:t>Lacy, </w:t>
      </w:r>
      <w:r>
        <w:rPr/>
        <w:t>P. Y. Chouniard, </w:t>
      </w:r>
      <w:r>
        <w:rPr>
          <w:spacing w:val="-3"/>
        </w:rPr>
        <w:t>K. </w:t>
      </w:r>
      <w:r>
        <w:rPr/>
        <w:t>V. V. Nurmela, and D. E. Bauman. 2000. Conjugated </w:t>
      </w:r>
      <w:r>
        <w:rPr>
          <w:spacing w:val="-3"/>
        </w:rPr>
        <w:t>linoleic </w:t>
      </w:r>
      <w:r>
        <w:rPr/>
        <w:t>acid </w:t>
      </w:r>
      <w:r>
        <w:rPr>
          <w:spacing w:val="-3"/>
        </w:rPr>
        <w:t>is </w:t>
      </w:r>
      <w:r>
        <w:rPr/>
        <w:t>synthesized endogenously </w:t>
      </w:r>
      <w:r>
        <w:rPr>
          <w:spacing w:val="-3"/>
        </w:rPr>
        <w:t>in </w:t>
      </w:r>
      <w:r>
        <w:rPr/>
        <w:t>lactating cows by delta 9-desaturase. J. Nutr. 130:</w:t>
      </w:r>
      <w:r>
        <w:rPr>
          <w:spacing w:val="-8"/>
        </w:rPr>
        <w:t> </w:t>
      </w:r>
      <w:r>
        <w:rPr/>
        <w:t>2285-2291.</w:t>
      </w:r>
    </w:p>
    <w:p>
      <w:pPr>
        <w:pStyle w:val="BodyText"/>
        <w:spacing w:line="480" w:lineRule="auto" w:before="10"/>
        <w:ind w:left="796" w:right="116" w:hanging="284"/>
        <w:jc w:val="both"/>
      </w:pPr>
      <w:r>
        <w:rPr/>
        <w:t>Grundy, S. M. 1994. Influence of stearic acid on cholesterol metabolism relative to other long-chain fatty acids. Am. J. Clin. Nutr. 60: 986-1110.</w:t>
      </w:r>
    </w:p>
    <w:p>
      <w:pPr>
        <w:pStyle w:val="BodyText"/>
        <w:spacing w:line="480" w:lineRule="auto" w:before="10"/>
        <w:ind w:left="796" w:right="106" w:hanging="284"/>
        <w:jc w:val="both"/>
      </w:pPr>
      <w:r>
        <w:rPr/>
        <w:t>Heredia-Nava, D., A. Espinoza-Ortega, C. E. González-Esquivel, and C. M. Arriaga- Jordán. 2007. Feeding strategies for small-scale Dairy systems based on perennial (</w:t>
      </w:r>
      <w:r>
        <w:rPr>
          <w:i/>
        </w:rPr>
        <w:t>Lolium perenne</w:t>
      </w:r>
      <w:r>
        <w:rPr/>
        <w:t>) ryegrass in the central highlands of Mexico. Trop. Anim. Health Pro. 39: 179-188.</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796" w:right="111" w:hanging="284"/>
        <w:jc w:val="both"/>
      </w:pPr>
      <w:r>
        <w:rPr/>
        <w:t>INEGI. 2003. </w:t>
      </w:r>
      <w:r>
        <w:rPr>
          <w:spacing w:val="-3"/>
        </w:rPr>
        <w:t>Anuario </w:t>
      </w:r>
      <w:r>
        <w:rPr/>
        <w:t>Estadístico. México. Gobierno del Estado de México. Mexico. 230  p.</w:t>
      </w:r>
    </w:p>
    <w:p>
      <w:pPr>
        <w:pStyle w:val="BodyText"/>
        <w:spacing w:line="480" w:lineRule="auto" w:before="10"/>
        <w:ind w:left="796" w:right="110" w:hanging="284"/>
        <w:jc w:val="both"/>
      </w:pPr>
      <w:r>
        <w:rPr/>
        <w:t>Ip, C., S. Banni, E. Angioni, G. Carta, J. McGinley, H. J. Thompson, B. Barbano, and D. E. Bauman. 1999. Conjugated linoleic acid-enriched butterfat alters mammary gland morphogenesis and reduces cancer risk in rats. J. Nutr. 129: 2135-2142.</w:t>
      </w:r>
    </w:p>
    <w:p>
      <w:pPr>
        <w:pStyle w:val="BodyText"/>
        <w:spacing w:line="480" w:lineRule="auto" w:before="10"/>
        <w:ind w:left="796" w:right="112" w:hanging="284"/>
        <w:jc w:val="both"/>
      </w:pPr>
      <w:r>
        <w:rPr/>
        <w:t>Kelly, M. L., E. S. Kolver, D. E. Bauman, M. E. Van Amburgh, and L. D. Muller. 1998. Effect of intake of pasture on concentrations of conjugated linoleic acid in milk of lactating cows. J. Dairy Sci. 81: 1630-1636.</w:t>
      </w:r>
    </w:p>
    <w:p>
      <w:pPr>
        <w:pStyle w:val="BodyText"/>
        <w:spacing w:line="480" w:lineRule="auto" w:before="10"/>
        <w:ind w:left="796" w:right="101" w:hanging="284"/>
        <w:jc w:val="both"/>
      </w:pPr>
      <w:r>
        <w:rPr/>
        <w:t>Khanal, R. C., T. R. Dhiman, D. J. McMahon, and R. L. Boman. 2002. Influence of diet on conjugated linoleic acid content of milk, cheese and blood serum. J. Dairy Sci.  85 (Suppl. 1): 356 (Abstr.).</w:t>
      </w:r>
    </w:p>
    <w:p>
      <w:pPr>
        <w:pStyle w:val="BodyText"/>
        <w:spacing w:line="480" w:lineRule="auto" w:before="10"/>
        <w:ind w:left="796" w:right="106" w:hanging="284"/>
        <w:jc w:val="both"/>
      </w:pPr>
      <w:r>
        <w:rPr/>
        <w:t>Lathamn, M. J., J. E. Stony, and M. E. Sharpe. 1972. Effect of low-roughage diets on the rumen and lipid metabolism in the rumen. Appl. Microbiol. 24 (6): 871-877.</w:t>
      </w:r>
    </w:p>
    <w:p>
      <w:pPr>
        <w:pStyle w:val="BodyText"/>
        <w:spacing w:line="480" w:lineRule="auto" w:before="10"/>
        <w:ind w:left="796" w:right="100" w:hanging="284"/>
        <w:jc w:val="both"/>
      </w:pPr>
      <w:r>
        <w:rPr/>
        <w:t>Lock, A. L., and K. J. Shingfield. 2004. Optimizing milk composition. </w:t>
      </w:r>
      <w:r>
        <w:rPr>
          <w:i/>
        </w:rPr>
        <w:t>In</w:t>
      </w:r>
      <w:r>
        <w:rPr/>
        <w:t>: Dairying -Using Science to Meet Consumer´s Needs. Kebreab E. Mills J. Beever DE. (eds.). Loughborough, UK. Occ. Pub. No. 29, Brit. Soc. Anim. Sci. Nottingham University Press. 107-188 pp.</w:t>
      </w:r>
    </w:p>
    <w:p>
      <w:pPr>
        <w:pStyle w:val="BodyText"/>
        <w:spacing w:line="480" w:lineRule="auto" w:before="11"/>
        <w:ind w:left="796" w:right="119" w:hanging="284"/>
        <w:jc w:val="both"/>
      </w:pPr>
      <w:r>
        <w:rPr/>
        <w:t>Lock, A. L., and P. C. Garnsworthy. 2003. Seasonal variation in milk conjugated linoleic acid and delta (9)- desaturase activity in Dairy cows. Livest. Prod. Sci. 79: 47-59.</w:t>
      </w:r>
    </w:p>
    <w:p>
      <w:pPr>
        <w:pStyle w:val="BodyText"/>
        <w:spacing w:line="480" w:lineRule="auto" w:before="10"/>
        <w:ind w:left="796" w:right="103" w:hanging="284"/>
        <w:jc w:val="both"/>
      </w:pPr>
      <w:r>
        <w:rPr/>
        <w:t>Menke, </w:t>
      </w:r>
      <w:r>
        <w:rPr>
          <w:spacing w:val="-3"/>
        </w:rPr>
        <w:t>K. </w:t>
      </w:r>
      <w:r>
        <w:rPr/>
        <w:t>H., and H. Steingass. 1988. Estimation of the energetic </w:t>
      </w:r>
      <w:r>
        <w:rPr>
          <w:spacing w:val="-3"/>
        </w:rPr>
        <w:t>feed </w:t>
      </w:r>
      <w:r>
        <w:rPr/>
        <w:t>value from  chemical analysis and </w:t>
      </w:r>
      <w:r>
        <w:rPr>
          <w:i/>
        </w:rPr>
        <w:t>in vitro </w:t>
      </w:r>
      <w:r>
        <w:rPr/>
        <w:t>gas production using rumen fluid. Animal Research and Development. 28:</w:t>
      </w:r>
      <w:r>
        <w:rPr>
          <w:spacing w:val="-5"/>
        </w:rPr>
        <w:t> </w:t>
      </w:r>
      <w:r>
        <w:rPr/>
        <w:t>7-55.</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796" w:right="106" w:hanging="284"/>
        <w:jc w:val="both"/>
      </w:pPr>
      <w:r>
        <w:rPr/>
        <w:t>Morales-Almaráz, E., </w:t>
      </w:r>
      <w:r>
        <w:rPr>
          <w:spacing w:val="-3"/>
        </w:rPr>
        <w:t>A. </w:t>
      </w:r>
      <w:r>
        <w:rPr/>
        <w:t>Soldado, </w:t>
      </w:r>
      <w:r>
        <w:rPr>
          <w:spacing w:val="-3"/>
        </w:rPr>
        <w:t>A. </w:t>
      </w:r>
      <w:r>
        <w:rPr/>
        <w:t>González, </w:t>
      </w:r>
      <w:r>
        <w:rPr>
          <w:spacing w:val="-3"/>
        </w:rPr>
        <w:t>A. </w:t>
      </w:r>
      <w:r>
        <w:rPr/>
        <w:t>Martínez-Fernández, I. Domínguez- Vara. B. de </w:t>
      </w:r>
      <w:r>
        <w:rPr>
          <w:spacing w:val="-5"/>
        </w:rPr>
        <w:t>la </w:t>
      </w:r>
      <w:r>
        <w:rPr/>
        <w:t>Roza-Delgado, and F. Vicente. 2010. Improving the fatty acid profile of dairy cow </w:t>
      </w:r>
      <w:r>
        <w:rPr>
          <w:spacing w:val="-3"/>
        </w:rPr>
        <w:t>milk </w:t>
      </w:r>
      <w:r>
        <w:rPr/>
        <w:t>by combining grazing with feeding on total </w:t>
      </w:r>
      <w:r>
        <w:rPr>
          <w:spacing w:val="-3"/>
        </w:rPr>
        <w:t>mixed </w:t>
      </w:r>
      <w:r>
        <w:rPr/>
        <w:t>ration. J. Dairy Res. 77 (2):</w:t>
      </w:r>
      <w:r>
        <w:rPr>
          <w:spacing w:val="-2"/>
        </w:rPr>
        <w:t> </w:t>
      </w:r>
      <w:r>
        <w:rPr/>
        <w:t>225-230.</w:t>
      </w:r>
    </w:p>
    <w:p>
      <w:pPr>
        <w:pStyle w:val="BodyText"/>
        <w:spacing w:line="480" w:lineRule="auto" w:before="10"/>
        <w:ind w:left="796" w:right="124" w:hanging="284"/>
        <w:jc w:val="both"/>
      </w:pPr>
      <w:r>
        <w:rPr/>
        <w:t>NRC. 2001. Nutrient requirements of dairy cattle. 7th rev. The National Academy Press, Washington, DC. USA. 292 p.</w:t>
      </w:r>
    </w:p>
    <w:p>
      <w:pPr>
        <w:pStyle w:val="BodyText"/>
        <w:spacing w:line="480" w:lineRule="auto" w:before="10"/>
        <w:ind w:left="796" w:right="108" w:hanging="284"/>
        <w:jc w:val="both"/>
      </w:pPr>
      <w:r>
        <w:rPr/>
        <w:t>Nielsen T. S., E. M. Straarup, M. Vestergaard, and </w:t>
      </w:r>
      <w:r>
        <w:rPr>
          <w:spacing w:val="-3"/>
        </w:rPr>
        <w:t>K. </w:t>
      </w:r>
      <w:r>
        <w:rPr/>
        <w:t>Sejrsen. 2006. Effect of silage type and concentrate level on conjugated linoleic acids, trans-C18:1 isomers and fat content  </w:t>
      </w:r>
      <w:r>
        <w:rPr>
          <w:spacing w:val="-3"/>
        </w:rPr>
        <w:t>in </w:t>
      </w:r>
      <w:r>
        <w:rPr/>
        <w:t>milk from dairy cows. Repr. Nutr. Dev. 46:</w:t>
      </w:r>
      <w:r>
        <w:rPr>
          <w:spacing w:val="-7"/>
        </w:rPr>
        <w:t> </w:t>
      </w:r>
      <w:r>
        <w:rPr/>
        <w:t>699-712.</w:t>
      </w:r>
    </w:p>
    <w:p>
      <w:pPr>
        <w:pStyle w:val="BodyText"/>
        <w:spacing w:line="480" w:lineRule="auto" w:before="10"/>
        <w:ind w:left="796" w:right="107" w:hanging="284"/>
        <w:jc w:val="both"/>
      </w:pPr>
      <w:r>
        <w:rPr/>
        <w:t>Ntambi, J. M., and M. Miyazaki. 2004. Regulation of stearoyl-CoA desaturases and role in metabolism. Prog. Lipid Res. 43: 91-104.</w:t>
      </w:r>
    </w:p>
    <w:p>
      <w:pPr>
        <w:pStyle w:val="BodyText"/>
        <w:spacing w:line="480" w:lineRule="auto" w:before="10"/>
        <w:ind w:left="796" w:right="114" w:hanging="284"/>
        <w:jc w:val="both"/>
      </w:pPr>
      <w:r>
        <w:rPr/>
        <w:t>Palmquist, D. L., and T. C. Jenkins. 2003. Challenges with fats and fatty acid methods. J. Anim. Sci. 81: 3250-3254.</w:t>
      </w:r>
    </w:p>
    <w:p>
      <w:pPr>
        <w:pStyle w:val="BodyText"/>
        <w:spacing w:line="480" w:lineRule="auto" w:before="10"/>
        <w:ind w:left="796" w:right="106" w:hanging="284"/>
        <w:jc w:val="both"/>
      </w:pPr>
      <w:r>
        <w:rPr/>
        <w:t>Peterson, </w:t>
      </w:r>
      <w:r>
        <w:rPr>
          <w:spacing w:val="-3"/>
        </w:rPr>
        <w:t>D. </w:t>
      </w:r>
      <w:r>
        <w:rPr/>
        <w:t>G., J. </w:t>
      </w:r>
      <w:r>
        <w:rPr>
          <w:spacing w:val="-3"/>
        </w:rPr>
        <w:t>A. Kelsey, </w:t>
      </w:r>
      <w:r>
        <w:rPr/>
        <w:t>and D. E. Bauman. 2002. Analysis of variation </w:t>
      </w:r>
      <w:r>
        <w:rPr>
          <w:spacing w:val="-3"/>
        </w:rPr>
        <w:t>in </w:t>
      </w:r>
      <w:r>
        <w:rPr/>
        <w:t>cis9, trans11 conjugated linoleic acid (CLA) </w:t>
      </w:r>
      <w:r>
        <w:rPr>
          <w:spacing w:val="-3"/>
        </w:rPr>
        <w:t>in </w:t>
      </w:r>
      <w:r>
        <w:rPr/>
        <w:t>milk </w:t>
      </w:r>
      <w:r>
        <w:rPr>
          <w:spacing w:val="-3"/>
        </w:rPr>
        <w:t>fat </w:t>
      </w:r>
      <w:r>
        <w:rPr/>
        <w:t>of dairy cows. J. Dairy Sci. 85: </w:t>
      </w:r>
      <w:r>
        <w:rPr>
          <w:spacing w:val="2"/>
        </w:rPr>
        <w:t>2164- </w:t>
      </w:r>
      <w:r>
        <w:rPr/>
        <w:t>2172.</w:t>
      </w:r>
    </w:p>
    <w:p>
      <w:pPr>
        <w:pStyle w:val="BodyText"/>
        <w:spacing w:line="480" w:lineRule="auto" w:before="10"/>
        <w:ind w:left="796" w:right="104" w:hanging="284"/>
        <w:jc w:val="both"/>
      </w:pPr>
      <w:r>
        <w:rPr/>
        <w:t>Statistical Analysis System (SAS). 2002. Software (V.9.0). User's Guide. N.C., USA. </w:t>
      </w:r>
      <w:r>
        <w:rPr>
          <w:spacing w:val="4"/>
        </w:rPr>
        <w:t>315 </w:t>
      </w:r>
      <w:r>
        <w:rPr/>
        <w:t>p.</w:t>
      </w:r>
    </w:p>
    <w:p>
      <w:pPr>
        <w:pStyle w:val="BodyText"/>
        <w:spacing w:line="480" w:lineRule="auto" w:before="10"/>
        <w:ind w:left="796" w:right="109" w:hanging="284"/>
        <w:jc w:val="both"/>
      </w:pPr>
      <w:r>
        <w:rPr/>
        <w:t>Shingfield, K., C. Reynolds, B. Lupoli, V. Tolvonet, </w:t>
      </w:r>
      <w:r>
        <w:rPr>
          <w:spacing w:val="-4"/>
        </w:rPr>
        <w:t>M. </w:t>
      </w:r>
      <w:r>
        <w:rPr/>
        <w:t>Yurawecz, P. Delmonte, J. Griinari, </w:t>
      </w:r>
      <w:r>
        <w:rPr>
          <w:spacing w:val="-3"/>
        </w:rPr>
        <w:t>A. </w:t>
      </w:r>
      <w:r>
        <w:rPr/>
        <w:t>Grandison, and D. Beever. 2005. </w:t>
      </w:r>
      <w:r>
        <w:rPr>
          <w:spacing w:val="-3"/>
        </w:rPr>
        <w:t>Effect </w:t>
      </w:r>
      <w:r>
        <w:rPr/>
        <w:t>of forage type and proportion of concentrate </w:t>
      </w:r>
      <w:r>
        <w:rPr>
          <w:spacing w:val="-5"/>
        </w:rPr>
        <w:t>in </w:t>
      </w:r>
      <w:r>
        <w:rPr/>
        <w:t>the diet on </w:t>
      </w:r>
      <w:r>
        <w:rPr>
          <w:spacing w:val="-3"/>
        </w:rPr>
        <w:t>milk </w:t>
      </w:r>
      <w:r>
        <w:rPr/>
        <w:t>fatty acid composition </w:t>
      </w:r>
      <w:r>
        <w:rPr>
          <w:spacing w:val="-3"/>
        </w:rPr>
        <w:t>in </w:t>
      </w:r>
      <w:r>
        <w:rPr/>
        <w:t>cow given sunflower oil </w:t>
      </w:r>
      <w:r>
        <w:rPr>
          <w:spacing w:val="3"/>
        </w:rPr>
        <w:t>and</w:t>
      </w:r>
      <w:r>
        <w:rPr>
          <w:spacing w:val="66"/>
        </w:rPr>
        <w:t> </w:t>
      </w:r>
      <w:r>
        <w:rPr/>
        <w:t>fish oil. Anim Sci. 80:</w:t>
      </w:r>
      <w:r>
        <w:rPr>
          <w:spacing w:val="-8"/>
        </w:rPr>
        <w:t> </w:t>
      </w:r>
      <w:r>
        <w:rPr/>
        <w:t>225-238.</w:t>
      </w:r>
    </w:p>
    <w:p>
      <w:pPr>
        <w:spacing w:after="0" w:line="480" w:lineRule="auto"/>
        <w:jc w:val="both"/>
        <w:sectPr>
          <w:pgSz w:w="12240" w:h="15840"/>
          <w:pgMar w:header="1150" w:footer="1382" w:top="1420" w:bottom="1580" w:left="1360" w:right="1420"/>
        </w:sectPr>
      </w:pPr>
    </w:p>
    <w:p>
      <w:pPr>
        <w:pStyle w:val="BodyText"/>
        <w:spacing w:before="3"/>
        <w:rPr>
          <w:sz w:val="27"/>
        </w:rPr>
      </w:pPr>
    </w:p>
    <w:p>
      <w:pPr>
        <w:pStyle w:val="BodyText"/>
        <w:spacing w:line="480" w:lineRule="auto" w:before="69"/>
        <w:ind w:left="796" w:right="114" w:hanging="284"/>
        <w:jc w:val="both"/>
      </w:pPr>
      <w:r>
        <w:rPr/>
        <w:t>Steel, R. G. D., J. </w:t>
      </w:r>
      <w:r>
        <w:rPr>
          <w:spacing w:val="-3"/>
        </w:rPr>
        <w:t>H. </w:t>
      </w:r>
      <w:r>
        <w:rPr/>
        <w:t>Torrie, and D. </w:t>
      </w:r>
      <w:r>
        <w:rPr>
          <w:spacing w:val="-3"/>
        </w:rPr>
        <w:t>A. </w:t>
      </w:r>
      <w:r>
        <w:rPr/>
        <w:t>Dickey. 1997. Principles and Procedures of Statistics: A Biometrical Approach. 3rd ed. McGraw-Hill Series </w:t>
      </w:r>
      <w:r>
        <w:rPr>
          <w:spacing w:val="-3"/>
        </w:rPr>
        <w:t>in </w:t>
      </w:r>
      <w:r>
        <w:rPr/>
        <w:t>Probability and Statistics. USA. 622</w:t>
      </w:r>
      <w:r>
        <w:rPr>
          <w:spacing w:val="-6"/>
        </w:rPr>
        <w:t> </w:t>
      </w:r>
      <w:r>
        <w:rPr/>
        <w:t>p.</w:t>
      </w:r>
    </w:p>
    <w:p>
      <w:pPr>
        <w:pStyle w:val="BodyText"/>
        <w:spacing w:line="480" w:lineRule="auto" w:before="10"/>
        <w:ind w:left="796" w:right="111" w:hanging="284"/>
        <w:jc w:val="both"/>
      </w:pPr>
      <w:r>
        <w:rPr/>
        <w:t>Stockdale, C. R., G. P. Waler, W. J. Wales, D. E. Dalley, A. Birkett, Z. Shen, and P. T. Doley. 2003. Influence of pasture and concentrates in the diet of grazing dairy cows on the fatty acid composition of milk. J. Dairy Res. 70: 267-276.</w:t>
      </w:r>
    </w:p>
    <w:p>
      <w:pPr>
        <w:pStyle w:val="BodyText"/>
        <w:spacing w:line="480" w:lineRule="auto" w:before="10"/>
        <w:ind w:left="796" w:right="106" w:hanging="284"/>
        <w:jc w:val="both"/>
      </w:pPr>
      <w:r>
        <w:rPr/>
        <w:t>Sukhija, P. S., and D. L. Palmquist. 1988. Rapid method for determination </w:t>
      </w:r>
      <w:r>
        <w:rPr>
          <w:spacing w:val="4"/>
        </w:rPr>
        <w:t>of </w:t>
      </w:r>
      <w:r>
        <w:rPr/>
        <w:t>total fatty acid content and composition of feedstuffs and feces. J. Agr. Food </w:t>
      </w:r>
      <w:r>
        <w:rPr>
          <w:spacing w:val="-3"/>
        </w:rPr>
        <w:t>Chem. </w:t>
      </w:r>
      <w:r>
        <w:rPr/>
        <w:t>36: </w:t>
      </w:r>
      <w:r>
        <w:rPr>
          <w:spacing w:val="2"/>
        </w:rPr>
        <w:t>1202- </w:t>
      </w:r>
      <w:r>
        <w:rPr/>
        <w:t>1206.</w:t>
      </w:r>
    </w:p>
    <w:p>
      <w:pPr>
        <w:pStyle w:val="BodyText"/>
        <w:spacing w:line="480" w:lineRule="auto" w:before="10"/>
        <w:ind w:left="796" w:right="107" w:hanging="284"/>
        <w:jc w:val="both"/>
      </w:pPr>
      <w:r>
        <w:rPr/>
        <w:t>Van Soest, P. J., J. B. Robertson, and B. A. Lewis. 1991. Methods of dietary, neutral detergent fiber and non starch polysaccharides in relation to animal nutrition. J. Dairy Sci. 74: 3583-3597.</w:t>
      </w:r>
    </w:p>
    <w:p>
      <w:pPr>
        <w:pStyle w:val="BodyText"/>
        <w:spacing w:line="480" w:lineRule="auto" w:before="10"/>
        <w:ind w:left="796" w:right="117" w:hanging="284"/>
        <w:jc w:val="both"/>
      </w:pPr>
      <w:r>
        <w:rPr/>
        <w:t>Wijesundera, C., Z. Shen, W. J. Wales, and D. E. Dalley. 2003. Effect of cereal grain and fibers supplements on the fatty acid composition of milk fat of grazing dairy cows in early lactation. J. Dairy Res. 70: 257-265.</w:t>
      </w:r>
    </w:p>
    <w:p>
      <w:pPr>
        <w:pStyle w:val="BodyText"/>
        <w:spacing w:before="10"/>
        <w:ind w:left="512" w:right="105"/>
      </w:pPr>
      <w:r>
        <w:rPr/>
        <w:t>Williams, S. M. 2000. Dietary fatty acids and human health. Ann. Zootech. 49: 165-180.</w:t>
      </w:r>
    </w:p>
    <w:p>
      <w:pPr>
        <w:spacing w:after="0"/>
        <w:sectPr>
          <w:pgSz w:w="12240" w:h="15840"/>
          <w:pgMar w:header="1150" w:footer="1382" w:top="1420" w:bottom="1580" w:left="1360" w:right="1420"/>
        </w:sectPr>
      </w:pPr>
    </w:p>
    <w:p>
      <w:pPr>
        <w:pStyle w:val="BodyText"/>
        <w:spacing w:before="8"/>
        <w:rPr>
          <w:sz w:val="27"/>
        </w:rPr>
      </w:pPr>
    </w:p>
    <w:p>
      <w:pPr>
        <w:pStyle w:val="Heading1"/>
        <w:spacing w:line="360" w:lineRule="auto"/>
        <w:ind w:left="792" w:right="374" w:firstLine="0"/>
      </w:pPr>
      <w:r>
        <w:rPr/>
        <w:t>Anexo 2. Resumen en Congreso XL Reunión de la Asociación Mexicana para la producción Animal y Seguridad Alimentaria, A. C. (AMPA).</w:t>
      </w:r>
    </w:p>
    <w:p>
      <w:pPr>
        <w:pStyle w:val="BodyText"/>
        <w:rPr>
          <w:b/>
          <w:sz w:val="20"/>
        </w:rPr>
      </w:pPr>
    </w:p>
    <w:p>
      <w:pPr>
        <w:pStyle w:val="BodyText"/>
        <w:spacing w:before="8"/>
        <w:rPr>
          <w:b/>
          <w:sz w:val="12"/>
        </w:rPr>
      </w:pPr>
      <w:r>
        <w:rPr/>
        <w:drawing>
          <wp:anchor distT="0" distB="0" distL="0" distR="0" allowOverlap="1" layoutInCell="1" locked="0" behindDoc="0" simplePos="0" relativeHeight="1888">
            <wp:simplePos x="0" y="0"/>
            <wp:positionH relativeFrom="page">
              <wp:posOffset>752475</wp:posOffset>
            </wp:positionH>
            <wp:positionV relativeFrom="paragraph">
              <wp:posOffset>117853</wp:posOffset>
            </wp:positionV>
            <wp:extent cx="6465517" cy="5924169"/>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47" cstate="print"/>
                    <a:stretch>
                      <a:fillRect/>
                    </a:stretch>
                  </pic:blipFill>
                  <pic:spPr>
                    <a:xfrm>
                      <a:off x="0" y="0"/>
                      <a:ext cx="6465517" cy="5924169"/>
                    </a:xfrm>
                    <a:prstGeom prst="rect">
                      <a:avLst/>
                    </a:prstGeom>
                  </pic:spPr>
                </pic:pic>
              </a:graphicData>
            </a:graphic>
          </wp:anchor>
        </w:drawing>
      </w:r>
    </w:p>
    <w:p>
      <w:pPr>
        <w:spacing w:after="0"/>
        <w:rPr>
          <w:sz w:val="12"/>
        </w:rPr>
        <w:sectPr>
          <w:pgSz w:w="12240" w:h="15840"/>
          <w:pgMar w:header="1150" w:footer="1382" w:top="1420" w:bottom="1580" w:left="1080" w:right="740"/>
        </w:sectPr>
      </w:pPr>
    </w:p>
    <w:p>
      <w:pPr>
        <w:pStyle w:val="BodyText"/>
        <w:spacing w:before="9" w:after="1"/>
        <w:rPr>
          <w:sz w:val="23"/>
        </w:rPr>
      </w:pPr>
      <w:r>
        <w:rPr/>
        <w:pict>
          <v:shape style="position:absolute;margin-left:82.800003pt;margin-top:84.890938pt;width:419.1pt;height:347.1pt;mso-position-horizontal-relative:page;mso-position-vertical-relative:page;z-index:-157408" type="#_x0000_t202" filled="false" stroked="false">
            <v:textbox inset="0,0,0,0">
              <w:txbxContent>
                <w:p>
                  <w:pPr>
                    <w:spacing w:before="118"/>
                    <w:ind w:left="216" w:right="0" w:firstLine="0"/>
                    <w:jc w:val="left"/>
                    <w:rPr>
                      <w:rFonts w:ascii="Calibri"/>
                      <w:sz w:val="22"/>
                    </w:rPr>
                  </w:pPr>
                  <w:r>
                    <w:rPr>
                      <w:rFonts w:ascii="Calibri"/>
                      <w:w w:val="100"/>
                      <w:sz w:val="22"/>
                    </w:rPr>
                    <w:t>|</w:t>
                  </w:r>
                </w:p>
              </w:txbxContent>
            </v:textbox>
            <w10:wrap type="none"/>
          </v:shape>
        </w:pict>
      </w:r>
    </w:p>
    <w:p>
      <w:pPr>
        <w:pStyle w:val="BodyText"/>
        <w:ind w:left="296"/>
        <w:rPr>
          <w:sz w:val="20"/>
        </w:rPr>
      </w:pPr>
      <w:r>
        <w:rPr>
          <w:sz w:val="20"/>
        </w:rPr>
        <w:drawing>
          <wp:inline distT="0" distB="0" distL="0" distR="0">
            <wp:extent cx="5314448" cy="4401312"/>
            <wp:effectExtent l="0" t="0" r="0" b="0"/>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48" cstate="print"/>
                    <a:stretch>
                      <a:fillRect/>
                    </a:stretch>
                  </pic:blipFill>
                  <pic:spPr>
                    <a:xfrm>
                      <a:off x="0" y="0"/>
                      <a:ext cx="5314448" cy="4401312"/>
                    </a:xfrm>
                    <a:prstGeom prst="rect">
                      <a:avLst/>
                    </a:prstGeom>
                  </pic:spPr>
                </pic:pic>
              </a:graphicData>
            </a:graphic>
          </wp:inline>
        </w:drawing>
      </w:r>
      <w:r>
        <w:rPr>
          <w:sz w:val="20"/>
        </w:rPr>
      </w:r>
    </w:p>
    <w:p>
      <w:pPr>
        <w:spacing w:after="0"/>
        <w:rPr>
          <w:sz w:val="20"/>
        </w:rPr>
        <w:sectPr>
          <w:pgSz w:w="12240" w:h="15840"/>
          <w:pgMar w:header="1150" w:footer="1382" w:top="1420" w:bottom="1580" w:left="1360" w:right="1420"/>
        </w:sectPr>
      </w:pPr>
    </w:p>
    <w:p>
      <w:pPr>
        <w:pStyle w:val="BodyText"/>
        <w:rPr>
          <w:sz w:val="20"/>
        </w:rPr>
      </w:pPr>
    </w:p>
    <w:p>
      <w:pPr>
        <w:pStyle w:val="BodyText"/>
        <w:spacing w:before="11"/>
        <w:rPr>
          <w:sz w:val="13"/>
        </w:rPr>
      </w:pPr>
    </w:p>
    <w:p>
      <w:pPr>
        <w:pStyle w:val="BodyText"/>
        <w:ind w:left="511"/>
        <w:rPr>
          <w:sz w:val="20"/>
        </w:rPr>
      </w:pPr>
      <w:r>
        <w:rPr>
          <w:sz w:val="20"/>
        </w:rPr>
        <w:drawing>
          <wp:inline distT="0" distB="0" distL="0" distR="0">
            <wp:extent cx="5403662" cy="7805261"/>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50" cstate="print"/>
                    <a:stretch>
                      <a:fillRect/>
                    </a:stretch>
                  </pic:blipFill>
                  <pic:spPr>
                    <a:xfrm>
                      <a:off x="0" y="0"/>
                      <a:ext cx="5403662" cy="7805261"/>
                    </a:xfrm>
                    <a:prstGeom prst="rect">
                      <a:avLst/>
                    </a:prstGeom>
                  </pic:spPr>
                </pic:pic>
              </a:graphicData>
            </a:graphic>
          </wp:inline>
        </w:drawing>
      </w:r>
      <w:r>
        <w:rPr>
          <w:sz w:val="20"/>
        </w:rPr>
      </w:r>
    </w:p>
    <w:p>
      <w:pPr>
        <w:spacing w:after="0"/>
        <w:rPr>
          <w:sz w:val="20"/>
        </w:rPr>
        <w:sectPr>
          <w:footerReference w:type="default" r:id="rId49"/>
          <w:pgSz w:w="12240" w:h="15840"/>
          <w:pgMar w:footer="1382" w:header="1150" w:top="1420" w:bottom="1580" w:left="1360" w:right="1420"/>
        </w:sectPr>
      </w:pPr>
    </w:p>
    <w:p>
      <w:pPr>
        <w:pStyle w:val="BodyText"/>
        <w:spacing w:before="6"/>
        <w:rPr>
          <w:sz w:val="4"/>
        </w:rPr>
      </w:pPr>
    </w:p>
    <w:p>
      <w:pPr>
        <w:pStyle w:val="BodyText"/>
        <w:ind w:left="107"/>
        <w:rPr>
          <w:sz w:val="20"/>
        </w:rPr>
      </w:pPr>
      <w:r>
        <w:rPr>
          <w:sz w:val="20"/>
        </w:rPr>
        <w:pict>
          <v:group style="width:462pt;height:626.2pt;mso-position-horizontal-relative:char;mso-position-vertical-relative:line" coordorigin="0,0" coordsize="9240,12524">
            <v:line style="position:absolute" from="8,8" to="9233,8" stroked="true" strokeweight=".75pt" strokecolor="#000000"/>
            <v:shape style="position:absolute;left:234;top:10;width:8640;height:12513" type="#_x0000_t75" stroked="false">
              <v:imagedata r:id="rId53" o:title=""/>
            </v:shape>
          </v:group>
        </w:pict>
      </w:r>
      <w:r>
        <w:rPr>
          <w:sz w:val="20"/>
        </w:rPr>
      </w:r>
    </w:p>
    <w:p>
      <w:pPr>
        <w:spacing w:after="0"/>
        <w:rPr>
          <w:sz w:val="20"/>
        </w:rPr>
        <w:sectPr>
          <w:headerReference w:type="default" r:id="rId51"/>
          <w:footerReference w:type="default" r:id="rId52"/>
          <w:pgSz w:w="12240" w:h="15840"/>
          <w:pgMar w:header="1150" w:footer="1382" w:top="1340" w:bottom="1580" w:left="1360" w:right="1420"/>
          <w:pgNumType w:start="121"/>
        </w:sectPr>
      </w:pPr>
    </w:p>
    <w:p>
      <w:pPr>
        <w:pStyle w:val="BodyText"/>
        <w:spacing w:after="1"/>
        <w:rPr>
          <w:sz w:val="26"/>
        </w:rPr>
      </w:pPr>
    </w:p>
    <w:p>
      <w:pPr>
        <w:pStyle w:val="BodyText"/>
        <w:ind w:left="500"/>
        <w:rPr>
          <w:sz w:val="20"/>
        </w:rPr>
      </w:pPr>
      <w:r>
        <w:rPr>
          <w:sz w:val="20"/>
        </w:rPr>
        <w:drawing>
          <wp:inline distT="0" distB="0" distL="0" distR="0">
            <wp:extent cx="5373268" cy="7873555"/>
            <wp:effectExtent l="0" t="0" r="0" b="0"/>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55" cstate="print"/>
                    <a:stretch>
                      <a:fillRect/>
                    </a:stretch>
                  </pic:blipFill>
                  <pic:spPr>
                    <a:xfrm>
                      <a:off x="0" y="0"/>
                      <a:ext cx="5373268" cy="7873555"/>
                    </a:xfrm>
                    <a:prstGeom prst="rect">
                      <a:avLst/>
                    </a:prstGeom>
                  </pic:spPr>
                </pic:pic>
              </a:graphicData>
            </a:graphic>
          </wp:inline>
        </w:drawing>
      </w:r>
      <w:r>
        <w:rPr>
          <w:sz w:val="20"/>
        </w:rPr>
      </w:r>
    </w:p>
    <w:p>
      <w:pPr>
        <w:spacing w:after="0"/>
        <w:rPr>
          <w:sz w:val="20"/>
        </w:rPr>
        <w:sectPr>
          <w:headerReference w:type="default" r:id="rId54"/>
          <w:pgSz w:w="12240" w:h="15840"/>
          <w:pgMar w:header="1150" w:footer="1382" w:top="1420" w:bottom="1580" w:left="1360" w:right="1420"/>
        </w:sectPr>
      </w:pPr>
    </w:p>
    <w:p>
      <w:pPr>
        <w:pStyle w:val="BodyText"/>
        <w:spacing w:before="5"/>
        <w:rPr>
          <w:sz w:val="4"/>
        </w:rPr>
      </w:pPr>
    </w:p>
    <w:p>
      <w:pPr>
        <w:pStyle w:val="BodyText"/>
        <w:ind w:left="125"/>
        <w:rPr>
          <w:sz w:val="20"/>
        </w:rPr>
      </w:pPr>
      <w:r>
        <w:rPr>
          <w:sz w:val="20"/>
        </w:rPr>
        <w:drawing>
          <wp:inline distT="0" distB="0" distL="0" distR="0">
            <wp:extent cx="6025890" cy="7926133"/>
            <wp:effectExtent l="0" t="0" r="0" b="0"/>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56" cstate="print"/>
                    <a:stretch>
                      <a:fillRect/>
                    </a:stretch>
                  </pic:blipFill>
                  <pic:spPr>
                    <a:xfrm>
                      <a:off x="0" y="0"/>
                      <a:ext cx="6025890" cy="7926133"/>
                    </a:xfrm>
                    <a:prstGeom prst="rect">
                      <a:avLst/>
                    </a:prstGeom>
                  </pic:spPr>
                </pic:pic>
              </a:graphicData>
            </a:graphic>
          </wp:inline>
        </w:drawing>
      </w:r>
      <w:r>
        <w:rPr>
          <w:sz w:val="20"/>
        </w:rPr>
      </w:r>
    </w:p>
    <w:p>
      <w:pPr>
        <w:spacing w:after="0"/>
        <w:rPr>
          <w:sz w:val="20"/>
        </w:rPr>
        <w:sectPr>
          <w:pgSz w:w="12240" w:h="15840"/>
          <w:pgMar w:header="1150" w:footer="1382" w:top="1420" w:bottom="1580" w:left="1360" w:right="1140"/>
        </w:sectPr>
      </w:pPr>
    </w:p>
    <w:p>
      <w:pPr>
        <w:pStyle w:val="BodyText"/>
        <w:spacing w:before="6"/>
        <w:rPr>
          <w:sz w:val="4"/>
        </w:rPr>
      </w:pPr>
    </w:p>
    <w:p>
      <w:pPr>
        <w:pStyle w:val="BodyText"/>
        <w:ind w:left="107"/>
        <w:rPr>
          <w:sz w:val="20"/>
        </w:rPr>
      </w:pPr>
      <w:r>
        <w:rPr>
          <w:sz w:val="20"/>
        </w:rPr>
        <w:pict>
          <v:group style="width:462pt;height:642.1pt;mso-position-horizontal-relative:char;mso-position-vertical-relative:line" coordorigin="0,0" coordsize="9240,12842">
            <v:line style="position:absolute" from="8,8" to="9233,8" stroked="true" strokeweight=".75pt" strokecolor="#000000"/>
            <v:shape style="position:absolute;left:33;top:31;width:9059;height:12810" type="#_x0000_t75" stroked="false">
              <v:imagedata r:id="rId58" o:title=""/>
            </v:shape>
          </v:group>
        </w:pict>
      </w:r>
      <w:r>
        <w:rPr>
          <w:sz w:val="20"/>
        </w:rPr>
      </w:r>
    </w:p>
    <w:p>
      <w:pPr>
        <w:spacing w:after="0"/>
        <w:rPr>
          <w:sz w:val="20"/>
        </w:rPr>
        <w:sectPr>
          <w:headerReference w:type="default" r:id="rId57"/>
          <w:pgSz w:w="12240" w:h="15840"/>
          <w:pgMar w:header="1150" w:footer="1382" w:top="1340" w:bottom="1580" w:left="1360" w:right="1420"/>
        </w:sectPr>
      </w:pPr>
    </w:p>
    <w:p>
      <w:pPr>
        <w:pStyle w:val="BodyText"/>
        <w:spacing w:before="5"/>
        <w:rPr>
          <w:sz w:val="14"/>
        </w:rPr>
      </w:pPr>
    </w:p>
    <w:p>
      <w:pPr>
        <w:pStyle w:val="BodyText"/>
        <w:ind w:left="140"/>
        <w:rPr>
          <w:sz w:val="20"/>
        </w:rPr>
      </w:pPr>
      <w:r>
        <w:rPr>
          <w:sz w:val="20"/>
        </w:rPr>
        <w:drawing>
          <wp:inline distT="0" distB="0" distL="0" distR="0">
            <wp:extent cx="5726119" cy="8020621"/>
            <wp:effectExtent l="0" t="0" r="0" b="0"/>
            <wp:docPr id="23" name="image17.png" descr=""/>
            <wp:cNvGraphicFramePr>
              <a:graphicFrameLocks noChangeAspect="1"/>
            </wp:cNvGraphicFramePr>
            <a:graphic>
              <a:graphicData uri="http://schemas.openxmlformats.org/drawingml/2006/picture">
                <pic:pic>
                  <pic:nvPicPr>
                    <pic:cNvPr id="24" name="image17.png"/>
                    <pic:cNvPicPr/>
                  </pic:nvPicPr>
                  <pic:blipFill>
                    <a:blip r:embed="rId60" cstate="print"/>
                    <a:stretch>
                      <a:fillRect/>
                    </a:stretch>
                  </pic:blipFill>
                  <pic:spPr>
                    <a:xfrm>
                      <a:off x="0" y="0"/>
                      <a:ext cx="5726119" cy="8020621"/>
                    </a:xfrm>
                    <a:prstGeom prst="rect">
                      <a:avLst/>
                    </a:prstGeom>
                  </pic:spPr>
                </pic:pic>
              </a:graphicData>
            </a:graphic>
          </wp:inline>
        </w:drawing>
      </w:r>
      <w:r>
        <w:rPr>
          <w:sz w:val="20"/>
        </w:rPr>
      </w:r>
    </w:p>
    <w:p>
      <w:pPr>
        <w:spacing w:after="0"/>
        <w:rPr>
          <w:sz w:val="20"/>
        </w:rPr>
        <w:sectPr>
          <w:headerReference w:type="default" r:id="rId59"/>
          <w:pgSz w:w="12240" w:h="15840"/>
          <w:pgMar w:header="1150" w:footer="1382" w:top="1420" w:bottom="1580" w:left="1360" w:right="1420"/>
        </w:sectPr>
      </w:pPr>
    </w:p>
    <w:p>
      <w:pPr>
        <w:pStyle w:val="BodyText"/>
        <w:spacing w:before="1"/>
        <w:rPr>
          <w:sz w:val="17"/>
        </w:rPr>
      </w:pPr>
    </w:p>
    <w:p>
      <w:pPr>
        <w:pStyle w:val="BodyText"/>
        <w:ind w:left="110"/>
        <w:rPr>
          <w:sz w:val="20"/>
        </w:rPr>
      </w:pPr>
      <w:r>
        <w:rPr>
          <w:sz w:val="20"/>
        </w:rPr>
        <w:drawing>
          <wp:inline distT="0" distB="0" distL="0" distR="0">
            <wp:extent cx="6079793" cy="7974330"/>
            <wp:effectExtent l="0" t="0" r="0" b="0"/>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61" cstate="print"/>
                    <a:stretch>
                      <a:fillRect/>
                    </a:stretch>
                  </pic:blipFill>
                  <pic:spPr>
                    <a:xfrm>
                      <a:off x="0" y="0"/>
                      <a:ext cx="6079793" cy="7974330"/>
                    </a:xfrm>
                    <a:prstGeom prst="rect">
                      <a:avLst/>
                    </a:prstGeom>
                  </pic:spPr>
                </pic:pic>
              </a:graphicData>
            </a:graphic>
          </wp:inline>
        </w:drawing>
      </w:r>
      <w:r>
        <w:rPr>
          <w:sz w:val="20"/>
        </w:rPr>
      </w:r>
    </w:p>
    <w:p>
      <w:pPr>
        <w:spacing w:after="0"/>
        <w:rPr>
          <w:sz w:val="20"/>
        </w:rPr>
        <w:sectPr>
          <w:pgSz w:w="12240" w:h="15840"/>
          <w:pgMar w:header="1150" w:footer="1382" w:top="1420" w:bottom="1580" w:left="1060" w:right="1380"/>
        </w:sectPr>
      </w:pPr>
    </w:p>
    <w:p>
      <w:pPr>
        <w:pStyle w:val="BodyText"/>
        <w:spacing w:before="6"/>
        <w:rPr>
          <w:sz w:val="14"/>
        </w:rPr>
      </w:pPr>
    </w:p>
    <w:p>
      <w:pPr>
        <w:pStyle w:val="BodyText"/>
        <w:ind w:left="140"/>
        <w:rPr>
          <w:sz w:val="20"/>
        </w:rPr>
      </w:pPr>
      <w:r>
        <w:rPr>
          <w:sz w:val="20"/>
        </w:rPr>
        <w:drawing>
          <wp:inline distT="0" distB="0" distL="0" distR="0">
            <wp:extent cx="5615720" cy="7926133"/>
            <wp:effectExtent l="0" t="0" r="0" b="0"/>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62" cstate="print"/>
                    <a:stretch>
                      <a:fillRect/>
                    </a:stretch>
                  </pic:blipFill>
                  <pic:spPr>
                    <a:xfrm>
                      <a:off x="0" y="0"/>
                      <a:ext cx="5615720" cy="7926133"/>
                    </a:xfrm>
                    <a:prstGeom prst="rect">
                      <a:avLst/>
                    </a:prstGeom>
                  </pic:spPr>
                </pic:pic>
              </a:graphicData>
            </a:graphic>
          </wp:inline>
        </w:drawing>
      </w:r>
      <w:r>
        <w:rPr>
          <w:sz w:val="20"/>
        </w:rPr>
      </w:r>
    </w:p>
    <w:sectPr>
      <w:pgSz w:w="12240" w:h="15840"/>
      <w:pgMar w:header="1150" w:footer="1382" w:top="1420" w:bottom="1580" w:left="136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MS Mincho">
    <w:altName w:val="MS Mincho"/>
    <w:charset w:val="0"/>
    <w:family w:val="modern"/>
    <w:pitch w:val="fixed"/>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79993pt;margin-top:711.895996pt;width:16.8pt;height:13.05pt;mso-position-horizontal-relative:page;mso-position-vertical-relative:page;z-index:-158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8008"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7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7960"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7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7912"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7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7816"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7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7696"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7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820007pt;margin-top:711.895996pt;width:14.2pt;height:13.05pt;mso-position-horizontal-relative:page;mso-position-vertical-relative:page;z-index:-158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7648"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7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711.895996pt;width:18.6pt;height:13.05pt;mso-position-horizontal-relative:page;mso-position-vertical-relative:page;z-index:-157600"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711.895996pt;width:20.6pt;height:13.05pt;mso-position-horizontal-relative:page;mso-position-vertical-relative:page;z-index:-157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711.895996pt;width:18.6pt;height:13.05pt;mso-position-horizontal-relative:page;mso-position-vertical-relative:page;z-index:-157432"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711.895996pt;width:20.6pt;height:13.05pt;mso-position-horizontal-relative:page;mso-position-vertical-relative:page;z-index:-157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711.895996pt;width:18.6pt;height:13.05pt;mso-position-horizontal-relative:page;mso-position-vertical-relative:page;z-index:-157384"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711.895996pt;width:20.6pt;height:13.05pt;mso-position-horizontal-relative:page;mso-position-vertical-relative:page;z-index:-157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11.895996pt;width:9.6pt;height:13.05pt;mso-position-horizontal-relative:page;mso-position-vertical-relative:page;z-index:-158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8152"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15pt;height:13.05pt;mso-position-horizontal-relative:page;mso-position-vertical-relative:page;z-index:-158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8104"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8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158056"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158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8296" from="73.75pt,67.050003pt" to="535pt,67.050003pt" stroked="true" strokeweight="1.5pt" strokecolor="#000000">
          <w10:wrap type="none"/>
        </v:line>
      </w:pict>
    </w:r>
    <w:r>
      <w:rPr/>
      <w:pict>
        <v:line style="position:absolute;mso-position-horizontal-relative:page;mso-position-vertical-relative:page;z-index:-158272" from="73.75pt,70.800003pt" to="535pt,70.800003pt" stroked="true" strokeweight=".75pt" strokecolor="#000000">
          <w10:wrap type="none"/>
        </v:line>
      </w:pict>
    </w:r>
    <w:r>
      <w:rPr/>
      <w:pict>
        <v:shapetype id="_x0000_t202" o:spt="202" coordsize="21600,21600" path="m,l,21600r21600,l21600,xe">
          <v:stroke joinstyle="miter"/>
          <v:path gradientshapeok="t" o:connecttype="rect"/>
        </v:shapetype>
        <v:shape style="position:absolute;margin-left:427.089996pt;margin-top:56.486984pt;width:109.6pt;height:9.950pt;mso-position-horizontal-relative:page;mso-position-vertical-relative:page;z-index:-158248"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864" from="73.75pt,67.050003pt" to="535pt,67.050003pt" stroked="true" strokeweight="1.5pt" strokecolor="#000000">
          <w10:wrap type="none"/>
        </v:line>
      </w:pict>
    </w:r>
    <w:r>
      <w:rPr/>
      <w:pict>
        <v:shape style="position:absolute;margin-left:427.089996pt;margin-top:56.486984pt;width:109.6pt;height:9.950pt;mso-position-horizontal-relative:page;mso-position-vertical-relative:page;z-index:-157840"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792" from="73.75pt,67.050003pt" to="535pt,67.050003pt" stroked="true" strokeweight="1.5pt" strokecolor="#000000">
          <w10:wrap type="none"/>
        </v:line>
      </w:pict>
    </w:r>
    <w:r>
      <w:rPr/>
      <w:pict>
        <v:line style="position:absolute;mso-position-horizontal-relative:page;mso-position-vertical-relative:page;z-index:-157768" from="73.75pt,70.800003pt" to="535pt,70.800003pt" stroked="true" strokeweight=".75pt" strokecolor="#000000">
          <w10:wrap type="none"/>
        </v:line>
      </w:pict>
    </w:r>
    <w:r>
      <w:rPr/>
      <w:pict>
        <v:shape style="position:absolute;margin-left:427.089996pt;margin-top:56.486984pt;width:109.6pt;height:9.950pt;mso-position-horizontal-relative:page;mso-position-vertical-relative:page;z-index:-157744"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552" from="73.75pt,67.050003pt" to="535pt,67.050003pt" stroked="true" strokeweight="1.5pt" strokecolor="#000000">
          <w10:wrap type="none"/>
        </v:line>
      </w:pict>
    </w:r>
    <w:r>
      <w:rPr/>
      <w:pict>
        <v:shape style="position:absolute;margin-left:427.089996pt;margin-top:56.486984pt;width:109.6pt;height:9.950pt;mso-position-horizontal-relative:page;mso-position-vertical-relative:page;z-index:-157528"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504" from="73.75pt,67.050003pt" to="535pt,67.050003pt" stroked="true" strokeweight="1.5pt" strokecolor="#000000">
          <w10:wrap type="none"/>
        </v:line>
      </w:pict>
    </w:r>
    <w:r>
      <w:rPr/>
      <w:pict>
        <v:line style="position:absolute;mso-position-horizontal-relative:page;mso-position-vertical-relative:page;z-index:-157480" from="73.75pt,70.800003pt" to="535pt,70.800003pt" stroked="true" strokeweight=".75pt" strokecolor="#000000">
          <w10:wrap type="none"/>
        </v:line>
      </w:pict>
    </w:r>
    <w:r>
      <w:rPr/>
      <w:pict>
        <v:shape style="position:absolute;margin-left:427.089996pt;margin-top:56.486984pt;width:109.6pt;height:9.950pt;mso-position-horizontal-relative:page;mso-position-vertical-relative:page;z-index:-157456"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360" from="73.75pt,67.050003pt" to="535pt,67.050003pt" stroked="true" strokeweight="1.5pt" strokecolor="#000000">
          <w10:wrap type="none"/>
        </v:line>
      </w:pict>
    </w:r>
    <w:r>
      <w:rPr/>
      <w:pict>
        <v:shape style="position:absolute;margin-left:427.089996pt;margin-top:56.486984pt;width:109.6pt;height:9.950pt;mso-position-horizontal-relative:page;mso-position-vertical-relative:page;z-index:-157336"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288" from="73.75pt,67.050003pt" to="535pt,67.050003pt" stroked="true" strokeweight="1.5pt" strokecolor="#000000">
          <w10:wrap type="none"/>
        </v:line>
      </w:pict>
    </w:r>
    <w:r>
      <w:rPr/>
      <w:pict>
        <v:line style="position:absolute;mso-position-horizontal-relative:page;mso-position-vertical-relative:page;z-index:-157264" from="73.75pt,70.800003pt" to="535pt,70.800003pt" stroked="true" strokeweight=".75pt" strokecolor="#000000">
          <w10:wrap type="none"/>
        </v:line>
      </w:pict>
    </w:r>
    <w:r>
      <w:rPr/>
      <w:pict>
        <v:shape style="position:absolute;margin-left:427.089996pt;margin-top:56.486984pt;width:109.6pt;height:9.950pt;mso-position-horizontal-relative:page;mso-position-vertical-relative:page;z-index:-157240"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216" from="73.75pt,67.050003pt" to="535pt,67.050003pt" stroked="true" strokeweight="1.5pt" strokecolor="#000000">
          <w10:wrap type="none"/>
        </v:line>
      </w:pict>
    </w:r>
    <w:r>
      <w:rPr/>
      <w:pict>
        <v:shape style="position:absolute;margin-left:427.089996pt;margin-top:56.486984pt;width:109.6pt;height:9.950pt;mso-position-horizontal-relative:page;mso-position-vertical-relative:page;z-index:-157192"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168" from="73.75pt,67.050003pt" to="535pt,67.050003pt" stroked="true" strokeweight="1.5pt" strokecolor="#000000">
          <w10:wrap type="none"/>
        </v:line>
      </w:pict>
    </w:r>
    <w:r>
      <w:rPr/>
      <w:pict>
        <v:line style="position:absolute;mso-position-horizontal-relative:page;mso-position-vertical-relative:page;z-index:-157144" from="73.75pt,70.800003pt" to="535pt,70.800003pt" stroked="true" strokeweight=".75pt" strokecolor="#000000">
          <w10:wrap type="none"/>
        </v:line>
      </w:pict>
    </w:r>
    <w:r>
      <w:rPr/>
      <w:pict>
        <v:shape style="position:absolute;margin-left:427.089996pt;margin-top:56.486984pt;width:109.6pt;height:9.950pt;mso-position-horizontal-relative:page;mso-position-vertical-relative:page;z-index:-157120" type="#_x0000_t202" filled="false" stroked="false">
          <v:textbox inset="0,0,0,0">
            <w:txbxContent>
              <w:p>
                <w:pPr>
                  <w:spacing w:line="182" w:lineRule="exact" w:before="0"/>
                  <w:ind w:left="20" w:right="0" w:firstLine="0"/>
                  <w:jc w:val="left"/>
                  <w:rPr>
                    <w:i/>
                    <w:sz w:val="16"/>
                  </w:rPr>
                </w:pPr>
                <w:r>
                  <w:rPr>
                    <w:i/>
                    <w:sz w:val="16"/>
                  </w:rPr>
                  <w:t>MVZ. Horacio Castro Hernández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decimal"/>
      <w:lvlText w:val="%1."/>
      <w:lvlJc w:val="left"/>
      <w:pPr>
        <w:ind w:left="1233" w:hanging="360"/>
        <w:jc w:val="left"/>
      </w:pPr>
      <w:rPr>
        <w:rFonts w:hint="default" w:ascii="Times New Roman" w:hAnsi="Times New Roman" w:eastAsia="Times New Roman" w:cs="Times New Roman"/>
        <w:b/>
        <w:bCs/>
        <w:spacing w:val="-5"/>
        <w:w w:val="99"/>
        <w:sz w:val="24"/>
        <w:szCs w:val="24"/>
      </w:rPr>
    </w:lvl>
    <w:lvl w:ilvl="1">
      <w:start w:val="1"/>
      <w:numFmt w:val="bullet"/>
      <w:lvlText w:val="•"/>
      <w:lvlJc w:val="left"/>
      <w:pPr>
        <w:ind w:left="2070" w:hanging="360"/>
      </w:pPr>
      <w:rPr>
        <w:rFonts w:hint="default"/>
      </w:rPr>
    </w:lvl>
    <w:lvl w:ilvl="2">
      <w:start w:val="1"/>
      <w:numFmt w:val="bullet"/>
      <w:lvlText w:val="•"/>
      <w:lvlJc w:val="left"/>
      <w:pPr>
        <w:ind w:left="2900" w:hanging="360"/>
      </w:pPr>
      <w:rPr>
        <w:rFonts w:hint="default"/>
      </w:rPr>
    </w:lvl>
    <w:lvl w:ilvl="3">
      <w:start w:val="1"/>
      <w:numFmt w:val="bullet"/>
      <w:lvlText w:val="•"/>
      <w:lvlJc w:val="left"/>
      <w:pPr>
        <w:ind w:left="3730" w:hanging="360"/>
      </w:pPr>
      <w:rPr>
        <w:rFonts w:hint="default"/>
      </w:rPr>
    </w:lvl>
    <w:lvl w:ilvl="4">
      <w:start w:val="1"/>
      <w:numFmt w:val="bullet"/>
      <w:lvlText w:val="•"/>
      <w:lvlJc w:val="left"/>
      <w:pPr>
        <w:ind w:left="4560" w:hanging="360"/>
      </w:pPr>
      <w:rPr>
        <w:rFonts w:hint="default"/>
      </w:rPr>
    </w:lvl>
    <w:lvl w:ilvl="5">
      <w:start w:val="1"/>
      <w:numFmt w:val="bullet"/>
      <w:lvlText w:val="•"/>
      <w:lvlJc w:val="left"/>
      <w:pPr>
        <w:ind w:left="5390" w:hanging="360"/>
      </w:pPr>
      <w:rPr>
        <w:rFonts w:hint="default"/>
      </w:rPr>
    </w:lvl>
    <w:lvl w:ilvl="6">
      <w:start w:val="1"/>
      <w:numFmt w:val="bullet"/>
      <w:lvlText w:val="•"/>
      <w:lvlJc w:val="left"/>
      <w:pPr>
        <w:ind w:left="6220" w:hanging="360"/>
      </w:pPr>
      <w:rPr>
        <w:rFonts w:hint="default"/>
      </w:rPr>
    </w:lvl>
    <w:lvl w:ilvl="7">
      <w:start w:val="1"/>
      <w:numFmt w:val="bullet"/>
      <w:lvlText w:val="•"/>
      <w:lvlJc w:val="left"/>
      <w:pPr>
        <w:ind w:left="7050" w:hanging="360"/>
      </w:pPr>
      <w:rPr>
        <w:rFonts w:hint="default"/>
      </w:rPr>
    </w:lvl>
    <w:lvl w:ilvl="8">
      <w:start w:val="1"/>
      <w:numFmt w:val="bullet"/>
      <w:lvlText w:val="•"/>
      <w:lvlJc w:val="left"/>
      <w:pPr>
        <w:ind w:left="7880" w:hanging="360"/>
      </w:pPr>
      <w:rPr>
        <w:rFonts w:hint="default"/>
      </w:rPr>
    </w:lvl>
  </w:abstractNum>
  <w:abstractNum w:abstractNumId="11">
    <w:multiLevelType w:val="hybridMultilevel"/>
    <w:lvl w:ilvl="0">
      <w:start w:val="1"/>
      <w:numFmt w:val="decimal"/>
      <w:lvlText w:val="%1)"/>
      <w:lvlJc w:val="left"/>
      <w:pPr>
        <w:ind w:left="512" w:hanging="346"/>
        <w:jc w:val="left"/>
      </w:pPr>
      <w:rPr>
        <w:rFonts w:hint="default" w:ascii="Times New Roman" w:hAnsi="Times New Roman" w:eastAsia="Times New Roman" w:cs="Times New Roman"/>
        <w:spacing w:val="-30"/>
        <w:w w:val="99"/>
        <w:sz w:val="24"/>
        <w:szCs w:val="24"/>
      </w:rPr>
    </w:lvl>
    <w:lvl w:ilvl="1">
      <w:start w:val="1"/>
      <w:numFmt w:val="lowerLetter"/>
      <w:lvlText w:val="%2)"/>
      <w:lvlJc w:val="left"/>
      <w:pPr>
        <w:ind w:left="1472" w:hanging="250"/>
        <w:jc w:val="left"/>
      </w:pPr>
      <w:rPr>
        <w:rFonts w:hint="default" w:ascii="Times New Roman" w:hAnsi="Times New Roman" w:eastAsia="Times New Roman" w:cs="Times New Roman"/>
        <w:spacing w:val="-1"/>
        <w:w w:val="100"/>
        <w:sz w:val="24"/>
        <w:szCs w:val="24"/>
      </w:rPr>
    </w:lvl>
    <w:lvl w:ilvl="2">
      <w:start w:val="1"/>
      <w:numFmt w:val="bullet"/>
      <w:lvlText w:val="•"/>
      <w:lvlJc w:val="left"/>
      <w:pPr>
        <w:ind w:left="2366" w:hanging="250"/>
      </w:pPr>
      <w:rPr>
        <w:rFonts w:hint="default"/>
      </w:rPr>
    </w:lvl>
    <w:lvl w:ilvl="3">
      <w:start w:val="1"/>
      <w:numFmt w:val="bullet"/>
      <w:lvlText w:val="•"/>
      <w:lvlJc w:val="left"/>
      <w:pPr>
        <w:ind w:left="3253" w:hanging="250"/>
      </w:pPr>
      <w:rPr>
        <w:rFonts w:hint="default"/>
      </w:rPr>
    </w:lvl>
    <w:lvl w:ilvl="4">
      <w:start w:val="1"/>
      <w:numFmt w:val="bullet"/>
      <w:lvlText w:val="•"/>
      <w:lvlJc w:val="left"/>
      <w:pPr>
        <w:ind w:left="4140" w:hanging="250"/>
      </w:pPr>
      <w:rPr>
        <w:rFonts w:hint="default"/>
      </w:rPr>
    </w:lvl>
    <w:lvl w:ilvl="5">
      <w:start w:val="1"/>
      <w:numFmt w:val="bullet"/>
      <w:lvlText w:val="•"/>
      <w:lvlJc w:val="left"/>
      <w:pPr>
        <w:ind w:left="5026" w:hanging="250"/>
      </w:pPr>
      <w:rPr>
        <w:rFonts w:hint="default"/>
      </w:rPr>
    </w:lvl>
    <w:lvl w:ilvl="6">
      <w:start w:val="1"/>
      <w:numFmt w:val="bullet"/>
      <w:lvlText w:val="•"/>
      <w:lvlJc w:val="left"/>
      <w:pPr>
        <w:ind w:left="5913" w:hanging="250"/>
      </w:pPr>
      <w:rPr>
        <w:rFonts w:hint="default"/>
      </w:rPr>
    </w:lvl>
    <w:lvl w:ilvl="7">
      <w:start w:val="1"/>
      <w:numFmt w:val="bullet"/>
      <w:lvlText w:val="•"/>
      <w:lvlJc w:val="left"/>
      <w:pPr>
        <w:ind w:left="6800" w:hanging="250"/>
      </w:pPr>
      <w:rPr>
        <w:rFonts w:hint="default"/>
      </w:rPr>
    </w:lvl>
    <w:lvl w:ilvl="8">
      <w:start w:val="1"/>
      <w:numFmt w:val="bullet"/>
      <w:lvlText w:val="•"/>
      <w:lvlJc w:val="left"/>
      <w:pPr>
        <w:ind w:left="7686" w:hanging="250"/>
      </w:pPr>
      <w:rPr>
        <w:rFonts w:hint="default"/>
      </w:rPr>
    </w:lvl>
  </w:abstractNum>
  <w:abstractNum w:abstractNumId="10">
    <w:multiLevelType w:val="hybridMultilevel"/>
    <w:lvl w:ilvl="0">
      <w:start w:val="1"/>
      <w:numFmt w:val="decimal"/>
      <w:lvlText w:val="%1."/>
      <w:lvlJc w:val="left"/>
      <w:pPr>
        <w:ind w:left="1233" w:hanging="360"/>
        <w:jc w:val="left"/>
      </w:pPr>
      <w:rPr>
        <w:rFonts w:hint="default" w:ascii="Times New Roman" w:hAnsi="Times New Roman" w:eastAsia="Times New Roman" w:cs="Times New Roman"/>
        <w:b/>
        <w:bCs/>
        <w:spacing w:val="-7"/>
        <w:w w:val="99"/>
        <w:sz w:val="24"/>
        <w:szCs w:val="24"/>
      </w:rPr>
    </w:lvl>
    <w:lvl w:ilvl="1">
      <w:start w:val="1"/>
      <w:numFmt w:val="bullet"/>
      <w:lvlText w:val="•"/>
      <w:lvlJc w:val="left"/>
      <w:pPr>
        <w:ind w:left="2062" w:hanging="360"/>
      </w:pPr>
      <w:rPr>
        <w:rFonts w:hint="default"/>
      </w:rPr>
    </w:lvl>
    <w:lvl w:ilvl="2">
      <w:start w:val="1"/>
      <w:numFmt w:val="bullet"/>
      <w:lvlText w:val="•"/>
      <w:lvlJc w:val="left"/>
      <w:pPr>
        <w:ind w:left="2884" w:hanging="360"/>
      </w:pPr>
      <w:rPr>
        <w:rFonts w:hint="default"/>
      </w:rPr>
    </w:lvl>
    <w:lvl w:ilvl="3">
      <w:start w:val="1"/>
      <w:numFmt w:val="bullet"/>
      <w:lvlText w:val="•"/>
      <w:lvlJc w:val="left"/>
      <w:pPr>
        <w:ind w:left="3706" w:hanging="360"/>
      </w:pPr>
      <w:rPr>
        <w:rFonts w:hint="default"/>
      </w:rPr>
    </w:lvl>
    <w:lvl w:ilvl="4">
      <w:start w:val="1"/>
      <w:numFmt w:val="bullet"/>
      <w:lvlText w:val="•"/>
      <w:lvlJc w:val="left"/>
      <w:pPr>
        <w:ind w:left="4528" w:hanging="360"/>
      </w:pPr>
      <w:rPr>
        <w:rFonts w:hint="default"/>
      </w:rPr>
    </w:lvl>
    <w:lvl w:ilvl="5">
      <w:start w:val="1"/>
      <w:numFmt w:val="bullet"/>
      <w:lvlText w:val="•"/>
      <w:lvlJc w:val="left"/>
      <w:pPr>
        <w:ind w:left="535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6994" w:hanging="360"/>
      </w:pPr>
      <w:rPr>
        <w:rFonts w:hint="default"/>
      </w:rPr>
    </w:lvl>
    <w:lvl w:ilvl="8">
      <w:start w:val="1"/>
      <w:numFmt w:val="bullet"/>
      <w:lvlText w:val="•"/>
      <w:lvlJc w:val="left"/>
      <w:pPr>
        <w:ind w:left="7816" w:hanging="360"/>
      </w:pPr>
      <w:rPr>
        <w:rFonts w:hint="default"/>
      </w:rPr>
    </w:lvl>
  </w:abstractNum>
  <w:abstractNum w:abstractNumId="9">
    <w:multiLevelType w:val="hybridMultilevel"/>
    <w:lvl w:ilvl="0">
      <w:start w:val="6"/>
      <w:numFmt w:val="upperRoman"/>
      <w:lvlText w:val="%1."/>
      <w:lvlJc w:val="left"/>
      <w:pPr>
        <w:ind w:left="512" w:hanging="687"/>
        <w:jc w:val="right"/>
      </w:pPr>
      <w:rPr>
        <w:rFonts w:hint="default" w:ascii="Times New Roman" w:hAnsi="Times New Roman" w:eastAsia="Times New Roman" w:cs="Times New Roman"/>
        <w:b/>
        <w:bCs/>
        <w:spacing w:val="-3"/>
        <w:w w:val="99"/>
        <w:sz w:val="24"/>
        <w:szCs w:val="24"/>
      </w:rPr>
    </w:lvl>
    <w:lvl w:ilvl="1">
      <w:start w:val="1"/>
      <w:numFmt w:val="bullet"/>
      <w:lvlText w:val="•"/>
      <w:lvlJc w:val="left"/>
      <w:pPr>
        <w:ind w:left="1414" w:hanging="687"/>
      </w:pPr>
      <w:rPr>
        <w:rFonts w:hint="default"/>
      </w:rPr>
    </w:lvl>
    <w:lvl w:ilvl="2">
      <w:start w:val="1"/>
      <w:numFmt w:val="bullet"/>
      <w:lvlText w:val="•"/>
      <w:lvlJc w:val="left"/>
      <w:pPr>
        <w:ind w:left="2308" w:hanging="687"/>
      </w:pPr>
      <w:rPr>
        <w:rFonts w:hint="default"/>
      </w:rPr>
    </w:lvl>
    <w:lvl w:ilvl="3">
      <w:start w:val="1"/>
      <w:numFmt w:val="bullet"/>
      <w:lvlText w:val="•"/>
      <w:lvlJc w:val="left"/>
      <w:pPr>
        <w:ind w:left="3202" w:hanging="687"/>
      </w:pPr>
      <w:rPr>
        <w:rFonts w:hint="default"/>
      </w:rPr>
    </w:lvl>
    <w:lvl w:ilvl="4">
      <w:start w:val="1"/>
      <w:numFmt w:val="bullet"/>
      <w:lvlText w:val="•"/>
      <w:lvlJc w:val="left"/>
      <w:pPr>
        <w:ind w:left="4096" w:hanging="687"/>
      </w:pPr>
      <w:rPr>
        <w:rFonts w:hint="default"/>
      </w:rPr>
    </w:lvl>
    <w:lvl w:ilvl="5">
      <w:start w:val="1"/>
      <w:numFmt w:val="bullet"/>
      <w:lvlText w:val="•"/>
      <w:lvlJc w:val="left"/>
      <w:pPr>
        <w:ind w:left="4990" w:hanging="687"/>
      </w:pPr>
      <w:rPr>
        <w:rFonts w:hint="default"/>
      </w:rPr>
    </w:lvl>
    <w:lvl w:ilvl="6">
      <w:start w:val="1"/>
      <w:numFmt w:val="bullet"/>
      <w:lvlText w:val="•"/>
      <w:lvlJc w:val="left"/>
      <w:pPr>
        <w:ind w:left="5884" w:hanging="687"/>
      </w:pPr>
      <w:rPr>
        <w:rFonts w:hint="default"/>
      </w:rPr>
    </w:lvl>
    <w:lvl w:ilvl="7">
      <w:start w:val="1"/>
      <w:numFmt w:val="bullet"/>
      <w:lvlText w:val="•"/>
      <w:lvlJc w:val="left"/>
      <w:pPr>
        <w:ind w:left="6778" w:hanging="687"/>
      </w:pPr>
      <w:rPr>
        <w:rFonts w:hint="default"/>
      </w:rPr>
    </w:lvl>
    <w:lvl w:ilvl="8">
      <w:start w:val="1"/>
      <w:numFmt w:val="bullet"/>
      <w:lvlText w:val="•"/>
      <w:lvlJc w:val="left"/>
      <w:pPr>
        <w:ind w:left="7672" w:hanging="687"/>
      </w:pPr>
      <w:rPr>
        <w:rFonts w:hint="default"/>
      </w:rPr>
    </w:lvl>
  </w:abstractNum>
  <w:abstractNum w:abstractNumId="8">
    <w:multiLevelType w:val="hybridMultilevel"/>
    <w:lvl w:ilvl="0">
      <w:start w:val="1"/>
      <w:numFmt w:val="decimal"/>
      <w:lvlText w:val="%1."/>
      <w:lvlJc w:val="left"/>
      <w:pPr>
        <w:ind w:left="1233" w:hanging="360"/>
        <w:jc w:val="left"/>
      </w:pPr>
      <w:rPr>
        <w:rFonts w:hint="default" w:ascii="Times New Roman" w:hAnsi="Times New Roman" w:eastAsia="Times New Roman" w:cs="Times New Roman"/>
        <w:b/>
        <w:bCs/>
        <w:spacing w:val="-6"/>
        <w:w w:val="99"/>
        <w:sz w:val="24"/>
        <w:szCs w:val="24"/>
      </w:rPr>
    </w:lvl>
    <w:lvl w:ilvl="1">
      <w:start w:val="1"/>
      <w:numFmt w:val="decimal"/>
      <w:lvlText w:val="%1.%2."/>
      <w:lvlJc w:val="left"/>
      <w:pPr>
        <w:ind w:left="1607" w:hanging="423"/>
        <w:jc w:val="left"/>
      </w:pPr>
      <w:rPr>
        <w:rFonts w:hint="default" w:ascii="Times New Roman" w:hAnsi="Times New Roman" w:eastAsia="Times New Roman" w:cs="Times New Roman"/>
        <w:b/>
        <w:bCs/>
        <w:spacing w:val="-28"/>
        <w:w w:val="99"/>
        <w:sz w:val="24"/>
        <w:szCs w:val="24"/>
      </w:rPr>
    </w:lvl>
    <w:lvl w:ilvl="2">
      <w:start w:val="1"/>
      <w:numFmt w:val="bullet"/>
      <w:lvlText w:val="•"/>
      <w:lvlJc w:val="left"/>
      <w:pPr>
        <w:ind w:left="2473" w:hanging="423"/>
      </w:pPr>
      <w:rPr>
        <w:rFonts w:hint="default"/>
      </w:rPr>
    </w:lvl>
    <w:lvl w:ilvl="3">
      <w:start w:val="1"/>
      <w:numFmt w:val="bullet"/>
      <w:lvlText w:val="•"/>
      <w:lvlJc w:val="left"/>
      <w:pPr>
        <w:ind w:left="3346" w:hanging="423"/>
      </w:pPr>
      <w:rPr>
        <w:rFonts w:hint="default"/>
      </w:rPr>
    </w:lvl>
    <w:lvl w:ilvl="4">
      <w:start w:val="1"/>
      <w:numFmt w:val="bullet"/>
      <w:lvlText w:val="•"/>
      <w:lvlJc w:val="left"/>
      <w:pPr>
        <w:ind w:left="4220" w:hanging="423"/>
      </w:pPr>
      <w:rPr>
        <w:rFonts w:hint="default"/>
      </w:rPr>
    </w:lvl>
    <w:lvl w:ilvl="5">
      <w:start w:val="1"/>
      <w:numFmt w:val="bullet"/>
      <w:lvlText w:val="•"/>
      <w:lvlJc w:val="left"/>
      <w:pPr>
        <w:ind w:left="5093" w:hanging="423"/>
      </w:pPr>
      <w:rPr>
        <w:rFonts w:hint="default"/>
      </w:rPr>
    </w:lvl>
    <w:lvl w:ilvl="6">
      <w:start w:val="1"/>
      <w:numFmt w:val="bullet"/>
      <w:lvlText w:val="•"/>
      <w:lvlJc w:val="left"/>
      <w:pPr>
        <w:ind w:left="5966" w:hanging="423"/>
      </w:pPr>
      <w:rPr>
        <w:rFonts w:hint="default"/>
      </w:rPr>
    </w:lvl>
    <w:lvl w:ilvl="7">
      <w:start w:val="1"/>
      <w:numFmt w:val="bullet"/>
      <w:lvlText w:val="•"/>
      <w:lvlJc w:val="left"/>
      <w:pPr>
        <w:ind w:left="6840" w:hanging="423"/>
      </w:pPr>
      <w:rPr>
        <w:rFonts w:hint="default"/>
      </w:rPr>
    </w:lvl>
    <w:lvl w:ilvl="8">
      <w:start w:val="1"/>
      <w:numFmt w:val="bullet"/>
      <w:lvlText w:val="•"/>
      <w:lvlJc w:val="left"/>
      <w:pPr>
        <w:ind w:left="7713" w:hanging="423"/>
      </w:pPr>
      <w:rPr>
        <w:rFonts w:hint="default"/>
      </w:rPr>
    </w:lvl>
  </w:abstractNum>
  <w:abstractNum w:abstractNumId="7">
    <w:multiLevelType w:val="hybridMultilevel"/>
    <w:lvl w:ilvl="0">
      <w:start w:val="3"/>
      <w:numFmt w:val="upperRoman"/>
      <w:lvlText w:val="%1."/>
      <w:lvlJc w:val="left"/>
      <w:pPr>
        <w:ind w:left="4344" w:hanging="702"/>
        <w:jc w:val="right"/>
      </w:pPr>
      <w:rPr>
        <w:rFonts w:hint="default" w:ascii="Times New Roman" w:hAnsi="Times New Roman" w:eastAsia="Times New Roman" w:cs="Times New Roman"/>
        <w:b/>
        <w:bCs/>
        <w:spacing w:val="-3"/>
        <w:w w:val="99"/>
        <w:sz w:val="24"/>
        <w:szCs w:val="24"/>
      </w:rPr>
    </w:lvl>
    <w:lvl w:ilvl="1">
      <w:start w:val="1"/>
      <w:numFmt w:val="bullet"/>
      <w:lvlText w:val="•"/>
      <w:lvlJc w:val="left"/>
      <w:pPr>
        <w:ind w:left="4852" w:hanging="702"/>
      </w:pPr>
      <w:rPr>
        <w:rFonts w:hint="default"/>
      </w:rPr>
    </w:lvl>
    <w:lvl w:ilvl="2">
      <w:start w:val="1"/>
      <w:numFmt w:val="bullet"/>
      <w:lvlText w:val="•"/>
      <w:lvlJc w:val="left"/>
      <w:pPr>
        <w:ind w:left="5364" w:hanging="702"/>
      </w:pPr>
      <w:rPr>
        <w:rFonts w:hint="default"/>
      </w:rPr>
    </w:lvl>
    <w:lvl w:ilvl="3">
      <w:start w:val="1"/>
      <w:numFmt w:val="bullet"/>
      <w:lvlText w:val="•"/>
      <w:lvlJc w:val="left"/>
      <w:pPr>
        <w:ind w:left="5876" w:hanging="702"/>
      </w:pPr>
      <w:rPr>
        <w:rFonts w:hint="default"/>
      </w:rPr>
    </w:lvl>
    <w:lvl w:ilvl="4">
      <w:start w:val="1"/>
      <w:numFmt w:val="bullet"/>
      <w:lvlText w:val="•"/>
      <w:lvlJc w:val="left"/>
      <w:pPr>
        <w:ind w:left="6388" w:hanging="702"/>
      </w:pPr>
      <w:rPr>
        <w:rFonts w:hint="default"/>
      </w:rPr>
    </w:lvl>
    <w:lvl w:ilvl="5">
      <w:start w:val="1"/>
      <w:numFmt w:val="bullet"/>
      <w:lvlText w:val="•"/>
      <w:lvlJc w:val="left"/>
      <w:pPr>
        <w:ind w:left="6900" w:hanging="702"/>
      </w:pPr>
      <w:rPr>
        <w:rFonts w:hint="default"/>
      </w:rPr>
    </w:lvl>
    <w:lvl w:ilvl="6">
      <w:start w:val="1"/>
      <w:numFmt w:val="bullet"/>
      <w:lvlText w:val="•"/>
      <w:lvlJc w:val="left"/>
      <w:pPr>
        <w:ind w:left="7412" w:hanging="702"/>
      </w:pPr>
      <w:rPr>
        <w:rFonts w:hint="default"/>
      </w:rPr>
    </w:lvl>
    <w:lvl w:ilvl="7">
      <w:start w:val="1"/>
      <w:numFmt w:val="bullet"/>
      <w:lvlText w:val="•"/>
      <w:lvlJc w:val="left"/>
      <w:pPr>
        <w:ind w:left="7924" w:hanging="702"/>
      </w:pPr>
      <w:rPr>
        <w:rFonts w:hint="default"/>
      </w:rPr>
    </w:lvl>
    <w:lvl w:ilvl="8">
      <w:start w:val="1"/>
      <w:numFmt w:val="bullet"/>
      <w:lvlText w:val="•"/>
      <w:lvlJc w:val="left"/>
      <w:pPr>
        <w:ind w:left="8436" w:hanging="702"/>
      </w:pPr>
      <w:rPr>
        <w:rFonts w:hint="default"/>
      </w:rPr>
    </w:lvl>
  </w:abstractNum>
  <w:abstractNum w:abstractNumId="6">
    <w:multiLevelType w:val="hybridMultilevel"/>
    <w:lvl w:ilvl="0">
      <w:start w:val="9"/>
      <w:numFmt w:val="decimal"/>
      <w:lvlText w:val="%1"/>
      <w:lvlJc w:val="left"/>
      <w:pPr>
        <w:ind w:left="1276" w:hanging="404"/>
        <w:jc w:val="left"/>
      </w:pPr>
      <w:rPr>
        <w:rFonts w:hint="default"/>
      </w:rPr>
    </w:lvl>
    <w:lvl w:ilvl="1">
      <w:start w:val="2"/>
      <w:numFmt w:val="decimal"/>
      <w:lvlText w:val="%1.%2"/>
      <w:lvlJc w:val="left"/>
      <w:pPr>
        <w:ind w:left="1276" w:hanging="404"/>
        <w:jc w:val="left"/>
      </w:pPr>
      <w:rPr>
        <w:rFonts w:hint="default" w:ascii="Times New Roman" w:hAnsi="Times New Roman" w:eastAsia="Times New Roman" w:cs="Times New Roman"/>
        <w:b/>
        <w:bCs/>
        <w:spacing w:val="-19"/>
        <w:w w:val="99"/>
        <w:sz w:val="24"/>
        <w:szCs w:val="24"/>
      </w:rPr>
    </w:lvl>
    <w:lvl w:ilvl="2">
      <w:start w:val="1"/>
      <w:numFmt w:val="decimal"/>
      <w:lvlText w:val="%1.%2.%3"/>
      <w:lvlJc w:val="left"/>
      <w:pPr>
        <w:ind w:left="1593" w:hanging="720"/>
        <w:jc w:val="left"/>
      </w:pPr>
      <w:rPr>
        <w:rFonts w:hint="default" w:ascii="Times New Roman" w:hAnsi="Times New Roman" w:eastAsia="Times New Roman" w:cs="Times New Roman"/>
        <w:b/>
        <w:bCs/>
        <w:spacing w:val="-6"/>
        <w:w w:val="99"/>
        <w:sz w:val="24"/>
        <w:szCs w:val="24"/>
      </w:rPr>
    </w:lvl>
    <w:lvl w:ilvl="3">
      <w:start w:val="1"/>
      <w:numFmt w:val="bullet"/>
      <w:lvlText w:val="•"/>
      <w:lvlJc w:val="left"/>
      <w:pPr>
        <w:ind w:left="3346" w:hanging="720"/>
      </w:pPr>
      <w:rPr>
        <w:rFonts w:hint="default"/>
      </w:rPr>
    </w:lvl>
    <w:lvl w:ilvl="4">
      <w:start w:val="1"/>
      <w:numFmt w:val="bullet"/>
      <w:lvlText w:val="•"/>
      <w:lvlJc w:val="left"/>
      <w:pPr>
        <w:ind w:left="4220" w:hanging="720"/>
      </w:pPr>
      <w:rPr>
        <w:rFonts w:hint="default"/>
      </w:rPr>
    </w:lvl>
    <w:lvl w:ilvl="5">
      <w:start w:val="1"/>
      <w:numFmt w:val="bullet"/>
      <w:lvlText w:val="•"/>
      <w:lvlJc w:val="left"/>
      <w:pPr>
        <w:ind w:left="5093" w:hanging="720"/>
      </w:pPr>
      <w:rPr>
        <w:rFonts w:hint="default"/>
      </w:rPr>
    </w:lvl>
    <w:lvl w:ilvl="6">
      <w:start w:val="1"/>
      <w:numFmt w:val="bullet"/>
      <w:lvlText w:val="•"/>
      <w:lvlJc w:val="left"/>
      <w:pPr>
        <w:ind w:left="5966" w:hanging="720"/>
      </w:pPr>
      <w:rPr>
        <w:rFonts w:hint="default"/>
      </w:rPr>
    </w:lvl>
    <w:lvl w:ilvl="7">
      <w:start w:val="1"/>
      <w:numFmt w:val="bullet"/>
      <w:lvlText w:val="•"/>
      <w:lvlJc w:val="left"/>
      <w:pPr>
        <w:ind w:left="6840" w:hanging="720"/>
      </w:pPr>
      <w:rPr>
        <w:rFonts w:hint="default"/>
      </w:rPr>
    </w:lvl>
    <w:lvl w:ilvl="8">
      <w:start w:val="1"/>
      <w:numFmt w:val="bullet"/>
      <w:lvlText w:val="•"/>
      <w:lvlJc w:val="left"/>
      <w:pPr>
        <w:ind w:left="7713" w:hanging="720"/>
      </w:pPr>
      <w:rPr>
        <w:rFonts w:hint="default"/>
      </w:rPr>
    </w:lvl>
  </w:abstractNum>
  <w:abstractNum w:abstractNumId="5">
    <w:multiLevelType w:val="hybridMultilevel"/>
    <w:lvl w:ilvl="0">
      <w:start w:val="8"/>
      <w:numFmt w:val="decimal"/>
      <w:lvlText w:val="%1"/>
      <w:lvlJc w:val="left"/>
      <w:pPr>
        <w:ind w:left="1338" w:hanging="466"/>
        <w:jc w:val="left"/>
      </w:pPr>
      <w:rPr>
        <w:rFonts w:hint="default"/>
      </w:rPr>
    </w:lvl>
    <w:lvl w:ilvl="1">
      <w:start w:val="2"/>
      <w:numFmt w:val="decimal"/>
      <w:lvlText w:val="%1.%2"/>
      <w:lvlJc w:val="left"/>
      <w:pPr>
        <w:ind w:left="1338" w:hanging="466"/>
        <w:jc w:val="left"/>
      </w:pPr>
      <w:rPr>
        <w:rFonts w:hint="default" w:ascii="Times New Roman" w:hAnsi="Times New Roman" w:eastAsia="Times New Roman" w:cs="Times New Roman"/>
        <w:b/>
        <w:bCs/>
        <w:spacing w:val="-17"/>
        <w:w w:val="99"/>
        <w:sz w:val="24"/>
        <w:szCs w:val="24"/>
      </w:rPr>
    </w:lvl>
    <w:lvl w:ilvl="2">
      <w:start w:val="1"/>
      <w:numFmt w:val="bullet"/>
      <w:lvlText w:val="•"/>
      <w:lvlJc w:val="left"/>
      <w:pPr>
        <w:ind w:left="2964" w:hanging="466"/>
      </w:pPr>
      <w:rPr>
        <w:rFonts w:hint="default"/>
      </w:rPr>
    </w:lvl>
    <w:lvl w:ilvl="3">
      <w:start w:val="1"/>
      <w:numFmt w:val="bullet"/>
      <w:lvlText w:val="•"/>
      <w:lvlJc w:val="left"/>
      <w:pPr>
        <w:ind w:left="3776" w:hanging="466"/>
      </w:pPr>
      <w:rPr>
        <w:rFonts w:hint="default"/>
      </w:rPr>
    </w:lvl>
    <w:lvl w:ilvl="4">
      <w:start w:val="1"/>
      <w:numFmt w:val="bullet"/>
      <w:lvlText w:val="•"/>
      <w:lvlJc w:val="left"/>
      <w:pPr>
        <w:ind w:left="4588" w:hanging="466"/>
      </w:pPr>
      <w:rPr>
        <w:rFonts w:hint="default"/>
      </w:rPr>
    </w:lvl>
    <w:lvl w:ilvl="5">
      <w:start w:val="1"/>
      <w:numFmt w:val="bullet"/>
      <w:lvlText w:val="•"/>
      <w:lvlJc w:val="left"/>
      <w:pPr>
        <w:ind w:left="5400" w:hanging="466"/>
      </w:pPr>
      <w:rPr>
        <w:rFonts w:hint="default"/>
      </w:rPr>
    </w:lvl>
    <w:lvl w:ilvl="6">
      <w:start w:val="1"/>
      <w:numFmt w:val="bullet"/>
      <w:lvlText w:val="•"/>
      <w:lvlJc w:val="left"/>
      <w:pPr>
        <w:ind w:left="6212" w:hanging="466"/>
      </w:pPr>
      <w:rPr>
        <w:rFonts w:hint="default"/>
      </w:rPr>
    </w:lvl>
    <w:lvl w:ilvl="7">
      <w:start w:val="1"/>
      <w:numFmt w:val="bullet"/>
      <w:lvlText w:val="•"/>
      <w:lvlJc w:val="left"/>
      <w:pPr>
        <w:ind w:left="7024" w:hanging="466"/>
      </w:pPr>
      <w:rPr>
        <w:rFonts w:hint="default"/>
      </w:rPr>
    </w:lvl>
    <w:lvl w:ilvl="8">
      <w:start w:val="1"/>
      <w:numFmt w:val="bullet"/>
      <w:lvlText w:val="•"/>
      <w:lvlJc w:val="left"/>
      <w:pPr>
        <w:ind w:left="7836" w:hanging="466"/>
      </w:pPr>
      <w:rPr>
        <w:rFonts w:hint="default"/>
      </w:rPr>
    </w:lvl>
  </w:abstractNum>
  <w:abstractNum w:abstractNumId="4">
    <w:multiLevelType w:val="hybridMultilevel"/>
    <w:lvl w:ilvl="0">
      <w:start w:val="3"/>
      <w:numFmt w:val="decimal"/>
      <w:lvlText w:val="%1"/>
      <w:lvlJc w:val="left"/>
      <w:pPr>
        <w:ind w:left="1276" w:hanging="404"/>
        <w:jc w:val="left"/>
      </w:pPr>
      <w:rPr>
        <w:rFonts w:hint="default"/>
      </w:rPr>
    </w:lvl>
    <w:lvl w:ilvl="1">
      <w:start w:val="4"/>
      <w:numFmt w:val="decimal"/>
      <w:lvlText w:val="%1.%2"/>
      <w:lvlJc w:val="left"/>
      <w:pPr>
        <w:ind w:left="1276" w:hanging="404"/>
        <w:jc w:val="left"/>
      </w:pPr>
      <w:rPr>
        <w:rFonts w:hint="default" w:ascii="Times New Roman" w:hAnsi="Times New Roman" w:eastAsia="Times New Roman" w:cs="Times New Roman"/>
        <w:b/>
        <w:bCs/>
        <w:spacing w:val="-19"/>
        <w:w w:val="99"/>
        <w:sz w:val="24"/>
        <w:szCs w:val="24"/>
      </w:rPr>
    </w:lvl>
    <w:lvl w:ilvl="2">
      <w:start w:val="1"/>
      <w:numFmt w:val="bullet"/>
      <w:lvlText w:val="•"/>
      <w:lvlJc w:val="left"/>
      <w:pPr>
        <w:ind w:left="2916" w:hanging="404"/>
      </w:pPr>
      <w:rPr>
        <w:rFonts w:hint="default"/>
      </w:rPr>
    </w:lvl>
    <w:lvl w:ilvl="3">
      <w:start w:val="1"/>
      <w:numFmt w:val="bullet"/>
      <w:lvlText w:val="•"/>
      <w:lvlJc w:val="left"/>
      <w:pPr>
        <w:ind w:left="3734" w:hanging="404"/>
      </w:pPr>
      <w:rPr>
        <w:rFonts w:hint="default"/>
      </w:rPr>
    </w:lvl>
    <w:lvl w:ilvl="4">
      <w:start w:val="1"/>
      <w:numFmt w:val="bullet"/>
      <w:lvlText w:val="•"/>
      <w:lvlJc w:val="left"/>
      <w:pPr>
        <w:ind w:left="4552" w:hanging="404"/>
      </w:pPr>
      <w:rPr>
        <w:rFonts w:hint="default"/>
      </w:rPr>
    </w:lvl>
    <w:lvl w:ilvl="5">
      <w:start w:val="1"/>
      <w:numFmt w:val="bullet"/>
      <w:lvlText w:val="•"/>
      <w:lvlJc w:val="left"/>
      <w:pPr>
        <w:ind w:left="5370" w:hanging="404"/>
      </w:pPr>
      <w:rPr>
        <w:rFonts w:hint="default"/>
      </w:rPr>
    </w:lvl>
    <w:lvl w:ilvl="6">
      <w:start w:val="1"/>
      <w:numFmt w:val="bullet"/>
      <w:lvlText w:val="•"/>
      <w:lvlJc w:val="left"/>
      <w:pPr>
        <w:ind w:left="6188" w:hanging="404"/>
      </w:pPr>
      <w:rPr>
        <w:rFonts w:hint="default"/>
      </w:rPr>
    </w:lvl>
    <w:lvl w:ilvl="7">
      <w:start w:val="1"/>
      <w:numFmt w:val="bullet"/>
      <w:lvlText w:val="•"/>
      <w:lvlJc w:val="left"/>
      <w:pPr>
        <w:ind w:left="7006" w:hanging="404"/>
      </w:pPr>
      <w:rPr>
        <w:rFonts w:hint="default"/>
      </w:rPr>
    </w:lvl>
    <w:lvl w:ilvl="8">
      <w:start w:val="1"/>
      <w:numFmt w:val="bullet"/>
      <w:lvlText w:val="•"/>
      <w:lvlJc w:val="left"/>
      <w:pPr>
        <w:ind w:left="7824" w:hanging="404"/>
      </w:pPr>
      <w:rPr>
        <w:rFonts w:hint="default"/>
      </w:rPr>
    </w:lvl>
  </w:abstractNum>
  <w:abstractNum w:abstractNumId="3">
    <w:multiLevelType w:val="hybridMultilevel"/>
    <w:lvl w:ilvl="0">
      <w:start w:val="1"/>
      <w:numFmt w:val="decimal"/>
      <w:lvlText w:val="%1."/>
      <w:lvlJc w:val="left"/>
      <w:pPr>
        <w:ind w:left="1233" w:hanging="360"/>
        <w:jc w:val="left"/>
      </w:pPr>
      <w:rPr>
        <w:rFonts w:hint="default" w:ascii="Times New Roman" w:hAnsi="Times New Roman" w:eastAsia="Times New Roman" w:cs="Times New Roman"/>
        <w:b/>
        <w:bCs/>
        <w:spacing w:val="-3"/>
        <w:w w:val="99"/>
        <w:sz w:val="24"/>
        <w:szCs w:val="24"/>
      </w:rPr>
    </w:lvl>
    <w:lvl w:ilvl="1">
      <w:start w:val="1"/>
      <w:numFmt w:val="decimal"/>
      <w:lvlText w:val="%1.%2"/>
      <w:lvlJc w:val="left"/>
      <w:pPr>
        <w:ind w:left="1276" w:hanging="404"/>
        <w:jc w:val="left"/>
      </w:pPr>
      <w:rPr>
        <w:rFonts w:hint="default" w:ascii="Times New Roman" w:hAnsi="Times New Roman" w:eastAsia="Times New Roman" w:cs="Times New Roman"/>
        <w:b/>
        <w:bCs/>
        <w:spacing w:val="-19"/>
        <w:w w:val="99"/>
        <w:sz w:val="24"/>
        <w:szCs w:val="24"/>
      </w:rPr>
    </w:lvl>
    <w:lvl w:ilvl="2">
      <w:start w:val="1"/>
      <w:numFmt w:val="decimal"/>
      <w:lvlText w:val="%1.%2.%3"/>
      <w:lvlJc w:val="left"/>
      <w:pPr>
        <w:ind w:left="1593" w:hanging="720"/>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1953" w:hanging="1081"/>
        <w:jc w:val="left"/>
      </w:pPr>
      <w:rPr>
        <w:rFonts w:hint="default" w:ascii="Times New Roman" w:hAnsi="Times New Roman" w:eastAsia="Times New Roman" w:cs="Times New Roman"/>
        <w:b/>
        <w:bCs/>
        <w:spacing w:val="-6"/>
        <w:w w:val="99"/>
        <w:sz w:val="24"/>
        <w:szCs w:val="24"/>
      </w:rPr>
    </w:lvl>
    <w:lvl w:ilvl="4">
      <w:start w:val="1"/>
      <w:numFmt w:val="bullet"/>
      <w:lvlText w:val="•"/>
      <w:lvlJc w:val="left"/>
      <w:pPr>
        <w:ind w:left="1960" w:hanging="1081"/>
      </w:pPr>
      <w:rPr>
        <w:rFonts w:hint="default"/>
      </w:rPr>
    </w:lvl>
    <w:lvl w:ilvl="5">
      <w:start w:val="1"/>
      <w:numFmt w:val="bullet"/>
      <w:lvlText w:val="•"/>
      <w:lvlJc w:val="left"/>
      <w:pPr>
        <w:ind w:left="3210" w:hanging="1081"/>
      </w:pPr>
      <w:rPr>
        <w:rFonts w:hint="default"/>
      </w:rPr>
    </w:lvl>
    <w:lvl w:ilvl="6">
      <w:start w:val="1"/>
      <w:numFmt w:val="bullet"/>
      <w:lvlText w:val="•"/>
      <w:lvlJc w:val="left"/>
      <w:pPr>
        <w:ind w:left="4460" w:hanging="1081"/>
      </w:pPr>
      <w:rPr>
        <w:rFonts w:hint="default"/>
      </w:rPr>
    </w:lvl>
    <w:lvl w:ilvl="7">
      <w:start w:val="1"/>
      <w:numFmt w:val="bullet"/>
      <w:lvlText w:val="•"/>
      <w:lvlJc w:val="left"/>
      <w:pPr>
        <w:ind w:left="5710" w:hanging="1081"/>
      </w:pPr>
      <w:rPr>
        <w:rFonts w:hint="default"/>
      </w:rPr>
    </w:lvl>
    <w:lvl w:ilvl="8">
      <w:start w:val="1"/>
      <w:numFmt w:val="bullet"/>
      <w:lvlText w:val="•"/>
      <w:lvlJc w:val="left"/>
      <w:pPr>
        <w:ind w:left="6960" w:hanging="1081"/>
      </w:pPr>
      <w:rPr>
        <w:rFonts w:hint="default"/>
      </w:rPr>
    </w:lvl>
  </w:abstractNum>
  <w:abstractNum w:abstractNumId="2">
    <w:multiLevelType w:val="hybridMultilevel"/>
    <w:lvl w:ilvl="0">
      <w:start w:val="3"/>
      <w:numFmt w:val="upperRoman"/>
      <w:lvlText w:val="%1."/>
      <w:lvlJc w:val="left"/>
      <w:pPr>
        <w:ind w:left="844" w:hanging="332"/>
        <w:jc w:val="left"/>
      </w:pPr>
      <w:rPr>
        <w:rFonts w:hint="default" w:ascii="Times New Roman" w:hAnsi="Times New Roman" w:eastAsia="Times New Roman" w:cs="Times New Roman"/>
        <w:spacing w:val="-2"/>
        <w:w w:val="100"/>
        <w:sz w:val="22"/>
        <w:szCs w:val="22"/>
      </w:rPr>
    </w:lvl>
    <w:lvl w:ilvl="1">
      <w:start w:val="1"/>
      <w:numFmt w:val="upperRoman"/>
      <w:lvlText w:val="%2."/>
      <w:lvlJc w:val="left"/>
      <w:pPr>
        <w:ind w:left="4325" w:hanging="514"/>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4891" w:hanging="514"/>
      </w:pPr>
      <w:rPr>
        <w:rFonts w:hint="default"/>
      </w:rPr>
    </w:lvl>
    <w:lvl w:ilvl="3">
      <w:start w:val="1"/>
      <w:numFmt w:val="bullet"/>
      <w:lvlText w:val="•"/>
      <w:lvlJc w:val="left"/>
      <w:pPr>
        <w:ind w:left="5462" w:hanging="514"/>
      </w:pPr>
      <w:rPr>
        <w:rFonts w:hint="default"/>
      </w:rPr>
    </w:lvl>
    <w:lvl w:ilvl="4">
      <w:start w:val="1"/>
      <w:numFmt w:val="bullet"/>
      <w:lvlText w:val="•"/>
      <w:lvlJc w:val="left"/>
      <w:pPr>
        <w:ind w:left="6033" w:hanging="514"/>
      </w:pPr>
      <w:rPr>
        <w:rFonts w:hint="default"/>
      </w:rPr>
    </w:lvl>
    <w:lvl w:ilvl="5">
      <w:start w:val="1"/>
      <w:numFmt w:val="bullet"/>
      <w:lvlText w:val="•"/>
      <w:lvlJc w:val="left"/>
      <w:pPr>
        <w:ind w:left="6604" w:hanging="514"/>
      </w:pPr>
      <w:rPr>
        <w:rFonts w:hint="default"/>
      </w:rPr>
    </w:lvl>
    <w:lvl w:ilvl="6">
      <w:start w:val="1"/>
      <w:numFmt w:val="bullet"/>
      <w:lvlText w:val="•"/>
      <w:lvlJc w:val="left"/>
      <w:pPr>
        <w:ind w:left="7175" w:hanging="514"/>
      </w:pPr>
      <w:rPr>
        <w:rFonts w:hint="default"/>
      </w:rPr>
    </w:lvl>
    <w:lvl w:ilvl="7">
      <w:start w:val="1"/>
      <w:numFmt w:val="bullet"/>
      <w:lvlText w:val="•"/>
      <w:lvlJc w:val="left"/>
      <w:pPr>
        <w:ind w:left="7746" w:hanging="514"/>
      </w:pPr>
      <w:rPr>
        <w:rFonts w:hint="default"/>
      </w:rPr>
    </w:lvl>
    <w:lvl w:ilvl="8">
      <w:start w:val="1"/>
      <w:numFmt w:val="bullet"/>
      <w:lvlText w:val="•"/>
      <w:lvlJc w:val="left"/>
      <w:pPr>
        <w:ind w:left="8317" w:hanging="514"/>
      </w:pPr>
      <w:rPr>
        <w:rFonts w:hint="default"/>
      </w:rPr>
    </w:lvl>
  </w:abstractNum>
  <w:abstractNum w:abstractNumId="1">
    <w:multiLevelType w:val="hybridMultilevel"/>
    <w:lvl w:ilvl="0">
      <w:start w:val="1"/>
      <w:numFmt w:val="decimal"/>
      <w:lvlText w:val="%1."/>
      <w:lvlJc w:val="left"/>
      <w:pPr>
        <w:ind w:left="512" w:hanging="221"/>
        <w:jc w:val="left"/>
      </w:pPr>
      <w:rPr>
        <w:rFonts w:hint="default" w:ascii="Times New Roman" w:hAnsi="Times New Roman" w:eastAsia="Times New Roman" w:cs="Times New Roman"/>
        <w:w w:val="100"/>
        <w:sz w:val="22"/>
        <w:szCs w:val="22"/>
      </w:rPr>
    </w:lvl>
    <w:lvl w:ilvl="1">
      <w:start w:val="1"/>
      <w:numFmt w:val="decimal"/>
      <w:lvlText w:val="%1.%2."/>
      <w:lvlJc w:val="left"/>
      <w:pPr>
        <w:ind w:left="1611" w:hanging="389"/>
        <w:jc w:val="left"/>
      </w:pPr>
      <w:rPr>
        <w:rFonts w:hint="default" w:ascii="Times New Roman" w:hAnsi="Times New Roman" w:eastAsia="Times New Roman" w:cs="Times New Roman"/>
        <w:w w:val="100"/>
        <w:sz w:val="22"/>
        <w:szCs w:val="22"/>
      </w:rPr>
    </w:lvl>
    <w:lvl w:ilvl="2">
      <w:start w:val="1"/>
      <w:numFmt w:val="decimal"/>
      <w:lvlText w:val="%1.%2.%3."/>
      <w:lvlJc w:val="left"/>
      <w:pPr>
        <w:ind w:left="2480" w:hanging="552"/>
        <w:jc w:val="left"/>
      </w:pPr>
      <w:rPr>
        <w:rFonts w:hint="default" w:ascii="Times New Roman" w:hAnsi="Times New Roman" w:eastAsia="Times New Roman" w:cs="Times New Roman"/>
        <w:spacing w:val="-5"/>
        <w:w w:val="100"/>
        <w:sz w:val="22"/>
        <w:szCs w:val="22"/>
      </w:rPr>
    </w:lvl>
    <w:lvl w:ilvl="3">
      <w:start w:val="1"/>
      <w:numFmt w:val="decimal"/>
      <w:lvlText w:val="%1.%2.%3.%4."/>
      <w:lvlJc w:val="left"/>
      <w:pPr>
        <w:ind w:left="3411" w:hanging="772"/>
        <w:jc w:val="left"/>
      </w:pPr>
      <w:rPr>
        <w:rFonts w:hint="default" w:ascii="Times New Roman" w:hAnsi="Times New Roman" w:eastAsia="Times New Roman" w:cs="Times New Roman"/>
        <w:spacing w:val="-5"/>
        <w:w w:val="100"/>
        <w:sz w:val="22"/>
        <w:szCs w:val="22"/>
      </w:rPr>
    </w:lvl>
    <w:lvl w:ilvl="4">
      <w:start w:val="1"/>
      <w:numFmt w:val="bullet"/>
      <w:lvlText w:val="•"/>
      <w:lvlJc w:val="left"/>
      <w:pPr>
        <w:ind w:left="2480" w:hanging="772"/>
      </w:pPr>
      <w:rPr>
        <w:rFonts w:hint="default"/>
      </w:rPr>
    </w:lvl>
    <w:lvl w:ilvl="5">
      <w:start w:val="1"/>
      <w:numFmt w:val="bullet"/>
      <w:lvlText w:val="•"/>
      <w:lvlJc w:val="left"/>
      <w:pPr>
        <w:ind w:left="2540" w:hanging="772"/>
      </w:pPr>
      <w:rPr>
        <w:rFonts w:hint="default"/>
      </w:rPr>
    </w:lvl>
    <w:lvl w:ilvl="6">
      <w:start w:val="1"/>
      <w:numFmt w:val="bullet"/>
      <w:lvlText w:val="•"/>
      <w:lvlJc w:val="left"/>
      <w:pPr>
        <w:ind w:left="2700" w:hanging="772"/>
      </w:pPr>
      <w:rPr>
        <w:rFonts w:hint="default"/>
      </w:rPr>
    </w:lvl>
    <w:lvl w:ilvl="7">
      <w:start w:val="1"/>
      <w:numFmt w:val="bullet"/>
      <w:lvlText w:val="•"/>
      <w:lvlJc w:val="left"/>
      <w:pPr>
        <w:ind w:left="3420" w:hanging="772"/>
      </w:pPr>
      <w:rPr>
        <w:rFonts w:hint="default"/>
      </w:rPr>
    </w:lvl>
    <w:lvl w:ilvl="8">
      <w:start w:val="1"/>
      <w:numFmt w:val="bullet"/>
      <w:lvlText w:val="•"/>
      <w:lvlJc w:val="left"/>
      <w:pPr>
        <w:ind w:left="5433" w:hanging="772"/>
      </w:pPr>
      <w:rPr>
        <w:rFonts w:hint="default"/>
      </w:rPr>
    </w:lvl>
  </w:abstractNum>
  <w:abstractNum w:abstractNumId="0">
    <w:multiLevelType w:val="hybridMultilevel"/>
    <w:lvl w:ilvl="0">
      <w:start w:val="1"/>
      <w:numFmt w:val="upperRoman"/>
      <w:lvlText w:val="%1."/>
      <w:lvlJc w:val="left"/>
      <w:pPr>
        <w:ind w:left="757" w:hanging="245"/>
        <w:jc w:val="left"/>
      </w:pPr>
      <w:rPr>
        <w:rFonts w:hint="default" w:ascii="Times New Roman" w:hAnsi="Times New Roman" w:eastAsia="Times New Roman" w:cs="Times New Roman"/>
        <w:spacing w:val="0"/>
        <w:w w:val="100"/>
        <w:sz w:val="22"/>
        <w:szCs w:val="22"/>
      </w:rPr>
    </w:lvl>
    <w:lvl w:ilvl="1">
      <w:start w:val="1"/>
      <w:numFmt w:val="bullet"/>
      <w:lvlText w:val="•"/>
      <w:lvlJc w:val="left"/>
      <w:pPr>
        <w:ind w:left="1630" w:hanging="245"/>
      </w:pPr>
      <w:rPr>
        <w:rFonts w:hint="default"/>
      </w:rPr>
    </w:lvl>
    <w:lvl w:ilvl="2">
      <w:start w:val="1"/>
      <w:numFmt w:val="bullet"/>
      <w:lvlText w:val="•"/>
      <w:lvlJc w:val="left"/>
      <w:pPr>
        <w:ind w:left="2500" w:hanging="245"/>
      </w:pPr>
      <w:rPr>
        <w:rFonts w:hint="default"/>
      </w:rPr>
    </w:lvl>
    <w:lvl w:ilvl="3">
      <w:start w:val="1"/>
      <w:numFmt w:val="bullet"/>
      <w:lvlText w:val="•"/>
      <w:lvlJc w:val="left"/>
      <w:pPr>
        <w:ind w:left="3370" w:hanging="245"/>
      </w:pPr>
      <w:rPr>
        <w:rFonts w:hint="default"/>
      </w:rPr>
    </w:lvl>
    <w:lvl w:ilvl="4">
      <w:start w:val="1"/>
      <w:numFmt w:val="bullet"/>
      <w:lvlText w:val="•"/>
      <w:lvlJc w:val="left"/>
      <w:pPr>
        <w:ind w:left="4240" w:hanging="245"/>
      </w:pPr>
      <w:rPr>
        <w:rFonts w:hint="default"/>
      </w:rPr>
    </w:lvl>
    <w:lvl w:ilvl="5">
      <w:start w:val="1"/>
      <w:numFmt w:val="bullet"/>
      <w:lvlText w:val="•"/>
      <w:lvlJc w:val="left"/>
      <w:pPr>
        <w:ind w:left="5110" w:hanging="245"/>
      </w:pPr>
      <w:rPr>
        <w:rFonts w:hint="default"/>
      </w:rPr>
    </w:lvl>
    <w:lvl w:ilvl="6">
      <w:start w:val="1"/>
      <w:numFmt w:val="bullet"/>
      <w:lvlText w:val="•"/>
      <w:lvlJc w:val="left"/>
      <w:pPr>
        <w:ind w:left="5980" w:hanging="245"/>
      </w:pPr>
      <w:rPr>
        <w:rFonts w:hint="default"/>
      </w:rPr>
    </w:lvl>
    <w:lvl w:ilvl="7">
      <w:start w:val="1"/>
      <w:numFmt w:val="bullet"/>
      <w:lvlText w:val="•"/>
      <w:lvlJc w:val="left"/>
      <w:pPr>
        <w:ind w:left="6850" w:hanging="245"/>
      </w:pPr>
      <w:rPr>
        <w:rFonts w:hint="default"/>
      </w:rPr>
    </w:lvl>
    <w:lvl w:ilvl="8">
      <w:start w:val="1"/>
      <w:numFmt w:val="bullet"/>
      <w:lvlText w:val="•"/>
      <w:lvlJc w:val="left"/>
      <w:pPr>
        <w:ind w:left="7720" w:hanging="245"/>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36"/>
      <w:ind w:left="512"/>
    </w:pPr>
    <w:rPr>
      <w:rFonts w:ascii="Times New Roman" w:hAnsi="Times New Roman" w:eastAsia="Times New Roman" w:cs="Times New Roman"/>
      <w:b/>
      <w:bCs/>
      <w:sz w:val="22"/>
      <w:szCs w:val="22"/>
    </w:rPr>
  </w:style>
  <w:style w:styleId="TOC2" w:type="paragraph">
    <w:name w:val="TOC 2"/>
    <w:basedOn w:val="Normal"/>
    <w:uiPriority w:val="1"/>
    <w:qFormat/>
    <w:pPr>
      <w:spacing w:before="236"/>
      <w:ind w:left="733" w:hanging="221"/>
    </w:pPr>
    <w:rPr>
      <w:rFonts w:ascii="Times New Roman" w:hAnsi="Times New Roman" w:eastAsia="Times New Roman" w:cs="Times New Roman"/>
      <w:sz w:val="22"/>
      <w:szCs w:val="22"/>
    </w:rPr>
  </w:style>
  <w:style w:styleId="TOC3" w:type="paragraph">
    <w:name w:val="TOC 3"/>
    <w:basedOn w:val="Normal"/>
    <w:uiPriority w:val="1"/>
    <w:qFormat/>
    <w:pPr>
      <w:spacing w:before="236"/>
      <w:ind w:left="512"/>
    </w:pPr>
    <w:rPr>
      <w:rFonts w:ascii="Times New Roman" w:hAnsi="Times New Roman" w:eastAsia="Times New Roman" w:cs="Times New Roman"/>
      <w:b/>
      <w:bCs/>
      <w:i/>
    </w:rPr>
  </w:style>
  <w:style w:styleId="TOC4" w:type="paragraph">
    <w:name w:val="TOC 4"/>
    <w:basedOn w:val="Normal"/>
    <w:uiPriority w:val="1"/>
    <w:qFormat/>
    <w:pPr>
      <w:spacing w:before="236"/>
      <w:ind w:left="1611" w:hanging="388"/>
    </w:pPr>
    <w:rPr>
      <w:rFonts w:ascii="Times New Roman" w:hAnsi="Times New Roman" w:eastAsia="Times New Roman" w:cs="Times New Roman"/>
      <w:sz w:val="22"/>
      <w:szCs w:val="22"/>
    </w:rPr>
  </w:style>
  <w:style w:styleId="TOC5" w:type="paragraph">
    <w:name w:val="TOC 5"/>
    <w:basedOn w:val="Normal"/>
    <w:uiPriority w:val="1"/>
    <w:qFormat/>
    <w:pPr>
      <w:spacing w:before="241"/>
      <w:ind w:left="1664" w:hanging="441"/>
    </w:pPr>
    <w:rPr>
      <w:rFonts w:ascii="Times New Roman" w:hAnsi="Times New Roman" w:eastAsia="Times New Roman" w:cs="Times New Roman"/>
      <w:b/>
      <w:bCs/>
      <w:i/>
    </w:rPr>
  </w:style>
  <w:style w:styleId="TOC6" w:type="paragraph">
    <w:name w:val="TOC 6"/>
    <w:basedOn w:val="Normal"/>
    <w:uiPriority w:val="1"/>
    <w:qFormat/>
    <w:pPr>
      <w:spacing w:before="236"/>
      <w:ind w:left="2538" w:hanging="609"/>
    </w:pPr>
    <w:rPr>
      <w:rFonts w:ascii="Times New Roman" w:hAnsi="Times New Roman" w:eastAsia="Times New Roman" w:cs="Times New Roman"/>
      <w:sz w:val="22"/>
      <w:szCs w:val="22"/>
    </w:rPr>
  </w:style>
  <w:style w:styleId="TOC7" w:type="paragraph">
    <w:name w:val="TOC 7"/>
    <w:basedOn w:val="Normal"/>
    <w:uiPriority w:val="1"/>
    <w:qFormat/>
    <w:pPr>
      <w:spacing w:before="236"/>
      <w:ind w:left="3411" w:hanging="772"/>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1276" w:hanging="403"/>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236"/>
      <w:ind w:left="1276" w:hanging="403"/>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image" Target="media/image6.png"/><Relationship Id="rId19" Type="http://schemas.openxmlformats.org/officeDocument/2006/relationships/footer" Target="footer8.xm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footer" Target="footer11.xml"/><Relationship Id="rId23" Type="http://schemas.openxmlformats.org/officeDocument/2006/relationships/footer" Target="footer12.xml"/><Relationship Id="rId24" Type="http://schemas.openxmlformats.org/officeDocument/2006/relationships/footer" Target="footer13.xml"/><Relationship Id="rId25" Type="http://schemas.openxmlformats.org/officeDocument/2006/relationships/image" Target="media/image7.png"/><Relationship Id="rId26" Type="http://schemas.openxmlformats.org/officeDocument/2006/relationships/image" Target="media/image8.png"/><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header" Target="header2.xml"/><Relationship Id="rId30" Type="http://schemas.openxmlformats.org/officeDocument/2006/relationships/footer" Target="footer16.xml"/><Relationship Id="rId31" Type="http://schemas.openxmlformats.org/officeDocument/2006/relationships/header" Target="header3.xml"/><Relationship Id="rId32" Type="http://schemas.openxmlformats.org/officeDocument/2006/relationships/footer" Target="footer17.xml"/><Relationship Id="rId33" Type="http://schemas.openxmlformats.org/officeDocument/2006/relationships/footer" Target="footer18.xml"/><Relationship Id="rId34" Type="http://schemas.openxmlformats.org/officeDocument/2006/relationships/footer" Target="footer19.xml"/><Relationship Id="rId35" Type="http://schemas.openxmlformats.org/officeDocument/2006/relationships/hyperlink" Target="http://www.inegi.org.mx/" TargetMode="External"/><Relationship Id="rId36" Type="http://schemas.openxmlformats.org/officeDocument/2006/relationships/footer" Target="footer20.xml"/><Relationship Id="rId37" Type="http://schemas.openxmlformats.org/officeDocument/2006/relationships/footer" Target="footer21.xml"/><Relationship Id="rId38" Type="http://schemas.openxmlformats.org/officeDocument/2006/relationships/hyperlink" Target="http://www.siap.gob.mx/" TargetMode="External"/><Relationship Id="rId39" Type="http://schemas.openxmlformats.org/officeDocument/2006/relationships/hyperlink" Target="http://www.smn.conagua.gob.mx/" TargetMode="External"/><Relationship Id="rId40" Type="http://schemas.openxmlformats.org/officeDocument/2006/relationships/image" Target="media/image9.jpeg"/><Relationship Id="rId41" Type="http://schemas.openxmlformats.org/officeDocument/2006/relationships/footer" Target="footer22.xml"/><Relationship Id="rId42" Type="http://schemas.openxmlformats.org/officeDocument/2006/relationships/footer" Target="footer23.xml"/><Relationship Id="rId43" Type="http://schemas.openxmlformats.org/officeDocument/2006/relationships/header" Target="header4.xml"/><Relationship Id="rId44" Type="http://schemas.openxmlformats.org/officeDocument/2006/relationships/header" Target="header5.xml"/><Relationship Id="rId45" Type="http://schemas.openxmlformats.org/officeDocument/2006/relationships/footer" Target="footer24.xml"/><Relationship Id="rId46" Type="http://schemas.openxmlformats.org/officeDocument/2006/relationships/footer" Target="footer25.xml"/><Relationship Id="rId47" Type="http://schemas.openxmlformats.org/officeDocument/2006/relationships/image" Target="media/image10.png"/><Relationship Id="rId48" Type="http://schemas.openxmlformats.org/officeDocument/2006/relationships/image" Target="media/image11.png"/><Relationship Id="rId49" Type="http://schemas.openxmlformats.org/officeDocument/2006/relationships/footer" Target="footer26.xml"/><Relationship Id="rId50" Type="http://schemas.openxmlformats.org/officeDocument/2006/relationships/image" Target="media/image12.png"/><Relationship Id="rId51" Type="http://schemas.openxmlformats.org/officeDocument/2006/relationships/header" Target="header6.xml"/><Relationship Id="rId52" Type="http://schemas.openxmlformats.org/officeDocument/2006/relationships/footer" Target="footer27.xml"/><Relationship Id="rId53" Type="http://schemas.openxmlformats.org/officeDocument/2006/relationships/image" Target="media/image13.png"/><Relationship Id="rId54" Type="http://schemas.openxmlformats.org/officeDocument/2006/relationships/header" Target="header7.xml"/><Relationship Id="rId55" Type="http://schemas.openxmlformats.org/officeDocument/2006/relationships/image" Target="media/image14.png"/><Relationship Id="rId56" Type="http://schemas.openxmlformats.org/officeDocument/2006/relationships/image" Target="media/image15.png"/><Relationship Id="rId57" Type="http://schemas.openxmlformats.org/officeDocument/2006/relationships/header" Target="header8.xml"/><Relationship Id="rId58" Type="http://schemas.openxmlformats.org/officeDocument/2006/relationships/image" Target="media/image16.png"/><Relationship Id="rId59" Type="http://schemas.openxmlformats.org/officeDocument/2006/relationships/header" Target="header9.xml"/><Relationship Id="rId60" Type="http://schemas.openxmlformats.org/officeDocument/2006/relationships/image" Target="media/image17.png"/><Relationship Id="rId61" Type="http://schemas.openxmlformats.org/officeDocument/2006/relationships/image" Target="media/image18.png"/><Relationship Id="rId62" Type="http://schemas.openxmlformats.org/officeDocument/2006/relationships/image" Target="media/image19.png"/><Relationship Id="rId6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dcterms:created xsi:type="dcterms:W3CDTF">2017-05-24T02:48:40Z</dcterms:created>
  <dcterms:modified xsi:type="dcterms:W3CDTF">2017-05-24T02:48:40Z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2014-05-28T00:00:00Z</vt:filetime>
  </property>
  <property fmtid="{D5CDD505-2E9C-101B-9397-08002B2CF9AE}" pid="3" name="Creator">
    <vt:lpwstr>Microsoft® Word 2010</vt:lpwstr>
  </property>
  <property fmtid="{D5CDD505-2E9C-101B-9397-08002B2CF9AE}" pid="4" name="LastSaved">
    <vt:filetime>2017-05-24T00:00:00Z</vt:filetime>
  </property>
</Properties>
</file>