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92"/>
        <w:ind w:left="2338" w:right="48" w:firstLine="0"/>
        <w:jc w:val="center"/>
        <w:rPr>
          <w:sz w:val="26"/>
        </w:rPr>
      </w:pPr>
      <w:r>
        <w:rPr/>
        <w:pict>
          <v:group style="position:absolute;margin-left:50.759998pt;margin-top:-5.34614pt;width:96.5pt;height:447.75pt;mso-position-horizontal-relative:page;mso-position-vertical-relative:paragraph;z-index:0" coordorigin="1015,-107" coordsize="1930,8955">
            <v:shape style="position:absolute;left:1015;top:-107;width:1930;height:1646" type="#_x0000_t75" stroked="false">
              <v:imagedata r:id="rId5" o:title=""/>
            </v:shape>
            <v:line style="position:absolute" from="1744,1560" to="1744,8834" stroked="true" strokeweight="1.368pt" strokecolor="#000000"/>
            <v:line style="position:absolute" from="1771,1560" to="1771,8834" stroked="true" strokeweight=".456pt" strokecolor="#000000"/>
            <v:line style="position:absolute" from="2020,1565" to="2020,7334" stroked="true" strokeweight="1.37pt" strokecolor="#000000"/>
            <v:line style="position:absolute" from="2047,1565" to="2047,7334" stroked="true" strokeweight=".46pt" strokecolor="#000000"/>
            <w10:wrap type="none"/>
          </v:group>
        </w:pict>
      </w:r>
      <w:r>
        <w:rPr>
          <w:sz w:val="26"/>
        </w:rPr>
        <w:t>UNIVERSIDAD AUTÓNOMA DEL ESTADO DE MÉXICO</w:t>
      </w:r>
    </w:p>
    <w:p>
      <w:pPr>
        <w:pStyle w:val="BodyText"/>
        <w:spacing w:before="2"/>
        <w:rPr>
          <w:sz w:val="26"/>
        </w:rPr>
      </w:pPr>
    </w:p>
    <w:p>
      <w:pPr>
        <w:spacing w:before="0"/>
        <w:ind w:left="2338" w:right="43" w:firstLine="0"/>
        <w:jc w:val="center"/>
        <w:rPr>
          <w:sz w:val="26"/>
        </w:rPr>
      </w:pPr>
      <w:r>
        <w:rPr>
          <w:sz w:val="26"/>
        </w:rPr>
        <w:t>MAESTRÍA Y DOCTORADO EN CIENCIAS AGROPECUARIAS Y RECURSOS NATURALES</w:t>
      </w:r>
    </w:p>
    <w:p>
      <w:pPr>
        <w:pStyle w:val="BodyText"/>
        <w:rPr>
          <w:sz w:val="26"/>
        </w:rPr>
      </w:pPr>
    </w:p>
    <w:p>
      <w:pPr>
        <w:pStyle w:val="BodyText"/>
        <w:rPr>
          <w:sz w:val="26"/>
        </w:rPr>
      </w:pPr>
    </w:p>
    <w:p>
      <w:pPr>
        <w:pStyle w:val="BodyText"/>
        <w:spacing w:before="8"/>
        <w:rPr>
          <w:sz w:val="25"/>
        </w:rPr>
      </w:pPr>
    </w:p>
    <w:p>
      <w:pPr>
        <w:pStyle w:val="BodyText"/>
        <w:spacing w:line="322" w:lineRule="exact" w:before="1"/>
        <w:ind w:left="2215" w:right="77"/>
        <w:jc w:val="center"/>
      </w:pPr>
      <w:r>
        <w:rPr>
          <w:sz w:val="28"/>
        </w:rPr>
        <w:t>“</w:t>
      </w:r>
      <w:r>
        <w:rPr/>
        <w:t>CALIDAD DE LA CARNE Y CONTAMINACIÓN MICROBIOLÓGICA</w:t>
      </w:r>
    </w:p>
    <w:p>
      <w:pPr>
        <w:spacing w:line="240" w:lineRule="auto" w:before="0"/>
        <w:ind w:left="2412" w:right="269" w:hanging="1"/>
        <w:jc w:val="center"/>
        <w:rPr>
          <w:sz w:val="28"/>
        </w:rPr>
      </w:pPr>
      <w:r>
        <w:rPr>
          <w:sz w:val="24"/>
        </w:rPr>
        <w:t>POR </w:t>
      </w:r>
      <w:r>
        <w:rPr>
          <w:i/>
          <w:sz w:val="24"/>
        </w:rPr>
        <w:t>Staphylococcus aureus </w:t>
      </w:r>
      <w:r>
        <w:rPr>
          <w:sz w:val="24"/>
        </w:rPr>
        <w:t>METICILINA RESISTENTES EN CANALES DE CONEJOS (</w:t>
      </w:r>
      <w:r>
        <w:rPr>
          <w:i/>
          <w:sz w:val="24"/>
        </w:rPr>
        <w:t>Oryctolagus cuniculus</w:t>
      </w:r>
      <w:r>
        <w:rPr>
          <w:sz w:val="24"/>
        </w:rPr>
        <w:t>) PROCEDENTES DE UNIDADES DE PRODUCCIÓN FAMILIAR DEL VALLE DE TOLUCA</w:t>
      </w:r>
      <w:r>
        <w:rPr>
          <w:sz w:val="28"/>
        </w:rPr>
        <w:t>”</w:t>
      </w:r>
    </w:p>
    <w:p>
      <w:pPr>
        <w:pStyle w:val="BodyText"/>
        <w:rPr>
          <w:sz w:val="28"/>
        </w:rPr>
      </w:pPr>
    </w:p>
    <w:p>
      <w:pPr>
        <w:pStyle w:val="BodyText"/>
        <w:rPr>
          <w:sz w:val="28"/>
        </w:rPr>
      </w:pPr>
    </w:p>
    <w:p>
      <w:pPr>
        <w:spacing w:before="205"/>
        <w:ind w:left="2338" w:right="44" w:firstLine="0"/>
        <w:jc w:val="center"/>
        <w:rPr>
          <w:b/>
          <w:sz w:val="72"/>
        </w:rPr>
      </w:pPr>
      <w:r>
        <w:rPr>
          <w:b/>
          <w:sz w:val="72"/>
        </w:rPr>
        <w:t>TESIS</w:t>
      </w:r>
    </w:p>
    <w:p>
      <w:pPr>
        <w:pStyle w:val="BodyText"/>
        <w:spacing w:before="11"/>
        <w:rPr>
          <w:b/>
          <w:sz w:val="71"/>
        </w:rPr>
      </w:pPr>
    </w:p>
    <w:p>
      <w:pPr>
        <w:pStyle w:val="BodyText"/>
        <w:ind w:left="2796" w:right="495" w:firstLine="1181"/>
      </w:pPr>
      <w:r>
        <w:rPr/>
        <w:t>QUE PARA OBTENER EL GRADO DE: MAESTRO EN CIENCIAS AGROPECUARIAS Y RECURSOS</w:t>
      </w:r>
    </w:p>
    <w:p>
      <w:pPr>
        <w:pStyle w:val="BodyText"/>
        <w:ind w:left="2338" w:right="39"/>
        <w:jc w:val="center"/>
      </w:pPr>
      <w:r>
        <w:rPr/>
        <w:t>NATURALES</w:t>
      </w:r>
    </w:p>
    <w:p>
      <w:pPr>
        <w:pStyle w:val="BodyText"/>
      </w:pPr>
    </w:p>
    <w:p>
      <w:pPr>
        <w:pStyle w:val="BodyText"/>
      </w:pPr>
    </w:p>
    <w:p>
      <w:pPr>
        <w:pStyle w:val="BodyText"/>
      </w:pPr>
    </w:p>
    <w:p>
      <w:pPr>
        <w:pStyle w:val="BodyText"/>
      </w:pPr>
    </w:p>
    <w:p>
      <w:pPr>
        <w:pStyle w:val="BodyText"/>
        <w:ind w:left="2338" w:right="41"/>
        <w:jc w:val="center"/>
      </w:pPr>
      <w:r>
        <w:rPr/>
        <w:t>PRESENTA:</w:t>
      </w:r>
    </w:p>
    <w:p>
      <w:pPr>
        <w:pStyle w:val="BodyText"/>
      </w:pPr>
    </w:p>
    <w:p>
      <w:pPr>
        <w:spacing w:before="0"/>
        <w:ind w:left="2338" w:right="41" w:firstLine="0"/>
        <w:jc w:val="center"/>
        <w:rPr>
          <w:b/>
          <w:sz w:val="24"/>
        </w:rPr>
      </w:pPr>
      <w:r>
        <w:rPr>
          <w:b/>
          <w:sz w:val="24"/>
        </w:rPr>
        <w:t>MVZ. JUAN LUIS RODRÍGUEZ CORREA</w:t>
      </w:r>
    </w:p>
    <w:p>
      <w:pPr>
        <w:pStyle w:val="BodyText"/>
        <w:rPr>
          <w:b/>
        </w:rPr>
      </w:pPr>
    </w:p>
    <w:p>
      <w:pPr>
        <w:pStyle w:val="BodyText"/>
        <w:rPr>
          <w:b/>
        </w:rPr>
      </w:pPr>
    </w:p>
    <w:p>
      <w:pPr>
        <w:pStyle w:val="BodyText"/>
        <w:rPr>
          <w:b/>
        </w:rPr>
      </w:pPr>
    </w:p>
    <w:p>
      <w:pPr>
        <w:pStyle w:val="BodyText"/>
        <w:spacing w:before="2"/>
        <w:rPr>
          <w:b/>
        </w:rPr>
      </w:pPr>
    </w:p>
    <w:p>
      <w:pPr>
        <w:spacing w:before="0"/>
        <w:ind w:left="2338" w:right="37" w:firstLine="0"/>
        <w:jc w:val="center"/>
        <w:rPr>
          <w:sz w:val="22"/>
        </w:rPr>
      </w:pPr>
      <w:r>
        <w:rPr>
          <w:sz w:val="22"/>
        </w:rPr>
        <w:t>El Cerrillo Piedras Blancas, Toluca, Estado de México, Junio de 2016</w:t>
      </w:r>
    </w:p>
    <w:p>
      <w:pPr>
        <w:spacing w:after="0"/>
        <w:jc w:val="center"/>
        <w:rPr>
          <w:sz w:val="22"/>
        </w:rPr>
        <w:sectPr>
          <w:type w:val="continuous"/>
          <w:pgSz w:w="12240" w:h="15840"/>
          <w:pgMar w:top="1500" w:bottom="280" w:left="900" w:right="1440"/>
        </w:sectPr>
      </w:pPr>
    </w:p>
    <w:p>
      <w:pPr>
        <w:pStyle w:val="BodyText"/>
        <w:rPr>
          <w:sz w:val="20"/>
        </w:rPr>
      </w:pPr>
    </w:p>
    <w:p>
      <w:pPr>
        <w:pStyle w:val="BodyText"/>
        <w:spacing w:before="4"/>
        <w:rPr>
          <w:sz w:val="27"/>
        </w:rPr>
      </w:pPr>
    </w:p>
    <w:p>
      <w:pPr>
        <w:spacing w:before="66"/>
        <w:ind w:left="2436" w:right="0" w:firstLine="0"/>
        <w:jc w:val="left"/>
        <w:rPr>
          <w:sz w:val="26"/>
        </w:rPr>
      </w:pPr>
      <w:r>
        <w:rPr/>
        <w:drawing>
          <wp:anchor distT="0" distB="0" distL="0" distR="0" allowOverlap="1" layoutInCell="1" locked="0" behindDoc="1" simplePos="0" relativeHeight="268322063">
            <wp:simplePos x="0" y="0"/>
            <wp:positionH relativeFrom="page">
              <wp:posOffset>871727</wp:posOffset>
            </wp:positionH>
            <wp:positionV relativeFrom="paragraph">
              <wp:posOffset>-83898</wp:posOffset>
            </wp:positionV>
            <wp:extent cx="1223772" cy="10454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23772" cy="1045463"/>
                    </a:xfrm>
                    <a:prstGeom prst="rect">
                      <a:avLst/>
                    </a:prstGeom>
                  </pic:spPr>
                </pic:pic>
              </a:graphicData>
            </a:graphic>
          </wp:anchor>
        </w:drawing>
      </w:r>
      <w:r>
        <w:rPr>
          <w:sz w:val="26"/>
        </w:rPr>
        <w:t>UNIVERSIDAD AUTÓNOMA DEL ESTADO DE MÉXICO</w:t>
      </w:r>
    </w:p>
    <w:p>
      <w:pPr>
        <w:pStyle w:val="BodyText"/>
        <w:spacing w:before="4"/>
        <w:rPr>
          <w:sz w:val="20"/>
        </w:rPr>
      </w:pPr>
    </w:p>
    <w:p>
      <w:pPr>
        <w:spacing w:before="67"/>
        <w:ind w:left="1978" w:right="43" w:firstLine="0"/>
        <w:jc w:val="center"/>
        <w:rPr>
          <w:sz w:val="26"/>
        </w:rPr>
      </w:pPr>
      <w:r>
        <w:rPr>
          <w:sz w:val="26"/>
        </w:rPr>
        <w:t>MAESTRÍA Y DOCTORADO EN CIENCIAS AGROPECUARIAS Y RECURSOS NATURALES</w:t>
      </w:r>
    </w:p>
    <w:p>
      <w:pPr>
        <w:pStyle w:val="BodyText"/>
        <w:rPr>
          <w:sz w:val="26"/>
        </w:rPr>
      </w:pPr>
    </w:p>
    <w:p>
      <w:pPr>
        <w:pStyle w:val="BodyText"/>
        <w:spacing w:before="10"/>
        <w:rPr>
          <w:sz w:val="25"/>
        </w:rPr>
      </w:pPr>
    </w:p>
    <w:p>
      <w:pPr>
        <w:pStyle w:val="BodyText"/>
        <w:spacing w:line="320" w:lineRule="exact"/>
        <w:ind w:left="1855" w:right="77"/>
        <w:jc w:val="center"/>
      </w:pPr>
      <w:r>
        <w:rPr/>
        <w:pict>
          <v:group style="position:absolute;margin-left:108.945pt;margin-top:-12.968191pt;width:2.35pt;height:365.1pt;mso-position-horizontal-relative:page;mso-position-vertical-relative:paragraph;z-index:1072" coordorigin="2179,-259" coordsize="47,7302">
            <v:line style="position:absolute" from="2193,-245" to="2193,7029" stroked="true" strokeweight="1.37pt" strokecolor="#000000"/>
            <v:line style="position:absolute" from="2220,-245" to="2220,7029" stroked="true" strokeweight=".46pt" strokecolor="#000000"/>
            <w10:wrap type="none"/>
          </v:group>
        </w:pict>
      </w:r>
      <w:r>
        <w:rPr/>
        <w:pict>
          <v:group style="position:absolute;margin-left:122.625pt;margin-top:-12.848191pt;width:2.35pt;height:289.850pt;mso-position-horizontal-relative:page;mso-position-vertical-relative:paragraph;z-index:1096" coordorigin="2453,-257" coordsize="47,5797">
            <v:line style="position:absolute" from="2466,-243" to="2466,5526" stroked="true" strokeweight="1.37pt" strokecolor="#000000"/>
            <v:line style="position:absolute" from="2494,-243" to="2494,5526" stroked="true" strokeweight=".46pt" strokecolor="#000000"/>
            <w10:wrap type="none"/>
          </v:group>
        </w:pict>
      </w:r>
      <w:r>
        <w:rPr>
          <w:sz w:val="28"/>
        </w:rPr>
        <w:t>“</w:t>
      </w:r>
      <w:r>
        <w:rPr/>
        <w:t>CALIDAD DE LA CARNE Y CONTAMINACIÓN MICROBIOLÓGICA</w:t>
      </w:r>
    </w:p>
    <w:p>
      <w:pPr>
        <w:spacing w:line="240" w:lineRule="auto" w:before="0"/>
        <w:ind w:left="2052" w:right="269" w:hanging="1"/>
        <w:jc w:val="center"/>
        <w:rPr>
          <w:sz w:val="28"/>
        </w:rPr>
      </w:pPr>
      <w:r>
        <w:rPr>
          <w:sz w:val="24"/>
        </w:rPr>
        <w:t>POR </w:t>
      </w:r>
      <w:r>
        <w:rPr>
          <w:i/>
          <w:sz w:val="24"/>
        </w:rPr>
        <w:t>Staphylococcus aureus </w:t>
      </w:r>
      <w:r>
        <w:rPr>
          <w:sz w:val="24"/>
        </w:rPr>
        <w:t>METICILINA RESISTENTES EN CANALES DE CONEJOS (</w:t>
      </w:r>
      <w:r>
        <w:rPr>
          <w:i/>
          <w:sz w:val="24"/>
        </w:rPr>
        <w:t>Oryctolagus cuniculus</w:t>
      </w:r>
      <w:r>
        <w:rPr>
          <w:sz w:val="24"/>
        </w:rPr>
        <w:t>) PROCEDENTES DE UNIDADES DE PRODUCCIÓN FAMILIAR DEL VALLE DE TOLUCA</w:t>
      </w:r>
      <w:r>
        <w:rPr>
          <w:sz w:val="28"/>
        </w:rPr>
        <w:t>”</w:t>
      </w:r>
    </w:p>
    <w:p>
      <w:pPr>
        <w:pStyle w:val="BodyText"/>
        <w:rPr>
          <w:sz w:val="28"/>
        </w:rPr>
      </w:pPr>
    </w:p>
    <w:p>
      <w:pPr>
        <w:pStyle w:val="BodyText"/>
        <w:rPr>
          <w:sz w:val="22"/>
        </w:rPr>
      </w:pPr>
    </w:p>
    <w:p>
      <w:pPr>
        <w:spacing w:before="0"/>
        <w:ind w:left="1978" w:right="44" w:firstLine="0"/>
        <w:jc w:val="center"/>
        <w:rPr>
          <w:b/>
          <w:sz w:val="72"/>
        </w:rPr>
      </w:pPr>
      <w:r>
        <w:rPr>
          <w:b/>
          <w:sz w:val="72"/>
        </w:rPr>
        <w:t>TESIS</w:t>
      </w:r>
    </w:p>
    <w:p>
      <w:pPr>
        <w:pStyle w:val="BodyText"/>
        <w:spacing w:before="551"/>
        <w:ind w:left="2436" w:right="495" w:firstLine="1181"/>
      </w:pPr>
      <w:r>
        <w:rPr/>
        <w:t>QUE PARA OBTENER EL GRADO DE: MAESTRO EN CIENCIAS AGROPECUARIAS Y RECURSOS</w:t>
      </w:r>
    </w:p>
    <w:p>
      <w:pPr>
        <w:pStyle w:val="BodyText"/>
        <w:ind w:left="1978" w:right="39"/>
        <w:jc w:val="center"/>
      </w:pPr>
      <w:r>
        <w:rPr/>
        <w:t>NATURALES</w:t>
      </w:r>
    </w:p>
    <w:p>
      <w:pPr>
        <w:pStyle w:val="BodyText"/>
      </w:pPr>
    </w:p>
    <w:p>
      <w:pPr>
        <w:pStyle w:val="BodyText"/>
      </w:pPr>
    </w:p>
    <w:p>
      <w:pPr>
        <w:pStyle w:val="BodyText"/>
      </w:pPr>
    </w:p>
    <w:p>
      <w:pPr>
        <w:pStyle w:val="BodyText"/>
      </w:pPr>
    </w:p>
    <w:p>
      <w:pPr>
        <w:pStyle w:val="BodyText"/>
        <w:ind w:left="1978" w:right="41"/>
        <w:jc w:val="center"/>
      </w:pPr>
      <w:r>
        <w:rPr/>
        <w:t>PRESENTA:</w:t>
      </w:r>
    </w:p>
    <w:p>
      <w:pPr>
        <w:pStyle w:val="BodyText"/>
      </w:pPr>
    </w:p>
    <w:p>
      <w:pPr>
        <w:spacing w:before="0"/>
        <w:ind w:left="3478" w:right="0" w:firstLine="0"/>
        <w:jc w:val="left"/>
        <w:rPr>
          <w:b/>
          <w:sz w:val="24"/>
        </w:rPr>
      </w:pPr>
      <w:r>
        <w:rPr>
          <w:b/>
          <w:sz w:val="24"/>
        </w:rPr>
        <w:t>MVZ. JUAN LUIS RODRÍGUEZ CORREA</w:t>
      </w:r>
    </w:p>
    <w:p>
      <w:pPr>
        <w:spacing w:line="500" w:lineRule="atLeast" w:before="28"/>
        <w:ind w:left="4712" w:right="2434" w:hanging="34"/>
        <w:jc w:val="left"/>
        <w:rPr>
          <w:b/>
          <w:sz w:val="22"/>
        </w:rPr>
      </w:pPr>
      <w:r>
        <w:rPr>
          <w:b/>
          <w:sz w:val="22"/>
        </w:rPr>
        <w:t>COMITÉ DE TUTORES: DIRECTO DE TESIS</w:t>
      </w:r>
    </w:p>
    <w:p>
      <w:pPr>
        <w:spacing w:before="2"/>
        <w:ind w:left="1978" w:right="41" w:firstLine="0"/>
        <w:jc w:val="center"/>
        <w:rPr>
          <w:b/>
          <w:sz w:val="22"/>
        </w:rPr>
      </w:pPr>
      <w:r>
        <w:rPr>
          <w:b/>
          <w:sz w:val="22"/>
        </w:rPr>
        <w:t>Dr. VALENTE VELAZQUEZ ORDOÑEZ</w:t>
      </w:r>
    </w:p>
    <w:p>
      <w:pPr>
        <w:pStyle w:val="BodyText"/>
        <w:rPr>
          <w:b/>
          <w:sz w:val="22"/>
        </w:rPr>
      </w:pPr>
    </w:p>
    <w:p>
      <w:pPr>
        <w:spacing w:line="252" w:lineRule="exact" w:before="0"/>
        <w:ind w:left="1978" w:right="42" w:firstLine="0"/>
        <w:jc w:val="center"/>
        <w:rPr>
          <w:b/>
          <w:sz w:val="22"/>
        </w:rPr>
      </w:pPr>
      <w:r>
        <w:rPr>
          <w:b/>
          <w:sz w:val="22"/>
        </w:rPr>
        <w:t>ASESORES</w:t>
      </w:r>
    </w:p>
    <w:p>
      <w:pPr>
        <w:spacing w:line="252" w:lineRule="exact" w:before="0"/>
        <w:ind w:left="1733" w:right="77" w:firstLine="0"/>
        <w:jc w:val="center"/>
        <w:rPr>
          <w:b/>
          <w:sz w:val="22"/>
        </w:rPr>
      </w:pPr>
      <w:r>
        <w:rPr>
          <w:b/>
          <w:sz w:val="22"/>
        </w:rPr>
        <w:t>Dr. IGNACIO ARTURO DOMINGUEZ VARA</w:t>
      </w:r>
    </w:p>
    <w:p>
      <w:pPr>
        <w:spacing w:line="252" w:lineRule="exact" w:before="0"/>
        <w:ind w:left="3697" w:right="0" w:firstLine="0"/>
        <w:jc w:val="left"/>
        <w:rPr>
          <w:b/>
          <w:sz w:val="22"/>
        </w:rPr>
      </w:pPr>
      <w:r>
        <w:rPr>
          <w:b/>
          <w:sz w:val="22"/>
        </w:rPr>
        <w:t>M. en C. BENJAMIN VALLADARES CARRANZA</w:t>
      </w:r>
    </w:p>
    <w:p>
      <w:pPr>
        <w:pStyle w:val="BodyText"/>
        <w:rPr>
          <w:b/>
          <w:sz w:val="22"/>
        </w:rPr>
      </w:pPr>
    </w:p>
    <w:p>
      <w:pPr>
        <w:pStyle w:val="BodyText"/>
        <w:rPr>
          <w:b/>
          <w:sz w:val="22"/>
        </w:rPr>
      </w:pPr>
    </w:p>
    <w:p>
      <w:pPr>
        <w:pStyle w:val="BodyText"/>
        <w:rPr>
          <w:b/>
          <w:sz w:val="22"/>
        </w:rPr>
      </w:pPr>
    </w:p>
    <w:p>
      <w:pPr>
        <w:pStyle w:val="BodyText"/>
        <w:spacing w:before="7"/>
        <w:rPr>
          <w:b/>
          <w:sz w:val="23"/>
        </w:rPr>
      </w:pPr>
    </w:p>
    <w:p>
      <w:pPr>
        <w:spacing w:before="0"/>
        <w:ind w:left="1978" w:right="37" w:firstLine="0"/>
        <w:jc w:val="center"/>
        <w:rPr>
          <w:sz w:val="22"/>
        </w:rPr>
      </w:pPr>
      <w:r>
        <w:rPr>
          <w:sz w:val="22"/>
        </w:rPr>
        <w:t>El Cerrillo Piedras Blancas, Toluca, Estado de México, Junio de 2016</w:t>
      </w:r>
    </w:p>
    <w:p>
      <w:pPr>
        <w:spacing w:after="0"/>
        <w:jc w:val="center"/>
        <w:rPr>
          <w:sz w:val="22"/>
        </w:rPr>
        <w:sectPr>
          <w:pgSz w:w="12240" w:h="15840"/>
          <w:pgMar w:top="1500" w:bottom="280" w:left="1260" w:right="1440"/>
        </w:sectPr>
      </w:pPr>
    </w:p>
    <w:p>
      <w:pPr>
        <w:pStyle w:val="BodyText"/>
        <w:rPr>
          <w:sz w:val="20"/>
        </w:rPr>
      </w:pPr>
    </w:p>
    <w:p>
      <w:pPr>
        <w:pStyle w:val="BodyText"/>
        <w:rPr>
          <w:sz w:val="20"/>
        </w:rPr>
      </w:pPr>
    </w:p>
    <w:p>
      <w:pPr>
        <w:pStyle w:val="BodyText"/>
        <w:spacing w:before="5"/>
        <w:rPr>
          <w:sz w:val="21"/>
        </w:rPr>
      </w:pPr>
    </w:p>
    <w:p>
      <w:pPr>
        <w:spacing w:before="69"/>
        <w:ind w:left="2262" w:right="0" w:firstLine="0"/>
        <w:jc w:val="left"/>
        <w:rPr>
          <w:b/>
          <w:sz w:val="24"/>
        </w:rPr>
      </w:pPr>
      <w:r>
        <w:rPr>
          <w:b/>
          <w:sz w:val="24"/>
        </w:rPr>
        <w:t>AGRADECIMIENTOS INSTITUCIONALES</w:t>
      </w:r>
    </w:p>
    <w:p>
      <w:pPr>
        <w:pStyle w:val="BodyText"/>
        <w:spacing w:before="10"/>
        <w:rPr>
          <w:b/>
          <w:sz w:val="20"/>
        </w:rPr>
      </w:pPr>
    </w:p>
    <w:p>
      <w:pPr>
        <w:pStyle w:val="BodyText"/>
        <w:ind w:left="152" w:right="110"/>
        <w:jc w:val="both"/>
      </w:pPr>
      <w:r>
        <w:rPr/>
        <w:t>Al</w:t>
      </w:r>
      <w:r>
        <w:rPr>
          <w:spacing w:val="-7"/>
        </w:rPr>
        <w:t> </w:t>
      </w:r>
      <w:r>
        <w:rPr/>
        <w:t>Consejo</w:t>
      </w:r>
      <w:r>
        <w:rPr>
          <w:spacing w:val="-6"/>
        </w:rPr>
        <w:t> </w:t>
      </w:r>
      <w:r>
        <w:rPr/>
        <w:t>Nacional</w:t>
      </w:r>
      <w:r>
        <w:rPr>
          <w:spacing w:val="-7"/>
        </w:rPr>
        <w:t> </w:t>
      </w:r>
      <w:r>
        <w:rPr/>
        <w:t>de</w:t>
      </w:r>
      <w:r>
        <w:rPr>
          <w:spacing w:val="-6"/>
        </w:rPr>
        <w:t> </w:t>
      </w:r>
      <w:r>
        <w:rPr/>
        <w:t>Ciencia</w:t>
      </w:r>
      <w:r>
        <w:rPr>
          <w:spacing w:val="-6"/>
        </w:rPr>
        <w:t> </w:t>
      </w:r>
      <w:r>
        <w:rPr/>
        <w:t>y</w:t>
      </w:r>
      <w:r>
        <w:rPr>
          <w:spacing w:val="-9"/>
        </w:rPr>
        <w:t> </w:t>
      </w:r>
      <w:r>
        <w:rPr/>
        <w:t>Tecnología</w:t>
      </w:r>
      <w:r>
        <w:rPr>
          <w:spacing w:val="-6"/>
        </w:rPr>
        <w:t> </w:t>
      </w:r>
      <w:r>
        <w:rPr/>
        <w:t>(CONACyT)</w:t>
      </w:r>
      <w:r>
        <w:rPr>
          <w:spacing w:val="-7"/>
        </w:rPr>
        <w:t> </w:t>
      </w:r>
      <w:r>
        <w:rPr/>
        <w:t>por</w:t>
      </w:r>
      <w:r>
        <w:rPr>
          <w:spacing w:val="-7"/>
        </w:rPr>
        <w:t> </w:t>
      </w:r>
      <w:r>
        <w:rPr/>
        <w:t>la</w:t>
      </w:r>
      <w:r>
        <w:rPr>
          <w:spacing w:val="-6"/>
        </w:rPr>
        <w:t> </w:t>
      </w:r>
      <w:r>
        <w:rPr/>
        <w:t>beca</w:t>
      </w:r>
      <w:r>
        <w:rPr>
          <w:spacing w:val="-6"/>
        </w:rPr>
        <w:t> </w:t>
      </w:r>
      <w:r>
        <w:rPr/>
        <w:t>otorgada</w:t>
      </w:r>
      <w:r>
        <w:rPr>
          <w:spacing w:val="-6"/>
        </w:rPr>
        <w:t> </w:t>
      </w:r>
      <w:r>
        <w:rPr/>
        <w:t>con número de registro becario 587319, para cursar los estudios de Maestría en Ciencias Agropecuarias y Recursos</w:t>
      </w:r>
      <w:r>
        <w:rPr>
          <w:spacing w:val="-15"/>
        </w:rPr>
        <w:t> </w:t>
      </w:r>
      <w:r>
        <w:rPr/>
        <w:t>Naturales.</w:t>
      </w:r>
    </w:p>
    <w:p>
      <w:pPr>
        <w:pStyle w:val="BodyText"/>
      </w:pPr>
    </w:p>
    <w:p>
      <w:pPr>
        <w:pStyle w:val="BodyText"/>
        <w:ind w:left="152" w:right="106"/>
        <w:jc w:val="both"/>
      </w:pPr>
      <w:r>
        <w:rPr/>
        <w:t>Al</w:t>
      </w:r>
      <w:r>
        <w:rPr>
          <w:spacing w:val="-7"/>
        </w:rPr>
        <w:t> </w:t>
      </w:r>
      <w:r>
        <w:rPr/>
        <w:t>Consejo</w:t>
      </w:r>
      <w:r>
        <w:rPr>
          <w:spacing w:val="-9"/>
        </w:rPr>
        <w:t> </w:t>
      </w:r>
      <w:r>
        <w:rPr/>
        <w:t>Mexiquense</w:t>
      </w:r>
      <w:r>
        <w:rPr>
          <w:spacing w:val="-6"/>
        </w:rPr>
        <w:t> </w:t>
      </w:r>
      <w:r>
        <w:rPr/>
        <w:t>de</w:t>
      </w:r>
      <w:r>
        <w:rPr>
          <w:spacing w:val="-8"/>
        </w:rPr>
        <w:t> </w:t>
      </w:r>
      <w:r>
        <w:rPr/>
        <w:t>Ciencia</w:t>
      </w:r>
      <w:r>
        <w:rPr>
          <w:spacing w:val="-6"/>
        </w:rPr>
        <w:t> </w:t>
      </w:r>
      <w:r>
        <w:rPr/>
        <w:t>y</w:t>
      </w:r>
      <w:r>
        <w:rPr>
          <w:spacing w:val="-12"/>
        </w:rPr>
        <w:t> </w:t>
      </w:r>
      <w:r>
        <w:rPr/>
        <w:t>Tecnología</w:t>
      </w:r>
      <w:r>
        <w:rPr>
          <w:spacing w:val="-6"/>
        </w:rPr>
        <w:t> </w:t>
      </w:r>
      <w:r>
        <w:rPr/>
        <w:t>(COMECYT)</w:t>
      </w:r>
      <w:r>
        <w:rPr>
          <w:spacing w:val="-7"/>
        </w:rPr>
        <w:t> </w:t>
      </w:r>
      <w:r>
        <w:rPr/>
        <w:t>por</w:t>
      </w:r>
      <w:r>
        <w:rPr>
          <w:spacing w:val="-7"/>
        </w:rPr>
        <w:t> </w:t>
      </w:r>
      <w:r>
        <w:rPr/>
        <w:t>la</w:t>
      </w:r>
      <w:r>
        <w:rPr>
          <w:spacing w:val="-9"/>
        </w:rPr>
        <w:t> </w:t>
      </w:r>
      <w:r>
        <w:rPr/>
        <w:t>beca</w:t>
      </w:r>
      <w:r>
        <w:rPr>
          <w:spacing w:val="-8"/>
        </w:rPr>
        <w:t> </w:t>
      </w:r>
      <w:r>
        <w:rPr/>
        <w:t>de</w:t>
      </w:r>
      <w:r>
        <w:rPr>
          <w:spacing w:val="-6"/>
        </w:rPr>
        <w:t> </w:t>
      </w:r>
      <w:r>
        <w:rPr/>
        <w:t>apoyo a estudiantes destacados para asistir al congreso de inocuidad en noviembre del 2015 en Puerto vallarta,</w:t>
      </w:r>
      <w:r>
        <w:rPr>
          <w:spacing w:val="-16"/>
        </w:rPr>
        <w:t> </w:t>
      </w:r>
      <w:r>
        <w:rPr/>
        <w:t>México.</w:t>
      </w:r>
    </w:p>
    <w:p>
      <w:pPr>
        <w:pStyle w:val="BodyText"/>
      </w:pPr>
    </w:p>
    <w:p>
      <w:pPr>
        <w:pStyle w:val="BodyText"/>
        <w:spacing w:line="276" w:lineRule="auto"/>
        <w:ind w:left="152" w:right="106"/>
        <w:jc w:val="both"/>
      </w:pPr>
      <w:r>
        <w:rPr/>
        <w:t>Al</w:t>
      </w:r>
      <w:r>
        <w:rPr>
          <w:spacing w:val="-8"/>
        </w:rPr>
        <w:t> </w:t>
      </w:r>
      <w:r>
        <w:rPr/>
        <w:t>Proyecto</w:t>
      </w:r>
      <w:r>
        <w:rPr>
          <w:spacing w:val="-9"/>
        </w:rPr>
        <w:t> </w:t>
      </w:r>
      <w:r>
        <w:rPr/>
        <w:t>de</w:t>
      </w:r>
      <w:r>
        <w:rPr>
          <w:spacing w:val="-9"/>
        </w:rPr>
        <w:t> </w:t>
      </w:r>
      <w:r>
        <w:rPr/>
        <w:t>Investigación:</w:t>
      </w:r>
      <w:r>
        <w:rPr>
          <w:spacing w:val="-7"/>
        </w:rPr>
        <w:t> </w:t>
      </w:r>
      <w:r>
        <w:rPr/>
        <w:t>Variación</w:t>
      </w:r>
      <w:r>
        <w:rPr>
          <w:spacing w:val="-7"/>
        </w:rPr>
        <w:t> </w:t>
      </w:r>
      <w:r>
        <w:rPr/>
        <w:t>genética</w:t>
      </w:r>
      <w:r>
        <w:rPr>
          <w:spacing w:val="-7"/>
        </w:rPr>
        <w:t> </w:t>
      </w:r>
      <w:r>
        <w:rPr/>
        <w:t>del</w:t>
      </w:r>
      <w:r>
        <w:rPr>
          <w:spacing w:val="-8"/>
        </w:rPr>
        <w:t> </w:t>
      </w:r>
      <w:r>
        <w:rPr/>
        <w:t>aislamiento</w:t>
      </w:r>
      <w:r>
        <w:rPr>
          <w:spacing w:val="-9"/>
        </w:rPr>
        <w:t> </w:t>
      </w:r>
      <w:r>
        <w:rPr/>
        <w:t>de</w:t>
      </w:r>
      <w:r>
        <w:rPr>
          <w:spacing w:val="-6"/>
        </w:rPr>
        <w:t> </w:t>
      </w:r>
      <w:r>
        <w:rPr>
          <w:i/>
        </w:rPr>
        <w:t>Staphylococcus </w:t>
      </w:r>
      <w:r>
        <w:rPr>
          <w:i/>
        </w:rPr>
        <w:t>aureus </w:t>
      </w:r>
      <w:r>
        <w:rPr/>
        <w:t>MRSA obtenidos de vacas lecheras en unidades de producción familiar. Clave: 3848/2013</w:t>
      </w:r>
      <w:r>
        <w:rPr>
          <w:spacing w:val="-12"/>
        </w:rPr>
        <w:t> </w:t>
      </w:r>
      <w:r>
        <w:rPr/>
        <w:t>CHT</w:t>
      </w:r>
    </w:p>
    <w:p>
      <w:pPr>
        <w:pStyle w:val="BodyText"/>
        <w:spacing w:before="200"/>
        <w:ind w:left="152" w:right="115"/>
        <w:jc w:val="both"/>
      </w:pPr>
      <w:r>
        <w:rPr/>
        <w:t>Al</w:t>
      </w:r>
      <w:r>
        <w:rPr>
          <w:spacing w:val="-12"/>
        </w:rPr>
        <w:t> </w:t>
      </w:r>
      <w:r>
        <w:rPr/>
        <w:t>Centro</w:t>
      </w:r>
      <w:r>
        <w:rPr>
          <w:spacing w:val="-11"/>
        </w:rPr>
        <w:t> </w:t>
      </w:r>
      <w:r>
        <w:rPr/>
        <w:t>de</w:t>
      </w:r>
      <w:r>
        <w:rPr>
          <w:spacing w:val="-11"/>
        </w:rPr>
        <w:t> </w:t>
      </w:r>
      <w:r>
        <w:rPr/>
        <w:t>Investigación</w:t>
      </w:r>
      <w:r>
        <w:rPr>
          <w:spacing w:val="-10"/>
        </w:rPr>
        <w:t> </w:t>
      </w:r>
      <w:r>
        <w:rPr/>
        <w:t>y</w:t>
      </w:r>
      <w:r>
        <w:rPr>
          <w:spacing w:val="-14"/>
        </w:rPr>
        <w:t> </w:t>
      </w:r>
      <w:r>
        <w:rPr/>
        <w:t>Estudios</w:t>
      </w:r>
      <w:r>
        <w:rPr>
          <w:spacing w:val="-11"/>
        </w:rPr>
        <w:t> </w:t>
      </w:r>
      <w:r>
        <w:rPr/>
        <w:t>Avanzados</w:t>
      </w:r>
      <w:r>
        <w:rPr>
          <w:spacing w:val="-12"/>
        </w:rPr>
        <w:t> </w:t>
      </w:r>
      <w:r>
        <w:rPr/>
        <w:t>en</w:t>
      </w:r>
      <w:r>
        <w:rPr>
          <w:spacing w:val="-13"/>
        </w:rPr>
        <w:t> </w:t>
      </w:r>
      <w:r>
        <w:rPr/>
        <w:t>Salud</w:t>
      </w:r>
      <w:r>
        <w:rPr>
          <w:spacing w:val="-13"/>
        </w:rPr>
        <w:t> </w:t>
      </w:r>
      <w:r>
        <w:rPr/>
        <w:t>Animal</w:t>
      </w:r>
      <w:r>
        <w:rPr>
          <w:spacing w:val="-12"/>
        </w:rPr>
        <w:t> </w:t>
      </w:r>
      <w:r>
        <w:rPr/>
        <w:t>de</w:t>
      </w:r>
      <w:r>
        <w:rPr>
          <w:spacing w:val="-11"/>
        </w:rPr>
        <w:t> </w:t>
      </w:r>
      <w:r>
        <w:rPr/>
        <w:t>la</w:t>
      </w:r>
      <w:r>
        <w:rPr>
          <w:spacing w:val="-11"/>
        </w:rPr>
        <w:t> </w:t>
      </w:r>
      <w:r>
        <w:rPr/>
        <w:t>Facultad</w:t>
      </w:r>
      <w:r>
        <w:rPr>
          <w:spacing w:val="-11"/>
        </w:rPr>
        <w:t> </w:t>
      </w:r>
      <w:r>
        <w:rPr/>
        <w:t>de Medicina</w:t>
      </w:r>
      <w:r>
        <w:rPr>
          <w:spacing w:val="-19"/>
        </w:rPr>
        <w:t> </w:t>
      </w:r>
      <w:r>
        <w:rPr/>
        <w:t>Veterinaria</w:t>
      </w:r>
      <w:r>
        <w:rPr>
          <w:spacing w:val="-17"/>
        </w:rPr>
        <w:t> </w:t>
      </w:r>
      <w:r>
        <w:rPr/>
        <w:t>y</w:t>
      </w:r>
      <w:r>
        <w:rPr>
          <w:spacing w:val="-22"/>
        </w:rPr>
        <w:t> </w:t>
      </w:r>
      <w:r>
        <w:rPr/>
        <w:t>Zootecnia</w:t>
      </w:r>
      <w:r>
        <w:rPr>
          <w:spacing w:val="-19"/>
        </w:rPr>
        <w:t> </w:t>
      </w:r>
      <w:r>
        <w:rPr/>
        <w:t>de</w:t>
      </w:r>
      <w:r>
        <w:rPr>
          <w:spacing w:val="-19"/>
        </w:rPr>
        <w:t> </w:t>
      </w:r>
      <w:r>
        <w:rPr/>
        <w:t>la</w:t>
      </w:r>
      <w:r>
        <w:rPr>
          <w:spacing w:val="-17"/>
        </w:rPr>
        <w:t> </w:t>
      </w:r>
      <w:r>
        <w:rPr/>
        <w:t>Universidad</w:t>
      </w:r>
      <w:r>
        <w:rPr>
          <w:spacing w:val="-19"/>
        </w:rPr>
        <w:t> </w:t>
      </w:r>
      <w:r>
        <w:rPr/>
        <w:t>Autónoma</w:t>
      </w:r>
      <w:r>
        <w:rPr>
          <w:spacing w:val="-17"/>
        </w:rPr>
        <w:t> </w:t>
      </w:r>
      <w:r>
        <w:rPr/>
        <w:t>del</w:t>
      </w:r>
      <w:r>
        <w:rPr>
          <w:spacing w:val="-18"/>
        </w:rPr>
        <w:t> </w:t>
      </w:r>
      <w:r>
        <w:rPr/>
        <w:t>Estado</w:t>
      </w:r>
      <w:r>
        <w:rPr>
          <w:spacing w:val="-19"/>
        </w:rPr>
        <w:t> </w:t>
      </w:r>
      <w:r>
        <w:rPr/>
        <w:t>de</w:t>
      </w:r>
      <w:r>
        <w:rPr>
          <w:spacing w:val="-17"/>
        </w:rPr>
        <w:t> </w:t>
      </w:r>
      <w:r>
        <w:rPr/>
        <w:t>México, por las facilidades otorgadas en la realización del presente</w:t>
      </w:r>
      <w:r>
        <w:rPr>
          <w:spacing w:val="-21"/>
        </w:rPr>
        <w:t> </w:t>
      </w:r>
      <w:r>
        <w:rPr/>
        <w:t>trabajo.</w:t>
      </w:r>
    </w:p>
    <w:p>
      <w:pPr>
        <w:pStyle w:val="BodyText"/>
      </w:pPr>
    </w:p>
    <w:p>
      <w:pPr>
        <w:pStyle w:val="BodyText"/>
        <w:ind w:left="152" w:right="108"/>
        <w:jc w:val="both"/>
      </w:pPr>
      <w:r>
        <w:rPr/>
        <w:t>A</w:t>
      </w:r>
      <w:r>
        <w:rPr>
          <w:spacing w:val="-12"/>
        </w:rPr>
        <w:t> </w:t>
      </w:r>
      <w:r>
        <w:rPr/>
        <w:t>mis</w:t>
      </w:r>
      <w:r>
        <w:rPr>
          <w:spacing w:val="-15"/>
        </w:rPr>
        <w:t> </w:t>
      </w:r>
      <w:r>
        <w:rPr/>
        <w:t>asesores</w:t>
      </w:r>
      <w:r>
        <w:rPr>
          <w:spacing w:val="-12"/>
        </w:rPr>
        <w:t> </w:t>
      </w:r>
      <w:r>
        <w:rPr/>
        <w:t>Dr.</w:t>
      </w:r>
      <w:r>
        <w:rPr>
          <w:spacing w:val="-14"/>
        </w:rPr>
        <w:t> </w:t>
      </w:r>
      <w:r>
        <w:rPr/>
        <w:t>Valente</w:t>
      </w:r>
      <w:r>
        <w:rPr>
          <w:spacing w:val="-14"/>
        </w:rPr>
        <w:t> </w:t>
      </w:r>
      <w:r>
        <w:rPr/>
        <w:t>Velázquez</w:t>
      </w:r>
      <w:r>
        <w:rPr>
          <w:spacing w:val="-15"/>
        </w:rPr>
        <w:t> </w:t>
      </w:r>
      <w:r>
        <w:rPr/>
        <w:t>Ordoñez,</w:t>
      </w:r>
      <w:r>
        <w:rPr>
          <w:spacing w:val="-12"/>
        </w:rPr>
        <w:t> </w:t>
      </w:r>
      <w:r>
        <w:rPr/>
        <w:t>Dr.</w:t>
      </w:r>
      <w:r>
        <w:rPr>
          <w:spacing w:val="-7"/>
        </w:rPr>
        <w:t> </w:t>
      </w:r>
      <w:r>
        <w:rPr/>
        <w:t>Ignacio</w:t>
      </w:r>
      <w:r>
        <w:rPr>
          <w:spacing w:val="-14"/>
        </w:rPr>
        <w:t> </w:t>
      </w:r>
      <w:r>
        <w:rPr/>
        <w:t>Arturo</w:t>
      </w:r>
      <w:r>
        <w:rPr>
          <w:spacing w:val="-15"/>
        </w:rPr>
        <w:t> </w:t>
      </w:r>
      <w:r>
        <w:rPr/>
        <w:t>Dominguez</w:t>
      </w:r>
      <w:r>
        <w:rPr>
          <w:spacing w:val="-15"/>
        </w:rPr>
        <w:t> </w:t>
      </w:r>
      <w:r>
        <w:rPr/>
        <w:t>Vara y</w:t>
      </w:r>
      <w:r>
        <w:rPr>
          <w:spacing w:val="-12"/>
        </w:rPr>
        <w:t> </w:t>
      </w:r>
      <w:r>
        <w:rPr/>
        <w:t>M.</w:t>
      </w:r>
      <w:r>
        <w:rPr>
          <w:spacing w:val="-9"/>
        </w:rPr>
        <w:t> </w:t>
      </w:r>
      <w:r>
        <w:rPr/>
        <w:t>en</w:t>
      </w:r>
      <w:r>
        <w:rPr>
          <w:spacing w:val="-8"/>
        </w:rPr>
        <w:t> </w:t>
      </w:r>
      <w:r>
        <w:rPr/>
        <w:t>C.</w:t>
      </w:r>
      <w:r>
        <w:rPr>
          <w:spacing w:val="50"/>
        </w:rPr>
        <w:t> </w:t>
      </w:r>
      <w:r>
        <w:rPr/>
        <w:t>Benjamin</w:t>
      </w:r>
      <w:r>
        <w:rPr>
          <w:spacing w:val="-9"/>
        </w:rPr>
        <w:t> </w:t>
      </w:r>
      <w:r>
        <w:rPr/>
        <w:t>Valladares</w:t>
      </w:r>
      <w:r>
        <w:rPr>
          <w:spacing w:val="-9"/>
        </w:rPr>
        <w:t> </w:t>
      </w:r>
      <w:r>
        <w:rPr/>
        <w:t>Carranza</w:t>
      </w:r>
      <w:r>
        <w:rPr>
          <w:spacing w:val="-5"/>
        </w:rPr>
        <w:t> </w:t>
      </w:r>
      <w:r>
        <w:rPr/>
        <w:t>por</w:t>
      </w:r>
      <w:r>
        <w:rPr>
          <w:spacing w:val="-10"/>
        </w:rPr>
        <w:t> </w:t>
      </w:r>
      <w:r>
        <w:rPr/>
        <w:t>el</w:t>
      </w:r>
      <w:r>
        <w:rPr>
          <w:spacing w:val="-10"/>
        </w:rPr>
        <w:t> </w:t>
      </w:r>
      <w:r>
        <w:rPr/>
        <w:t>apoyo</w:t>
      </w:r>
      <w:r>
        <w:rPr>
          <w:spacing w:val="-8"/>
        </w:rPr>
        <w:t> </w:t>
      </w:r>
      <w:r>
        <w:rPr/>
        <w:t>y</w:t>
      </w:r>
      <w:r>
        <w:rPr>
          <w:spacing w:val="-12"/>
        </w:rPr>
        <w:t> </w:t>
      </w:r>
      <w:r>
        <w:rPr/>
        <w:t>tiempo</w:t>
      </w:r>
      <w:r>
        <w:rPr>
          <w:spacing w:val="-8"/>
        </w:rPr>
        <w:t> </w:t>
      </w:r>
      <w:r>
        <w:rPr/>
        <w:t>que</w:t>
      </w:r>
      <w:r>
        <w:rPr>
          <w:spacing w:val="-11"/>
        </w:rPr>
        <w:t> </w:t>
      </w:r>
      <w:r>
        <w:rPr/>
        <w:t>brindaron</w:t>
      </w:r>
      <w:r>
        <w:rPr>
          <w:spacing w:val="-11"/>
        </w:rPr>
        <w:t> </w:t>
      </w:r>
      <w:r>
        <w:rPr/>
        <w:t>para la elaboración de esta</w:t>
      </w:r>
      <w:r>
        <w:rPr>
          <w:spacing w:val="-7"/>
        </w:rPr>
        <w:t> </w:t>
      </w:r>
      <w:r>
        <w:rPr/>
        <w:t>tesis.</w:t>
      </w:r>
    </w:p>
    <w:p>
      <w:pPr>
        <w:pStyle w:val="BodyText"/>
      </w:pPr>
    </w:p>
    <w:p>
      <w:pPr>
        <w:pStyle w:val="BodyText"/>
        <w:spacing w:before="10"/>
        <w:rPr>
          <w:sz w:val="20"/>
        </w:rPr>
      </w:pPr>
    </w:p>
    <w:p>
      <w:pPr>
        <w:pStyle w:val="BodyText"/>
        <w:ind w:left="152" w:right="112"/>
        <w:jc w:val="both"/>
      </w:pPr>
      <w:r>
        <w:rPr/>
        <w:t>A los integrantes de mi sínodo: Dr. Valente Velázquez Ordoñez, Dr. Ignacio Arturo Domínguez Vara, M. en C. Benjamín Balladares Carranza, Dr. Martin Talavera Rojas, Dr. Carlos Bedolla Cedeño, Dr. Alberto Pliego Barbabosa y Ph. D. Raúl C. Fajardo Muñoz</w:t>
      </w:r>
    </w:p>
    <w:p>
      <w:pPr>
        <w:spacing w:after="0"/>
        <w:jc w:val="both"/>
        <w:sectPr>
          <w:footerReference w:type="default" r:id="rId6"/>
          <w:pgSz w:w="12240" w:h="15840"/>
          <w:pgMar w:footer="1386" w:header="0" w:top="1500" w:bottom="1580" w:left="1720" w:right="1420"/>
          <w:pgNumType w:start="3"/>
        </w:sectPr>
      </w:pPr>
    </w:p>
    <w:p>
      <w:pPr>
        <w:pStyle w:val="BodyText"/>
        <w:rPr>
          <w:sz w:val="20"/>
        </w:rPr>
      </w:pPr>
    </w:p>
    <w:p>
      <w:pPr>
        <w:pStyle w:val="BodyText"/>
        <w:rPr>
          <w:sz w:val="20"/>
        </w:rPr>
      </w:pPr>
    </w:p>
    <w:p>
      <w:pPr>
        <w:pStyle w:val="BodyText"/>
        <w:spacing w:before="6"/>
        <w:rPr>
          <w:sz w:val="18"/>
        </w:rPr>
      </w:pPr>
    </w:p>
    <w:p>
      <w:pPr>
        <w:spacing w:before="69"/>
        <w:ind w:left="2569" w:right="0" w:firstLine="0"/>
        <w:jc w:val="left"/>
        <w:rPr>
          <w:b/>
          <w:sz w:val="24"/>
        </w:rPr>
      </w:pPr>
      <w:r>
        <w:rPr>
          <w:b/>
          <w:sz w:val="24"/>
        </w:rPr>
        <w:t>AGRADICIMIENTOS PERSONALES</w:t>
      </w:r>
    </w:p>
    <w:p>
      <w:pPr>
        <w:pStyle w:val="BodyText"/>
        <w:rPr>
          <w:b/>
        </w:rPr>
      </w:pPr>
    </w:p>
    <w:p>
      <w:pPr>
        <w:pStyle w:val="BodyText"/>
        <w:spacing w:before="7"/>
        <w:rPr>
          <w:b/>
          <w:sz w:val="34"/>
        </w:rPr>
      </w:pPr>
    </w:p>
    <w:p>
      <w:pPr>
        <w:pStyle w:val="BodyText"/>
        <w:ind w:left="3342" w:right="112" w:firstLine="763"/>
        <w:jc w:val="right"/>
      </w:pPr>
      <w:r>
        <w:rPr/>
        <w:t>Agradezco a Dios por permitirme estar un día</w:t>
      </w:r>
      <w:r>
        <w:rPr>
          <w:w w:val="99"/>
        </w:rPr>
        <w:t> </w:t>
      </w:r>
      <w:r>
        <w:rPr/>
        <w:t>más cada día, por levantarme en esos momentos de</w:t>
      </w:r>
      <w:r>
        <w:rPr>
          <w:w w:val="99"/>
        </w:rPr>
        <w:t> </w:t>
      </w:r>
      <w:r>
        <w:rPr/>
        <w:t>angustia y de desesperación, cuando todo se vea</w:t>
      </w:r>
    </w:p>
    <w:p>
      <w:pPr>
        <w:pStyle w:val="BodyText"/>
        <w:spacing w:before="2"/>
        <w:ind w:right="108"/>
        <w:jc w:val="right"/>
      </w:pPr>
      <w:r>
        <w:rPr/>
        <w:t>imposible.</w:t>
      </w:r>
    </w:p>
    <w:p>
      <w:pPr>
        <w:pStyle w:val="BodyText"/>
      </w:pPr>
    </w:p>
    <w:p>
      <w:pPr>
        <w:pStyle w:val="BodyText"/>
        <w:spacing w:before="5"/>
        <w:rPr>
          <w:sz w:val="34"/>
        </w:rPr>
      </w:pPr>
    </w:p>
    <w:p>
      <w:pPr>
        <w:pStyle w:val="BodyText"/>
        <w:ind w:left="152" w:right="2565"/>
      </w:pPr>
      <w:r>
        <w:rPr/>
        <w:t>Agradezco a mi esposa Lucero y a mis hijos Arleth y Emilio, ellos son el motor que me impulsa seguir adelante,</w:t>
      </w:r>
    </w:p>
    <w:p>
      <w:pPr>
        <w:pStyle w:val="BodyText"/>
        <w:ind w:left="152" w:right="3484"/>
      </w:pPr>
      <w:r>
        <w:rPr/>
        <w:t>con mucho amor les agradezco que estén conmigo en las buenas y en las malas. Los amo mucho.</w:t>
      </w:r>
    </w:p>
    <w:p>
      <w:pPr>
        <w:pStyle w:val="BodyText"/>
      </w:pPr>
    </w:p>
    <w:p>
      <w:pPr>
        <w:pStyle w:val="BodyText"/>
        <w:spacing w:before="201"/>
        <w:ind w:left="4624" w:right="110" w:hanging="291"/>
        <w:jc w:val="right"/>
      </w:pPr>
      <w:r>
        <w:rPr/>
        <w:t>A mi mamá Paula quien siempre ha estado</w:t>
      </w:r>
      <w:r>
        <w:rPr>
          <w:w w:val="99"/>
        </w:rPr>
        <w:t> </w:t>
      </w:r>
      <w:r>
        <w:rPr/>
        <w:t>conmigo apoyandome en todo momento.</w:t>
      </w:r>
    </w:p>
    <w:p>
      <w:pPr>
        <w:pStyle w:val="BodyText"/>
      </w:pPr>
    </w:p>
    <w:p>
      <w:pPr>
        <w:pStyle w:val="BodyText"/>
        <w:spacing w:before="199"/>
        <w:ind w:left="152" w:right="4579"/>
      </w:pPr>
      <w:r>
        <w:rPr/>
        <w:t>A mis hermanos que siempre creyeron en mi para concluir mis metas</w:t>
      </w:r>
    </w:p>
    <w:p>
      <w:pPr>
        <w:pStyle w:val="BodyText"/>
      </w:pPr>
    </w:p>
    <w:p>
      <w:pPr>
        <w:pStyle w:val="BodyText"/>
        <w:rPr>
          <w:sz w:val="21"/>
        </w:rPr>
      </w:pPr>
    </w:p>
    <w:p>
      <w:pPr>
        <w:pStyle w:val="BodyText"/>
        <w:spacing w:line="276" w:lineRule="auto" w:before="1"/>
        <w:ind w:left="3345" w:right="110" w:firstLine="1068"/>
        <w:jc w:val="right"/>
      </w:pPr>
      <w:r>
        <w:rPr/>
        <w:t>A mis compañeras y compañeros de grado</w:t>
      </w:r>
      <w:r>
        <w:rPr>
          <w:w w:val="99"/>
        </w:rPr>
        <w:t> </w:t>
      </w:r>
      <w:r>
        <w:rPr/>
        <w:t>a Ana, Nancy, Victor por su apoyo en todo momento</w:t>
      </w:r>
      <w:r>
        <w:rPr>
          <w:w w:val="100"/>
        </w:rPr>
        <w:t> </w:t>
      </w:r>
      <w:r>
        <w:rPr/>
        <w:t>para realizar los analisis de laboratorio y sus consejos que me ayudaron mucho durante</w:t>
      </w:r>
    </w:p>
    <w:p>
      <w:pPr>
        <w:pStyle w:val="BodyText"/>
        <w:ind w:right="110"/>
        <w:jc w:val="right"/>
      </w:pPr>
      <w:r>
        <w:rPr/>
        <w:t>mi estancia en el posgrado</w:t>
      </w:r>
    </w:p>
    <w:p>
      <w:pPr>
        <w:pStyle w:val="BodyText"/>
        <w:spacing w:line="237" w:lineRule="auto" w:before="45"/>
        <w:ind w:left="152" w:right="3897"/>
      </w:pPr>
      <w:r>
        <w:rPr>
          <w:rFonts w:ascii="Calibri" w:hAnsi="Calibri"/>
          <w:sz w:val="22"/>
        </w:rPr>
        <w:t>A</w:t>
      </w:r>
      <w:r>
        <w:rPr/>
        <w:t>gradezco el apoyo al personal que labora en el CIESA: Vero, Ely Domingo, Ciro, al conta y a todos mis compañeros que cursan el</w:t>
      </w:r>
    </w:p>
    <w:p>
      <w:pPr>
        <w:pStyle w:val="BodyText"/>
        <w:spacing w:before="1"/>
        <w:ind w:left="152"/>
      </w:pPr>
      <w:r>
        <w:rPr/>
        <w:t>posgrado en el CIESA, gracias por su apoyo.</w:t>
      </w:r>
    </w:p>
    <w:p>
      <w:pPr>
        <w:pStyle w:val="BodyText"/>
        <w:ind w:left="152" w:right="2565"/>
      </w:pPr>
      <w:r>
        <w:rPr/>
        <w:t>Y sobre todo al Charly a Geovas por su apoyo en el lab. de bacteriología, a George por el PCR, a Wael por la Traducción.</w:t>
      </w:r>
    </w:p>
    <w:p>
      <w:pPr>
        <w:spacing w:after="0"/>
        <w:sectPr>
          <w:pgSz w:w="12240" w:h="15840"/>
          <w:pgMar w:header="0" w:footer="1386" w:top="1500" w:bottom="1580" w:left="1720" w:right="1420"/>
        </w:sectPr>
      </w:pPr>
    </w:p>
    <w:p>
      <w:pPr>
        <w:pStyle w:val="BodyText"/>
        <w:spacing w:before="5"/>
        <w:rPr>
          <w:sz w:val="20"/>
        </w:rPr>
      </w:pPr>
    </w:p>
    <w:p>
      <w:pPr>
        <w:pStyle w:val="Heading3"/>
        <w:ind w:right="251"/>
        <w:jc w:val="center"/>
        <w:rPr>
          <w:rFonts w:ascii="Times New Roman"/>
          <w:i/>
        </w:rPr>
      </w:pPr>
      <w:r>
        <w:rPr>
          <w:rFonts w:ascii="Times New Roman"/>
          <w:i/>
        </w:rPr>
        <w:t>DEDICATORIAS</w:t>
      </w:r>
    </w:p>
    <w:p>
      <w:pPr>
        <w:pStyle w:val="BodyText"/>
        <w:rPr>
          <w:rFonts w:ascii="Times New Roman"/>
          <w:b/>
          <w:i/>
        </w:rPr>
      </w:pPr>
    </w:p>
    <w:p>
      <w:pPr>
        <w:pStyle w:val="BodyText"/>
        <w:rPr>
          <w:rFonts w:ascii="Times New Roman"/>
          <w:b/>
          <w:i/>
        </w:rPr>
      </w:pPr>
    </w:p>
    <w:p>
      <w:pPr>
        <w:spacing w:line="268" w:lineRule="auto" w:before="184"/>
        <w:ind w:left="152" w:right="110" w:firstLine="0"/>
        <w:jc w:val="both"/>
        <w:rPr>
          <w:rFonts w:ascii="Times New Roman"/>
          <w:b/>
          <w:i/>
          <w:sz w:val="32"/>
        </w:rPr>
      </w:pPr>
      <w:r>
        <w:rPr>
          <w:rFonts w:ascii="Times New Roman"/>
          <w:b/>
          <w:i/>
          <w:w w:val="90"/>
          <w:sz w:val="32"/>
        </w:rPr>
        <w:t>Este</w:t>
      </w:r>
      <w:r>
        <w:rPr>
          <w:rFonts w:ascii="Times New Roman"/>
          <w:b/>
          <w:i/>
          <w:spacing w:val="-39"/>
          <w:w w:val="90"/>
          <w:sz w:val="32"/>
        </w:rPr>
        <w:t> </w:t>
      </w:r>
      <w:r>
        <w:rPr>
          <w:rFonts w:ascii="Times New Roman"/>
          <w:b/>
          <w:i/>
          <w:w w:val="90"/>
          <w:sz w:val="32"/>
        </w:rPr>
        <w:t>trabajo</w:t>
      </w:r>
      <w:r>
        <w:rPr>
          <w:rFonts w:ascii="Times New Roman"/>
          <w:b/>
          <w:i/>
          <w:spacing w:val="-39"/>
          <w:w w:val="90"/>
          <w:sz w:val="32"/>
        </w:rPr>
        <w:t> </w:t>
      </w:r>
      <w:r>
        <w:rPr>
          <w:rFonts w:ascii="Times New Roman"/>
          <w:b/>
          <w:i/>
          <w:w w:val="90"/>
          <w:sz w:val="32"/>
        </w:rPr>
        <w:t>lo</w:t>
      </w:r>
      <w:r>
        <w:rPr>
          <w:rFonts w:ascii="Times New Roman"/>
          <w:b/>
          <w:i/>
          <w:spacing w:val="-39"/>
          <w:w w:val="90"/>
          <w:sz w:val="32"/>
        </w:rPr>
        <w:t> </w:t>
      </w:r>
      <w:r>
        <w:rPr>
          <w:rFonts w:ascii="Times New Roman"/>
          <w:b/>
          <w:i/>
          <w:w w:val="90"/>
          <w:sz w:val="32"/>
        </w:rPr>
        <w:t>dedico</w:t>
      </w:r>
      <w:r>
        <w:rPr>
          <w:rFonts w:ascii="Times New Roman"/>
          <w:b/>
          <w:i/>
          <w:spacing w:val="-39"/>
          <w:w w:val="90"/>
          <w:sz w:val="32"/>
        </w:rPr>
        <w:t> </w:t>
      </w:r>
      <w:r>
        <w:rPr>
          <w:rFonts w:ascii="Times New Roman"/>
          <w:b/>
          <w:i/>
          <w:w w:val="90"/>
          <w:sz w:val="32"/>
        </w:rPr>
        <w:t>con</w:t>
      </w:r>
      <w:r>
        <w:rPr>
          <w:rFonts w:ascii="Times New Roman"/>
          <w:b/>
          <w:i/>
          <w:spacing w:val="-38"/>
          <w:w w:val="90"/>
          <w:sz w:val="32"/>
        </w:rPr>
        <w:t> </w:t>
      </w:r>
      <w:r>
        <w:rPr>
          <w:rFonts w:ascii="Times New Roman"/>
          <w:b/>
          <w:i/>
          <w:w w:val="90"/>
          <w:sz w:val="32"/>
        </w:rPr>
        <w:t>mucho</w:t>
      </w:r>
      <w:r>
        <w:rPr>
          <w:rFonts w:ascii="Times New Roman"/>
          <w:b/>
          <w:i/>
          <w:spacing w:val="-39"/>
          <w:w w:val="90"/>
          <w:sz w:val="32"/>
        </w:rPr>
        <w:t> </w:t>
      </w:r>
      <w:r>
        <w:rPr>
          <w:rFonts w:ascii="Times New Roman"/>
          <w:b/>
          <w:i/>
          <w:w w:val="90"/>
          <w:sz w:val="32"/>
        </w:rPr>
        <w:t>amor</w:t>
      </w:r>
      <w:r>
        <w:rPr>
          <w:rFonts w:ascii="Times New Roman"/>
          <w:b/>
          <w:i/>
          <w:spacing w:val="-39"/>
          <w:w w:val="90"/>
          <w:sz w:val="32"/>
        </w:rPr>
        <w:t> </w:t>
      </w:r>
      <w:r>
        <w:rPr>
          <w:rFonts w:ascii="Times New Roman"/>
          <w:b/>
          <w:i/>
          <w:w w:val="90"/>
          <w:sz w:val="32"/>
        </w:rPr>
        <w:t>a</w:t>
      </w:r>
      <w:r>
        <w:rPr>
          <w:rFonts w:ascii="Times New Roman"/>
          <w:b/>
          <w:i/>
          <w:spacing w:val="-38"/>
          <w:w w:val="90"/>
          <w:sz w:val="32"/>
        </w:rPr>
        <w:t> </w:t>
      </w:r>
      <w:r>
        <w:rPr>
          <w:rFonts w:ascii="Times New Roman"/>
          <w:b/>
          <w:i/>
          <w:w w:val="90"/>
          <w:sz w:val="32"/>
        </w:rPr>
        <w:t>mi</w:t>
      </w:r>
      <w:r>
        <w:rPr>
          <w:rFonts w:ascii="Times New Roman"/>
          <w:b/>
          <w:i/>
          <w:spacing w:val="-38"/>
          <w:w w:val="90"/>
          <w:sz w:val="32"/>
        </w:rPr>
        <w:t> </w:t>
      </w:r>
      <w:r>
        <w:rPr>
          <w:rFonts w:ascii="Times New Roman"/>
          <w:b/>
          <w:i/>
          <w:w w:val="90"/>
          <w:sz w:val="32"/>
        </w:rPr>
        <w:t>esposa</w:t>
      </w:r>
      <w:r>
        <w:rPr>
          <w:rFonts w:ascii="Times New Roman"/>
          <w:b/>
          <w:i/>
          <w:spacing w:val="-39"/>
          <w:w w:val="90"/>
          <w:sz w:val="32"/>
        </w:rPr>
        <w:t> </w:t>
      </w:r>
      <w:r>
        <w:rPr>
          <w:rFonts w:ascii="Times New Roman"/>
          <w:b/>
          <w:i/>
          <w:w w:val="90"/>
          <w:sz w:val="32"/>
        </w:rPr>
        <w:t>Lucero</w:t>
      </w:r>
      <w:r>
        <w:rPr>
          <w:rFonts w:ascii="Times New Roman"/>
          <w:b/>
          <w:i/>
          <w:spacing w:val="-39"/>
          <w:w w:val="90"/>
          <w:sz w:val="32"/>
        </w:rPr>
        <w:t> </w:t>
      </w:r>
      <w:r>
        <w:rPr>
          <w:rFonts w:ascii="Times New Roman"/>
          <w:b/>
          <w:i/>
          <w:w w:val="90"/>
          <w:sz w:val="32"/>
        </w:rPr>
        <w:t>y</w:t>
      </w:r>
      <w:r>
        <w:rPr>
          <w:rFonts w:ascii="Times New Roman"/>
          <w:b/>
          <w:i/>
          <w:spacing w:val="-35"/>
          <w:w w:val="90"/>
          <w:sz w:val="32"/>
        </w:rPr>
        <w:t> </w:t>
      </w:r>
      <w:r>
        <w:rPr>
          <w:rFonts w:ascii="Times New Roman"/>
          <w:b/>
          <w:i/>
          <w:w w:val="90"/>
          <w:sz w:val="32"/>
        </w:rPr>
        <w:t>a</w:t>
      </w:r>
      <w:r>
        <w:rPr>
          <w:rFonts w:ascii="Times New Roman"/>
          <w:b/>
          <w:i/>
          <w:spacing w:val="-38"/>
          <w:w w:val="90"/>
          <w:sz w:val="32"/>
        </w:rPr>
        <w:t> </w:t>
      </w:r>
      <w:r>
        <w:rPr>
          <w:rFonts w:ascii="Times New Roman"/>
          <w:b/>
          <w:i/>
          <w:w w:val="90"/>
          <w:sz w:val="32"/>
        </w:rPr>
        <w:t>mis</w:t>
      </w:r>
      <w:r>
        <w:rPr>
          <w:rFonts w:ascii="Times New Roman"/>
          <w:b/>
          <w:i/>
          <w:spacing w:val="-39"/>
          <w:w w:val="90"/>
          <w:sz w:val="32"/>
        </w:rPr>
        <w:t> </w:t>
      </w:r>
      <w:r>
        <w:rPr>
          <w:rFonts w:ascii="Times New Roman"/>
          <w:b/>
          <w:i/>
          <w:w w:val="90"/>
          <w:sz w:val="32"/>
        </w:rPr>
        <w:t>hijos</w:t>
      </w:r>
      <w:r>
        <w:rPr>
          <w:rFonts w:ascii="Times New Roman"/>
          <w:b/>
          <w:i/>
          <w:spacing w:val="-39"/>
          <w:w w:val="90"/>
          <w:sz w:val="32"/>
        </w:rPr>
        <w:t> </w:t>
      </w:r>
      <w:r>
        <w:rPr>
          <w:rFonts w:ascii="Times New Roman"/>
          <w:b/>
          <w:i/>
          <w:w w:val="90"/>
          <w:sz w:val="32"/>
        </w:rPr>
        <w:t>Arleth </w:t>
      </w:r>
      <w:r>
        <w:rPr>
          <w:rFonts w:ascii="Times New Roman"/>
          <w:b/>
          <w:i/>
          <w:w w:val="90"/>
          <w:sz w:val="32"/>
        </w:rPr>
        <w:t>y</w:t>
      </w:r>
      <w:r>
        <w:rPr>
          <w:rFonts w:ascii="Times New Roman"/>
          <w:b/>
          <w:i/>
          <w:spacing w:val="-47"/>
          <w:w w:val="90"/>
          <w:sz w:val="32"/>
        </w:rPr>
        <w:t> </w:t>
      </w:r>
      <w:r>
        <w:rPr>
          <w:rFonts w:ascii="Times New Roman"/>
          <w:b/>
          <w:i/>
          <w:w w:val="90"/>
          <w:sz w:val="32"/>
        </w:rPr>
        <w:t>Emilio</w:t>
      </w:r>
    </w:p>
    <w:p>
      <w:pPr>
        <w:pStyle w:val="BodyText"/>
        <w:rPr>
          <w:rFonts w:ascii="Times New Roman"/>
          <w:b/>
          <w:i/>
          <w:sz w:val="32"/>
        </w:rPr>
      </w:pPr>
    </w:p>
    <w:p>
      <w:pPr>
        <w:pStyle w:val="BodyText"/>
        <w:spacing w:before="8"/>
        <w:rPr>
          <w:rFonts w:ascii="Times New Roman"/>
          <w:b/>
          <w:i/>
          <w:sz w:val="38"/>
        </w:rPr>
      </w:pPr>
    </w:p>
    <w:p>
      <w:pPr>
        <w:spacing w:line="268" w:lineRule="auto" w:before="0"/>
        <w:ind w:left="152" w:right="120" w:firstLine="0"/>
        <w:jc w:val="both"/>
        <w:rPr>
          <w:rFonts w:ascii="Times New Roman" w:hAnsi="Times New Roman"/>
          <w:b/>
          <w:i/>
          <w:sz w:val="32"/>
        </w:rPr>
      </w:pPr>
      <w:r>
        <w:rPr>
          <w:rFonts w:ascii="Times New Roman" w:hAnsi="Times New Roman"/>
          <w:b/>
          <w:i/>
          <w:w w:val="90"/>
          <w:sz w:val="32"/>
        </w:rPr>
        <w:t>Se</w:t>
      </w:r>
      <w:r>
        <w:rPr>
          <w:rFonts w:ascii="Times New Roman" w:hAnsi="Times New Roman"/>
          <w:b/>
          <w:i/>
          <w:spacing w:val="-16"/>
          <w:w w:val="90"/>
          <w:sz w:val="32"/>
        </w:rPr>
        <w:t> </w:t>
      </w:r>
      <w:r>
        <w:rPr>
          <w:rFonts w:ascii="Times New Roman" w:hAnsi="Times New Roman"/>
          <w:b/>
          <w:i/>
          <w:w w:val="90"/>
          <w:sz w:val="32"/>
        </w:rPr>
        <w:t>lo</w:t>
      </w:r>
      <w:r>
        <w:rPr>
          <w:rFonts w:ascii="Times New Roman" w:hAnsi="Times New Roman"/>
          <w:b/>
          <w:i/>
          <w:spacing w:val="-16"/>
          <w:w w:val="90"/>
          <w:sz w:val="32"/>
        </w:rPr>
        <w:t> </w:t>
      </w:r>
      <w:r>
        <w:rPr>
          <w:rFonts w:ascii="Times New Roman" w:hAnsi="Times New Roman"/>
          <w:b/>
          <w:i/>
          <w:w w:val="90"/>
          <w:sz w:val="32"/>
        </w:rPr>
        <w:t>dedico</w:t>
      </w:r>
      <w:r>
        <w:rPr>
          <w:rFonts w:ascii="Times New Roman" w:hAnsi="Times New Roman"/>
          <w:b/>
          <w:i/>
          <w:spacing w:val="-14"/>
          <w:w w:val="90"/>
          <w:sz w:val="32"/>
        </w:rPr>
        <w:t> </w:t>
      </w:r>
      <w:r>
        <w:rPr>
          <w:rFonts w:ascii="Times New Roman" w:hAnsi="Times New Roman"/>
          <w:b/>
          <w:i/>
          <w:w w:val="90"/>
          <w:sz w:val="32"/>
        </w:rPr>
        <w:t>a</w:t>
      </w:r>
      <w:r>
        <w:rPr>
          <w:rFonts w:ascii="Times New Roman" w:hAnsi="Times New Roman"/>
          <w:b/>
          <w:i/>
          <w:spacing w:val="-14"/>
          <w:w w:val="90"/>
          <w:sz w:val="32"/>
        </w:rPr>
        <w:t> </w:t>
      </w:r>
      <w:r>
        <w:rPr>
          <w:rFonts w:ascii="Times New Roman" w:hAnsi="Times New Roman"/>
          <w:b/>
          <w:i/>
          <w:w w:val="90"/>
          <w:sz w:val="32"/>
        </w:rPr>
        <w:t>mi</w:t>
      </w:r>
      <w:r>
        <w:rPr>
          <w:rFonts w:ascii="Times New Roman" w:hAnsi="Times New Roman"/>
          <w:b/>
          <w:i/>
          <w:spacing w:val="-14"/>
          <w:w w:val="90"/>
          <w:sz w:val="32"/>
        </w:rPr>
        <w:t> </w:t>
      </w:r>
      <w:r>
        <w:rPr>
          <w:rFonts w:ascii="Times New Roman" w:hAnsi="Times New Roman"/>
          <w:b/>
          <w:i/>
          <w:w w:val="90"/>
          <w:sz w:val="32"/>
        </w:rPr>
        <w:t>papá</w:t>
      </w:r>
      <w:r>
        <w:rPr>
          <w:rFonts w:ascii="Times New Roman" w:hAnsi="Times New Roman"/>
          <w:b/>
          <w:i/>
          <w:spacing w:val="-14"/>
          <w:w w:val="90"/>
          <w:sz w:val="32"/>
        </w:rPr>
        <w:t> </w:t>
      </w:r>
      <w:r>
        <w:rPr>
          <w:rFonts w:ascii="Times New Roman" w:hAnsi="Times New Roman"/>
          <w:b/>
          <w:i/>
          <w:w w:val="90"/>
          <w:sz w:val="32"/>
        </w:rPr>
        <w:t>Domingo</w:t>
      </w:r>
      <w:r>
        <w:rPr>
          <w:rFonts w:ascii="Times New Roman" w:hAnsi="Times New Roman"/>
          <w:b/>
          <w:i/>
          <w:spacing w:val="-14"/>
          <w:w w:val="90"/>
          <w:sz w:val="32"/>
        </w:rPr>
        <w:t> </w:t>
      </w:r>
      <w:r>
        <w:rPr>
          <w:rFonts w:ascii="Times New Roman" w:hAnsi="Times New Roman"/>
          <w:b/>
          <w:i/>
          <w:w w:val="90"/>
          <w:sz w:val="32"/>
        </w:rPr>
        <w:t>que</w:t>
      </w:r>
      <w:r>
        <w:rPr>
          <w:rFonts w:ascii="Times New Roman" w:hAnsi="Times New Roman"/>
          <w:b/>
          <w:i/>
          <w:spacing w:val="-16"/>
          <w:w w:val="90"/>
          <w:sz w:val="32"/>
        </w:rPr>
        <w:t> </w:t>
      </w:r>
      <w:r>
        <w:rPr>
          <w:rFonts w:ascii="Times New Roman" w:hAnsi="Times New Roman"/>
          <w:b/>
          <w:i/>
          <w:w w:val="90"/>
          <w:sz w:val="32"/>
        </w:rPr>
        <w:t>desde</w:t>
      </w:r>
      <w:r>
        <w:rPr>
          <w:rFonts w:ascii="Times New Roman" w:hAnsi="Times New Roman"/>
          <w:b/>
          <w:i/>
          <w:spacing w:val="-14"/>
          <w:w w:val="90"/>
          <w:sz w:val="32"/>
        </w:rPr>
        <w:t> </w:t>
      </w:r>
      <w:r>
        <w:rPr>
          <w:rFonts w:ascii="Times New Roman" w:hAnsi="Times New Roman"/>
          <w:b/>
          <w:i/>
          <w:w w:val="90"/>
          <w:sz w:val="32"/>
        </w:rPr>
        <w:t>algún</w:t>
      </w:r>
      <w:r>
        <w:rPr>
          <w:rFonts w:ascii="Times New Roman" w:hAnsi="Times New Roman"/>
          <w:b/>
          <w:i/>
          <w:spacing w:val="-14"/>
          <w:w w:val="90"/>
          <w:sz w:val="32"/>
        </w:rPr>
        <w:t> </w:t>
      </w:r>
      <w:r>
        <w:rPr>
          <w:rFonts w:ascii="Times New Roman" w:hAnsi="Times New Roman"/>
          <w:b/>
          <w:i/>
          <w:w w:val="90"/>
          <w:sz w:val="32"/>
        </w:rPr>
        <w:t>lugar</w:t>
      </w:r>
      <w:r>
        <w:rPr>
          <w:rFonts w:ascii="Times New Roman" w:hAnsi="Times New Roman"/>
          <w:b/>
          <w:i/>
          <w:spacing w:val="-13"/>
          <w:w w:val="90"/>
          <w:sz w:val="32"/>
        </w:rPr>
        <w:t> </w:t>
      </w:r>
      <w:r>
        <w:rPr>
          <w:rFonts w:ascii="Times New Roman" w:hAnsi="Times New Roman"/>
          <w:b/>
          <w:i/>
          <w:w w:val="90"/>
          <w:sz w:val="32"/>
        </w:rPr>
        <w:t>me</w:t>
      </w:r>
      <w:r>
        <w:rPr>
          <w:rFonts w:ascii="Times New Roman" w:hAnsi="Times New Roman"/>
          <w:b/>
          <w:i/>
          <w:spacing w:val="-14"/>
          <w:w w:val="90"/>
          <w:sz w:val="32"/>
        </w:rPr>
        <w:t> </w:t>
      </w:r>
      <w:r>
        <w:rPr>
          <w:rFonts w:ascii="Times New Roman" w:hAnsi="Times New Roman"/>
          <w:b/>
          <w:i/>
          <w:w w:val="90"/>
          <w:sz w:val="32"/>
        </w:rPr>
        <w:t>esta</w:t>
      </w:r>
      <w:r>
        <w:rPr>
          <w:rFonts w:ascii="Times New Roman" w:hAnsi="Times New Roman"/>
          <w:b/>
          <w:i/>
          <w:spacing w:val="-15"/>
          <w:w w:val="90"/>
          <w:sz w:val="32"/>
        </w:rPr>
        <w:t> </w:t>
      </w:r>
      <w:r>
        <w:rPr>
          <w:rFonts w:ascii="Times New Roman" w:hAnsi="Times New Roman"/>
          <w:b/>
          <w:i/>
          <w:w w:val="90"/>
          <w:sz w:val="32"/>
        </w:rPr>
        <w:t>viendo,</w:t>
      </w:r>
      <w:r>
        <w:rPr>
          <w:rFonts w:ascii="Times New Roman" w:hAnsi="Times New Roman"/>
          <w:b/>
          <w:i/>
          <w:spacing w:val="-14"/>
          <w:w w:val="90"/>
          <w:sz w:val="32"/>
        </w:rPr>
        <w:t> </w:t>
      </w:r>
      <w:r>
        <w:rPr>
          <w:rFonts w:ascii="Times New Roman" w:hAnsi="Times New Roman"/>
          <w:b/>
          <w:i/>
          <w:w w:val="90"/>
          <w:sz w:val="32"/>
        </w:rPr>
        <w:t>a</w:t>
      </w:r>
      <w:r>
        <w:rPr>
          <w:rFonts w:ascii="Times New Roman" w:hAnsi="Times New Roman"/>
          <w:b/>
          <w:i/>
          <w:spacing w:val="-14"/>
          <w:w w:val="90"/>
          <w:sz w:val="32"/>
        </w:rPr>
        <w:t> </w:t>
      </w:r>
      <w:r>
        <w:rPr>
          <w:rFonts w:ascii="Times New Roman" w:hAnsi="Times New Roman"/>
          <w:b/>
          <w:i/>
          <w:w w:val="90"/>
          <w:sz w:val="32"/>
        </w:rPr>
        <w:t>mi </w:t>
      </w:r>
      <w:r>
        <w:rPr>
          <w:rFonts w:ascii="Times New Roman" w:hAnsi="Times New Roman"/>
          <w:b/>
          <w:i/>
          <w:w w:val="85"/>
          <w:sz w:val="32"/>
        </w:rPr>
        <w:t>mamá</w:t>
      </w:r>
      <w:r>
        <w:rPr>
          <w:rFonts w:ascii="Times New Roman" w:hAnsi="Times New Roman"/>
          <w:b/>
          <w:i/>
          <w:spacing w:val="-28"/>
          <w:w w:val="85"/>
          <w:sz w:val="32"/>
        </w:rPr>
        <w:t> </w:t>
      </w:r>
      <w:r>
        <w:rPr>
          <w:rFonts w:ascii="Times New Roman" w:hAnsi="Times New Roman"/>
          <w:b/>
          <w:i/>
          <w:w w:val="85"/>
          <w:sz w:val="32"/>
        </w:rPr>
        <w:t>ftaula</w:t>
      </w:r>
      <w:r>
        <w:rPr>
          <w:rFonts w:ascii="Times New Roman" w:hAnsi="Times New Roman"/>
          <w:b/>
          <w:i/>
          <w:spacing w:val="-28"/>
          <w:w w:val="85"/>
          <w:sz w:val="32"/>
        </w:rPr>
        <w:t> </w:t>
      </w:r>
      <w:r>
        <w:rPr>
          <w:rFonts w:ascii="Times New Roman" w:hAnsi="Times New Roman"/>
          <w:b/>
          <w:i/>
          <w:w w:val="85"/>
          <w:sz w:val="32"/>
        </w:rPr>
        <w:t>quien</w:t>
      </w:r>
      <w:r>
        <w:rPr>
          <w:rFonts w:ascii="Times New Roman" w:hAnsi="Times New Roman"/>
          <w:b/>
          <w:i/>
          <w:spacing w:val="-28"/>
          <w:w w:val="85"/>
          <w:sz w:val="32"/>
        </w:rPr>
        <w:t> </w:t>
      </w:r>
      <w:r>
        <w:rPr>
          <w:rFonts w:ascii="Times New Roman" w:hAnsi="Times New Roman"/>
          <w:b/>
          <w:i/>
          <w:w w:val="85"/>
          <w:sz w:val="32"/>
        </w:rPr>
        <w:t>siempre</w:t>
      </w:r>
      <w:r>
        <w:rPr>
          <w:rFonts w:ascii="Times New Roman" w:hAnsi="Times New Roman"/>
          <w:b/>
          <w:i/>
          <w:spacing w:val="-27"/>
          <w:w w:val="85"/>
          <w:sz w:val="32"/>
        </w:rPr>
        <w:t> </w:t>
      </w:r>
      <w:r>
        <w:rPr>
          <w:rFonts w:ascii="Times New Roman" w:hAnsi="Times New Roman"/>
          <w:b/>
          <w:i/>
          <w:w w:val="85"/>
          <w:sz w:val="32"/>
        </w:rPr>
        <w:t>esta</w:t>
      </w:r>
      <w:r>
        <w:rPr>
          <w:rFonts w:ascii="Times New Roman" w:hAnsi="Times New Roman"/>
          <w:b/>
          <w:i/>
          <w:spacing w:val="-28"/>
          <w:w w:val="85"/>
          <w:sz w:val="32"/>
        </w:rPr>
        <w:t> </w:t>
      </w:r>
      <w:r>
        <w:rPr>
          <w:rFonts w:ascii="Times New Roman" w:hAnsi="Times New Roman"/>
          <w:b/>
          <w:i/>
          <w:w w:val="85"/>
          <w:sz w:val="32"/>
        </w:rPr>
        <w:t>conmigo</w:t>
      </w:r>
    </w:p>
    <w:p>
      <w:pPr>
        <w:pStyle w:val="BodyText"/>
        <w:rPr>
          <w:rFonts w:ascii="Times New Roman"/>
          <w:b/>
          <w:i/>
          <w:sz w:val="32"/>
        </w:rPr>
      </w:pPr>
    </w:p>
    <w:p>
      <w:pPr>
        <w:pStyle w:val="BodyText"/>
        <w:spacing w:before="10"/>
        <w:rPr>
          <w:rFonts w:ascii="Times New Roman"/>
          <w:b/>
          <w:i/>
          <w:sz w:val="38"/>
        </w:rPr>
      </w:pPr>
    </w:p>
    <w:p>
      <w:pPr>
        <w:spacing w:line="268" w:lineRule="auto" w:before="1"/>
        <w:ind w:left="152" w:right="112" w:firstLine="0"/>
        <w:jc w:val="both"/>
        <w:rPr>
          <w:rFonts w:ascii="Times New Roman" w:hAnsi="Times New Roman"/>
          <w:b/>
          <w:i/>
          <w:sz w:val="32"/>
        </w:rPr>
      </w:pPr>
      <w:r>
        <w:rPr>
          <w:rFonts w:ascii="Times New Roman" w:hAnsi="Times New Roman"/>
          <w:b/>
          <w:i/>
          <w:w w:val="90"/>
          <w:sz w:val="32"/>
        </w:rPr>
        <w:t>Y</w:t>
      </w:r>
      <w:r>
        <w:rPr>
          <w:rFonts w:ascii="Times New Roman" w:hAnsi="Times New Roman"/>
          <w:b/>
          <w:i/>
          <w:spacing w:val="-43"/>
          <w:w w:val="90"/>
          <w:sz w:val="32"/>
        </w:rPr>
        <w:t> </w:t>
      </w:r>
      <w:r>
        <w:rPr>
          <w:rFonts w:ascii="Times New Roman" w:hAnsi="Times New Roman"/>
          <w:b/>
          <w:i/>
          <w:w w:val="90"/>
          <w:sz w:val="32"/>
        </w:rPr>
        <w:t>a</w:t>
      </w:r>
      <w:r>
        <w:rPr>
          <w:rFonts w:ascii="Times New Roman" w:hAnsi="Times New Roman"/>
          <w:b/>
          <w:i/>
          <w:spacing w:val="-44"/>
          <w:w w:val="90"/>
          <w:sz w:val="32"/>
        </w:rPr>
        <w:t> </w:t>
      </w:r>
      <w:r>
        <w:rPr>
          <w:rFonts w:ascii="Times New Roman" w:hAnsi="Times New Roman"/>
          <w:b/>
          <w:i/>
          <w:w w:val="90"/>
          <w:sz w:val="32"/>
        </w:rPr>
        <w:t>todas</w:t>
      </w:r>
      <w:r>
        <w:rPr>
          <w:rFonts w:ascii="Times New Roman" w:hAnsi="Times New Roman"/>
          <w:b/>
          <w:i/>
          <w:spacing w:val="-43"/>
          <w:w w:val="90"/>
          <w:sz w:val="32"/>
        </w:rPr>
        <w:t> </w:t>
      </w:r>
      <w:r>
        <w:rPr>
          <w:rFonts w:ascii="Times New Roman" w:hAnsi="Times New Roman"/>
          <w:b/>
          <w:i/>
          <w:w w:val="90"/>
          <w:sz w:val="32"/>
        </w:rPr>
        <w:t>las</w:t>
      </w:r>
      <w:r>
        <w:rPr>
          <w:rFonts w:ascii="Times New Roman" w:hAnsi="Times New Roman"/>
          <w:b/>
          <w:i/>
          <w:spacing w:val="-43"/>
          <w:w w:val="90"/>
          <w:sz w:val="32"/>
        </w:rPr>
        <w:t> </w:t>
      </w:r>
      <w:r>
        <w:rPr>
          <w:rFonts w:ascii="Times New Roman" w:hAnsi="Times New Roman"/>
          <w:b/>
          <w:i/>
          <w:w w:val="90"/>
          <w:sz w:val="32"/>
        </w:rPr>
        <w:t>personas</w:t>
      </w:r>
      <w:r>
        <w:rPr>
          <w:rFonts w:ascii="Times New Roman" w:hAnsi="Times New Roman"/>
          <w:b/>
          <w:i/>
          <w:spacing w:val="-43"/>
          <w:w w:val="90"/>
          <w:sz w:val="32"/>
        </w:rPr>
        <w:t> </w:t>
      </w:r>
      <w:r>
        <w:rPr>
          <w:rFonts w:ascii="Times New Roman" w:hAnsi="Times New Roman"/>
          <w:b/>
          <w:i/>
          <w:w w:val="90"/>
          <w:sz w:val="32"/>
        </w:rPr>
        <w:t>cercanas</w:t>
      </w:r>
      <w:r>
        <w:rPr>
          <w:rFonts w:ascii="Times New Roman" w:hAnsi="Times New Roman"/>
          <w:b/>
          <w:i/>
          <w:spacing w:val="-43"/>
          <w:w w:val="90"/>
          <w:sz w:val="32"/>
        </w:rPr>
        <w:t> </w:t>
      </w:r>
      <w:r>
        <w:rPr>
          <w:rFonts w:ascii="Times New Roman" w:hAnsi="Times New Roman"/>
          <w:b/>
          <w:i/>
          <w:w w:val="90"/>
          <w:sz w:val="32"/>
        </w:rPr>
        <w:t>a</w:t>
      </w:r>
      <w:r>
        <w:rPr>
          <w:rFonts w:ascii="Times New Roman" w:hAnsi="Times New Roman"/>
          <w:b/>
          <w:i/>
          <w:spacing w:val="-44"/>
          <w:w w:val="90"/>
          <w:sz w:val="32"/>
        </w:rPr>
        <w:t> </w:t>
      </w:r>
      <w:r>
        <w:rPr>
          <w:rFonts w:ascii="Times New Roman" w:hAnsi="Times New Roman"/>
          <w:b/>
          <w:i/>
          <w:w w:val="90"/>
          <w:sz w:val="32"/>
        </w:rPr>
        <w:t>mi,</w:t>
      </w:r>
      <w:r>
        <w:rPr>
          <w:rFonts w:ascii="Times New Roman" w:hAnsi="Times New Roman"/>
          <w:b/>
          <w:i/>
          <w:spacing w:val="-44"/>
          <w:w w:val="90"/>
          <w:sz w:val="32"/>
        </w:rPr>
        <w:t> </w:t>
      </w:r>
      <w:r>
        <w:rPr>
          <w:rFonts w:ascii="Times New Roman" w:hAnsi="Times New Roman"/>
          <w:b/>
          <w:i/>
          <w:w w:val="90"/>
          <w:sz w:val="32"/>
        </w:rPr>
        <w:t>amigos</w:t>
      </w:r>
      <w:r>
        <w:rPr>
          <w:rFonts w:ascii="Times New Roman" w:hAnsi="Times New Roman"/>
          <w:b/>
          <w:i/>
          <w:spacing w:val="-43"/>
          <w:w w:val="90"/>
          <w:sz w:val="32"/>
        </w:rPr>
        <w:t> </w:t>
      </w:r>
      <w:r>
        <w:rPr>
          <w:rFonts w:ascii="Times New Roman" w:hAnsi="Times New Roman"/>
          <w:b/>
          <w:i/>
          <w:w w:val="90"/>
          <w:sz w:val="32"/>
        </w:rPr>
        <w:t>y</w:t>
      </w:r>
      <w:r>
        <w:rPr>
          <w:rFonts w:ascii="Times New Roman" w:hAnsi="Times New Roman"/>
          <w:b/>
          <w:i/>
          <w:spacing w:val="-44"/>
          <w:w w:val="90"/>
          <w:sz w:val="32"/>
        </w:rPr>
        <w:t> </w:t>
      </w:r>
      <w:r>
        <w:rPr>
          <w:rFonts w:ascii="Times New Roman" w:hAnsi="Times New Roman"/>
          <w:b/>
          <w:i/>
          <w:w w:val="90"/>
          <w:sz w:val="32"/>
        </w:rPr>
        <w:t>parientes</w:t>
      </w:r>
      <w:r>
        <w:rPr>
          <w:rFonts w:ascii="Times New Roman" w:hAnsi="Times New Roman"/>
          <w:b/>
          <w:i/>
          <w:spacing w:val="-44"/>
          <w:w w:val="90"/>
          <w:sz w:val="32"/>
        </w:rPr>
        <w:t> </w:t>
      </w:r>
      <w:r>
        <w:rPr>
          <w:rFonts w:ascii="Times New Roman" w:hAnsi="Times New Roman"/>
          <w:b/>
          <w:i/>
          <w:w w:val="90"/>
          <w:sz w:val="32"/>
        </w:rPr>
        <w:t>que</w:t>
      </w:r>
      <w:r>
        <w:rPr>
          <w:rFonts w:ascii="Times New Roman" w:hAnsi="Times New Roman"/>
          <w:b/>
          <w:i/>
          <w:spacing w:val="-44"/>
          <w:w w:val="90"/>
          <w:sz w:val="32"/>
        </w:rPr>
        <w:t> </w:t>
      </w:r>
      <w:r>
        <w:rPr>
          <w:rFonts w:ascii="Times New Roman" w:hAnsi="Times New Roman"/>
          <w:b/>
          <w:i/>
          <w:w w:val="90"/>
          <w:sz w:val="32"/>
        </w:rPr>
        <w:t>de</w:t>
      </w:r>
      <w:r>
        <w:rPr>
          <w:rFonts w:ascii="Times New Roman" w:hAnsi="Times New Roman"/>
          <w:b/>
          <w:i/>
          <w:spacing w:val="-44"/>
          <w:w w:val="90"/>
          <w:sz w:val="32"/>
        </w:rPr>
        <w:t> </w:t>
      </w:r>
      <w:r>
        <w:rPr>
          <w:rFonts w:ascii="Times New Roman" w:hAnsi="Times New Roman"/>
          <w:b/>
          <w:i/>
          <w:w w:val="90"/>
          <w:sz w:val="32"/>
        </w:rPr>
        <w:t>alguna</w:t>
      </w:r>
      <w:r>
        <w:rPr>
          <w:rFonts w:ascii="Times New Roman" w:hAnsi="Times New Roman"/>
          <w:b/>
          <w:i/>
          <w:spacing w:val="-43"/>
          <w:w w:val="90"/>
          <w:sz w:val="32"/>
        </w:rPr>
        <w:t> </w:t>
      </w:r>
      <w:r>
        <w:rPr>
          <w:rFonts w:ascii="Times New Roman" w:hAnsi="Times New Roman"/>
          <w:b/>
          <w:i/>
          <w:w w:val="90"/>
          <w:sz w:val="32"/>
        </w:rPr>
        <w:t>manera </w:t>
      </w:r>
      <w:r>
        <w:rPr>
          <w:rFonts w:ascii="Times New Roman" w:hAnsi="Times New Roman"/>
          <w:b/>
          <w:i/>
          <w:w w:val="85"/>
          <w:sz w:val="32"/>
        </w:rPr>
        <w:t>simpre</w:t>
      </w:r>
      <w:r>
        <w:rPr>
          <w:rFonts w:ascii="Times New Roman" w:hAnsi="Times New Roman"/>
          <w:b/>
          <w:i/>
          <w:spacing w:val="-39"/>
          <w:w w:val="85"/>
          <w:sz w:val="32"/>
        </w:rPr>
        <w:t> </w:t>
      </w:r>
      <w:r>
        <w:rPr>
          <w:rFonts w:ascii="Times New Roman" w:hAnsi="Times New Roman"/>
          <w:b/>
          <w:i/>
          <w:w w:val="85"/>
          <w:sz w:val="32"/>
        </w:rPr>
        <w:t>creyeron</w:t>
      </w:r>
      <w:r>
        <w:rPr>
          <w:rFonts w:ascii="Times New Roman" w:hAnsi="Times New Roman"/>
          <w:b/>
          <w:i/>
          <w:spacing w:val="-38"/>
          <w:w w:val="85"/>
          <w:sz w:val="32"/>
        </w:rPr>
        <w:t> </w:t>
      </w:r>
      <w:r>
        <w:rPr>
          <w:rFonts w:ascii="Times New Roman" w:hAnsi="Times New Roman"/>
          <w:b/>
          <w:i/>
          <w:w w:val="85"/>
          <w:sz w:val="32"/>
        </w:rPr>
        <w:t>en</w:t>
      </w:r>
      <w:r>
        <w:rPr>
          <w:rFonts w:ascii="Times New Roman" w:hAnsi="Times New Roman"/>
          <w:b/>
          <w:i/>
          <w:spacing w:val="-37"/>
          <w:w w:val="85"/>
          <w:sz w:val="32"/>
        </w:rPr>
        <w:t> </w:t>
      </w:r>
      <w:r>
        <w:rPr>
          <w:rFonts w:ascii="Times New Roman" w:hAnsi="Times New Roman"/>
          <w:b/>
          <w:i/>
          <w:w w:val="85"/>
          <w:sz w:val="32"/>
        </w:rPr>
        <w:t>mí.</w:t>
      </w:r>
    </w:p>
    <w:p>
      <w:pPr>
        <w:pStyle w:val="BodyText"/>
        <w:rPr>
          <w:rFonts w:ascii="Times New Roman"/>
          <w:b/>
          <w:i/>
          <w:sz w:val="32"/>
        </w:rPr>
      </w:pPr>
    </w:p>
    <w:p>
      <w:pPr>
        <w:pStyle w:val="BodyText"/>
        <w:spacing w:before="11"/>
        <w:rPr>
          <w:rFonts w:ascii="Times New Roman"/>
          <w:b/>
          <w:i/>
          <w:sz w:val="38"/>
        </w:rPr>
      </w:pPr>
    </w:p>
    <w:p>
      <w:pPr>
        <w:spacing w:line="268" w:lineRule="auto" w:before="0"/>
        <w:ind w:left="152" w:right="107" w:firstLine="0"/>
        <w:jc w:val="both"/>
        <w:rPr>
          <w:rFonts w:ascii="Times New Roman" w:hAnsi="Times New Roman"/>
          <w:b/>
          <w:i/>
          <w:sz w:val="32"/>
        </w:rPr>
      </w:pPr>
      <w:r>
        <w:rPr>
          <w:rFonts w:ascii="Times New Roman" w:hAnsi="Times New Roman"/>
          <w:b/>
          <w:i/>
          <w:w w:val="95"/>
          <w:sz w:val="32"/>
        </w:rPr>
        <w:t>Y</w:t>
      </w:r>
      <w:r>
        <w:rPr>
          <w:rFonts w:ascii="Times New Roman" w:hAnsi="Times New Roman"/>
          <w:b/>
          <w:i/>
          <w:spacing w:val="-32"/>
          <w:w w:val="95"/>
          <w:sz w:val="32"/>
        </w:rPr>
        <w:t> </w:t>
      </w:r>
      <w:r>
        <w:rPr>
          <w:rFonts w:ascii="Times New Roman" w:hAnsi="Times New Roman"/>
          <w:b/>
          <w:i/>
          <w:w w:val="95"/>
          <w:sz w:val="32"/>
        </w:rPr>
        <w:t>principalmente</w:t>
      </w:r>
      <w:r>
        <w:rPr>
          <w:rFonts w:ascii="Times New Roman" w:hAnsi="Times New Roman"/>
          <w:b/>
          <w:i/>
          <w:spacing w:val="-31"/>
          <w:w w:val="95"/>
          <w:sz w:val="32"/>
        </w:rPr>
        <w:t> </w:t>
      </w:r>
      <w:r>
        <w:rPr>
          <w:rFonts w:ascii="Times New Roman" w:hAnsi="Times New Roman"/>
          <w:b/>
          <w:i/>
          <w:w w:val="95"/>
          <w:sz w:val="32"/>
        </w:rPr>
        <w:t>a</w:t>
      </w:r>
      <w:r>
        <w:rPr>
          <w:rFonts w:ascii="Times New Roman" w:hAnsi="Times New Roman"/>
          <w:b/>
          <w:i/>
          <w:spacing w:val="-31"/>
          <w:w w:val="95"/>
          <w:sz w:val="32"/>
        </w:rPr>
        <w:t> </w:t>
      </w:r>
      <w:r>
        <w:rPr>
          <w:rFonts w:ascii="Times New Roman" w:hAnsi="Times New Roman"/>
          <w:b/>
          <w:i/>
          <w:w w:val="95"/>
          <w:sz w:val="32"/>
        </w:rPr>
        <w:t>Dios</w:t>
      </w:r>
      <w:r>
        <w:rPr>
          <w:rFonts w:ascii="Times New Roman" w:hAnsi="Times New Roman"/>
          <w:b/>
          <w:i/>
          <w:spacing w:val="-32"/>
          <w:w w:val="95"/>
          <w:sz w:val="32"/>
        </w:rPr>
        <w:t> </w:t>
      </w:r>
      <w:r>
        <w:rPr>
          <w:rFonts w:ascii="Times New Roman" w:hAnsi="Times New Roman"/>
          <w:b/>
          <w:i/>
          <w:w w:val="95"/>
          <w:sz w:val="32"/>
        </w:rPr>
        <w:t>por</w:t>
      </w:r>
      <w:r>
        <w:rPr>
          <w:rFonts w:ascii="Times New Roman" w:hAnsi="Times New Roman"/>
          <w:b/>
          <w:i/>
          <w:spacing w:val="-31"/>
          <w:w w:val="95"/>
          <w:sz w:val="32"/>
        </w:rPr>
        <w:t> </w:t>
      </w:r>
      <w:r>
        <w:rPr>
          <w:rFonts w:ascii="Times New Roman" w:hAnsi="Times New Roman"/>
          <w:b/>
          <w:i/>
          <w:w w:val="95"/>
          <w:sz w:val="32"/>
        </w:rPr>
        <w:t>darme</w:t>
      </w:r>
      <w:r>
        <w:rPr>
          <w:rFonts w:ascii="Times New Roman" w:hAnsi="Times New Roman"/>
          <w:b/>
          <w:i/>
          <w:spacing w:val="-32"/>
          <w:w w:val="95"/>
          <w:sz w:val="32"/>
        </w:rPr>
        <w:t> </w:t>
      </w:r>
      <w:r>
        <w:rPr>
          <w:rFonts w:ascii="Times New Roman" w:hAnsi="Times New Roman"/>
          <w:b/>
          <w:i/>
          <w:w w:val="95"/>
          <w:sz w:val="32"/>
        </w:rPr>
        <w:t>la</w:t>
      </w:r>
      <w:r>
        <w:rPr>
          <w:rFonts w:ascii="Times New Roman" w:hAnsi="Times New Roman"/>
          <w:b/>
          <w:i/>
          <w:spacing w:val="-31"/>
          <w:w w:val="95"/>
          <w:sz w:val="32"/>
        </w:rPr>
        <w:t> </w:t>
      </w:r>
      <w:r>
        <w:rPr>
          <w:rFonts w:ascii="Times New Roman" w:hAnsi="Times New Roman"/>
          <w:b/>
          <w:i/>
          <w:w w:val="95"/>
          <w:sz w:val="32"/>
        </w:rPr>
        <w:t>oportunida</w:t>
      </w:r>
      <w:r>
        <w:rPr>
          <w:rFonts w:ascii="Times New Roman" w:hAnsi="Times New Roman"/>
          <w:b/>
          <w:i/>
          <w:spacing w:val="-32"/>
          <w:w w:val="95"/>
          <w:sz w:val="32"/>
        </w:rPr>
        <w:t> </w:t>
      </w:r>
      <w:r>
        <w:rPr>
          <w:rFonts w:ascii="Times New Roman" w:hAnsi="Times New Roman"/>
          <w:b/>
          <w:i/>
          <w:w w:val="95"/>
          <w:sz w:val="32"/>
        </w:rPr>
        <w:t>de</w:t>
      </w:r>
      <w:r>
        <w:rPr>
          <w:rFonts w:ascii="Times New Roman" w:hAnsi="Times New Roman"/>
          <w:b/>
          <w:i/>
          <w:spacing w:val="-31"/>
          <w:w w:val="95"/>
          <w:sz w:val="32"/>
        </w:rPr>
        <w:t> </w:t>
      </w:r>
      <w:r>
        <w:rPr>
          <w:rFonts w:ascii="Times New Roman" w:hAnsi="Times New Roman"/>
          <w:b/>
          <w:i/>
          <w:w w:val="95"/>
          <w:sz w:val="32"/>
        </w:rPr>
        <w:t>vivir</w:t>
      </w:r>
      <w:r>
        <w:rPr>
          <w:rFonts w:ascii="Times New Roman" w:hAnsi="Times New Roman"/>
          <w:b/>
          <w:i/>
          <w:spacing w:val="-32"/>
          <w:w w:val="95"/>
          <w:sz w:val="32"/>
        </w:rPr>
        <w:t> </w:t>
      </w:r>
      <w:r>
        <w:rPr>
          <w:rFonts w:ascii="Times New Roman" w:hAnsi="Times New Roman"/>
          <w:b/>
          <w:i/>
          <w:w w:val="95"/>
          <w:sz w:val="32"/>
        </w:rPr>
        <w:t>en</w:t>
      </w:r>
      <w:r>
        <w:rPr>
          <w:rFonts w:ascii="Times New Roman" w:hAnsi="Times New Roman"/>
          <w:b/>
          <w:i/>
          <w:spacing w:val="-32"/>
          <w:w w:val="95"/>
          <w:sz w:val="32"/>
        </w:rPr>
        <w:t> </w:t>
      </w:r>
      <w:r>
        <w:rPr>
          <w:rFonts w:ascii="Times New Roman" w:hAnsi="Times New Roman"/>
          <w:b/>
          <w:i/>
          <w:w w:val="95"/>
          <w:sz w:val="32"/>
        </w:rPr>
        <w:t>este</w:t>
      </w:r>
      <w:r>
        <w:rPr>
          <w:rFonts w:ascii="Times New Roman" w:hAnsi="Times New Roman"/>
          <w:b/>
          <w:i/>
          <w:spacing w:val="-31"/>
          <w:w w:val="95"/>
          <w:sz w:val="32"/>
        </w:rPr>
        <w:t> </w:t>
      </w:r>
      <w:r>
        <w:rPr>
          <w:rFonts w:ascii="Times New Roman" w:hAnsi="Times New Roman"/>
          <w:b/>
          <w:i/>
          <w:w w:val="95"/>
          <w:sz w:val="32"/>
        </w:rPr>
        <w:t>tiempo</w:t>
      </w:r>
      <w:r>
        <w:rPr>
          <w:rFonts w:ascii="Times New Roman" w:hAnsi="Times New Roman"/>
          <w:b/>
          <w:i/>
          <w:spacing w:val="-32"/>
          <w:w w:val="95"/>
          <w:sz w:val="32"/>
        </w:rPr>
        <w:t> </w:t>
      </w:r>
      <w:r>
        <w:rPr>
          <w:rFonts w:ascii="Times New Roman" w:hAnsi="Times New Roman"/>
          <w:b/>
          <w:i/>
          <w:w w:val="95"/>
          <w:sz w:val="32"/>
        </w:rPr>
        <w:t>y </w:t>
      </w:r>
      <w:r>
        <w:rPr>
          <w:rFonts w:ascii="Times New Roman" w:hAnsi="Times New Roman"/>
          <w:b/>
          <w:i/>
          <w:w w:val="95"/>
          <w:sz w:val="32"/>
        </w:rPr>
        <w:t>espacio,</w:t>
      </w:r>
      <w:r>
        <w:rPr>
          <w:rFonts w:ascii="Times New Roman" w:hAnsi="Times New Roman"/>
          <w:b/>
          <w:i/>
          <w:spacing w:val="-30"/>
          <w:w w:val="95"/>
          <w:sz w:val="32"/>
        </w:rPr>
        <w:t> </w:t>
      </w:r>
      <w:r>
        <w:rPr>
          <w:rFonts w:ascii="Times New Roman" w:hAnsi="Times New Roman"/>
          <w:b/>
          <w:i/>
          <w:w w:val="95"/>
          <w:sz w:val="32"/>
        </w:rPr>
        <w:t>de</w:t>
      </w:r>
      <w:r>
        <w:rPr>
          <w:rFonts w:ascii="Times New Roman" w:hAnsi="Times New Roman"/>
          <w:b/>
          <w:i/>
          <w:spacing w:val="-30"/>
          <w:w w:val="95"/>
          <w:sz w:val="32"/>
        </w:rPr>
        <w:t> </w:t>
      </w:r>
      <w:r>
        <w:rPr>
          <w:rFonts w:ascii="Times New Roman" w:hAnsi="Times New Roman"/>
          <w:b/>
          <w:i/>
          <w:w w:val="95"/>
          <w:sz w:val="32"/>
        </w:rPr>
        <w:t>compartir</w:t>
      </w:r>
      <w:r>
        <w:rPr>
          <w:rFonts w:ascii="Times New Roman" w:hAnsi="Times New Roman"/>
          <w:b/>
          <w:i/>
          <w:spacing w:val="-30"/>
          <w:w w:val="95"/>
          <w:sz w:val="32"/>
        </w:rPr>
        <w:t> </w:t>
      </w:r>
      <w:r>
        <w:rPr>
          <w:rFonts w:ascii="Times New Roman" w:hAnsi="Times New Roman"/>
          <w:b/>
          <w:i/>
          <w:w w:val="95"/>
          <w:sz w:val="32"/>
        </w:rPr>
        <w:t>la</w:t>
      </w:r>
      <w:r>
        <w:rPr>
          <w:rFonts w:ascii="Times New Roman" w:hAnsi="Times New Roman"/>
          <w:b/>
          <w:i/>
          <w:spacing w:val="-30"/>
          <w:w w:val="95"/>
          <w:sz w:val="32"/>
        </w:rPr>
        <w:t> </w:t>
      </w:r>
      <w:r>
        <w:rPr>
          <w:rFonts w:ascii="Times New Roman" w:hAnsi="Times New Roman"/>
          <w:b/>
          <w:i/>
          <w:w w:val="95"/>
          <w:sz w:val="32"/>
        </w:rPr>
        <w:t>vida</w:t>
      </w:r>
      <w:r>
        <w:rPr>
          <w:rFonts w:ascii="Times New Roman" w:hAnsi="Times New Roman"/>
          <w:b/>
          <w:i/>
          <w:spacing w:val="-30"/>
          <w:w w:val="95"/>
          <w:sz w:val="32"/>
        </w:rPr>
        <w:t> </w:t>
      </w:r>
      <w:r>
        <w:rPr>
          <w:rFonts w:ascii="Times New Roman" w:hAnsi="Times New Roman"/>
          <w:b/>
          <w:i/>
          <w:w w:val="95"/>
          <w:sz w:val="32"/>
        </w:rPr>
        <w:t>con</w:t>
      </w:r>
      <w:r>
        <w:rPr>
          <w:rFonts w:ascii="Times New Roman" w:hAnsi="Times New Roman"/>
          <w:b/>
          <w:i/>
          <w:spacing w:val="-30"/>
          <w:w w:val="95"/>
          <w:sz w:val="32"/>
        </w:rPr>
        <w:t> </w:t>
      </w:r>
      <w:r>
        <w:rPr>
          <w:rFonts w:ascii="Times New Roman" w:hAnsi="Times New Roman"/>
          <w:b/>
          <w:i/>
          <w:w w:val="95"/>
          <w:sz w:val="32"/>
        </w:rPr>
        <w:t>las</w:t>
      </w:r>
      <w:r>
        <w:rPr>
          <w:rFonts w:ascii="Times New Roman" w:hAnsi="Times New Roman"/>
          <w:b/>
          <w:i/>
          <w:spacing w:val="-30"/>
          <w:w w:val="95"/>
          <w:sz w:val="32"/>
        </w:rPr>
        <w:t> </w:t>
      </w:r>
      <w:r>
        <w:rPr>
          <w:rFonts w:ascii="Times New Roman" w:hAnsi="Times New Roman"/>
          <w:b/>
          <w:i/>
          <w:w w:val="95"/>
          <w:sz w:val="32"/>
        </w:rPr>
        <w:t>personas</w:t>
      </w:r>
      <w:r>
        <w:rPr>
          <w:rFonts w:ascii="Times New Roman" w:hAnsi="Times New Roman"/>
          <w:b/>
          <w:i/>
          <w:spacing w:val="-30"/>
          <w:w w:val="95"/>
          <w:sz w:val="32"/>
        </w:rPr>
        <w:t> </w:t>
      </w:r>
      <w:r>
        <w:rPr>
          <w:rFonts w:ascii="Times New Roman" w:hAnsi="Times New Roman"/>
          <w:b/>
          <w:i/>
          <w:w w:val="95"/>
          <w:sz w:val="32"/>
        </w:rPr>
        <w:t>que</w:t>
      </w:r>
      <w:r>
        <w:rPr>
          <w:rFonts w:ascii="Times New Roman" w:hAnsi="Times New Roman"/>
          <w:b/>
          <w:i/>
          <w:spacing w:val="-31"/>
          <w:w w:val="95"/>
          <w:sz w:val="32"/>
        </w:rPr>
        <w:t> </w:t>
      </w:r>
      <w:r>
        <w:rPr>
          <w:rFonts w:ascii="Times New Roman" w:hAnsi="Times New Roman"/>
          <w:b/>
          <w:i/>
          <w:w w:val="95"/>
          <w:sz w:val="32"/>
        </w:rPr>
        <w:t>hoy</w:t>
      </w:r>
      <w:r>
        <w:rPr>
          <w:rFonts w:ascii="Times New Roman" w:hAnsi="Times New Roman"/>
          <w:b/>
          <w:i/>
          <w:spacing w:val="-30"/>
          <w:w w:val="95"/>
          <w:sz w:val="32"/>
        </w:rPr>
        <w:t> </w:t>
      </w:r>
      <w:r>
        <w:rPr>
          <w:rFonts w:ascii="Times New Roman" w:hAnsi="Times New Roman"/>
          <w:b/>
          <w:i/>
          <w:w w:val="95"/>
          <w:sz w:val="32"/>
        </w:rPr>
        <w:t>me</w:t>
      </w:r>
      <w:r>
        <w:rPr>
          <w:rFonts w:ascii="Times New Roman" w:hAnsi="Times New Roman"/>
          <w:b/>
          <w:i/>
          <w:spacing w:val="-30"/>
          <w:w w:val="95"/>
          <w:sz w:val="32"/>
        </w:rPr>
        <w:t> </w:t>
      </w:r>
      <w:r>
        <w:rPr>
          <w:rFonts w:ascii="Times New Roman" w:hAnsi="Times New Roman"/>
          <w:b/>
          <w:i/>
          <w:w w:val="95"/>
          <w:sz w:val="32"/>
        </w:rPr>
        <w:t>rodean,</w:t>
      </w:r>
      <w:r>
        <w:rPr>
          <w:rFonts w:ascii="Times New Roman" w:hAnsi="Times New Roman"/>
          <w:b/>
          <w:i/>
          <w:spacing w:val="-30"/>
          <w:w w:val="95"/>
          <w:sz w:val="32"/>
        </w:rPr>
        <w:t> </w:t>
      </w:r>
      <w:r>
        <w:rPr>
          <w:rFonts w:ascii="Times New Roman" w:hAnsi="Times New Roman"/>
          <w:b/>
          <w:i/>
          <w:w w:val="95"/>
          <w:sz w:val="32"/>
        </w:rPr>
        <w:t>por</w:t>
      </w:r>
      <w:r>
        <w:rPr>
          <w:rFonts w:ascii="Times New Roman" w:hAnsi="Times New Roman"/>
          <w:b/>
          <w:i/>
          <w:spacing w:val="-30"/>
          <w:w w:val="95"/>
          <w:sz w:val="32"/>
        </w:rPr>
        <w:t> </w:t>
      </w:r>
      <w:r>
        <w:rPr>
          <w:rFonts w:ascii="Times New Roman" w:hAnsi="Times New Roman"/>
          <w:b/>
          <w:i/>
          <w:w w:val="95"/>
          <w:sz w:val="32"/>
        </w:rPr>
        <w:t>los </w:t>
      </w:r>
      <w:r>
        <w:rPr>
          <w:rFonts w:ascii="Times New Roman" w:hAnsi="Times New Roman"/>
          <w:b/>
          <w:i/>
          <w:w w:val="90"/>
          <w:sz w:val="32"/>
        </w:rPr>
        <w:t>obstáculos</w:t>
      </w:r>
      <w:r>
        <w:rPr>
          <w:rFonts w:ascii="Times New Roman" w:hAnsi="Times New Roman"/>
          <w:b/>
          <w:i/>
          <w:spacing w:val="-38"/>
          <w:w w:val="90"/>
          <w:sz w:val="32"/>
        </w:rPr>
        <w:t> </w:t>
      </w:r>
      <w:r>
        <w:rPr>
          <w:rFonts w:ascii="Times New Roman" w:hAnsi="Times New Roman"/>
          <w:b/>
          <w:i/>
          <w:w w:val="90"/>
          <w:sz w:val="32"/>
        </w:rPr>
        <w:t>y</w:t>
      </w:r>
      <w:r>
        <w:rPr>
          <w:rFonts w:ascii="Times New Roman" w:hAnsi="Times New Roman"/>
          <w:b/>
          <w:i/>
          <w:spacing w:val="-40"/>
          <w:w w:val="90"/>
          <w:sz w:val="32"/>
        </w:rPr>
        <w:t> </w:t>
      </w:r>
      <w:r>
        <w:rPr>
          <w:rFonts w:ascii="Times New Roman" w:hAnsi="Times New Roman"/>
          <w:b/>
          <w:i/>
          <w:w w:val="90"/>
          <w:sz w:val="32"/>
        </w:rPr>
        <w:t>pruebas,</w:t>
      </w:r>
      <w:r>
        <w:rPr>
          <w:rFonts w:ascii="Times New Roman" w:hAnsi="Times New Roman"/>
          <w:b/>
          <w:i/>
          <w:spacing w:val="-40"/>
          <w:w w:val="90"/>
          <w:sz w:val="32"/>
        </w:rPr>
        <w:t> </w:t>
      </w:r>
      <w:r>
        <w:rPr>
          <w:rFonts w:ascii="Times New Roman" w:hAnsi="Times New Roman"/>
          <w:b/>
          <w:i/>
          <w:w w:val="90"/>
          <w:sz w:val="32"/>
        </w:rPr>
        <w:t>por</w:t>
      </w:r>
      <w:r>
        <w:rPr>
          <w:rFonts w:ascii="Times New Roman" w:hAnsi="Times New Roman"/>
          <w:b/>
          <w:i/>
          <w:spacing w:val="-38"/>
          <w:w w:val="90"/>
          <w:sz w:val="32"/>
        </w:rPr>
        <w:t> </w:t>
      </w:r>
      <w:r>
        <w:rPr>
          <w:rFonts w:ascii="Times New Roman" w:hAnsi="Times New Roman"/>
          <w:b/>
          <w:i/>
          <w:w w:val="90"/>
          <w:sz w:val="32"/>
        </w:rPr>
        <w:t>la</w:t>
      </w:r>
      <w:r>
        <w:rPr>
          <w:rFonts w:ascii="Times New Roman" w:hAnsi="Times New Roman"/>
          <w:b/>
          <w:i/>
          <w:spacing w:val="-39"/>
          <w:w w:val="90"/>
          <w:sz w:val="32"/>
        </w:rPr>
        <w:t> </w:t>
      </w:r>
      <w:r>
        <w:rPr>
          <w:rFonts w:ascii="Times New Roman" w:hAnsi="Times New Roman"/>
          <w:b/>
          <w:i/>
          <w:w w:val="90"/>
          <w:sz w:val="32"/>
        </w:rPr>
        <w:t>alegría</w:t>
      </w:r>
      <w:r>
        <w:rPr>
          <w:rFonts w:ascii="Times New Roman" w:hAnsi="Times New Roman"/>
          <w:b/>
          <w:i/>
          <w:spacing w:val="-39"/>
          <w:w w:val="90"/>
          <w:sz w:val="32"/>
        </w:rPr>
        <w:t> </w:t>
      </w:r>
      <w:r>
        <w:rPr>
          <w:rFonts w:ascii="Times New Roman" w:hAnsi="Times New Roman"/>
          <w:b/>
          <w:i/>
          <w:w w:val="90"/>
          <w:sz w:val="32"/>
        </w:rPr>
        <w:t>y</w:t>
      </w:r>
      <w:r>
        <w:rPr>
          <w:rFonts w:ascii="Times New Roman" w:hAnsi="Times New Roman"/>
          <w:b/>
          <w:i/>
          <w:spacing w:val="-40"/>
          <w:w w:val="90"/>
          <w:sz w:val="32"/>
        </w:rPr>
        <w:t> </w:t>
      </w:r>
      <w:r>
        <w:rPr>
          <w:rFonts w:ascii="Times New Roman" w:hAnsi="Times New Roman"/>
          <w:b/>
          <w:i/>
          <w:w w:val="90"/>
          <w:sz w:val="32"/>
        </w:rPr>
        <w:t>tristesa,</w:t>
      </w:r>
      <w:r>
        <w:rPr>
          <w:rFonts w:ascii="Times New Roman" w:hAnsi="Times New Roman"/>
          <w:b/>
          <w:i/>
          <w:spacing w:val="-6"/>
          <w:w w:val="90"/>
          <w:sz w:val="32"/>
        </w:rPr>
        <w:t> </w:t>
      </w:r>
      <w:r>
        <w:rPr>
          <w:rFonts w:ascii="Times New Roman" w:hAnsi="Times New Roman"/>
          <w:b/>
          <w:i/>
          <w:w w:val="90"/>
          <w:sz w:val="32"/>
        </w:rPr>
        <w:t>por</w:t>
      </w:r>
      <w:r>
        <w:rPr>
          <w:rFonts w:ascii="Times New Roman" w:hAnsi="Times New Roman"/>
          <w:b/>
          <w:i/>
          <w:spacing w:val="-38"/>
          <w:w w:val="90"/>
          <w:sz w:val="32"/>
        </w:rPr>
        <w:t> </w:t>
      </w:r>
      <w:r>
        <w:rPr>
          <w:rFonts w:ascii="Times New Roman" w:hAnsi="Times New Roman"/>
          <w:b/>
          <w:i/>
          <w:w w:val="90"/>
          <w:sz w:val="32"/>
        </w:rPr>
        <w:t>darme</w:t>
      </w:r>
      <w:r>
        <w:rPr>
          <w:rFonts w:ascii="Times New Roman" w:hAnsi="Times New Roman"/>
          <w:b/>
          <w:i/>
          <w:spacing w:val="-40"/>
          <w:w w:val="90"/>
          <w:sz w:val="32"/>
        </w:rPr>
        <w:t> </w:t>
      </w:r>
      <w:r>
        <w:rPr>
          <w:rFonts w:ascii="Times New Roman" w:hAnsi="Times New Roman"/>
          <w:b/>
          <w:i/>
          <w:w w:val="90"/>
          <w:sz w:val="32"/>
        </w:rPr>
        <w:t>lo</w:t>
      </w:r>
      <w:r>
        <w:rPr>
          <w:rFonts w:ascii="Times New Roman" w:hAnsi="Times New Roman"/>
          <w:b/>
          <w:i/>
          <w:spacing w:val="-38"/>
          <w:w w:val="90"/>
          <w:sz w:val="32"/>
        </w:rPr>
        <w:t> </w:t>
      </w:r>
      <w:r>
        <w:rPr>
          <w:rFonts w:ascii="Times New Roman" w:hAnsi="Times New Roman"/>
          <w:b/>
          <w:i/>
          <w:w w:val="90"/>
          <w:sz w:val="32"/>
        </w:rPr>
        <w:t>que</w:t>
      </w:r>
      <w:r>
        <w:rPr>
          <w:rFonts w:ascii="Times New Roman" w:hAnsi="Times New Roman"/>
          <w:b/>
          <w:i/>
          <w:spacing w:val="-40"/>
          <w:w w:val="90"/>
          <w:sz w:val="32"/>
        </w:rPr>
        <w:t> </w:t>
      </w:r>
      <w:r>
        <w:rPr>
          <w:rFonts w:ascii="Times New Roman" w:hAnsi="Times New Roman"/>
          <w:b/>
          <w:i/>
          <w:w w:val="90"/>
          <w:sz w:val="32"/>
        </w:rPr>
        <w:t>tengo</w:t>
      </w:r>
      <w:r>
        <w:rPr>
          <w:rFonts w:ascii="Times New Roman" w:hAnsi="Times New Roman"/>
          <w:b/>
          <w:i/>
          <w:spacing w:val="-40"/>
          <w:w w:val="90"/>
          <w:sz w:val="32"/>
        </w:rPr>
        <w:t> </w:t>
      </w:r>
      <w:r>
        <w:rPr>
          <w:rFonts w:ascii="Times New Roman" w:hAnsi="Times New Roman"/>
          <w:b/>
          <w:i/>
          <w:w w:val="90"/>
          <w:sz w:val="32"/>
        </w:rPr>
        <w:t>y</w:t>
      </w:r>
      <w:r>
        <w:rPr>
          <w:rFonts w:ascii="Times New Roman" w:hAnsi="Times New Roman"/>
          <w:b/>
          <w:i/>
          <w:spacing w:val="-39"/>
          <w:w w:val="90"/>
          <w:sz w:val="32"/>
        </w:rPr>
        <w:t> </w:t>
      </w:r>
      <w:r>
        <w:rPr>
          <w:rFonts w:ascii="Times New Roman" w:hAnsi="Times New Roman"/>
          <w:b/>
          <w:i/>
          <w:w w:val="90"/>
          <w:sz w:val="32"/>
        </w:rPr>
        <w:t>mas…</w:t>
      </w:r>
    </w:p>
    <w:p>
      <w:pPr>
        <w:pStyle w:val="BodyText"/>
        <w:rPr>
          <w:rFonts w:ascii="Times New Roman"/>
          <w:b/>
          <w:i/>
          <w:sz w:val="32"/>
        </w:rPr>
      </w:pPr>
    </w:p>
    <w:p>
      <w:pPr>
        <w:pStyle w:val="BodyText"/>
        <w:spacing w:before="10"/>
        <w:rPr>
          <w:rFonts w:ascii="Times New Roman"/>
          <w:b/>
          <w:i/>
          <w:sz w:val="38"/>
        </w:rPr>
      </w:pPr>
    </w:p>
    <w:p>
      <w:pPr>
        <w:spacing w:line="268" w:lineRule="auto" w:before="1"/>
        <w:ind w:left="152" w:right="107" w:firstLine="0"/>
        <w:jc w:val="both"/>
        <w:rPr>
          <w:rFonts w:ascii="Times New Roman" w:hAnsi="Times New Roman"/>
          <w:b/>
          <w:i/>
          <w:sz w:val="32"/>
        </w:rPr>
      </w:pPr>
      <w:r>
        <w:rPr>
          <w:rFonts w:ascii="Times New Roman" w:hAnsi="Times New Roman"/>
          <w:b/>
          <w:i/>
          <w:w w:val="90"/>
          <w:sz w:val="32"/>
        </w:rPr>
        <w:t>Hoy,</w:t>
      </w:r>
      <w:r>
        <w:rPr>
          <w:rFonts w:ascii="Times New Roman" w:hAnsi="Times New Roman"/>
          <w:b/>
          <w:i/>
          <w:spacing w:val="-25"/>
          <w:w w:val="90"/>
          <w:sz w:val="32"/>
        </w:rPr>
        <w:t> </w:t>
      </w:r>
      <w:r>
        <w:rPr>
          <w:rFonts w:ascii="Times New Roman" w:hAnsi="Times New Roman"/>
          <w:b/>
          <w:i/>
          <w:w w:val="90"/>
          <w:sz w:val="32"/>
        </w:rPr>
        <w:t>escribo</w:t>
      </w:r>
      <w:r>
        <w:rPr>
          <w:rFonts w:ascii="Times New Roman" w:hAnsi="Times New Roman"/>
          <w:b/>
          <w:i/>
          <w:spacing w:val="-25"/>
          <w:w w:val="90"/>
          <w:sz w:val="32"/>
        </w:rPr>
        <w:t> </w:t>
      </w:r>
      <w:r>
        <w:rPr>
          <w:rFonts w:ascii="Times New Roman" w:hAnsi="Times New Roman"/>
          <w:b/>
          <w:i/>
          <w:w w:val="90"/>
          <w:sz w:val="32"/>
        </w:rPr>
        <w:t>estas</w:t>
      </w:r>
      <w:r>
        <w:rPr>
          <w:rFonts w:ascii="Times New Roman" w:hAnsi="Times New Roman"/>
          <w:b/>
          <w:i/>
          <w:spacing w:val="-25"/>
          <w:w w:val="90"/>
          <w:sz w:val="32"/>
        </w:rPr>
        <w:t> </w:t>
      </w:r>
      <w:r>
        <w:rPr>
          <w:rFonts w:ascii="Times New Roman" w:hAnsi="Times New Roman"/>
          <w:b/>
          <w:i/>
          <w:w w:val="90"/>
          <w:sz w:val="32"/>
        </w:rPr>
        <w:t>notas</w:t>
      </w:r>
      <w:r>
        <w:rPr>
          <w:rFonts w:ascii="Times New Roman" w:hAnsi="Times New Roman"/>
          <w:b/>
          <w:i/>
          <w:spacing w:val="-25"/>
          <w:w w:val="90"/>
          <w:sz w:val="32"/>
        </w:rPr>
        <w:t> </w:t>
      </w:r>
      <w:r>
        <w:rPr>
          <w:rFonts w:ascii="Times New Roman" w:hAnsi="Times New Roman"/>
          <w:b/>
          <w:i/>
          <w:w w:val="90"/>
          <w:sz w:val="32"/>
        </w:rPr>
        <w:t>son</w:t>
      </w:r>
      <w:r>
        <w:rPr>
          <w:rFonts w:ascii="Times New Roman" w:hAnsi="Times New Roman"/>
          <w:b/>
          <w:i/>
          <w:spacing w:val="-25"/>
          <w:w w:val="90"/>
          <w:sz w:val="32"/>
        </w:rPr>
        <w:t> </w:t>
      </w:r>
      <w:r>
        <w:rPr>
          <w:rFonts w:ascii="Times New Roman" w:hAnsi="Times New Roman"/>
          <w:b/>
          <w:i/>
          <w:w w:val="90"/>
          <w:sz w:val="32"/>
        </w:rPr>
        <w:t>la</w:t>
      </w:r>
      <w:r>
        <w:rPr>
          <w:rFonts w:ascii="Times New Roman" w:hAnsi="Times New Roman"/>
          <w:b/>
          <w:i/>
          <w:spacing w:val="-24"/>
          <w:w w:val="90"/>
          <w:sz w:val="32"/>
        </w:rPr>
        <w:t> </w:t>
      </w:r>
      <w:r>
        <w:rPr>
          <w:rFonts w:ascii="Times New Roman" w:hAnsi="Times New Roman"/>
          <w:b/>
          <w:i/>
          <w:w w:val="90"/>
          <w:sz w:val="32"/>
        </w:rPr>
        <w:t>melodía</w:t>
      </w:r>
      <w:r>
        <w:rPr>
          <w:rFonts w:ascii="Times New Roman" w:hAnsi="Times New Roman"/>
          <w:b/>
          <w:i/>
          <w:spacing w:val="-26"/>
          <w:w w:val="90"/>
          <w:sz w:val="32"/>
        </w:rPr>
        <w:t> </w:t>
      </w:r>
      <w:r>
        <w:rPr>
          <w:rFonts w:ascii="Times New Roman" w:hAnsi="Times New Roman"/>
          <w:b/>
          <w:i/>
          <w:w w:val="90"/>
          <w:sz w:val="32"/>
        </w:rPr>
        <w:t>de</w:t>
      </w:r>
      <w:r>
        <w:rPr>
          <w:rFonts w:ascii="Times New Roman" w:hAnsi="Times New Roman"/>
          <w:b/>
          <w:i/>
          <w:spacing w:val="-26"/>
          <w:w w:val="90"/>
          <w:sz w:val="32"/>
        </w:rPr>
        <w:t> </w:t>
      </w:r>
      <w:r>
        <w:rPr>
          <w:rFonts w:ascii="Times New Roman" w:hAnsi="Times New Roman"/>
          <w:b/>
          <w:i/>
          <w:w w:val="90"/>
          <w:sz w:val="32"/>
        </w:rPr>
        <w:t>la</w:t>
      </w:r>
      <w:r>
        <w:rPr>
          <w:rFonts w:ascii="Times New Roman" w:hAnsi="Times New Roman"/>
          <w:b/>
          <w:i/>
          <w:spacing w:val="-26"/>
          <w:w w:val="90"/>
          <w:sz w:val="32"/>
        </w:rPr>
        <w:t> </w:t>
      </w:r>
      <w:r>
        <w:rPr>
          <w:rFonts w:ascii="Times New Roman" w:hAnsi="Times New Roman"/>
          <w:b/>
          <w:i/>
          <w:w w:val="90"/>
          <w:sz w:val="32"/>
        </w:rPr>
        <w:t>lluvia</w:t>
      </w:r>
      <w:r>
        <w:rPr>
          <w:rFonts w:ascii="Times New Roman" w:hAnsi="Times New Roman"/>
          <w:b/>
          <w:i/>
          <w:spacing w:val="-19"/>
          <w:w w:val="90"/>
          <w:sz w:val="32"/>
        </w:rPr>
        <w:t> </w:t>
      </w:r>
      <w:r>
        <w:rPr>
          <w:rFonts w:ascii="Times New Roman" w:hAnsi="Times New Roman"/>
          <w:b/>
          <w:i/>
          <w:w w:val="90"/>
          <w:sz w:val="32"/>
        </w:rPr>
        <w:t>y</w:t>
      </w:r>
      <w:r>
        <w:rPr>
          <w:rFonts w:ascii="Times New Roman" w:hAnsi="Times New Roman"/>
          <w:b/>
          <w:i/>
          <w:spacing w:val="-25"/>
          <w:w w:val="90"/>
          <w:sz w:val="32"/>
        </w:rPr>
        <w:t> </w:t>
      </w:r>
      <w:r>
        <w:rPr>
          <w:rFonts w:ascii="Times New Roman" w:hAnsi="Times New Roman"/>
          <w:b/>
          <w:i/>
          <w:w w:val="90"/>
          <w:sz w:val="32"/>
        </w:rPr>
        <w:t>los</w:t>
      </w:r>
      <w:r>
        <w:rPr>
          <w:rFonts w:ascii="Times New Roman" w:hAnsi="Times New Roman"/>
          <w:b/>
          <w:i/>
          <w:spacing w:val="-26"/>
          <w:w w:val="90"/>
          <w:sz w:val="32"/>
        </w:rPr>
        <w:t> </w:t>
      </w:r>
      <w:r>
        <w:rPr>
          <w:rFonts w:ascii="Times New Roman" w:hAnsi="Times New Roman"/>
          <w:b/>
          <w:i/>
          <w:w w:val="90"/>
          <w:sz w:val="32"/>
        </w:rPr>
        <w:t>rayos</w:t>
      </w:r>
      <w:r>
        <w:rPr>
          <w:rFonts w:ascii="Times New Roman" w:hAnsi="Times New Roman"/>
          <w:b/>
          <w:i/>
          <w:spacing w:val="-25"/>
          <w:w w:val="90"/>
          <w:sz w:val="32"/>
        </w:rPr>
        <w:t> </w:t>
      </w:r>
      <w:r>
        <w:rPr>
          <w:rFonts w:ascii="Times New Roman" w:hAnsi="Times New Roman"/>
          <w:b/>
          <w:i/>
          <w:w w:val="90"/>
          <w:sz w:val="32"/>
        </w:rPr>
        <w:t>del</w:t>
      </w:r>
      <w:r>
        <w:rPr>
          <w:rFonts w:ascii="Times New Roman" w:hAnsi="Times New Roman"/>
          <w:b/>
          <w:i/>
          <w:spacing w:val="-25"/>
          <w:w w:val="90"/>
          <w:sz w:val="32"/>
        </w:rPr>
        <w:t> </w:t>
      </w:r>
      <w:r>
        <w:rPr>
          <w:rFonts w:ascii="Times New Roman" w:hAnsi="Times New Roman"/>
          <w:b/>
          <w:i/>
          <w:w w:val="90"/>
          <w:sz w:val="32"/>
        </w:rPr>
        <w:t>sol,</w:t>
      </w:r>
      <w:r>
        <w:rPr>
          <w:rFonts w:ascii="Times New Roman" w:hAnsi="Times New Roman"/>
          <w:b/>
          <w:i/>
          <w:spacing w:val="-23"/>
          <w:w w:val="90"/>
          <w:sz w:val="32"/>
        </w:rPr>
        <w:t> </w:t>
      </w:r>
      <w:r>
        <w:rPr>
          <w:rFonts w:ascii="Times New Roman" w:hAnsi="Times New Roman"/>
          <w:b/>
          <w:i/>
          <w:w w:val="90"/>
          <w:sz w:val="32"/>
        </w:rPr>
        <w:t>entre</w:t>
      </w:r>
      <w:r>
        <w:rPr>
          <w:rFonts w:ascii="Times New Roman" w:hAnsi="Times New Roman"/>
          <w:b/>
          <w:i/>
          <w:spacing w:val="-26"/>
          <w:w w:val="90"/>
          <w:sz w:val="32"/>
        </w:rPr>
        <w:t> </w:t>
      </w:r>
      <w:r>
        <w:rPr>
          <w:rFonts w:ascii="Times New Roman" w:hAnsi="Times New Roman"/>
          <w:b/>
          <w:i/>
          <w:w w:val="90"/>
          <w:sz w:val="32"/>
        </w:rPr>
        <w:t>el </w:t>
      </w:r>
      <w:r>
        <w:rPr>
          <w:rFonts w:ascii="Times New Roman" w:hAnsi="Times New Roman"/>
          <w:b/>
          <w:i/>
          <w:w w:val="90"/>
          <w:sz w:val="32"/>
        </w:rPr>
        <w:t>sueño</w:t>
      </w:r>
      <w:r>
        <w:rPr>
          <w:rFonts w:ascii="Times New Roman" w:hAnsi="Times New Roman"/>
          <w:b/>
          <w:i/>
          <w:spacing w:val="-49"/>
          <w:w w:val="90"/>
          <w:sz w:val="32"/>
        </w:rPr>
        <w:t> </w:t>
      </w:r>
      <w:r>
        <w:rPr>
          <w:rFonts w:ascii="Times New Roman" w:hAnsi="Times New Roman"/>
          <w:b/>
          <w:i/>
          <w:w w:val="90"/>
          <w:sz w:val="32"/>
        </w:rPr>
        <w:t>y</w:t>
      </w:r>
      <w:r>
        <w:rPr>
          <w:rFonts w:ascii="Times New Roman" w:hAnsi="Times New Roman"/>
          <w:b/>
          <w:i/>
          <w:spacing w:val="-49"/>
          <w:w w:val="90"/>
          <w:sz w:val="32"/>
        </w:rPr>
        <w:t> </w:t>
      </w:r>
      <w:r>
        <w:rPr>
          <w:rFonts w:ascii="Times New Roman" w:hAnsi="Times New Roman"/>
          <w:b/>
          <w:i/>
          <w:w w:val="90"/>
          <w:sz w:val="32"/>
        </w:rPr>
        <w:t>la</w:t>
      </w:r>
      <w:r>
        <w:rPr>
          <w:rFonts w:ascii="Times New Roman" w:hAnsi="Times New Roman"/>
          <w:b/>
          <w:i/>
          <w:spacing w:val="-48"/>
          <w:w w:val="90"/>
          <w:sz w:val="32"/>
        </w:rPr>
        <w:t> </w:t>
      </w:r>
      <w:r>
        <w:rPr>
          <w:rFonts w:ascii="Times New Roman" w:hAnsi="Times New Roman"/>
          <w:b/>
          <w:i/>
          <w:w w:val="90"/>
          <w:sz w:val="32"/>
        </w:rPr>
        <w:t>realidad,</w:t>
      </w:r>
      <w:r>
        <w:rPr>
          <w:rFonts w:ascii="Times New Roman" w:hAnsi="Times New Roman"/>
          <w:b/>
          <w:i/>
          <w:spacing w:val="-49"/>
          <w:w w:val="90"/>
          <w:sz w:val="32"/>
        </w:rPr>
        <w:t> </w:t>
      </w:r>
      <w:r>
        <w:rPr>
          <w:rFonts w:ascii="Times New Roman" w:hAnsi="Times New Roman"/>
          <w:b/>
          <w:i/>
          <w:w w:val="90"/>
          <w:sz w:val="32"/>
        </w:rPr>
        <w:t>con</w:t>
      </w:r>
      <w:r>
        <w:rPr>
          <w:rFonts w:ascii="Times New Roman" w:hAnsi="Times New Roman"/>
          <w:b/>
          <w:i/>
          <w:spacing w:val="-49"/>
          <w:w w:val="90"/>
          <w:sz w:val="32"/>
        </w:rPr>
        <w:t> </w:t>
      </w:r>
      <w:r>
        <w:rPr>
          <w:rFonts w:ascii="Times New Roman" w:hAnsi="Times New Roman"/>
          <w:b/>
          <w:i/>
          <w:w w:val="90"/>
          <w:sz w:val="32"/>
        </w:rPr>
        <w:t>la</w:t>
      </w:r>
      <w:r>
        <w:rPr>
          <w:rFonts w:ascii="Times New Roman" w:hAnsi="Times New Roman"/>
          <w:b/>
          <w:i/>
          <w:spacing w:val="-48"/>
          <w:w w:val="90"/>
          <w:sz w:val="32"/>
        </w:rPr>
        <w:t> </w:t>
      </w:r>
      <w:r>
        <w:rPr>
          <w:rFonts w:ascii="Times New Roman" w:hAnsi="Times New Roman"/>
          <w:b/>
          <w:i/>
          <w:w w:val="90"/>
          <w:sz w:val="32"/>
        </w:rPr>
        <w:t>espera</w:t>
      </w:r>
      <w:r>
        <w:rPr>
          <w:rFonts w:ascii="Times New Roman" w:hAnsi="Times New Roman"/>
          <w:b/>
          <w:i/>
          <w:spacing w:val="-48"/>
          <w:w w:val="90"/>
          <w:sz w:val="32"/>
        </w:rPr>
        <w:t> </w:t>
      </w:r>
      <w:r>
        <w:rPr>
          <w:rFonts w:ascii="Times New Roman" w:hAnsi="Times New Roman"/>
          <w:b/>
          <w:i/>
          <w:w w:val="90"/>
          <w:sz w:val="32"/>
        </w:rPr>
        <w:t>de</w:t>
      </w:r>
      <w:r>
        <w:rPr>
          <w:rFonts w:ascii="Times New Roman" w:hAnsi="Times New Roman"/>
          <w:b/>
          <w:i/>
          <w:spacing w:val="-48"/>
          <w:w w:val="90"/>
          <w:sz w:val="32"/>
        </w:rPr>
        <w:t> </w:t>
      </w:r>
      <w:r>
        <w:rPr>
          <w:rFonts w:ascii="Times New Roman" w:hAnsi="Times New Roman"/>
          <w:b/>
          <w:i/>
          <w:w w:val="90"/>
          <w:sz w:val="32"/>
        </w:rPr>
        <w:t>la</w:t>
      </w:r>
      <w:r>
        <w:rPr>
          <w:rFonts w:ascii="Times New Roman" w:hAnsi="Times New Roman"/>
          <w:b/>
          <w:i/>
          <w:spacing w:val="-49"/>
          <w:w w:val="90"/>
          <w:sz w:val="32"/>
        </w:rPr>
        <w:t> </w:t>
      </w:r>
      <w:r>
        <w:rPr>
          <w:rFonts w:ascii="Times New Roman" w:hAnsi="Times New Roman"/>
          <w:b/>
          <w:i/>
          <w:w w:val="90"/>
          <w:sz w:val="32"/>
        </w:rPr>
        <w:t>incertidumbre</w:t>
      </w:r>
      <w:r>
        <w:rPr>
          <w:rFonts w:ascii="Times New Roman" w:hAnsi="Times New Roman"/>
          <w:b/>
          <w:i/>
          <w:spacing w:val="-48"/>
          <w:w w:val="90"/>
          <w:sz w:val="32"/>
        </w:rPr>
        <w:t> </w:t>
      </w:r>
      <w:r>
        <w:rPr>
          <w:rFonts w:ascii="Times New Roman" w:hAnsi="Times New Roman"/>
          <w:b/>
          <w:i/>
          <w:w w:val="90"/>
          <w:sz w:val="32"/>
        </w:rPr>
        <w:t>del</w:t>
      </w:r>
      <w:r>
        <w:rPr>
          <w:rFonts w:ascii="Times New Roman" w:hAnsi="Times New Roman"/>
          <w:b/>
          <w:i/>
          <w:spacing w:val="-48"/>
          <w:w w:val="90"/>
          <w:sz w:val="32"/>
        </w:rPr>
        <w:t> </w:t>
      </w:r>
      <w:r>
        <w:rPr>
          <w:rFonts w:ascii="Times New Roman" w:hAnsi="Times New Roman"/>
          <w:b/>
          <w:i/>
          <w:w w:val="90"/>
          <w:sz w:val="32"/>
        </w:rPr>
        <w:t>mañana</w:t>
      </w:r>
      <w:r>
        <w:rPr>
          <w:rFonts w:ascii="Times New Roman" w:hAnsi="Times New Roman"/>
          <w:b/>
          <w:i/>
          <w:spacing w:val="-48"/>
          <w:w w:val="90"/>
          <w:sz w:val="32"/>
        </w:rPr>
        <w:t> </w:t>
      </w:r>
      <w:r>
        <w:rPr>
          <w:rFonts w:ascii="Times New Roman" w:hAnsi="Times New Roman"/>
          <w:b/>
          <w:i/>
          <w:w w:val="90"/>
          <w:sz w:val="32"/>
        </w:rPr>
        <w:t>y</w:t>
      </w:r>
      <w:r>
        <w:rPr>
          <w:rFonts w:ascii="Times New Roman" w:hAnsi="Times New Roman"/>
          <w:b/>
          <w:i/>
          <w:spacing w:val="-49"/>
          <w:w w:val="90"/>
          <w:sz w:val="32"/>
        </w:rPr>
        <w:t> </w:t>
      </w:r>
      <w:r>
        <w:rPr>
          <w:rFonts w:ascii="Times New Roman" w:hAnsi="Times New Roman"/>
          <w:b/>
          <w:i/>
          <w:w w:val="90"/>
          <w:sz w:val="32"/>
        </w:rPr>
        <w:t>la</w:t>
      </w:r>
      <w:r>
        <w:rPr>
          <w:rFonts w:ascii="Times New Roman" w:hAnsi="Times New Roman"/>
          <w:b/>
          <w:i/>
          <w:spacing w:val="-49"/>
          <w:w w:val="90"/>
          <w:sz w:val="32"/>
        </w:rPr>
        <w:t> </w:t>
      </w:r>
      <w:r>
        <w:rPr>
          <w:rFonts w:ascii="Times New Roman" w:hAnsi="Times New Roman"/>
          <w:b/>
          <w:i/>
          <w:w w:val="90"/>
          <w:sz w:val="32"/>
        </w:rPr>
        <w:t>agonía</w:t>
      </w:r>
      <w:r>
        <w:rPr>
          <w:rFonts w:ascii="Times New Roman" w:hAnsi="Times New Roman"/>
          <w:b/>
          <w:i/>
          <w:spacing w:val="-49"/>
          <w:w w:val="90"/>
          <w:sz w:val="32"/>
        </w:rPr>
        <w:t> </w:t>
      </w:r>
      <w:r>
        <w:rPr>
          <w:rFonts w:ascii="Times New Roman" w:hAnsi="Times New Roman"/>
          <w:b/>
          <w:i/>
          <w:w w:val="90"/>
          <w:sz w:val="32"/>
        </w:rPr>
        <w:t>de </w:t>
      </w:r>
      <w:r>
        <w:rPr>
          <w:rFonts w:ascii="Times New Roman" w:hAnsi="Times New Roman"/>
          <w:b/>
          <w:i/>
          <w:w w:val="85"/>
          <w:sz w:val="32"/>
        </w:rPr>
        <w:t>la</w:t>
      </w:r>
      <w:r>
        <w:rPr>
          <w:rFonts w:ascii="Times New Roman" w:hAnsi="Times New Roman"/>
          <w:b/>
          <w:i/>
          <w:spacing w:val="-17"/>
          <w:w w:val="85"/>
          <w:sz w:val="32"/>
        </w:rPr>
        <w:t> </w:t>
      </w:r>
      <w:r>
        <w:rPr>
          <w:rFonts w:ascii="Times New Roman" w:hAnsi="Times New Roman"/>
          <w:b/>
          <w:i/>
          <w:w w:val="85"/>
          <w:sz w:val="32"/>
        </w:rPr>
        <w:t>espera.</w:t>
      </w:r>
      <w:r>
        <w:rPr>
          <w:rFonts w:ascii="Times New Roman" w:hAnsi="Times New Roman"/>
          <w:b/>
          <w:i/>
          <w:spacing w:val="-20"/>
          <w:w w:val="85"/>
          <w:sz w:val="32"/>
        </w:rPr>
        <w:t> </w:t>
      </w:r>
      <w:r>
        <w:rPr>
          <w:rFonts w:ascii="Times New Roman" w:hAnsi="Times New Roman"/>
          <w:b/>
          <w:i/>
          <w:w w:val="85"/>
          <w:sz w:val="32"/>
        </w:rPr>
        <w:t>Mañana</w:t>
      </w:r>
      <w:r>
        <w:rPr>
          <w:rFonts w:ascii="Times New Roman" w:hAnsi="Times New Roman"/>
          <w:b/>
          <w:i/>
          <w:spacing w:val="-19"/>
          <w:w w:val="85"/>
          <w:sz w:val="32"/>
        </w:rPr>
        <w:t> </w:t>
      </w:r>
      <w:r>
        <w:rPr>
          <w:rFonts w:ascii="Times New Roman" w:hAnsi="Times New Roman"/>
          <w:b/>
          <w:i/>
          <w:w w:val="85"/>
          <w:sz w:val="32"/>
        </w:rPr>
        <w:t>se</w:t>
      </w:r>
      <w:r>
        <w:rPr>
          <w:rFonts w:ascii="Times New Roman" w:hAnsi="Times New Roman"/>
          <w:b/>
          <w:i/>
          <w:spacing w:val="-20"/>
          <w:w w:val="85"/>
          <w:sz w:val="32"/>
        </w:rPr>
        <w:t> </w:t>
      </w:r>
      <w:r>
        <w:rPr>
          <w:rFonts w:ascii="Times New Roman" w:hAnsi="Times New Roman"/>
          <w:b/>
          <w:i/>
          <w:w w:val="85"/>
          <w:sz w:val="32"/>
        </w:rPr>
        <w:t>culmina</w:t>
      </w:r>
      <w:r>
        <w:rPr>
          <w:rFonts w:ascii="Times New Roman" w:hAnsi="Times New Roman"/>
          <w:b/>
          <w:i/>
          <w:spacing w:val="-18"/>
          <w:w w:val="85"/>
          <w:sz w:val="32"/>
        </w:rPr>
        <w:t> </w:t>
      </w:r>
      <w:r>
        <w:rPr>
          <w:rFonts w:ascii="Times New Roman" w:hAnsi="Times New Roman"/>
          <w:b/>
          <w:i/>
          <w:w w:val="85"/>
          <w:sz w:val="32"/>
        </w:rPr>
        <w:t>el</w:t>
      </w:r>
      <w:r>
        <w:rPr>
          <w:rFonts w:ascii="Times New Roman" w:hAnsi="Times New Roman"/>
          <w:b/>
          <w:i/>
          <w:spacing w:val="-20"/>
          <w:w w:val="85"/>
          <w:sz w:val="32"/>
        </w:rPr>
        <w:t> </w:t>
      </w:r>
      <w:r>
        <w:rPr>
          <w:rFonts w:ascii="Times New Roman" w:hAnsi="Times New Roman"/>
          <w:b/>
          <w:i/>
          <w:w w:val="85"/>
          <w:sz w:val="32"/>
        </w:rPr>
        <w:t>ciclo</w:t>
      </w:r>
      <w:r>
        <w:rPr>
          <w:rFonts w:ascii="Times New Roman" w:hAnsi="Times New Roman"/>
          <w:b/>
          <w:i/>
          <w:spacing w:val="-16"/>
          <w:w w:val="85"/>
          <w:sz w:val="32"/>
        </w:rPr>
        <w:t> </w:t>
      </w:r>
      <w:r>
        <w:rPr>
          <w:rFonts w:ascii="Times New Roman" w:hAnsi="Times New Roman"/>
          <w:b/>
          <w:i/>
          <w:w w:val="85"/>
          <w:sz w:val="32"/>
        </w:rPr>
        <w:t>e</w:t>
      </w:r>
      <w:r>
        <w:rPr>
          <w:rFonts w:ascii="Times New Roman" w:hAnsi="Times New Roman"/>
          <w:b/>
          <w:i/>
          <w:spacing w:val="-20"/>
          <w:w w:val="85"/>
          <w:sz w:val="32"/>
        </w:rPr>
        <w:t> </w:t>
      </w:r>
      <w:r>
        <w:rPr>
          <w:rFonts w:ascii="Times New Roman" w:hAnsi="Times New Roman"/>
          <w:b/>
          <w:i/>
          <w:w w:val="85"/>
          <w:sz w:val="32"/>
        </w:rPr>
        <w:t>inicia</w:t>
      </w:r>
      <w:r>
        <w:rPr>
          <w:rFonts w:ascii="Times New Roman" w:hAnsi="Times New Roman"/>
          <w:b/>
          <w:i/>
          <w:spacing w:val="-19"/>
          <w:w w:val="85"/>
          <w:sz w:val="32"/>
        </w:rPr>
        <w:t> </w:t>
      </w:r>
      <w:r>
        <w:rPr>
          <w:rFonts w:ascii="Times New Roman" w:hAnsi="Times New Roman"/>
          <w:b/>
          <w:i/>
          <w:w w:val="85"/>
          <w:sz w:val="32"/>
        </w:rPr>
        <w:t>de</w:t>
      </w:r>
      <w:r>
        <w:rPr>
          <w:rFonts w:ascii="Times New Roman" w:hAnsi="Times New Roman"/>
          <w:b/>
          <w:i/>
          <w:spacing w:val="-18"/>
          <w:w w:val="85"/>
          <w:sz w:val="32"/>
        </w:rPr>
        <w:t> </w:t>
      </w:r>
      <w:r>
        <w:rPr>
          <w:rFonts w:ascii="Times New Roman" w:hAnsi="Times New Roman"/>
          <w:b/>
          <w:i/>
          <w:w w:val="85"/>
          <w:sz w:val="32"/>
        </w:rPr>
        <w:t>nuevo.</w:t>
      </w:r>
      <w:r>
        <w:rPr>
          <w:rFonts w:ascii="Times New Roman" w:hAnsi="Times New Roman"/>
          <w:b/>
          <w:i/>
          <w:spacing w:val="-17"/>
          <w:w w:val="85"/>
          <w:sz w:val="32"/>
        </w:rPr>
        <w:t> </w:t>
      </w:r>
      <w:r>
        <w:rPr>
          <w:rFonts w:ascii="Times New Roman" w:hAnsi="Times New Roman"/>
          <w:b/>
          <w:i/>
          <w:w w:val="85"/>
          <w:sz w:val="32"/>
        </w:rPr>
        <w:t>Y</w:t>
      </w:r>
      <w:r>
        <w:rPr>
          <w:rFonts w:ascii="Times New Roman" w:hAnsi="Times New Roman"/>
          <w:b/>
          <w:i/>
          <w:spacing w:val="-18"/>
          <w:w w:val="85"/>
          <w:sz w:val="32"/>
        </w:rPr>
        <w:t> </w:t>
      </w:r>
      <w:r>
        <w:rPr>
          <w:rFonts w:ascii="Times New Roman" w:hAnsi="Times New Roman"/>
          <w:b/>
          <w:i/>
          <w:w w:val="85"/>
          <w:sz w:val="32"/>
        </w:rPr>
        <w:t>nuevamente</w:t>
      </w:r>
      <w:r>
        <w:rPr>
          <w:rFonts w:ascii="Times New Roman" w:hAnsi="Times New Roman"/>
          <w:b/>
          <w:i/>
          <w:spacing w:val="-19"/>
          <w:w w:val="85"/>
          <w:sz w:val="32"/>
        </w:rPr>
        <w:t> </w:t>
      </w:r>
      <w:r>
        <w:rPr>
          <w:rFonts w:ascii="Times New Roman" w:hAnsi="Times New Roman"/>
          <w:b/>
          <w:i/>
          <w:w w:val="85"/>
          <w:sz w:val="32"/>
        </w:rPr>
        <w:t>comienza </w:t>
      </w:r>
      <w:r>
        <w:rPr>
          <w:rFonts w:ascii="Times New Roman" w:hAnsi="Times New Roman"/>
          <w:b/>
          <w:i/>
          <w:w w:val="90"/>
          <w:sz w:val="32"/>
        </w:rPr>
        <w:t>el</w:t>
      </w:r>
      <w:r>
        <w:rPr>
          <w:rFonts w:ascii="Times New Roman" w:hAnsi="Times New Roman"/>
          <w:b/>
          <w:i/>
          <w:spacing w:val="-42"/>
          <w:w w:val="90"/>
          <w:sz w:val="32"/>
        </w:rPr>
        <w:t> </w:t>
      </w:r>
      <w:r>
        <w:rPr>
          <w:rFonts w:ascii="Times New Roman" w:hAnsi="Times New Roman"/>
          <w:b/>
          <w:i/>
          <w:w w:val="90"/>
          <w:sz w:val="32"/>
        </w:rPr>
        <w:t>juego,</w:t>
      </w:r>
      <w:r>
        <w:rPr>
          <w:rFonts w:ascii="Times New Roman" w:hAnsi="Times New Roman"/>
          <w:b/>
          <w:i/>
          <w:spacing w:val="-42"/>
          <w:w w:val="90"/>
          <w:sz w:val="32"/>
        </w:rPr>
        <w:t> </w:t>
      </w:r>
      <w:r>
        <w:rPr>
          <w:rFonts w:ascii="Times New Roman" w:hAnsi="Times New Roman"/>
          <w:b/>
          <w:i/>
          <w:w w:val="90"/>
          <w:sz w:val="32"/>
        </w:rPr>
        <w:t>el</w:t>
      </w:r>
      <w:r>
        <w:rPr>
          <w:rFonts w:ascii="Times New Roman" w:hAnsi="Times New Roman"/>
          <w:b/>
          <w:i/>
          <w:spacing w:val="-42"/>
          <w:w w:val="90"/>
          <w:sz w:val="32"/>
        </w:rPr>
        <w:t> </w:t>
      </w:r>
      <w:r>
        <w:rPr>
          <w:rFonts w:ascii="Times New Roman" w:hAnsi="Times New Roman"/>
          <w:b/>
          <w:i/>
          <w:w w:val="90"/>
          <w:sz w:val="32"/>
        </w:rPr>
        <w:t>juego</w:t>
      </w:r>
      <w:r>
        <w:rPr>
          <w:rFonts w:ascii="Times New Roman" w:hAnsi="Times New Roman"/>
          <w:b/>
          <w:i/>
          <w:spacing w:val="-42"/>
          <w:w w:val="90"/>
          <w:sz w:val="32"/>
        </w:rPr>
        <w:t> </w:t>
      </w:r>
      <w:r>
        <w:rPr>
          <w:rFonts w:ascii="Times New Roman" w:hAnsi="Times New Roman"/>
          <w:b/>
          <w:i/>
          <w:w w:val="90"/>
          <w:sz w:val="32"/>
        </w:rPr>
        <w:t>de</w:t>
      </w:r>
      <w:r>
        <w:rPr>
          <w:rFonts w:ascii="Times New Roman" w:hAnsi="Times New Roman"/>
          <w:b/>
          <w:i/>
          <w:spacing w:val="-43"/>
          <w:w w:val="90"/>
          <w:sz w:val="32"/>
        </w:rPr>
        <w:t> </w:t>
      </w:r>
      <w:r>
        <w:rPr>
          <w:rFonts w:ascii="Times New Roman" w:hAnsi="Times New Roman"/>
          <w:b/>
          <w:i/>
          <w:w w:val="90"/>
          <w:sz w:val="32"/>
        </w:rPr>
        <w:t>la</w:t>
      </w:r>
      <w:r>
        <w:rPr>
          <w:rFonts w:ascii="Times New Roman" w:hAnsi="Times New Roman"/>
          <w:b/>
          <w:i/>
          <w:spacing w:val="-43"/>
          <w:w w:val="90"/>
          <w:sz w:val="32"/>
        </w:rPr>
        <w:t> </w:t>
      </w:r>
      <w:r>
        <w:rPr>
          <w:rFonts w:ascii="Times New Roman" w:hAnsi="Times New Roman"/>
          <w:b/>
          <w:i/>
          <w:w w:val="90"/>
          <w:sz w:val="32"/>
        </w:rPr>
        <w:t>vida.</w:t>
      </w:r>
    </w:p>
    <w:p>
      <w:pPr>
        <w:spacing w:after="0" w:line="268" w:lineRule="auto"/>
        <w:jc w:val="both"/>
        <w:rPr>
          <w:rFonts w:ascii="Times New Roman" w:hAnsi="Times New Roman"/>
          <w:sz w:val="32"/>
        </w:rPr>
        <w:sectPr>
          <w:pgSz w:w="12240" w:h="15840"/>
          <w:pgMar w:header="0" w:footer="1386" w:top="1500" w:bottom="1580" w:left="1720" w:right="1420"/>
        </w:sectPr>
      </w:pPr>
    </w:p>
    <w:p>
      <w:pPr>
        <w:pStyle w:val="BodyText"/>
        <w:spacing w:before="2"/>
        <w:rPr>
          <w:rFonts w:ascii="Times New Roman"/>
          <w:b/>
          <w:i/>
          <w:sz w:val="21"/>
        </w:rPr>
      </w:pPr>
    </w:p>
    <w:p>
      <w:pPr>
        <w:spacing w:before="69"/>
        <w:ind w:left="152" w:right="0" w:firstLine="0"/>
        <w:jc w:val="left"/>
        <w:rPr>
          <w:b/>
          <w:sz w:val="24"/>
        </w:rPr>
      </w:pPr>
      <w:r>
        <w:rPr>
          <w:b/>
          <w:sz w:val="24"/>
        </w:rPr>
        <w:t>CONTENIDO</w:t>
      </w:r>
    </w:p>
    <w:sdt>
      <w:sdtPr>
        <w:docPartObj>
          <w:docPartGallery w:val="Table of Contents"/>
          <w:docPartUnique/>
        </w:docPartObj>
      </w:sdtPr>
      <w:sdtEndPr/>
      <w:sdtContent>
        <w:p>
          <w:pPr>
            <w:pStyle w:val="TOC1"/>
            <w:tabs>
              <w:tab w:pos="8980" w:val="right" w:leader="dot"/>
            </w:tabs>
            <w:spacing w:before="895"/>
          </w:pPr>
          <w:hyperlink w:history="true" w:anchor="_bookmark0">
            <w:r>
              <w:rPr/>
              <w:t>ÍNDICE DE CUADROS</w:t>
              <w:tab/>
              <w:t>7</w:t>
            </w:r>
          </w:hyperlink>
        </w:p>
        <w:p>
          <w:pPr>
            <w:pStyle w:val="TOC1"/>
            <w:tabs>
              <w:tab w:pos="8980" w:val="right" w:leader="dot"/>
            </w:tabs>
          </w:pPr>
          <w:hyperlink w:history="true" w:anchor="_bookmark1">
            <w:r>
              <w:rPr/>
              <w:t>INDICE DE FIGURAS</w:t>
              <w:tab/>
              <w:t>9</w:t>
            </w:r>
          </w:hyperlink>
        </w:p>
        <w:p>
          <w:pPr>
            <w:pStyle w:val="TOC1"/>
            <w:tabs>
              <w:tab w:pos="8983" w:val="right" w:leader="dot"/>
            </w:tabs>
          </w:pPr>
          <w:hyperlink w:history="true" w:anchor="_bookmark2">
            <w:r>
              <w:rPr/>
              <w:t>ABREVIATURAS</w:t>
              <w:tab/>
              <w:t>10</w:t>
            </w:r>
          </w:hyperlink>
        </w:p>
        <w:p>
          <w:pPr>
            <w:pStyle w:val="TOC1"/>
            <w:tabs>
              <w:tab w:pos="8983" w:val="right" w:leader="dot"/>
            </w:tabs>
          </w:pPr>
          <w:hyperlink w:history="true" w:anchor="_bookmark3">
            <w:r>
              <w:rPr/>
              <w:t>RESUMEN</w:t>
              <w:tab/>
              <w:t>12</w:t>
            </w:r>
          </w:hyperlink>
        </w:p>
        <w:p>
          <w:pPr>
            <w:pStyle w:val="TOC1"/>
            <w:tabs>
              <w:tab w:pos="8983" w:val="right" w:leader="dot"/>
            </w:tabs>
            <w:spacing w:before="142"/>
          </w:pPr>
          <w:hyperlink w:history="true" w:anchor="_bookmark4">
            <w:r>
              <w:rPr/>
              <w:t>ABSTRACT</w:t>
              <w:tab/>
              <w:t>13</w:t>
            </w:r>
          </w:hyperlink>
        </w:p>
        <w:p>
          <w:pPr>
            <w:pStyle w:val="TOC1"/>
            <w:tabs>
              <w:tab w:pos="8983" w:val="right" w:leader="dot"/>
            </w:tabs>
          </w:pPr>
          <w:hyperlink w:history="true" w:anchor="_bookmark5">
            <w:r>
              <w:rPr/>
              <w:t>INTRODUCCIÓN</w:t>
              <w:tab/>
              <w:t>14</w:t>
            </w:r>
          </w:hyperlink>
        </w:p>
        <w:p>
          <w:pPr>
            <w:pStyle w:val="TOC1"/>
            <w:tabs>
              <w:tab w:pos="8983" w:val="right" w:leader="dot"/>
            </w:tabs>
          </w:pPr>
          <w:hyperlink w:history="true" w:anchor="_bookmark6">
            <w:r>
              <w:rPr/>
              <w:t>REVISIÓN</w:t>
            </w:r>
            <w:r>
              <w:rPr>
                <w:spacing w:val="-1"/>
              </w:rPr>
              <w:t> </w:t>
            </w:r>
            <w:r>
              <w:rPr/>
              <w:t>DE</w:t>
            </w:r>
            <w:r>
              <w:rPr>
                <w:spacing w:val="-4"/>
              </w:rPr>
              <w:t> </w:t>
            </w:r>
            <w:r>
              <w:rPr/>
              <w:t>LITERATURA</w:t>
              <w:tab/>
              <w:t>17</w:t>
            </w:r>
          </w:hyperlink>
        </w:p>
        <w:p>
          <w:pPr>
            <w:pStyle w:val="TOC1"/>
            <w:tabs>
              <w:tab w:pos="8983" w:val="right" w:leader="dot"/>
            </w:tabs>
          </w:pPr>
          <w:hyperlink w:history="true" w:anchor="_bookmark7">
            <w:r>
              <w:rPr/>
              <w:t>JUSTIFICACIÓN</w:t>
              <w:tab/>
              <w:t>33</w:t>
            </w:r>
          </w:hyperlink>
        </w:p>
        <w:p>
          <w:pPr>
            <w:pStyle w:val="TOC1"/>
            <w:tabs>
              <w:tab w:pos="8983" w:val="right" w:leader="dot"/>
            </w:tabs>
          </w:pPr>
          <w:hyperlink w:history="true" w:anchor="_bookmark8">
            <w:r>
              <w:rPr/>
              <w:t>HIPOTESIS</w:t>
              <w:tab/>
              <w:t>34</w:t>
            </w:r>
          </w:hyperlink>
        </w:p>
        <w:p>
          <w:pPr>
            <w:pStyle w:val="TOC1"/>
            <w:tabs>
              <w:tab w:pos="8983" w:val="right" w:leader="dot"/>
            </w:tabs>
          </w:pPr>
          <w:hyperlink w:history="true" w:anchor="_bookmark9">
            <w:r>
              <w:rPr/>
              <w:t>OBJETIVO</w:t>
            </w:r>
            <w:r>
              <w:rPr>
                <w:spacing w:val="-3"/>
              </w:rPr>
              <w:t> </w:t>
            </w:r>
            <w:r>
              <w:rPr/>
              <w:t>GENERAL</w:t>
              <w:tab/>
              <w:t>35</w:t>
            </w:r>
          </w:hyperlink>
        </w:p>
        <w:p>
          <w:pPr>
            <w:pStyle w:val="TOC1"/>
            <w:tabs>
              <w:tab w:pos="8983" w:val="right" w:leader="dot"/>
            </w:tabs>
            <w:spacing w:before="139"/>
          </w:pPr>
          <w:hyperlink w:history="true" w:anchor="_bookmark10">
            <w:r>
              <w:rPr/>
              <w:t>OBJETIVOS</w:t>
            </w:r>
            <w:r>
              <w:rPr>
                <w:spacing w:val="-1"/>
              </w:rPr>
              <w:t> </w:t>
            </w:r>
            <w:r>
              <w:rPr/>
              <w:t>ESPECÍFICOS</w:t>
              <w:tab/>
              <w:t>35</w:t>
            </w:r>
          </w:hyperlink>
        </w:p>
        <w:p>
          <w:pPr>
            <w:pStyle w:val="TOC1"/>
            <w:tabs>
              <w:tab w:pos="8983" w:val="right" w:leader="dot"/>
            </w:tabs>
          </w:pPr>
          <w:hyperlink w:history="true" w:anchor="_bookmark11">
            <w:r>
              <w:rPr/>
              <w:t>METODOLOGIA</w:t>
              <w:tab/>
              <w:t>36</w:t>
            </w:r>
          </w:hyperlink>
        </w:p>
        <w:p>
          <w:pPr>
            <w:pStyle w:val="TOC1"/>
            <w:tabs>
              <w:tab w:pos="8983" w:val="right" w:leader="dot"/>
            </w:tabs>
            <w:spacing w:before="142"/>
          </w:pPr>
          <w:hyperlink w:history="true" w:anchor="_bookmark12">
            <w:r>
              <w:rPr/>
              <w:t>RESULTADOS</w:t>
              <w:tab/>
              <w:t>49</w:t>
            </w:r>
          </w:hyperlink>
        </w:p>
        <w:p>
          <w:pPr>
            <w:pStyle w:val="TOC1"/>
            <w:tabs>
              <w:tab w:pos="8983" w:val="right" w:leader="dot"/>
            </w:tabs>
          </w:pPr>
          <w:hyperlink w:history="true" w:anchor="_bookmark13">
            <w:r>
              <w:rPr/>
              <w:t>PRODUCTOS DE</w:t>
            </w:r>
            <w:r>
              <w:rPr>
                <w:spacing w:val="-3"/>
              </w:rPr>
              <w:t> </w:t>
            </w:r>
            <w:r>
              <w:rPr/>
              <w:t>INVESTIGACION</w:t>
              <w:tab/>
              <w:t>62</w:t>
            </w:r>
          </w:hyperlink>
        </w:p>
        <w:p>
          <w:pPr>
            <w:pStyle w:val="TOC1"/>
            <w:tabs>
              <w:tab w:pos="8983" w:val="right" w:leader="dot"/>
            </w:tabs>
          </w:pPr>
          <w:hyperlink w:history="true" w:anchor="_bookmark14">
            <w:r>
              <w:rPr/>
              <w:t>DISCUSIÓN</w:t>
              <w:tab/>
              <w:t>82</w:t>
            </w:r>
          </w:hyperlink>
        </w:p>
        <w:p>
          <w:pPr>
            <w:pStyle w:val="TOC1"/>
            <w:tabs>
              <w:tab w:pos="8983" w:val="right" w:leader="dot"/>
            </w:tabs>
          </w:pPr>
          <w:hyperlink w:history="true" w:anchor="_bookmark15">
            <w:r>
              <w:rPr/>
              <w:t>CONCLUSIONES</w:t>
              <w:tab/>
              <w:t>88</w:t>
            </w:r>
          </w:hyperlink>
        </w:p>
        <w:p>
          <w:pPr>
            <w:pStyle w:val="TOC1"/>
            <w:tabs>
              <w:tab w:pos="8983" w:val="right" w:leader="dot"/>
            </w:tabs>
          </w:pPr>
          <w:hyperlink w:history="true" w:anchor="_bookmark16">
            <w:r>
              <w:rPr/>
              <w:t>LITERATURA</w:t>
            </w:r>
            <w:r>
              <w:rPr>
                <w:spacing w:val="-1"/>
              </w:rPr>
              <w:t> </w:t>
            </w:r>
            <w:r>
              <w:rPr/>
              <w:t>CITADA</w:t>
              <w:tab/>
              <w:t>89</w:t>
            </w:r>
          </w:hyperlink>
        </w:p>
      </w:sdtContent>
    </w:sdt>
    <w:p>
      <w:pPr>
        <w:spacing w:after="0"/>
        <w:sectPr>
          <w:pgSz w:w="12240" w:h="15840"/>
          <w:pgMar w:header="0" w:footer="1386" w:top="1500" w:bottom="1580" w:left="1720" w:right="1420"/>
        </w:sectPr>
      </w:pPr>
    </w:p>
    <w:p>
      <w:pPr>
        <w:pStyle w:val="BodyText"/>
        <w:spacing w:before="11"/>
        <w:rPr>
          <w:sz w:val="26"/>
        </w:rPr>
      </w:pPr>
    </w:p>
    <w:p>
      <w:pPr>
        <w:pStyle w:val="Heading1"/>
        <w:spacing w:before="0"/>
        <w:ind w:left="152"/>
      </w:pPr>
      <w:bookmarkStart w:name="_bookmark0" w:id="1"/>
      <w:bookmarkEnd w:id="1"/>
      <w:r>
        <w:rPr>
          <w:b w:val="0"/>
        </w:rPr>
      </w:r>
      <w:r>
        <w:rPr/>
        <w:t>ÍNDICE DE CUADROS</w:t>
      </w:r>
    </w:p>
    <w:p>
      <w:pPr>
        <w:pStyle w:val="BodyText"/>
        <w:tabs>
          <w:tab w:pos="8649" w:val="left" w:leader="none"/>
        </w:tabs>
        <w:spacing w:before="51"/>
        <w:ind w:left="152"/>
      </w:pPr>
      <w:r>
        <w:rPr/>
        <w:t>Cuadro 1. Distribución y número de granjas del Valle</w:t>
      </w:r>
      <w:r>
        <w:rPr>
          <w:spacing w:val="-19"/>
        </w:rPr>
        <w:t> </w:t>
      </w:r>
      <w:r>
        <w:rPr/>
        <w:t>de</w:t>
      </w:r>
      <w:r>
        <w:rPr>
          <w:spacing w:val="-3"/>
        </w:rPr>
        <w:t> </w:t>
      </w:r>
      <w:r>
        <w:rPr/>
        <w:t>Toluca</w:t>
        <w:tab/>
        <w:t>36</w:t>
      </w:r>
    </w:p>
    <w:p>
      <w:pPr>
        <w:pStyle w:val="BodyText"/>
        <w:spacing w:before="4"/>
        <w:rPr>
          <w:sz w:val="29"/>
        </w:rPr>
      </w:pPr>
    </w:p>
    <w:p>
      <w:pPr>
        <w:pStyle w:val="BodyText"/>
        <w:tabs>
          <w:tab w:pos="8649" w:val="left" w:leader="none"/>
        </w:tabs>
        <w:spacing w:before="1"/>
        <w:ind w:left="152"/>
      </w:pPr>
      <w:r>
        <w:rPr/>
        <w:t>Cuadro 2. Clasificación de la canal</w:t>
      </w:r>
      <w:r>
        <w:rPr>
          <w:spacing w:val="-11"/>
        </w:rPr>
        <w:t> </w:t>
      </w:r>
      <w:r>
        <w:rPr/>
        <w:t>de</w:t>
      </w:r>
      <w:r>
        <w:rPr>
          <w:spacing w:val="-2"/>
        </w:rPr>
        <w:t> </w:t>
      </w:r>
      <w:r>
        <w:rPr/>
        <w:t>conejo</w:t>
        <w:tab/>
        <w:t>42</w:t>
      </w:r>
    </w:p>
    <w:p>
      <w:pPr>
        <w:pStyle w:val="BodyText"/>
        <w:spacing w:before="2"/>
        <w:rPr>
          <w:sz w:val="29"/>
        </w:rPr>
      </w:pPr>
    </w:p>
    <w:p>
      <w:pPr>
        <w:pStyle w:val="BodyText"/>
        <w:tabs>
          <w:tab w:pos="8649" w:val="left" w:leader="none"/>
        </w:tabs>
        <w:ind w:left="152"/>
      </w:pPr>
      <w:r>
        <w:rPr/>
        <w:t>Cuadro 3. Primer de los genes </w:t>
      </w:r>
      <w:r>
        <w:rPr>
          <w:i/>
        </w:rPr>
        <w:t>mecA </w:t>
      </w:r>
      <w:r>
        <w:rPr/>
        <w:t>y </w:t>
      </w:r>
      <w:r>
        <w:rPr>
          <w:i/>
        </w:rPr>
        <w:t>femb </w:t>
      </w:r>
      <w:r>
        <w:rPr/>
        <w:t>para la identificación</w:t>
      </w:r>
      <w:r>
        <w:rPr>
          <w:spacing w:val="-19"/>
        </w:rPr>
        <w:t> </w:t>
      </w:r>
      <w:r>
        <w:rPr/>
        <w:t>de</w:t>
      </w:r>
      <w:r>
        <w:rPr>
          <w:spacing w:val="-2"/>
        </w:rPr>
        <w:t> </w:t>
      </w:r>
      <w:r>
        <w:rPr/>
        <w:t>MRSA</w:t>
        <w:tab/>
        <w:t>49</w:t>
      </w:r>
    </w:p>
    <w:p>
      <w:pPr>
        <w:pStyle w:val="BodyText"/>
        <w:tabs>
          <w:tab w:pos="8649" w:val="left" w:leader="none"/>
        </w:tabs>
        <w:spacing w:line="360" w:lineRule="auto" w:before="139"/>
        <w:ind w:left="152" w:right="179"/>
      </w:pPr>
      <w:r>
        <w:rPr/>
        <w:t>Cuadro 4 Instalaciones en las unidades de producción familiar en el Valle de Toluca</w:t>
        <w:tab/>
        <w:t>51</w:t>
      </w:r>
    </w:p>
    <w:p>
      <w:pPr>
        <w:pStyle w:val="BodyText"/>
        <w:tabs>
          <w:tab w:pos="8649" w:val="left" w:leader="none"/>
        </w:tabs>
        <w:spacing w:before="3"/>
        <w:ind w:left="152"/>
      </w:pPr>
      <w:r>
        <w:rPr/>
        <w:t>Cuadro 5. Sistemas de producción Cunicula en el Valle</w:t>
      </w:r>
      <w:r>
        <w:rPr>
          <w:spacing w:val="-18"/>
        </w:rPr>
        <w:t> </w:t>
      </w:r>
      <w:r>
        <w:rPr/>
        <w:t>de</w:t>
      </w:r>
      <w:r>
        <w:rPr>
          <w:spacing w:val="-4"/>
        </w:rPr>
        <w:t> </w:t>
      </w:r>
      <w:r>
        <w:rPr/>
        <w:t>Toluca</w:t>
        <w:tab/>
        <w:t>51</w:t>
      </w:r>
    </w:p>
    <w:p>
      <w:pPr>
        <w:pStyle w:val="BodyText"/>
        <w:spacing w:before="4"/>
        <w:rPr>
          <w:sz w:val="29"/>
        </w:rPr>
      </w:pPr>
    </w:p>
    <w:p>
      <w:pPr>
        <w:pStyle w:val="BodyText"/>
        <w:spacing w:before="1"/>
        <w:ind w:left="152"/>
      </w:pPr>
      <w:r>
        <w:rPr/>
        <w:t>Cuadro 6. Ciclo de producción en Unidades de Producción Cunicula</w:t>
      </w:r>
    </w:p>
    <w:p>
      <w:pPr>
        <w:pStyle w:val="BodyText"/>
        <w:tabs>
          <w:tab w:pos="8649" w:val="left" w:leader="none"/>
        </w:tabs>
        <w:spacing w:before="139"/>
        <w:ind w:left="152"/>
      </w:pPr>
      <w:r>
        <w:rPr/>
        <w:t>Familiar en el Valle</w:t>
      </w:r>
      <w:r>
        <w:rPr>
          <w:spacing w:val="-5"/>
        </w:rPr>
        <w:t> </w:t>
      </w:r>
      <w:r>
        <w:rPr/>
        <w:t>de</w:t>
      </w:r>
      <w:r>
        <w:rPr>
          <w:spacing w:val="-3"/>
        </w:rPr>
        <w:t> </w:t>
      </w:r>
      <w:r>
        <w:rPr/>
        <w:t>Toluca</w:t>
        <w:tab/>
        <w:t>52</w:t>
      </w:r>
    </w:p>
    <w:p>
      <w:pPr>
        <w:pStyle w:val="BodyText"/>
        <w:tabs>
          <w:tab w:pos="8649" w:val="left" w:leader="none"/>
        </w:tabs>
        <w:spacing w:before="137"/>
        <w:ind w:left="152"/>
      </w:pPr>
      <w:r>
        <w:rPr/>
        <w:t>Cuadro 7. Índice de reproducción de la cunicultura en el Valle</w:t>
      </w:r>
      <w:r>
        <w:rPr>
          <w:spacing w:val="-19"/>
        </w:rPr>
        <w:t> </w:t>
      </w:r>
      <w:r>
        <w:rPr/>
        <w:t>de</w:t>
      </w:r>
      <w:r>
        <w:rPr>
          <w:spacing w:val="-3"/>
        </w:rPr>
        <w:t> </w:t>
      </w:r>
      <w:r>
        <w:rPr/>
        <w:t>Toluca</w:t>
        <w:tab/>
        <w:t>52</w:t>
      </w:r>
    </w:p>
    <w:p>
      <w:pPr>
        <w:pStyle w:val="BodyText"/>
        <w:spacing w:before="4"/>
        <w:rPr>
          <w:sz w:val="29"/>
        </w:rPr>
      </w:pPr>
    </w:p>
    <w:p>
      <w:pPr>
        <w:pStyle w:val="BodyText"/>
        <w:spacing w:before="1"/>
        <w:ind w:left="152"/>
      </w:pPr>
      <w:r>
        <w:rPr/>
        <w:t>Cuadro 8. Efecto de la Región en el peso al sacrificio, peso canal y</w:t>
      </w:r>
    </w:p>
    <w:p>
      <w:pPr>
        <w:pStyle w:val="BodyText"/>
        <w:tabs>
          <w:tab w:pos="8649" w:val="left" w:leader="none"/>
        </w:tabs>
        <w:spacing w:before="137"/>
        <w:ind w:left="152"/>
      </w:pPr>
      <w:r>
        <w:rPr/>
        <w:t>rendimiento</w:t>
        <w:tab/>
        <w:t>53</w:t>
      </w:r>
    </w:p>
    <w:p>
      <w:pPr>
        <w:pStyle w:val="BodyText"/>
        <w:tabs>
          <w:tab w:pos="8649" w:val="left" w:leader="none"/>
        </w:tabs>
        <w:spacing w:line="360" w:lineRule="auto" w:before="139"/>
        <w:ind w:left="152" w:right="179"/>
      </w:pPr>
      <w:r>
        <w:rPr/>
        <w:t>Cuadro 9. Efecto de la localidad en el peso al sacrifico, peso de la canal y rendimiento.</w:t>
        <w:tab/>
        <w:t>53</w:t>
      </w:r>
    </w:p>
    <w:p>
      <w:pPr>
        <w:pStyle w:val="BodyText"/>
        <w:spacing w:before="5"/>
        <w:ind w:left="152"/>
      </w:pPr>
      <w:r>
        <w:rPr/>
        <w:t>Cuadro 10. Razas de conejos carnicos que predominan en la cunicultura</w:t>
      </w:r>
    </w:p>
    <w:p>
      <w:pPr>
        <w:pStyle w:val="BodyText"/>
        <w:spacing w:before="4"/>
        <w:rPr>
          <w:sz w:val="29"/>
        </w:rPr>
      </w:pPr>
    </w:p>
    <w:p>
      <w:pPr>
        <w:pStyle w:val="BodyText"/>
        <w:tabs>
          <w:tab w:pos="8649" w:val="left" w:leader="none"/>
        </w:tabs>
        <w:spacing w:before="1"/>
        <w:ind w:left="152"/>
      </w:pPr>
      <w:r>
        <w:rPr/>
        <w:t>del Valle</w:t>
      </w:r>
      <w:r>
        <w:rPr>
          <w:spacing w:val="-4"/>
        </w:rPr>
        <w:t> </w:t>
      </w:r>
      <w:r>
        <w:rPr/>
        <w:t>de</w:t>
      </w:r>
      <w:r>
        <w:rPr>
          <w:spacing w:val="-3"/>
        </w:rPr>
        <w:t> </w:t>
      </w:r>
      <w:r>
        <w:rPr/>
        <w:t>México</w:t>
        <w:tab/>
        <w:t>54</w:t>
      </w:r>
    </w:p>
    <w:p>
      <w:pPr>
        <w:pStyle w:val="BodyText"/>
        <w:spacing w:before="2"/>
        <w:rPr>
          <w:sz w:val="29"/>
        </w:rPr>
      </w:pPr>
    </w:p>
    <w:p>
      <w:pPr>
        <w:pStyle w:val="BodyText"/>
        <w:tabs>
          <w:tab w:pos="8649" w:val="left" w:leader="none"/>
        </w:tabs>
        <w:ind w:left="152"/>
      </w:pPr>
      <w:r>
        <w:rPr/>
        <w:t>Cuadro 11 Clasificación Oficial de la canal</w:t>
      </w:r>
      <w:r>
        <w:rPr>
          <w:spacing w:val="-11"/>
        </w:rPr>
        <w:t> </w:t>
      </w:r>
      <w:r>
        <w:rPr/>
        <w:t>de</w:t>
      </w:r>
      <w:r>
        <w:rPr>
          <w:spacing w:val="-4"/>
        </w:rPr>
        <w:t> </w:t>
      </w:r>
      <w:r>
        <w:rPr/>
        <w:t>conejo</w:t>
        <w:tab/>
        <w:t>54</w:t>
      </w:r>
    </w:p>
    <w:p>
      <w:pPr>
        <w:pStyle w:val="BodyText"/>
        <w:spacing w:before="139"/>
        <w:ind w:left="152"/>
      </w:pPr>
      <w:r>
        <w:rPr/>
        <w:t>Cuadro 12 Efecto de la región y la localidad en la clasificación de calidad de</w:t>
      </w:r>
    </w:p>
    <w:p>
      <w:pPr>
        <w:pStyle w:val="BodyText"/>
        <w:tabs>
          <w:tab w:pos="8649" w:val="left" w:leader="none"/>
        </w:tabs>
        <w:spacing w:before="137"/>
        <w:ind w:left="152"/>
      </w:pPr>
      <w:r>
        <w:rPr/>
        <w:t>la canal</w:t>
      </w:r>
      <w:r>
        <w:rPr>
          <w:spacing w:val="-3"/>
        </w:rPr>
        <w:t> </w:t>
      </w:r>
      <w:r>
        <w:rPr/>
        <w:t>de</w:t>
      </w:r>
      <w:r>
        <w:rPr>
          <w:spacing w:val="-2"/>
        </w:rPr>
        <w:t> </w:t>
      </w:r>
      <w:r>
        <w:rPr/>
        <w:t>conejo</w:t>
        <w:tab/>
        <w:t>55</w:t>
      </w:r>
    </w:p>
    <w:p>
      <w:pPr>
        <w:pStyle w:val="BodyText"/>
        <w:tabs>
          <w:tab w:pos="8649" w:val="left" w:leader="none"/>
        </w:tabs>
        <w:spacing w:before="139"/>
        <w:ind w:left="152"/>
      </w:pPr>
      <w:r>
        <w:rPr/>
        <w:t>Cuadro 13. Análisis bromatológico de la carne</w:t>
      </w:r>
      <w:r>
        <w:rPr>
          <w:spacing w:val="-13"/>
        </w:rPr>
        <w:t> </w:t>
      </w:r>
      <w:r>
        <w:rPr/>
        <w:t>de</w:t>
      </w:r>
      <w:r>
        <w:rPr>
          <w:spacing w:val="-4"/>
        </w:rPr>
        <w:t> </w:t>
      </w:r>
      <w:r>
        <w:rPr/>
        <w:t>conejo</w:t>
        <w:tab/>
        <w:t>56</w:t>
      </w:r>
    </w:p>
    <w:p>
      <w:pPr>
        <w:pStyle w:val="BodyText"/>
        <w:spacing w:before="137"/>
        <w:ind w:left="152"/>
      </w:pPr>
      <w:r>
        <w:rPr/>
        <w:t>Cuadro 14.Efecto de la región en la composición nutricional de la carne</w:t>
      </w:r>
    </w:p>
    <w:p>
      <w:pPr>
        <w:pStyle w:val="BodyText"/>
        <w:tabs>
          <w:tab w:pos="8649" w:val="left" w:leader="none"/>
        </w:tabs>
        <w:spacing w:before="139"/>
        <w:ind w:left="152"/>
      </w:pPr>
      <w:r>
        <w:rPr/>
        <w:t>de</w:t>
      </w:r>
      <w:r>
        <w:rPr>
          <w:spacing w:val="-1"/>
        </w:rPr>
        <w:t> </w:t>
      </w:r>
      <w:r>
        <w:rPr/>
        <w:t>conejo</w:t>
        <w:tab/>
        <w:t>56</w:t>
      </w:r>
    </w:p>
    <w:p>
      <w:pPr>
        <w:pStyle w:val="BodyText"/>
        <w:spacing w:before="137"/>
        <w:ind w:left="152"/>
      </w:pPr>
      <w:r>
        <w:rPr/>
        <w:t>Cuadro 15 Efecto de la localidad en la composición nutricional de la</w:t>
      </w:r>
    </w:p>
    <w:p>
      <w:pPr>
        <w:pStyle w:val="BodyText"/>
        <w:tabs>
          <w:tab w:pos="8649" w:val="left" w:leader="none"/>
        </w:tabs>
        <w:spacing w:before="139"/>
        <w:ind w:left="152"/>
      </w:pPr>
      <w:r>
        <w:rPr/>
        <w:t>carne de</w:t>
      </w:r>
      <w:r>
        <w:rPr>
          <w:spacing w:val="-1"/>
        </w:rPr>
        <w:t> </w:t>
      </w:r>
      <w:r>
        <w:rPr/>
        <w:t>conejo</w:t>
        <w:tab/>
        <w:t>57</w:t>
      </w:r>
    </w:p>
    <w:p>
      <w:pPr>
        <w:pStyle w:val="BodyText"/>
        <w:spacing w:before="137"/>
        <w:ind w:left="152"/>
      </w:pPr>
      <w:r>
        <w:rPr/>
        <w:t>Cuadro 16. Efecto de la edad en los valores nutricionales de la carne</w:t>
      </w:r>
    </w:p>
    <w:p>
      <w:pPr>
        <w:pStyle w:val="BodyText"/>
        <w:tabs>
          <w:tab w:pos="8649" w:val="left" w:leader="none"/>
        </w:tabs>
        <w:spacing w:before="139"/>
        <w:ind w:left="152"/>
      </w:pPr>
      <w:r>
        <w:rPr/>
        <w:t>de</w:t>
      </w:r>
      <w:r>
        <w:rPr>
          <w:spacing w:val="-1"/>
        </w:rPr>
        <w:t> </w:t>
      </w:r>
      <w:r>
        <w:rPr/>
        <w:t>conejo</w:t>
        <w:tab/>
        <w:t>57</w:t>
      </w:r>
    </w:p>
    <w:p>
      <w:pPr>
        <w:spacing w:after="0"/>
        <w:sectPr>
          <w:pgSz w:w="12240" w:h="15840"/>
          <w:pgMar w:header="0" w:footer="1386" w:top="1500" w:bottom="1580" w:left="1720" w:right="1420"/>
        </w:sectPr>
      </w:pPr>
    </w:p>
    <w:p>
      <w:pPr>
        <w:pStyle w:val="BodyText"/>
        <w:spacing w:before="2"/>
        <w:rPr>
          <w:sz w:val="21"/>
        </w:rPr>
      </w:pPr>
    </w:p>
    <w:p>
      <w:pPr>
        <w:pStyle w:val="BodyText"/>
        <w:spacing w:before="69"/>
        <w:ind w:left="152"/>
      </w:pPr>
      <w:r>
        <w:rPr/>
        <w:t>Cuadro 17. Efecto del sexo, peso al sacrificio y peso canal en el valor</w:t>
      </w:r>
    </w:p>
    <w:p>
      <w:pPr>
        <w:pStyle w:val="BodyText"/>
        <w:tabs>
          <w:tab w:pos="8918" w:val="right" w:leader="none"/>
        </w:tabs>
        <w:spacing w:before="137"/>
        <w:ind w:left="152"/>
      </w:pPr>
      <w:r>
        <w:rPr/>
        <w:t>nutricional de la carne</w:t>
      </w:r>
      <w:r>
        <w:rPr>
          <w:spacing w:val="-6"/>
        </w:rPr>
        <w:t> </w:t>
      </w:r>
      <w:r>
        <w:rPr/>
        <w:t>de</w:t>
      </w:r>
      <w:r>
        <w:rPr>
          <w:spacing w:val="-1"/>
        </w:rPr>
        <w:t> </w:t>
      </w:r>
      <w:r>
        <w:rPr/>
        <w:t>conejo</w:t>
        <w:tab/>
        <w:t>58</w:t>
      </w:r>
    </w:p>
    <w:p>
      <w:pPr>
        <w:pStyle w:val="BodyText"/>
        <w:tabs>
          <w:tab w:pos="8918" w:val="right" w:leader="none"/>
        </w:tabs>
        <w:spacing w:before="139"/>
        <w:ind w:left="152"/>
      </w:pPr>
      <w:r>
        <w:rPr/>
        <w:t>Cuadro 18 Alimentación, comercialización venta y sacrificio</w:t>
      </w:r>
      <w:r>
        <w:rPr>
          <w:spacing w:val="-8"/>
        </w:rPr>
        <w:t> </w:t>
      </w:r>
      <w:r>
        <w:rPr/>
        <w:t>del</w:t>
      </w:r>
      <w:r>
        <w:rPr>
          <w:spacing w:val="-1"/>
        </w:rPr>
        <w:t> </w:t>
      </w:r>
      <w:r>
        <w:rPr/>
        <w:t>conejo</w:t>
        <w:tab/>
        <w:t>58</w:t>
      </w:r>
    </w:p>
    <w:p>
      <w:pPr>
        <w:pStyle w:val="BodyText"/>
        <w:tabs>
          <w:tab w:pos="8918" w:val="right" w:leader="none"/>
        </w:tabs>
        <w:spacing w:before="137"/>
        <w:ind w:left="152"/>
      </w:pPr>
      <w:r>
        <w:rPr/>
        <w:t>Cuadro 19. Sacrificio,</w:t>
      </w:r>
      <w:r>
        <w:rPr>
          <w:spacing w:val="-7"/>
        </w:rPr>
        <w:t> </w:t>
      </w:r>
      <w:r>
        <w:rPr/>
        <w:t>normatividad</w:t>
      </w:r>
      <w:r>
        <w:rPr>
          <w:spacing w:val="-1"/>
        </w:rPr>
        <w:t> </w:t>
      </w:r>
      <w:r>
        <w:rPr/>
        <w:t>enfermedades</w:t>
        <w:tab/>
        <w:t>59</w:t>
      </w:r>
    </w:p>
    <w:p>
      <w:pPr>
        <w:pStyle w:val="BodyText"/>
        <w:tabs>
          <w:tab w:pos="8918" w:val="right" w:leader="none"/>
        </w:tabs>
        <w:spacing w:before="338"/>
        <w:ind w:left="152"/>
      </w:pPr>
      <w:r>
        <w:rPr/>
        <w:t>Cuadro 20. Determinación de UFC por método</w:t>
      </w:r>
      <w:r>
        <w:rPr>
          <w:spacing w:val="-7"/>
        </w:rPr>
        <w:t> </w:t>
      </w:r>
      <w:r>
        <w:rPr/>
        <w:t>de</w:t>
      </w:r>
      <w:r>
        <w:rPr>
          <w:spacing w:val="-3"/>
        </w:rPr>
        <w:t> </w:t>
      </w:r>
      <w:r>
        <w:rPr/>
        <w:t>muestreo</w:t>
        <w:tab/>
        <w:t>60</w:t>
      </w:r>
    </w:p>
    <w:p>
      <w:pPr>
        <w:pStyle w:val="BodyText"/>
        <w:tabs>
          <w:tab w:pos="8918" w:val="right" w:leader="none"/>
        </w:tabs>
        <w:spacing w:before="139"/>
        <w:ind w:left="152"/>
      </w:pPr>
      <w:r>
        <w:rPr/>
        <w:t>Cuadro 21 Efecto de la región en la contaminación de la canal</w:t>
      </w:r>
      <w:r>
        <w:rPr>
          <w:spacing w:val="-10"/>
        </w:rPr>
        <w:t> </w:t>
      </w:r>
      <w:r>
        <w:rPr/>
        <w:t>de</w:t>
      </w:r>
      <w:r>
        <w:rPr>
          <w:spacing w:val="-3"/>
        </w:rPr>
        <w:t> </w:t>
      </w:r>
      <w:r>
        <w:rPr/>
        <w:t>conejo</w:t>
        <w:tab/>
        <w:t>61</w:t>
      </w:r>
    </w:p>
    <w:p>
      <w:pPr>
        <w:pStyle w:val="BodyText"/>
        <w:tabs>
          <w:tab w:pos="8918" w:val="right" w:leader="none"/>
        </w:tabs>
        <w:spacing w:before="137"/>
        <w:ind w:left="152"/>
      </w:pPr>
      <w:r>
        <w:rPr/>
        <w:t>Cuadro 22 Efecto de la localidad en la contaminación de la canal</w:t>
      </w:r>
      <w:r>
        <w:rPr>
          <w:spacing w:val="-16"/>
        </w:rPr>
        <w:t> </w:t>
      </w:r>
      <w:r>
        <w:rPr/>
        <w:t>de</w:t>
      </w:r>
      <w:r>
        <w:rPr>
          <w:spacing w:val="-3"/>
        </w:rPr>
        <w:t> </w:t>
      </w:r>
      <w:r>
        <w:rPr/>
        <w:t>conejo</w:t>
        <w:tab/>
        <w:t>61</w:t>
      </w:r>
    </w:p>
    <w:p>
      <w:pPr>
        <w:pStyle w:val="BodyText"/>
        <w:spacing w:before="137"/>
        <w:ind w:left="152"/>
      </w:pPr>
      <w:r>
        <w:rPr/>
        <w:t>Cuadro 23.Identificación fenotípica de </w:t>
      </w:r>
      <w:r>
        <w:rPr>
          <w:i/>
        </w:rPr>
        <w:t>Staphyloccus </w:t>
      </w:r>
      <w:r>
        <w:rPr/>
        <w:t>aislados en canales</w:t>
      </w:r>
    </w:p>
    <w:p>
      <w:pPr>
        <w:pStyle w:val="BodyText"/>
        <w:tabs>
          <w:tab w:pos="8918" w:val="right" w:leader="none"/>
        </w:tabs>
        <w:spacing w:before="139"/>
        <w:ind w:left="152"/>
      </w:pPr>
      <w:r>
        <w:rPr/>
        <w:t>de conejos en el Valle</w:t>
      </w:r>
      <w:r>
        <w:rPr>
          <w:spacing w:val="-7"/>
        </w:rPr>
        <w:t> </w:t>
      </w:r>
      <w:r>
        <w:rPr/>
        <w:t>de</w:t>
      </w:r>
      <w:r>
        <w:rPr>
          <w:spacing w:val="-3"/>
        </w:rPr>
        <w:t> </w:t>
      </w:r>
      <w:r>
        <w:rPr/>
        <w:t>Toluca</w:t>
        <w:tab/>
        <w:t>62</w:t>
      </w:r>
    </w:p>
    <w:p>
      <w:pPr>
        <w:spacing w:after="0"/>
        <w:sectPr>
          <w:pgSz w:w="12240" w:h="15840"/>
          <w:pgMar w:header="0" w:footer="1386" w:top="1500" w:bottom="1580" w:left="1720" w:right="1420"/>
        </w:sectPr>
      </w:pPr>
    </w:p>
    <w:p>
      <w:pPr>
        <w:pStyle w:val="BodyText"/>
      </w:pPr>
    </w:p>
    <w:p>
      <w:pPr>
        <w:pStyle w:val="BodyText"/>
      </w:pPr>
    </w:p>
    <w:p>
      <w:pPr>
        <w:pStyle w:val="BodyText"/>
      </w:pPr>
    </w:p>
    <w:p>
      <w:pPr>
        <w:pStyle w:val="BodyText"/>
        <w:spacing w:before="3"/>
      </w:pPr>
    </w:p>
    <w:p>
      <w:pPr>
        <w:spacing w:before="0"/>
        <w:ind w:left="152" w:right="0" w:firstLine="0"/>
        <w:jc w:val="left"/>
        <w:rPr>
          <w:b/>
          <w:sz w:val="24"/>
        </w:rPr>
      </w:pPr>
      <w:bookmarkStart w:name="_bookmark1" w:id="2"/>
      <w:bookmarkEnd w:id="2"/>
      <w:r>
        <w:rPr/>
      </w:r>
      <w:r>
        <w:rPr>
          <w:b/>
          <w:sz w:val="24"/>
        </w:rPr>
        <w:t>INDICE DE FIGURAS</w:t>
      </w:r>
    </w:p>
    <w:p>
      <w:pPr>
        <w:pStyle w:val="BodyText"/>
        <w:tabs>
          <w:tab w:pos="8649" w:val="left" w:leader="none"/>
        </w:tabs>
        <w:spacing w:before="43"/>
        <w:ind w:left="152"/>
      </w:pPr>
      <w:r>
        <w:rPr/>
        <w:t>Figura 1 Muestreo en superficie en la canal</w:t>
      </w:r>
      <w:r>
        <w:rPr>
          <w:spacing w:val="-17"/>
        </w:rPr>
        <w:t> </w:t>
      </w:r>
      <w:r>
        <w:rPr/>
        <w:t>de</w:t>
      </w:r>
      <w:r>
        <w:rPr>
          <w:spacing w:val="-1"/>
        </w:rPr>
        <w:t> </w:t>
      </w:r>
      <w:r>
        <w:rPr/>
        <w:t>conejo</w:t>
        <w:tab/>
        <w:t>43</w:t>
      </w:r>
    </w:p>
    <w:p>
      <w:pPr>
        <w:pStyle w:val="BodyText"/>
        <w:tabs>
          <w:tab w:pos="8649" w:val="left" w:leader="none"/>
        </w:tabs>
        <w:spacing w:before="139"/>
        <w:ind w:left="152"/>
      </w:pPr>
      <w:r>
        <w:rPr/>
        <w:t>Figura 2. A y B método de lavado de la canal</w:t>
      </w:r>
      <w:r>
        <w:rPr>
          <w:spacing w:val="-16"/>
        </w:rPr>
        <w:t> </w:t>
      </w:r>
      <w:r>
        <w:rPr/>
        <w:t>de</w:t>
      </w:r>
      <w:r>
        <w:rPr>
          <w:spacing w:val="-1"/>
        </w:rPr>
        <w:t> </w:t>
      </w:r>
      <w:r>
        <w:rPr/>
        <w:t>conejo</w:t>
        <w:tab/>
        <w:t>44</w:t>
      </w:r>
    </w:p>
    <w:p>
      <w:pPr>
        <w:pStyle w:val="BodyText"/>
        <w:tabs>
          <w:tab w:pos="8649" w:val="left" w:leader="none"/>
        </w:tabs>
        <w:spacing w:before="137"/>
        <w:ind w:left="152"/>
      </w:pPr>
      <w:r>
        <w:rPr/>
        <w:t>Figura 3 Galería API</w:t>
      </w:r>
      <w:r>
        <w:rPr>
          <w:spacing w:val="-5"/>
        </w:rPr>
        <w:t> </w:t>
      </w:r>
      <w:r>
        <w:rPr/>
        <w:t>Staphy</w:t>
      </w:r>
      <w:r>
        <w:rPr>
          <w:spacing w:val="-4"/>
        </w:rPr>
        <w:t> </w:t>
      </w:r>
      <w:r>
        <w:rPr/>
        <w:t>color</w:t>
        <w:tab/>
        <w:t>47</w:t>
      </w:r>
    </w:p>
    <w:p>
      <w:pPr>
        <w:pStyle w:val="BodyText"/>
        <w:tabs>
          <w:tab w:pos="8649" w:val="left" w:leader="none"/>
        </w:tabs>
        <w:spacing w:before="139"/>
        <w:ind w:left="152"/>
      </w:pPr>
      <w:r>
        <w:rPr/>
        <w:t>Figura 4. Galería de identificación numérica api</w:t>
      </w:r>
      <w:r>
        <w:rPr>
          <w:spacing w:val="-14"/>
        </w:rPr>
        <w:t> </w:t>
      </w:r>
      <w:r>
        <w:rPr/>
        <w:t>staph</w:t>
      </w:r>
      <w:r>
        <w:rPr>
          <w:spacing w:val="-2"/>
        </w:rPr>
        <w:t> </w:t>
      </w:r>
      <w:r>
        <w:rPr/>
        <w:t>V4.1</w:t>
        <w:tab/>
        <w:t>47</w:t>
      </w:r>
    </w:p>
    <w:p>
      <w:pPr>
        <w:pStyle w:val="BodyText"/>
        <w:spacing w:before="137"/>
        <w:ind w:left="152"/>
      </w:pPr>
      <w:r>
        <w:rPr/>
        <w:t>Figura 5.  Muestreo de superficie de la canal conplantilla de 2.5. X 2.5</w:t>
      </w:r>
    </w:p>
    <w:p>
      <w:pPr>
        <w:pStyle w:val="BodyText"/>
        <w:tabs>
          <w:tab w:pos="8649" w:val="left" w:leader="none"/>
        </w:tabs>
        <w:spacing w:before="139"/>
        <w:ind w:left="152"/>
      </w:pPr>
      <w:r>
        <w:rPr/>
        <w:t>en la canal</w:t>
      </w:r>
      <w:r>
        <w:rPr>
          <w:spacing w:val="-7"/>
        </w:rPr>
        <w:t> </w:t>
      </w:r>
      <w:r>
        <w:rPr/>
        <w:t>de</w:t>
      </w:r>
      <w:r>
        <w:rPr>
          <w:spacing w:val="-2"/>
        </w:rPr>
        <w:t> </w:t>
      </w:r>
      <w:r>
        <w:rPr/>
        <w:t>conejo</w:t>
        <w:tab/>
        <w:t>60</w:t>
      </w:r>
    </w:p>
    <w:p>
      <w:pPr>
        <w:pStyle w:val="BodyText"/>
        <w:tabs>
          <w:tab w:pos="8649" w:val="left" w:leader="none"/>
        </w:tabs>
        <w:spacing w:before="137"/>
        <w:ind w:left="152"/>
      </w:pPr>
      <w:r>
        <w:rPr/>
        <w:t>Figura 6. Prueba de Api Staph control positivo</w:t>
      </w:r>
      <w:r>
        <w:rPr>
          <w:spacing w:val="-17"/>
        </w:rPr>
        <w:t> </w:t>
      </w:r>
      <w:r>
        <w:rPr/>
        <w:t>(ATCC</w:t>
      </w:r>
      <w:r>
        <w:rPr>
          <w:spacing w:val="-5"/>
        </w:rPr>
        <w:t> </w:t>
      </w:r>
      <w:r>
        <w:rPr/>
        <w:t>43300)</w:t>
        <w:tab/>
        <w:t>62</w:t>
      </w:r>
    </w:p>
    <w:p>
      <w:pPr>
        <w:tabs>
          <w:tab w:pos="8649" w:val="left" w:leader="none"/>
        </w:tabs>
        <w:spacing w:before="137"/>
        <w:ind w:left="152" w:right="0" w:firstLine="0"/>
        <w:jc w:val="left"/>
        <w:rPr>
          <w:sz w:val="24"/>
        </w:rPr>
      </w:pPr>
      <w:r>
        <w:rPr>
          <w:sz w:val="24"/>
        </w:rPr>
        <w:t>Figura 7. Identificación de </w:t>
      </w:r>
      <w:r>
        <w:rPr>
          <w:i/>
          <w:sz w:val="24"/>
        </w:rPr>
        <w:t>Staphylococcus  Xylosus </w:t>
      </w:r>
      <w:r>
        <w:rPr>
          <w:sz w:val="24"/>
        </w:rPr>
        <w:t>por</w:t>
      </w:r>
      <w:r>
        <w:rPr>
          <w:spacing w:val="-9"/>
          <w:sz w:val="24"/>
        </w:rPr>
        <w:t> </w:t>
      </w:r>
      <w:r>
        <w:rPr>
          <w:sz w:val="24"/>
        </w:rPr>
        <w:t>Api</w:t>
      </w:r>
      <w:r>
        <w:rPr>
          <w:spacing w:val="-2"/>
          <w:sz w:val="24"/>
        </w:rPr>
        <w:t> </w:t>
      </w:r>
      <w:r>
        <w:rPr>
          <w:sz w:val="24"/>
        </w:rPr>
        <w:t>Staph</w:t>
        <w:tab/>
        <w:t>62</w:t>
      </w:r>
    </w:p>
    <w:p>
      <w:pPr>
        <w:tabs>
          <w:tab w:pos="8649" w:val="left" w:leader="none"/>
        </w:tabs>
        <w:spacing w:line="360" w:lineRule="auto" w:before="137"/>
        <w:ind w:left="152" w:right="179" w:firstLine="0"/>
        <w:jc w:val="left"/>
        <w:rPr>
          <w:sz w:val="24"/>
        </w:rPr>
      </w:pPr>
      <w:r>
        <w:rPr>
          <w:sz w:val="24"/>
        </w:rPr>
        <w:t>Figura 8. Identificaion de </w:t>
      </w:r>
      <w:r>
        <w:rPr>
          <w:i/>
          <w:sz w:val="24"/>
        </w:rPr>
        <w:t>Staphylococcus aureus </w:t>
      </w:r>
      <w:r>
        <w:rPr>
          <w:sz w:val="24"/>
        </w:rPr>
        <w:t>en gel de agarosa por amplificación de los genes </w:t>
      </w:r>
      <w:r>
        <w:rPr>
          <w:i/>
          <w:sz w:val="24"/>
        </w:rPr>
        <w:t>mec A </w:t>
      </w:r>
      <w:r>
        <w:rPr>
          <w:sz w:val="24"/>
        </w:rPr>
        <w:t>y</w:t>
      </w:r>
      <w:r>
        <w:rPr>
          <w:spacing w:val="-8"/>
          <w:sz w:val="24"/>
        </w:rPr>
        <w:t> </w:t>
      </w:r>
      <w:r>
        <w:rPr>
          <w:i/>
          <w:sz w:val="24"/>
        </w:rPr>
        <w:t>fem</w:t>
      </w:r>
      <w:r>
        <w:rPr>
          <w:i/>
          <w:spacing w:val="-5"/>
          <w:sz w:val="24"/>
        </w:rPr>
        <w:t> </w:t>
      </w:r>
      <w:r>
        <w:rPr>
          <w:i/>
          <w:sz w:val="24"/>
        </w:rPr>
        <w:t>B.</w:t>
      </w:r>
      <w:r>
        <w:rPr>
          <w:sz w:val="24"/>
        </w:rPr>
        <w:tab/>
        <w:t>63</w:t>
      </w:r>
    </w:p>
    <w:p>
      <w:pPr>
        <w:spacing w:after="0" w:line="360" w:lineRule="auto"/>
        <w:jc w:val="left"/>
        <w:rPr>
          <w:sz w:val="24"/>
        </w:rPr>
        <w:sectPr>
          <w:pgSz w:w="12240" w:h="15840"/>
          <w:pgMar w:header="0" w:footer="1386" w:top="1500" w:bottom="1580" w:left="1720" w:right="1420"/>
        </w:sectPr>
      </w:pPr>
    </w:p>
    <w:p>
      <w:pPr>
        <w:pStyle w:val="BodyText"/>
        <w:spacing w:before="7"/>
        <w:rPr>
          <w:sz w:val="21"/>
        </w:rPr>
      </w:pPr>
    </w:p>
    <w:p>
      <w:pPr>
        <w:pStyle w:val="Heading1"/>
        <w:ind w:left="192"/>
      </w:pPr>
      <w:bookmarkStart w:name="_bookmark2" w:id="3"/>
      <w:bookmarkEnd w:id="3"/>
      <w:r>
        <w:rPr>
          <w:b w:val="0"/>
        </w:rPr>
      </w:r>
      <w:r>
        <w:rPr/>
        <w:t>ABREVIATURAS</w:t>
      </w:r>
    </w:p>
    <w:p>
      <w:pPr>
        <w:pStyle w:val="BodyText"/>
        <w:rPr>
          <w:rFonts w:ascii="Cambria"/>
          <w:b/>
          <w:sz w:val="20"/>
        </w:rPr>
      </w:pPr>
    </w:p>
    <w:p>
      <w:pPr>
        <w:pStyle w:val="BodyText"/>
        <w:spacing w:before="6"/>
        <w:rPr>
          <w:rFonts w:ascii="Cambria"/>
          <w:b/>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2"/>
        <w:gridCol w:w="6868"/>
      </w:tblGrid>
      <w:tr>
        <w:trPr>
          <w:trHeight w:val="326" w:hRule="exact"/>
        </w:trPr>
        <w:tc>
          <w:tcPr>
            <w:tcW w:w="2012" w:type="dxa"/>
          </w:tcPr>
          <w:p>
            <w:pPr>
              <w:pStyle w:val="TableParagraph"/>
              <w:spacing w:line="245" w:lineRule="exact"/>
              <w:ind w:left="200"/>
              <w:jc w:val="left"/>
              <w:rPr>
                <w:sz w:val="24"/>
              </w:rPr>
            </w:pPr>
            <w:r>
              <w:rPr>
                <w:w w:val="100"/>
                <w:sz w:val="24"/>
              </w:rPr>
              <w:t>A</w:t>
            </w:r>
          </w:p>
        </w:tc>
        <w:tc>
          <w:tcPr>
            <w:tcW w:w="6868" w:type="dxa"/>
          </w:tcPr>
          <w:p>
            <w:pPr>
              <w:pStyle w:val="TableParagraph"/>
              <w:spacing w:line="245" w:lineRule="exact"/>
              <w:ind w:left="706" w:right="952"/>
              <w:jc w:val="left"/>
              <w:rPr>
                <w:sz w:val="24"/>
              </w:rPr>
            </w:pPr>
            <w:r>
              <w:rPr>
                <w:sz w:val="24"/>
              </w:rPr>
              <w:t>Adenina</w:t>
            </w:r>
          </w:p>
        </w:tc>
      </w:tr>
      <w:tr>
        <w:trPr>
          <w:trHeight w:val="414" w:hRule="exact"/>
        </w:trPr>
        <w:tc>
          <w:tcPr>
            <w:tcW w:w="2012" w:type="dxa"/>
          </w:tcPr>
          <w:p>
            <w:pPr>
              <w:pStyle w:val="TableParagraph"/>
              <w:spacing w:before="55"/>
              <w:ind w:left="200"/>
              <w:jc w:val="left"/>
              <w:rPr>
                <w:sz w:val="24"/>
              </w:rPr>
            </w:pPr>
            <w:r>
              <w:rPr>
                <w:sz w:val="24"/>
              </w:rPr>
              <w:t>ADN</w:t>
            </w:r>
          </w:p>
        </w:tc>
        <w:tc>
          <w:tcPr>
            <w:tcW w:w="6868" w:type="dxa"/>
          </w:tcPr>
          <w:p>
            <w:pPr>
              <w:pStyle w:val="TableParagraph"/>
              <w:spacing w:before="55"/>
              <w:ind w:left="706" w:right="952"/>
              <w:jc w:val="left"/>
              <w:rPr>
                <w:sz w:val="24"/>
              </w:rPr>
            </w:pPr>
            <w:r>
              <w:rPr>
                <w:sz w:val="24"/>
              </w:rPr>
              <w:t>Ácido desoxirribonucleico</w:t>
            </w:r>
          </w:p>
        </w:tc>
      </w:tr>
      <w:tr>
        <w:trPr>
          <w:trHeight w:val="413" w:hRule="exact"/>
        </w:trPr>
        <w:tc>
          <w:tcPr>
            <w:tcW w:w="2012" w:type="dxa"/>
          </w:tcPr>
          <w:p>
            <w:pPr>
              <w:pStyle w:val="TableParagraph"/>
              <w:spacing w:before="57"/>
              <w:ind w:left="200"/>
              <w:jc w:val="left"/>
              <w:rPr>
                <w:sz w:val="24"/>
              </w:rPr>
            </w:pPr>
            <w:r>
              <w:rPr>
                <w:sz w:val="24"/>
              </w:rPr>
              <w:t>AMP</w:t>
            </w:r>
          </w:p>
        </w:tc>
        <w:tc>
          <w:tcPr>
            <w:tcW w:w="6868" w:type="dxa"/>
          </w:tcPr>
          <w:p>
            <w:pPr>
              <w:pStyle w:val="TableParagraph"/>
              <w:spacing w:before="57"/>
              <w:ind w:left="706" w:right="952"/>
              <w:jc w:val="left"/>
              <w:rPr>
                <w:sz w:val="24"/>
              </w:rPr>
            </w:pPr>
            <w:r>
              <w:rPr>
                <w:sz w:val="24"/>
              </w:rPr>
              <w:t>Ampicilina</w:t>
            </w:r>
          </w:p>
        </w:tc>
      </w:tr>
      <w:tr>
        <w:trPr>
          <w:trHeight w:val="415" w:hRule="exact"/>
        </w:trPr>
        <w:tc>
          <w:tcPr>
            <w:tcW w:w="2012" w:type="dxa"/>
          </w:tcPr>
          <w:p>
            <w:pPr>
              <w:pStyle w:val="TableParagraph"/>
              <w:spacing w:before="57"/>
              <w:ind w:left="200"/>
              <w:jc w:val="left"/>
              <w:rPr>
                <w:sz w:val="24"/>
              </w:rPr>
            </w:pPr>
            <w:r>
              <w:rPr>
                <w:sz w:val="24"/>
              </w:rPr>
              <w:t>BORSA</w:t>
            </w:r>
          </w:p>
        </w:tc>
        <w:tc>
          <w:tcPr>
            <w:tcW w:w="6868" w:type="dxa"/>
          </w:tcPr>
          <w:p>
            <w:pPr>
              <w:pStyle w:val="TableParagraph"/>
              <w:spacing w:before="54"/>
              <w:ind w:left="706" w:right="952"/>
              <w:jc w:val="left"/>
              <w:rPr>
                <w:i/>
                <w:sz w:val="24"/>
              </w:rPr>
            </w:pPr>
            <w:r>
              <w:rPr>
                <w:sz w:val="24"/>
              </w:rPr>
              <w:t>Borderline oxacillin resistant </w:t>
            </w:r>
            <w:r>
              <w:rPr>
                <w:i/>
                <w:sz w:val="24"/>
              </w:rPr>
              <w:t>S. aureus</w:t>
            </w:r>
          </w:p>
        </w:tc>
      </w:tr>
      <w:tr>
        <w:trPr>
          <w:trHeight w:val="413" w:hRule="exact"/>
        </w:trPr>
        <w:tc>
          <w:tcPr>
            <w:tcW w:w="2012" w:type="dxa"/>
          </w:tcPr>
          <w:p>
            <w:pPr>
              <w:pStyle w:val="TableParagraph"/>
              <w:spacing w:before="57"/>
              <w:ind w:left="200"/>
              <w:jc w:val="left"/>
              <w:rPr>
                <w:sz w:val="24"/>
              </w:rPr>
            </w:pPr>
            <w:r>
              <w:rPr>
                <w:w w:val="99"/>
                <w:sz w:val="24"/>
              </w:rPr>
              <w:t>C</w:t>
            </w:r>
          </w:p>
        </w:tc>
        <w:tc>
          <w:tcPr>
            <w:tcW w:w="6868" w:type="dxa"/>
          </w:tcPr>
          <w:p>
            <w:pPr>
              <w:pStyle w:val="TableParagraph"/>
              <w:spacing w:before="57"/>
              <w:ind w:left="706" w:right="952"/>
              <w:jc w:val="left"/>
              <w:rPr>
                <w:sz w:val="24"/>
              </w:rPr>
            </w:pPr>
            <w:r>
              <w:rPr>
                <w:sz w:val="24"/>
              </w:rPr>
              <w:t>Citosina</w:t>
            </w:r>
          </w:p>
        </w:tc>
      </w:tr>
      <w:tr>
        <w:trPr>
          <w:trHeight w:val="829" w:hRule="exact"/>
        </w:trPr>
        <w:tc>
          <w:tcPr>
            <w:tcW w:w="2012" w:type="dxa"/>
          </w:tcPr>
          <w:p>
            <w:pPr>
              <w:pStyle w:val="TableParagraph"/>
              <w:spacing w:before="57"/>
              <w:ind w:left="200"/>
              <w:jc w:val="left"/>
              <w:rPr>
                <w:sz w:val="24"/>
              </w:rPr>
            </w:pPr>
            <w:r>
              <w:rPr>
                <w:sz w:val="24"/>
              </w:rPr>
              <w:t>CA-MRSA</w:t>
            </w:r>
          </w:p>
        </w:tc>
        <w:tc>
          <w:tcPr>
            <w:tcW w:w="6868" w:type="dxa"/>
          </w:tcPr>
          <w:p>
            <w:pPr>
              <w:pStyle w:val="TableParagraph"/>
              <w:spacing w:line="362" w:lineRule="auto" w:before="55"/>
              <w:ind w:left="706" w:right="952"/>
              <w:jc w:val="left"/>
              <w:rPr>
                <w:sz w:val="24"/>
              </w:rPr>
            </w:pPr>
            <w:r>
              <w:rPr>
                <w:i/>
                <w:sz w:val="24"/>
              </w:rPr>
              <w:t>Staphylococcus aureus </w:t>
            </w:r>
            <w:r>
              <w:rPr>
                <w:sz w:val="24"/>
              </w:rPr>
              <w:t>resistente a meticilina de adquisición comunitaria</w:t>
            </w:r>
          </w:p>
        </w:tc>
      </w:tr>
      <w:tr>
        <w:trPr>
          <w:trHeight w:val="414" w:hRule="exact"/>
        </w:trPr>
        <w:tc>
          <w:tcPr>
            <w:tcW w:w="2012" w:type="dxa"/>
          </w:tcPr>
          <w:p>
            <w:pPr>
              <w:pStyle w:val="TableParagraph"/>
              <w:spacing w:before="55"/>
              <w:ind w:left="200"/>
              <w:jc w:val="left"/>
              <w:rPr>
                <w:sz w:val="24"/>
              </w:rPr>
            </w:pPr>
            <w:r>
              <w:rPr>
                <w:sz w:val="24"/>
              </w:rPr>
              <w:t>CC</w:t>
            </w:r>
          </w:p>
        </w:tc>
        <w:tc>
          <w:tcPr>
            <w:tcW w:w="6868" w:type="dxa"/>
          </w:tcPr>
          <w:p>
            <w:pPr>
              <w:pStyle w:val="TableParagraph"/>
              <w:spacing w:before="55"/>
              <w:ind w:left="706" w:right="952"/>
              <w:jc w:val="left"/>
              <w:rPr>
                <w:sz w:val="24"/>
              </w:rPr>
            </w:pPr>
            <w:r>
              <w:rPr>
                <w:sz w:val="24"/>
              </w:rPr>
              <w:t>Complejo Clonal</w:t>
            </w:r>
          </w:p>
        </w:tc>
      </w:tr>
      <w:tr>
        <w:trPr>
          <w:trHeight w:val="828" w:hRule="exact"/>
        </w:trPr>
        <w:tc>
          <w:tcPr>
            <w:tcW w:w="2012" w:type="dxa"/>
          </w:tcPr>
          <w:p>
            <w:pPr>
              <w:pStyle w:val="TableParagraph"/>
              <w:spacing w:before="57"/>
              <w:ind w:left="200"/>
              <w:jc w:val="left"/>
              <w:rPr>
                <w:sz w:val="24"/>
              </w:rPr>
            </w:pPr>
            <w:r>
              <w:rPr>
                <w:sz w:val="24"/>
              </w:rPr>
              <w:t>CDC</w:t>
            </w:r>
          </w:p>
        </w:tc>
        <w:tc>
          <w:tcPr>
            <w:tcW w:w="6868" w:type="dxa"/>
          </w:tcPr>
          <w:p>
            <w:pPr>
              <w:pStyle w:val="TableParagraph"/>
              <w:spacing w:line="360" w:lineRule="auto" w:before="57"/>
              <w:ind w:left="706" w:right="178"/>
              <w:jc w:val="left"/>
              <w:rPr>
                <w:sz w:val="24"/>
              </w:rPr>
            </w:pPr>
            <w:r>
              <w:rPr>
                <w:sz w:val="24"/>
              </w:rPr>
              <w:t>Centers for Diseases Control and Prevention (Centro de Control y Prevención de Enfermedades)</w:t>
            </w:r>
          </w:p>
        </w:tc>
      </w:tr>
      <w:tr>
        <w:trPr>
          <w:trHeight w:val="414" w:hRule="exact"/>
        </w:trPr>
        <w:tc>
          <w:tcPr>
            <w:tcW w:w="2012" w:type="dxa"/>
          </w:tcPr>
          <w:p>
            <w:pPr>
              <w:pStyle w:val="TableParagraph"/>
              <w:spacing w:before="57"/>
              <w:ind w:left="200"/>
              <w:jc w:val="left"/>
              <w:rPr>
                <w:sz w:val="24"/>
              </w:rPr>
            </w:pPr>
            <w:r>
              <w:rPr>
                <w:sz w:val="24"/>
              </w:rPr>
              <w:t>CLSI</w:t>
            </w:r>
          </w:p>
        </w:tc>
        <w:tc>
          <w:tcPr>
            <w:tcW w:w="6868" w:type="dxa"/>
          </w:tcPr>
          <w:p>
            <w:pPr>
              <w:pStyle w:val="TableParagraph"/>
              <w:spacing w:before="57"/>
              <w:ind w:left="706" w:right="952"/>
              <w:jc w:val="left"/>
              <w:rPr>
                <w:sz w:val="24"/>
              </w:rPr>
            </w:pPr>
            <w:r>
              <w:rPr>
                <w:sz w:val="24"/>
              </w:rPr>
              <w:t>Clinical and Laboratory Standars Institute</w:t>
            </w:r>
          </w:p>
        </w:tc>
      </w:tr>
      <w:tr>
        <w:trPr>
          <w:trHeight w:val="414" w:hRule="exact"/>
        </w:trPr>
        <w:tc>
          <w:tcPr>
            <w:tcW w:w="2012" w:type="dxa"/>
          </w:tcPr>
          <w:p>
            <w:pPr>
              <w:pStyle w:val="TableParagraph"/>
              <w:spacing w:before="55"/>
              <w:ind w:left="200"/>
              <w:jc w:val="left"/>
              <w:rPr>
                <w:sz w:val="24"/>
              </w:rPr>
            </w:pPr>
            <w:r>
              <w:rPr>
                <w:sz w:val="24"/>
              </w:rPr>
              <w:t>dNTPs</w:t>
            </w:r>
          </w:p>
        </w:tc>
        <w:tc>
          <w:tcPr>
            <w:tcW w:w="6868" w:type="dxa"/>
          </w:tcPr>
          <w:p>
            <w:pPr>
              <w:pStyle w:val="TableParagraph"/>
              <w:spacing w:before="55"/>
              <w:ind w:left="706" w:right="952"/>
              <w:jc w:val="left"/>
              <w:rPr>
                <w:sz w:val="24"/>
              </w:rPr>
            </w:pPr>
            <w:r>
              <w:rPr>
                <w:sz w:val="24"/>
              </w:rPr>
              <w:t>Desoxinucleótidos</w:t>
            </w:r>
          </w:p>
        </w:tc>
      </w:tr>
      <w:tr>
        <w:trPr>
          <w:trHeight w:val="414" w:hRule="exact"/>
        </w:trPr>
        <w:tc>
          <w:tcPr>
            <w:tcW w:w="2012" w:type="dxa"/>
          </w:tcPr>
          <w:p>
            <w:pPr>
              <w:pStyle w:val="TableParagraph"/>
              <w:spacing w:before="57"/>
              <w:ind w:left="200"/>
              <w:jc w:val="left"/>
              <w:rPr>
                <w:sz w:val="24"/>
              </w:rPr>
            </w:pPr>
            <w:r>
              <w:rPr>
                <w:sz w:val="24"/>
              </w:rPr>
              <w:t>FOX</w:t>
            </w:r>
          </w:p>
        </w:tc>
        <w:tc>
          <w:tcPr>
            <w:tcW w:w="6868" w:type="dxa"/>
          </w:tcPr>
          <w:p>
            <w:pPr>
              <w:pStyle w:val="TableParagraph"/>
              <w:spacing w:before="57"/>
              <w:ind w:left="706" w:right="952"/>
              <w:jc w:val="left"/>
              <w:rPr>
                <w:sz w:val="24"/>
              </w:rPr>
            </w:pPr>
            <w:r>
              <w:rPr>
                <w:sz w:val="24"/>
              </w:rPr>
              <w:t>Cefoxitina</w:t>
            </w:r>
          </w:p>
        </w:tc>
      </w:tr>
      <w:tr>
        <w:trPr>
          <w:trHeight w:val="412" w:hRule="exact"/>
        </w:trPr>
        <w:tc>
          <w:tcPr>
            <w:tcW w:w="2012" w:type="dxa"/>
          </w:tcPr>
          <w:p>
            <w:pPr>
              <w:pStyle w:val="TableParagraph"/>
              <w:spacing w:before="56"/>
              <w:ind w:left="200"/>
              <w:jc w:val="left"/>
              <w:rPr>
                <w:sz w:val="24"/>
              </w:rPr>
            </w:pPr>
            <w:r>
              <w:rPr>
                <w:w w:val="100"/>
                <w:sz w:val="24"/>
              </w:rPr>
              <w:t>G</w:t>
            </w:r>
          </w:p>
        </w:tc>
        <w:tc>
          <w:tcPr>
            <w:tcW w:w="6868" w:type="dxa"/>
          </w:tcPr>
          <w:p>
            <w:pPr>
              <w:pStyle w:val="TableParagraph"/>
              <w:spacing w:before="56"/>
              <w:ind w:left="706" w:right="952"/>
              <w:jc w:val="left"/>
              <w:rPr>
                <w:sz w:val="24"/>
              </w:rPr>
            </w:pPr>
            <w:r>
              <w:rPr>
                <w:sz w:val="24"/>
              </w:rPr>
              <w:t>Guanina</w:t>
            </w:r>
          </w:p>
        </w:tc>
      </w:tr>
      <w:tr>
        <w:trPr>
          <w:trHeight w:val="829" w:hRule="exact"/>
        </w:trPr>
        <w:tc>
          <w:tcPr>
            <w:tcW w:w="2012" w:type="dxa"/>
          </w:tcPr>
          <w:p>
            <w:pPr>
              <w:pStyle w:val="TableParagraph"/>
              <w:spacing w:before="57"/>
              <w:ind w:left="200"/>
              <w:jc w:val="left"/>
              <w:rPr>
                <w:sz w:val="24"/>
              </w:rPr>
            </w:pPr>
            <w:r>
              <w:rPr>
                <w:sz w:val="24"/>
              </w:rPr>
              <w:t>HA-MRSA</w:t>
            </w:r>
          </w:p>
        </w:tc>
        <w:tc>
          <w:tcPr>
            <w:tcW w:w="6868" w:type="dxa"/>
          </w:tcPr>
          <w:p>
            <w:pPr>
              <w:pStyle w:val="TableParagraph"/>
              <w:spacing w:line="362" w:lineRule="auto" w:before="54"/>
              <w:ind w:left="706" w:right="952"/>
              <w:jc w:val="left"/>
              <w:rPr>
                <w:sz w:val="24"/>
              </w:rPr>
            </w:pPr>
            <w:r>
              <w:rPr>
                <w:i/>
                <w:sz w:val="24"/>
              </w:rPr>
              <w:t>Staphylococcus aureus </w:t>
            </w:r>
            <w:r>
              <w:rPr>
                <w:sz w:val="24"/>
              </w:rPr>
              <w:t>resistente a meticilina de adquisición hospitalaria</w:t>
            </w:r>
          </w:p>
        </w:tc>
      </w:tr>
      <w:tr>
        <w:trPr>
          <w:trHeight w:val="413" w:hRule="exact"/>
        </w:trPr>
        <w:tc>
          <w:tcPr>
            <w:tcW w:w="2012" w:type="dxa"/>
          </w:tcPr>
          <w:p>
            <w:pPr>
              <w:pStyle w:val="TableParagraph"/>
              <w:spacing w:before="55"/>
              <w:ind w:left="200"/>
              <w:jc w:val="left"/>
              <w:rPr>
                <w:sz w:val="24"/>
              </w:rPr>
            </w:pPr>
            <w:r>
              <w:rPr>
                <w:sz w:val="24"/>
              </w:rPr>
              <w:t>kb</w:t>
            </w:r>
          </w:p>
        </w:tc>
        <w:tc>
          <w:tcPr>
            <w:tcW w:w="6868" w:type="dxa"/>
          </w:tcPr>
          <w:p>
            <w:pPr>
              <w:pStyle w:val="TableParagraph"/>
              <w:spacing w:before="55"/>
              <w:ind w:left="706" w:right="952"/>
              <w:jc w:val="left"/>
              <w:rPr>
                <w:sz w:val="24"/>
              </w:rPr>
            </w:pPr>
            <w:r>
              <w:rPr>
                <w:sz w:val="24"/>
              </w:rPr>
              <w:t>Kilo bases</w:t>
            </w:r>
          </w:p>
        </w:tc>
      </w:tr>
      <w:tr>
        <w:trPr>
          <w:trHeight w:val="829" w:hRule="exact"/>
        </w:trPr>
        <w:tc>
          <w:tcPr>
            <w:tcW w:w="2012" w:type="dxa"/>
          </w:tcPr>
          <w:p>
            <w:pPr>
              <w:pStyle w:val="TableParagraph"/>
              <w:spacing w:before="58"/>
              <w:ind w:left="200"/>
              <w:jc w:val="left"/>
              <w:rPr>
                <w:sz w:val="24"/>
              </w:rPr>
            </w:pPr>
            <w:r>
              <w:rPr>
                <w:sz w:val="24"/>
              </w:rPr>
              <w:t>LA-MRSA</w:t>
            </w:r>
          </w:p>
        </w:tc>
        <w:tc>
          <w:tcPr>
            <w:tcW w:w="6868" w:type="dxa"/>
          </w:tcPr>
          <w:p>
            <w:pPr>
              <w:pStyle w:val="TableParagraph"/>
              <w:spacing w:line="360" w:lineRule="auto" w:before="55"/>
              <w:ind w:left="706" w:right="258"/>
              <w:jc w:val="left"/>
              <w:rPr>
                <w:sz w:val="24"/>
              </w:rPr>
            </w:pPr>
            <w:r>
              <w:rPr>
                <w:i/>
                <w:sz w:val="24"/>
              </w:rPr>
              <w:t>Staphylococcus aureus </w:t>
            </w:r>
            <w:r>
              <w:rPr>
                <w:sz w:val="24"/>
              </w:rPr>
              <w:t>resistente a meticilina asociado al ganado</w:t>
            </w:r>
          </w:p>
        </w:tc>
      </w:tr>
      <w:tr>
        <w:trPr>
          <w:trHeight w:val="828" w:hRule="exact"/>
        </w:trPr>
        <w:tc>
          <w:tcPr>
            <w:tcW w:w="2012" w:type="dxa"/>
          </w:tcPr>
          <w:p>
            <w:pPr>
              <w:pStyle w:val="TableParagraph"/>
              <w:spacing w:before="57"/>
              <w:ind w:left="200"/>
              <w:jc w:val="left"/>
              <w:rPr>
                <w:sz w:val="24"/>
              </w:rPr>
            </w:pPr>
            <w:r>
              <w:rPr>
                <w:sz w:val="24"/>
              </w:rPr>
              <w:t>PVL</w:t>
            </w:r>
          </w:p>
        </w:tc>
        <w:tc>
          <w:tcPr>
            <w:tcW w:w="6868" w:type="dxa"/>
          </w:tcPr>
          <w:p>
            <w:pPr>
              <w:pStyle w:val="TableParagraph"/>
              <w:spacing w:line="360" w:lineRule="auto" w:before="57"/>
              <w:ind w:left="706" w:right="297"/>
              <w:jc w:val="left"/>
              <w:rPr>
                <w:sz w:val="24"/>
              </w:rPr>
            </w:pPr>
            <w:r>
              <w:rPr>
                <w:sz w:val="24"/>
              </w:rPr>
              <w:t>Panton-Valentine Leukocidin (Leucocidina de Panton – Valentine)</w:t>
            </w:r>
          </w:p>
        </w:tc>
      </w:tr>
      <w:tr>
        <w:trPr>
          <w:trHeight w:val="414" w:hRule="exact"/>
        </w:trPr>
        <w:tc>
          <w:tcPr>
            <w:tcW w:w="2012" w:type="dxa"/>
          </w:tcPr>
          <w:p>
            <w:pPr>
              <w:pStyle w:val="TableParagraph"/>
              <w:spacing w:before="57"/>
              <w:ind w:left="200"/>
              <w:jc w:val="left"/>
              <w:rPr>
                <w:sz w:val="24"/>
              </w:rPr>
            </w:pPr>
            <w:r>
              <w:rPr>
                <w:w w:val="99"/>
                <w:sz w:val="24"/>
              </w:rPr>
              <w:t>M</w:t>
            </w:r>
          </w:p>
        </w:tc>
        <w:tc>
          <w:tcPr>
            <w:tcW w:w="6868" w:type="dxa"/>
          </w:tcPr>
          <w:p>
            <w:pPr>
              <w:pStyle w:val="TableParagraph"/>
              <w:spacing w:before="57"/>
              <w:ind w:left="706" w:right="952"/>
              <w:jc w:val="left"/>
              <w:rPr>
                <w:sz w:val="24"/>
              </w:rPr>
            </w:pPr>
            <w:r>
              <w:rPr>
                <w:sz w:val="24"/>
              </w:rPr>
              <w:t>Molar</w:t>
            </w:r>
          </w:p>
        </w:tc>
      </w:tr>
      <w:tr>
        <w:trPr>
          <w:trHeight w:val="414" w:hRule="exact"/>
        </w:trPr>
        <w:tc>
          <w:tcPr>
            <w:tcW w:w="2012" w:type="dxa"/>
          </w:tcPr>
          <w:p>
            <w:pPr>
              <w:pStyle w:val="TableParagraph"/>
              <w:spacing w:before="55"/>
              <w:ind w:left="200"/>
              <w:jc w:val="left"/>
              <w:rPr>
                <w:sz w:val="24"/>
              </w:rPr>
            </w:pPr>
            <w:r>
              <w:rPr>
                <w:sz w:val="24"/>
              </w:rPr>
              <w:t>MH</w:t>
            </w:r>
          </w:p>
        </w:tc>
        <w:tc>
          <w:tcPr>
            <w:tcW w:w="6868" w:type="dxa"/>
          </w:tcPr>
          <w:p>
            <w:pPr>
              <w:pStyle w:val="TableParagraph"/>
              <w:spacing w:before="55"/>
              <w:ind w:left="706" w:right="952"/>
              <w:jc w:val="left"/>
              <w:rPr>
                <w:sz w:val="24"/>
              </w:rPr>
            </w:pPr>
            <w:r>
              <w:rPr>
                <w:sz w:val="24"/>
              </w:rPr>
              <w:t>Mueller-HiIton (medio de cultivo)</w:t>
            </w:r>
          </w:p>
        </w:tc>
      </w:tr>
      <w:tr>
        <w:trPr>
          <w:trHeight w:val="414" w:hRule="exact"/>
        </w:trPr>
        <w:tc>
          <w:tcPr>
            <w:tcW w:w="2012" w:type="dxa"/>
          </w:tcPr>
          <w:p>
            <w:pPr>
              <w:pStyle w:val="TableParagraph"/>
              <w:spacing w:before="57"/>
              <w:ind w:left="200"/>
              <w:jc w:val="left"/>
              <w:rPr>
                <w:sz w:val="24"/>
              </w:rPr>
            </w:pPr>
            <w:r>
              <w:rPr>
                <w:sz w:val="24"/>
              </w:rPr>
              <w:t>mL</w:t>
            </w:r>
          </w:p>
        </w:tc>
        <w:tc>
          <w:tcPr>
            <w:tcW w:w="6868" w:type="dxa"/>
          </w:tcPr>
          <w:p>
            <w:pPr>
              <w:pStyle w:val="TableParagraph"/>
              <w:spacing w:before="57"/>
              <w:ind w:left="706" w:right="952"/>
              <w:jc w:val="left"/>
              <w:rPr>
                <w:sz w:val="24"/>
              </w:rPr>
            </w:pPr>
            <w:r>
              <w:rPr>
                <w:sz w:val="24"/>
              </w:rPr>
              <w:t>Mililitro</w:t>
            </w:r>
          </w:p>
        </w:tc>
      </w:tr>
      <w:tr>
        <w:trPr>
          <w:trHeight w:val="414" w:hRule="exact"/>
        </w:trPr>
        <w:tc>
          <w:tcPr>
            <w:tcW w:w="2012" w:type="dxa"/>
          </w:tcPr>
          <w:p>
            <w:pPr>
              <w:pStyle w:val="TableParagraph"/>
              <w:spacing w:before="55"/>
              <w:ind w:left="200"/>
              <w:jc w:val="left"/>
              <w:rPr>
                <w:sz w:val="24"/>
              </w:rPr>
            </w:pPr>
            <w:r>
              <w:rPr>
                <w:sz w:val="24"/>
              </w:rPr>
              <w:t>mm</w:t>
            </w:r>
          </w:p>
        </w:tc>
        <w:tc>
          <w:tcPr>
            <w:tcW w:w="6868" w:type="dxa"/>
          </w:tcPr>
          <w:p>
            <w:pPr>
              <w:pStyle w:val="TableParagraph"/>
              <w:spacing w:before="55"/>
              <w:ind w:left="706" w:right="952"/>
              <w:jc w:val="left"/>
              <w:rPr>
                <w:sz w:val="24"/>
              </w:rPr>
            </w:pPr>
            <w:r>
              <w:rPr>
                <w:sz w:val="24"/>
              </w:rPr>
              <w:t>Milímetro</w:t>
            </w:r>
          </w:p>
        </w:tc>
      </w:tr>
      <w:tr>
        <w:trPr>
          <w:trHeight w:val="413" w:hRule="exact"/>
        </w:trPr>
        <w:tc>
          <w:tcPr>
            <w:tcW w:w="2012" w:type="dxa"/>
          </w:tcPr>
          <w:p>
            <w:pPr>
              <w:pStyle w:val="TableParagraph"/>
              <w:spacing w:before="57"/>
              <w:ind w:left="200"/>
              <w:jc w:val="left"/>
              <w:rPr>
                <w:sz w:val="24"/>
              </w:rPr>
            </w:pPr>
            <w:r>
              <w:rPr>
                <w:sz w:val="24"/>
              </w:rPr>
              <w:t>mM</w:t>
            </w:r>
          </w:p>
        </w:tc>
        <w:tc>
          <w:tcPr>
            <w:tcW w:w="6868" w:type="dxa"/>
          </w:tcPr>
          <w:p>
            <w:pPr>
              <w:pStyle w:val="TableParagraph"/>
              <w:spacing w:before="57"/>
              <w:ind w:left="706" w:right="952"/>
              <w:jc w:val="left"/>
              <w:rPr>
                <w:sz w:val="24"/>
              </w:rPr>
            </w:pPr>
            <w:r>
              <w:rPr>
                <w:sz w:val="24"/>
              </w:rPr>
              <w:t>Milimolar</w:t>
            </w:r>
          </w:p>
        </w:tc>
      </w:tr>
      <w:tr>
        <w:trPr>
          <w:trHeight w:val="328" w:hRule="exact"/>
        </w:trPr>
        <w:tc>
          <w:tcPr>
            <w:tcW w:w="2012" w:type="dxa"/>
          </w:tcPr>
          <w:p>
            <w:pPr>
              <w:pStyle w:val="TableParagraph"/>
              <w:spacing w:before="57"/>
              <w:ind w:left="200"/>
              <w:jc w:val="left"/>
              <w:rPr>
                <w:sz w:val="24"/>
              </w:rPr>
            </w:pPr>
            <w:r>
              <w:rPr>
                <w:sz w:val="24"/>
              </w:rPr>
              <w:t>MRSA</w:t>
            </w:r>
          </w:p>
        </w:tc>
        <w:tc>
          <w:tcPr>
            <w:tcW w:w="6868" w:type="dxa"/>
          </w:tcPr>
          <w:p>
            <w:pPr>
              <w:pStyle w:val="TableParagraph"/>
              <w:spacing w:before="54"/>
              <w:ind w:left="706" w:right="952"/>
              <w:jc w:val="left"/>
              <w:rPr>
                <w:sz w:val="24"/>
              </w:rPr>
            </w:pPr>
            <w:r>
              <w:rPr>
                <w:i/>
                <w:sz w:val="24"/>
              </w:rPr>
              <w:t>Staphylococcus aureus </w:t>
            </w:r>
            <w:r>
              <w:rPr>
                <w:sz w:val="24"/>
              </w:rPr>
              <w:t>resistente a meticilina</w:t>
            </w:r>
          </w:p>
        </w:tc>
      </w:tr>
    </w:tbl>
    <w:p>
      <w:pPr>
        <w:spacing w:after="0"/>
        <w:jc w:val="left"/>
        <w:rPr>
          <w:sz w:val="24"/>
        </w:rPr>
        <w:sectPr>
          <w:footerReference w:type="default" r:id="rId7"/>
          <w:pgSz w:w="12240" w:h="15840"/>
          <w:pgMar w:footer="1386" w:header="0" w:top="1500" w:bottom="1580" w:left="1680" w:right="1420"/>
        </w:sectPr>
      </w:pPr>
    </w:p>
    <w:p>
      <w:pPr>
        <w:pStyle w:val="BodyText"/>
        <w:spacing w:before="10"/>
        <w:rPr>
          <w:rFonts w:ascii="Times New Roman"/>
          <w:sz w:val="29"/>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40"/>
        <w:gridCol w:w="6872"/>
      </w:tblGrid>
      <w:tr>
        <w:trPr>
          <w:trHeight w:val="325" w:hRule="exact"/>
        </w:trPr>
        <w:tc>
          <w:tcPr>
            <w:tcW w:w="1940" w:type="dxa"/>
          </w:tcPr>
          <w:p>
            <w:pPr>
              <w:pStyle w:val="TableParagraph"/>
              <w:spacing w:line="245" w:lineRule="exact"/>
              <w:ind w:left="200"/>
              <w:jc w:val="left"/>
              <w:rPr>
                <w:sz w:val="24"/>
              </w:rPr>
            </w:pPr>
            <w:r>
              <w:rPr>
                <w:sz w:val="24"/>
              </w:rPr>
              <w:t>MSA</w:t>
            </w:r>
          </w:p>
        </w:tc>
        <w:tc>
          <w:tcPr>
            <w:tcW w:w="6872" w:type="dxa"/>
          </w:tcPr>
          <w:p>
            <w:pPr>
              <w:pStyle w:val="TableParagraph"/>
              <w:spacing w:line="245" w:lineRule="exact"/>
              <w:ind w:left="778"/>
              <w:jc w:val="left"/>
              <w:rPr>
                <w:sz w:val="24"/>
              </w:rPr>
            </w:pPr>
            <w:r>
              <w:rPr>
                <w:sz w:val="24"/>
              </w:rPr>
              <w:t>Mannitol Sal Agar (medio de cultivo)</w:t>
            </w:r>
          </w:p>
        </w:tc>
      </w:tr>
      <w:tr>
        <w:trPr>
          <w:trHeight w:val="415" w:hRule="exact"/>
        </w:trPr>
        <w:tc>
          <w:tcPr>
            <w:tcW w:w="1940" w:type="dxa"/>
          </w:tcPr>
          <w:p>
            <w:pPr>
              <w:pStyle w:val="TableParagraph"/>
              <w:spacing w:before="57"/>
              <w:ind w:left="200"/>
              <w:jc w:val="left"/>
              <w:rPr>
                <w:sz w:val="24"/>
              </w:rPr>
            </w:pPr>
            <w:r>
              <w:rPr>
                <w:sz w:val="24"/>
              </w:rPr>
              <w:t>MSSA</w:t>
            </w:r>
          </w:p>
        </w:tc>
        <w:tc>
          <w:tcPr>
            <w:tcW w:w="6872" w:type="dxa"/>
          </w:tcPr>
          <w:p>
            <w:pPr>
              <w:pStyle w:val="TableParagraph"/>
              <w:spacing w:before="54"/>
              <w:ind w:left="778"/>
              <w:jc w:val="left"/>
              <w:rPr>
                <w:sz w:val="24"/>
              </w:rPr>
            </w:pPr>
            <w:r>
              <w:rPr>
                <w:i/>
                <w:sz w:val="24"/>
              </w:rPr>
              <w:t>Staphylococcus aureus </w:t>
            </w:r>
            <w:r>
              <w:rPr>
                <w:sz w:val="24"/>
              </w:rPr>
              <w:t>sensible a meticilina</w:t>
            </w:r>
          </w:p>
        </w:tc>
      </w:tr>
      <w:tr>
        <w:trPr>
          <w:trHeight w:val="414" w:hRule="exact"/>
        </w:trPr>
        <w:tc>
          <w:tcPr>
            <w:tcW w:w="1940" w:type="dxa"/>
          </w:tcPr>
          <w:p>
            <w:pPr>
              <w:pStyle w:val="TableParagraph"/>
              <w:spacing w:before="57"/>
              <w:ind w:left="200"/>
              <w:jc w:val="left"/>
              <w:rPr>
                <w:sz w:val="24"/>
              </w:rPr>
            </w:pPr>
            <w:r>
              <w:rPr>
                <w:sz w:val="24"/>
              </w:rPr>
              <w:t>ORF</w:t>
            </w:r>
          </w:p>
        </w:tc>
        <w:tc>
          <w:tcPr>
            <w:tcW w:w="6872" w:type="dxa"/>
          </w:tcPr>
          <w:p>
            <w:pPr>
              <w:pStyle w:val="TableParagraph"/>
              <w:spacing w:before="57"/>
              <w:ind w:left="778"/>
              <w:jc w:val="left"/>
              <w:rPr>
                <w:sz w:val="24"/>
              </w:rPr>
            </w:pPr>
            <w:r>
              <w:rPr>
                <w:sz w:val="24"/>
              </w:rPr>
              <w:t>open reading frame (marco de lectura abierto)</w:t>
            </w:r>
          </w:p>
        </w:tc>
      </w:tr>
      <w:tr>
        <w:trPr>
          <w:trHeight w:val="414" w:hRule="exact"/>
        </w:trPr>
        <w:tc>
          <w:tcPr>
            <w:tcW w:w="1940" w:type="dxa"/>
          </w:tcPr>
          <w:p>
            <w:pPr>
              <w:pStyle w:val="TableParagraph"/>
              <w:spacing w:before="55"/>
              <w:ind w:left="200"/>
              <w:jc w:val="left"/>
              <w:rPr>
                <w:sz w:val="24"/>
              </w:rPr>
            </w:pPr>
            <w:r>
              <w:rPr>
                <w:sz w:val="24"/>
              </w:rPr>
              <w:t>OXA</w:t>
            </w:r>
          </w:p>
        </w:tc>
        <w:tc>
          <w:tcPr>
            <w:tcW w:w="6872" w:type="dxa"/>
          </w:tcPr>
          <w:p>
            <w:pPr>
              <w:pStyle w:val="TableParagraph"/>
              <w:spacing w:before="55"/>
              <w:ind w:left="778"/>
              <w:jc w:val="left"/>
              <w:rPr>
                <w:sz w:val="24"/>
              </w:rPr>
            </w:pPr>
            <w:r>
              <w:rPr>
                <w:sz w:val="24"/>
              </w:rPr>
              <w:t>Oxacilina</w:t>
            </w:r>
          </w:p>
        </w:tc>
      </w:tr>
      <w:tr>
        <w:trPr>
          <w:trHeight w:val="414" w:hRule="exact"/>
        </w:trPr>
        <w:tc>
          <w:tcPr>
            <w:tcW w:w="1940" w:type="dxa"/>
          </w:tcPr>
          <w:p>
            <w:pPr>
              <w:pStyle w:val="TableParagraph"/>
              <w:spacing w:before="57"/>
              <w:ind w:left="200"/>
              <w:jc w:val="left"/>
              <w:rPr>
                <w:sz w:val="24"/>
              </w:rPr>
            </w:pPr>
            <w:r>
              <w:rPr>
                <w:sz w:val="24"/>
              </w:rPr>
              <w:t>pb</w:t>
            </w:r>
          </w:p>
        </w:tc>
        <w:tc>
          <w:tcPr>
            <w:tcW w:w="6872" w:type="dxa"/>
          </w:tcPr>
          <w:p>
            <w:pPr>
              <w:pStyle w:val="TableParagraph"/>
              <w:spacing w:before="57"/>
              <w:ind w:left="778"/>
              <w:jc w:val="left"/>
              <w:rPr>
                <w:sz w:val="24"/>
              </w:rPr>
            </w:pPr>
            <w:r>
              <w:rPr>
                <w:sz w:val="24"/>
              </w:rPr>
              <w:t>Pares de bases</w:t>
            </w:r>
          </w:p>
        </w:tc>
      </w:tr>
      <w:tr>
        <w:trPr>
          <w:trHeight w:val="828" w:hRule="exact"/>
        </w:trPr>
        <w:tc>
          <w:tcPr>
            <w:tcW w:w="1940" w:type="dxa"/>
          </w:tcPr>
          <w:p>
            <w:pPr>
              <w:pStyle w:val="TableParagraph"/>
              <w:spacing w:before="55"/>
              <w:ind w:left="200"/>
              <w:jc w:val="left"/>
              <w:rPr>
                <w:sz w:val="24"/>
              </w:rPr>
            </w:pPr>
            <w:r>
              <w:rPr>
                <w:sz w:val="24"/>
              </w:rPr>
              <w:t>PBP</w:t>
            </w:r>
          </w:p>
        </w:tc>
        <w:tc>
          <w:tcPr>
            <w:tcW w:w="6872" w:type="dxa"/>
          </w:tcPr>
          <w:p>
            <w:pPr>
              <w:pStyle w:val="TableParagraph"/>
              <w:spacing w:line="360" w:lineRule="auto" w:before="55"/>
              <w:ind w:left="778"/>
              <w:jc w:val="left"/>
              <w:rPr>
                <w:sz w:val="24"/>
              </w:rPr>
            </w:pPr>
            <w:r>
              <w:rPr>
                <w:sz w:val="24"/>
              </w:rPr>
              <w:t>Penicillin Binding Protein (proteína de unión a la penicilina)</w:t>
            </w:r>
          </w:p>
        </w:tc>
      </w:tr>
      <w:tr>
        <w:trPr>
          <w:trHeight w:val="828" w:hRule="exact"/>
        </w:trPr>
        <w:tc>
          <w:tcPr>
            <w:tcW w:w="1940" w:type="dxa"/>
          </w:tcPr>
          <w:p>
            <w:pPr>
              <w:pStyle w:val="TableParagraph"/>
              <w:spacing w:before="56"/>
              <w:ind w:left="200"/>
              <w:jc w:val="left"/>
              <w:rPr>
                <w:sz w:val="24"/>
              </w:rPr>
            </w:pPr>
            <w:r>
              <w:rPr>
                <w:sz w:val="24"/>
              </w:rPr>
              <w:t>PCR</w:t>
            </w:r>
          </w:p>
        </w:tc>
        <w:tc>
          <w:tcPr>
            <w:tcW w:w="6872" w:type="dxa"/>
          </w:tcPr>
          <w:p>
            <w:pPr>
              <w:pStyle w:val="TableParagraph"/>
              <w:spacing w:line="360" w:lineRule="auto" w:before="56"/>
              <w:ind w:left="778"/>
              <w:jc w:val="left"/>
              <w:rPr>
                <w:sz w:val="24"/>
              </w:rPr>
            </w:pPr>
            <w:r>
              <w:rPr>
                <w:sz w:val="24"/>
              </w:rPr>
              <w:t>Polymerase Chain Reaction (Reacción en cadena de la polimerasa)</w:t>
            </w:r>
          </w:p>
        </w:tc>
      </w:tr>
      <w:tr>
        <w:trPr>
          <w:trHeight w:val="414" w:hRule="exact"/>
        </w:trPr>
        <w:tc>
          <w:tcPr>
            <w:tcW w:w="1940" w:type="dxa"/>
          </w:tcPr>
          <w:p>
            <w:pPr>
              <w:pStyle w:val="TableParagraph"/>
              <w:spacing w:before="55"/>
              <w:ind w:left="200"/>
              <w:jc w:val="left"/>
              <w:rPr>
                <w:sz w:val="24"/>
              </w:rPr>
            </w:pPr>
            <w:r>
              <w:rPr>
                <w:sz w:val="24"/>
              </w:rPr>
              <w:t>PEN</w:t>
            </w:r>
          </w:p>
        </w:tc>
        <w:tc>
          <w:tcPr>
            <w:tcW w:w="6872" w:type="dxa"/>
          </w:tcPr>
          <w:p>
            <w:pPr>
              <w:pStyle w:val="TableParagraph"/>
              <w:spacing w:before="55"/>
              <w:ind w:left="778"/>
              <w:jc w:val="left"/>
              <w:rPr>
                <w:sz w:val="24"/>
              </w:rPr>
            </w:pPr>
            <w:r>
              <w:rPr>
                <w:sz w:val="24"/>
              </w:rPr>
              <w:t>Penicilina</w:t>
            </w:r>
          </w:p>
        </w:tc>
      </w:tr>
      <w:tr>
        <w:trPr>
          <w:trHeight w:val="414" w:hRule="exact"/>
        </w:trPr>
        <w:tc>
          <w:tcPr>
            <w:tcW w:w="1940" w:type="dxa"/>
          </w:tcPr>
          <w:p>
            <w:pPr>
              <w:pStyle w:val="TableParagraph"/>
              <w:spacing w:before="57"/>
              <w:ind w:left="200"/>
              <w:jc w:val="left"/>
              <w:rPr>
                <w:sz w:val="24"/>
              </w:rPr>
            </w:pPr>
            <w:r>
              <w:rPr>
                <w:sz w:val="24"/>
              </w:rPr>
              <w:t>SCCmec</w:t>
            </w:r>
          </w:p>
        </w:tc>
        <w:tc>
          <w:tcPr>
            <w:tcW w:w="6872" w:type="dxa"/>
          </w:tcPr>
          <w:p>
            <w:pPr>
              <w:pStyle w:val="TableParagraph"/>
              <w:spacing w:before="57"/>
              <w:ind w:left="778"/>
              <w:jc w:val="left"/>
              <w:rPr>
                <w:sz w:val="24"/>
              </w:rPr>
            </w:pPr>
            <w:r>
              <w:rPr>
                <w:sz w:val="24"/>
              </w:rPr>
              <w:t>Casete Cromosómico Estafilocócico del gen mecA</w:t>
            </w:r>
          </w:p>
        </w:tc>
      </w:tr>
      <w:tr>
        <w:trPr>
          <w:trHeight w:val="414" w:hRule="exact"/>
        </w:trPr>
        <w:tc>
          <w:tcPr>
            <w:tcW w:w="1940" w:type="dxa"/>
          </w:tcPr>
          <w:p>
            <w:pPr>
              <w:pStyle w:val="TableParagraph"/>
              <w:spacing w:before="55"/>
              <w:ind w:left="200"/>
              <w:jc w:val="left"/>
              <w:rPr>
                <w:sz w:val="24"/>
              </w:rPr>
            </w:pPr>
            <w:r>
              <w:rPr>
                <w:sz w:val="24"/>
              </w:rPr>
              <w:t>SCN</w:t>
            </w:r>
          </w:p>
        </w:tc>
        <w:tc>
          <w:tcPr>
            <w:tcW w:w="6872" w:type="dxa"/>
          </w:tcPr>
          <w:p>
            <w:pPr>
              <w:pStyle w:val="TableParagraph"/>
              <w:spacing w:before="55"/>
              <w:ind w:left="778"/>
              <w:jc w:val="left"/>
              <w:rPr>
                <w:sz w:val="24"/>
              </w:rPr>
            </w:pPr>
            <w:r>
              <w:rPr>
                <w:sz w:val="24"/>
              </w:rPr>
              <w:t>Staphylococcus coagulasa negativos</w:t>
            </w:r>
          </w:p>
        </w:tc>
      </w:tr>
      <w:tr>
        <w:trPr>
          <w:trHeight w:val="414" w:hRule="exact"/>
        </w:trPr>
        <w:tc>
          <w:tcPr>
            <w:tcW w:w="1940" w:type="dxa"/>
          </w:tcPr>
          <w:p>
            <w:pPr>
              <w:pStyle w:val="TableParagraph"/>
              <w:spacing w:before="57"/>
              <w:ind w:left="200"/>
              <w:jc w:val="left"/>
              <w:rPr>
                <w:sz w:val="24"/>
              </w:rPr>
            </w:pPr>
            <w:r>
              <w:rPr>
                <w:sz w:val="24"/>
              </w:rPr>
              <w:t>SCP</w:t>
            </w:r>
          </w:p>
        </w:tc>
        <w:tc>
          <w:tcPr>
            <w:tcW w:w="6872" w:type="dxa"/>
          </w:tcPr>
          <w:p>
            <w:pPr>
              <w:pStyle w:val="TableParagraph"/>
              <w:spacing w:before="57"/>
              <w:ind w:left="778"/>
              <w:jc w:val="left"/>
              <w:rPr>
                <w:sz w:val="24"/>
              </w:rPr>
            </w:pPr>
            <w:r>
              <w:rPr>
                <w:sz w:val="24"/>
              </w:rPr>
              <w:t>Staphylococcus coagulasa positivos</w:t>
            </w:r>
          </w:p>
        </w:tc>
      </w:tr>
      <w:tr>
        <w:trPr>
          <w:trHeight w:val="414" w:hRule="exact"/>
        </w:trPr>
        <w:tc>
          <w:tcPr>
            <w:tcW w:w="1940" w:type="dxa"/>
          </w:tcPr>
          <w:p>
            <w:pPr>
              <w:pStyle w:val="TableParagraph"/>
              <w:spacing w:before="55"/>
              <w:ind w:left="200"/>
              <w:jc w:val="left"/>
              <w:rPr>
                <w:sz w:val="24"/>
              </w:rPr>
            </w:pPr>
            <w:r>
              <w:rPr>
                <w:w w:val="100"/>
                <w:sz w:val="24"/>
              </w:rPr>
              <w:t>T</w:t>
            </w:r>
          </w:p>
        </w:tc>
        <w:tc>
          <w:tcPr>
            <w:tcW w:w="6872" w:type="dxa"/>
          </w:tcPr>
          <w:p>
            <w:pPr>
              <w:pStyle w:val="TableParagraph"/>
              <w:spacing w:before="55"/>
              <w:ind w:left="778"/>
              <w:jc w:val="left"/>
              <w:rPr>
                <w:sz w:val="24"/>
              </w:rPr>
            </w:pPr>
            <w:r>
              <w:rPr>
                <w:sz w:val="24"/>
              </w:rPr>
              <w:t>Timina</w:t>
            </w:r>
          </w:p>
        </w:tc>
      </w:tr>
      <w:tr>
        <w:trPr>
          <w:trHeight w:val="328" w:hRule="exact"/>
        </w:trPr>
        <w:tc>
          <w:tcPr>
            <w:tcW w:w="1940" w:type="dxa"/>
          </w:tcPr>
          <w:p>
            <w:pPr>
              <w:pStyle w:val="TableParagraph"/>
              <w:spacing w:before="57"/>
              <w:ind w:left="200"/>
              <w:jc w:val="left"/>
              <w:rPr>
                <w:sz w:val="24"/>
              </w:rPr>
            </w:pPr>
            <w:r>
              <w:rPr>
                <w:sz w:val="24"/>
              </w:rPr>
              <w:t>TSST</w:t>
            </w:r>
          </w:p>
        </w:tc>
        <w:tc>
          <w:tcPr>
            <w:tcW w:w="6872" w:type="dxa"/>
          </w:tcPr>
          <w:p>
            <w:pPr>
              <w:pStyle w:val="TableParagraph"/>
              <w:spacing w:before="57"/>
              <w:ind w:left="778"/>
              <w:jc w:val="left"/>
              <w:rPr>
                <w:sz w:val="24"/>
              </w:rPr>
            </w:pPr>
            <w:r>
              <w:rPr>
                <w:sz w:val="24"/>
              </w:rPr>
              <w:t>Toxina del Síndrome de Shock Toxico</w:t>
            </w:r>
          </w:p>
        </w:tc>
      </w:tr>
    </w:tbl>
    <w:p>
      <w:pPr>
        <w:spacing w:after="0"/>
        <w:jc w:val="left"/>
        <w:rPr>
          <w:sz w:val="24"/>
        </w:rPr>
        <w:sectPr>
          <w:footerReference w:type="default" r:id="rId8"/>
          <w:pgSz w:w="12240" w:h="15840"/>
          <w:pgMar w:footer="1326" w:header="0" w:top="1500" w:bottom="1520" w:left="1680" w:right="1420"/>
          <w:pgNumType w:start="11"/>
        </w:sectPr>
      </w:pPr>
    </w:p>
    <w:p>
      <w:pPr>
        <w:pStyle w:val="BodyText"/>
        <w:spacing w:before="7"/>
        <w:rPr>
          <w:rFonts w:ascii="Times New Roman"/>
          <w:sz w:val="21"/>
        </w:rPr>
      </w:pPr>
    </w:p>
    <w:p>
      <w:pPr>
        <w:pStyle w:val="Heading1"/>
        <w:ind w:right="251"/>
        <w:jc w:val="center"/>
      </w:pPr>
      <w:bookmarkStart w:name="_bookmark3" w:id="4"/>
      <w:bookmarkEnd w:id="4"/>
      <w:r>
        <w:rPr>
          <w:b w:val="0"/>
        </w:rPr>
      </w:r>
      <w:r>
        <w:rPr/>
        <w:t>RESUMEN</w:t>
      </w:r>
    </w:p>
    <w:p>
      <w:pPr>
        <w:spacing w:before="48"/>
        <w:ind w:left="181" w:right="137" w:hanging="4"/>
        <w:jc w:val="center"/>
        <w:rPr>
          <w:b/>
          <w:sz w:val="24"/>
        </w:rPr>
      </w:pPr>
      <w:r>
        <w:rPr>
          <w:b/>
          <w:sz w:val="24"/>
        </w:rPr>
        <w:t>Calidad de la carne y contaminación microbiologica por </w:t>
      </w:r>
      <w:r>
        <w:rPr>
          <w:b/>
          <w:i/>
          <w:sz w:val="24"/>
        </w:rPr>
        <w:t>Staphylococcus </w:t>
      </w:r>
      <w:r>
        <w:rPr>
          <w:b/>
          <w:i/>
          <w:sz w:val="24"/>
        </w:rPr>
        <w:t>aureus </w:t>
      </w:r>
      <w:r>
        <w:rPr>
          <w:b/>
          <w:sz w:val="24"/>
        </w:rPr>
        <w:t>meticilica resistentes en canales de conejos (</w:t>
      </w:r>
      <w:r>
        <w:rPr>
          <w:b/>
          <w:i/>
          <w:sz w:val="24"/>
        </w:rPr>
        <w:t>Oryctolagus cuniculus</w:t>
      </w:r>
      <w:r>
        <w:rPr>
          <w:b/>
          <w:sz w:val="24"/>
        </w:rPr>
        <w:t>) procedentes de unidades de produccion familiar del Valle de Toluca</w:t>
      </w:r>
    </w:p>
    <w:p>
      <w:pPr>
        <w:pStyle w:val="BodyText"/>
        <w:spacing w:before="1"/>
        <w:rPr>
          <w:b/>
          <w:sz w:val="20"/>
        </w:rPr>
      </w:pPr>
    </w:p>
    <w:p>
      <w:pPr>
        <w:spacing w:line="229" w:lineRule="exact" w:before="1"/>
        <w:ind w:left="291" w:right="251" w:firstLine="0"/>
        <w:jc w:val="center"/>
        <w:rPr>
          <w:sz w:val="20"/>
        </w:rPr>
      </w:pPr>
      <w:r>
        <w:rPr>
          <w:sz w:val="20"/>
        </w:rPr>
        <w:t>RODRIGUEZ CJL, VALLADARES CB,  DOMINGUEZ VIA, VELAZQUEZ OV.</w:t>
      </w:r>
    </w:p>
    <w:p>
      <w:pPr>
        <w:spacing w:line="275" w:lineRule="exact" w:before="0"/>
        <w:ind w:left="291" w:right="248" w:firstLine="0"/>
        <w:jc w:val="center"/>
        <w:rPr>
          <w:sz w:val="24"/>
        </w:rPr>
      </w:pPr>
      <w:r>
        <w:rPr>
          <w:sz w:val="24"/>
        </w:rPr>
        <w:t>Palabras clave: calidad, contamiancion, </w:t>
      </w:r>
      <w:r>
        <w:rPr>
          <w:i/>
          <w:sz w:val="24"/>
        </w:rPr>
        <w:t>Staphylococcus aureus</w:t>
      </w:r>
      <w:r>
        <w:rPr>
          <w:sz w:val="24"/>
        </w:rPr>
        <w:t>, conejo</w:t>
      </w:r>
    </w:p>
    <w:p>
      <w:pPr>
        <w:pStyle w:val="BodyText"/>
      </w:pPr>
    </w:p>
    <w:p>
      <w:pPr>
        <w:pStyle w:val="BodyText"/>
      </w:pPr>
    </w:p>
    <w:p>
      <w:pPr>
        <w:pStyle w:val="BodyText"/>
        <w:spacing w:before="6"/>
        <w:rPr>
          <w:sz w:val="26"/>
        </w:rPr>
      </w:pPr>
    </w:p>
    <w:p>
      <w:pPr>
        <w:pStyle w:val="BodyText"/>
        <w:spacing w:line="360" w:lineRule="auto"/>
        <w:ind w:left="152" w:right="104"/>
        <w:jc w:val="both"/>
      </w:pPr>
      <w:r>
        <w:rPr/>
        <w:t>La</w:t>
      </w:r>
      <w:r>
        <w:rPr>
          <w:spacing w:val="-6"/>
        </w:rPr>
        <w:t> </w:t>
      </w:r>
      <w:r>
        <w:rPr/>
        <w:t>estrecha</w:t>
      </w:r>
      <w:r>
        <w:rPr>
          <w:spacing w:val="-6"/>
        </w:rPr>
        <w:t> </w:t>
      </w:r>
      <w:r>
        <w:rPr/>
        <w:t>relación</w:t>
      </w:r>
      <w:r>
        <w:rPr>
          <w:spacing w:val="-6"/>
        </w:rPr>
        <w:t> </w:t>
      </w:r>
      <w:r>
        <w:rPr/>
        <w:t>entre</w:t>
      </w:r>
      <w:r>
        <w:rPr>
          <w:spacing w:val="-6"/>
        </w:rPr>
        <w:t> </w:t>
      </w:r>
      <w:r>
        <w:rPr/>
        <w:t>la</w:t>
      </w:r>
      <w:r>
        <w:rPr>
          <w:spacing w:val="-6"/>
        </w:rPr>
        <w:t> </w:t>
      </w:r>
      <w:r>
        <w:rPr/>
        <w:t>dieta</w:t>
      </w:r>
      <w:r>
        <w:rPr>
          <w:spacing w:val="-6"/>
        </w:rPr>
        <w:t> </w:t>
      </w:r>
      <w:r>
        <w:rPr/>
        <w:t>y</w:t>
      </w:r>
      <w:r>
        <w:rPr>
          <w:spacing w:val="-9"/>
        </w:rPr>
        <w:t> </w:t>
      </w:r>
      <w:r>
        <w:rPr/>
        <w:t>la</w:t>
      </w:r>
      <w:r>
        <w:rPr>
          <w:spacing w:val="-6"/>
        </w:rPr>
        <w:t> </w:t>
      </w:r>
      <w:r>
        <w:rPr/>
        <w:t>salud</w:t>
      </w:r>
      <w:r>
        <w:rPr>
          <w:spacing w:val="-6"/>
        </w:rPr>
        <w:t> </w:t>
      </w:r>
      <w:r>
        <w:rPr/>
        <w:t>ha</w:t>
      </w:r>
      <w:r>
        <w:rPr>
          <w:spacing w:val="-6"/>
        </w:rPr>
        <w:t> </w:t>
      </w:r>
      <w:r>
        <w:rPr/>
        <w:t>conducido</w:t>
      </w:r>
      <w:r>
        <w:rPr>
          <w:spacing w:val="-6"/>
        </w:rPr>
        <w:t> </w:t>
      </w:r>
      <w:r>
        <w:rPr/>
        <w:t>a</w:t>
      </w:r>
      <w:r>
        <w:rPr>
          <w:spacing w:val="-6"/>
        </w:rPr>
        <w:t> </w:t>
      </w:r>
      <w:r>
        <w:rPr/>
        <w:t>cambios</w:t>
      </w:r>
      <w:r>
        <w:rPr>
          <w:spacing w:val="-7"/>
        </w:rPr>
        <w:t> </w:t>
      </w:r>
      <w:r>
        <w:rPr/>
        <w:t>en</w:t>
      </w:r>
      <w:r>
        <w:rPr>
          <w:spacing w:val="-6"/>
        </w:rPr>
        <w:t> </w:t>
      </w:r>
      <w:r>
        <w:rPr/>
        <w:t>los</w:t>
      </w:r>
      <w:r>
        <w:rPr>
          <w:spacing w:val="-6"/>
        </w:rPr>
        <w:t> </w:t>
      </w:r>
      <w:r>
        <w:rPr/>
        <w:t>hábitos del consumidor. En este contexto, la carne de conejo es muy valorada por sus propiedades nutricionales y dietéticas. Por las características que tiene la carne es un buen sustrato para la contaminación cruzada. El </w:t>
      </w:r>
      <w:r>
        <w:rPr>
          <w:i/>
        </w:rPr>
        <w:t>S. aureus </w:t>
      </w:r>
      <w:r>
        <w:rPr/>
        <w:t>es un patógeno </w:t>
      </w:r>
      <w:r>
        <w:rPr>
          <w:spacing w:val="-2"/>
        </w:rPr>
        <w:t>que </w:t>
      </w:r>
      <w:r>
        <w:rPr/>
        <w:t>afecta a humanos y animales. En los conejos puede causar mastitis, dermatitis exudativa, abscesos subcutáneos y septicemias. El uso indiscriminado de antibióticos como tratamiento a permitido que se desarrollen bacterias multiresistentes como el </w:t>
      </w:r>
      <w:r>
        <w:rPr>
          <w:i/>
        </w:rPr>
        <w:t>Staphylococcus aureus </w:t>
      </w:r>
      <w:r>
        <w:rPr/>
        <w:t>Meticilian Resistente (MRSA). El objetivo del estudio fue determinar la calidad de la carne y la evaluación de la contamiancion por MRSA en canales de conejo en el Valle de Toluca. En el presente</w:t>
      </w:r>
      <w:r>
        <w:rPr>
          <w:spacing w:val="-9"/>
        </w:rPr>
        <w:t> </w:t>
      </w:r>
      <w:r>
        <w:rPr/>
        <w:t>trabajo</w:t>
      </w:r>
      <w:r>
        <w:rPr>
          <w:spacing w:val="-10"/>
        </w:rPr>
        <w:t> </w:t>
      </w:r>
      <w:r>
        <w:rPr/>
        <w:t>de</w:t>
      </w:r>
      <w:r>
        <w:rPr>
          <w:spacing w:val="-9"/>
        </w:rPr>
        <w:t> </w:t>
      </w:r>
      <w:r>
        <w:rPr/>
        <w:t>investigación</w:t>
      </w:r>
      <w:r>
        <w:rPr>
          <w:spacing w:val="-7"/>
        </w:rPr>
        <w:t> </w:t>
      </w:r>
      <w:r>
        <w:rPr/>
        <w:t>se</w:t>
      </w:r>
      <w:r>
        <w:rPr>
          <w:spacing w:val="-9"/>
        </w:rPr>
        <w:t> </w:t>
      </w:r>
      <w:r>
        <w:rPr/>
        <w:t>estudiaron</w:t>
      </w:r>
      <w:r>
        <w:rPr>
          <w:spacing w:val="-9"/>
        </w:rPr>
        <w:t> </w:t>
      </w:r>
      <w:r>
        <w:rPr/>
        <w:t>210</w:t>
      </w:r>
      <w:r>
        <w:rPr>
          <w:spacing w:val="-9"/>
        </w:rPr>
        <w:t> </w:t>
      </w:r>
      <w:r>
        <w:rPr/>
        <w:t>canales</w:t>
      </w:r>
      <w:r>
        <w:rPr>
          <w:spacing w:val="-10"/>
        </w:rPr>
        <w:t> </w:t>
      </w:r>
      <w:r>
        <w:rPr/>
        <w:t>de</w:t>
      </w:r>
      <w:r>
        <w:rPr>
          <w:spacing w:val="-9"/>
        </w:rPr>
        <w:t> </w:t>
      </w:r>
      <w:r>
        <w:rPr/>
        <w:t>conejos</w:t>
      </w:r>
      <w:r>
        <w:rPr>
          <w:spacing w:val="-10"/>
        </w:rPr>
        <w:t> </w:t>
      </w:r>
      <w:r>
        <w:rPr/>
        <w:t>distribuidos en 30 granjas cuniculas en el Valle de Toluca. El análisis químico de la carne se realizó por pruebas bromatológicas, la identificación del MRSA por tamizado de pruebas bioquímicas y PCR amplificando el gen f</w:t>
      </w:r>
      <w:r>
        <w:rPr>
          <w:i/>
        </w:rPr>
        <w:t>emb</w:t>
      </w:r>
      <w:r>
        <w:rPr/>
        <w:t>. La resistencia a los antibióticos</w:t>
      </w:r>
      <w:r>
        <w:rPr>
          <w:spacing w:val="-12"/>
        </w:rPr>
        <w:t> </w:t>
      </w:r>
      <w:r>
        <w:rPr/>
        <w:t>β-lactamicos</w:t>
      </w:r>
      <w:r>
        <w:rPr>
          <w:spacing w:val="-12"/>
        </w:rPr>
        <w:t> </w:t>
      </w:r>
      <w:r>
        <w:rPr/>
        <w:t>se</w:t>
      </w:r>
      <w:r>
        <w:rPr>
          <w:spacing w:val="-9"/>
        </w:rPr>
        <w:t> </w:t>
      </w:r>
      <w:r>
        <w:rPr/>
        <w:t>realizó</w:t>
      </w:r>
      <w:r>
        <w:rPr>
          <w:spacing w:val="-10"/>
        </w:rPr>
        <w:t> </w:t>
      </w:r>
      <w:r>
        <w:rPr/>
        <w:t>por</w:t>
      </w:r>
      <w:r>
        <w:rPr>
          <w:spacing w:val="-12"/>
        </w:rPr>
        <w:t> </w:t>
      </w:r>
      <w:r>
        <w:rPr/>
        <w:t>sensibilidad</w:t>
      </w:r>
      <w:r>
        <w:rPr>
          <w:spacing w:val="-9"/>
        </w:rPr>
        <w:t> </w:t>
      </w:r>
      <w:r>
        <w:rPr>
          <w:i/>
        </w:rPr>
        <w:t>in</w:t>
      </w:r>
      <w:r>
        <w:rPr>
          <w:i/>
          <w:spacing w:val="-11"/>
        </w:rPr>
        <w:t> </w:t>
      </w:r>
      <w:r>
        <w:rPr>
          <w:i/>
        </w:rPr>
        <w:t>vitro</w:t>
      </w:r>
      <w:r>
        <w:rPr>
          <w:i/>
          <w:spacing w:val="-11"/>
        </w:rPr>
        <w:t> </w:t>
      </w:r>
      <w:r>
        <w:rPr/>
        <w:t>y</w:t>
      </w:r>
      <w:r>
        <w:rPr>
          <w:spacing w:val="-14"/>
        </w:rPr>
        <w:t> </w:t>
      </w:r>
      <w:r>
        <w:rPr/>
        <w:t>por</w:t>
      </w:r>
      <w:r>
        <w:rPr>
          <w:spacing w:val="-12"/>
        </w:rPr>
        <w:t> </w:t>
      </w:r>
      <w:r>
        <w:rPr/>
        <w:t>la</w:t>
      </w:r>
      <w:r>
        <w:rPr>
          <w:spacing w:val="-11"/>
        </w:rPr>
        <w:t> </w:t>
      </w:r>
      <w:r>
        <w:rPr/>
        <w:t>amplificación</w:t>
      </w:r>
      <w:r>
        <w:rPr>
          <w:spacing w:val="-11"/>
        </w:rPr>
        <w:t> </w:t>
      </w:r>
      <w:r>
        <w:rPr/>
        <w:t>por PCR</w:t>
      </w:r>
      <w:r>
        <w:rPr>
          <w:spacing w:val="-14"/>
        </w:rPr>
        <w:t> </w:t>
      </w:r>
      <w:r>
        <w:rPr/>
        <w:t>del</w:t>
      </w:r>
      <w:r>
        <w:rPr>
          <w:spacing w:val="-15"/>
        </w:rPr>
        <w:t> </w:t>
      </w:r>
      <w:r>
        <w:rPr/>
        <w:t>gen</w:t>
      </w:r>
      <w:r>
        <w:rPr>
          <w:spacing w:val="-11"/>
        </w:rPr>
        <w:t> </w:t>
      </w:r>
      <w:r>
        <w:rPr>
          <w:i/>
        </w:rPr>
        <w:t>mecA.</w:t>
      </w:r>
      <w:r>
        <w:rPr>
          <w:i/>
          <w:spacing w:val="-14"/>
        </w:rPr>
        <w:t> </w:t>
      </w:r>
      <w:r>
        <w:rPr/>
        <w:t>Los</w:t>
      </w:r>
      <w:r>
        <w:rPr>
          <w:spacing w:val="-13"/>
        </w:rPr>
        <w:t> </w:t>
      </w:r>
      <w:r>
        <w:rPr/>
        <w:t>resultados</w:t>
      </w:r>
      <w:r>
        <w:rPr>
          <w:spacing w:val="-15"/>
        </w:rPr>
        <w:t> </w:t>
      </w:r>
      <w:r>
        <w:rPr/>
        <w:t>de</w:t>
      </w:r>
      <w:r>
        <w:rPr>
          <w:spacing w:val="-12"/>
        </w:rPr>
        <w:t> </w:t>
      </w:r>
      <w:r>
        <w:rPr/>
        <w:t>la</w:t>
      </w:r>
      <w:r>
        <w:rPr>
          <w:spacing w:val="-14"/>
        </w:rPr>
        <w:t> </w:t>
      </w:r>
      <w:r>
        <w:rPr/>
        <w:t>prueba</w:t>
      </w:r>
      <w:r>
        <w:rPr>
          <w:spacing w:val="-14"/>
        </w:rPr>
        <w:t> </w:t>
      </w:r>
      <w:r>
        <w:rPr/>
        <w:t>bromatológica</w:t>
      </w:r>
      <w:r>
        <w:rPr>
          <w:spacing w:val="-14"/>
        </w:rPr>
        <w:t> </w:t>
      </w:r>
      <w:r>
        <w:rPr/>
        <w:t>fueron:</w:t>
      </w:r>
      <w:r>
        <w:rPr>
          <w:spacing w:val="-14"/>
        </w:rPr>
        <w:t> </w:t>
      </w:r>
      <w:r>
        <w:rPr/>
        <w:t>materia</w:t>
      </w:r>
      <w:r>
        <w:rPr>
          <w:spacing w:val="-12"/>
        </w:rPr>
        <w:t> </w:t>
      </w:r>
      <w:r>
        <w:rPr/>
        <w:t>seca 26.21±1.25%, humedad 73.79±1.25, proteína 22.17±1.11, grasa 3.09±0.83 y cenizas</w:t>
      </w:r>
      <w:r>
        <w:rPr>
          <w:spacing w:val="-8"/>
        </w:rPr>
        <w:t> </w:t>
      </w:r>
      <w:r>
        <w:rPr/>
        <w:t>1.12±0.47.</w:t>
      </w:r>
      <w:r>
        <w:rPr>
          <w:spacing w:val="-10"/>
        </w:rPr>
        <w:t> </w:t>
      </w:r>
      <w:r>
        <w:rPr/>
        <w:t>La</w:t>
      </w:r>
      <w:r>
        <w:rPr>
          <w:spacing w:val="-4"/>
        </w:rPr>
        <w:t> </w:t>
      </w:r>
      <w:r>
        <w:rPr/>
        <w:t>identificación</w:t>
      </w:r>
      <w:r>
        <w:rPr>
          <w:spacing w:val="-10"/>
        </w:rPr>
        <w:t> </w:t>
      </w:r>
      <w:r>
        <w:rPr/>
        <w:t>fenotípica</w:t>
      </w:r>
      <w:r>
        <w:rPr>
          <w:spacing w:val="-10"/>
        </w:rPr>
        <w:t> </w:t>
      </w:r>
      <w:r>
        <w:rPr/>
        <w:t>y</w:t>
      </w:r>
      <w:r>
        <w:rPr>
          <w:spacing w:val="-10"/>
        </w:rPr>
        <w:t> </w:t>
      </w:r>
      <w:r>
        <w:rPr/>
        <w:t>genotípica</w:t>
      </w:r>
      <w:r>
        <w:rPr>
          <w:spacing w:val="-7"/>
        </w:rPr>
        <w:t> </w:t>
      </w:r>
      <w:r>
        <w:rPr/>
        <w:t>del</w:t>
      </w:r>
      <w:r>
        <w:rPr>
          <w:spacing w:val="-8"/>
        </w:rPr>
        <w:t> </w:t>
      </w:r>
      <w:r>
        <w:rPr/>
        <w:t>MRSA</w:t>
      </w:r>
      <w:r>
        <w:rPr>
          <w:spacing w:val="-10"/>
        </w:rPr>
        <w:t> </w:t>
      </w:r>
      <w:r>
        <w:rPr/>
        <w:t>fue</w:t>
      </w:r>
      <w:r>
        <w:rPr>
          <w:spacing w:val="-9"/>
        </w:rPr>
        <w:t> </w:t>
      </w:r>
      <w:r>
        <w:rPr/>
        <w:t>de</w:t>
      </w:r>
      <w:r>
        <w:rPr>
          <w:spacing w:val="-9"/>
        </w:rPr>
        <w:t> </w:t>
      </w:r>
      <w:r>
        <w:rPr/>
        <w:t>0.95% en canales de conejo. En conclusión, se determinaron los valores nutrimentales de la carne de conejo y la identificación del MRSA. Este estudio aporta información</w:t>
      </w:r>
      <w:r>
        <w:rPr>
          <w:spacing w:val="-30"/>
        </w:rPr>
        <w:t> </w:t>
      </w:r>
      <w:r>
        <w:rPr/>
        <w:t>de la cunicultura y la identificación de MRSA en unidades de producción cunicula del Valle de</w:t>
      </w:r>
      <w:r>
        <w:rPr>
          <w:spacing w:val="-6"/>
        </w:rPr>
        <w:t> </w:t>
      </w:r>
      <w:r>
        <w:rPr/>
        <w:t>Toluca.</w:t>
      </w:r>
    </w:p>
    <w:p>
      <w:pPr>
        <w:spacing w:after="0" w:line="360" w:lineRule="auto"/>
        <w:jc w:val="both"/>
        <w:sectPr>
          <w:pgSz w:w="12240" w:h="15840"/>
          <w:pgMar w:header="0" w:footer="1326" w:top="1500" w:bottom="1520" w:left="1720" w:right="1420"/>
        </w:sectPr>
      </w:pPr>
    </w:p>
    <w:p>
      <w:pPr>
        <w:pStyle w:val="BodyText"/>
        <w:spacing w:before="7"/>
        <w:rPr>
          <w:sz w:val="21"/>
        </w:rPr>
      </w:pPr>
    </w:p>
    <w:p>
      <w:pPr>
        <w:pStyle w:val="Heading1"/>
        <w:ind w:right="249"/>
        <w:jc w:val="center"/>
      </w:pPr>
      <w:bookmarkStart w:name="_bookmark4" w:id="5"/>
      <w:bookmarkEnd w:id="5"/>
      <w:r>
        <w:rPr>
          <w:b w:val="0"/>
        </w:rPr>
      </w:r>
      <w:r>
        <w:rPr/>
        <w:t>ABSTRACT</w:t>
      </w:r>
    </w:p>
    <w:p>
      <w:pPr>
        <w:spacing w:before="48"/>
        <w:ind w:left="421" w:right="378" w:hanging="4"/>
        <w:jc w:val="center"/>
        <w:rPr>
          <w:b/>
          <w:sz w:val="24"/>
        </w:rPr>
      </w:pPr>
      <w:r>
        <w:rPr>
          <w:b/>
          <w:sz w:val="24"/>
        </w:rPr>
        <w:t>Meat Quality and microbiological contamination Methicillin Resistant </w:t>
      </w:r>
      <w:r>
        <w:rPr>
          <w:b/>
          <w:i/>
          <w:sz w:val="24"/>
        </w:rPr>
        <w:t>Staphylococcus aureus </w:t>
      </w:r>
      <w:r>
        <w:rPr>
          <w:b/>
          <w:sz w:val="24"/>
        </w:rPr>
        <w:t>in carcass Rabbits (</w:t>
      </w:r>
      <w:r>
        <w:rPr>
          <w:b/>
          <w:i/>
          <w:sz w:val="24"/>
        </w:rPr>
        <w:t>Oryctolagus cuniculus</w:t>
      </w:r>
      <w:r>
        <w:rPr>
          <w:b/>
          <w:sz w:val="24"/>
        </w:rPr>
        <w:t>) from Family Production Units Toluca Valley</w:t>
      </w:r>
    </w:p>
    <w:p>
      <w:pPr>
        <w:spacing w:line="229" w:lineRule="exact" w:before="0"/>
        <w:ind w:left="289" w:right="251" w:firstLine="0"/>
        <w:jc w:val="center"/>
        <w:rPr>
          <w:b/>
          <w:sz w:val="20"/>
        </w:rPr>
      </w:pPr>
      <w:r>
        <w:rPr>
          <w:b/>
          <w:sz w:val="20"/>
        </w:rPr>
        <w:t>RODRIGUEZ CJL, VALLADARES CB,  DOMINGUEZ VIA, VELAZQUEZ OV</w:t>
      </w:r>
    </w:p>
    <w:p>
      <w:pPr>
        <w:pStyle w:val="BodyText"/>
        <w:rPr>
          <w:b/>
          <w:sz w:val="20"/>
        </w:rPr>
      </w:pPr>
    </w:p>
    <w:p>
      <w:pPr>
        <w:pStyle w:val="BodyText"/>
        <w:spacing w:before="11"/>
        <w:rPr>
          <w:b/>
        </w:rPr>
      </w:pPr>
    </w:p>
    <w:p>
      <w:pPr>
        <w:spacing w:before="0"/>
        <w:ind w:left="152" w:right="0" w:firstLine="0"/>
        <w:jc w:val="both"/>
        <w:rPr>
          <w:sz w:val="24"/>
        </w:rPr>
      </w:pPr>
      <w:r>
        <w:rPr>
          <w:sz w:val="24"/>
        </w:rPr>
        <w:t>Key words: quality, pollution, </w:t>
      </w:r>
      <w:r>
        <w:rPr>
          <w:i/>
          <w:sz w:val="24"/>
        </w:rPr>
        <w:t>Staphylococcus aureus</w:t>
      </w:r>
      <w:r>
        <w:rPr>
          <w:sz w:val="24"/>
        </w:rPr>
        <w:t>, rabbit</w:t>
      </w:r>
    </w:p>
    <w:p>
      <w:pPr>
        <w:pStyle w:val="BodyText"/>
        <w:spacing w:before="3"/>
        <w:rPr>
          <w:sz w:val="21"/>
        </w:rPr>
      </w:pPr>
    </w:p>
    <w:p>
      <w:pPr>
        <w:pStyle w:val="BodyText"/>
        <w:spacing w:line="360" w:lineRule="auto"/>
        <w:ind w:left="152" w:right="105"/>
        <w:jc w:val="both"/>
      </w:pPr>
      <w:r>
        <w:rPr/>
        <w:t>The close relationship between diet and health has led to changes in consumer habits. In this context, rabbit meat is highly valued for its nutritional properties and diet. For the meat characteristics it is considered a good substrate for the contamination crusade. The </w:t>
      </w:r>
      <w:r>
        <w:rPr>
          <w:i/>
        </w:rPr>
        <w:t>S. aureus </w:t>
      </w:r>
      <w:r>
        <w:rPr/>
        <w:t>is a pathogen that affects humans and animals. In rabbits can cause mastitis, exudative dermatitis, subcutaneous abscesses and septicemia. The indiscriminate use of antibiotics as treatment has permitted the development of multi-resistant bacteria such as Methicillin-Resistant </w:t>
      </w:r>
      <w:r>
        <w:rPr>
          <w:i/>
        </w:rPr>
        <w:t>Staphylococcus aureus </w:t>
      </w:r>
      <w:r>
        <w:rPr/>
        <w:t>(MRSA). The objective of the study was to determine the meat quality and to evaluate its contamination by MRSA in rabbit carcass in the Valley of Toluca. In the present work of research they were studied 210 rabbits carcass were studied distributed in 30 farms in the Valley of Toluca. The chemical analysis of the meat is carried out by evidence qualitative characteristics, the identification</w:t>
      </w:r>
      <w:r>
        <w:rPr>
          <w:spacing w:val="-6"/>
        </w:rPr>
        <w:t> </w:t>
      </w:r>
      <w:r>
        <w:rPr/>
        <w:t>of</w:t>
      </w:r>
      <w:r>
        <w:rPr>
          <w:spacing w:val="-6"/>
        </w:rPr>
        <w:t> </w:t>
      </w:r>
      <w:r>
        <w:rPr/>
        <w:t>MRSA</w:t>
      </w:r>
      <w:r>
        <w:rPr>
          <w:spacing w:val="-8"/>
        </w:rPr>
        <w:t> </w:t>
      </w:r>
      <w:r>
        <w:rPr/>
        <w:t>by</w:t>
      </w:r>
      <w:r>
        <w:rPr>
          <w:spacing w:val="-9"/>
        </w:rPr>
        <w:t> </w:t>
      </w:r>
      <w:r>
        <w:rPr/>
        <w:t>biochemical</w:t>
      </w:r>
      <w:r>
        <w:rPr>
          <w:spacing w:val="-7"/>
        </w:rPr>
        <w:t> </w:t>
      </w:r>
      <w:r>
        <w:rPr/>
        <w:t>screening</w:t>
      </w:r>
      <w:r>
        <w:rPr>
          <w:spacing w:val="-7"/>
        </w:rPr>
        <w:t> </w:t>
      </w:r>
      <w:r>
        <w:rPr/>
        <w:t>tests</w:t>
      </w:r>
      <w:r>
        <w:rPr>
          <w:spacing w:val="-6"/>
        </w:rPr>
        <w:t> </w:t>
      </w:r>
      <w:r>
        <w:rPr/>
        <w:t>and</w:t>
      </w:r>
      <w:r>
        <w:rPr>
          <w:spacing w:val="-6"/>
        </w:rPr>
        <w:t> </w:t>
      </w:r>
      <w:r>
        <w:rPr/>
        <w:t>PCR</w:t>
      </w:r>
      <w:r>
        <w:rPr>
          <w:spacing w:val="-8"/>
        </w:rPr>
        <w:t> </w:t>
      </w:r>
      <w:r>
        <w:rPr/>
        <w:t>amplifying</w:t>
      </w:r>
      <w:r>
        <w:rPr>
          <w:spacing w:val="-8"/>
        </w:rPr>
        <w:t> </w:t>
      </w:r>
      <w:r>
        <w:rPr/>
        <w:t>the</w:t>
      </w:r>
      <w:r>
        <w:rPr>
          <w:spacing w:val="-6"/>
        </w:rPr>
        <w:t> </w:t>
      </w:r>
      <w:r>
        <w:rPr/>
        <w:t>gene fe</w:t>
      </w:r>
      <w:r>
        <w:rPr>
          <w:i/>
        </w:rPr>
        <w:t>mb</w:t>
      </w:r>
      <w:r>
        <w:rPr/>
        <w:t>. The resistance to β-lactam antibiotics was made by in vitro sensitivity and by PCR amplification of the </w:t>
      </w:r>
      <w:r>
        <w:rPr>
          <w:i/>
        </w:rPr>
        <w:t>mecA </w:t>
      </w:r>
      <w:r>
        <w:rPr/>
        <w:t>gene. The results of the bromatology test were: dry matter 26.21±1.25%, humidity 73.79±1.25, protein 22.17±1.11, grease 3.09±0.83 and</w:t>
      </w:r>
      <w:r>
        <w:rPr>
          <w:spacing w:val="-18"/>
        </w:rPr>
        <w:t> </w:t>
      </w:r>
      <w:r>
        <w:rPr/>
        <w:t>ash</w:t>
      </w:r>
      <w:r>
        <w:rPr>
          <w:spacing w:val="-16"/>
        </w:rPr>
        <w:t> </w:t>
      </w:r>
      <w:r>
        <w:rPr/>
        <w:t>1.12±0.47.</w:t>
      </w:r>
      <w:r>
        <w:rPr>
          <w:spacing w:val="-18"/>
        </w:rPr>
        <w:t> </w:t>
      </w:r>
      <w:r>
        <w:rPr/>
        <w:t>The</w:t>
      </w:r>
      <w:r>
        <w:rPr>
          <w:spacing w:val="-16"/>
        </w:rPr>
        <w:t> </w:t>
      </w:r>
      <w:r>
        <w:rPr/>
        <w:t>phenotypic</w:t>
      </w:r>
      <w:r>
        <w:rPr>
          <w:spacing w:val="-17"/>
        </w:rPr>
        <w:t> </w:t>
      </w:r>
      <w:r>
        <w:rPr/>
        <w:t>and</w:t>
      </w:r>
      <w:r>
        <w:rPr>
          <w:spacing w:val="-16"/>
        </w:rPr>
        <w:t> </w:t>
      </w:r>
      <w:r>
        <w:rPr/>
        <w:t>genotypic</w:t>
      </w:r>
      <w:r>
        <w:rPr>
          <w:spacing w:val="-17"/>
        </w:rPr>
        <w:t> </w:t>
      </w:r>
      <w:r>
        <w:rPr/>
        <w:t>identification</w:t>
      </w:r>
      <w:r>
        <w:rPr>
          <w:spacing w:val="-18"/>
        </w:rPr>
        <w:t> </w:t>
      </w:r>
      <w:r>
        <w:rPr/>
        <w:t>of</w:t>
      </w:r>
      <w:r>
        <w:rPr>
          <w:spacing w:val="-15"/>
        </w:rPr>
        <w:t> </w:t>
      </w:r>
      <w:r>
        <w:rPr/>
        <w:t>MRSA</w:t>
      </w:r>
      <w:r>
        <w:rPr>
          <w:spacing w:val="-16"/>
        </w:rPr>
        <w:t> </w:t>
      </w:r>
      <w:r>
        <w:rPr/>
        <w:t>was</w:t>
      </w:r>
      <w:r>
        <w:rPr>
          <w:spacing w:val="-16"/>
        </w:rPr>
        <w:t> </w:t>
      </w:r>
      <w:r>
        <w:rPr/>
        <w:t>0.95% in rabbit’s carcass. In conclusion, we identified nutritional values of rabbit meat and the identification of MRSA. This study is the first to describe the identification of MRSA and contributes information of the in rabbit production units in Toluca</w:t>
      </w:r>
      <w:r>
        <w:rPr>
          <w:spacing w:val="-23"/>
        </w:rPr>
        <w:t> </w:t>
      </w:r>
      <w:r>
        <w:rPr/>
        <w:t>Valley.</w:t>
      </w:r>
    </w:p>
    <w:p>
      <w:pPr>
        <w:spacing w:after="0" w:line="360" w:lineRule="auto"/>
        <w:jc w:val="both"/>
        <w:sectPr>
          <w:pgSz w:w="12240" w:h="15840"/>
          <w:pgMar w:header="0" w:footer="1326" w:top="1500" w:bottom="1580" w:left="1720" w:right="1420"/>
        </w:sectPr>
      </w:pPr>
    </w:p>
    <w:p>
      <w:pPr>
        <w:pStyle w:val="BodyText"/>
        <w:spacing w:before="2"/>
        <w:rPr>
          <w:sz w:val="21"/>
        </w:rPr>
      </w:pPr>
    </w:p>
    <w:p>
      <w:pPr>
        <w:spacing w:before="69"/>
        <w:ind w:left="1366" w:right="251" w:firstLine="0"/>
        <w:jc w:val="center"/>
        <w:rPr>
          <w:b/>
          <w:sz w:val="24"/>
        </w:rPr>
      </w:pPr>
      <w:bookmarkStart w:name="_bookmark5" w:id="6"/>
      <w:bookmarkEnd w:id="6"/>
      <w:r>
        <w:rPr/>
      </w:r>
      <w:r>
        <w:rPr>
          <w:b/>
          <w:sz w:val="24"/>
        </w:rPr>
        <w:t>INTRODUCCIÓN</w:t>
      </w:r>
    </w:p>
    <w:p>
      <w:pPr>
        <w:pStyle w:val="BodyText"/>
        <w:spacing w:line="360" w:lineRule="auto" w:before="137"/>
        <w:ind w:left="152" w:right="113"/>
        <w:jc w:val="both"/>
      </w:pPr>
      <w:r>
        <w:rPr/>
        <w:t>La</w:t>
      </w:r>
      <w:r>
        <w:rPr>
          <w:spacing w:val="-7"/>
        </w:rPr>
        <w:t> </w:t>
      </w:r>
      <w:r>
        <w:rPr/>
        <w:t>producción</w:t>
      </w:r>
      <w:r>
        <w:rPr>
          <w:spacing w:val="-7"/>
        </w:rPr>
        <w:t> </w:t>
      </w:r>
      <w:r>
        <w:rPr/>
        <w:t>de</w:t>
      </w:r>
      <w:r>
        <w:rPr>
          <w:spacing w:val="-7"/>
        </w:rPr>
        <w:t> </w:t>
      </w:r>
      <w:r>
        <w:rPr/>
        <w:t>conejo</w:t>
      </w:r>
      <w:r>
        <w:rPr>
          <w:spacing w:val="-5"/>
        </w:rPr>
        <w:t> </w:t>
      </w:r>
      <w:r>
        <w:rPr/>
        <w:t>es</w:t>
      </w:r>
      <w:r>
        <w:rPr>
          <w:spacing w:val="-8"/>
        </w:rPr>
        <w:t> </w:t>
      </w:r>
      <w:r>
        <w:rPr/>
        <w:t>una</w:t>
      </w:r>
      <w:r>
        <w:rPr>
          <w:spacing w:val="-5"/>
        </w:rPr>
        <w:t> </w:t>
      </w:r>
      <w:r>
        <w:rPr/>
        <w:t>excelente</w:t>
      </w:r>
      <w:r>
        <w:rPr>
          <w:spacing w:val="-7"/>
        </w:rPr>
        <w:t> </w:t>
      </w:r>
      <w:r>
        <w:rPr/>
        <w:t>alternativa</w:t>
      </w:r>
      <w:r>
        <w:rPr>
          <w:spacing w:val="-5"/>
        </w:rPr>
        <w:t> </w:t>
      </w:r>
      <w:r>
        <w:rPr/>
        <w:t>para</w:t>
      </w:r>
      <w:r>
        <w:rPr>
          <w:spacing w:val="-8"/>
        </w:rPr>
        <w:t> </w:t>
      </w:r>
      <w:r>
        <w:rPr/>
        <w:t>que</w:t>
      </w:r>
      <w:r>
        <w:rPr>
          <w:spacing w:val="-7"/>
        </w:rPr>
        <w:t> </w:t>
      </w:r>
      <w:r>
        <w:rPr/>
        <w:t>productores</w:t>
      </w:r>
      <w:r>
        <w:rPr>
          <w:spacing w:val="-8"/>
        </w:rPr>
        <w:t> </w:t>
      </w:r>
      <w:r>
        <w:rPr/>
        <w:t>de</w:t>
      </w:r>
      <w:r>
        <w:rPr>
          <w:spacing w:val="-7"/>
        </w:rPr>
        <w:t> </w:t>
      </w:r>
      <w:r>
        <w:rPr/>
        <w:t>baja escala, ubicados en zonas marginadas, obtengan buenos ingresos con</w:t>
      </w:r>
      <w:r>
        <w:rPr>
          <w:spacing w:val="-41"/>
        </w:rPr>
        <w:t> </w:t>
      </w:r>
      <w:r>
        <w:rPr/>
        <w:t>inversiones mínimas. En México, la cunicultura o crianza de conejo se practica en sistemas familiares,</w:t>
      </w:r>
      <w:r>
        <w:rPr>
          <w:spacing w:val="-14"/>
        </w:rPr>
        <w:t> </w:t>
      </w:r>
      <w:r>
        <w:rPr/>
        <w:t>semitecnificados</w:t>
      </w:r>
      <w:r>
        <w:rPr>
          <w:spacing w:val="-13"/>
        </w:rPr>
        <w:t> </w:t>
      </w:r>
      <w:r>
        <w:rPr/>
        <w:t>y</w:t>
      </w:r>
      <w:r>
        <w:rPr>
          <w:spacing w:val="-15"/>
        </w:rPr>
        <w:t> </w:t>
      </w:r>
      <w:r>
        <w:rPr/>
        <w:t>tecnificados.</w:t>
      </w:r>
      <w:r>
        <w:rPr>
          <w:spacing w:val="-12"/>
        </w:rPr>
        <w:t> </w:t>
      </w:r>
      <w:r>
        <w:rPr/>
        <w:t>Los</w:t>
      </w:r>
      <w:r>
        <w:rPr>
          <w:spacing w:val="-13"/>
        </w:rPr>
        <w:t> </w:t>
      </w:r>
      <w:r>
        <w:rPr/>
        <w:t>principales</w:t>
      </w:r>
      <w:r>
        <w:rPr>
          <w:spacing w:val="-14"/>
        </w:rPr>
        <w:t> </w:t>
      </w:r>
      <w:r>
        <w:rPr/>
        <w:t>productos</w:t>
      </w:r>
      <w:r>
        <w:rPr>
          <w:spacing w:val="-15"/>
        </w:rPr>
        <w:t> </w:t>
      </w:r>
      <w:r>
        <w:rPr/>
        <w:t>del</w:t>
      </w:r>
      <w:r>
        <w:rPr>
          <w:spacing w:val="-13"/>
        </w:rPr>
        <w:t> </w:t>
      </w:r>
      <w:r>
        <w:rPr/>
        <w:t>conejo</w:t>
      </w:r>
      <w:r>
        <w:rPr>
          <w:spacing w:val="-14"/>
        </w:rPr>
        <w:t> </w:t>
      </w:r>
      <w:r>
        <w:rPr/>
        <w:t>son la carne, el pelo, la piel y ornato, pero se obtienen otros subproductos como el estiércol (SAGARPA,</w:t>
      </w:r>
      <w:r>
        <w:rPr>
          <w:spacing w:val="-5"/>
        </w:rPr>
        <w:t> </w:t>
      </w:r>
      <w:r>
        <w:rPr/>
        <w:t>2012).</w:t>
      </w:r>
    </w:p>
    <w:p>
      <w:pPr>
        <w:pStyle w:val="BodyText"/>
        <w:spacing w:line="360" w:lineRule="auto" w:before="205"/>
        <w:ind w:left="152" w:right="115"/>
        <w:jc w:val="both"/>
      </w:pPr>
      <w:r>
        <w:rPr/>
        <w:t>La cunicultura brinda muchas posibilidades de mejorar la seguridad alimentaria de los pequeños campesinos en todo el mundo. Una actividad relativamente simple, puede producir pequeños ingresos y contribuir a mejorar la dieta familiar en las comunidades urbanas y rurales, con costos mínimos de insumos y mano de obra (FAO, 1999).</w:t>
      </w:r>
    </w:p>
    <w:p>
      <w:pPr>
        <w:pStyle w:val="BodyText"/>
        <w:spacing w:line="360" w:lineRule="auto" w:before="202"/>
        <w:ind w:left="152" w:right="104"/>
        <w:jc w:val="both"/>
      </w:pPr>
      <w:r>
        <w:rPr/>
        <w:t>La producción comercial de conejos en México tiene un gran potencial porque se produce</w:t>
      </w:r>
      <w:r>
        <w:rPr>
          <w:spacing w:val="-7"/>
        </w:rPr>
        <w:t> </w:t>
      </w:r>
      <w:r>
        <w:rPr/>
        <w:t>carne</w:t>
      </w:r>
      <w:r>
        <w:rPr>
          <w:spacing w:val="-7"/>
        </w:rPr>
        <w:t> </w:t>
      </w:r>
      <w:r>
        <w:rPr/>
        <w:t>con</w:t>
      </w:r>
      <w:r>
        <w:rPr>
          <w:spacing w:val="-9"/>
        </w:rPr>
        <w:t> </w:t>
      </w:r>
      <w:r>
        <w:rPr/>
        <w:t>altos</w:t>
      </w:r>
      <w:r>
        <w:rPr>
          <w:spacing w:val="-8"/>
        </w:rPr>
        <w:t> </w:t>
      </w:r>
      <w:r>
        <w:rPr/>
        <w:t>valores</w:t>
      </w:r>
      <w:r>
        <w:rPr>
          <w:spacing w:val="-8"/>
        </w:rPr>
        <w:t> </w:t>
      </w:r>
      <w:r>
        <w:rPr/>
        <w:t>nutricionales</w:t>
      </w:r>
      <w:r>
        <w:rPr>
          <w:spacing w:val="-10"/>
        </w:rPr>
        <w:t> </w:t>
      </w:r>
      <w:r>
        <w:rPr/>
        <w:t>a</w:t>
      </w:r>
      <w:r>
        <w:rPr>
          <w:spacing w:val="-7"/>
        </w:rPr>
        <w:t> </w:t>
      </w:r>
      <w:r>
        <w:rPr/>
        <w:t>bajos</w:t>
      </w:r>
      <w:r>
        <w:rPr>
          <w:spacing w:val="-8"/>
        </w:rPr>
        <w:t> </w:t>
      </w:r>
      <w:r>
        <w:rPr/>
        <w:t>costo.</w:t>
      </w:r>
      <w:r>
        <w:rPr>
          <w:spacing w:val="-10"/>
        </w:rPr>
        <w:t> </w:t>
      </w:r>
      <w:r>
        <w:rPr/>
        <w:t>Los</w:t>
      </w:r>
      <w:r>
        <w:rPr>
          <w:spacing w:val="-10"/>
        </w:rPr>
        <w:t> </w:t>
      </w:r>
      <w:r>
        <w:rPr/>
        <w:t>conejos</w:t>
      </w:r>
      <w:r>
        <w:rPr>
          <w:spacing w:val="-7"/>
        </w:rPr>
        <w:t> </w:t>
      </w:r>
      <w:r>
        <w:rPr/>
        <w:t>tienen</w:t>
      </w:r>
      <w:r>
        <w:rPr>
          <w:spacing w:val="-9"/>
        </w:rPr>
        <w:t> </w:t>
      </w:r>
      <w:r>
        <w:rPr/>
        <w:t>una alta prolificidad y eficacia alimenticia, se comercializa a temprana edad y requiere una pequeña área para su produccion. Por lo tanto los conejos pueden ser engordados</w:t>
      </w:r>
      <w:r>
        <w:rPr>
          <w:spacing w:val="-15"/>
        </w:rPr>
        <w:t> </w:t>
      </w:r>
      <w:r>
        <w:rPr/>
        <w:t>con</w:t>
      </w:r>
      <w:r>
        <w:rPr>
          <w:spacing w:val="-14"/>
        </w:rPr>
        <w:t> </w:t>
      </w:r>
      <w:r>
        <w:rPr/>
        <w:t>un</w:t>
      </w:r>
      <w:r>
        <w:rPr>
          <w:spacing w:val="-14"/>
        </w:rPr>
        <w:t> </w:t>
      </w:r>
      <w:r>
        <w:rPr/>
        <w:t>bajo</w:t>
      </w:r>
      <w:r>
        <w:rPr>
          <w:spacing w:val="-14"/>
        </w:rPr>
        <w:t> </w:t>
      </w:r>
      <w:r>
        <w:rPr/>
        <w:t>costo</w:t>
      </w:r>
      <w:r>
        <w:rPr>
          <w:spacing w:val="-14"/>
        </w:rPr>
        <w:t> </w:t>
      </w:r>
      <w:r>
        <w:rPr/>
        <w:t>productivo.</w:t>
      </w:r>
      <w:r>
        <w:rPr>
          <w:spacing w:val="-14"/>
        </w:rPr>
        <w:t> </w:t>
      </w:r>
      <w:r>
        <w:rPr/>
        <w:t>Las</w:t>
      </w:r>
      <w:r>
        <w:rPr>
          <w:spacing w:val="-16"/>
        </w:rPr>
        <w:t> </w:t>
      </w:r>
      <w:r>
        <w:rPr/>
        <w:t>razas</w:t>
      </w:r>
      <w:r>
        <w:rPr>
          <w:spacing w:val="-13"/>
        </w:rPr>
        <w:t> </w:t>
      </w:r>
      <w:r>
        <w:rPr/>
        <w:t>que</w:t>
      </w:r>
      <w:r>
        <w:rPr>
          <w:spacing w:val="-14"/>
        </w:rPr>
        <w:t> </w:t>
      </w:r>
      <w:r>
        <w:rPr/>
        <w:t>se</w:t>
      </w:r>
      <w:r>
        <w:rPr>
          <w:spacing w:val="-14"/>
        </w:rPr>
        <w:t> </w:t>
      </w:r>
      <w:r>
        <w:rPr/>
        <w:t>usan</w:t>
      </w:r>
      <w:r>
        <w:rPr>
          <w:spacing w:val="-14"/>
        </w:rPr>
        <w:t> </w:t>
      </w:r>
      <w:r>
        <w:rPr/>
        <w:t>para</w:t>
      </w:r>
      <w:r>
        <w:rPr>
          <w:spacing w:val="-15"/>
        </w:rPr>
        <w:t> </w:t>
      </w:r>
      <w:r>
        <w:rPr/>
        <w:t>la</w:t>
      </w:r>
      <w:r>
        <w:rPr>
          <w:spacing w:val="-14"/>
        </w:rPr>
        <w:t> </w:t>
      </w:r>
      <w:r>
        <w:rPr/>
        <w:t>producción de carne en México son Nueva Zelanda y California, principalmente; sin embargo, en años recientes se han incluido en la producción de cría razas como</w:t>
      </w:r>
      <w:r>
        <w:rPr>
          <w:spacing w:val="-47"/>
        </w:rPr>
        <w:t> </w:t>
      </w:r>
      <w:r>
        <w:rPr/>
        <w:t>la Chinchilla y Rex (Ortiz y Rubio, 2001; Barrón </w:t>
      </w:r>
      <w:r>
        <w:rPr>
          <w:i/>
        </w:rPr>
        <w:t>et al., </w:t>
      </w:r>
      <w:r>
        <w:rPr/>
        <w:t>2004). Los conejos tienen propiedades únicas como alimento y para el comercio. La carne de conejo ofrece excelentes valores</w:t>
      </w:r>
      <w:r>
        <w:rPr>
          <w:spacing w:val="-14"/>
        </w:rPr>
        <w:t> </w:t>
      </w:r>
      <w:r>
        <w:rPr/>
        <w:t>nutricionales</w:t>
      </w:r>
      <w:r>
        <w:rPr>
          <w:spacing w:val="-13"/>
        </w:rPr>
        <w:t> </w:t>
      </w:r>
      <w:r>
        <w:rPr/>
        <w:t>y</w:t>
      </w:r>
      <w:r>
        <w:rPr>
          <w:spacing w:val="-15"/>
        </w:rPr>
        <w:t> </w:t>
      </w:r>
      <w:r>
        <w:rPr/>
        <w:t>dietéticos.</w:t>
      </w:r>
      <w:r>
        <w:rPr>
          <w:spacing w:val="-13"/>
        </w:rPr>
        <w:t> </w:t>
      </w:r>
      <w:r>
        <w:rPr/>
        <w:t>Aproximadamente</w:t>
      </w:r>
      <w:r>
        <w:rPr>
          <w:spacing w:val="-12"/>
        </w:rPr>
        <w:t> </w:t>
      </w:r>
      <w:r>
        <w:rPr/>
        <w:t>su</w:t>
      </w:r>
      <w:r>
        <w:rPr>
          <w:spacing w:val="-13"/>
        </w:rPr>
        <w:t> </w:t>
      </w:r>
      <w:r>
        <w:rPr/>
        <w:t>composición</w:t>
      </w:r>
      <w:r>
        <w:rPr>
          <w:spacing w:val="-15"/>
        </w:rPr>
        <w:t> </w:t>
      </w:r>
      <w:r>
        <w:rPr/>
        <w:t>demostrada</w:t>
      </w:r>
      <w:r>
        <w:rPr>
          <w:spacing w:val="-13"/>
        </w:rPr>
        <w:t> </w:t>
      </w:r>
      <w:r>
        <w:rPr/>
        <w:t>es rica</w:t>
      </w:r>
      <w:r>
        <w:rPr>
          <w:spacing w:val="-6"/>
        </w:rPr>
        <w:t> </w:t>
      </w:r>
      <w:r>
        <w:rPr/>
        <w:t>en</w:t>
      </w:r>
      <w:r>
        <w:rPr>
          <w:spacing w:val="-8"/>
        </w:rPr>
        <w:t> </w:t>
      </w:r>
      <w:r>
        <w:rPr/>
        <w:t>proteínas</w:t>
      </w:r>
      <w:r>
        <w:rPr>
          <w:spacing w:val="-9"/>
        </w:rPr>
        <w:t> </w:t>
      </w:r>
      <w:r>
        <w:rPr/>
        <w:t>alrededor</w:t>
      </w:r>
      <w:r>
        <w:rPr>
          <w:spacing w:val="-10"/>
        </w:rPr>
        <w:t> </w:t>
      </w:r>
      <w:r>
        <w:rPr/>
        <w:t>del</w:t>
      </w:r>
      <w:r>
        <w:rPr>
          <w:spacing w:val="-10"/>
        </w:rPr>
        <w:t> </w:t>
      </w:r>
      <w:r>
        <w:rPr/>
        <w:t>22%,</w:t>
      </w:r>
      <w:r>
        <w:rPr>
          <w:spacing w:val="-9"/>
        </w:rPr>
        <w:t> </w:t>
      </w:r>
      <w:r>
        <w:rPr/>
        <w:t>73.0%</w:t>
      </w:r>
      <w:r>
        <w:rPr>
          <w:spacing w:val="-9"/>
        </w:rPr>
        <w:t> </w:t>
      </w:r>
      <w:r>
        <w:rPr/>
        <w:t>de</w:t>
      </w:r>
      <w:r>
        <w:rPr>
          <w:spacing w:val="-6"/>
        </w:rPr>
        <w:t> </w:t>
      </w:r>
      <w:r>
        <w:rPr/>
        <w:t>humedad,</w:t>
      </w:r>
      <w:r>
        <w:rPr>
          <w:spacing w:val="-9"/>
        </w:rPr>
        <w:t> </w:t>
      </w:r>
      <w:r>
        <w:rPr/>
        <w:t>1.2–1.3</w:t>
      </w:r>
      <w:r>
        <w:rPr>
          <w:spacing w:val="-8"/>
        </w:rPr>
        <w:t> </w:t>
      </w:r>
      <w:r>
        <w:rPr/>
        <w:t>%</w:t>
      </w:r>
      <w:r>
        <w:rPr>
          <w:spacing w:val="-9"/>
        </w:rPr>
        <w:t> </w:t>
      </w:r>
      <w:r>
        <w:rPr/>
        <w:t>cenizas</w:t>
      </w:r>
      <w:r>
        <w:rPr>
          <w:spacing w:val="-7"/>
        </w:rPr>
        <w:t> </w:t>
      </w:r>
      <w:r>
        <w:rPr/>
        <w:t>y</w:t>
      </w:r>
      <w:r>
        <w:rPr>
          <w:spacing w:val="-9"/>
        </w:rPr>
        <w:t> </w:t>
      </w:r>
      <w:r>
        <w:rPr/>
        <w:t>1.8% de</w:t>
      </w:r>
      <w:r>
        <w:rPr>
          <w:spacing w:val="-8"/>
        </w:rPr>
        <w:t> </w:t>
      </w:r>
      <w:r>
        <w:rPr/>
        <w:t>grasa.</w:t>
      </w:r>
      <w:r>
        <w:rPr>
          <w:spacing w:val="-9"/>
        </w:rPr>
        <w:t> </w:t>
      </w:r>
      <w:r>
        <w:rPr/>
        <w:t>La</w:t>
      </w:r>
      <w:r>
        <w:rPr>
          <w:spacing w:val="-8"/>
        </w:rPr>
        <w:t> </w:t>
      </w:r>
      <w:r>
        <w:rPr/>
        <w:t>carne</w:t>
      </w:r>
      <w:r>
        <w:rPr>
          <w:spacing w:val="-10"/>
        </w:rPr>
        <w:t> </w:t>
      </w:r>
      <w:r>
        <w:rPr/>
        <w:t>de</w:t>
      </w:r>
      <w:r>
        <w:rPr>
          <w:spacing w:val="-11"/>
        </w:rPr>
        <w:t> </w:t>
      </w:r>
      <w:r>
        <w:rPr/>
        <w:t>conejo</w:t>
      </w:r>
      <w:r>
        <w:rPr>
          <w:spacing w:val="-11"/>
        </w:rPr>
        <w:t> </w:t>
      </w:r>
      <w:r>
        <w:rPr/>
        <w:t>ofrece</w:t>
      </w:r>
      <w:r>
        <w:rPr>
          <w:spacing w:val="-8"/>
        </w:rPr>
        <w:t> </w:t>
      </w:r>
      <w:r>
        <w:rPr/>
        <w:t>valores</w:t>
      </w:r>
      <w:r>
        <w:rPr>
          <w:spacing w:val="-12"/>
        </w:rPr>
        <w:t> </w:t>
      </w:r>
      <w:r>
        <w:rPr/>
        <w:t>moderados</w:t>
      </w:r>
      <w:r>
        <w:rPr>
          <w:spacing w:val="-4"/>
        </w:rPr>
        <w:t> </w:t>
      </w:r>
      <w:r>
        <w:rPr/>
        <w:t>de</w:t>
      </w:r>
      <w:r>
        <w:rPr>
          <w:spacing w:val="-11"/>
        </w:rPr>
        <w:t> </w:t>
      </w:r>
      <w:r>
        <w:rPr/>
        <w:t>energía</w:t>
      </w:r>
      <w:r>
        <w:rPr>
          <w:spacing w:val="-6"/>
        </w:rPr>
        <w:t> </w:t>
      </w:r>
      <w:r>
        <w:rPr/>
        <w:t>de</w:t>
      </w:r>
      <w:r>
        <w:rPr>
          <w:spacing w:val="-8"/>
        </w:rPr>
        <w:t> </w:t>
      </w:r>
      <w:r>
        <w:rPr/>
        <w:t>603</w:t>
      </w:r>
      <w:r>
        <w:rPr>
          <w:spacing w:val="-8"/>
        </w:rPr>
        <w:t> </w:t>
      </w:r>
      <w:r>
        <w:rPr/>
        <w:t>kJ</w:t>
      </w:r>
      <w:r>
        <w:rPr>
          <w:spacing w:val="-9"/>
        </w:rPr>
        <w:t> </w:t>
      </w:r>
      <w:r>
        <w:rPr/>
        <w:t>a</w:t>
      </w:r>
      <w:r>
        <w:rPr>
          <w:spacing w:val="-11"/>
        </w:rPr>
        <w:t> </w:t>
      </w:r>
      <w:r>
        <w:rPr/>
        <w:t>899 kJ/100 g., esto depende sobre su alto valor de proteína (Dalle y Szendrő, 2011). Debido a esta rica composición, ofrece un alto desarrollo favorable para el crecimiento de bacterias patógenas. La contaminación microbiológica de la  </w:t>
      </w:r>
      <w:r>
        <w:rPr>
          <w:spacing w:val="52"/>
        </w:rPr>
        <w:t> </w:t>
      </w:r>
      <w:r>
        <w:rPr/>
        <w:t>canal</w:t>
      </w:r>
    </w:p>
    <w:p>
      <w:pPr>
        <w:spacing w:after="0" w:line="360" w:lineRule="auto"/>
        <w:jc w:val="both"/>
        <w:sectPr>
          <w:pgSz w:w="12240" w:h="15840"/>
          <w:pgMar w:header="0" w:footer="1326" w:top="1500" w:bottom="1580" w:left="1720" w:right="1420"/>
        </w:sectPr>
      </w:pPr>
    </w:p>
    <w:p>
      <w:pPr>
        <w:pStyle w:val="BodyText"/>
        <w:spacing w:before="11"/>
        <w:rPr>
          <w:sz w:val="20"/>
        </w:rPr>
      </w:pPr>
    </w:p>
    <w:p>
      <w:pPr>
        <w:pStyle w:val="BodyText"/>
        <w:spacing w:before="69"/>
        <w:ind w:left="152"/>
        <w:jc w:val="both"/>
        <w:rPr>
          <w:i/>
        </w:rPr>
      </w:pPr>
      <w:r>
        <w:rPr/>
        <w:t>ocurre muchas veces durante el procesamiento y la manipulación (Abdalla    </w:t>
      </w:r>
      <w:r>
        <w:rPr>
          <w:i/>
        </w:rPr>
        <w:t>et al.,</w:t>
      </w:r>
    </w:p>
    <w:p>
      <w:pPr>
        <w:pStyle w:val="BodyText"/>
        <w:spacing w:before="139"/>
        <w:ind w:left="152"/>
        <w:jc w:val="both"/>
      </w:pPr>
      <w:r>
        <w:rPr/>
        <w:t>2009).</w:t>
      </w:r>
    </w:p>
    <w:p>
      <w:pPr>
        <w:pStyle w:val="BodyText"/>
      </w:pPr>
    </w:p>
    <w:p>
      <w:pPr>
        <w:pStyle w:val="BodyText"/>
      </w:pPr>
    </w:p>
    <w:p>
      <w:pPr>
        <w:pStyle w:val="BodyText"/>
        <w:spacing w:before="7"/>
        <w:rPr>
          <w:sz w:val="34"/>
        </w:rPr>
      </w:pPr>
    </w:p>
    <w:p>
      <w:pPr>
        <w:spacing w:line="360" w:lineRule="auto" w:before="0"/>
        <w:ind w:left="152" w:right="104" w:firstLine="0"/>
        <w:jc w:val="both"/>
        <w:rPr>
          <w:sz w:val="24"/>
        </w:rPr>
      </w:pPr>
      <w:r>
        <w:rPr>
          <w:sz w:val="24"/>
        </w:rPr>
        <w:t>Por</w:t>
      </w:r>
      <w:r>
        <w:rPr>
          <w:spacing w:val="-5"/>
          <w:sz w:val="24"/>
        </w:rPr>
        <w:t> </w:t>
      </w:r>
      <w:r>
        <w:rPr>
          <w:sz w:val="24"/>
        </w:rPr>
        <w:t>otra</w:t>
      </w:r>
      <w:r>
        <w:rPr>
          <w:spacing w:val="-4"/>
          <w:sz w:val="24"/>
        </w:rPr>
        <w:t> </w:t>
      </w:r>
      <w:r>
        <w:rPr>
          <w:sz w:val="24"/>
        </w:rPr>
        <w:t>parte,</w:t>
      </w:r>
      <w:r>
        <w:rPr>
          <w:spacing w:val="-6"/>
          <w:sz w:val="24"/>
        </w:rPr>
        <w:t> </w:t>
      </w:r>
      <w:r>
        <w:rPr>
          <w:sz w:val="24"/>
        </w:rPr>
        <w:t>el</w:t>
      </w:r>
      <w:r>
        <w:rPr>
          <w:spacing w:val="-6"/>
          <w:sz w:val="24"/>
        </w:rPr>
        <w:t> </w:t>
      </w:r>
      <w:r>
        <w:rPr>
          <w:i/>
          <w:sz w:val="24"/>
        </w:rPr>
        <w:t>S.</w:t>
      </w:r>
      <w:r>
        <w:rPr>
          <w:i/>
          <w:spacing w:val="-6"/>
          <w:sz w:val="24"/>
        </w:rPr>
        <w:t> </w:t>
      </w:r>
      <w:r>
        <w:rPr>
          <w:i/>
          <w:sz w:val="24"/>
        </w:rPr>
        <w:t>aureus</w:t>
      </w:r>
      <w:r>
        <w:rPr>
          <w:i/>
          <w:spacing w:val="-3"/>
          <w:sz w:val="24"/>
        </w:rPr>
        <w:t> </w:t>
      </w:r>
      <w:r>
        <w:rPr>
          <w:sz w:val="24"/>
        </w:rPr>
        <w:t>es</w:t>
      </w:r>
      <w:r>
        <w:rPr>
          <w:spacing w:val="-7"/>
          <w:sz w:val="24"/>
        </w:rPr>
        <w:t> </w:t>
      </w:r>
      <w:r>
        <w:rPr>
          <w:sz w:val="24"/>
        </w:rPr>
        <w:t>uno</w:t>
      </w:r>
      <w:r>
        <w:rPr>
          <w:spacing w:val="-6"/>
          <w:sz w:val="24"/>
        </w:rPr>
        <w:t> </w:t>
      </w:r>
      <w:r>
        <w:rPr>
          <w:sz w:val="24"/>
        </w:rPr>
        <w:t>de</w:t>
      </w:r>
      <w:r>
        <w:rPr>
          <w:spacing w:val="-6"/>
          <w:sz w:val="24"/>
        </w:rPr>
        <w:t> </w:t>
      </w:r>
      <w:r>
        <w:rPr>
          <w:sz w:val="24"/>
        </w:rPr>
        <w:t>los</w:t>
      </w:r>
      <w:r>
        <w:rPr>
          <w:spacing w:val="-6"/>
          <w:sz w:val="24"/>
        </w:rPr>
        <w:t> </w:t>
      </w:r>
      <w:r>
        <w:rPr>
          <w:sz w:val="24"/>
        </w:rPr>
        <w:t>más</w:t>
      </w:r>
      <w:r>
        <w:rPr>
          <w:spacing w:val="-4"/>
          <w:sz w:val="24"/>
        </w:rPr>
        <w:t> </w:t>
      </w:r>
      <w:r>
        <w:rPr>
          <w:sz w:val="24"/>
        </w:rPr>
        <w:t>importantes</w:t>
      </w:r>
      <w:r>
        <w:rPr>
          <w:spacing w:val="-7"/>
          <w:sz w:val="24"/>
        </w:rPr>
        <w:t> </w:t>
      </w:r>
      <w:r>
        <w:rPr>
          <w:sz w:val="24"/>
        </w:rPr>
        <w:t>patógenos</w:t>
      </w:r>
      <w:r>
        <w:rPr>
          <w:spacing w:val="-4"/>
          <w:sz w:val="24"/>
        </w:rPr>
        <w:t> </w:t>
      </w:r>
      <w:r>
        <w:rPr>
          <w:sz w:val="24"/>
        </w:rPr>
        <w:t>de</w:t>
      </w:r>
      <w:r>
        <w:rPr>
          <w:spacing w:val="-4"/>
          <w:sz w:val="24"/>
        </w:rPr>
        <w:t> </w:t>
      </w:r>
      <w:r>
        <w:rPr>
          <w:sz w:val="24"/>
        </w:rPr>
        <w:t>la</w:t>
      </w:r>
      <w:r>
        <w:rPr>
          <w:spacing w:val="-6"/>
          <w:sz w:val="24"/>
        </w:rPr>
        <w:t> </w:t>
      </w:r>
      <w:r>
        <w:rPr>
          <w:sz w:val="24"/>
        </w:rPr>
        <w:t>especie de </w:t>
      </w:r>
      <w:r>
        <w:rPr>
          <w:i/>
          <w:sz w:val="24"/>
        </w:rPr>
        <w:t>Staphylococcus  </w:t>
      </w:r>
      <w:r>
        <w:rPr>
          <w:sz w:val="24"/>
        </w:rPr>
        <w:t>en medicina veterinaria (Meulemans </w:t>
      </w:r>
      <w:r>
        <w:rPr>
          <w:i/>
          <w:sz w:val="24"/>
        </w:rPr>
        <w:t>et al., </w:t>
      </w:r>
      <w:r>
        <w:rPr>
          <w:sz w:val="24"/>
        </w:rPr>
        <w:t>2007). En  </w:t>
      </w:r>
      <w:r>
        <w:rPr>
          <w:spacing w:val="6"/>
          <w:sz w:val="24"/>
        </w:rPr>
        <w:t> </w:t>
      </w:r>
      <w:r>
        <w:rPr>
          <w:sz w:val="24"/>
        </w:rPr>
        <w:t>conejos</w:t>
      </w:r>
    </w:p>
    <w:p>
      <w:pPr>
        <w:pStyle w:val="BodyText"/>
        <w:spacing w:line="360" w:lineRule="auto" w:before="5"/>
        <w:ind w:left="152" w:right="105"/>
        <w:jc w:val="both"/>
      </w:pPr>
      <w:r>
        <w:rPr>
          <w:i/>
        </w:rPr>
        <w:t>S. aureus </w:t>
      </w:r>
      <w:r>
        <w:rPr/>
        <w:t>infecta pequeñas lesiones e invade tejido subcutáneo. En conejos individuales,</w:t>
      </w:r>
      <w:r>
        <w:rPr>
          <w:spacing w:val="-14"/>
        </w:rPr>
        <w:t> </w:t>
      </w:r>
      <w:r>
        <w:rPr/>
        <w:t>todas</w:t>
      </w:r>
      <w:r>
        <w:rPr>
          <w:spacing w:val="-15"/>
        </w:rPr>
        <w:t> </w:t>
      </w:r>
      <w:r>
        <w:rPr/>
        <w:t>las</w:t>
      </w:r>
      <w:r>
        <w:rPr>
          <w:spacing w:val="-17"/>
        </w:rPr>
        <w:t> </w:t>
      </w:r>
      <w:r>
        <w:rPr/>
        <w:t>infecciones</w:t>
      </w:r>
      <w:r>
        <w:rPr>
          <w:spacing w:val="-17"/>
        </w:rPr>
        <w:t> </w:t>
      </w:r>
      <w:r>
        <w:rPr/>
        <w:t>de</w:t>
      </w:r>
      <w:r>
        <w:rPr>
          <w:spacing w:val="-13"/>
        </w:rPr>
        <w:t> </w:t>
      </w:r>
      <w:r>
        <w:rPr>
          <w:i/>
        </w:rPr>
        <w:t>S.</w:t>
      </w:r>
      <w:r>
        <w:rPr>
          <w:i/>
          <w:spacing w:val="-17"/>
        </w:rPr>
        <w:t> </w:t>
      </w:r>
      <w:r>
        <w:rPr>
          <w:i/>
        </w:rPr>
        <w:t>aureus</w:t>
      </w:r>
      <w:r>
        <w:rPr>
          <w:i/>
          <w:spacing w:val="-14"/>
        </w:rPr>
        <w:t> </w:t>
      </w:r>
      <w:r>
        <w:rPr/>
        <w:t>tienen</w:t>
      </w:r>
      <w:r>
        <w:rPr>
          <w:spacing w:val="-16"/>
        </w:rPr>
        <w:t> </w:t>
      </w:r>
      <w:r>
        <w:rPr/>
        <w:t>una</w:t>
      </w:r>
      <w:r>
        <w:rPr>
          <w:spacing w:val="-17"/>
        </w:rPr>
        <w:t> </w:t>
      </w:r>
      <w:r>
        <w:rPr/>
        <w:t>apariencia</w:t>
      </w:r>
      <w:r>
        <w:rPr>
          <w:spacing w:val="-17"/>
        </w:rPr>
        <w:t> </w:t>
      </w:r>
      <w:r>
        <w:rPr/>
        <w:t>clínica</w:t>
      </w:r>
      <w:r>
        <w:rPr>
          <w:spacing w:val="-14"/>
        </w:rPr>
        <w:t> </w:t>
      </w:r>
      <w:r>
        <w:rPr/>
        <w:t>similar, con lesiones de pododermatitis abscesos subcutáneos y mastitis (Goñi </w:t>
      </w:r>
      <w:r>
        <w:rPr>
          <w:i/>
        </w:rPr>
        <w:t>et al.,</w:t>
      </w:r>
      <w:r>
        <w:rPr>
          <w:i/>
          <w:spacing w:val="-46"/>
        </w:rPr>
        <w:t> </w:t>
      </w:r>
      <w:r>
        <w:rPr/>
        <w:t>2004; Viana </w:t>
      </w:r>
      <w:r>
        <w:rPr>
          <w:i/>
        </w:rPr>
        <w:t>et al.,</w:t>
      </w:r>
      <w:r>
        <w:rPr>
          <w:i/>
          <w:spacing w:val="-6"/>
        </w:rPr>
        <w:t> </w:t>
      </w:r>
      <w:r>
        <w:rPr/>
        <w:t>2011).</w:t>
      </w:r>
    </w:p>
    <w:p>
      <w:pPr>
        <w:pStyle w:val="BodyText"/>
        <w:spacing w:line="360" w:lineRule="auto" w:before="204"/>
        <w:ind w:left="152" w:right="105"/>
        <w:jc w:val="both"/>
      </w:pPr>
      <w:r>
        <w:rPr/>
        <w:t>La</w:t>
      </w:r>
      <w:r>
        <w:rPr>
          <w:spacing w:val="-8"/>
        </w:rPr>
        <w:t> </w:t>
      </w:r>
      <w:r>
        <w:rPr/>
        <w:t>transmisión</w:t>
      </w:r>
      <w:r>
        <w:rPr>
          <w:spacing w:val="-8"/>
        </w:rPr>
        <w:t> </w:t>
      </w:r>
      <w:r>
        <w:rPr/>
        <w:t>de</w:t>
      </w:r>
      <w:r>
        <w:rPr>
          <w:spacing w:val="-7"/>
        </w:rPr>
        <w:t> </w:t>
      </w:r>
      <w:r>
        <w:rPr>
          <w:i/>
        </w:rPr>
        <w:t>S.</w:t>
      </w:r>
      <w:r>
        <w:rPr>
          <w:i/>
          <w:spacing w:val="-9"/>
        </w:rPr>
        <w:t> </w:t>
      </w:r>
      <w:r>
        <w:rPr>
          <w:i/>
        </w:rPr>
        <w:t>aureus</w:t>
      </w:r>
      <w:r>
        <w:rPr/>
        <w:t>,</w:t>
      </w:r>
      <w:r>
        <w:rPr>
          <w:spacing w:val="-9"/>
        </w:rPr>
        <w:t> </w:t>
      </w:r>
      <w:r>
        <w:rPr/>
        <w:t>cepas</w:t>
      </w:r>
      <w:r>
        <w:rPr>
          <w:spacing w:val="-9"/>
        </w:rPr>
        <w:t> </w:t>
      </w:r>
      <w:r>
        <w:rPr/>
        <w:t>de</w:t>
      </w:r>
      <w:r>
        <w:rPr>
          <w:spacing w:val="-8"/>
        </w:rPr>
        <w:t> </w:t>
      </w:r>
      <w:r>
        <w:rPr/>
        <w:t>hombre</w:t>
      </w:r>
      <w:r>
        <w:rPr>
          <w:spacing w:val="-8"/>
        </w:rPr>
        <w:t> </w:t>
      </w:r>
      <w:r>
        <w:rPr/>
        <w:t>a</w:t>
      </w:r>
      <w:r>
        <w:rPr>
          <w:spacing w:val="-8"/>
        </w:rPr>
        <w:t> </w:t>
      </w:r>
      <w:r>
        <w:rPr/>
        <w:t>conejo</w:t>
      </w:r>
      <w:r>
        <w:rPr>
          <w:spacing w:val="-9"/>
        </w:rPr>
        <w:t> </w:t>
      </w:r>
      <w:r>
        <w:rPr/>
        <w:t>o</w:t>
      </w:r>
      <w:r>
        <w:rPr>
          <w:spacing w:val="-8"/>
        </w:rPr>
        <w:t> </w:t>
      </w:r>
      <w:r>
        <w:rPr/>
        <w:t>entre</w:t>
      </w:r>
      <w:r>
        <w:rPr>
          <w:spacing w:val="-9"/>
        </w:rPr>
        <w:t> </w:t>
      </w:r>
      <w:r>
        <w:rPr/>
        <w:t>conejos</w:t>
      </w:r>
      <w:r>
        <w:rPr>
          <w:spacing w:val="-9"/>
        </w:rPr>
        <w:t> </w:t>
      </w:r>
      <w:r>
        <w:rPr/>
        <w:t>pueden</w:t>
      </w:r>
      <w:r>
        <w:rPr>
          <w:spacing w:val="-8"/>
        </w:rPr>
        <w:t> </w:t>
      </w:r>
      <w:r>
        <w:rPr/>
        <w:t>ser directos</w:t>
      </w:r>
      <w:r>
        <w:rPr>
          <w:spacing w:val="-19"/>
        </w:rPr>
        <w:t> </w:t>
      </w:r>
      <w:r>
        <w:rPr/>
        <w:t>o</w:t>
      </w:r>
      <w:r>
        <w:rPr>
          <w:spacing w:val="-20"/>
        </w:rPr>
        <w:t> </w:t>
      </w:r>
      <w:r>
        <w:rPr/>
        <w:t>indirectos,</w:t>
      </w:r>
      <w:r>
        <w:rPr>
          <w:spacing w:val="-18"/>
        </w:rPr>
        <w:t> </w:t>
      </w:r>
      <w:r>
        <w:rPr/>
        <w:t>a</w:t>
      </w:r>
      <w:r>
        <w:rPr>
          <w:spacing w:val="-20"/>
        </w:rPr>
        <w:t> </w:t>
      </w:r>
      <w:r>
        <w:rPr/>
        <w:t>través</w:t>
      </w:r>
      <w:r>
        <w:rPr>
          <w:spacing w:val="-19"/>
        </w:rPr>
        <w:t> </w:t>
      </w:r>
      <w:r>
        <w:rPr/>
        <w:t>de</w:t>
      </w:r>
      <w:r>
        <w:rPr>
          <w:spacing w:val="-18"/>
        </w:rPr>
        <w:t> </w:t>
      </w:r>
      <w:r>
        <w:rPr/>
        <w:t>las</w:t>
      </w:r>
      <w:r>
        <w:rPr>
          <w:spacing w:val="-18"/>
        </w:rPr>
        <w:t> </w:t>
      </w:r>
      <w:r>
        <w:rPr/>
        <w:t>jaulas,</w:t>
      </w:r>
      <w:r>
        <w:rPr>
          <w:spacing w:val="-18"/>
        </w:rPr>
        <w:t> </w:t>
      </w:r>
      <w:r>
        <w:rPr/>
        <w:t>pelos</w:t>
      </w:r>
      <w:r>
        <w:rPr>
          <w:spacing w:val="-19"/>
        </w:rPr>
        <w:t> </w:t>
      </w:r>
      <w:r>
        <w:rPr/>
        <w:t>o</w:t>
      </w:r>
      <w:r>
        <w:rPr>
          <w:spacing w:val="-18"/>
        </w:rPr>
        <w:t> </w:t>
      </w:r>
      <w:r>
        <w:rPr/>
        <w:t>alimentos.</w:t>
      </w:r>
      <w:r>
        <w:rPr>
          <w:spacing w:val="28"/>
        </w:rPr>
        <w:t> </w:t>
      </w:r>
      <w:r>
        <w:rPr/>
        <w:t>La</w:t>
      </w:r>
      <w:r>
        <w:rPr>
          <w:spacing w:val="-20"/>
        </w:rPr>
        <w:t> </w:t>
      </w:r>
      <w:r>
        <w:rPr/>
        <w:t>transmisión</w:t>
      </w:r>
      <w:r>
        <w:rPr>
          <w:spacing w:val="-20"/>
        </w:rPr>
        <w:t> </w:t>
      </w:r>
      <w:r>
        <w:rPr/>
        <w:t>directa de las bacterias </w:t>
      </w:r>
      <w:r>
        <w:rPr>
          <w:i/>
        </w:rPr>
        <w:t>S. aureus </w:t>
      </w:r>
      <w:r>
        <w:rPr/>
        <w:t>pueden producirse entre gazapos y heces, entre compañeros</w:t>
      </w:r>
      <w:r>
        <w:rPr>
          <w:spacing w:val="-15"/>
        </w:rPr>
        <w:t> </w:t>
      </w:r>
      <w:r>
        <w:rPr/>
        <w:t>de</w:t>
      </w:r>
      <w:r>
        <w:rPr>
          <w:spacing w:val="-12"/>
        </w:rPr>
        <w:t> </w:t>
      </w:r>
      <w:r>
        <w:rPr/>
        <w:t>camada</w:t>
      </w:r>
      <w:r>
        <w:rPr>
          <w:spacing w:val="-12"/>
        </w:rPr>
        <w:t> </w:t>
      </w:r>
      <w:r>
        <w:rPr/>
        <w:t>y</w:t>
      </w:r>
      <w:r>
        <w:rPr>
          <w:spacing w:val="-15"/>
        </w:rPr>
        <w:t> </w:t>
      </w:r>
      <w:r>
        <w:rPr/>
        <w:t>entre</w:t>
      </w:r>
      <w:r>
        <w:rPr>
          <w:spacing w:val="-14"/>
        </w:rPr>
        <w:t> </w:t>
      </w:r>
      <w:r>
        <w:rPr/>
        <w:t>compañeros</w:t>
      </w:r>
      <w:r>
        <w:rPr>
          <w:spacing w:val="-15"/>
        </w:rPr>
        <w:t> </w:t>
      </w:r>
      <w:r>
        <w:rPr/>
        <w:t>estables</w:t>
      </w:r>
      <w:r>
        <w:rPr>
          <w:spacing w:val="-13"/>
        </w:rPr>
        <w:t> </w:t>
      </w:r>
      <w:r>
        <w:rPr/>
        <w:t>(Hermans</w:t>
      </w:r>
      <w:r>
        <w:rPr>
          <w:spacing w:val="-9"/>
        </w:rPr>
        <w:t> </w:t>
      </w:r>
      <w:r>
        <w:rPr>
          <w:i/>
        </w:rPr>
        <w:t>et</w:t>
      </w:r>
      <w:r>
        <w:rPr>
          <w:i/>
          <w:spacing w:val="-14"/>
        </w:rPr>
        <w:t> </w:t>
      </w:r>
      <w:r>
        <w:rPr>
          <w:i/>
        </w:rPr>
        <w:t>al.,</w:t>
      </w:r>
      <w:r>
        <w:rPr>
          <w:i/>
          <w:spacing w:val="-12"/>
        </w:rPr>
        <w:t> </w:t>
      </w:r>
      <w:r>
        <w:rPr/>
        <w:t>2003).</w:t>
      </w:r>
      <w:r>
        <w:rPr>
          <w:spacing w:val="-15"/>
        </w:rPr>
        <w:t> </w:t>
      </w:r>
      <w:r>
        <w:rPr/>
        <w:t>Como patógeno el </w:t>
      </w:r>
      <w:r>
        <w:rPr>
          <w:i/>
        </w:rPr>
        <w:t>S. aureus </w:t>
      </w:r>
      <w:r>
        <w:rPr/>
        <w:t>está involucrado en una amplia variedad de infecciones en humanos y animales y algunas cepas son también responsables de intoxicaciones de alimentos en humanos por producción de enterotoxina en alimentos. La contaminación por patógenos es considerada importante en términos de salud alimentaria. Es común encontrarlo en la canal y los cortes, y la contaminación estaphylococal puede o no resultar de lesiones. Las cepas de humanos probablemente</w:t>
      </w:r>
      <w:r>
        <w:rPr>
          <w:spacing w:val="-17"/>
        </w:rPr>
        <w:t> </w:t>
      </w:r>
      <w:r>
        <w:rPr/>
        <w:t>estén</w:t>
      </w:r>
      <w:r>
        <w:rPr>
          <w:spacing w:val="-19"/>
        </w:rPr>
        <w:t> </w:t>
      </w:r>
      <w:r>
        <w:rPr/>
        <w:t>presentes,</w:t>
      </w:r>
      <w:r>
        <w:rPr>
          <w:spacing w:val="-17"/>
        </w:rPr>
        <w:t> </w:t>
      </w:r>
      <w:r>
        <w:rPr/>
        <w:t>especialmente</w:t>
      </w:r>
      <w:r>
        <w:rPr>
          <w:spacing w:val="-17"/>
        </w:rPr>
        <w:t> </w:t>
      </w:r>
      <w:r>
        <w:rPr/>
        <w:t>si</w:t>
      </w:r>
      <w:r>
        <w:rPr>
          <w:spacing w:val="-18"/>
        </w:rPr>
        <w:t> </w:t>
      </w:r>
      <w:r>
        <w:rPr/>
        <w:t>un</w:t>
      </w:r>
      <w:r>
        <w:rPr>
          <w:spacing w:val="-19"/>
        </w:rPr>
        <w:t> </w:t>
      </w:r>
      <w:r>
        <w:rPr/>
        <w:t>alto</w:t>
      </w:r>
      <w:r>
        <w:rPr>
          <w:spacing w:val="-17"/>
        </w:rPr>
        <w:t> </w:t>
      </w:r>
      <w:r>
        <w:rPr/>
        <w:t>nivel</w:t>
      </w:r>
      <w:r>
        <w:rPr>
          <w:spacing w:val="-18"/>
        </w:rPr>
        <w:t> </w:t>
      </w:r>
      <w:r>
        <w:rPr/>
        <w:t>de</w:t>
      </w:r>
      <w:r>
        <w:rPr>
          <w:spacing w:val="-19"/>
        </w:rPr>
        <w:t> </w:t>
      </w:r>
      <w:r>
        <w:rPr/>
        <w:t>manipulación</w:t>
      </w:r>
      <w:r>
        <w:rPr>
          <w:spacing w:val="-17"/>
        </w:rPr>
        <w:t> </w:t>
      </w:r>
      <w:r>
        <w:rPr/>
        <w:t>está involucrado durante el proceso y si la higiene es deficiente. Sin embargo, ciertas cepas pueden colonizar el ambiente y contaminar la canal, los cortes y el equipo (Rodríguez </w:t>
      </w:r>
      <w:r>
        <w:rPr>
          <w:i/>
        </w:rPr>
        <w:t>et al.,</w:t>
      </w:r>
      <w:r>
        <w:rPr>
          <w:i/>
          <w:spacing w:val="-11"/>
        </w:rPr>
        <w:t> </w:t>
      </w:r>
      <w:r>
        <w:rPr/>
        <w:t>2006).</w:t>
      </w:r>
    </w:p>
    <w:p>
      <w:pPr>
        <w:pStyle w:val="BodyText"/>
      </w:pPr>
    </w:p>
    <w:p>
      <w:pPr>
        <w:pStyle w:val="BodyText"/>
      </w:pPr>
    </w:p>
    <w:p>
      <w:pPr>
        <w:pStyle w:val="BodyText"/>
        <w:spacing w:before="11"/>
        <w:rPr>
          <w:sz w:val="22"/>
        </w:rPr>
      </w:pPr>
    </w:p>
    <w:p>
      <w:pPr>
        <w:pStyle w:val="BodyText"/>
        <w:spacing w:line="360" w:lineRule="auto"/>
        <w:ind w:left="152" w:right="109"/>
        <w:jc w:val="both"/>
      </w:pPr>
      <w:r>
        <w:rPr/>
        <w:t>(Ortega </w:t>
      </w:r>
      <w:r>
        <w:rPr>
          <w:i/>
        </w:rPr>
        <w:t>et al. </w:t>
      </w:r>
      <w:r>
        <w:rPr/>
        <w:t>2009), al realizar un trabajo de campo, describieron una primera caracterización de la distribución de la resistencia a antibióticos en cepas de Staphylococcus aureus resistentes a la meticilina (MRSA) aisladas en conejos   de</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6"/>
        <w:jc w:val="both"/>
      </w:pPr>
      <w:r>
        <w:rPr/>
        <w:t>producción, reconocidas como un riesgo potencial para la salud pública. La presencia</w:t>
      </w:r>
      <w:r>
        <w:rPr>
          <w:spacing w:val="-14"/>
        </w:rPr>
        <w:t> </w:t>
      </w:r>
      <w:r>
        <w:rPr/>
        <w:t>de</w:t>
      </w:r>
      <w:r>
        <w:rPr>
          <w:spacing w:val="-12"/>
        </w:rPr>
        <w:t> </w:t>
      </w:r>
      <w:r>
        <w:rPr/>
        <w:t>cepas</w:t>
      </w:r>
      <w:r>
        <w:rPr>
          <w:spacing w:val="-15"/>
        </w:rPr>
        <w:t> </w:t>
      </w:r>
      <w:r>
        <w:rPr/>
        <w:t>de</w:t>
      </w:r>
      <w:r>
        <w:rPr>
          <w:spacing w:val="-12"/>
        </w:rPr>
        <w:t> </w:t>
      </w:r>
      <w:r>
        <w:rPr>
          <w:i/>
        </w:rPr>
        <w:t>S.</w:t>
      </w:r>
      <w:r>
        <w:rPr>
          <w:i/>
          <w:spacing w:val="-12"/>
        </w:rPr>
        <w:t> </w:t>
      </w:r>
      <w:r>
        <w:rPr>
          <w:i/>
        </w:rPr>
        <w:t>aureus</w:t>
      </w:r>
      <w:r>
        <w:rPr>
          <w:i/>
          <w:spacing w:val="-14"/>
        </w:rPr>
        <w:t> </w:t>
      </w:r>
      <w:r>
        <w:rPr/>
        <w:t>resistentes</w:t>
      </w:r>
      <w:r>
        <w:rPr>
          <w:spacing w:val="-15"/>
        </w:rPr>
        <w:t> </w:t>
      </w:r>
      <w:r>
        <w:rPr/>
        <w:t>a</w:t>
      </w:r>
      <w:r>
        <w:rPr>
          <w:spacing w:val="-14"/>
        </w:rPr>
        <w:t> </w:t>
      </w:r>
      <w:r>
        <w:rPr/>
        <w:t>antibióticos</w:t>
      </w:r>
      <w:r>
        <w:rPr>
          <w:spacing w:val="-14"/>
        </w:rPr>
        <w:t> </w:t>
      </w:r>
      <w:r>
        <w:rPr/>
        <w:t>no</w:t>
      </w:r>
      <w:r>
        <w:rPr>
          <w:spacing w:val="-12"/>
        </w:rPr>
        <w:t> </w:t>
      </w:r>
      <w:r>
        <w:rPr/>
        <w:t>concierne</w:t>
      </w:r>
      <w:r>
        <w:rPr>
          <w:spacing w:val="-14"/>
        </w:rPr>
        <w:t> </w:t>
      </w:r>
      <w:r>
        <w:rPr/>
        <w:t>únicamente a</w:t>
      </w:r>
      <w:r>
        <w:rPr>
          <w:spacing w:val="-19"/>
        </w:rPr>
        <w:t> </w:t>
      </w:r>
      <w:r>
        <w:rPr/>
        <w:t>los</w:t>
      </w:r>
      <w:r>
        <w:rPr>
          <w:spacing w:val="-19"/>
        </w:rPr>
        <w:t> </w:t>
      </w:r>
      <w:r>
        <w:rPr/>
        <w:t>seres</w:t>
      </w:r>
      <w:r>
        <w:rPr>
          <w:spacing w:val="-20"/>
        </w:rPr>
        <w:t> </w:t>
      </w:r>
      <w:r>
        <w:rPr/>
        <w:t>humanos;</w:t>
      </w:r>
      <w:r>
        <w:rPr>
          <w:spacing w:val="-19"/>
        </w:rPr>
        <w:t> </w:t>
      </w:r>
      <w:r>
        <w:rPr/>
        <w:t>también</w:t>
      </w:r>
      <w:r>
        <w:rPr>
          <w:spacing w:val="-19"/>
        </w:rPr>
        <w:t> </w:t>
      </w:r>
      <w:r>
        <w:rPr/>
        <w:t>se</w:t>
      </w:r>
      <w:r>
        <w:rPr>
          <w:spacing w:val="-21"/>
        </w:rPr>
        <w:t> </w:t>
      </w:r>
      <w:r>
        <w:rPr/>
        <w:t>ha</w:t>
      </w:r>
      <w:r>
        <w:rPr>
          <w:spacing w:val="-19"/>
        </w:rPr>
        <w:t> </w:t>
      </w:r>
      <w:r>
        <w:rPr/>
        <w:t>detectado</w:t>
      </w:r>
      <w:r>
        <w:rPr>
          <w:spacing w:val="-19"/>
        </w:rPr>
        <w:t> </w:t>
      </w:r>
      <w:r>
        <w:rPr/>
        <w:t>en</w:t>
      </w:r>
      <w:r>
        <w:rPr>
          <w:spacing w:val="-19"/>
        </w:rPr>
        <w:t> </w:t>
      </w:r>
      <w:r>
        <w:rPr/>
        <w:t>poblaciones</w:t>
      </w:r>
      <w:r>
        <w:rPr>
          <w:spacing w:val="-22"/>
        </w:rPr>
        <w:t> </w:t>
      </w:r>
      <w:r>
        <w:rPr/>
        <w:t>animales</w:t>
      </w:r>
      <w:r>
        <w:rPr>
          <w:spacing w:val="-19"/>
        </w:rPr>
        <w:t> </w:t>
      </w:r>
      <w:r>
        <w:rPr>
          <w:spacing w:val="2"/>
        </w:rPr>
        <w:t>que</w:t>
      </w:r>
      <w:r>
        <w:rPr>
          <w:spacing w:val="-19"/>
        </w:rPr>
        <w:t> </w:t>
      </w:r>
      <w:r>
        <w:rPr/>
        <w:t>podrían desempeñar</w:t>
      </w:r>
      <w:r>
        <w:rPr>
          <w:spacing w:val="-8"/>
        </w:rPr>
        <w:t> </w:t>
      </w:r>
      <w:r>
        <w:rPr/>
        <w:t>una</w:t>
      </w:r>
      <w:r>
        <w:rPr>
          <w:spacing w:val="-9"/>
        </w:rPr>
        <w:t> </w:t>
      </w:r>
      <w:r>
        <w:rPr/>
        <w:t>función</w:t>
      </w:r>
      <w:r>
        <w:rPr>
          <w:spacing w:val="-7"/>
        </w:rPr>
        <w:t> </w:t>
      </w:r>
      <w:r>
        <w:rPr/>
        <w:t>clave</w:t>
      </w:r>
      <w:r>
        <w:rPr>
          <w:spacing w:val="-7"/>
        </w:rPr>
        <w:t> </w:t>
      </w:r>
      <w:r>
        <w:rPr/>
        <w:t>en</w:t>
      </w:r>
      <w:r>
        <w:rPr>
          <w:spacing w:val="-7"/>
        </w:rPr>
        <w:t> </w:t>
      </w:r>
      <w:r>
        <w:rPr/>
        <w:t>la</w:t>
      </w:r>
      <w:r>
        <w:rPr>
          <w:spacing w:val="-7"/>
        </w:rPr>
        <w:t> </w:t>
      </w:r>
      <w:r>
        <w:rPr/>
        <w:t>transmisión</w:t>
      </w:r>
      <w:r>
        <w:rPr>
          <w:spacing w:val="-7"/>
        </w:rPr>
        <w:t> </w:t>
      </w:r>
      <w:r>
        <w:rPr/>
        <w:t>de</w:t>
      </w:r>
      <w:r>
        <w:rPr>
          <w:spacing w:val="-7"/>
        </w:rPr>
        <w:t> </w:t>
      </w:r>
      <w:r>
        <w:rPr/>
        <w:t>resistencia</w:t>
      </w:r>
      <w:r>
        <w:rPr>
          <w:spacing w:val="-10"/>
        </w:rPr>
        <w:t> </w:t>
      </w:r>
      <w:r>
        <w:rPr/>
        <w:t>de</w:t>
      </w:r>
      <w:r>
        <w:rPr>
          <w:spacing w:val="-7"/>
        </w:rPr>
        <w:t> </w:t>
      </w:r>
      <w:r>
        <w:rPr/>
        <w:t>ese</w:t>
      </w:r>
      <w:r>
        <w:rPr>
          <w:spacing w:val="-7"/>
        </w:rPr>
        <w:t> </w:t>
      </w:r>
      <w:r>
        <w:rPr/>
        <w:t>estafilococo, a través de la cadena alimentaria, por contacto directo. El papel que desempeñan especies animales portadoras como perros, gatos, caballos, cerdos o bovinos es uno de los aspectos esenciales que están considerándose en el caso de los </w:t>
      </w:r>
      <w:r>
        <w:rPr>
          <w:i/>
        </w:rPr>
        <w:t>Staphylococcus aureus </w:t>
      </w:r>
      <w:r>
        <w:rPr/>
        <w:t>adquiridos en la comunidad MRSA-AC, como la posibilidad de transmisión de la bacteria entre seres humanos y animales podría constituir un riesgo para la medicina</w:t>
      </w:r>
      <w:r>
        <w:rPr>
          <w:spacing w:val="-9"/>
        </w:rPr>
        <w:t> </w:t>
      </w:r>
      <w:r>
        <w:rPr/>
        <w:t>humana.</w:t>
      </w:r>
    </w:p>
    <w:p>
      <w:pPr>
        <w:spacing w:after="0" w:line="360" w:lineRule="auto"/>
        <w:jc w:val="both"/>
        <w:sectPr>
          <w:pgSz w:w="12240" w:h="15840"/>
          <w:pgMar w:header="0" w:footer="1326" w:top="1500" w:bottom="1580" w:left="1720" w:right="1420"/>
        </w:sectPr>
      </w:pPr>
    </w:p>
    <w:p>
      <w:pPr>
        <w:pStyle w:val="BodyText"/>
        <w:spacing w:before="2"/>
        <w:rPr>
          <w:sz w:val="21"/>
        </w:rPr>
      </w:pPr>
    </w:p>
    <w:p>
      <w:pPr>
        <w:spacing w:before="69"/>
        <w:ind w:left="2997" w:right="0" w:firstLine="0"/>
        <w:jc w:val="left"/>
        <w:rPr>
          <w:b/>
          <w:sz w:val="24"/>
        </w:rPr>
      </w:pPr>
      <w:bookmarkStart w:name="_bookmark6" w:id="7"/>
      <w:bookmarkEnd w:id="7"/>
      <w:r>
        <w:rPr/>
      </w:r>
      <w:r>
        <w:rPr>
          <w:b/>
          <w:sz w:val="24"/>
        </w:rPr>
        <w:t>REVISIÓN DE LITERATURA</w:t>
      </w:r>
    </w:p>
    <w:p>
      <w:pPr>
        <w:pStyle w:val="BodyText"/>
        <w:rPr>
          <w:b/>
        </w:rPr>
      </w:pPr>
    </w:p>
    <w:p>
      <w:pPr>
        <w:pStyle w:val="BodyText"/>
        <w:rPr>
          <w:b/>
        </w:rPr>
      </w:pPr>
    </w:p>
    <w:p>
      <w:pPr>
        <w:pStyle w:val="BodyText"/>
        <w:spacing w:line="360" w:lineRule="auto"/>
        <w:ind w:left="152" w:right="109"/>
        <w:jc w:val="both"/>
      </w:pPr>
      <w:r>
        <w:rPr/>
        <w:t>En los últimos 50 años la producción de la carne de conejo en el mundo ha incrementado a 1.6 millones de toneladas en el 2009. China es el mayor productor en</w:t>
      </w:r>
      <w:r>
        <w:rPr>
          <w:spacing w:val="-6"/>
        </w:rPr>
        <w:t> </w:t>
      </w:r>
      <w:r>
        <w:rPr/>
        <w:t>el</w:t>
      </w:r>
      <w:r>
        <w:rPr>
          <w:spacing w:val="-7"/>
        </w:rPr>
        <w:t> </w:t>
      </w:r>
      <w:r>
        <w:rPr/>
        <w:t>mundo</w:t>
      </w:r>
      <w:r>
        <w:rPr>
          <w:spacing w:val="-6"/>
        </w:rPr>
        <w:t> </w:t>
      </w:r>
      <w:r>
        <w:rPr/>
        <w:t>con</w:t>
      </w:r>
      <w:r>
        <w:rPr>
          <w:spacing w:val="-6"/>
        </w:rPr>
        <w:t> </w:t>
      </w:r>
      <w:r>
        <w:rPr/>
        <w:t>700,000</w:t>
      </w:r>
      <w:r>
        <w:rPr>
          <w:spacing w:val="-6"/>
        </w:rPr>
        <w:t> </w:t>
      </w:r>
      <w:r>
        <w:rPr/>
        <w:t>t/año.</w:t>
      </w:r>
      <w:r>
        <w:rPr>
          <w:spacing w:val="-6"/>
        </w:rPr>
        <w:t> </w:t>
      </w:r>
      <w:r>
        <w:rPr/>
        <w:t>Italia</w:t>
      </w:r>
      <w:r>
        <w:rPr>
          <w:spacing w:val="-6"/>
        </w:rPr>
        <w:t> </w:t>
      </w:r>
      <w:r>
        <w:rPr/>
        <w:t>230,000</w:t>
      </w:r>
      <w:r>
        <w:rPr>
          <w:spacing w:val="-8"/>
        </w:rPr>
        <w:t> </w:t>
      </w:r>
      <w:r>
        <w:rPr/>
        <w:t>t/año.</w:t>
      </w:r>
      <w:r>
        <w:rPr>
          <w:spacing w:val="-6"/>
        </w:rPr>
        <w:t> </w:t>
      </w:r>
      <w:r>
        <w:rPr/>
        <w:t>España</w:t>
      </w:r>
      <w:r>
        <w:rPr>
          <w:spacing w:val="-6"/>
        </w:rPr>
        <w:t> </w:t>
      </w:r>
      <w:r>
        <w:rPr/>
        <w:t>74,161</w:t>
      </w:r>
      <w:r>
        <w:rPr>
          <w:spacing w:val="-1"/>
        </w:rPr>
        <w:t> </w:t>
      </w:r>
      <w:r>
        <w:rPr/>
        <w:t>t/año</w:t>
      </w:r>
      <w:r>
        <w:rPr>
          <w:spacing w:val="-6"/>
        </w:rPr>
        <w:t> </w:t>
      </w:r>
      <w:r>
        <w:rPr/>
        <w:t>y</w:t>
      </w:r>
      <w:r>
        <w:rPr>
          <w:spacing w:val="-9"/>
        </w:rPr>
        <w:t> </w:t>
      </w:r>
      <w:r>
        <w:rPr/>
        <w:t>Francia 51,400 t/año. La carne de conejo es consumida rutinariamente en muchos países europeos y juega un papel muy importante en su economía. En estos países la aceptación de carne de conejo no enfrenta ningún tipo de problema, pues por tradición han incluido este manjar dentro de su menú familiar y cotidiano, debido a que existe entre la sociedad conocimiento de la excelente calidad de esta carne y de los diversos modos de preparación (Dalle y Szendrő,</w:t>
      </w:r>
      <w:r>
        <w:rPr>
          <w:spacing w:val="-18"/>
        </w:rPr>
        <w:t> </w:t>
      </w:r>
      <w:r>
        <w:rPr/>
        <w:t>2011).</w:t>
      </w:r>
    </w:p>
    <w:p>
      <w:pPr>
        <w:pStyle w:val="BodyText"/>
      </w:pPr>
    </w:p>
    <w:p>
      <w:pPr>
        <w:pStyle w:val="BodyText"/>
        <w:spacing w:line="360" w:lineRule="auto" w:before="142"/>
        <w:ind w:left="152" w:right="105"/>
        <w:jc w:val="both"/>
      </w:pPr>
      <w:r>
        <w:rPr/>
        <w:t>México ocupa el décimo cuarto lugar a nivel mundial como productor de carne de conejo (SAGARPA, 2012). El inventario nacional cunicola en el año de 2014 fue</w:t>
      </w:r>
      <w:r>
        <w:rPr>
          <w:spacing w:val="-38"/>
        </w:rPr>
        <w:t> </w:t>
      </w:r>
      <w:r>
        <w:rPr/>
        <w:t>de 362</w:t>
      </w:r>
      <w:r>
        <w:rPr>
          <w:spacing w:val="-8"/>
        </w:rPr>
        <w:t> </w:t>
      </w:r>
      <w:r>
        <w:rPr/>
        <w:t>mil</w:t>
      </w:r>
      <w:r>
        <w:rPr>
          <w:spacing w:val="-8"/>
        </w:rPr>
        <w:t> </w:t>
      </w:r>
      <w:r>
        <w:rPr/>
        <w:t>753</w:t>
      </w:r>
      <w:r>
        <w:rPr>
          <w:spacing w:val="-6"/>
        </w:rPr>
        <w:t> </w:t>
      </w:r>
      <w:r>
        <w:rPr/>
        <w:t>vientres</w:t>
      </w:r>
      <w:r>
        <w:rPr>
          <w:spacing w:val="-7"/>
        </w:rPr>
        <w:t> </w:t>
      </w:r>
      <w:r>
        <w:rPr/>
        <w:t>productivos,</w:t>
      </w:r>
      <w:r>
        <w:rPr>
          <w:spacing w:val="-6"/>
        </w:rPr>
        <w:t> </w:t>
      </w:r>
      <w:r>
        <w:rPr/>
        <w:t>con</w:t>
      </w:r>
      <w:r>
        <w:rPr>
          <w:spacing w:val="-8"/>
        </w:rPr>
        <w:t> </w:t>
      </w:r>
      <w:r>
        <w:rPr/>
        <w:t>un</w:t>
      </w:r>
      <w:r>
        <w:rPr>
          <w:spacing w:val="-6"/>
        </w:rPr>
        <w:t> </w:t>
      </w:r>
      <w:r>
        <w:rPr/>
        <w:t>volumen</w:t>
      </w:r>
      <w:r>
        <w:rPr>
          <w:spacing w:val="-8"/>
        </w:rPr>
        <w:t> </w:t>
      </w:r>
      <w:r>
        <w:rPr/>
        <w:t>de</w:t>
      </w:r>
      <w:r>
        <w:rPr>
          <w:spacing w:val="-6"/>
        </w:rPr>
        <w:t> </w:t>
      </w:r>
      <w:r>
        <w:rPr/>
        <w:t>producción</w:t>
      </w:r>
      <w:r>
        <w:rPr>
          <w:spacing w:val="-6"/>
        </w:rPr>
        <w:t> </w:t>
      </w:r>
      <w:r>
        <w:rPr/>
        <w:t>de</w:t>
      </w:r>
      <w:r>
        <w:rPr>
          <w:spacing w:val="-8"/>
        </w:rPr>
        <w:t> </w:t>
      </w:r>
      <w:r>
        <w:rPr/>
        <w:t>1087</w:t>
      </w:r>
      <w:r>
        <w:rPr>
          <w:spacing w:val="-6"/>
        </w:rPr>
        <w:t> </w:t>
      </w:r>
      <w:r>
        <w:rPr/>
        <w:t>toneladas de carne de conejo (SAGARPA, 2015). La mayor concentración de unidades de producción</w:t>
      </w:r>
      <w:r>
        <w:rPr>
          <w:spacing w:val="-7"/>
        </w:rPr>
        <w:t> </w:t>
      </w:r>
      <w:r>
        <w:rPr/>
        <w:t>cunicula</w:t>
      </w:r>
      <w:r>
        <w:rPr>
          <w:spacing w:val="-7"/>
        </w:rPr>
        <w:t> </w:t>
      </w:r>
      <w:r>
        <w:rPr/>
        <w:t>se</w:t>
      </w:r>
      <w:r>
        <w:rPr>
          <w:spacing w:val="-9"/>
        </w:rPr>
        <w:t> </w:t>
      </w:r>
      <w:r>
        <w:rPr/>
        <w:t>observa</w:t>
      </w:r>
      <w:r>
        <w:rPr>
          <w:spacing w:val="-7"/>
        </w:rPr>
        <w:t> </w:t>
      </w:r>
      <w:r>
        <w:rPr/>
        <w:t>en</w:t>
      </w:r>
      <w:r>
        <w:rPr>
          <w:spacing w:val="-7"/>
        </w:rPr>
        <w:t> </w:t>
      </w:r>
      <w:r>
        <w:rPr/>
        <w:t>el</w:t>
      </w:r>
      <w:r>
        <w:rPr>
          <w:spacing w:val="-8"/>
        </w:rPr>
        <w:t> </w:t>
      </w:r>
      <w:r>
        <w:rPr/>
        <w:t>centro</w:t>
      </w:r>
      <w:r>
        <w:rPr>
          <w:spacing w:val="-9"/>
        </w:rPr>
        <w:t> </w:t>
      </w:r>
      <w:r>
        <w:rPr/>
        <w:t>del</w:t>
      </w:r>
      <w:r>
        <w:rPr>
          <w:spacing w:val="-8"/>
        </w:rPr>
        <w:t> </w:t>
      </w:r>
      <w:r>
        <w:rPr/>
        <w:t>país,</w:t>
      </w:r>
      <w:r>
        <w:rPr>
          <w:spacing w:val="-7"/>
        </w:rPr>
        <w:t> </w:t>
      </w:r>
      <w:r>
        <w:rPr/>
        <w:t>principalmente</w:t>
      </w:r>
      <w:r>
        <w:rPr>
          <w:spacing w:val="-9"/>
        </w:rPr>
        <w:t> </w:t>
      </w:r>
      <w:r>
        <w:rPr/>
        <w:t>en</w:t>
      </w:r>
      <w:r>
        <w:rPr>
          <w:spacing w:val="-7"/>
        </w:rPr>
        <w:t> </w:t>
      </w:r>
      <w:r>
        <w:rPr/>
        <w:t>los</w:t>
      </w:r>
      <w:r>
        <w:rPr>
          <w:spacing w:val="-7"/>
        </w:rPr>
        <w:t> </w:t>
      </w:r>
      <w:r>
        <w:rPr/>
        <w:t>estados de: México, Puebla, Tlaxcala, Morelos, Distrito Federal, Michoacán, Guanajuato, Querétaro, Hidalgo y Jalisco (SAGARPA, 2014). El Estado de México es considerado el principal productor de conejos a nivel nacional con un inventario de 64</w:t>
      </w:r>
      <w:r>
        <w:rPr>
          <w:spacing w:val="-13"/>
        </w:rPr>
        <w:t> </w:t>
      </w:r>
      <w:r>
        <w:rPr/>
        <w:t>mil</w:t>
      </w:r>
      <w:r>
        <w:rPr>
          <w:spacing w:val="-13"/>
        </w:rPr>
        <w:t> </w:t>
      </w:r>
      <w:r>
        <w:rPr/>
        <w:t>vientres</w:t>
      </w:r>
      <w:r>
        <w:rPr>
          <w:spacing w:val="42"/>
        </w:rPr>
        <w:t> </w:t>
      </w:r>
      <w:r>
        <w:rPr/>
        <w:t>y</w:t>
      </w:r>
      <w:r>
        <w:rPr>
          <w:spacing w:val="-14"/>
        </w:rPr>
        <w:t> </w:t>
      </w:r>
      <w:r>
        <w:rPr/>
        <w:t>un</w:t>
      </w:r>
      <w:r>
        <w:rPr>
          <w:spacing w:val="-13"/>
        </w:rPr>
        <w:t> </w:t>
      </w:r>
      <w:r>
        <w:rPr/>
        <w:t>volumen</w:t>
      </w:r>
      <w:r>
        <w:rPr>
          <w:spacing w:val="-13"/>
        </w:rPr>
        <w:t> </w:t>
      </w:r>
      <w:r>
        <w:rPr/>
        <w:t>de</w:t>
      </w:r>
      <w:r>
        <w:rPr>
          <w:spacing w:val="-13"/>
        </w:rPr>
        <w:t> </w:t>
      </w:r>
      <w:r>
        <w:rPr/>
        <w:t>producción</w:t>
      </w:r>
      <w:r>
        <w:rPr>
          <w:spacing w:val="-13"/>
        </w:rPr>
        <w:t> </w:t>
      </w:r>
      <w:r>
        <w:rPr/>
        <w:t>anual</w:t>
      </w:r>
      <w:r>
        <w:rPr>
          <w:spacing w:val="-14"/>
        </w:rPr>
        <w:t> </w:t>
      </w:r>
      <w:r>
        <w:rPr/>
        <w:t>estimado</w:t>
      </w:r>
      <w:r>
        <w:rPr>
          <w:spacing w:val="-11"/>
        </w:rPr>
        <w:t> </w:t>
      </w:r>
      <w:r>
        <w:rPr/>
        <w:t>de</w:t>
      </w:r>
      <w:r>
        <w:rPr>
          <w:spacing w:val="-13"/>
        </w:rPr>
        <w:t> </w:t>
      </w:r>
      <w:r>
        <w:rPr/>
        <w:t>54</w:t>
      </w:r>
      <w:r>
        <w:rPr>
          <w:spacing w:val="-13"/>
        </w:rPr>
        <w:t> </w:t>
      </w:r>
      <w:r>
        <w:rPr/>
        <w:t>mil</w:t>
      </w:r>
      <w:r>
        <w:rPr>
          <w:spacing w:val="-12"/>
        </w:rPr>
        <w:t> </w:t>
      </w:r>
      <w:r>
        <w:rPr/>
        <w:t>600</w:t>
      </w:r>
      <w:r>
        <w:rPr>
          <w:spacing w:val="-13"/>
        </w:rPr>
        <w:t> </w:t>
      </w:r>
      <w:r>
        <w:rPr/>
        <w:t>toneladas destinadas al abasto nacional de carne (SAGARPA, 2015). El consumo </w:t>
      </w:r>
      <w:r>
        <w:rPr>
          <w:i/>
        </w:rPr>
        <w:t>per capita </w:t>
      </w:r>
      <w:r>
        <w:rPr/>
        <w:t>de</w:t>
      </w:r>
      <w:r>
        <w:rPr>
          <w:spacing w:val="-16"/>
        </w:rPr>
        <w:t> </w:t>
      </w:r>
      <w:r>
        <w:rPr/>
        <w:t>carne</w:t>
      </w:r>
      <w:r>
        <w:rPr>
          <w:spacing w:val="-16"/>
        </w:rPr>
        <w:t> </w:t>
      </w:r>
      <w:r>
        <w:rPr/>
        <w:t>de</w:t>
      </w:r>
      <w:r>
        <w:rPr>
          <w:spacing w:val="-14"/>
        </w:rPr>
        <w:t> </w:t>
      </w:r>
      <w:r>
        <w:rPr/>
        <w:t>conejo</w:t>
      </w:r>
      <w:r>
        <w:rPr>
          <w:spacing w:val="34"/>
        </w:rPr>
        <w:t> </w:t>
      </w:r>
      <w:r>
        <w:rPr/>
        <w:t>a</w:t>
      </w:r>
      <w:r>
        <w:rPr>
          <w:spacing w:val="-16"/>
        </w:rPr>
        <w:t> </w:t>
      </w:r>
      <w:r>
        <w:rPr/>
        <w:t>nivel</w:t>
      </w:r>
      <w:r>
        <w:rPr>
          <w:spacing w:val="-17"/>
        </w:rPr>
        <w:t> </w:t>
      </w:r>
      <w:r>
        <w:rPr/>
        <w:t>mundial</w:t>
      </w:r>
      <w:r>
        <w:rPr>
          <w:spacing w:val="-16"/>
        </w:rPr>
        <w:t> </w:t>
      </w:r>
      <w:r>
        <w:rPr/>
        <w:t>se</w:t>
      </w:r>
      <w:r>
        <w:rPr>
          <w:spacing w:val="-16"/>
        </w:rPr>
        <w:t> </w:t>
      </w:r>
      <w:r>
        <w:rPr/>
        <w:t>estima</w:t>
      </w:r>
      <w:r>
        <w:rPr>
          <w:spacing w:val="-18"/>
        </w:rPr>
        <w:t> </w:t>
      </w:r>
      <w:r>
        <w:rPr/>
        <w:t>de</w:t>
      </w:r>
      <w:r>
        <w:rPr>
          <w:spacing w:val="-16"/>
        </w:rPr>
        <w:t> </w:t>
      </w:r>
      <w:r>
        <w:rPr/>
        <w:t>300</w:t>
      </w:r>
      <w:r>
        <w:rPr>
          <w:spacing w:val="-11"/>
        </w:rPr>
        <w:t> </w:t>
      </w:r>
      <w:r>
        <w:rPr/>
        <w:t>g</w:t>
      </w:r>
      <w:r>
        <w:rPr>
          <w:spacing w:val="-18"/>
        </w:rPr>
        <w:t> </w:t>
      </w:r>
      <w:r>
        <w:rPr/>
        <w:t>(Cury</w:t>
      </w:r>
      <w:r>
        <w:rPr>
          <w:spacing w:val="-19"/>
        </w:rPr>
        <w:t> </w:t>
      </w:r>
      <w:r>
        <w:rPr>
          <w:i/>
        </w:rPr>
        <w:t>et</w:t>
      </w:r>
      <w:r>
        <w:rPr>
          <w:i/>
          <w:spacing w:val="-16"/>
        </w:rPr>
        <w:t> </w:t>
      </w:r>
      <w:r>
        <w:rPr>
          <w:i/>
        </w:rPr>
        <w:t>al.,</w:t>
      </w:r>
      <w:r>
        <w:rPr>
          <w:i/>
          <w:spacing w:val="-15"/>
        </w:rPr>
        <w:t> </w:t>
      </w:r>
      <w:r>
        <w:rPr/>
        <w:t>2011),</w:t>
      </w:r>
      <w:r>
        <w:rPr>
          <w:spacing w:val="-17"/>
        </w:rPr>
        <w:t> </w:t>
      </w:r>
      <w:r>
        <w:rPr/>
        <w:t>en</w:t>
      </w:r>
      <w:r>
        <w:rPr>
          <w:spacing w:val="-16"/>
        </w:rPr>
        <w:t> </w:t>
      </w:r>
      <w:r>
        <w:rPr/>
        <w:t>México el consumo estimado es de 100 a 120 g (Arriaga y Anaya, 2014; Rosas,</w:t>
      </w:r>
      <w:r>
        <w:rPr>
          <w:spacing w:val="-24"/>
        </w:rPr>
        <w:t> </w:t>
      </w:r>
      <w:r>
        <w:rPr/>
        <w:t>2013).</w:t>
      </w:r>
    </w:p>
    <w:p>
      <w:pPr>
        <w:pStyle w:val="BodyText"/>
      </w:pPr>
    </w:p>
    <w:p>
      <w:pPr>
        <w:pStyle w:val="BodyText"/>
        <w:spacing w:line="360" w:lineRule="auto" w:before="142"/>
        <w:ind w:left="152" w:right="110"/>
        <w:jc w:val="both"/>
      </w:pPr>
      <w:r>
        <w:rPr/>
        <w:t>La</w:t>
      </w:r>
      <w:r>
        <w:rPr>
          <w:spacing w:val="-7"/>
        </w:rPr>
        <w:t> </w:t>
      </w:r>
      <w:r>
        <w:rPr/>
        <w:t>producción</w:t>
      </w:r>
      <w:r>
        <w:rPr>
          <w:spacing w:val="-7"/>
        </w:rPr>
        <w:t> </w:t>
      </w:r>
      <w:r>
        <w:rPr/>
        <w:t>de</w:t>
      </w:r>
      <w:r>
        <w:rPr>
          <w:spacing w:val="-7"/>
        </w:rPr>
        <w:t> </w:t>
      </w:r>
      <w:r>
        <w:rPr/>
        <w:t>conejo</w:t>
      </w:r>
      <w:r>
        <w:rPr>
          <w:spacing w:val="-5"/>
        </w:rPr>
        <w:t> </w:t>
      </w:r>
      <w:r>
        <w:rPr/>
        <w:t>es</w:t>
      </w:r>
      <w:r>
        <w:rPr>
          <w:spacing w:val="-8"/>
        </w:rPr>
        <w:t> </w:t>
      </w:r>
      <w:r>
        <w:rPr/>
        <w:t>una</w:t>
      </w:r>
      <w:r>
        <w:rPr>
          <w:spacing w:val="-5"/>
        </w:rPr>
        <w:t> </w:t>
      </w:r>
      <w:r>
        <w:rPr/>
        <w:t>excelente</w:t>
      </w:r>
      <w:r>
        <w:rPr>
          <w:spacing w:val="-7"/>
        </w:rPr>
        <w:t> </w:t>
      </w:r>
      <w:r>
        <w:rPr/>
        <w:t>alternativa</w:t>
      </w:r>
      <w:r>
        <w:rPr>
          <w:spacing w:val="-5"/>
        </w:rPr>
        <w:t> </w:t>
      </w:r>
      <w:r>
        <w:rPr/>
        <w:t>para</w:t>
      </w:r>
      <w:r>
        <w:rPr>
          <w:spacing w:val="-8"/>
        </w:rPr>
        <w:t> </w:t>
      </w:r>
      <w:r>
        <w:rPr/>
        <w:t>que</w:t>
      </w:r>
      <w:r>
        <w:rPr>
          <w:spacing w:val="-7"/>
        </w:rPr>
        <w:t> </w:t>
      </w:r>
      <w:r>
        <w:rPr/>
        <w:t>productores</w:t>
      </w:r>
      <w:r>
        <w:rPr>
          <w:spacing w:val="-8"/>
        </w:rPr>
        <w:t> </w:t>
      </w:r>
      <w:r>
        <w:rPr/>
        <w:t>de</w:t>
      </w:r>
      <w:r>
        <w:rPr>
          <w:spacing w:val="-7"/>
        </w:rPr>
        <w:t> </w:t>
      </w:r>
      <w:r>
        <w:rPr/>
        <w:t>baja escala, ubicados en zonas marginadas, obtengan buenos ingresos con</w:t>
      </w:r>
      <w:r>
        <w:rPr>
          <w:spacing w:val="-39"/>
        </w:rPr>
        <w:t> </w:t>
      </w:r>
      <w:r>
        <w:rPr/>
        <w:t>inversiones mínimas. En México, la cunicultura o crianza de conejo se practica en sistemas familiares,</w:t>
      </w:r>
      <w:r>
        <w:rPr>
          <w:spacing w:val="-14"/>
        </w:rPr>
        <w:t> </w:t>
      </w:r>
      <w:r>
        <w:rPr/>
        <w:t>semitecnificados</w:t>
      </w:r>
      <w:r>
        <w:rPr>
          <w:spacing w:val="-13"/>
        </w:rPr>
        <w:t> </w:t>
      </w:r>
      <w:r>
        <w:rPr/>
        <w:t>y</w:t>
      </w:r>
      <w:r>
        <w:rPr>
          <w:spacing w:val="-15"/>
        </w:rPr>
        <w:t> </w:t>
      </w:r>
      <w:r>
        <w:rPr/>
        <w:t>tecnificados.</w:t>
      </w:r>
      <w:r>
        <w:rPr>
          <w:spacing w:val="-12"/>
        </w:rPr>
        <w:t> </w:t>
      </w:r>
      <w:r>
        <w:rPr/>
        <w:t>Los</w:t>
      </w:r>
      <w:r>
        <w:rPr>
          <w:spacing w:val="-13"/>
        </w:rPr>
        <w:t> </w:t>
      </w:r>
      <w:r>
        <w:rPr/>
        <w:t>principales</w:t>
      </w:r>
      <w:r>
        <w:rPr>
          <w:spacing w:val="-14"/>
        </w:rPr>
        <w:t> </w:t>
      </w:r>
      <w:r>
        <w:rPr/>
        <w:t>productos</w:t>
      </w:r>
      <w:r>
        <w:rPr>
          <w:spacing w:val="-15"/>
        </w:rPr>
        <w:t> </w:t>
      </w:r>
      <w:r>
        <w:rPr/>
        <w:t>del</w:t>
      </w:r>
      <w:r>
        <w:rPr>
          <w:spacing w:val="-13"/>
        </w:rPr>
        <w:t> </w:t>
      </w:r>
      <w:r>
        <w:rPr/>
        <w:t>conejo</w:t>
      </w:r>
      <w:r>
        <w:rPr>
          <w:spacing w:val="-14"/>
        </w:rPr>
        <w:t> </w:t>
      </w:r>
      <w:r>
        <w:rPr/>
        <w:t>son</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11"/>
        <w:jc w:val="both"/>
      </w:pPr>
      <w:r>
        <w:rPr/>
        <w:t>la carne, el pelo, la piel y ornato, pero se obtienen otros subproductos como el estiércol (SAGARPA, 2012).</w:t>
      </w:r>
    </w:p>
    <w:p>
      <w:pPr>
        <w:pStyle w:val="BodyText"/>
        <w:spacing w:before="10"/>
      </w:pPr>
    </w:p>
    <w:p>
      <w:pPr>
        <w:pStyle w:val="BodyText"/>
        <w:spacing w:line="360" w:lineRule="auto"/>
        <w:ind w:left="152" w:right="104"/>
        <w:jc w:val="both"/>
      </w:pPr>
      <w:r>
        <w:rPr/>
        <w:t>La cunicultura brinda muchas posibilidades de mejorar la seguridad alimentaria de los pequeños campesinos en todo el mundo. Una actividad relativamente simple, puede producir pequeños ingresos y contribuir a mejorar la dieta familiar en las comunidades urbanas y rurales, con costos mínimos de insumos y mano de obra (FAO, 1999).</w:t>
      </w:r>
    </w:p>
    <w:p>
      <w:pPr>
        <w:pStyle w:val="BodyText"/>
        <w:spacing w:before="10"/>
      </w:pPr>
    </w:p>
    <w:p>
      <w:pPr>
        <w:pStyle w:val="BodyText"/>
        <w:spacing w:line="360" w:lineRule="auto"/>
        <w:ind w:left="152" w:right="105"/>
        <w:jc w:val="both"/>
      </w:pPr>
      <w:r>
        <w:rPr/>
        <w:t>La producción comercial de conejos en México tiene un gran potencial porque se produce</w:t>
      </w:r>
      <w:r>
        <w:rPr>
          <w:spacing w:val="-7"/>
        </w:rPr>
        <w:t> </w:t>
      </w:r>
      <w:r>
        <w:rPr/>
        <w:t>carne</w:t>
      </w:r>
      <w:r>
        <w:rPr>
          <w:spacing w:val="-7"/>
        </w:rPr>
        <w:t> </w:t>
      </w:r>
      <w:r>
        <w:rPr/>
        <w:t>con</w:t>
      </w:r>
      <w:r>
        <w:rPr>
          <w:spacing w:val="-9"/>
        </w:rPr>
        <w:t> </w:t>
      </w:r>
      <w:r>
        <w:rPr/>
        <w:t>altos</w:t>
      </w:r>
      <w:r>
        <w:rPr>
          <w:spacing w:val="-8"/>
        </w:rPr>
        <w:t> </w:t>
      </w:r>
      <w:r>
        <w:rPr/>
        <w:t>valores</w:t>
      </w:r>
      <w:r>
        <w:rPr>
          <w:spacing w:val="-8"/>
        </w:rPr>
        <w:t> </w:t>
      </w:r>
      <w:r>
        <w:rPr/>
        <w:t>nutricionales</w:t>
      </w:r>
      <w:r>
        <w:rPr>
          <w:spacing w:val="-10"/>
        </w:rPr>
        <w:t> </w:t>
      </w:r>
      <w:r>
        <w:rPr/>
        <w:t>a</w:t>
      </w:r>
      <w:r>
        <w:rPr>
          <w:spacing w:val="-7"/>
        </w:rPr>
        <w:t> </w:t>
      </w:r>
      <w:r>
        <w:rPr/>
        <w:t>bajos</w:t>
      </w:r>
      <w:r>
        <w:rPr>
          <w:spacing w:val="-8"/>
        </w:rPr>
        <w:t> </w:t>
      </w:r>
      <w:r>
        <w:rPr/>
        <w:t>costo.</w:t>
      </w:r>
      <w:r>
        <w:rPr>
          <w:spacing w:val="-10"/>
        </w:rPr>
        <w:t> </w:t>
      </w:r>
      <w:r>
        <w:rPr/>
        <w:t>Los</w:t>
      </w:r>
      <w:r>
        <w:rPr>
          <w:spacing w:val="-10"/>
        </w:rPr>
        <w:t> </w:t>
      </w:r>
      <w:r>
        <w:rPr/>
        <w:t>conejos</w:t>
      </w:r>
      <w:r>
        <w:rPr>
          <w:spacing w:val="-7"/>
        </w:rPr>
        <w:t> </w:t>
      </w:r>
      <w:r>
        <w:rPr/>
        <w:t>tienen</w:t>
      </w:r>
      <w:r>
        <w:rPr>
          <w:spacing w:val="-9"/>
        </w:rPr>
        <w:t> </w:t>
      </w:r>
      <w:r>
        <w:rPr/>
        <w:t>una alta prolificidad y eficacia alimenticia, se comercializa a temprana edad y requiere una pequeña área. Por lo tanto los conejos pueden ser engordados con un bajo costo</w:t>
      </w:r>
      <w:r>
        <w:rPr>
          <w:spacing w:val="-7"/>
        </w:rPr>
        <w:t> </w:t>
      </w:r>
      <w:r>
        <w:rPr/>
        <w:t>de</w:t>
      </w:r>
      <w:r>
        <w:rPr>
          <w:spacing w:val="-7"/>
        </w:rPr>
        <w:t> </w:t>
      </w:r>
      <w:r>
        <w:rPr/>
        <w:t>producción.</w:t>
      </w:r>
      <w:r>
        <w:rPr>
          <w:spacing w:val="-5"/>
        </w:rPr>
        <w:t> </w:t>
      </w:r>
      <w:r>
        <w:rPr/>
        <w:t>Las</w:t>
      </w:r>
      <w:r>
        <w:rPr>
          <w:spacing w:val="-8"/>
        </w:rPr>
        <w:t> </w:t>
      </w:r>
      <w:r>
        <w:rPr/>
        <w:t>razas</w:t>
      </w:r>
      <w:r>
        <w:rPr>
          <w:spacing w:val="-8"/>
        </w:rPr>
        <w:t> </w:t>
      </w:r>
      <w:r>
        <w:rPr/>
        <w:t>que</w:t>
      </w:r>
      <w:r>
        <w:rPr>
          <w:spacing w:val="-7"/>
        </w:rPr>
        <w:t> </w:t>
      </w:r>
      <w:r>
        <w:rPr/>
        <w:t>se</w:t>
      </w:r>
      <w:r>
        <w:rPr>
          <w:spacing w:val="-6"/>
        </w:rPr>
        <w:t> </w:t>
      </w:r>
      <w:r>
        <w:rPr/>
        <w:t>usan</w:t>
      </w:r>
      <w:r>
        <w:rPr>
          <w:spacing w:val="-9"/>
        </w:rPr>
        <w:t> </w:t>
      </w:r>
      <w:r>
        <w:rPr/>
        <w:t>para</w:t>
      </w:r>
      <w:r>
        <w:rPr>
          <w:spacing w:val="-8"/>
        </w:rPr>
        <w:t> </w:t>
      </w:r>
      <w:r>
        <w:rPr/>
        <w:t>la</w:t>
      </w:r>
      <w:r>
        <w:rPr>
          <w:spacing w:val="-7"/>
        </w:rPr>
        <w:t> </w:t>
      </w:r>
      <w:r>
        <w:rPr/>
        <w:t>producción</w:t>
      </w:r>
      <w:r>
        <w:rPr>
          <w:spacing w:val="-7"/>
        </w:rPr>
        <w:t> </w:t>
      </w:r>
      <w:r>
        <w:rPr/>
        <w:t>de</w:t>
      </w:r>
      <w:r>
        <w:rPr>
          <w:spacing w:val="-9"/>
        </w:rPr>
        <w:t> </w:t>
      </w:r>
      <w:r>
        <w:rPr/>
        <w:t>carne</w:t>
      </w:r>
      <w:r>
        <w:rPr>
          <w:spacing w:val="-7"/>
        </w:rPr>
        <w:t> </w:t>
      </w:r>
      <w:r>
        <w:rPr/>
        <w:t>en</w:t>
      </w:r>
      <w:r>
        <w:rPr>
          <w:spacing w:val="-7"/>
        </w:rPr>
        <w:t> </w:t>
      </w:r>
      <w:r>
        <w:rPr/>
        <w:t>México son Nueva Zelanda y California; sin embargo, en años recientes se han incluido en la producción de cría razas como la Chinchilla y Rex (Ortiz y Rubio, 2001; Barrón </w:t>
      </w:r>
      <w:r>
        <w:rPr>
          <w:i/>
        </w:rPr>
        <w:t>et al., </w:t>
      </w:r>
      <w:r>
        <w:rPr/>
        <w:t>2004). Los conejos tienen propiedades únicas como alimento y para el comercio.</w:t>
      </w:r>
      <w:r>
        <w:rPr>
          <w:spacing w:val="-19"/>
        </w:rPr>
        <w:t> </w:t>
      </w:r>
      <w:r>
        <w:rPr/>
        <w:t>Producen</w:t>
      </w:r>
      <w:r>
        <w:rPr>
          <w:spacing w:val="-21"/>
        </w:rPr>
        <w:t> </w:t>
      </w:r>
      <w:r>
        <w:rPr/>
        <w:t>una</w:t>
      </w:r>
      <w:r>
        <w:rPr>
          <w:spacing w:val="-19"/>
        </w:rPr>
        <w:t> </w:t>
      </w:r>
      <w:r>
        <w:rPr/>
        <w:t>carne</w:t>
      </w:r>
      <w:r>
        <w:rPr>
          <w:spacing w:val="-21"/>
        </w:rPr>
        <w:t> </w:t>
      </w:r>
      <w:r>
        <w:rPr/>
        <w:t>muy</w:t>
      </w:r>
      <w:r>
        <w:rPr>
          <w:spacing w:val="-22"/>
        </w:rPr>
        <w:t> </w:t>
      </w:r>
      <w:r>
        <w:rPr/>
        <w:t>nutritiva,</w:t>
      </w:r>
      <w:r>
        <w:rPr>
          <w:spacing w:val="-19"/>
        </w:rPr>
        <w:t> </w:t>
      </w:r>
      <w:r>
        <w:rPr/>
        <w:t>con</w:t>
      </w:r>
      <w:r>
        <w:rPr>
          <w:spacing w:val="-19"/>
        </w:rPr>
        <w:t> </w:t>
      </w:r>
      <w:r>
        <w:rPr/>
        <w:t>poca</w:t>
      </w:r>
      <w:r>
        <w:rPr>
          <w:spacing w:val="-19"/>
        </w:rPr>
        <w:t> </w:t>
      </w:r>
      <w:r>
        <w:rPr/>
        <w:t>grasa</w:t>
      </w:r>
      <w:r>
        <w:rPr>
          <w:spacing w:val="-19"/>
        </w:rPr>
        <w:t> </w:t>
      </w:r>
      <w:r>
        <w:rPr/>
        <w:t>y</w:t>
      </w:r>
      <w:r>
        <w:rPr>
          <w:spacing w:val="-22"/>
        </w:rPr>
        <w:t> </w:t>
      </w:r>
      <w:r>
        <w:rPr/>
        <w:t>colesterol,</w:t>
      </w:r>
      <w:r>
        <w:rPr>
          <w:spacing w:val="-20"/>
        </w:rPr>
        <w:t> </w:t>
      </w:r>
      <w:r>
        <w:rPr/>
        <w:t>abundante en</w:t>
      </w:r>
      <w:r>
        <w:rPr>
          <w:spacing w:val="-11"/>
        </w:rPr>
        <w:t> </w:t>
      </w:r>
      <w:r>
        <w:rPr/>
        <w:t>proteínas</w:t>
      </w:r>
      <w:r>
        <w:rPr>
          <w:spacing w:val="-12"/>
        </w:rPr>
        <w:t> </w:t>
      </w:r>
      <w:r>
        <w:rPr/>
        <w:t>y</w:t>
      </w:r>
      <w:r>
        <w:rPr>
          <w:spacing w:val="-14"/>
        </w:rPr>
        <w:t> </w:t>
      </w:r>
      <w:r>
        <w:rPr/>
        <w:t>rica</w:t>
      </w:r>
      <w:r>
        <w:rPr>
          <w:spacing w:val="-11"/>
        </w:rPr>
        <w:t> </w:t>
      </w:r>
      <w:r>
        <w:rPr/>
        <w:t>en</w:t>
      </w:r>
      <w:r>
        <w:rPr>
          <w:spacing w:val="-11"/>
        </w:rPr>
        <w:t> </w:t>
      </w:r>
      <w:r>
        <w:rPr/>
        <w:t>vitaminas</w:t>
      </w:r>
      <w:r>
        <w:rPr>
          <w:spacing w:val="-12"/>
        </w:rPr>
        <w:t> </w:t>
      </w:r>
      <w:r>
        <w:rPr/>
        <w:t>y</w:t>
      </w:r>
      <w:r>
        <w:rPr>
          <w:spacing w:val="-14"/>
        </w:rPr>
        <w:t> </w:t>
      </w:r>
      <w:r>
        <w:rPr/>
        <w:t>minerales;</w:t>
      </w:r>
      <w:r>
        <w:rPr>
          <w:spacing w:val="-11"/>
        </w:rPr>
        <w:t> </w:t>
      </w:r>
      <w:r>
        <w:rPr/>
        <w:t>como</w:t>
      </w:r>
      <w:r>
        <w:rPr>
          <w:spacing w:val="-11"/>
        </w:rPr>
        <w:t> </w:t>
      </w:r>
      <w:r>
        <w:rPr/>
        <w:t>son</w:t>
      </w:r>
      <w:r>
        <w:rPr>
          <w:spacing w:val="-11"/>
        </w:rPr>
        <w:t> </w:t>
      </w:r>
      <w:r>
        <w:rPr/>
        <w:t>herbívoros,</w:t>
      </w:r>
      <w:r>
        <w:rPr>
          <w:spacing w:val="-11"/>
        </w:rPr>
        <w:t> </w:t>
      </w:r>
      <w:r>
        <w:rPr/>
        <w:t>no</w:t>
      </w:r>
      <w:r>
        <w:rPr>
          <w:spacing w:val="-4"/>
        </w:rPr>
        <w:t> </w:t>
      </w:r>
      <w:r>
        <w:rPr/>
        <w:t>compiten</w:t>
      </w:r>
      <w:r>
        <w:rPr>
          <w:spacing w:val="-11"/>
        </w:rPr>
        <w:t> </w:t>
      </w:r>
      <w:r>
        <w:rPr/>
        <w:t>con las personas por los alimentos y se adaptan con facilidad a distintos medios; los costos de inversión y mano de obra son pocos y los miembros más vulnerables de las</w:t>
      </w:r>
      <w:r>
        <w:rPr>
          <w:spacing w:val="-5"/>
        </w:rPr>
        <w:t> </w:t>
      </w:r>
      <w:r>
        <w:rPr/>
        <w:t>familias</w:t>
      </w:r>
      <w:r>
        <w:rPr>
          <w:spacing w:val="-7"/>
        </w:rPr>
        <w:t> </w:t>
      </w:r>
      <w:r>
        <w:rPr/>
        <w:t>pueden</w:t>
      </w:r>
      <w:r>
        <w:rPr>
          <w:spacing w:val="-7"/>
        </w:rPr>
        <w:t> </w:t>
      </w:r>
      <w:r>
        <w:rPr/>
        <w:t>ocuparse</w:t>
      </w:r>
      <w:r>
        <w:rPr>
          <w:spacing w:val="-8"/>
        </w:rPr>
        <w:t> </w:t>
      </w:r>
      <w:r>
        <w:rPr/>
        <w:t>de</w:t>
      </w:r>
      <w:r>
        <w:rPr>
          <w:spacing w:val="-5"/>
        </w:rPr>
        <w:t> </w:t>
      </w:r>
      <w:r>
        <w:rPr/>
        <w:t>cuidarlos;</w:t>
      </w:r>
      <w:r>
        <w:rPr>
          <w:spacing w:val="-5"/>
        </w:rPr>
        <w:t> </w:t>
      </w:r>
      <w:r>
        <w:rPr/>
        <w:t>es</w:t>
      </w:r>
      <w:r>
        <w:rPr>
          <w:spacing w:val="-5"/>
        </w:rPr>
        <w:t> </w:t>
      </w:r>
      <w:r>
        <w:rPr/>
        <w:t>fácil</w:t>
      </w:r>
      <w:r>
        <w:rPr>
          <w:spacing w:val="-6"/>
        </w:rPr>
        <w:t> </w:t>
      </w:r>
      <w:r>
        <w:rPr/>
        <w:t>transportarlos</w:t>
      </w:r>
      <w:r>
        <w:rPr>
          <w:spacing w:val="-5"/>
        </w:rPr>
        <w:t> </w:t>
      </w:r>
      <w:r>
        <w:rPr/>
        <w:t>y</w:t>
      </w:r>
      <w:r>
        <w:rPr>
          <w:spacing w:val="-8"/>
        </w:rPr>
        <w:t> </w:t>
      </w:r>
      <w:r>
        <w:rPr/>
        <w:t>comercializarlos como alimentos, por su piel o pelo; son muy productivos, tienen periodos de gestación</w:t>
      </w:r>
      <w:r>
        <w:rPr>
          <w:spacing w:val="-9"/>
        </w:rPr>
        <w:t> </w:t>
      </w:r>
      <w:r>
        <w:rPr/>
        <w:t>y</w:t>
      </w:r>
      <w:r>
        <w:rPr>
          <w:spacing w:val="-12"/>
        </w:rPr>
        <w:t> </w:t>
      </w:r>
      <w:r>
        <w:rPr/>
        <w:t>lactancia</w:t>
      </w:r>
      <w:r>
        <w:rPr>
          <w:spacing w:val="-9"/>
        </w:rPr>
        <w:t> </w:t>
      </w:r>
      <w:r>
        <w:rPr/>
        <w:t>breves</w:t>
      </w:r>
      <w:r>
        <w:rPr>
          <w:spacing w:val="-10"/>
        </w:rPr>
        <w:t> </w:t>
      </w:r>
      <w:r>
        <w:rPr/>
        <w:t>(dan</w:t>
      </w:r>
      <w:r>
        <w:rPr>
          <w:spacing w:val="-9"/>
        </w:rPr>
        <w:t> </w:t>
      </w:r>
      <w:r>
        <w:rPr/>
        <w:t>hasta</w:t>
      </w:r>
      <w:r>
        <w:rPr>
          <w:spacing w:val="-11"/>
        </w:rPr>
        <w:t> </w:t>
      </w:r>
      <w:r>
        <w:rPr/>
        <w:t>40</w:t>
      </w:r>
      <w:r>
        <w:rPr>
          <w:spacing w:val="-9"/>
        </w:rPr>
        <w:t> </w:t>
      </w:r>
      <w:r>
        <w:rPr/>
        <w:t>crías</w:t>
      </w:r>
      <w:r>
        <w:rPr>
          <w:spacing w:val="-10"/>
        </w:rPr>
        <w:t> </w:t>
      </w:r>
      <w:r>
        <w:rPr/>
        <w:t>al</w:t>
      </w:r>
      <w:r>
        <w:rPr>
          <w:spacing w:val="-11"/>
        </w:rPr>
        <w:t> </w:t>
      </w:r>
      <w:r>
        <w:rPr/>
        <w:t>año,</w:t>
      </w:r>
      <w:r>
        <w:rPr>
          <w:spacing w:val="-11"/>
        </w:rPr>
        <w:t> </w:t>
      </w:r>
      <w:r>
        <w:rPr/>
        <w:t>en</w:t>
      </w:r>
      <w:r>
        <w:rPr>
          <w:spacing w:val="-11"/>
        </w:rPr>
        <w:t> </w:t>
      </w:r>
      <w:r>
        <w:rPr/>
        <w:t>comparación</w:t>
      </w:r>
      <w:r>
        <w:rPr>
          <w:spacing w:val="-9"/>
        </w:rPr>
        <w:t> </w:t>
      </w:r>
      <w:r>
        <w:rPr/>
        <w:t>con</w:t>
      </w:r>
      <w:r>
        <w:rPr>
          <w:spacing w:val="-9"/>
        </w:rPr>
        <w:t> </w:t>
      </w:r>
      <w:r>
        <w:rPr/>
        <w:t>0.8</w:t>
      </w:r>
      <w:r>
        <w:rPr>
          <w:spacing w:val="-9"/>
        </w:rPr>
        <w:t> </w:t>
      </w:r>
      <w:r>
        <w:rPr/>
        <w:t>del ganado vacuno y 1.4 del ovino)(FAO, 1999; Pérez y Betancourt, 2010; Olivares </w:t>
      </w:r>
      <w:r>
        <w:rPr>
          <w:i/>
        </w:rPr>
        <w:t>et </w:t>
      </w:r>
      <w:r>
        <w:rPr>
          <w:i/>
        </w:rPr>
        <w:t>al</w:t>
      </w:r>
      <w:r>
        <w:rPr/>
        <w:t>,</w:t>
      </w:r>
      <w:r>
        <w:rPr>
          <w:spacing w:val="-4"/>
        </w:rPr>
        <w:t> </w:t>
      </w:r>
      <w:r>
        <w:rPr/>
        <w:t>2009).</w:t>
      </w:r>
    </w:p>
    <w:p>
      <w:pPr>
        <w:pStyle w:val="BodyText"/>
        <w:rPr>
          <w:sz w:val="25"/>
        </w:rPr>
      </w:pPr>
    </w:p>
    <w:p>
      <w:pPr>
        <w:pStyle w:val="BodyText"/>
        <w:spacing w:line="360" w:lineRule="auto" w:before="1"/>
        <w:ind w:left="152" w:right="104"/>
        <w:jc w:val="both"/>
      </w:pPr>
      <w:r>
        <w:rPr/>
        <w:t>Es</w:t>
      </w:r>
      <w:r>
        <w:rPr>
          <w:spacing w:val="-5"/>
        </w:rPr>
        <w:t> </w:t>
      </w:r>
      <w:r>
        <w:rPr/>
        <w:t>ampliamente</w:t>
      </w:r>
      <w:r>
        <w:rPr>
          <w:spacing w:val="-6"/>
        </w:rPr>
        <w:t> </w:t>
      </w:r>
      <w:r>
        <w:rPr/>
        <w:t>conocido</w:t>
      </w:r>
      <w:r>
        <w:rPr>
          <w:spacing w:val="-4"/>
        </w:rPr>
        <w:t> </w:t>
      </w:r>
      <w:r>
        <w:rPr/>
        <w:t>y</w:t>
      </w:r>
      <w:r>
        <w:rPr>
          <w:spacing w:val="-8"/>
        </w:rPr>
        <w:t> </w:t>
      </w:r>
      <w:r>
        <w:rPr/>
        <w:t>aceptado</w:t>
      </w:r>
      <w:r>
        <w:rPr>
          <w:spacing w:val="-5"/>
        </w:rPr>
        <w:t> </w:t>
      </w:r>
      <w:r>
        <w:rPr/>
        <w:t>que</w:t>
      </w:r>
      <w:r>
        <w:rPr>
          <w:spacing w:val="-7"/>
        </w:rPr>
        <w:t> </w:t>
      </w:r>
      <w:r>
        <w:rPr/>
        <w:t>el</w:t>
      </w:r>
      <w:r>
        <w:rPr>
          <w:spacing w:val="-6"/>
        </w:rPr>
        <w:t> </w:t>
      </w:r>
      <w:r>
        <w:rPr/>
        <w:t>consumo</w:t>
      </w:r>
      <w:r>
        <w:rPr>
          <w:spacing w:val="-7"/>
        </w:rPr>
        <w:t> </w:t>
      </w:r>
      <w:r>
        <w:rPr/>
        <w:t>de</w:t>
      </w:r>
      <w:r>
        <w:rPr>
          <w:spacing w:val="-2"/>
        </w:rPr>
        <w:t> </w:t>
      </w:r>
      <w:r>
        <w:rPr/>
        <w:t>proteína</w:t>
      </w:r>
      <w:r>
        <w:rPr>
          <w:spacing w:val="-6"/>
        </w:rPr>
        <w:t> </w:t>
      </w:r>
      <w:r>
        <w:rPr/>
        <w:t>de</w:t>
      </w:r>
      <w:r>
        <w:rPr>
          <w:spacing w:val="-5"/>
        </w:rPr>
        <w:t> </w:t>
      </w:r>
      <w:r>
        <w:rPr/>
        <w:t>origen</w:t>
      </w:r>
      <w:r>
        <w:rPr>
          <w:spacing w:val="-7"/>
        </w:rPr>
        <w:t> </w:t>
      </w:r>
      <w:r>
        <w:rPr/>
        <w:t>animal es una necesidad para la buena alimentación de los seres humanos, de allí que debe</w:t>
      </w:r>
      <w:r>
        <w:rPr>
          <w:spacing w:val="29"/>
        </w:rPr>
        <w:t> </w:t>
      </w:r>
      <w:r>
        <w:rPr/>
        <w:t>insistirse</w:t>
      </w:r>
      <w:r>
        <w:rPr>
          <w:spacing w:val="26"/>
        </w:rPr>
        <w:t> </w:t>
      </w:r>
      <w:r>
        <w:rPr/>
        <w:t>en</w:t>
      </w:r>
      <w:r>
        <w:rPr>
          <w:spacing w:val="29"/>
        </w:rPr>
        <w:t> </w:t>
      </w:r>
      <w:r>
        <w:rPr/>
        <w:t>incrementar</w:t>
      </w:r>
      <w:r>
        <w:rPr>
          <w:spacing w:val="27"/>
        </w:rPr>
        <w:t> </w:t>
      </w:r>
      <w:r>
        <w:rPr/>
        <w:t>la</w:t>
      </w:r>
      <w:r>
        <w:rPr>
          <w:spacing w:val="29"/>
        </w:rPr>
        <w:t> </w:t>
      </w:r>
      <w:r>
        <w:rPr/>
        <w:t>producción</w:t>
      </w:r>
      <w:r>
        <w:rPr>
          <w:spacing w:val="27"/>
        </w:rPr>
        <w:t> </w:t>
      </w:r>
      <w:r>
        <w:rPr/>
        <w:t>de</w:t>
      </w:r>
      <w:r>
        <w:rPr>
          <w:spacing w:val="29"/>
        </w:rPr>
        <w:t> </w:t>
      </w:r>
      <w:r>
        <w:rPr/>
        <w:t>carne</w:t>
      </w:r>
      <w:r>
        <w:rPr>
          <w:spacing w:val="27"/>
        </w:rPr>
        <w:t> </w:t>
      </w:r>
      <w:r>
        <w:rPr/>
        <w:t>de</w:t>
      </w:r>
      <w:r>
        <w:rPr>
          <w:spacing w:val="27"/>
        </w:rPr>
        <w:t> </w:t>
      </w:r>
      <w:r>
        <w:rPr/>
        <w:t>diferentes</w:t>
      </w:r>
      <w:r>
        <w:rPr>
          <w:spacing w:val="28"/>
        </w:rPr>
        <w:t> </w:t>
      </w:r>
      <w:r>
        <w:rPr/>
        <w:t>especies</w:t>
      </w:r>
      <w:r>
        <w:rPr>
          <w:spacing w:val="26"/>
        </w:rPr>
        <w:t> </w:t>
      </w:r>
      <w:r>
        <w:rPr/>
        <w:t>de</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7"/>
        <w:jc w:val="both"/>
      </w:pPr>
      <w:r>
        <w:rPr/>
        <w:t>interés zootécnico; una de esas especies es el conejo ya que presenta numerosas ventajas en su manejo y eficiencia productiva, como en su tasa de productividad frente</w:t>
      </w:r>
      <w:r>
        <w:rPr>
          <w:spacing w:val="-11"/>
        </w:rPr>
        <w:t> </w:t>
      </w:r>
      <w:r>
        <w:rPr/>
        <w:t>a</w:t>
      </w:r>
      <w:r>
        <w:rPr>
          <w:spacing w:val="-12"/>
        </w:rPr>
        <w:t> </w:t>
      </w:r>
      <w:r>
        <w:rPr/>
        <w:t>otras</w:t>
      </w:r>
      <w:r>
        <w:rPr>
          <w:spacing w:val="-13"/>
        </w:rPr>
        <w:t> </w:t>
      </w:r>
      <w:r>
        <w:rPr/>
        <w:t>especies,</w:t>
      </w:r>
      <w:r>
        <w:rPr>
          <w:spacing w:val="-10"/>
        </w:rPr>
        <w:t> </w:t>
      </w:r>
      <w:r>
        <w:rPr/>
        <w:t>a</w:t>
      </w:r>
      <w:r>
        <w:rPr>
          <w:spacing w:val="-12"/>
        </w:rPr>
        <w:t> </w:t>
      </w:r>
      <w:r>
        <w:rPr/>
        <w:t>sabiendas</w:t>
      </w:r>
      <w:r>
        <w:rPr>
          <w:spacing w:val="-13"/>
        </w:rPr>
        <w:t> </w:t>
      </w:r>
      <w:r>
        <w:rPr/>
        <w:t>de</w:t>
      </w:r>
      <w:r>
        <w:rPr>
          <w:spacing w:val="-12"/>
        </w:rPr>
        <w:t> </w:t>
      </w:r>
      <w:r>
        <w:rPr/>
        <w:t>que</w:t>
      </w:r>
      <w:r>
        <w:rPr>
          <w:spacing w:val="-12"/>
        </w:rPr>
        <w:t> </w:t>
      </w:r>
      <w:r>
        <w:rPr/>
        <w:t>una</w:t>
      </w:r>
      <w:r>
        <w:rPr>
          <w:spacing w:val="-9"/>
        </w:rPr>
        <w:t> </w:t>
      </w:r>
      <w:r>
        <w:rPr/>
        <w:t>coneja</w:t>
      </w:r>
      <w:r>
        <w:rPr>
          <w:spacing w:val="-12"/>
        </w:rPr>
        <w:t> </w:t>
      </w:r>
      <w:r>
        <w:rPr/>
        <w:t>puede</w:t>
      </w:r>
      <w:r>
        <w:rPr>
          <w:spacing w:val="-6"/>
        </w:rPr>
        <w:t> </w:t>
      </w:r>
      <w:r>
        <w:rPr/>
        <w:t>producir</w:t>
      </w:r>
      <w:r>
        <w:rPr>
          <w:spacing w:val="-11"/>
        </w:rPr>
        <w:t> </w:t>
      </w:r>
      <w:r>
        <w:rPr/>
        <w:t>cada</w:t>
      </w:r>
      <w:r>
        <w:rPr>
          <w:spacing w:val="-12"/>
        </w:rPr>
        <w:t> </w:t>
      </w:r>
      <w:r>
        <w:rPr/>
        <w:t>año</w:t>
      </w:r>
      <w:r>
        <w:rPr>
          <w:spacing w:val="-12"/>
        </w:rPr>
        <w:t> </w:t>
      </w:r>
      <w:r>
        <w:rPr/>
        <w:t>20 veces su peso vivo expresado en kilogramos de</w:t>
      </w:r>
      <w:r>
        <w:rPr>
          <w:spacing w:val="-16"/>
        </w:rPr>
        <w:t> </w:t>
      </w:r>
      <w:r>
        <w:rPr/>
        <w:t>canal.</w:t>
      </w:r>
    </w:p>
    <w:p>
      <w:pPr>
        <w:pStyle w:val="BodyText"/>
        <w:spacing w:before="7"/>
      </w:pPr>
    </w:p>
    <w:p>
      <w:pPr>
        <w:pStyle w:val="BodyText"/>
        <w:spacing w:line="360" w:lineRule="auto"/>
        <w:ind w:left="152" w:right="108"/>
        <w:jc w:val="both"/>
      </w:pPr>
      <w:r>
        <w:rPr/>
        <w:t>Se destaca como una ventaja adicional de la producción de carne de conejo, el mantenimiento del empleo rural y la estructura socioeconómica donde la mujer juega un importante papel en el proceso debido a la facilidad de manejo de la especie (Osechas y Becerra, 2006).</w:t>
      </w:r>
    </w:p>
    <w:p>
      <w:pPr>
        <w:pStyle w:val="BodyText"/>
        <w:spacing w:before="7"/>
      </w:pPr>
    </w:p>
    <w:p>
      <w:pPr>
        <w:pStyle w:val="BodyText"/>
        <w:spacing w:line="360" w:lineRule="auto"/>
        <w:ind w:left="152" w:right="105"/>
        <w:jc w:val="both"/>
      </w:pPr>
      <w:r>
        <w:rPr/>
        <w:t>A lo largo de los años, la carne ha constituido uno de los principales alimentos proveedores de nutrientes tales como proteínas, lípidos, vitaminas, entre otros. Sin embargo, hoy en día existen controversias con respecto a su rol nutricional, debido a que los consumidores consideran que su ingesta en cantidades elevadas está correlacionada con problemas de salud, como obesidad y enfermedades cardiovasculares,</w:t>
      </w:r>
      <w:r>
        <w:rPr>
          <w:spacing w:val="-14"/>
        </w:rPr>
        <w:t> </w:t>
      </w:r>
      <w:r>
        <w:rPr/>
        <w:t>por</w:t>
      </w:r>
      <w:r>
        <w:rPr>
          <w:spacing w:val="-13"/>
        </w:rPr>
        <w:t> </w:t>
      </w:r>
      <w:r>
        <w:rPr/>
        <w:t>lo</w:t>
      </w:r>
      <w:r>
        <w:rPr>
          <w:spacing w:val="-12"/>
        </w:rPr>
        <w:t> </w:t>
      </w:r>
      <w:r>
        <w:rPr/>
        <w:t>que</w:t>
      </w:r>
      <w:r>
        <w:rPr>
          <w:spacing w:val="-14"/>
        </w:rPr>
        <w:t> </w:t>
      </w:r>
      <w:r>
        <w:rPr/>
        <w:t>han</w:t>
      </w:r>
      <w:r>
        <w:rPr>
          <w:spacing w:val="-12"/>
        </w:rPr>
        <w:t> </w:t>
      </w:r>
      <w:r>
        <w:rPr/>
        <w:t>reducido</w:t>
      </w:r>
      <w:r>
        <w:rPr>
          <w:spacing w:val="-12"/>
        </w:rPr>
        <w:t> </w:t>
      </w:r>
      <w:r>
        <w:rPr/>
        <w:t>su</w:t>
      </w:r>
      <w:r>
        <w:rPr>
          <w:spacing w:val="-14"/>
        </w:rPr>
        <w:t> </w:t>
      </w:r>
      <w:r>
        <w:rPr/>
        <w:t>consumo.</w:t>
      </w:r>
      <w:r>
        <w:rPr>
          <w:spacing w:val="-14"/>
        </w:rPr>
        <w:t> </w:t>
      </w:r>
      <w:r>
        <w:rPr/>
        <w:t>Por</w:t>
      </w:r>
      <w:r>
        <w:rPr>
          <w:spacing w:val="-13"/>
        </w:rPr>
        <w:t> </w:t>
      </w:r>
      <w:r>
        <w:rPr/>
        <w:t>tanto,</w:t>
      </w:r>
      <w:r>
        <w:rPr>
          <w:spacing w:val="-14"/>
        </w:rPr>
        <w:t> </w:t>
      </w:r>
      <w:r>
        <w:rPr/>
        <w:t>muchas</w:t>
      </w:r>
      <w:r>
        <w:rPr>
          <w:spacing w:val="-15"/>
        </w:rPr>
        <w:t> </w:t>
      </w:r>
      <w:r>
        <w:rPr/>
        <w:t>personas tienden</w:t>
      </w:r>
      <w:r>
        <w:rPr>
          <w:spacing w:val="-16"/>
        </w:rPr>
        <w:t> </w:t>
      </w:r>
      <w:r>
        <w:rPr/>
        <w:t>a</w:t>
      </w:r>
      <w:r>
        <w:rPr>
          <w:spacing w:val="-18"/>
        </w:rPr>
        <w:t> </w:t>
      </w:r>
      <w:r>
        <w:rPr/>
        <w:t>modificar</w:t>
      </w:r>
      <w:r>
        <w:rPr>
          <w:spacing w:val="-17"/>
        </w:rPr>
        <w:t> </w:t>
      </w:r>
      <w:r>
        <w:rPr/>
        <w:t>su</w:t>
      </w:r>
      <w:r>
        <w:rPr>
          <w:spacing w:val="-18"/>
        </w:rPr>
        <w:t> </w:t>
      </w:r>
      <w:r>
        <w:rPr/>
        <w:t>estilo</w:t>
      </w:r>
      <w:r>
        <w:rPr>
          <w:spacing w:val="-16"/>
        </w:rPr>
        <w:t> </w:t>
      </w:r>
      <w:r>
        <w:rPr/>
        <w:t>de</w:t>
      </w:r>
      <w:r>
        <w:rPr>
          <w:spacing w:val="-16"/>
        </w:rPr>
        <w:t> </w:t>
      </w:r>
      <w:r>
        <w:rPr/>
        <w:t>vida</w:t>
      </w:r>
      <w:r>
        <w:rPr>
          <w:spacing w:val="-15"/>
        </w:rPr>
        <w:t> </w:t>
      </w:r>
      <w:r>
        <w:rPr/>
        <w:t>en</w:t>
      </w:r>
      <w:r>
        <w:rPr>
          <w:spacing w:val="-18"/>
        </w:rPr>
        <w:t> </w:t>
      </w:r>
      <w:r>
        <w:rPr/>
        <w:t>función</w:t>
      </w:r>
      <w:r>
        <w:rPr>
          <w:spacing w:val="-16"/>
        </w:rPr>
        <w:t> </w:t>
      </w:r>
      <w:r>
        <w:rPr/>
        <w:t>de</w:t>
      </w:r>
      <w:r>
        <w:rPr>
          <w:spacing w:val="-18"/>
        </w:rPr>
        <w:t> </w:t>
      </w:r>
      <w:r>
        <w:rPr/>
        <w:t>explorar</w:t>
      </w:r>
      <w:r>
        <w:rPr>
          <w:spacing w:val="-17"/>
        </w:rPr>
        <w:t> </w:t>
      </w:r>
      <w:r>
        <w:rPr/>
        <w:t>nuevos</w:t>
      </w:r>
      <w:r>
        <w:rPr>
          <w:spacing w:val="-16"/>
        </w:rPr>
        <w:t> </w:t>
      </w:r>
      <w:r>
        <w:rPr/>
        <w:t>hábitos</w:t>
      </w:r>
      <w:r>
        <w:rPr>
          <w:spacing w:val="-10"/>
        </w:rPr>
        <w:t> </w:t>
      </w:r>
      <w:r>
        <w:rPr/>
        <w:t>dietéticos saludables donde las carnes blancas constituyen una elección favorable, dentro de las cuales la carne de conejo (</w:t>
      </w:r>
      <w:r>
        <w:rPr>
          <w:i/>
        </w:rPr>
        <w:t>Oryctolagus cuniculus</w:t>
      </w:r>
      <w:r>
        <w:rPr/>
        <w:t>) se destaca como una valiosa alternativa dietética a nivel nutricional y saludable (Simonová </w:t>
      </w:r>
      <w:r>
        <w:rPr>
          <w:i/>
        </w:rPr>
        <w:t>et al.</w:t>
      </w:r>
      <w:r>
        <w:rPr/>
        <w:t>, 2010; Pérez </w:t>
      </w:r>
      <w:r>
        <w:rPr>
          <w:i/>
        </w:rPr>
        <w:t>et </w:t>
      </w:r>
      <w:r>
        <w:rPr>
          <w:i/>
        </w:rPr>
        <w:t>al.</w:t>
      </w:r>
      <w:r>
        <w:rPr/>
        <w:t>,</w:t>
      </w:r>
      <w:r>
        <w:rPr>
          <w:spacing w:val="-3"/>
        </w:rPr>
        <w:t> </w:t>
      </w:r>
      <w:r>
        <w:rPr/>
        <w:t>2010).</w:t>
      </w:r>
    </w:p>
    <w:p>
      <w:pPr>
        <w:pStyle w:val="BodyText"/>
        <w:spacing w:before="10"/>
      </w:pPr>
    </w:p>
    <w:p>
      <w:pPr>
        <w:pStyle w:val="BodyText"/>
        <w:spacing w:line="360" w:lineRule="auto"/>
        <w:ind w:left="152" w:right="108"/>
        <w:jc w:val="both"/>
      </w:pPr>
      <w:r>
        <w:rPr/>
        <w:t>La carne de conejo ofrece excelentes valores nutricionales y dietéticos. Aproximadamente su composición demostrada es rica en proteínas alrededor del 22%, 73.0% de humedad, 1.2–1.3 % cenizas y 1.8% de grasa. La carne de conejo ofrece</w:t>
      </w:r>
      <w:r>
        <w:rPr>
          <w:spacing w:val="-18"/>
        </w:rPr>
        <w:t> </w:t>
      </w:r>
      <w:r>
        <w:rPr/>
        <w:t>valores</w:t>
      </w:r>
      <w:r>
        <w:rPr>
          <w:spacing w:val="-19"/>
        </w:rPr>
        <w:t> </w:t>
      </w:r>
      <w:r>
        <w:rPr/>
        <w:t>moderados</w:t>
      </w:r>
      <w:r>
        <w:rPr>
          <w:spacing w:val="-19"/>
        </w:rPr>
        <w:t> </w:t>
      </w:r>
      <w:r>
        <w:rPr/>
        <w:t>de</w:t>
      </w:r>
      <w:r>
        <w:rPr>
          <w:spacing w:val="-20"/>
        </w:rPr>
        <w:t> </w:t>
      </w:r>
      <w:r>
        <w:rPr/>
        <w:t>energía</w:t>
      </w:r>
      <w:r>
        <w:rPr>
          <w:spacing w:val="-18"/>
        </w:rPr>
        <w:t> </w:t>
      </w:r>
      <w:r>
        <w:rPr/>
        <w:t>de</w:t>
      </w:r>
      <w:r>
        <w:rPr>
          <w:spacing w:val="-18"/>
        </w:rPr>
        <w:t> </w:t>
      </w:r>
      <w:r>
        <w:rPr/>
        <w:t>603</w:t>
      </w:r>
      <w:r>
        <w:rPr>
          <w:spacing w:val="-16"/>
        </w:rPr>
        <w:t> </w:t>
      </w:r>
      <w:r>
        <w:rPr/>
        <w:t>kJ</w:t>
      </w:r>
      <w:r>
        <w:rPr>
          <w:spacing w:val="-19"/>
        </w:rPr>
        <w:t> </w:t>
      </w:r>
      <w:r>
        <w:rPr/>
        <w:t>a</w:t>
      </w:r>
      <w:r>
        <w:rPr>
          <w:spacing w:val="-18"/>
        </w:rPr>
        <w:t> </w:t>
      </w:r>
      <w:r>
        <w:rPr/>
        <w:t>899</w:t>
      </w:r>
      <w:r>
        <w:rPr>
          <w:spacing w:val="-18"/>
        </w:rPr>
        <w:t> </w:t>
      </w:r>
      <w:r>
        <w:rPr/>
        <w:t>kJ/100</w:t>
      </w:r>
      <w:r>
        <w:rPr>
          <w:spacing w:val="-16"/>
        </w:rPr>
        <w:t> </w:t>
      </w:r>
      <w:r>
        <w:rPr/>
        <w:t>g.,</w:t>
      </w:r>
      <w:r>
        <w:rPr>
          <w:spacing w:val="-18"/>
        </w:rPr>
        <w:t> </w:t>
      </w:r>
      <w:r>
        <w:rPr/>
        <w:t>esto</w:t>
      </w:r>
      <w:r>
        <w:rPr>
          <w:spacing w:val="-20"/>
        </w:rPr>
        <w:t> </w:t>
      </w:r>
      <w:r>
        <w:rPr/>
        <w:t>depende</w:t>
      </w:r>
      <w:r>
        <w:rPr>
          <w:spacing w:val="-18"/>
        </w:rPr>
        <w:t> </w:t>
      </w:r>
      <w:r>
        <w:rPr/>
        <w:t>sobre su alto valor de proteína (Dalle y Szendrő,</w:t>
      </w:r>
      <w:r>
        <w:rPr>
          <w:spacing w:val="-16"/>
        </w:rPr>
        <w:t> </w:t>
      </w:r>
      <w:r>
        <w:rPr/>
        <w:t>2011)</w:t>
      </w:r>
    </w:p>
    <w:p>
      <w:pPr>
        <w:pStyle w:val="BodyText"/>
      </w:pPr>
    </w:p>
    <w:p>
      <w:pPr>
        <w:pStyle w:val="BodyText"/>
        <w:spacing w:line="360" w:lineRule="auto" w:before="142"/>
        <w:ind w:left="152" w:right="113"/>
        <w:jc w:val="both"/>
      </w:pPr>
      <w:r>
        <w:rPr/>
        <w:t>Durante</w:t>
      </w:r>
      <w:r>
        <w:rPr>
          <w:spacing w:val="-14"/>
        </w:rPr>
        <w:t> </w:t>
      </w:r>
      <w:r>
        <w:rPr/>
        <w:t>la</w:t>
      </w:r>
      <w:r>
        <w:rPr>
          <w:spacing w:val="-14"/>
        </w:rPr>
        <w:t> </w:t>
      </w:r>
      <w:r>
        <w:rPr/>
        <w:t>última</w:t>
      </w:r>
      <w:r>
        <w:rPr>
          <w:spacing w:val="-14"/>
        </w:rPr>
        <w:t> </w:t>
      </w:r>
      <w:r>
        <w:rPr/>
        <w:t>década,</w:t>
      </w:r>
      <w:r>
        <w:rPr>
          <w:spacing w:val="-14"/>
        </w:rPr>
        <w:t> </w:t>
      </w:r>
      <w:r>
        <w:rPr/>
        <w:t>las</w:t>
      </w:r>
      <w:r>
        <w:rPr>
          <w:spacing w:val="-12"/>
        </w:rPr>
        <w:t> </w:t>
      </w:r>
      <w:r>
        <w:rPr/>
        <w:t>características</w:t>
      </w:r>
      <w:r>
        <w:rPr>
          <w:spacing w:val="-15"/>
        </w:rPr>
        <w:t> </w:t>
      </w:r>
      <w:r>
        <w:rPr/>
        <w:t>nutricionales</w:t>
      </w:r>
      <w:r>
        <w:rPr>
          <w:spacing w:val="-15"/>
        </w:rPr>
        <w:t> </w:t>
      </w:r>
      <w:r>
        <w:rPr/>
        <w:t>de</w:t>
      </w:r>
      <w:r>
        <w:rPr>
          <w:spacing w:val="-14"/>
        </w:rPr>
        <w:t> </w:t>
      </w:r>
      <w:r>
        <w:rPr/>
        <w:t>la</w:t>
      </w:r>
      <w:r>
        <w:rPr>
          <w:spacing w:val="-12"/>
        </w:rPr>
        <w:t> </w:t>
      </w:r>
      <w:r>
        <w:rPr/>
        <w:t>carne</w:t>
      </w:r>
      <w:r>
        <w:rPr>
          <w:spacing w:val="-12"/>
        </w:rPr>
        <w:t> </w:t>
      </w:r>
      <w:r>
        <w:rPr/>
        <w:t>de</w:t>
      </w:r>
      <w:r>
        <w:rPr>
          <w:spacing w:val="-12"/>
        </w:rPr>
        <w:t> </w:t>
      </w:r>
      <w:r>
        <w:rPr/>
        <w:t>conejo</w:t>
      </w:r>
      <w:r>
        <w:rPr>
          <w:spacing w:val="-14"/>
        </w:rPr>
        <w:t> </w:t>
      </w:r>
      <w:r>
        <w:rPr/>
        <w:t>han sido</w:t>
      </w:r>
      <w:r>
        <w:rPr>
          <w:spacing w:val="-4"/>
        </w:rPr>
        <w:t> </w:t>
      </w:r>
      <w:r>
        <w:rPr/>
        <w:t>evaluadas</w:t>
      </w:r>
      <w:r>
        <w:rPr>
          <w:spacing w:val="-7"/>
        </w:rPr>
        <w:t> </w:t>
      </w:r>
      <w:r>
        <w:rPr/>
        <w:t>por</w:t>
      </w:r>
      <w:r>
        <w:rPr>
          <w:spacing w:val="-7"/>
        </w:rPr>
        <w:t> </w:t>
      </w:r>
      <w:r>
        <w:rPr/>
        <w:t>diferentes</w:t>
      </w:r>
      <w:r>
        <w:rPr>
          <w:spacing w:val="-7"/>
        </w:rPr>
        <w:t> </w:t>
      </w:r>
      <w:r>
        <w:rPr/>
        <w:t>autores</w:t>
      </w:r>
      <w:r>
        <w:rPr>
          <w:spacing w:val="-7"/>
        </w:rPr>
        <w:t> </w:t>
      </w:r>
      <w:r>
        <w:rPr/>
        <w:t>a</w:t>
      </w:r>
      <w:r>
        <w:rPr>
          <w:spacing w:val="-6"/>
        </w:rPr>
        <w:t> </w:t>
      </w:r>
      <w:r>
        <w:rPr/>
        <w:t>fin</w:t>
      </w:r>
      <w:r>
        <w:rPr>
          <w:spacing w:val="-6"/>
        </w:rPr>
        <w:t> </w:t>
      </w:r>
      <w:r>
        <w:rPr/>
        <w:t>de</w:t>
      </w:r>
      <w:r>
        <w:rPr>
          <w:spacing w:val="-5"/>
        </w:rPr>
        <w:t> </w:t>
      </w:r>
      <w:r>
        <w:rPr/>
        <w:t>resaltar</w:t>
      </w:r>
      <w:r>
        <w:rPr>
          <w:spacing w:val="-6"/>
        </w:rPr>
        <w:t> </w:t>
      </w:r>
      <w:r>
        <w:rPr/>
        <w:t>sus</w:t>
      </w:r>
      <w:r>
        <w:rPr>
          <w:spacing w:val="-5"/>
        </w:rPr>
        <w:t> </w:t>
      </w:r>
      <w:r>
        <w:rPr/>
        <w:t>grandes</w:t>
      </w:r>
      <w:r>
        <w:rPr>
          <w:spacing w:val="-7"/>
        </w:rPr>
        <w:t> </w:t>
      </w:r>
      <w:r>
        <w:rPr/>
        <w:t>bondades</w:t>
      </w:r>
      <w:r>
        <w:rPr>
          <w:spacing w:val="-5"/>
        </w:rPr>
        <w:t> </w:t>
      </w:r>
      <w:r>
        <w:rPr/>
        <w:t>como</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7"/>
        <w:jc w:val="both"/>
      </w:pPr>
      <w:r>
        <w:rPr/>
        <w:t>componente de la dieta. Con respecto a las carnes rojas y blancas, la carne de conejo es una carne blanca de buen sabor, fácil digestión, con niveles elevados en proteínas y bajos en colesterol, sodio y lípidos con mayor proporción de ácidos grasos insaturados, con un valor energético similar al de raciones de las diferentes carnes rojas consumidas comúnmente.</w:t>
      </w:r>
    </w:p>
    <w:p>
      <w:pPr>
        <w:pStyle w:val="BodyText"/>
      </w:pPr>
    </w:p>
    <w:p>
      <w:pPr>
        <w:pStyle w:val="BodyText"/>
        <w:spacing w:line="360" w:lineRule="auto" w:before="142"/>
        <w:ind w:left="152" w:right="107"/>
        <w:jc w:val="both"/>
      </w:pPr>
      <w:r>
        <w:rPr/>
        <w:t>Adicionalmente, existen estudios relacionados con el alto valor de sus proteínas, como fuente de aminoácidos esenciales, y con sus propiedades sensoriales que incluyen sabor, textura y color. Otra de sus características ofrecida a los consumidores,</w:t>
      </w:r>
      <w:r>
        <w:rPr>
          <w:spacing w:val="-9"/>
        </w:rPr>
        <w:t> </w:t>
      </w:r>
      <w:r>
        <w:rPr/>
        <w:t>es</w:t>
      </w:r>
      <w:r>
        <w:rPr>
          <w:spacing w:val="-12"/>
        </w:rPr>
        <w:t> </w:t>
      </w:r>
      <w:r>
        <w:rPr/>
        <w:t>que</w:t>
      </w:r>
      <w:r>
        <w:rPr>
          <w:spacing w:val="-13"/>
        </w:rPr>
        <w:t> </w:t>
      </w:r>
      <w:r>
        <w:rPr/>
        <w:t>no</w:t>
      </w:r>
      <w:r>
        <w:rPr>
          <w:spacing w:val="-9"/>
        </w:rPr>
        <w:t> </w:t>
      </w:r>
      <w:r>
        <w:rPr/>
        <w:t>contiene</w:t>
      </w:r>
      <w:r>
        <w:rPr>
          <w:spacing w:val="-11"/>
        </w:rPr>
        <w:t> </w:t>
      </w:r>
      <w:r>
        <w:rPr/>
        <w:t>ácido</w:t>
      </w:r>
      <w:r>
        <w:rPr>
          <w:spacing w:val="-10"/>
        </w:rPr>
        <w:t> </w:t>
      </w:r>
      <w:r>
        <w:rPr/>
        <w:t>úrico</w:t>
      </w:r>
      <w:r>
        <w:rPr>
          <w:spacing w:val="-11"/>
        </w:rPr>
        <w:t> </w:t>
      </w:r>
      <w:r>
        <w:rPr/>
        <w:t>siendo</w:t>
      </w:r>
      <w:r>
        <w:rPr>
          <w:spacing w:val="-11"/>
        </w:rPr>
        <w:t> </w:t>
      </w:r>
      <w:r>
        <w:rPr/>
        <w:t>una</w:t>
      </w:r>
      <w:r>
        <w:rPr>
          <w:spacing w:val="-11"/>
        </w:rPr>
        <w:t> </w:t>
      </w:r>
      <w:r>
        <w:rPr/>
        <w:t>carne</w:t>
      </w:r>
      <w:r>
        <w:rPr>
          <w:spacing w:val="-9"/>
        </w:rPr>
        <w:t> </w:t>
      </w:r>
      <w:r>
        <w:rPr/>
        <w:t>baja</w:t>
      </w:r>
      <w:r>
        <w:rPr>
          <w:spacing w:val="-11"/>
        </w:rPr>
        <w:t> </w:t>
      </w:r>
      <w:r>
        <w:rPr/>
        <w:t>en</w:t>
      </w:r>
      <w:r>
        <w:rPr>
          <w:spacing w:val="-11"/>
        </w:rPr>
        <w:t> </w:t>
      </w:r>
      <w:r>
        <w:rPr/>
        <w:t>purinas.</w:t>
      </w:r>
      <w:r>
        <w:rPr>
          <w:spacing w:val="-9"/>
        </w:rPr>
        <w:t> </w:t>
      </w:r>
      <w:r>
        <w:rPr/>
        <w:t>No obstante, a pesar de todas estas cualidades beneficiosas de la carne de conejo, hasta ahora en muchos países sigue siendo deficiente la información que la catalogan como uno de los alimentos de gran interés tanto en la nutrición como en la salud humana (Malavé </w:t>
      </w:r>
      <w:r>
        <w:rPr>
          <w:i/>
        </w:rPr>
        <w:t>et al</w:t>
      </w:r>
      <w:r>
        <w:rPr/>
        <w:t>.,</w:t>
      </w:r>
      <w:r>
        <w:rPr>
          <w:spacing w:val="-11"/>
        </w:rPr>
        <w:t> </w:t>
      </w:r>
      <w:r>
        <w:rPr/>
        <w:t>2013).</w:t>
      </w:r>
    </w:p>
    <w:p>
      <w:pPr>
        <w:pStyle w:val="BodyText"/>
      </w:pPr>
    </w:p>
    <w:p>
      <w:pPr>
        <w:pStyle w:val="BodyText"/>
        <w:spacing w:line="360" w:lineRule="auto" w:before="144"/>
        <w:ind w:left="152" w:right="106"/>
        <w:jc w:val="both"/>
      </w:pPr>
      <w:r>
        <w:rPr/>
        <w:t>La calidad de la carne tradicionalmente está determinada por aspectos sensoriales como son: apariencia, textura, aroma y sabor. Actualmente otros factores como el valor</w:t>
      </w:r>
      <w:r>
        <w:rPr>
          <w:spacing w:val="-7"/>
        </w:rPr>
        <w:t> </w:t>
      </w:r>
      <w:r>
        <w:rPr/>
        <w:t>nutritivo</w:t>
      </w:r>
      <w:r>
        <w:rPr>
          <w:spacing w:val="-6"/>
        </w:rPr>
        <w:t> </w:t>
      </w:r>
      <w:r>
        <w:rPr/>
        <w:t>y</w:t>
      </w:r>
      <w:r>
        <w:rPr>
          <w:spacing w:val="-9"/>
        </w:rPr>
        <w:t> </w:t>
      </w:r>
      <w:r>
        <w:rPr/>
        <w:t>la</w:t>
      </w:r>
      <w:r>
        <w:rPr>
          <w:spacing w:val="-6"/>
        </w:rPr>
        <w:t> </w:t>
      </w:r>
      <w:r>
        <w:rPr/>
        <w:t>seguridad</w:t>
      </w:r>
      <w:r>
        <w:rPr>
          <w:spacing w:val="-6"/>
        </w:rPr>
        <w:t> </w:t>
      </w:r>
      <w:r>
        <w:rPr/>
        <w:t>alimentaria</w:t>
      </w:r>
      <w:r>
        <w:rPr>
          <w:spacing w:val="-8"/>
        </w:rPr>
        <w:t> </w:t>
      </w:r>
      <w:r>
        <w:rPr/>
        <w:t>han</w:t>
      </w:r>
      <w:r>
        <w:rPr>
          <w:spacing w:val="-6"/>
        </w:rPr>
        <w:t> </w:t>
      </w:r>
      <w:r>
        <w:rPr/>
        <w:t>cobrado</w:t>
      </w:r>
      <w:r>
        <w:rPr>
          <w:spacing w:val="-6"/>
        </w:rPr>
        <w:t> </w:t>
      </w:r>
      <w:r>
        <w:rPr/>
        <w:t>gran</w:t>
      </w:r>
      <w:r>
        <w:rPr>
          <w:spacing w:val="-5"/>
        </w:rPr>
        <w:t> </w:t>
      </w:r>
      <w:r>
        <w:rPr/>
        <w:t>importancia.</w:t>
      </w:r>
      <w:r>
        <w:rPr>
          <w:spacing w:val="-6"/>
        </w:rPr>
        <w:t> </w:t>
      </w:r>
      <w:r>
        <w:rPr/>
        <w:t>La</w:t>
      </w:r>
      <w:r>
        <w:rPr>
          <w:spacing w:val="-6"/>
        </w:rPr>
        <w:t> </w:t>
      </w:r>
      <w:r>
        <w:rPr/>
        <w:t>estrecha relación entre la dieta y la salud ha conducido a cambios en los hábitos del consumidor, exigiendo productos que respondan a sus preferencias alimentarias y nutricionales. En este contexto, la carne de conejo es muy valorada por sus propiedades nutricionales y dietéticas, es una carne magra, con un bajo contenido de grasa y con menor contenido en ácidos grasos saturados y colesterol que otras carnes (Cury </w:t>
      </w:r>
      <w:r>
        <w:rPr>
          <w:i/>
        </w:rPr>
        <w:t>et al.</w:t>
      </w:r>
      <w:r>
        <w:rPr/>
        <w:t>, 2011; Pérez </w:t>
      </w:r>
      <w:r>
        <w:rPr>
          <w:i/>
        </w:rPr>
        <w:t>et al</w:t>
      </w:r>
      <w:r>
        <w:rPr/>
        <w:t>,</w:t>
      </w:r>
      <w:r>
        <w:rPr>
          <w:spacing w:val="-13"/>
        </w:rPr>
        <w:t> </w:t>
      </w:r>
      <w:r>
        <w:rPr/>
        <w:t>2010).</w:t>
      </w:r>
    </w:p>
    <w:p>
      <w:pPr>
        <w:pStyle w:val="BodyText"/>
      </w:pPr>
    </w:p>
    <w:p>
      <w:pPr>
        <w:pStyle w:val="BodyText"/>
        <w:spacing w:line="360" w:lineRule="auto" w:before="144"/>
        <w:ind w:left="152" w:right="107"/>
        <w:jc w:val="both"/>
      </w:pPr>
      <w:r>
        <w:rPr/>
        <w:t>El consumo de carne de conejo puede ser una buena manera de proporcionar compuestos bioactivos a los consumidores, al aumentar de manera eficaz los niveles de nutrientes; de ahí se deriva la importancia de conocer la composición,</w:t>
      </w:r>
    </w:p>
    <w:p>
      <w:pPr>
        <w:spacing w:after="0" w:line="360" w:lineRule="auto"/>
        <w:jc w:val="both"/>
        <w:sectPr>
          <w:footerReference w:type="default" r:id="rId9"/>
          <w:pgSz w:w="12240" w:h="15840"/>
          <w:pgMar w:footer="1386" w:header="0" w:top="1500" w:bottom="1580" w:left="1720" w:right="1420"/>
        </w:sectPr>
      </w:pPr>
    </w:p>
    <w:p>
      <w:pPr>
        <w:pStyle w:val="BodyText"/>
        <w:spacing w:before="2"/>
        <w:rPr>
          <w:sz w:val="21"/>
        </w:rPr>
      </w:pPr>
    </w:p>
    <w:p>
      <w:pPr>
        <w:pStyle w:val="BodyText"/>
        <w:spacing w:line="357" w:lineRule="auto" w:before="69"/>
        <w:ind w:left="152" w:right="113"/>
        <w:jc w:val="both"/>
      </w:pPr>
      <w:r>
        <w:rPr/>
        <w:t>valor</w:t>
      </w:r>
      <w:r>
        <w:rPr>
          <w:spacing w:val="-7"/>
        </w:rPr>
        <w:t> </w:t>
      </w:r>
      <w:r>
        <w:rPr/>
        <w:t>nutricional</w:t>
      </w:r>
      <w:r>
        <w:rPr>
          <w:spacing w:val="-7"/>
        </w:rPr>
        <w:t> </w:t>
      </w:r>
      <w:r>
        <w:rPr/>
        <w:t>y</w:t>
      </w:r>
      <w:r>
        <w:rPr>
          <w:spacing w:val="-8"/>
        </w:rPr>
        <w:t> </w:t>
      </w:r>
      <w:r>
        <w:rPr/>
        <w:t>examinar</w:t>
      </w:r>
      <w:r>
        <w:rPr>
          <w:spacing w:val="-7"/>
        </w:rPr>
        <w:t> </w:t>
      </w:r>
      <w:r>
        <w:rPr/>
        <w:t>las</w:t>
      </w:r>
      <w:r>
        <w:rPr>
          <w:spacing w:val="-6"/>
        </w:rPr>
        <w:t> </w:t>
      </w:r>
      <w:r>
        <w:rPr/>
        <w:t>posibilidades</w:t>
      </w:r>
      <w:r>
        <w:rPr>
          <w:spacing w:val="-8"/>
        </w:rPr>
        <w:t> </w:t>
      </w:r>
      <w:r>
        <w:rPr/>
        <w:t>de</w:t>
      </w:r>
      <w:r>
        <w:rPr>
          <w:spacing w:val="-6"/>
        </w:rPr>
        <w:t> </w:t>
      </w:r>
      <w:r>
        <w:rPr/>
        <w:t>la</w:t>
      </w:r>
      <w:r>
        <w:rPr>
          <w:spacing w:val="-6"/>
        </w:rPr>
        <w:t> </w:t>
      </w:r>
      <w:r>
        <w:rPr/>
        <w:t>carne</w:t>
      </w:r>
      <w:r>
        <w:rPr>
          <w:spacing w:val="-8"/>
        </w:rPr>
        <w:t> </w:t>
      </w:r>
      <w:r>
        <w:rPr/>
        <w:t>de</w:t>
      </w:r>
      <w:r>
        <w:rPr>
          <w:spacing w:val="-6"/>
        </w:rPr>
        <w:t> </w:t>
      </w:r>
      <w:r>
        <w:rPr/>
        <w:t>conejo</w:t>
      </w:r>
      <w:r>
        <w:rPr>
          <w:spacing w:val="-8"/>
        </w:rPr>
        <w:t> </w:t>
      </w:r>
      <w:r>
        <w:rPr/>
        <w:t>producido</w:t>
      </w:r>
      <w:r>
        <w:rPr>
          <w:spacing w:val="-6"/>
        </w:rPr>
        <w:t> </w:t>
      </w:r>
      <w:r>
        <w:rPr/>
        <w:t>como alimento funcional (Cury </w:t>
      </w:r>
      <w:r>
        <w:rPr>
          <w:i/>
        </w:rPr>
        <w:t>et al</w:t>
      </w:r>
      <w:r>
        <w:rPr/>
        <w:t>.,</w:t>
      </w:r>
      <w:r>
        <w:rPr>
          <w:spacing w:val="-11"/>
        </w:rPr>
        <w:t> </w:t>
      </w:r>
      <w:r>
        <w:rPr/>
        <w:t>2011).</w:t>
      </w:r>
    </w:p>
    <w:p>
      <w:pPr>
        <w:pStyle w:val="BodyText"/>
      </w:pPr>
    </w:p>
    <w:p>
      <w:pPr>
        <w:pStyle w:val="BodyText"/>
        <w:spacing w:line="360" w:lineRule="auto" w:before="147"/>
        <w:ind w:left="152" w:right="109"/>
        <w:jc w:val="both"/>
      </w:pPr>
      <w:r>
        <w:rPr/>
        <w:t>Aunque la composición química de la carne se ve influenciada por factores intrínsecos y extrínsecos. La calidad microbiológica de las canales está condicionada</w:t>
      </w:r>
      <w:r>
        <w:rPr>
          <w:spacing w:val="-19"/>
        </w:rPr>
        <w:t> </w:t>
      </w:r>
      <w:r>
        <w:rPr/>
        <w:t>por</w:t>
      </w:r>
      <w:r>
        <w:rPr>
          <w:spacing w:val="-20"/>
        </w:rPr>
        <w:t> </w:t>
      </w:r>
      <w:r>
        <w:rPr/>
        <w:t>las</w:t>
      </w:r>
      <w:r>
        <w:rPr>
          <w:spacing w:val="-19"/>
        </w:rPr>
        <w:t> </w:t>
      </w:r>
      <w:r>
        <w:rPr/>
        <w:t>propias</w:t>
      </w:r>
      <w:r>
        <w:rPr>
          <w:spacing w:val="-19"/>
        </w:rPr>
        <w:t> </w:t>
      </w:r>
      <w:r>
        <w:rPr/>
        <w:t>características</w:t>
      </w:r>
      <w:r>
        <w:rPr>
          <w:spacing w:val="-20"/>
        </w:rPr>
        <w:t> </w:t>
      </w:r>
      <w:r>
        <w:rPr/>
        <w:t>de</w:t>
      </w:r>
      <w:r>
        <w:rPr>
          <w:spacing w:val="-19"/>
        </w:rPr>
        <w:t> </w:t>
      </w:r>
      <w:r>
        <w:rPr/>
        <w:t>la</w:t>
      </w:r>
      <w:r>
        <w:rPr>
          <w:spacing w:val="-19"/>
        </w:rPr>
        <w:t> </w:t>
      </w:r>
      <w:r>
        <w:rPr/>
        <w:t>cría</w:t>
      </w:r>
      <w:r>
        <w:rPr>
          <w:spacing w:val="-19"/>
        </w:rPr>
        <w:t> </w:t>
      </w:r>
      <w:r>
        <w:rPr/>
        <w:t>del</w:t>
      </w:r>
      <w:r>
        <w:rPr>
          <w:spacing w:val="-20"/>
        </w:rPr>
        <w:t> </w:t>
      </w:r>
      <w:r>
        <w:rPr/>
        <w:t>animal,</w:t>
      </w:r>
      <w:r>
        <w:rPr>
          <w:spacing w:val="-20"/>
        </w:rPr>
        <w:t> </w:t>
      </w:r>
      <w:r>
        <w:rPr/>
        <w:t>su</w:t>
      </w:r>
      <w:r>
        <w:rPr>
          <w:spacing w:val="-21"/>
        </w:rPr>
        <w:t> </w:t>
      </w:r>
      <w:r>
        <w:rPr/>
        <w:t>estado</w:t>
      </w:r>
      <w:r>
        <w:rPr>
          <w:spacing w:val="-19"/>
        </w:rPr>
        <w:t> </w:t>
      </w:r>
      <w:r>
        <w:rPr/>
        <w:t>sanitario en el momento del sacrificio, el proceso de obtención de la carne y su posterior procesado.</w:t>
      </w:r>
    </w:p>
    <w:p>
      <w:pPr>
        <w:pStyle w:val="BodyText"/>
        <w:spacing w:line="360" w:lineRule="auto" w:before="5"/>
        <w:ind w:left="152" w:right="110"/>
        <w:jc w:val="both"/>
      </w:pPr>
      <w:r>
        <w:rPr/>
        <w:t>La conjunción de estos factores junto con otros de carácter ambiental, sobre todo la temperatura de almacenamiento, determinan la microbiota característica de la carne (Rodríguez  </w:t>
      </w:r>
      <w:r>
        <w:rPr>
          <w:i/>
        </w:rPr>
        <w:t>et al.</w:t>
      </w:r>
      <w:r>
        <w:rPr/>
        <w:t>, 2004).</w:t>
      </w:r>
    </w:p>
    <w:p>
      <w:pPr>
        <w:pStyle w:val="BodyText"/>
      </w:pPr>
    </w:p>
    <w:p>
      <w:pPr>
        <w:pStyle w:val="BodyText"/>
        <w:spacing w:line="360" w:lineRule="auto" w:before="144"/>
        <w:ind w:left="152" w:right="108"/>
        <w:jc w:val="both"/>
      </w:pPr>
      <w:r>
        <w:rPr/>
        <w:t>La carne es considerada una importante fuente de proteínas, aminoácidos esenciales, complejo B, vitaminas y minerales. Debido a esta rica composición, ofrece un alto desarrollo favorable para el crecimiento de bacterias patógenas. La contaminación microbiológica de la canal ocurre muchas veces durante el procesamiento y la manipulación (Abdalla </w:t>
      </w:r>
      <w:r>
        <w:rPr>
          <w:i/>
        </w:rPr>
        <w:t>et al., </w:t>
      </w:r>
      <w:r>
        <w:rPr/>
        <w:t>2009). El conejo es una especie muy sensible a contraer enfermedades y en crías intensivas se llegan a producir grandes pérdidas (Pérez </w:t>
      </w:r>
      <w:r>
        <w:rPr>
          <w:i/>
        </w:rPr>
        <w:t>et al.</w:t>
      </w:r>
      <w:r>
        <w:rPr/>
        <w:t>, 2010).</w:t>
      </w:r>
    </w:p>
    <w:p>
      <w:pPr>
        <w:pStyle w:val="BodyText"/>
      </w:pPr>
    </w:p>
    <w:p>
      <w:pPr>
        <w:pStyle w:val="BodyText"/>
        <w:spacing w:line="360" w:lineRule="auto" w:before="142"/>
        <w:ind w:left="152" w:right="108"/>
        <w:jc w:val="both"/>
      </w:pPr>
      <w:r>
        <w:rPr/>
        <w:t>El </w:t>
      </w:r>
      <w:r>
        <w:rPr>
          <w:i/>
        </w:rPr>
        <w:t>S. aureus </w:t>
      </w:r>
      <w:r>
        <w:rPr/>
        <w:t>es uno de los más importantes patógenos de la especie de </w:t>
      </w:r>
      <w:r>
        <w:rPr>
          <w:i/>
        </w:rPr>
        <w:t>Staphylococcus </w:t>
      </w:r>
      <w:r>
        <w:rPr/>
        <w:t>en medicina veterinaria (Meulemans </w:t>
      </w:r>
      <w:r>
        <w:rPr>
          <w:i/>
        </w:rPr>
        <w:t>et al</w:t>
      </w:r>
      <w:r>
        <w:rPr/>
        <w:t>., 2007). En conejos, la bacteria de </w:t>
      </w:r>
      <w:r>
        <w:rPr>
          <w:i/>
        </w:rPr>
        <w:t>S. aureus </w:t>
      </w:r>
      <w:r>
        <w:rPr/>
        <w:t>infecta pequeñas lesiones e invade tejido subcutáneo. En conejos individuales, todas las infecciones de </w:t>
      </w:r>
      <w:r>
        <w:rPr>
          <w:i/>
        </w:rPr>
        <w:t>S. aureus </w:t>
      </w:r>
      <w:r>
        <w:rPr/>
        <w:t>tienen una apariencia clínica similar, con lesiones de pododermatitis abscesos subcutáneos y mastitis (Goñi </w:t>
      </w:r>
      <w:r>
        <w:rPr>
          <w:i/>
        </w:rPr>
        <w:t>et al</w:t>
      </w:r>
      <w:r>
        <w:rPr/>
        <w:t>., 2004; Viana </w:t>
      </w:r>
      <w:r>
        <w:rPr>
          <w:i/>
        </w:rPr>
        <w:t>et al.</w:t>
      </w:r>
      <w:r>
        <w:rPr/>
        <w:t>, 2011). Esporádicamente son observados abscesos en órganos internos, predominantemente en pulmones, hígado y útero. Estas lesiones pueden producir como resultado infertilidad y muerte.</w:t>
      </w:r>
    </w:p>
    <w:p>
      <w:pPr>
        <w:spacing w:after="0" w:line="360" w:lineRule="auto"/>
        <w:jc w:val="both"/>
        <w:sectPr>
          <w:footerReference w:type="default" r:id="rId10"/>
          <w:pgSz w:w="12240" w:h="15840"/>
          <w:pgMar w:footer="1386" w:header="0" w:top="1500" w:bottom="1580" w:left="1720" w:right="1420"/>
          <w:pgNumType w:start="21"/>
        </w:sectPr>
      </w:pPr>
    </w:p>
    <w:p>
      <w:pPr>
        <w:pStyle w:val="BodyText"/>
        <w:spacing w:before="11"/>
        <w:rPr>
          <w:sz w:val="20"/>
        </w:rPr>
      </w:pPr>
    </w:p>
    <w:p>
      <w:pPr>
        <w:pStyle w:val="BodyText"/>
        <w:spacing w:line="360" w:lineRule="auto" w:before="69"/>
        <w:ind w:left="152" w:right="105"/>
        <w:jc w:val="both"/>
      </w:pPr>
      <w:r>
        <w:rPr/>
        <w:t>En la granja se reconocen dos tipos de infecciones de </w:t>
      </w:r>
      <w:r>
        <w:rPr>
          <w:i/>
        </w:rPr>
        <w:t>S. aureus </w:t>
      </w:r>
      <w:r>
        <w:rPr/>
        <w:t>y se pueden diferenciar. El primer tipo, la infección afecta a un pequeño número de animales; este tipo es de menor importancia económica. El segundo tipo de infección, puede ser llamado cepas de alta virulencia. El </w:t>
      </w:r>
      <w:r>
        <w:rPr>
          <w:i/>
        </w:rPr>
        <w:t>S. aureus </w:t>
      </w:r>
      <w:r>
        <w:rPr/>
        <w:t>causa extensa epidemia de enfermedad en la granja. Esto ocasiona un problema crónico. Es generalmente aceptado que la infección con cepas de </w:t>
      </w:r>
      <w:r>
        <w:rPr>
          <w:i/>
        </w:rPr>
        <w:t>S. aureus </w:t>
      </w:r>
      <w:r>
        <w:rPr/>
        <w:t>de alta virulencia en conejos no puede ser erradicada con agentes antimicrobiales (Vancraeynest </w:t>
      </w:r>
      <w:r>
        <w:rPr>
          <w:i/>
        </w:rPr>
        <w:t>et al., </w:t>
      </w:r>
      <w:r>
        <w:rPr/>
        <w:t>2004; Hermans </w:t>
      </w:r>
      <w:r>
        <w:rPr>
          <w:i/>
        </w:rPr>
        <w:t>et al</w:t>
      </w:r>
      <w:r>
        <w:rPr/>
        <w:t>., 1999; Viana </w:t>
      </w:r>
      <w:r>
        <w:rPr>
          <w:i/>
        </w:rPr>
        <w:t>et al., </w:t>
      </w:r>
      <w:r>
        <w:rPr/>
        <w:t>2007).</w:t>
      </w:r>
    </w:p>
    <w:p>
      <w:pPr>
        <w:pStyle w:val="BodyText"/>
      </w:pPr>
    </w:p>
    <w:p>
      <w:pPr>
        <w:pStyle w:val="BodyText"/>
        <w:spacing w:line="360" w:lineRule="auto" w:before="142"/>
        <w:ind w:left="152" w:right="107"/>
        <w:jc w:val="both"/>
      </w:pPr>
      <w:r>
        <w:rPr/>
        <w:t>La transmisión de alta y baja virulencia de </w:t>
      </w:r>
      <w:r>
        <w:rPr>
          <w:i/>
        </w:rPr>
        <w:t>S. aureus </w:t>
      </w:r>
      <w:r>
        <w:rPr/>
        <w:t>cepas de hombre a conejo o entre conejos pueden ser directos o indirectos, a través de las jaulas, pelos o alimentos. La transmisión directa de las bacterias </w:t>
      </w:r>
      <w:r>
        <w:rPr>
          <w:i/>
        </w:rPr>
        <w:t>S. aureus </w:t>
      </w:r>
      <w:r>
        <w:rPr/>
        <w:t>pueden producirse entre</w:t>
      </w:r>
      <w:r>
        <w:rPr>
          <w:spacing w:val="-13"/>
        </w:rPr>
        <w:t> </w:t>
      </w:r>
      <w:r>
        <w:rPr/>
        <w:t>gazapos</w:t>
      </w:r>
      <w:r>
        <w:rPr>
          <w:spacing w:val="-13"/>
        </w:rPr>
        <w:t> </w:t>
      </w:r>
      <w:r>
        <w:rPr/>
        <w:t>y</w:t>
      </w:r>
      <w:r>
        <w:rPr>
          <w:spacing w:val="-14"/>
        </w:rPr>
        <w:t> </w:t>
      </w:r>
      <w:r>
        <w:rPr/>
        <w:t>heces,</w:t>
      </w:r>
      <w:r>
        <w:rPr>
          <w:spacing w:val="-13"/>
        </w:rPr>
        <w:t> </w:t>
      </w:r>
      <w:r>
        <w:rPr/>
        <w:t>entre</w:t>
      </w:r>
      <w:r>
        <w:rPr>
          <w:spacing w:val="-12"/>
        </w:rPr>
        <w:t> </w:t>
      </w:r>
      <w:r>
        <w:rPr/>
        <w:t>compañeros</w:t>
      </w:r>
      <w:r>
        <w:rPr>
          <w:spacing w:val="-14"/>
        </w:rPr>
        <w:t> </w:t>
      </w:r>
      <w:r>
        <w:rPr/>
        <w:t>de</w:t>
      </w:r>
      <w:r>
        <w:rPr>
          <w:spacing w:val="-15"/>
        </w:rPr>
        <w:t> </w:t>
      </w:r>
      <w:r>
        <w:rPr/>
        <w:t>camada</w:t>
      </w:r>
      <w:r>
        <w:rPr>
          <w:spacing w:val="-13"/>
        </w:rPr>
        <w:t> </w:t>
      </w:r>
      <w:r>
        <w:rPr/>
        <w:t>y</w:t>
      </w:r>
      <w:r>
        <w:rPr>
          <w:spacing w:val="-14"/>
        </w:rPr>
        <w:t> </w:t>
      </w:r>
      <w:r>
        <w:rPr/>
        <w:t>entre</w:t>
      </w:r>
      <w:r>
        <w:rPr>
          <w:spacing w:val="-13"/>
        </w:rPr>
        <w:t> </w:t>
      </w:r>
      <w:r>
        <w:rPr/>
        <w:t>compañeros</w:t>
      </w:r>
      <w:r>
        <w:rPr>
          <w:spacing w:val="-14"/>
        </w:rPr>
        <w:t> </w:t>
      </w:r>
      <w:r>
        <w:rPr/>
        <w:t>estables. La adquisición de reproductores de granjas infectadas es probablemente la más importante fuente de infección. El esperma, incluso después de la inseminación artificial,</w:t>
      </w:r>
      <w:r>
        <w:rPr>
          <w:spacing w:val="-10"/>
        </w:rPr>
        <w:t> </w:t>
      </w:r>
      <w:r>
        <w:rPr/>
        <w:t>también</w:t>
      </w:r>
      <w:r>
        <w:rPr>
          <w:spacing w:val="-9"/>
        </w:rPr>
        <w:t> </w:t>
      </w:r>
      <w:r>
        <w:rPr/>
        <w:t>forma</w:t>
      </w:r>
      <w:r>
        <w:rPr>
          <w:spacing w:val="-7"/>
        </w:rPr>
        <w:t> </w:t>
      </w:r>
      <w:r>
        <w:rPr/>
        <w:t>un</w:t>
      </w:r>
      <w:r>
        <w:rPr>
          <w:spacing w:val="-9"/>
        </w:rPr>
        <w:t> </w:t>
      </w:r>
      <w:r>
        <w:rPr/>
        <w:t>riesgo</w:t>
      </w:r>
      <w:r>
        <w:rPr>
          <w:spacing w:val="-7"/>
        </w:rPr>
        <w:t> </w:t>
      </w:r>
      <w:r>
        <w:rPr/>
        <w:t>potencial</w:t>
      </w:r>
      <w:r>
        <w:rPr>
          <w:spacing w:val="-8"/>
        </w:rPr>
        <w:t> </w:t>
      </w:r>
      <w:r>
        <w:rPr/>
        <w:t>de</w:t>
      </w:r>
      <w:r>
        <w:rPr>
          <w:spacing w:val="-7"/>
        </w:rPr>
        <w:t> </w:t>
      </w:r>
      <w:r>
        <w:rPr/>
        <w:t>infección</w:t>
      </w:r>
      <w:r>
        <w:rPr>
          <w:spacing w:val="-9"/>
        </w:rPr>
        <w:t> </w:t>
      </w:r>
      <w:r>
        <w:rPr/>
        <w:t>por</w:t>
      </w:r>
      <w:r>
        <w:rPr>
          <w:spacing w:val="-8"/>
        </w:rPr>
        <w:t> </w:t>
      </w:r>
      <w:r>
        <w:rPr/>
        <w:t>alta</w:t>
      </w:r>
      <w:r>
        <w:rPr>
          <w:spacing w:val="-7"/>
        </w:rPr>
        <w:t> </w:t>
      </w:r>
      <w:r>
        <w:rPr/>
        <w:t>virulencia</w:t>
      </w:r>
      <w:r>
        <w:rPr>
          <w:spacing w:val="-7"/>
        </w:rPr>
        <w:t> </w:t>
      </w:r>
      <w:r>
        <w:rPr/>
        <w:t>de</w:t>
      </w:r>
      <w:r>
        <w:rPr>
          <w:spacing w:val="-7"/>
        </w:rPr>
        <w:t> </w:t>
      </w:r>
      <w:r>
        <w:rPr/>
        <w:t>cepas de </w:t>
      </w:r>
      <w:r>
        <w:rPr>
          <w:i/>
        </w:rPr>
        <w:t>S. aureus </w:t>
      </w:r>
      <w:r>
        <w:rPr/>
        <w:t>en conejos (Hermans </w:t>
      </w:r>
      <w:r>
        <w:rPr>
          <w:i/>
        </w:rPr>
        <w:t>et al.</w:t>
      </w:r>
      <w:r>
        <w:rPr/>
        <w:t>, 2003). Como patógeno el </w:t>
      </w:r>
      <w:r>
        <w:rPr>
          <w:i/>
        </w:rPr>
        <w:t>S. aureus </w:t>
      </w:r>
      <w:r>
        <w:rPr/>
        <w:t>está involucrado en una amplia variedad de infecciones en humanos y animales y algunas cepas son también responsables de intoxicaciones de alimentos en humanos por producción de enterotoxina en alimentos. La contaminación por patógenos es considerada importante en términos de salud alimentaria. Es comúnmente encontrarlo en la canal y los cortes, y la contaminación staphylococal puede o no resultar de lesiones. Las cepas de humanos probablemente estén presentes, especialmente si un alto nivel de manipulación está involucrado durante el</w:t>
      </w:r>
      <w:r>
        <w:rPr>
          <w:spacing w:val="-14"/>
        </w:rPr>
        <w:t> </w:t>
      </w:r>
      <w:r>
        <w:rPr/>
        <w:t>proceso</w:t>
      </w:r>
      <w:r>
        <w:rPr>
          <w:spacing w:val="-13"/>
        </w:rPr>
        <w:t> </w:t>
      </w:r>
      <w:r>
        <w:rPr/>
        <w:t>y</w:t>
      </w:r>
      <w:r>
        <w:rPr>
          <w:spacing w:val="-16"/>
        </w:rPr>
        <w:t> </w:t>
      </w:r>
      <w:r>
        <w:rPr/>
        <w:t>si</w:t>
      </w:r>
      <w:r>
        <w:rPr>
          <w:spacing w:val="-14"/>
        </w:rPr>
        <w:t> </w:t>
      </w:r>
      <w:r>
        <w:rPr/>
        <w:t>la</w:t>
      </w:r>
      <w:r>
        <w:rPr>
          <w:spacing w:val="-13"/>
        </w:rPr>
        <w:t> </w:t>
      </w:r>
      <w:r>
        <w:rPr/>
        <w:t>higiene</w:t>
      </w:r>
      <w:r>
        <w:rPr>
          <w:spacing w:val="-13"/>
        </w:rPr>
        <w:t> </w:t>
      </w:r>
      <w:r>
        <w:rPr/>
        <w:t>es</w:t>
      </w:r>
      <w:r>
        <w:rPr>
          <w:spacing w:val="-14"/>
        </w:rPr>
        <w:t> </w:t>
      </w:r>
      <w:r>
        <w:rPr/>
        <w:t>deficiente.</w:t>
      </w:r>
      <w:r>
        <w:rPr>
          <w:spacing w:val="-13"/>
        </w:rPr>
        <w:t> </w:t>
      </w:r>
      <w:r>
        <w:rPr/>
        <w:t>Sin</w:t>
      </w:r>
      <w:r>
        <w:rPr>
          <w:spacing w:val="-16"/>
        </w:rPr>
        <w:t> </w:t>
      </w:r>
      <w:r>
        <w:rPr/>
        <w:t>embargo,</w:t>
      </w:r>
      <w:r>
        <w:rPr>
          <w:spacing w:val="-13"/>
        </w:rPr>
        <w:t> </w:t>
      </w:r>
      <w:r>
        <w:rPr/>
        <w:t>ciertas</w:t>
      </w:r>
      <w:r>
        <w:rPr>
          <w:spacing w:val="-14"/>
        </w:rPr>
        <w:t> </w:t>
      </w:r>
      <w:r>
        <w:rPr/>
        <w:t>cepas</w:t>
      </w:r>
      <w:r>
        <w:rPr>
          <w:spacing w:val="-16"/>
        </w:rPr>
        <w:t> </w:t>
      </w:r>
      <w:r>
        <w:rPr/>
        <w:t>pueden</w:t>
      </w:r>
      <w:r>
        <w:rPr>
          <w:spacing w:val="-13"/>
        </w:rPr>
        <w:t> </w:t>
      </w:r>
      <w:r>
        <w:rPr/>
        <w:t>colonizar el ambiente y contaminar la canal, los cortes y el equipo (Rodríguez </w:t>
      </w:r>
      <w:r>
        <w:rPr>
          <w:i/>
        </w:rPr>
        <w:t>et al</w:t>
      </w:r>
      <w:r>
        <w:rPr/>
        <w:t>.,</w:t>
      </w:r>
      <w:r>
        <w:rPr>
          <w:spacing w:val="-19"/>
        </w:rPr>
        <w:t> </w:t>
      </w:r>
      <w:r>
        <w:rPr/>
        <w:t>2006).</w:t>
      </w:r>
    </w:p>
    <w:p>
      <w:pPr>
        <w:pStyle w:val="BodyText"/>
      </w:pPr>
    </w:p>
    <w:p>
      <w:pPr>
        <w:pStyle w:val="BodyText"/>
        <w:spacing w:line="360" w:lineRule="auto" w:before="142"/>
        <w:ind w:left="152" w:right="107"/>
        <w:jc w:val="both"/>
        <w:rPr>
          <w:i/>
        </w:rPr>
      </w:pPr>
      <w:r>
        <w:rPr/>
        <w:t>Ortega</w:t>
      </w:r>
      <w:r>
        <w:rPr>
          <w:spacing w:val="-4"/>
        </w:rPr>
        <w:t> </w:t>
      </w:r>
      <w:r>
        <w:rPr>
          <w:i/>
        </w:rPr>
        <w:t>et</w:t>
      </w:r>
      <w:r>
        <w:rPr>
          <w:i/>
          <w:spacing w:val="-7"/>
        </w:rPr>
        <w:t> </w:t>
      </w:r>
      <w:r>
        <w:rPr>
          <w:i/>
        </w:rPr>
        <w:t>al.</w:t>
      </w:r>
      <w:r>
        <w:rPr/>
        <w:t>,</w:t>
      </w:r>
      <w:r>
        <w:rPr>
          <w:spacing w:val="-7"/>
        </w:rPr>
        <w:t> </w:t>
      </w:r>
      <w:r>
        <w:rPr/>
        <w:t>(2009),</w:t>
      </w:r>
      <w:r>
        <w:rPr>
          <w:spacing w:val="-8"/>
        </w:rPr>
        <w:t> </w:t>
      </w:r>
      <w:r>
        <w:rPr/>
        <w:t>en</w:t>
      </w:r>
      <w:r>
        <w:rPr>
          <w:spacing w:val="-5"/>
        </w:rPr>
        <w:t> </w:t>
      </w:r>
      <w:r>
        <w:rPr/>
        <w:t>trabajo</w:t>
      </w:r>
      <w:r>
        <w:rPr>
          <w:spacing w:val="-7"/>
        </w:rPr>
        <w:t> </w:t>
      </w:r>
      <w:r>
        <w:rPr/>
        <w:t>de</w:t>
      </w:r>
      <w:r>
        <w:rPr>
          <w:spacing w:val="-7"/>
        </w:rPr>
        <w:t> </w:t>
      </w:r>
      <w:r>
        <w:rPr/>
        <w:t>campo</w:t>
      </w:r>
      <w:r>
        <w:rPr>
          <w:spacing w:val="-5"/>
        </w:rPr>
        <w:t> </w:t>
      </w:r>
      <w:r>
        <w:rPr/>
        <w:t>describieron</w:t>
      </w:r>
      <w:r>
        <w:rPr>
          <w:spacing w:val="-1"/>
        </w:rPr>
        <w:t> </w:t>
      </w:r>
      <w:r>
        <w:rPr/>
        <w:t>una</w:t>
      </w:r>
      <w:r>
        <w:rPr>
          <w:spacing w:val="-7"/>
        </w:rPr>
        <w:t> </w:t>
      </w:r>
      <w:r>
        <w:rPr/>
        <w:t>primera</w:t>
      </w:r>
      <w:r>
        <w:rPr>
          <w:spacing w:val="-6"/>
        </w:rPr>
        <w:t> </w:t>
      </w:r>
      <w:r>
        <w:rPr/>
        <w:t>caracterización de</w:t>
      </w:r>
      <w:r>
        <w:rPr>
          <w:spacing w:val="-14"/>
        </w:rPr>
        <w:t> </w:t>
      </w:r>
      <w:r>
        <w:rPr/>
        <w:t>la</w:t>
      </w:r>
      <w:r>
        <w:rPr>
          <w:spacing w:val="-17"/>
        </w:rPr>
        <w:t> </w:t>
      </w:r>
      <w:r>
        <w:rPr/>
        <w:t>distribución</w:t>
      </w:r>
      <w:r>
        <w:rPr>
          <w:spacing w:val="-16"/>
        </w:rPr>
        <w:t> </w:t>
      </w:r>
      <w:r>
        <w:rPr/>
        <w:t>de</w:t>
      </w:r>
      <w:r>
        <w:rPr>
          <w:spacing w:val="-14"/>
        </w:rPr>
        <w:t> </w:t>
      </w:r>
      <w:r>
        <w:rPr/>
        <w:t>la</w:t>
      </w:r>
      <w:r>
        <w:rPr>
          <w:spacing w:val="-19"/>
        </w:rPr>
        <w:t> </w:t>
      </w:r>
      <w:r>
        <w:rPr/>
        <w:t>resistencia</w:t>
      </w:r>
      <w:r>
        <w:rPr>
          <w:spacing w:val="-17"/>
        </w:rPr>
        <w:t> </w:t>
      </w:r>
      <w:r>
        <w:rPr/>
        <w:t>a</w:t>
      </w:r>
      <w:r>
        <w:rPr>
          <w:spacing w:val="-17"/>
        </w:rPr>
        <w:t> </w:t>
      </w:r>
      <w:r>
        <w:rPr/>
        <w:t>antibióticos</w:t>
      </w:r>
      <w:r>
        <w:rPr>
          <w:spacing w:val="-15"/>
        </w:rPr>
        <w:t> </w:t>
      </w:r>
      <w:r>
        <w:rPr/>
        <w:t>en</w:t>
      </w:r>
      <w:r>
        <w:rPr>
          <w:spacing w:val="-14"/>
        </w:rPr>
        <w:t> </w:t>
      </w:r>
      <w:r>
        <w:rPr/>
        <w:t>cepas</w:t>
      </w:r>
      <w:r>
        <w:rPr>
          <w:spacing w:val="-17"/>
        </w:rPr>
        <w:t> </w:t>
      </w:r>
      <w:r>
        <w:rPr/>
        <w:t>de</w:t>
      </w:r>
      <w:r>
        <w:rPr>
          <w:spacing w:val="-13"/>
        </w:rPr>
        <w:t> </w:t>
      </w:r>
      <w:r>
        <w:rPr>
          <w:i/>
        </w:rPr>
        <w:t>Staphylococcus</w:t>
      </w:r>
      <w:r>
        <w:rPr>
          <w:i/>
          <w:spacing w:val="-17"/>
        </w:rPr>
        <w:t> </w:t>
      </w:r>
      <w:r>
        <w:rPr>
          <w:i/>
        </w:rPr>
        <w:t>aureus</w:t>
      </w:r>
    </w:p>
    <w:p>
      <w:pPr>
        <w:spacing w:after="0" w:line="360" w:lineRule="auto"/>
        <w:jc w:val="both"/>
        <w:sectPr>
          <w:pgSz w:w="12240" w:h="15840"/>
          <w:pgMar w:header="0" w:footer="1386" w:top="1500" w:bottom="1580" w:left="1720" w:right="1420"/>
        </w:sectPr>
      </w:pPr>
    </w:p>
    <w:p>
      <w:pPr>
        <w:pStyle w:val="BodyText"/>
        <w:spacing w:before="11"/>
        <w:rPr>
          <w:i/>
          <w:sz w:val="20"/>
        </w:rPr>
      </w:pPr>
    </w:p>
    <w:p>
      <w:pPr>
        <w:pStyle w:val="BodyText"/>
        <w:spacing w:line="360" w:lineRule="auto" w:before="69"/>
        <w:ind w:left="152" w:right="105"/>
        <w:jc w:val="both"/>
      </w:pPr>
      <w:r>
        <w:rPr>
          <w:i/>
        </w:rPr>
        <w:t>resistentes a la meticilina </w:t>
      </w:r>
      <w:r>
        <w:rPr/>
        <w:t>(MRSA) aisladas en conejos de producción, reconocidas como</w:t>
      </w:r>
      <w:r>
        <w:rPr>
          <w:spacing w:val="-9"/>
        </w:rPr>
        <w:t> </w:t>
      </w:r>
      <w:r>
        <w:rPr/>
        <w:t>un</w:t>
      </w:r>
      <w:r>
        <w:rPr>
          <w:spacing w:val="-7"/>
        </w:rPr>
        <w:t> </w:t>
      </w:r>
      <w:r>
        <w:rPr/>
        <w:t>riesgo</w:t>
      </w:r>
      <w:r>
        <w:rPr>
          <w:spacing w:val="-7"/>
        </w:rPr>
        <w:t> </w:t>
      </w:r>
      <w:r>
        <w:rPr/>
        <w:t>potencial</w:t>
      </w:r>
      <w:r>
        <w:rPr>
          <w:spacing w:val="-8"/>
        </w:rPr>
        <w:t> </w:t>
      </w:r>
      <w:r>
        <w:rPr/>
        <w:t>para</w:t>
      </w:r>
      <w:r>
        <w:rPr>
          <w:spacing w:val="-10"/>
        </w:rPr>
        <w:t> </w:t>
      </w:r>
      <w:r>
        <w:rPr/>
        <w:t>la</w:t>
      </w:r>
      <w:r>
        <w:rPr>
          <w:spacing w:val="-7"/>
        </w:rPr>
        <w:t> </w:t>
      </w:r>
      <w:r>
        <w:rPr/>
        <w:t>salud</w:t>
      </w:r>
      <w:r>
        <w:rPr>
          <w:spacing w:val="-9"/>
        </w:rPr>
        <w:t> </w:t>
      </w:r>
      <w:r>
        <w:rPr/>
        <w:t>pública.</w:t>
      </w:r>
      <w:r>
        <w:rPr>
          <w:spacing w:val="-7"/>
        </w:rPr>
        <w:t> </w:t>
      </w:r>
      <w:r>
        <w:rPr/>
        <w:t>La</w:t>
      </w:r>
      <w:r>
        <w:rPr>
          <w:spacing w:val="-9"/>
        </w:rPr>
        <w:t> </w:t>
      </w:r>
      <w:r>
        <w:rPr/>
        <w:t>presencia</w:t>
      </w:r>
      <w:r>
        <w:rPr>
          <w:spacing w:val="-7"/>
        </w:rPr>
        <w:t> </w:t>
      </w:r>
      <w:r>
        <w:rPr/>
        <w:t>de</w:t>
      </w:r>
      <w:r>
        <w:rPr>
          <w:spacing w:val="-7"/>
        </w:rPr>
        <w:t> </w:t>
      </w:r>
      <w:r>
        <w:rPr/>
        <w:t>cepas</w:t>
      </w:r>
      <w:r>
        <w:rPr>
          <w:spacing w:val="-8"/>
        </w:rPr>
        <w:t> </w:t>
      </w:r>
      <w:r>
        <w:rPr/>
        <w:t>de </w:t>
      </w:r>
      <w:r>
        <w:rPr>
          <w:i/>
        </w:rPr>
        <w:t>S.</w:t>
      </w:r>
      <w:r>
        <w:rPr>
          <w:i/>
          <w:spacing w:val="-7"/>
        </w:rPr>
        <w:t> </w:t>
      </w:r>
      <w:r>
        <w:rPr>
          <w:i/>
        </w:rPr>
        <w:t>aureus </w:t>
      </w:r>
      <w:r>
        <w:rPr/>
        <w:t>resistentes a antibióticos no concierne únicamente a los seres humanos; también se ha detectado en poblaciones animales que podrían desempeñar una función clave en la transmisión de resistencia de ese estafilococo, a través de la cadena alimentaria, por contacto directo. El papel que desempeñan especies animales portadoras como perros, gatos, caballos, cerdos o bovinos es uno de los aspectos esenciales que están considerándose en el caso de los </w:t>
      </w:r>
      <w:r>
        <w:rPr>
          <w:i/>
        </w:rPr>
        <w:t>Staphylococcus aureus </w:t>
      </w:r>
      <w:r>
        <w:rPr/>
        <w:t>adquiridos en la comunidad MRSA-AC, con la posibilidad de transmisión de la bacteria entre seres humanos y animales que podría constituir un riesgo para la medicina</w:t>
      </w:r>
      <w:r>
        <w:rPr>
          <w:spacing w:val="-17"/>
        </w:rPr>
        <w:t> </w:t>
      </w:r>
      <w:r>
        <w:rPr/>
        <w:t>humana.</w:t>
      </w:r>
      <w:r>
        <w:rPr>
          <w:spacing w:val="-17"/>
        </w:rPr>
        <w:t> </w:t>
      </w:r>
      <w:r>
        <w:rPr/>
        <w:t>Los</w:t>
      </w:r>
      <w:r>
        <w:rPr>
          <w:spacing w:val="-19"/>
        </w:rPr>
        <w:t> </w:t>
      </w:r>
      <w:r>
        <w:rPr/>
        <w:t>resultados</w:t>
      </w:r>
      <w:r>
        <w:rPr>
          <w:spacing w:val="-15"/>
        </w:rPr>
        <w:t> </w:t>
      </w:r>
      <w:r>
        <w:rPr/>
        <w:t>del</w:t>
      </w:r>
      <w:r>
        <w:rPr>
          <w:spacing w:val="-18"/>
        </w:rPr>
        <w:t> </w:t>
      </w:r>
      <w:r>
        <w:rPr/>
        <w:t>estudio</w:t>
      </w:r>
      <w:r>
        <w:rPr>
          <w:spacing w:val="-17"/>
        </w:rPr>
        <w:t> </w:t>
      </w:r>
      <w:r>
        <w:rPr/>
        <w:t>pusieron</w:t>
      </w:r>
      <w:r>
        <w:rPr>
          <w:spacing w:val="-16"/>
        </w:rPr>
        <w:t> </w:t>
      </w:r>
      <w:r>
        <w:rPr/>
        <w:t>de</w:t>
      </w:r>
      <w:r>
        <w:rPr>
          <w:spacing w:val="-17"/>
        </w:rPr>
        <w:t> </w:t>
      </w:r>
      <w:r>
        <w:rPr/>
        <w:t>manifiesto</w:t>
      </w:r>
      <w:r>
        <w:rPr>
          <w:spacing w:val="-19"/>
        </w:rPr>
        <w:t> </w:t>
      </w:r>
      <w:r>
        <w:rPr/>
        <w:t>una</w:t>
      </w:r>
      <w:r>
        <w:rPr>
          <w:spacing w:val="-16"/>
        </w:rPr>
        <w:t> </w:t>
      </w:r>
      <w:r>
        <w:rPr/>
        <w:t>proporción elevada de MRSA (17.2%) asociado a procesos patológicos en explotaciones de cría intensiva de conejos, predominante en casos de mastitis y que, por tanto, merece</w:t>
      </w:r>
      <w:r>
        <w:rPr>
          <w:spacing w:val="-12"/>
        </w:rPr>
        <w:t> </w:t>
      </w:r>
      <w:r>
        <w:rPr/>
        <w:t>una</w:t>
      </w:r>
      <w:r>
        <w:rPr>
          <w:spacing w:val="-12"/>
        </w:rPr>
        <w:t> </w:t>
      </w:r>
      <w:r>
        <w:rPr/>
        <w:t>especial</w:t>
      </w:r>
      <w:r>
        <w:rPr>
          <w:spacing w:val="-15"/>
        </w:rPr>
        <w:t> </w:t>
      </w:r>
      <w:r>
        <w:rPr/>
        <w:t>atención</w:t>
      </w:r>
      <w:r>
        <w:rPr>
          <w:spacing w:val="-14"/>
        </w:rPr>
        <w:t> </w:t>
      </w:r>
      <w:r>
        <w:rPr/>
        <w:t>desde</w:t>
      </w:r>
      <w:r>
        <w:rPr>
          <w:spacing w:val="-14"/>
        </w:rPr>
        <w:t> </w:t>
      </w:r>
      <w:r>
        <w:rPr/>
        <w:t>el</w:t>
      </w:r>
      <w:r>
        <w:rPr>
          <w:spacing w:val="-13"/>
        </w:rPr>
        <w:t> </w:t>
      </w:r>
      <w:r>
        <w:rPr/>
        <w:t>punto</w:t>
      </w:r>
      <w:r>
        <w:rPr>
          <w:spacing w:val="-14"/>
        </w:rPr>
        <w:t> </w:t>
      </w:r>
      <w:r>
        <w:rPr/>
        <w:t>de</w:t>
      </w:r>
      <w:r>
        <w:rPr>
          <w:spacing w:val="-12"/>
        </w:rPr>
        <w:t> </w:t>
      </w:r>
      <w:r>
        <w:rPr/>
        <w:t>vista</w:t>
      </w:r>
      <w:r>
        <w:rPr>
          <w:spacing w:val="-12"/>
        </w:rPr>
        <w:t> </w:t>
      </w:r>
      <w:r>
        <w:rPr/>
        <w:t>sanitario.</w:t>
      </w:r>
      <w:r>
        <w:rPr>
          <w:spacing w:val="-12"/>
        </w:rPr>
        <w:t> </w:t>
      </w:r>
      <w:r>
        <w:rPr/>
        <w:t>Es</w:t>
      </w:r>
      <w:r>
        <w:rPr>
          <w:spacing w:val="-15"/>
        </w:rPr>
        <w:t> </w:t>
      </w:r>
      <w:r>
        <w:rPr/>
        <w:t>preciso</w:t>
      </w:r>
      <w:r>
        <w:rPr>
          <w:spacing w:val="-12"/>
        </w:rPr>
        <w:t> </w:t>
      </w:r>
      <w:r>
        <w:rPr/>
        <w:t>empezar a evaluar el riesgo que representa para la salud pública la existencia de</w:t>
      </w:r>
      <w:r>
        <w:rPr>
          <w:spacing w:val="-37"/>
        </w:rPr>
        <w:t> </w:t>
      </w:r>
      <w:r>
        <w:rPr/>
        <w:t>resistencia en la cunicultura</w:t>
      </w:r>
      <w:r>
        <w:rPr>
          <w:spacing w:val="-12"/>
        </w:rPr>
        <w:t> </w:t>
      </w:r>
      <w:r>
        <w:rPr/>
        <w:t>intensiva.</w:t>
      </w:r>
    </w:p>
    <w:p>
      <w:pPr>
        <w:pStyle w:val="BodyText"/>
      </w:pPr>
    </w:p>
    <w:p>
      <w:pPr>
        <w:pStyle w:val="BodyText"/>
        <w:spacing w:before="4"/>
        <w:rPr>
          <w:sz w:val="29"/>
        </w:rPr>
      </w:pPr>
    </w:p>
    <w:p>
      <w:pPr>
        <w:spacing w:before="1"/>
        <w:ind w:left="152" w:right="0" w:firstLine="0"/>
        <w:jc w:val="both"/>
        <w:rPr>
          <w:b/>
          <w:sz w:val="22"/>
        </w:rPr>
      </w:pPr>
      <w:r>
        <w:rPr>
          <w:b/>
          <w:sz w:val="22"/>
        </w:rPr>
        <w:t>Enfermedades transmitidas por alimentos</w:t>
      </w:r>
    </w:p>
    <w:p>
      <w:pPr>
        <w:pStyle w:val="BodyText"/>
        <w:rPr>
          <w:b/>
          <w:sz w:val="22"/>
        </w:rPr>
      </w:pPr>
    </w:p>
    <w:p>
      <w:pPr>
        <w:pStyle w:val="BodyText"/>
        <w:rPr>
          <w:b/>
          <w:sz w:val="22"/>
        </w:rPr>
      </w:pPr>
    </w:p>
    <w:p>
      <w:pPr>
        <w:pStyle w:val="BodyText"/>
        <w:spacing w:line="360" w:lineRule="auto" w:before="148"/>
        <w:ind w:left="152" w:right="107"/>
        <w:jc w:val="both"/>
      </w:pPr>
      <w:r>
        <w:rPr/>
        <w:t>Los alimentos pueden servir de vehículo para diseminar MRSA. En carne de venta por</w:t>
      </w:r>
      <w:r>
        <w:rPr>
          <w:spacing w:val="-6"/>
        </w:rPr>
        <w:t> </w:t>
      </w:r>
      <w:r>
        <w:rPr/>
        <w:t>menor</w:t>
      </w:r>
      <w:r>
        <w:rPr>
          <w:spacing w:val="-6"/>
        </w:rPr>
        <w:t> </w:t>
      </w:r>
      <w:r>
        <w:rPr/>
        <w:t>es</w:t>
      </w:r>
      <w:r>
        <w:rPr>
          <w:spacing w:val="-5"/>
        </w:rPr>
        <w:t> </w:t>
      </w:r>
      <w:r>
        <w:rPr/>
        <w:t>común</w:t>
      </w:r>
      <w:r>
        <w:rPr>
          <w:spacing w:val="-5"/>
        </w:rPr>
        <w:t> </w:t>
      </w:r>
      <w:r>
        <w:rPr/>
        <w:t>un</w:t>
      </w:r>
      <w:r>
        <w:rPr>
          <w:spacing w:val="-5"/>
        </w:rPr>
        <w:t> </w:t>
      </w:r>
      <w:r>
        <w:rPr/>
        <w:t>grado</w:t>
      </w:r>
      <w:r>
        <w:rPr>
          <w:spacing w:val="-5"/>
        </w:rPr>
        <w:t> </w:t>
      </w:r>
      <w:r>
        <w:rPr/>
        <w:t>bajo</w:t>
      </w:r>
      <w:r>
        <w:rPr>
          <w:spacing w:val="-7"/>
        </w:rPr>
        <w:t> </w:t>
      </w:r>
      <w:r>
        <w:rPr/>
        <w:t>de</w:t>
      </w:r>
      <w:r>
        <w:rPr>
          <w:spacing w:val="-5"/>
        </w:rPr>
        <w:t> </w:t>
      </w:r>
      <w:r>
        <w:rPr/>
        <w:t>contaminación</w:t>
      </w:r>
      <w:r>
        <w:rPr>
          <w:spacing w:val="-5"/>
        </w:rPr>
        <w:t> </w:t>
      </w:r>
      <w:r>
        <w:rPr/>
        <w:t>con</w:t>
      </w:r>
      <w:r>
        <w:rPr>
          <w:spacing w:val="1"/>
        </w:rPr>
        <w:t> </w:t>
      </w:r>
      <w:r>
        <w:rPr>
          <w:i/>
        </w:rPr>
        <w:t>S.</w:t>
      </w:r>
      <w:r>
        <w:rPr>
          <w:i/>
          <w:spacing w:val="-7"/>
        </w:rPr>
        <w:t> </w:t>
      </w:r>
      <w:r>
        <w:rPr>
          <w:i/>
        </w:rPr>
        <w:t>aureus;</w:t>
      </w:r>
      <w:r>
        <w:rPr>
          <w:i/>
          <w:spacing w:val="-5"/>
        </w:rPr>
        <w:t> </w:t>
      </w:r>
      <w:r>
        <w:rPr/>
        <w:t>también</w:t>
      </w:r>
      <w:r>
        <w:rPr>
          <w:spacing w:val="-5"/>
        </w:rPr>
        <w:t> </w:t>
      </w:r>
      <w:r>
        <w:rPr/>
        <w:t>se</w:t>
      </w:r>
      <w:r>
        <w:rPr>
          <w:spacing w:val="-7"/>
        </w:rPr>
        <w:t> </w:t>
      </w:r>
      <w:r>
        <w:rPr/>
        <w:t>ha informado MRSA en una variedad de carnes, incluso pollo crudo, pavo, cerdo, ternera,</w:t>
      </w:r>
      <w:r>
        <w:rPr>
          <w:spacing w:val="-17"/>
        </w:rPr>
        <w:t> </w:t>
      </w:r>
      <w:r>
        <w:rPr/>
        <w:t>res,</w:t>
      </w:r>
      <w:r>
        <w:rPr>
          <w:spacing w:val="-17"/>
        </w:rPr>
        <w:t> </w:t>
      </w:r>
      <w:r>
        <w:rPr/>
        <w:t>carnero/cordero,</w:t>
      </w:r>
      <w:r>
        <w:rPr>
          <w:spacing w:val="-17"/>
        </w:rPr>
        <w:t> </w:t>
      </w:r>
      <w:r>
        <w:rPr/>
        <w:t>conejo</w:t>
      </w:r>
      <w:r>
        <w:rPr>
          <w:spacing w:val="-17"/>
        </w:rPr>
        <w:t> </w:t>
      </w:r>
      <w:r>
        <w:rPr/>
        <w:t>y</w:t>
      </w:r>
      <w:r>
        <w:rPr>
          <w:spacing w:val="-17"/>
        </w:rPr>
        <w:t> </w:t>
      </w:r>
      <w:r>
        <w:rPr/>
        <w:t>carne</w:t>
      </w:r>
      <w:r>
        <w:rPr>
          <w:spacing w:val="-16"/>
        </w:rPr>
        <w:t> </w:t>
      </w:r>
      <w:r>
        <w:rPr/>
        <w:t>de</w:t>
      </w:r>
      <w:r>
        <w:rPr>
          <w:spacing w:val="-14"/>
        </w:rPr>
        <w:t> </w:t>
      </w:r>
      <w:r>
        <w:rPr/>
        <w:t>caza.</w:t>
      </w:r>
      <w:r>
        <w:rPr>
          <w:spacing w:val="-14"/>
        </w:rPr>
        <w:t> </w:t>
      </w:r>
      <w:r>
        <w:rPr/>
        <w:t>Los</w:t>
      </w:r>
      <w:r>
        <w:rPr>
          <w:spacing w:val="-15"/>
        </w:rPr>
        <w:t> </w:t>
      </w:r>
      <w:r>
        <w:rPr/>
        <w:t>niveles</w:t>
      </w:r>
      <w:r>
        <w:rPr>
          <w:spacing w:val="-14"/>
        </w:rPr>
        <w:t> </w:t>
      </w:r>
      <w:r>
        <w:rPr/>
        <w:t>que</w:t>
      </w:r>
      <w:r>
        <w:rPr>
          <w:spacing w:val="-14"/>
        </w:rPr>
        <w:t> </w:t>
      </w:r>
      <w:r>
        <w:rPr/>
        <w:t>se</w:t>
      </w:r>
      <w:r>
        <w:rPr>
          <w:spacing w:val="-14"/>
        </w:rPr>
        <w:t> </w:t>
      </w:r>
      <w:r>
        <w:rPr/>
        <w:t>informaron varían ampliamente desde 0.5% hasta 35%, dependiendo del tipo de carne y del país</w:t>
      </w:r>
      <w:r>
        <w:rPr>
          <w:spacing w:val="-14"/>
        </w:rPr>
        <w:t> </w:t>
      </w:r>
      <w:r>
        <w:rPr/>
        <w:t>de</w:t>
      </w:r>
      <w:r>
        <w:rPr>
          <w:spacing w:val="-13"/>
        </w:rPr>
        <w:t> </w:t>
      </w:r>
      <w:r>
        <w:rPr/>
        <w:t>origen.</w:t>
      </w:r>
      <w:r>
        <w:rPr>
          <w:spacing w:val="-13"/>
        </w:rPr>
        <w:t> </w:t>
      </w:r>
      <w:r>
        <w:rPr/>
        <w:t>Algunas</w:t>
      </w:r>
      <w:r>
        <w:rPr>
          <w:spacing w:val="-14"/>
        </w:rPr>
        <w:t> </w:t>
      </w:r>
      <w:r>
        <w:rPr/>
        <w:t>de</w:t>
      </w:r>
      <w:r>
        <w:rPr>
          <w:spacing w:val="-13"/>
        </w:rPr>
        <w:t> </w:t>
      </w:r>
      <w:r>
        <w:rPr/>
        <w:t>las</w:t>
      </w:r>
      <w:r>
        <w:rPr>
          <w:spacing w:val="-13"/>
        </w:rPr>
        <w:t> </w:t>
      </w:r>
      <w:r>
        <w:rPr/>
        <w:t>cepas</w:t>
      </w:r>
      <w:r>
        <w:rPr>
          <w:spacing w:val="-14"/>
        </w:rPr>
        <w:t> </w:t>
      </w:r>
      <w:r>
        <w:rPr/>
        <w:t>detectadas</w:t>
      </w:r>
      <w:r>
        <w:rPr>
          <w:spacing w:val="-14"/>
        </w:rPr>
        <w:t> </w:t>
      </w:r>
      <w:r>
        <w:rPr/>
        <w:t>en</w:t>
      </w:r>
      <w:r>
        <w:rPr>
          <w:spacing w:val="-13"/>
        </w:rPr>
        <w:t> </w:t>
      </w:r>
      <w:r>
        <w:rPr/>
        <w:t>la</w:t>
      </w:r>
      <w:r>
        <w:rPr>
          <w:spacing w:val="-13"/>
        </w:rPr>
        <w:t> </w:t>
      </w:r>
      <w:r>
        <w:rPr/>
        <w:t>carne</w:t>
      </w:r>
      <w:r>
        <w:rPr>
          <w:spacing w:val="-13"/>
        </w:rPr>
        <w:t> </w:t>
      </w:r>
      <w:r>
        <w:rPr/>
        <w:t>pertenecen</w:t>
      </w:r>
      <w:r>
        <w:rPr>
          <w:spacing w:val="-13"/>
        </w:rPr>
        <w:t> </w:t>
      </w:r>
      <w:r>
        <w:rPr/>
        <w:t>al</w:t>
      </w:r>
      <w:r>
        <w:rPr>
          <w:spacing w:val="-14"/>
        </w:rPr>
        <w:t> </w:t>
      </w:r>
      <w:r>
        <w:rPr/>
        <w:t>complejo clonal CC398 u otras cepas asociadas a animales, mientras que otras cepas parecen originarse como contaminantes a partir de las personas que manipulan la carne.</w:t>
      </w:r>
      <w:r>
        <w:rPr>
          <w:spacing w:val="-14"/>
        </w:rPr>
        <w:t> </w:t>
      </w:r>
      <w:r>
        <w:rPr/>
        <w:t>También</w:t>
      </w:r>
      <w:r>
        <w:rPr>
          <w:spacing w:val="-11"/>
        </w:rPr>
        <w:t> </w:t>
      </w:r>
      <w:r>
        <w:rPr/>
        <w:t>se</w:t>
      </w:r>
      <w:r>
        <w:rPr>
          <w:spacing w:val="-12"/>
        </w:rPr>
        <w:t> </w:t>
      </w:r>
      <w:r>
        <w:rPr/>
        <w:t>ha</w:t>
      </w:r>
      <w:r>
        <w:rPr>
          <w:spacing w:val="-14"/>
        </w:rPr>
        <w:t> </w:t>
      </w:r>
      <w:r>
        <w:rPr/>
        <w:t>detectado</w:t>
      </w:r>
      <w:r>
        <w:rPr>
          <w:spacing w:val="-12"/>
        </w:rPr>
        <w:t> </w:t>
      </w:r>
      <w:r>
        <w:rPr/>
        <w:t>MRSA,</w:t>
      </w:r>
      <w:r>
        <w:rPr>
          <w:spacing w:val="-12"/>
        </w:rPr>
        <w:t> </w:t>
      </w:r>
      <w:r>
        <w:rPr/>
        <w:t>incluso</w:t>
      </w:r>
      <w:r>
        <w:rPr>
          <w:spacing w:val="-12"/>
        </w:rPr>
        <w:t> </w:t>
      </w:r>
      <w:r>
        <w:rPr/>
        <w:t>cepas</w:t>
      </w:r>
      <w:r>
        <w:rPr>
          <w:spacing w:val="-13"/>
        </w:rPr>
        <w:t> </w:t>
      </w:r>
      <w:r>
        <w:rPr/>
        <w:t>asociadas</w:t>
      </w:r>
      <w:r>
        <w:rPr>
          <w:spacing w:val="-13"/>
        </w:rPr>
        <w:t> </w:t>
      </w:r>
      <w:r>
        <w:rPr/>
        <w:t>a</w:t>
      </w:r>
      <w:r>
        <w:rPr>
          <w:spacing w:val="-14"/>
        </w:rPr>
        <w:t> </w:t>
      </w:r>
      <w:r>
        <w:rPr/>
        <w:t>animal,</w:t>
      </w:r>
      <w:r>
        <w:rPr>
          <w:spacing w:val="-13"/>
        </w:rPr>
        <w:t> </w:t>
      </w:r>
      <w:r>
        <w:rPr/>
        <w:t>en</w:t>
      </w:r>
      <w:r>
        <w:rPr>
          <w:spacing w:val="-12"/>
        </w:rPr>
        <w:t> </w:t>
      </w:r>
      <w:r>
        <w:rPr/>
        <w:t>leche sin pasteurizar y en queso.      </w:t>
      </w:r>
      <w:r>
        <w:rPr>
          <w:spacing w:val="55"/>
        </w:rPr>
        <w:t> </w:t>
      </w:r>
      <w:r>
        <w:rPr/>
        <w:t>Por lo general, </w:t>
      </w:r>
      <w:r>
        <w:rPr>
          <w:i/>
        </w:rPr>
        <w:t>S. aureus </w:t>
      </w:r>
      <w:r>
        <w:rPr/>
        <w:t>no es invasivo cuando se</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11"/>
        <w:jc w:val="both"/>
      </w:pPr>
      <w:r>
        <w:rPr/>
        <w:t>ingiere,</w:t>
      </w:r>
      <w:r>
        <w:rPr>
          <w:spacing w:val="-17"/>
        </w:rPr>
        <w:t> </w:t>
      </w:r>
      <w:r>
        <w:rPr/>
        <w:t>excepto</w:t>
      </w:r>
      <w:r>
        <w:rPr>
          <w:spacing w:val="-16"/>
        </w:rPr>
        <w:t> </w:t>
      </w:r>
      <w:r>
        <w:rPr/>
        <w:t>bajo</w:t>
      </w:r>
      <w:r>
        <w:rPr>
          <w:spacing w:val="-17"/>
        </w:rPr>
        <w:t> </w:t>
      </w:r>
      <w:r>
        <w:rPr/>
        <w:t>circunstancias</w:t>
      </w:r>
      <w:r>
        <w:rPr>
          <w:spacing w:val="-17"/>
        </w:rPr>
        <w:t> </w:t>
      </w:r>
      <w:r>
        <w:rPr/>
        <w:t>excepcionales</w:t>
      </w:r>
      <w:r>
        <w:rPr>
          <w:spacing w:val="-17"/>
        </w:rPr>
        <w:t> </w:t>
      </w:r>
      <w:r>
        <w:rPr/>
        <w:t>o</w:t>
      </w:r>
      <w:r>
        <w:rPr>
          <w:spacing w:val="-19"/>
        </w:rPr>
        <w:t> </w:t>
      </w:r>
      <w:r>
        <w:rPr/>
        <w:t>poco</w:t>
      </w:r>
      <w:r>
        <w:rPr>
          <w:spacing w:val="-17"/>
        </w:rPr>
        <w:t> </w:t>
      </w:r>
      <w:r>
        <w:rPr/>
        <w:t>comunes.</w:t>
      </w:r>
      <w:r>
        <w:rPr>
          <w:spacing w:val="-19"/>
        </w:rPr>
        <w:t> </w:t>
      </w:r>
      <w:r>
        <w:rPr/>
        <w:t>Por</w:t>
      </w:r>
      <w:r>
        <w:rPr>
          <w:spacing w:val="-18"/>
        </w:rPr>
        <w:t> </w:t>
      </w:r>
      <w:r>
        <w:rPr/>
        <w:t>esta</w:t>
      </w:r>
      <w:r>
        <w:rPr>
          <w:spacing w:val="-18"/>
        </w:rPr>
        <w:t> </w:t>
      </w:r>
      <w:r>
        <w:rPr/>
        <w:t>razón, la</w:t>
      </w:r>
      <w:r>
        <w:rPr>
          <w:spacing w:val="-4"/>
        </w:rPr>
        <w:t> </w:t>
      </w:r>
      <w:r>
        <w:rPr/>
        <w:t>contaminación</w:t>
      </w:r>
      <w:r>
        <w:rPr>
          <w:spacing w:val="-4"/>
        </w:rPr>
        <w:t> </w:t>
      </w:r>
      <w:r>
        <w:rPr/>
        <w:t>accidental</w:t>
      </w:r>
      <w:r>
        <w:rPr>
          <w:spacing w:val="-7"/>
        </w:rPr>
        <w:t> </w:t>
      </w:r>
      <w:r>
        <w:rPr/>
        <w:t>con</w:t>
      </w:r>
      <w:r>
        <w:rPr>
          <w:spacing w:val="-6"/>
        </w:rPr>
        <w:t> </w:t>
      </w:r>
      <w:r>
        <w:rPr/>
        <w:t>MRSA</w:t>
      </w:r>
      <w:r>
        <w:rPr>
          <w:spacing w:val="-4"/>
        </w:rPr>
        <w:t> </w:t>
      </w:r>
      <w:r>
        <w:rPr/>
        <w:t>al</w:t>
      </w:r>
      <w:r>
        <w:rPr>
          <w:spacing w:val="-7"/>
        </w:rPr>
        <w:t> </w:t>
      </w:r>
      <w:r>
        <w:rPr/>
        <w:t>manipular</w:t>
      </w:r>
      <w:r>
        <w:rPr>
          <w:spacing w:val="-5"/>
        </w:rPr>
        <w:t> </w:t>
      </w:r>
      <w:r>
        <w:rPr/>
        <w:t>carne</w:t>
      </w:r>
      <w:r>
        <w:rPr>
          <w:spacing w:val="-3"/>
        </w:rPr>
        <w:t> </w:t>
      </w:r>
      <w:r>
        <w:rPr/>
        <w:t>cruda</w:t>
      </w:r>
      <w:r>
        <w:rPr>
          <w:spacing w:val="-6"/>
        </w:rPr>
        <w:t> </w:t>
      </w:r>
      <w:r>
        <w:rPr/>
        <w:t>es</w:t>
      </w:r>
      <w:r>
        <w:rPr>
          <w:spacing w:val="-7"/>
        </w:rPr>
        <w:t> </w:t>
      </w:r>
      <w:r>
        <w:rPr/>
        <w:t>pare</w:t>
      </w:r>
      <w:r>
        <w:rPr>
          <w:spacing w:val="-4"/>
        </w:rPr>
        <w:t> </w:t>
      </w:r>
      <w:r>
        <w:rPr/>
        <w:t>tener</w:t>
      </w:r>
      <w:r>
        <w:rPr>
          <w:spacing w:val="-5"/>
        </w:rPr>
        <w:t> </w:t>
      </w:r>
      <w:r>
        <w:rPr/>
        <w:t>muy en cuenta. Si los organismos no se destruyeron al cocinar los alimentos, estos pueden servir de vehículo para dispersar MRSA (CFSPH,</w:t>
      </w:r>
      <w:r>
        <w:rPr>
          <w:spacing w:val="-21"/>
        </w:rPr>
        <w:t> </w:t>
      </w:r>
      <w:r>
        <w:rPr/>
        <w:t>2011).</w:t>
      </w:r>
    </w:p>
    <w:p>
      <w:pPr>
        <w:pStyle w:val="BodyText"/>
      </w:pPr>
    </w:p>
    <w:p>
      <w:pPr>
        <w:pStyle w:val="BodyText"/>
        <w:spacing w:line="360" w:lineRule="auto" w:before="142"/>
        <w:ind w:left="152" w:right="105"/>
        <w:jc w:val="both"/>
      </w:pPr>
      <w:r>
        <w:rPr/>
        <w:t>Las enfermedades transmitidas por alimentos (ETAs) se encuentran ampliamente extendidas y constituyen un problema prioritario de salud pública. El agente etiológico más frecuente de las intoxicaciones de origen alimentario es </w:t>
      </w:r>
      <w:r>
        <w:rPr>
          <w:i/>
        </w:rPr>
        <w:t>S. aureus </w:t>
      </w:r>
      <w:r>
        <w:rPr/>
        <w:t>(Jordá</w:t>
      </w:r>
      <w:r>
        <w:rPr>
          <w:spacing w:val="-3"/>
        </w:rPr>
        <w:t> </w:t>
      </w:r>
      <w:r>
        <w:rPr>
          <w:i/>
        </w:rPr>
        <w:t>et</w:t>
      </w:r>
      <w:r>
        <w:rPr>
          <w:i/>
          <w:spacing w:val="-4"/>
        </w:rPr>
        <w:t> </w:t>
      </w:r>
      <w:r>
        <w:rPr>
          <w:i/>
        </w:rPr>
        <w:t>al.</w:t>
      </w:r>
      <w:r>
        <w:rPr/>
        <w:t>,</w:t>
      </w:r>
      <w:r>
        <w:rPr>
          <w:spacing w:val="-6"/>
        </w:rPr>
        <w:t> </w:t>
      </w:r>
      <w:r>
        <w:rPr/>
        <w:t>2012;</w:t>
      </w:r>
      <w:r>
        <w:rPr>
          <w:spacing w:val="-4"/>
        </w:rPr>
        <w:t> </w:t>
      </w:r>
      <w:r>
        <w:rPr/>
        <w:t>Morales</w:t>
      </w:r>
      <w:r>
        <w:rPr>
          <w:spacing w:val="-4"/>
        </w:rPr>
        <w:t> </w:t>
      </w:r>
      <w:r>
        <w:rPr/>
        <w:t>y</w:t>
      </w:r>
      <w:r>
        <w:rPr>
          <w:spacing w:val="-7"/>
        </w:rPr>
        <w:t> </w:t>
      </w:r>
      <w:r>
        <w:rPr/>
        <w:t>Ruiz,</w:t>
      </w:r>
      <w:r>
        <w:rPr>
          <w:spacing w:val="-4"/>
        </w:rPr>
        <w:t> </w:t>
      </w:r>
      <w:r>
        <w:rPr/>
        <w:t>2005).</w:t>
      </w:r>
      <w:r>
        <w:rPr>
          <w:spacing w:val="-2"/>
        </w:rPr>
        <w:t> </w:t>
      </w:r>
      <w:r>
        <w:rPr/>
        <w:t>La</w:t>
      </w:r>
      <w:r>
        <w:rPr>
          <w:spacing w:val="-6"/>
        </w:rPr>
        <w:t> </w:t>
      </w:r>
      <w:r>
        <w:rPr/>
        <w:t>presencia</w:t>
      </w:r>
      <w:r>
        <w:rPr>
          <w:spacing w:val="-4"/>
        </w:rPr>
        <w:t> </w:t>
      </w:r>
      <w:r>
        <w:rPr/>
        <w:t>de</w:t>
      </w:r>
      <w:r>
        <w:rPr>
          <w:spacing w:val="-4"/>
        </w:rPr>
        <w:t> </w:t>
      </w:r>
      <w:r>
        <w:rPr/>
        <w:t>este</w:t>
      </w:r>
      <w:r>
        <w:rPr>
          <w:spacing w:val="-4"/>
        </w:rPr>
        <w:t> </w:t>
      </w:r>
      <w:r>
        <w:rPr/>
        <w:t>microorganismo</w:t>
      </w:r>
      <w:r>
        <w:rPr>
          <w:spacing w:val="-4"/>
        </w:rPr>
        <w:t> </w:t>
      </w:r>
      <w:r>
        <w:rPr/>
        <w:t>se asocia con la contaminación introducida por los manipuladores de alimentos, el incumplimiento</w:t>
      </w:r>
      <w:r>
        <w:rPr>
          <w:spacing w:val="-16"/>
        </w:rPr>
        <w:t> </w:t>
      </w:r>
      <w:r>
        <w:rPr/>
        <w:t>de</w:t>
      </w:r>
      <w:r>
        <w:rPr>
          <w:spacing w:val="-17"/>
        </w:rPr>
        <w:t> </w:t>
      </w:r>
      <w:r>
        <w:rPr/>
        <w:t>buenas</w:t>
      </w:r>
      <w:r>
        <w:rPr>
          <w:spacing w:val="-17"/>
        </w:rPr>
        <w:t> </w:t>
      </w:r>
      <w:r>
        <w:rPr/>
        <w:t>prácticas</w:t>
      </w:r>
      <w:r>
        <w:rPr>
          <w:spacing w:val="-17"/>
        </w:rPr>
        <w:t> </w:t>
      </w:r>
      <w:r>
        <w:rPr/>
        <w:t>de</w:t>
      </w:r>
      <w:r>
        <w:rPr>
          <w:spacing w:val="-19"/>
        </w:rPr>
        <w:t> </w:t>
      </w:r>
      <w:r>
        <w:rPr/>
        <w:t>manufactura</w:t>
      </w:r>
      <w:r>
        <w:rPr>
          <w:spacing w:val="-17"/>
        </w:rPr>
        <w:t> </w:t>
      </w:r>
      <w:r>
        <w:rPr/>
        <w:t>o</w:t>
      </w:r>
      <w:r>
        <w:rPr>
          <w:spacing w:val="-17"/>
        </w:rPr>
        <w:t> </w:t>
      </w:r>
      <w:r>
        <w:rPr/>
        <w:t>la</w:t>
      </w:r>
      <w:r>
        <w:rPr>
          <w:spacing w:val="-17"/>
        </w:rPr>
        <w:t> </w:t>
      </w:r>
      <w:r>
        <w:rPr/>
        <w:t>utilización</w:t>
      </w:r>
      <w:r>
        <w:rPr>
          <w:spacing w:val="-16"/>
        </w:rPr>
        <w:t> </w:t>
      </w:r>
      <w:r>
        <w:rPr/>
        <w:t>de</w:t>
      </w:r>
      <w:r>
        <w:rPr>
          <w:spacing w:val="-17"/>
        </w:rPr>
        <w:t> </w:t>
      </w:r>
      <w:r>
        <w:rPr/>
        <w:t>materia</w:t>
      </w:r>
      <w:r>
        <w:rPr>
          <w:spacing w:val="-17"/>
        </w:rPr>
        <w:t> </w:t>
      </w:r>
      <w:r>
        <w:rPr/>
        <w:t>prima contaminada.</w:t>
      </w:r>
      <w:r>
        <w:rPr>
          <w:spacing w:val="-10"/>
        </w:rPr>
        <w:t> </w:t>
      </w:r>
      <w:r>
        <w:rPr/>
        <w:t>Suele</w:t>
      </w:r>
      <w:r>
        <w:rPr>
          <w:spacing w:val="-10"/>
        </w:rPr>
        <w:t> </w:t>
      </w:r>
      <w:r>
        <w:rPr/>
        <w:t>contaminar</w:t>
      </w:r>
      <w:r>
        <w:rPr>
          <w:spacing w:val="-11"/>
        </w:rPr>
        <w:t> </w:t>
      </w:r>
      <w:r>
        <w:rPr/>
        <w:t>alimentos</w:t>
      </w:r>
      <w:r>
        <w:rPr>
          <w:spacing w:val="-10"/>
        </w:rPr>
        <w:t> </w:t>
      </w:r>
      <w:r>
        <w:rPr/>
        <w:t>y</w:t>
      </w:r>
      <w:r>
        <w:rPr>
          <w:spacing w:val="-13"/>
        </w:rPr>
        <w:t> </w:t>
      </w:r>
      <w:r>
        <w:rPr/>
        <w:t>producir</w:t>
      </w:r>
      <w:r>
        <w:rPr>
          <w:spacing w:val="-11"/>
        </w:rPr>
        <w:t> </w:t>
      </w:r>
      <w:r>
        <w:rPr/>
        <w:t>una</w:t>
      </w:r>
      <w:r>
        <w:rPr>
          <w:spacing w:val="-12"/>
        </w:rPr>
        <w:t> </w:t>
      </w:r>
      <w:r>
        <w:rPr/>
        <w:t>intoxicación</w:t>
      </w:r>
      <w:r>
        <w:rPr>
          <w:spacing w:val="-9"/>
        </w:rPr>
        <w:t> </w:t>
      </w:r>
      <w:r>
        <w:rPr/>
        <w:t>aguda</w:t>
      </w:r>
      <w:r>
        <w:rPr>
          <w:spacing w:val="-12"/>
        </w:rPr>
        <w:t> </w:t>
      </w:r>
      <w:r>
        <w:rPr/>
        <w:t>debido a</w:t>
      </w:r>
      <w:r>
        <w:rPr>
          <w:spacing w:val="-13"/>
        </w:rPr>
        <w:t> </w:t>
      </w:r>
      <w:r>
        <w:rPr/>
        <w:t>la</w:t>
      </w:r>
      <w:r>
        <w:rPr>
          <w:spacing w:val="-16"/>
        </w:rPr>
        <w:t> </w:t>
      </w:r>
      <w:r>
        <w:rPr/>
        <w:t>presencia</w:t>
      </w:r>
      <w:r>
        <w:rPr>
          <w:spacing w:val="-16"/>
        </w:rPr>
        <w:t> </w:t>
      </w:r>
      <w:r>
        <w:rPr/>
        <w:t>de</w:t>
      </w:r>
      <w:r>
        <w:rPr>
          <w:spacing w:val="-15"/>
        </w:rPr>
        <w:t> </w:t>
      </w:r>
      <w:r>
        <w:rPr/>
        <w:t>toxinas</w:t>
      </w:r>
      <w:r>
        <w:rPr>
          <w:spacing w:val="-14"/>
        </w:rPr>
        <w:t> </w:t>
      </w:r>
      <w:r>
        <w:rPr/>
        <w:t>resistente</w:t>
      </w:r>
      <w:r>
        <w:rPr>
          <w:spacing w:val="-15"/>
        </w:rPr>
        <w:t> </w:t>
      </w:r>
      <w:r>
        <w:rPr/>
        <w:t>al</w:t>
      </w:r>
      <w:r>
        <w:rPr>
          <w:spacing w:val="-17"/>
        </w:rPr>
        <w:t> </w:t>
      </w:r>
      <w:r>
        <w:rPr/>
        <w:t>calor</w:t>
      </w:r>
      <w:r>
        <w:rPr>
          <w:spacing w:val="-14"/>
        </w:rPr>
        <w:t> </w:t>
      </w:r>
      <w:r>
        <w:rPr/>
        <w:t>y</w:t>
      </w:r>
      <w:r>
        <w:rPr>
          <w:spacing w:val="-19"/>
        </w:rPr>
        <w:t> </w:t>
      </w:r>
      <w:r>
        <w:rPr/>
        <w:t>a</w:t>
      </w:r>
      <w:r>
        <w:rPr>
          <w:spacing w:val="-13"/>
        </w:rPr>
        <w:t> </w:t>
      </w:r>
      <w:r>
        <w:rPr/>
        <w:t>las</w:t>
      </w:r>
      <w:r>
        <w:rPr>
          <w:spacing w:val="-16"/>
        </w:rPr>
        <w:t> </w:t>
      </w:r>
      <w:r>
        <w:rPr/>
        <w:t>enzimas</w:t>
      </w:r>
      <w:r>
        <w:rPr>
          <w:spacing w:val="-16"/>
        </w:rPr>
        <w:t> </w:t>
      </w:r>
      <w:r>
        <w:rPr/>
        <w:t>proteolíticas.</w:t>
      </w:r>
      <w:r>
        <w:rPr>
          <w:spacing w:val="-13"/>
        </w:rPr>
        <w:t> </w:t>
      </w:r>
      <w:r>
        <w:rPr/>
        <w:t>Al</w:t>
      </w:r>
      <w:r>
        <w:rPr>
          <w:spacing w:val="-11"/>
        </w:rPr>
        <w:t> </w:t>
      </w:r>
      <w:r>
        <w:rPr/>
        <w:t>ingerirse el alimento contaminado, la enterotoxina se encuentra ya formada, por lo que el período de incubación es muy corto (menos de tres horas). Las manifestaciones clínicas características, que en general cursan sin fiebre, comprenden náuseas, vómitos</w:t>
      </w:r>
      <w:r>
        <w:rPr>
          <w:spacing w:val="-17"/>
        </w:rPr>
        <w:t> </w:t>
      </w:r>
      <w:r>
        <w:rPr/>
        <w:t>intensos,</w:t>
      </w:r>
      <w:r>
        <w:rPr>
          <w:spacing w:val="-19"/>
        </w:rPr>
        <w:t> </w:t>
      </w:r>
      <w:r>
        <w:rPr/>
        <w:t>espasmo</w:t>
      </w:r>
      <w:r>
        <w:rPr>
          <w:spacing w:val="-17"/>
        </w:rPr>
        <w:t> </w:t>
      </w:r>
      <w:r>
        <w:rPr/>
        <w:t>abdominal</w:t>
      </w:r>
      <w:r>
        <w:rPr>
          <w:spacing w:val="-18"/>
        </w:rPr>
        <w:t> </w:t>
      </w:r>
      <w:r>
        <w:rPr/>
        <w:t>y</w:t>
      </w:r>
      <w:r>
        <w:rPr>
          <w:spacing w:val="-20"/>
        </w:rPr>
        <w:t> </w:t>
      </w:r>
      <w:r>
        <w:rPr/>
        <w:t>diarrea.</w:t>
      </w:r>
      <w:r>
        <w:rPr>
          <w:spacing w:val="-17"/>
        </w:rPr>
        <w:t> </w:t>
      </w:r>
      <w:r>
        <w:rPr/>
        <w:t>En</w:t>
      </w:r>
      <w:r>
        <w:rPr>
          <w:spacing w:val="-19"/>
        </w:rPr>
        <w:t> </w:t>
      </w:r>
      <w:r>
        <w:rPr/>
        <w:t>algunos</w:t>
      </w:r>
      <w:r>
        <w:rPr>
          <w:spacing w:val="-17"/>
        </w:rPr>
        <w:t> </w:t>
      </w:r>
      <w:r>
        <w:rPr/>
        <w:t>casos</w:t>
      </w:r>
      <w:r>
        <w:rPr>
          <w:spacing w:val="-17"/>
        </w:rPr>
        <w:t> </w:t>
      </w:r>
      <w:r>
        <w:rPr/>
        <w:t>se</w:t>
      </w:r>
      <w:r>
        <w:rPr>
          <w:spacing w:val="-19"/>
        </w:rPr>
        <w:t> </w:t>
      </w:r>
      <w:r>
        <w:rPr/>
        <w:t>observa</w:t>
      </w:r>
      <w:r>
        <w:rPr>
          <w:spacing w:val="-17"/>
        </w:rPr>
        <w:t> </w:t>
      </w:r>
      <w:r>
        <w:rPr/>
        <w:t>moco y sangre en los vómitos o en las heces (Jordá </w:t>
      </w:r>
      <w:r>
        <w:rPr>
          <w:i/>
        </w:rPr>
        <w:t>et al.</w:t>
      </w:r>
      <w:r>
        <w:rPr/>
        <w:t>,</w:t>
      </w:r>
      <w:r>
        <w:rPr>
          <w:spacing w:val="-15"/>
        </w:rPr>
        <w:t> </w:t>
      </w:r>
      <w:r>
        <w:rPr/>
        <w:t>2012).</w:t>
      </w:r>
    </w:p>
    <w:p>
      <w:pPr>
        <w:pStyle w:val="BodyText"/>
      </w:pPr>
    </w:p>
    <w:p>
      <w:pPr>
        <w:pStyle w:val="BodyText"/>
        <w:spacing w:line="362" w:lineRule="auto" w:before="142"/>
        <w:ind w:left="152" w:right="108"/>
        <w:jc w:val="both"/>
      </w:pPr>
      <w:r>
        <w:rPr/>
        <w:t>La</w:t>
      </w:r>
      <w:r>
        <w:rPr>
          <w:spacing w:val="-19"/>
        </w:rPr>
        <w:t> </w:t>
      </w:r>
      <w:r>
        <w:rPr/>
        <w:t>patogenicidad</w:t>
      </w:r>
      <w:r>
        <w:rPr>
          <w:spacing w:val="-19"/>
        </w:rPr>
        <w:t> </w:t>
      </w:r>
      <w:r>
        <w:rPr/>
        <w:t>del</w:t>
      </w:r>
      <w:r>
        <w:rPr>
          <w:spacing w:val="-15"/>
        </w:rPr>
        <w:t> </w:t>
      </w:r>
      <w:r>
        <w:rPr>
          <w:i/>
        </w:rPr>
        <w:t>S.</w:t>
      </w:r>
      <w:r>
        <w:rPr>
          <w:i/>
          <w:spacing w:val="-17"/>
        </w:rPr>
        <w:t> </w:t>
      </w:r>
      <w:r>
        <w:rPr>
          <w:i/>
        </w:rPr>
        <w:t>aureus</w:t>
      </w:r>
      <w:r>
        <w:rPr>
          <w:i/>
          <w:spacing w:val="-16"/>
        </w:rPr>
        <w:t> </w:t>
      </w:r>
      <w:r>
        <w:rPr/>
        <w:t>y</w:t>
      </w:r>
      <w:r>
        <w:rPr>
          <w:spacing w:val="-20"/>
        </w:rPr>
        <w:t> </w:t>
      </w:r>
      <w:r>
        <w:rPr/>
        <w:t>su</w:t>
      </w:r>
      <w:r>
        <w:rPr>
          <w:spacing w:val="-19"/>
        </w:rPr>
        <w:t> </w:t>
      </w:r>
      <w:r>
        <w:rPr/>
        <w:t>habilidad</w:t>
      </w:r>
      <w:r>
        <w:rPr>
          <w:spacing w:val="-21"/>
        </w:rPr>
        <w:t> </w:t>
      </w:r>
      <w:r>
        <w:rPr/>
        <w:t>para</w:t>
      </w:r>
      <w:r>
        <w:rPr>
          <w:spacing w:val="-17"/>
        </w:rPr>
        <w:t> </w:t>
      </w:r>
      <w:r>
        <w:rPr/>
        <w:t>causar</w:t>
      </w:r>
      <w:r>
        <w:rPr>
          <w:spacing w:val="-20"/>
        </w:rPr>
        <w:t> </w:t>
      </w:r>
      <w:r>
        <w:rPr/>
        <w:t>enfermedades</w:t>
      </w:r>
      <w:r>
        <w:rPr>
          <w:spacing w:val="-17"/>
        </w:rPr>
        <w:t> </w:t>
      </w:r>
      <w:r>
        <w:rPr/>
        <w:t>se</w:t>
      </w:r>
      <w:r>
        <w:rPr>
          <w:spacing w:val="-19"/>
        </w:rPr>
        <w:t> </w:t>
      </w:r>
      <w:r>
        <w:rPr/>
        <w:t>atribuye a</w:t>
      </w:r>
      <w:r>
        <w:rPr>
          <w:spacing w:val="-9"/>
        </w:rPr>
        <w:t> </w:t>
      </w:r>
      <w:r>
        <w:rPr/>
        <w:t>un</w:t>
      </w:r>
      <w:r>
        <w:rPr>
          <w:spacing w:val="-12"/>
        </w:rPr>
        <w:t> </w:t>
      </w:r>
      <w:r>
        <w:rPr/>
        <w:t>número</w:t>
      </w:r>
      <w:r>
        <w:rPr>
          <w:spacing w:val="-9"/>
        </w:rPr>
        <w:t> </w:t>
      </w:r>
      <w:r>
        <w:rPr/>
        <w:t>de</w:t>
      </w:r>
      <w:r>
        <w:rPr>
          <w:spacing w:val="-14"/>
        </w:rPr>
        <w:t> </w:t>
      </w:r>
      <w:r>
        <w:rPr/>
        <w:t>factores</w:t>
      </w:r>
      <w:r>
        <w:rPr>
          <w:spacing w:val="-10"/>
        </w:rPr>
        <w:t> </w:t>
      </w:r>
      <w:r>
        <w:rPr/>
        <w:t>de</w:t>
      </w:r>
      <w:r>
        <w:rPr>
          <w:spacing w:val="-9"/>
        </w:rPr>
        <w:t> </w:t>
      </w:r>
      <w:r>
        <w:rPr/>
        <w:t>virulencia</w:t>
      </w:r>
      <w:r>
        <w:rPr>
          <w:spacing w:val="-6"/>
        </w:rPr>
        <w:t> </w:t>
      </w:r>
      <w:r>
        <w:rPr/>
        <w:t>como</w:t>
      </w:r>
      <w:r>
        <w:rPr>
          <w:spacing w:val="-12"/>
        </w:rPr>
        <w:t> </w:t>
      </w:r>
      <w:r>
        <w:rPr/>
        <w:t>son</w:t>
      </w:r>
      <w:r>
        <w:rPr>
          <w:spacing w:val="-9"/>
        </w:rPr>
        <w:t> </w:t>
      </w:r>
      <w:r>
        <w:rPr/>
        <w:t>las</w:t>
      </w:r>
      <w:r>
        <w:rPr>
          <w:spacing w:val="-12"/>
        </w:rPr>
        <w:t> </w:t>
      </w:r>
      <w:r>
        <w:rPr/>
        <w:t>enterotoxinas</w:t>
      </w:r>
      <w:r>
        <w:rPr>
          <w:spacing w:val="-10"/>
        </w:rPr>
        <w:t> </w:t>
      </w:r>
      <w:r>
        <w:rPr/>
        <w:t>termoestables.</w:t>
      </w:r>
      <w:r>
        <w:rPr>
          <w:spacing w:val="-12"/>
        </w:rPr>
        <w:t> </w:t>
      </w:r>
      <w:r>
        <w:rPr/>
        <w:t>El</w:t>
      </w:r>
    </w:p>
    <w:p>
      <w:pPr>
        <w:pStyle w:val="BodyText"/>
        <w:spacing w:line="360" w:lineRule="auto"/>
        <w:ind w:left="152" w:right="107"/>
        <w:jc w:val="both"/>
      </w:pPr>
      <w:r>
        <w:rPr>
          <w:i/>
        </w:rPr>
        <w:t>S. aureus </w:t>
      </w:r>
      <w:r>
        <w:rPr/>
        <w:t>produce 15 enterotoxinas estafilocócicas (</w:t>
      </w:r>
      <w:r>
        <w:rPr>
          <w:color w:val="221F1F"/>
        </w:rPr>
        <w:t>SEs), SEA-SEE, SEG-J, SEK, SEL, SEP, SEM y SEO; la toxina del síndrome de choque tóxico (TSST). </w:t>
      </w:r>
      <w:r>
        <w:rPr/>
        <w:t>Las 5 enterotoxinas clásicas SEA - SEE se conocen por ser responsables del 95% de</w:t>
      </w:r>
      <w:r>
        <w:rPr>
          <w:spacing w:val="-29"/>
        </w:rPr>
        <w:t> </w:t>
      </w:r>
      <w:r>
        <w:rPr/>
        <w:t>los casos de intoxicación por </w:t>
      </w:r>
      <w:r>
        <w:rPr>
          <w:i/>
        </w:rPr>
        <w:t>S. aureus </w:t>
      </w:r>
      <w:r>
        <w:rPr/>
        <w:t>(Al-Tarazy </w:t>
      </w:r>
      <w:r>
        <w:rPr>
          <w:i/>
        </w:rPr>
        <w:t>et al</w:t>
      </w:r>
      <w:r>
        <w:rPr/>
        <w:t>., 2009; Acosta </w:t>
      </w:r>
      <w:r>
        <w:rPr>
          <w:i/>
        </w:rPr>
        <w:t>et al.</w:t>
      </w:r>
      <w:r>
        <w:rPr/>
        <w:t>,</w:t>
      </w:r>
      <w:r>
        <w:rPr>
          <w:spacing w:val="-26"/>
        </w:rPr>
        <w:t> </w:t>
      </w:r>
      <w:r>
        <w:rPr/>
        <w:t>2012).</w:t>
      </w:r>
    </w:p>
    <w:p>
      <w:pPr>
        <w:pStyle w:val="BodyText"/>
      </w:pPr>
    </w:p>
    <w:p>
      <w:pPr>
        <w:pStyle w:val="BodyText"/>
        <w:spacing w:line="360" w:lineRule="auto" w:before="144"/>
        <w:ind w:left="152" w:right="104"/>
        <w:jc w:val="both"/>
      </w:pPr>
      <w:r>
        <w:rPr>
          <w:color w:val="221F1F"/>
        </w:rPr>
        <w:t>El nombre de estafilococos fue designado por Sir Alexander Ogston después de utilizar la expresión griega </w:t>
      </w:r>
      <w:r>
        <w:rPr>
          <w:i/>
          <w:color w:val="221F1F"/>
        </w:rPr>
        <w:t>staphyle </w:t>
      </w:r>
      <w:r>
        <w:rPr>
          <w:color w:val="221F1F"/>
        </w:rPr>
        <w:t>(racimo de uvas) para describir las características de crecimiento en grupos semejantes a uvas. Los estafilococos son</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7"/>
        <w:jc w:val="both"/>
      </w:pPr>
      <w:r>
        <w:rPr>
          <w:color w:val="221F1F"/>
        </w:rPr>
        <w:t>cocos Gram positivos que miden cerca de 1 μm de diámetro, no móviles, aerobios facultativos y fermentadores de glucosa. El género </w:t>
      </w:r>
      <w:r>
        <w:rPr>
          <w:i/>
          <w:color w:val="221F1F"/>
        </w:rPr>
        <w:t>Staphylococcus </w:t>
      </w:r>
      <w:r>
        <w:rPr>
          <w:color w:val="221F1F"/>
        </w:rPr>
        <w:t>contiene más de 30 especies diferentes, y muchas de éstas son habitantes naturales de la piel y las membranas mucosas; no tienen otros hábitats importantes, excepto cuando están involucradas en infecciones (Velázquez, 2005; Quiros </w:t>
      </w:r>
      <w:r>
        <w:rPr>
          <w:i/>
          <w:color w:val="221F1F"/>
        </w:rPr>
        <w:t>et al</w:t>
      </w:r>
      <w:r>
        <w:rPr>
          <w:color w:val="221F1F"/>
        </w:rPr>
        <w:t>., 2013). </w:t>
      </w:r>
      <w:r>
        <w:rPr/>
        <w:t>En el</w:t>
      </w:r>
      <w:r>
        <w:rPr>
          <w:spacing w:val="-46"/>
        </w:rPr>
        <w:t> </w:t>
      </w:r>
      <w:r>
        <w:rPr/>
        <w:t>año 1957 Bergey señala la prueba de coagulasa como fundamental para separar a los estafilococos en dos grandes grupos: el de los estafilococos coagulasa positivos (ECP) y los estafilococos coagulasa negativos (ECN), los cuales adquieren mayor importancia, por su capacidad de desarrollar resistencia a los antimicrobianos de uso convencional en la clínica veterinaria. La producción de coagulasa y la fermentación de manitol son las características mínimas para diferenciar </w:t>
      </w:r>
      <w:r>
        <w:rPr>
          <w:i/>
        </w:rPr>
        <w:t>S. aureus </w:t>
      </w:r>
      <w:r>
        <w:rPr/>
        <w:t>de otros </w:t>
      </w:r>
      <w:r>
        <w:rPr>
          <w:i/>
        </w:rPr>
        <w:t>Staphylococcus. Staphylococcus aureus </w:t>
      </w:r>
      <w:r>
        <w:rPr/>
        <w:t>expresa varios factores de virulencia, incluyendo la catalasa, que es considerada una característica de</w:t>
      </w:r>
      <w:r>
        <w:rPr>
          <w:spacing w:val="-36"/>
        </w:rPr>
        <w:t> </w:t>
      </w:r>
      <w:r>
        <w:rPr/>
        <w:t>género en su identificación, excepto especies anaeróbicas de </w:t>
      </w:r>
      <w:r>
        <w:rPr>
          <w:i/>
        </w:rPr>
        <w:t>Staphylococcus </w:t>
      </w:r>
      <w:r>
        <w:rPr>
          <w:i/>
        </w:rPr>
        <w:t>saccharolyticus </w:t>
      </w:r>
      <w:r>
        <w:rPr/>
        <w:t>y </w:t>
      </w:r>
      <w:r>
        <w:rPr>
          <w:i/>
        </w:rPr>
        <w:t>S. aureus </w:t>
      </w:r>
      <w:r>
        <w:rPr/>
        <w:t>subespecie anaerobius (Gonzales </w:t>
      </w:r>
      <w:r>
        <w:rPr>
          <w:i/>
        </w:rPr>
        <w:t>et al., </w:t>
      </w:r>
      <w:r>
        <w:rPr/>
        <w:t>2009). Dentro de las bacterias no esporuladas, son las más resistentes; soportan la desecación, sobre todo en los exudados durante semanas, se mantienen vivos a -30 ºC en medios líquidos y a 60 ºC durante 30 minutos, también toleran las fluctuaciones de pH</w:t>
      </w:r>
      <w:r>
        <w:rPr>
          <w:spacing w:val="-4"/>
        </w:rPr>
        <w:t> </w:t>
      </w:r>
      <w:r>
        <w:rPr/>
        <w:t>entre</w:t>
      </w:r>
      <w:r>
        <w:rPr>
          <w:spacing w:val="-5"/>
        </w:rPr>
        <w:t> </w:t>
      </w:r>
      <w:r>
        <w:rPr/>
        <w:t>4</w:t>
      </w:r>
      <w:r>
        <w:rPr>
          <w:spacing w:val="-3"/>
        </w:rPr>
        <w:t> </w:t>
      </w:r>
      <w:r>
        <w:rPr/>
        <w:t>y</w:t>
      </w:r>
      <w:r>
        <w:rPr>
          <w:spacing w:val="-6"/>
        </w:rPr>
        <w:t> </w:t>
      </w:r>
      <w:r>
        <w:rPr/>
        <w:t>9,</w:t>
      </w:r>
      <w:r>
        <w:rPr>
          <w:spacing w:val="-3"/>
        </w:rPr>
        <w:t> </w:t>
      </w:r>
      <w:r>
        <w:rPr/>
        <w:t>y</w:t>
      </w:r>
      <w:r>
        <w:rPr>
          <w:spacing w:val="-6"/>
        </w:rPr>
        <w:t> </w:t>
      </w:r>
      <w:r>
        <w:rPr/>
        <w:t>las</w:t>
      </w:r>
      <w:r>
        <w:rPr>
          <w:spacing w:val="-1"/>
        </w:rPr>
        <w:t> </w:t>
      </w:r>
      <w:r>
        <w:rPr/>
        <w:t>concentraciones</w:t>
      </w:r>
      <w:r>
        <w:rPr>
          <w:spacing w:val="-6"/>
        </w:rPr>
        <w:t> </w:t>
      </w:r>
      <w:r>
        <w:rPr/>
        <w:t>de</w:t>
      </w:r>
      <w:r>
        <w:rPr>
          <w:spacing w:val="-3"/>
        </w:rPr>
        <w:t> </w:t>
      </w:r>
      <w:r>
        <w:rPr/>
        <w:t>sal</w:t>
      </w:r>
      <w:r>
        <w:rPr>
          <w:spacing w:val="-4"/>
        </w:rPr>
        <w:t> </w:t>
      </w:r>
      <w:r>
        <w:rPr/>
        <w:t>del</w:t>
      </w:r>
      <w:r>
        <w:rPr>
          <w:spacing w:val="-4"/>
        </w:rPr>
        <w:t> </w:t>
      </w:r>
      <w:r>
        <w:rPr/>
        <w:t>7.5%,</w:t>
      </w:r>
      <w:r>
        <w:rPr>
          <w:spacing w:val="-5"/>
        </w:rPr>
        <w:t> </w:t>
      </w:r>
      <w:r>
        <w:rPr/>
        <w:t>que</w:t>
      </w:r>
      <w:r>
        <w:rPr>
          <w:spacing w:val="-3"/>
        </w:rPr>
        <w:t> </w:t>
      </w:r>
      <w:r>
        <w:rPr/>
        <w:t>se</w:t>
      </w:r>
      <w:r>
        <w:rPr>
          <w:spacing w:val="-3"/>
        </w:rPr>
        <w:t> </w:t>
      </w:r>
      <w:r>
        <w:rPr/>
        <w:t>utilizan</w:t>
      </w:r>
      <w:r>
        <w:rPr>
          <w:spacing w:val="-3"/>
        </w:rPr>
        <w:t> </w:t>
      </w:r>
      <w:r>
        <w:rPr/>
        <w:t>en</w:t>
      </w:r>
      <w:r>
        <w:rPr>
          <w:spacing w:val="-3"/>
        </w:rPr>
        <w:t> </w:t>
      </w:r>
      <w:r>
        <w:rPr/>
        <w:t>los</w:t>
      </w:r>
      <w:r>
        <w:rPr>
          <w:spacing w:val="-5"/>
        </w:rPr>
        <w:t> </w:t>
      </w:r>
      <w:r>
        <w:rPr/>
        <w:t>medios selectivos para su aislamiento. La resistencia bacteriana frente a los antimicrobianos existen tanto en los ECN como en los ECP, aun que pueden presentar sensibilidad frente a </w:t>
      </w:r>
      <w:r>
        <w:rPr>
          <w:color w:val="221F1F"/>
        </w:rPr>
        <w:t>β-lactamicos, aminoglucosidos, rifampicina, lincosamidas y macrolidos </w:t>
      </w:r>
      <w:r>
        <w:rPr/>
        <w:t>(Stanchi </w:t>
      </w:r>
      <w:r>
        <w:rPr>
          <w:i/>
        </w:rPr>
        <w:t>et al., </w:t>
      </w:r>
      <w:r>
        <w:rPr/>
        <w:t>2007). Las infecciones provocadas por cepas resistentes se hacen cada día más difíciles de tratar con los antibióticos disponibles. Las causadas por </w:t>
      </w:r>
      <w:r>
        <w:rPr>
          <w:i/>
        </w:rPr>
        <w:t>Staphylococcus aureus </w:t>
      </w:r>
      <w:r>
        <w:rPr/>
        <w:t>multirresistente han alcanzado niveles sin precedentes y escasean los medicamentos efectivos para combatirla. La resistencia bacteriana es un problema global que disminuye las opciones terapéuticas en infecciones intra y extrahospitalarias y aumenta las posibilidades de fracaso y los costos de los tratamientos (Quiros </w:t>
      </w:r>
      <w:r>
        <w:rPr>
          <w:i/>
        </w:rPr>
        <w:t>et al</w:t>
      </w:r>
      <w:r>
        <w:rPr/>
        <w:t>,</w:t>
      </w:r>
      <w:r>
        <w:rPr>
          <w:spacing w:val="-24"/>
        </w:rPr>
        <w:t> </w:t>
      </w:r>
      <w:r>
        <w:rPr/>
        <w:t>2013).</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BodyText"/>
        <w:spacing w:line="360" w:lineRule="auto" w:before="69"/>
        <w:ind w:left="152" w:right="105"/>
        <w:jc w:val="both"/>
      </w:pPr>
      <w:r>
        <w:rPr/>
        <w:t>El </w:t>
      </w:r>
      <w:r>
        <w:rPr>
          <w:i/>
        </w:rPr>
        <w:t>S. aureus </w:t>
      </w:r>
      <w:r>
        <w:rPr/>
        <w:t>se encuentra habitualmente a nivel de la nasofaringe y de zonas húmedas como pliegues inguinales y axilas. A nivel del vestíbulo nasal anterior la adherencia parece estar mediada por el contenido en ácidos teicoicos. Se estima que el índice de portación nasal en los adultos es de alrededor del 20-30%. Expresado longitudinalmente, cerca del 30% de la población puede ser portador permanente, el 50% portador intermitente y el 20% no es colonizado. Algunas poblaciones pueden tener una tasa de colonización mayor como el personal de salud, los pacientes en hemodiálisis, diabéticos y adictos a drogas intravenosas. A pesar</w:t>
      </w:r>
      <w:r>
        <w:rPr>
          <w:spacing w:val="-5"/>
        </w:rPr>
        <w:t> </w:t>
      </w:r>
      <w:r>
        <w:rPr/>
        <w:t>que</w:t>
      </w:r>
      <w:r>
        <w:rPr>
          <w:spacing w:val="-3"/>
        </w:rPr>
        <w:t> </w:t>
      </w:r>
      <w:r>
        <w:rPr>
          <w:i/>
        </w:rPr>
        <w:t>S.</w:t>
      </w:r>
      <w:r>
        <w:rPr>
          <w:i/>
          <w:spacing w:val="-6"/>
        </w:rPr>
        <w:t> </w:t>
      </w:r>
      <w:r>
        <w:rPr>
          <w:i/>
        </w:rPr>
        <w:t>aureus</w:t>
      </w:r>
      <w:r>
        <w:rPr>
          <w:i/>
          <w:spacing w:val="-5"/>
        </w:rPr>
        <w:t> </w:t>
      </w:r>
      <w:r>
        <w:rPr/>
        <w:t>posee</w:t>
      </w:r>
      <w:r>
        <w:rPr>
          <w:spacing w:val="-4"/>
        </w:rPr>
        <w:t> </w:t>
      </w:r>
      <w:r>
        <w:rPr/>
        <w:t>numerosos</w:t>
      </w:r>
      <w:r>
        <w:rPr>
          <w:spacing w:val="-7"/>
        </w:rPr>
        <w:t> </w:t>
      </w:r>
      <w:r>
        <w:rPr/>
        <w:t>factores</w:t>
      </w:r>
      <w:r>
        <w:rPr>
          <w:spacing w:val="-4"/>
        </w:rPr>
        <w:t> </w:t>
      </w:r>
      <w:r>
        <w:rPr/>
        <w:t>de</w:t>
      </w:r>
      <w:r>
        <w:rPr>
          <w:spacing w:val="-4"/>
        </w:rPr>
        <w:t> </w:t>
      </w:r>
      <w:r>
        <w:rPr/>
        <w:t>virulencia,</w:t>
      </w:r>
      <w:r>
        <w:rPr>
          <w:spacing w:val="-4"/>
        </w:rPr>
        <w:t> </w:t>
      </w:r>
      <w:r>
        <w:rPr/>
        <w:t>puede</w:t>
      </w:r>
      <w:r>
        <w:rPr>
          <w:spacing w:val="-4"/>
        </w:rPr>
        <w:t> </w:t>
      </w:r>
      <w:r>
        <w:rPr/>
        <w:t>convivir</w:t>
      </w:r>
      <w:r>
        <w:rPr>
          <w:spacing w:val="-5"/>
        </w:rPr>
        <w:t> </w:t>
      </w:r>
      <w:r>
        <w:rPr/>
        <w:t>con</w:t>
      </w:r>
      <w:r>
        <w:rPr>
          <w:spacing w:val="-4"/>
        </w:rPr>
        <w:t> </w:t>
      </w:r>
      <w:r>
        <w:rPr/>
        <w:t>el hospedero humano formando parte de su flora normal sin causar ningún daño. Existen ocasiones en que este equilibrio se puede romper. Desde las narinas, los portadores pueden transferir bacterias a diferentes sectores de la piel, aunque habitualmente</w:t>
      </w:r>
      <w:r>
        <w:rPr>
          <w:spacing w:val="-12"/>
        </w:rPr>
        <w:t> </w:t>
      </w:r>
      <w:r>
        <w:rPr/>
        <w:t>existe</w:t>
      </w:r>
      <w:r>
        <w:rPr>
          <w:spacing w:val="-12"/>
        </w:rPr>
        <w:t> </w:t>
      </w:r>
      <w:r>
        <w:rPr/>
        <w:t>resistencia</w:t>
      </w:r>
      <w:r>
        <w:rPr>
          <w:spacing w:val="-14"/>
        </w:rPr>
        <w:t> </w:t>
      </w:r>
      <w:r>
        <w:rPr/>
        <w:t>a</w:t>
      </w:r>
      <w:r>
        <w:rPr>
          <w:spacing w:val="-12"/>
        </w:rPr>
        <w:t> </w:t>
      </w:r>
      <w:r>
        <w:rPr/>
        <w:t>la</w:t>
      </w:r>
      <w:r>
        <w:rPr>
          <w:spacing w:val="-12"/>
        </w:rPr>
        <w:t> </w:t>
      </w:r>
      <w:r>
        <w:rPr/>
        <w:t>colonización</w:t>
      </w:r>
      <w:r>
        <w:rPr>
          <w:spacing w:val="-11"/>
        </w:rPr>
        <w:t> </w:t>
      </w:r>
      <w:r>
        <w:rPr/>
        <w:t>de</w:t>
      </w:r>
      <w:r>
        <w:rPr>
          <w:spacing w:val="-14"/>
        </w:rPr>
        <w:t> </w:t>
      </w:r>
      <w:r>
        <w:rPr/>
        <w:t>la</w:t>
      </w:r>
      <w:r>
        <w:rPr>
          <w:spacing w:val="-12"/>
        </w:rPr>
        <w:t> </w:t>
      </w:r>
      <w:r>
        <w:rPr/>
        <w:t>piel</w:t>
      </w:r>
      <w:r>
        <w:rPr>
          <w:spacing w:val="-13"/>
        </w:rPr>
        <w:t> </w:t>
      </w:r>
      <w:r>
        <w:rPr/>
        <w:t>intacta.</w:t>
      </w:r>
      <w:r>
        <w:rPr>
          <w:spacing w:val="-14"/>
        </w:rPr>
        <w:t> </w:t>
      </w:r>
      <w:r>
        <w:rPr/>
        <w:t>Sin</w:t>
      </w:r>
      <w:r>
        <w:rPr>
          <w:spacing w:val="-12"/>
        </w:rPr>
        <w:t> </w:t>
      </w:r>
      <w:r>
        <w:rPr/>
        <w:t>embargo,</w:t>
      </w:r>
      <w:r>
        <w:rPr>
          <w:spacing w:val="-14"/>
        </w:rPr>
        <w:t> </w:t>
      </w:r>
      <w:r>
        <w:rPr/>
        <w:t>un traumatismo muchas veces desapercibido puede ser una puerta de entrada al microorganismo.</w:t>
      </w:r>
      <w:r>
        <w:rPr>
          <w:spacing w:val="-20"/>
        </w:rPr>
        <w:t> </w:t>
      </w:r>
      <w:r>
        <w:rPr/>
        <w:t>En</w:t>
      </w:r>
      <w:r>
        <w:rPr>
          <w:spacing w:val="-18"/>
        </w:rPr>
        <w:t> </w:t>
      </w:r>
      <w:r>
        <w:rPr/>
        <w:t>caso</w:t>
      </w:r>
      <w:r>
        <w:rPr>
          <w:spacing w:val="-18"/>
        </w:rPr>
        <w:t> </w:t>
      </w:r>
      <w:r>
        <w:rPr/>
        <w:t>de</w:t>
      </w:r>
      <w:r>
        <w:rPr>
          <w:spacing w:val="-18"/>
        </w:rPr>
        <w:t> </w:t>
      </w:r>
      <w:r>
        <w:rPr/>
        <w:t>infección,</w:t>
      </w:r>
      <w:r>
        <w:rPr>
          <w:spacing w:val="-15"/>
        </w:rPr>
        <w:t> </w:t>
      </w:r>
      <w:r>
        <w:rPr>
          <w:i/>
        </w:rPr>
        <w:t>S.</w:t>
      </w:r>
      <w:r>
        <w:rPr>
          <w:i/>
          <w:spacing w:val="-18"/>
        </w:rPr>
        <w:t> </w:t>
      </w:r>
      <w:r>
        <w:rPr>
          <w:i/>
        </w:rPr>
        <w:t>aureus</w:t>
      </w:r>
      <w:r>
        <w:rPr>
          <w:i/>
          <w:spacing w:val="-17"/>
        </w:rPr>
        <w:t> </w:t>
      </w:r>
      <w:r>
        <w:rPr/>
        <w:t>puede</w:t>
      </w:r>
      <w:r>
        <w:rPr>
          <w:spacing w:val="-18"/>
        </w:rPr>
        <w:t> </w:t>
      </w:r>
      <w:r>
        <w:rPr/>
        <w:t>ser</w:t>
      </w:r>
      <w:r>
        <w:rPr>
          <w:spacing w:val="-19"/>
        </w:rPr>
        <w:t> </w:t>
      </w:r>
      <w:r>
        <w:rPr/>
        <w:t>muchas</w:t>
      </w:r>
      <w:r>
        <w:rPr>
          <w:spacing w:val="-18"/>
        </w:rPr>
        <w:t> </w:t>
      </w:r>
      <w:r>
        <w:rPr/>
        <w:t>veces</w:t>
      </w:r>
      <w:r>
        <w:rPr>
          <w:spacing w:val="-20"/>
        </w:rPr>
        <w:t> </w:t>
      </w:r>
      <w:r>
        <w:rPr/>
        <w:t>de</w:t>
      </w:r>
      <w:r>
        <w:rPr>
          <w:spacing w:val="-20"/>
        </w:rPr>
        <w:t> </w:t>
      </w:r>
      <w:r>
        <w:rPr/>
        <w:t>origen endógeno (Seija,</w:t>
      </w:r>
      <w:r>
        <w:rPr>
          <w:spacing w:val="-13"/>
        </w:rPr>
        <w:t> </w:t>
      </w:r>
      <w:r>
        <w:rPr/>
        <w:t>2008).</w:t>
      </w:r>
    </w:p>
    <w:p>
      <w:pPr>
        <w:pStyle w:val="BodyText"/>
      </w:pPr>
    </w:p>
    <w:p>
      <w:pPr>
        <w:pStyle w:val="BodyText"/>
        <w:spacing w:line="360" w:lineRule="auto" w:before="139"/>
        <w:ind w:left="152" w:right="105"/>
        <w:jc w:val="both"/>
      </w:pPr>
      <w:r>
        <w:rPr/>
        <w:t>El </w:t>
      </w:r>
      <w:r>
        <w:rPr>
          <w:i/>
        </w:rPr>
        <w:t>S. aureus </w:t>
      </w:r>
      <w:r>
        <w:rPr/>
        <w:t>se caracteriza por tener la habilidad para desarrollar rápidamente resistencia a cualquier antibiótico de uso clínico. La resistencia a la meticilina, que indica resistencia a todos los antibióticos beta lactamicos. En 1962 fue el primer reporte</w:t>
      </w:r>
      <w:r>
        <w:rPr>
          <w:spacing w:val="-18"/>
        </w:rPr>
        <w:t> </w:t>
      </w:r>
      <w:r>
        <w:rPr/>
        <w:t>que</w:t>
      </w:r>
      <w:r>
        <w:rPr>
          <w:spacing w:val="-18"/>
        </w:rPr>
        <w:t> </w:t>
      </w:r>
      <w:r>
        <w:rPr/>
        <w:t>marca</w:t>
      </w:r>
      <w:r>
        <w:rPr>
          <w:spacing w:val="-19"/>
        </w:rPr>
        <w:t> </w:t>
      </w:r>
      <w:r>
        <w:rPr/>
        <w:t>la</w:t>
      </w:r>
      <w:r>
        <w:rPr>
          <w:spacing w:val="-18"/>
        </w:rPr>
        <w:t> </w:t>
      </w:r>
      <w:r>
        <w:rPr/>
        <w:t>aparición</w:t>
      </w:r>
      <w:r>
        <w:rPr>
          <w:spacing w:val="-18"/>
        </w:rPr>
        <w:t> </w:t>
      </w:r>
      <w:r>
        <w:rPr/>
        <w:t>del</w:t>
      </w:r>
      <w:r>
        <w:rPr>
          <w:spacing w:val="-16"/>
        </w:rPr>
        <w:t> </w:t>
      </w:r>
      <w:r>
        <w:rPr>
          <w:i/>
        </w:rPr>
        <w:t>S.</w:t>
      </w:r>
      <w:r>
        <w:rPr>
          <w:i/>
          <w:spacing w:val="-18"/>
        </w:rPr>
        <w:t> </w:t>
      </w:r>
      <w:r>
        <w:rPr>
          <w:i/>
        </w:rPr>
        <w:t>aureus</w:t>
      </w:r>
      <w:r>
        <w:rPr>
          <w:i/>
          <w:spacing w:val="-18"/>
        </w:rPr>
        <w:t> </w:t>
      </w:r>
      <w:r>
        <w:rPr/>
        <w:t>Meticilina</w:t>
      </w:r>
      <w:r>
        <w:rPr>
          <w:spacing w:val="-15"/>
        </w:rPr>
        <w:t> </w:t>
      </w:r>
      <w:r>
        <w:rPr/>
        <w:t>Resistente</w:t>
      </w:r>
      <w:r>
        <w:rPr>
          <w:spacing w:val="-17"/>
        </w:rPr>
        <w:t> </w:t>
      </w:r>
      <w:r>
        <w:rPr/>
        <w:t>(MRSA)</w:t>
      </w:r>
      <w:r>
        <w:rPr>
          <w:spacing w:val="-17"/>
        </w:rPr>
        <w:t> </w:t>
      </w:r>
      <w:r>
        <w:rPr/>
        <w:t>(Pantosti, 2012).</w:t>
      </w:r>
      <w:r>
        <w:rPr>
          <w:spacing w:val="-7"/>
        </w:rPr>
        <w:t> </w:t>
      </w:r>
      <w:r>
        <w:rPr/>
        <w:t>La</w:t>
      </w:r>
      <w:r>
        <w:rPr>
          <w:spacing w:val="-9"/>
        </w:rPr>
        <w:t> </w:t>
      </w:r>
      <w:r>
        <w:rPr/>
        <w:t>meticilina</w:t>
      </w:r>
      <w:r>
        <w:rPr>
          <w:spacing w:val="-9"/>
        </w:rPr>
        <w:t> </w:t>
      </w:r>
      <w:r>
        <w:rPr/>
        <w:t>es</w:t>
      </w:r>
      <w:r>
        <w:rPr>
          <w:spacing w:val="-13"/>
        </w:rPr>
        <w:t> </w:t>
      </w:r>
      <w:r>
        <w:rPr/>
        <w:t>una</w:t>
      </w:r>
      <w:r>
        <w:rPr>
          <w:spacing w:val="-9"/>
        </w:rPr>
        <w:t> </w:t>
      </w:r>
      <w:r>
        <w:rPr/>
        <w:t>penicilina</w:t>
      </w:r>
      <w:r>
        <w:rPr>
          <w:spacing w:val="-7"/>
        </w:rPr>
        <w:t> </w:t>
      </w:r>
      <w:r>
        <w:rPr/>
        <w:t>semisintética</w:t>
      </w:r>
      <w:r>
        <w:rPr>
          <w:spacing w:val="-7"/>
        </w:rPr>
        <w:t> </w:t>
      </w:r>
      <w:r>
        <w:rPr/>
        <w:t>resistente</w:t>
      </w:r>
      <w:r>
        <w:rPr>
          <w:spacing w:val="-9"/>
        </w:rPr>
        <w:t> </w:t>
      </w:r>
      <w:r>
        <w:rPr/>
        <w:t>a</w:t>
      </w:r>
      <w:r>
        <w:rPr>
          <w:spacing w:val="-7"/>
        </w:rPr>
        <w:t> </w:t>
      </w:r>
      <w:r>
        <w:rPr/>
        <w:t>la</w:t>
      </w:r>
      <w:r>
        <w:rPr>
          <w:spacing w:val="-10"/>
        </w:rPr>
        <w:t> </w:t>
      </w:r>
      <w:r>
        <w:rPr/>
        <w:t>betalactamasa,</w:t>
      </w:r>
      <w:r>
        <w:rPr>
          <w:spacing w:val="-7"/>
        </w:rPr>
        <w:t> </w:t>
      </w:r>
      <w:r>
        <w:rPr/>
        <w:t>la cual fue introducida a la práctica clínica en 1959 como solución a la infección producida por </w:t>
      </w:r>
      <w:r>
        <w:rPr>
          <w:i/>
        </w:rPr>
        <w:t>S. aureus </w:t>
      </w:r>
      <w:r>
        <w:rPr/>
        <w:t>resistente a la penicilina; sin embargo, sólo dos años después de su introducción se reportaron los primeros casos de cepas resistentes a</w:t>
      </w:r>
      <w:r>
        <w:rPr>
          <w:spacing w:val="-9"/>
        </w:rPr>
        <w:t> </w:t>
      </w:r>
      <w:r>
        <w:rPr/>
        <w:t>este</w:t>
      </w:r>
      <w:r>
        <w:rPr>
          <w:spacing w:val="-9"/>
        </w:rPr>
        <w:t> </w:t>
      </w:r>
      <w:r>
        <w:rPr/>
        <w:t>antibiótico.</w:t>
      </w:r>
      <w:r>
        <w:rPr>
          <w:spacing w:val="-12"/>
        </w:rPr>
        <w:t> </w:t>
      </w:r>
      <w:r>
        <w:rPr/>
        <w:t>La</w:t>
      </w:r>
      <w:r>
        <w:rPr>
          <w:spacing w:val="-9"/>
        </w:rPr>
        <w:t> </w:t>
      </w:r>
      <w:r>
        <w:rPr/>
        <w:t>resistencia</w:t>
      </w:r>
      <w:r>
        <w:rPr>
          <w:spacing w:val="-12"/>
        </w:rPr>
        <w:t> </w:t>
      </w:r>
      <w:r>
        <w:rPr/>
        <w:t>a</w:t>
      </w:r>
      <w:r>
        <w:rPr>
          <w:spacing w:val="-9"/>
        </w:rPr>
        <w:t> </w:t>
      </w:r>
      <w:r>
        <w:rPr/>
        <w:t>la</w:t>
      </w:r>
      <w:r>
        <w:rPr>
          <w:spacing w:val="-12"/>
        </w:rPr>
        <w:t> </w:t>
      </w:r>
      <w:r>
        <w:rPr/>
        <w:t>meticilina</w:t>
      </w:r>
      <w:r>
        <w:rPr>
          <w:spacing w:val="-11"/>
        </w:rPr>
        <w:t> </w:t>
      </w:r>
      <w:r>
        <w:rPr/>
        <w:t>es</w:t>
      </w:r>
      <w:r>
        <w:rPr>
          <w:spacing w:val="-10"/>
        </w:rPr>
        <w:t> </w:t>
      </w:r>
      <w:r>
        <w:rPr/>
        <w:t>conferida</w:t>
      </w:r>
      <w:r>
        <w:rPr>
          <w:spacing w:val="-9"/>
        </w:rPr>
        <w:t> </w:t>
      </w:r>
      <w:r>
        <w:rPr/>
        <w:t>por</w:t>
      </w:r>
      <w:r>
        <w:rPr>
          <w:spacing w:val="-11"/>
        </w:rPr>
        <w:t> </w:t>
      </w:r>
      <w:r>
        <w:rPr/>
        <w:t>el</w:t>
      </w:r>
      <w:r>
        <w:rPr>
          <w:spacing w:val="-11"/>
        </w:rPr>
        <w:t> </w:t>
      </w:r>
      <w:r>
        <w:rPr/>
        <w:t>gen</w:t>
      </w:r>
      <w:r>
        <w:rPr>
          <w:spacing w:val="-4"/>
        </w:rPr>
        <w:t> </w:t>
      </w:r>
      <w:r>
        <w:rPr>
          <w:i/>
        </w:rPr>
        <w:t>mec</w:t>
      </w:r>
      <w:r>
        <w:rPr/>
        <w:t>A,</w:t>
      </w:r>
      <w:r>
        <w:rPr>
          <w:spacing w:val="-10"/>
        </w:rPr>
        <w:t> </w:t>
      </w:r>
      <w:r>
        <w:rPr/>
        <w:t>el</w:t>
      </w:r>
      <w:r>
        <w:rPr>
          <w:spacing w:val="-11"/>
        </w:rPr>
        <w:t> </w:t>
      </w:r>
      <w:r>
        <w:rPr/>
        <w:t>cual es responsable de la síntesis de la proteína ligadora de penicilina 2a (PBP2a o PBP2’). Las PBP son enzimas ligadas a la membrana, las cuales catalizan la reacción de transpeptidación necesaria para unir las cadenas de </w:t>
      </w:r>
      <w:r>
        <w:rPr>
          <w:spacing w:val="66"/>
        </w:rPr>
        <w:t> </w:t>
      </w:r>
      <w:r>
        <w:rPr/>
        <w:t>peptidoglicanos.</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6"/>
        <w:jc w:val="both"/>
      </w:pPr>
      <w:r>
        <w:rPr/>
        <w:t>Las PBP2a presentan baja afinidad a los antibióticos beta-lactámicos, por lo tanto, permiten la supervivencia de la bacteria en ambientes con alta concentración de estos agentes; cuando está presente el gen </w:t>
      </w:r>
      <w:r>
        <w:rPr>
          <w:i/>
        </w:rPr>
        <w:t>mec</w:t>
      </w:r>
      <w:r>
        <w:rPr/>
        <w:t>A (SARM), se confiere resistencia a todos los antibióticos beta-lactámicos, inclusive las cefalosporinas. El </w:t>
      </w:r>
      <w:r>
        <w:rPr>
          <w:i/>
        </w:rPr>
        <w:t>mec</w:t>
      </w:r>
      <w:r>
        <w:rPr/>
        <w:t>A hace parte de una isla genómica conocida como casete cromosómico estafilocóccico (SCCmec, por sus siglas en inglés, Staphylococcal Cassette Chromosome mec) el cual</w:t>
      </w:r>
      <w:r>
        <w:rPr>
          <w:spacing w:val="-18"/>
        </w:rPr>
        <w:t> </w:t>
      </w:r>
      <w:r>
        <w:rPr/>
        <w:t>se</w:t>
      </w:r>
      <w:r>
        <w:rPr>
          <w:spacing w:val="-19"/>
        </w:rPr>
        <w:t> </w:t>
      </w:r>
      <w:r>
        <w:rPr/>
        <w:t>integra</w:t>
      </w:r>
      <w:r>
        <w:rPr>
          <w:spacing w:val="-17"/>
        </w:rPr>
        <w:t> </w:t>
      </w:r>
      <w:r>
        <w:rPr/>
        <w:t>al</w:t>
      </w:r>
      <w:r>
        <w:rPr>
          <w:spacing w:val="-18"/>
        </w:rPr>
        <w:t> </w:t>
      </w:r>
      <w:r>
        <w:rPr/>
        <w:t>cromosoma</w:t>
      </w:r>
      <w:r>
        <w:rPr>
          <w:spacing w:val="-19"/>
        </w:rPr>
        <w:t> </w:t>
      </w:r>
      <w:r>
        <w:rPr/>
        <w:t>de</w:t>
      </w:r>
      <w:r>
        <w:rPr>
          <w:spacing w:val="-16"/>
        </w:rPr>
        <w:t> </w:t>
      </w:r>
      <w:r>
        <w:rPr>
          <w:i/>
        </w:rPr>
        <w:t>S.</w:t>
      </w:r>
      <w:r>
        <w:rPr>
          <w:i/>
          <w:spacing w:val="-19"/>
        </w:rPr>
        <w:t> </w:t>
      </w:r>
      <w:r>
        <w:rPr>
          <w:i/>
        </w:rPr>
        <w:t>aureus</w:t>
      </w:r>
      <w:r>
        <w:rPr/>
        <w:t>.</w:t>
      </w:r>
      <w:r>
        <w:rPr>
          <w:spacing w:val="-19"/>
        </w:rPr>
        <w:t> </w:t>
      </w:r>
      <w:r>
        <w:rPr/>
        <w:t>Actualmente,</w:t>
      </w:r>
      <w:r>
        <w:rPr>
          <w:spacing w:val="-17"/>
        </w:rPr>
        <w:t> </w:t>
      </w:r>
      <w:r>
        <w:rPr/>
        <w:t>se</w:t>
      </w:r>
      <w:r>
        <w:rPr>
          <w:spacing w:val="-19"/>
        </w:rPr>
        <w:t> </w:t>
      </w:r>
      <w:r>
        <w:rPr/>
        <w:t>han</w:t>
      </w:r>
      <w:r>
        <w:rPr>
          <w:spacing w:val="-19"/>
        </w:rPr>
        <w:t> </w:t>
      </w:r>
      <w:r>
        <w:rPr/>
        <w:t>caracterizado</w:t>
      </w:r>
      <w:r>
        <w:rPr>
          <w:spacing w:val="-17"/>
        </w:rPr>
        <w:t> </w:t>
      </w:r>
      <w:r>
        <w:rPr/>
        <w:t>cinco tipos</w:t>
      </w:r>
      <w:r>
        <w:rPr>
          <w:spacing w:val="-8"/>
        </w:rPr>
        <w:t> </w:t>
      </w:r>
      <w:r>
        <w:rPr/>
        <w:t>diferentes</w:t>
      </w:r>
      <w:r>
        <w:rPr>
          <w:spacing w:val="-8"/>
        </w:rPr>
        <w:t> </w:t>
      </w:r>
      <w:r>
        <w:rPr/>
        <w:t>de</w:t>
      </w:r>
      <w:r>
        <w:rPr>
          <w:spacing w:val="-7"/>
        </w:rPr>
        <w:t> </w:t>
      </w:r>
      <w:r>
        <w:rPr/>
        <w:t>SCCmec,</w:t>
      </w:r>
      <w:r>
        <w:rPr>
          <w:spacing w:val="-7"/>
        </w:rPr>
        <w:t> </w:t>
      </w:r>
      <w:r>
        <w:rPr/>
        <w:t>los</w:t>
      </w:r>
      <w:r>
        <w:rPr>
          <w:spacing w:val="-5"/>
        </w:rPr>
        <w:t> </w:t>
      </w:r>
      <w:r>
        <w:rPr/>
        <w:t>cuales</w:t>
      </w:r>
      <w:r>
        <w:rPr>
          <w:spacing w:val="-7"/>
        </w:rPr>
        <w:t> </w:t>
      </w:r>
      <w:r>
        <w:rPr/>
        <w:t>difieren</w:t>
      </w:r>
      <w:r>
        <w:rPr>
          <w:spacing w:val="-7"/>
        </w:rPr>
        <w:t> </w:t>
      </w:r>
      <w:r>
        <w:rPr/>
        <w:t>en</w:t>
      </w:r>
      <w:r>
        <w:rPr>
          <w:spacing w:val="-7"/>
        </w:rPr>
        <w:t> </w:t>
      </w:r>
      <w:r>
        <w:rPr/>
        <w:t>tamaño</w:t>
      </w:r>
      <w:r>
        <w:rPr>
          <w:spacing w:val="-5"/>
        </w:rPr>
        <w:t> </w:t>
      </w:r>
      <w:r>
        <w:rPr/>
        <w:t>y</w:t>
      </w:r>
      <w:r>
        <w:rPr>
          <w:spacing w:val="-8"/>
        </w:rPr>
        <w:t> </w:t>
      </w:r>
      <w:r>
        <w:rPr/>
        <w:t>composición</w:t>
      </w:r>
      <w:r>
        <w:rPr>
          <w:spacing w:val="-5"/>
        </w:rPr>
        <w:t> </w:t>
      </w:r>
      <w:r>
        <w:rPr/>
        <w:t>genética. Basados en el tipo de SCCmec y en análisis filogenéticos, las cepas de SARM se pueden</w:t>
      </w:r>
      <w:r>
        <w:rPr>
          <w:spacing w:val="-16"/>
        </w:rPr>
        <w:t> </w:t>
      </w:r>
      <w:r>
        <w:rPr/>
        <w:t>clasificar</w:t>
      </w:r>
      <w:r>
        <w:rPr>
          <w:spacing w:val="-17"/>
        </w:rPr>
        <w:t> </w:t>
      </w:r>
      <w:r>
        <w:rPr/>
        <w:t>como</w:t>
      </w:r>
      <w:r>
        <w:rPr>
          <w:spacing w:val="-18"/>
        </w:rPr>
        <w:t> </w:t>
      </w:r>
      <w:r>
        <w:rPr/>
        <w:t>hospitalarias</w:t>
      </w:r>
      <w:r>
        <w:rPr>
          <w:spacing w:val="-16"/>
        </w:rPr>
        <w:t> </w:t>
      </w:r>
      <w:r>
        <w:rPr/>
        <w:t>si</w:t>
      </w:r>
      <w:r>
        <w:rPr>
          <w:spacing w:val="-17"/>
        </w:rPr>
        <w:t> </w:t>
      </w:r>
      <w:r>
        <w:rPr/>
        <w:t>presentan</w:t>
      </w:r>
      <w:r>
        <w:rPr>
          <w:spacing w:val="-16"/>
        </w:rPr>
        <w:t> </w:t>
      </w:r>
      <w:r>
        <w:rPr/>
        <w:t>SCCmec</w:t>
      </w:r>
      <w:r>
        <w:rPr>
          <w:spacing w:val="-16"/>
        </w:rPr>
        <w:t> </w:t>
      </w:r>
      <w:r>
        <w:rPr/>
        <w:t>tipo</w:t>
      </w:r>
      <w:r>
        <w:rPr>
          <w:spacing w:val="-10"/>
        </w:rPr>
        <w:t> </w:t>
      </w:r>
      <w:r>
        <w:rPr/>
        <w:t>I,</w:t>
      </w:r>
      <w:r>
        <w:rPr>
          <w:spacing w:val="-16"/>
        </w:rPr>
        <w:t> </w:t>
      </w:r>
      <w:r>
        <w:rPr/>
        <w:t>II</w:t>
      </w:r>
      <w:r>
        <w:rPr>
          <w:spacing w:val="-18"/>
        </w:rPr>
        <w:t> </w:t>
      </w:r>
      <w:r>
        <w:rPr/>
        <w:t>o</w:t>
      </w:r>
      <w:r>
        <w:rPr>
          <w:spacing w:val="-18"/>
        </w:rPr>
        <w:t> </w:t>
      </w:r>
      <w:r>
        <w:rPr/>
        <w:t>III</w:t>
      </w:r>
      <w:r>
        <w:rPr>
          <w:spacing w:val="-16"/>
        </w:rPr>
        <w:t> </w:t>
      </w:r>
      <w:r>
        <w:rPr/>
        <w:t>y,</w:t>
      </w:r>
      <w:r>
        <w:rPr>
          <w:spacing w:val="-16"/>
        </w:rPr>
        <w:t> </w:t>
      </w:r>
      <w:r>
        <w:rPr/>
        <w:t>adquiridas en la comunidad, cuando presentan SCCmec tipo IV o V. El SCCmec puede transportar en forma variable genes de resistencia a otros antibióticos como aminoglucósidos, clindamicina, eritromicina, rifampicina, tetraciclina y trimetoprimsulfametoxazol; los SARM adquiridos en el hospital son los </w:t>
      </w:r>
      <w:r>
        <w:rPr>
          <w:spacing w:val="-2"/>
        </w:rPr>
        <w:t>que </w:t>
      </w:r>
      <w:r>
        <w:rPr/>
        <w:t>presentan</w:t>
      </w:r>
      <w:r>
        <w:rPr>
          <w:spacing w:val="-21"/>
        </w:rPr>
        <w:t> </w:t>
      </w:r>
      <w:r>
        <w:rPr/>
        <w:t>más</w:t>
      </w:r>
      <w:r>
        <w:rPr>
          <w:spacing w:val="-20"/>
        </w:rPr>
        <w:t> </w:t>
      </w:r>
      <w:r>
        <w:rPr/>
        <w:t>comúnmente</w:t>
      </w:r>
      <w:r>
        <w:rPr>
          <w:spacing w:val="-18"/>
        </w:rPr>
        <w:t> </w:t>
      </w:r>
      <w:r>
        <w:rPr/>
        <w:t>resistencia</w:t>
      </w:r>
      <w:r>
        <w:rPr>
          <w:spacing w:val="-19"/>
        </w:rPr>
        <w:t> </w:t>
      </w:r>
      <w:r>
        <w:rPr/>
        <w:t>a</w:t>
      </w:r>
      <w:r>
        <w:rPr>
          <w:spacing w:val="-19"/>
        </w:rPr>
        <w:t> </w:t>
      </w:r>
      <w:r>
        <w:rPr/>
        <w:t>estos</w:t>
      </w:r>
      <w:r>
        <w:rPr>
          <w:spacing w:val="-17"/>
        </w:rPr>
        <w:t> </w:t>
      </w:r>
      <w:r>
        <w:rPr/>
        <w:t>antibióticos.</w:t>
      </w:r>
      <w:r>
        <w:rPr>
          <w:spacing w:val="-19"/>
        </w:rPr>
        <w:t> </w:t>
      </w:r>
      <w:r>
        <w:rPr/>
        <w:t>La</w:t>
      </w:r>
      <w:r>
        <w:rPr>
          <w:spacing w:val="-21"/>
        </w:rPr>
        <w:t> </w:t>
      </w:r>
      <w:r>
        <w:rPr/>
        <w:t>expresión</w:t>
      </w:r>
      <w:r>
        <w:rPr>
          <w:spacing w:val="-21"/>
        </w:rPr>
        <w:t> </w:t>
      </w:r>
      <w:r>
        <w:rPr/>
        <w:t>fenotípica de estos perfiles de sensibilidad antibiótica se ha utilizado como una herramienta más para clasificar el origen de las cepas de SARM. De igual forma, SARM puede clasificarse en clones según el patrón de electroforesis de campo de pulso en gel (que guarda relación con el SSCmec y, por ende, con patrón de susceptibilidad antibiótica). Estos estudios permiten identificar el patrón de resistencia característico en un área o región (Tibavizco </w:t>
      </w:r>
      <w:r>
        <w:rPr>
          <w:i/>
        </w:rPr>
        <w:t>et al.</w:t>
      </w:r>
      <w:r>
        <w:rPr/>
        <w:t>, 2007; Morgan, 2008; Garcia, 2011; Monecke </w:t>
      </w:r>
      <w:r>
        <w:rPr>
          <w:i/>
        </w:rPr>
        <w:t>et al</w:t>
      </w:r>
      <w:r>
        <w:rPr/>
        <w:t>.,</w:t>
      </w:r>
      <w:r>
        <w:rPr>
          <w:spacing w:val="-12"/>
        </w:rPr>
        <w:t> </w:t>
      </w:r>
      <w:r>
        <w:rPr/>
        <w:t>2011).</w:t>
      </w:r>
    </w:p>
    <w:p>
      <w:pPr>
        <w:pStyle w:val="BodyText"/>
      </w:pPr>
    </w:p>
    <w:p>
      <w:pPr>
        <w:pStyle w:val="BodyText"/>
        <w:spacing w:before="10"/>
        <w:rPr>
          <w:sz w:val="29"/>
        </w:rPr>
      </w:pPr>
    </w:p>
    <w:p>
      <w:pPr>
        <w:spacing w:before="0"/>
        <w:ind w:left="152" w:right="0" w:firstLine="0"/>
        <w:jc w:val="both"/>
        <w:rPr>
          <w:b/>
          <w:sz w:val="24"/>
        </w:rPr>
      </w:pPr>
      <w:r>
        <w:rPr>
          <w:b/>
          <w:i/>
          <w:sz w:val="24"/>
        </w:rPr>
        <w:t>Staphylococcus aureus </w:t>
      </w:r>
      <w:r>
        <w:rPr>
          <w:b/>
          <w:sz w:val="24"/>
        </w:rPr>
        <w:t>MRSA adquirido en hospitales AH- MRSA</w:t>
      </w:r>
    </w:p>
    <w:p>
      <w:pPr>
        <w:pStyle w:val="BodyText"/>
        <w:spacing w:before="4"/>
        <w:rPr>
          <w:b/>
          <w:sz w:val="29"/>
        </w:rPr>
      </w:pPr>
    </w:p>
    <w:p>
      <w:pPr>
        <w:pStyle w:val="BodyText"/>
        <w:spacing w:line="360" w:lineRule="auto" w:before="1"/>
        <w:ind w:left="152" w:right="104"/>
        <w:jc w:val="both"/>
      </w:pPr>
      <w:r>
        <w:rPr/>
        <w:t>Staphylococcus aureus resistente a la meticilina (MRSA) se ha convertido en cada vez más frecuente en todo el mundo. En los Estados Unidos y en algunos países europeos, MRSA representa el 10 a 40% del total de aislados de </w:t>
      </w:r>
      <w:r>
        <w:rPr>
          <w:i/>
        </w:rPr>
        <w:t>S. aureus</w:t>
      </w:r>
      <w:r>
        <w:rPr/>
        <w:t>. El aumento</w:t>
      </w:r>
      <w:r>
        <w:rPr>
          <w:spacing w:val="-12"/>
        </w:rPr>
        <w:t> </w:t>
      </w:r>
      <w:r>
        <w:rPr/>
        <w:t>de</w:t>
      </w:r>
      <w:r>
        <w:rPr>
          <w:spacing w:val="-12"/>
        </w:rPr>
        <w:t> </w:t>
      </w:r>
      <w:r>
        <w:rPr/>
        <w:t>la</w:t>
      </w:r>
      <w:r>
        <w:rPr>
          <w:spacing w:val="-12"/>
        </w:rPr>
        <w:t> </w:t>
      </w:r>
      <w:r>
        <w:rPr/>
        <w:t>vigilancia,</w:t>
      </w:r>
      <w:r>
        <w:rPr>
          <w:spacing w:val="-12"/>
        </w:rPr>
        <w:t> </w:t>
      </w:r>
      <w:r>
        <w:rPr/>
        <w:t>incluyendo</w:t>
      </w:r>
      <w:r>
        <w:rPr>
          <w:spacing w:val="-12"/>
        </w:rPr>
        <w:t> </w:t>
      </w:r>
      <w:r>
        <w:rPr/>
        <w:t>la</w:t>
      </w:r>
      <w:r>
        <w:rPr>
          <w:spacing w:val="-12"/>
        </w:rPr>
        <w:t> </w:t>
      </w:r>
      <w:r>
        <w:rPr/>
        <w:t>investigación</w:t>
      </w:r>
      <w:r>
        <w:rPr>
          <w:spacing w:val="-11"/>
        </w:rPr>
        <w:t> </w:t>
      </w:r>
      <w:r>
        <w:rPr/>
        <w:t>de</w:t>
      </w:r>
      <w:r>
        <w:rPr>
          <w:spacing w:val="-12"/>
        </w:rPr>
        <w:t> </w:t>
      </w:r>
      <w:r>
        <w:rPr/>
        <w:t>los</w:t>
      </w:r>
      <w:r>
        <w:rPr>
          <w:spacing w:val="-12"/>
        </w:rPr>
        <w:t> </w:t>
      </w:r>
      <w:r>
        <w:rPr/>
        <w:t>pacientes</w:t>
      </w:r>
      <w:r>
        <w:rPr>
          <w:spacing w:val="-6"/>
        </w:rPr>
        <w:t> </w:t>
      </w:r>
      <w:r>
        <w:rPr/>
        <w:t>de</w:t>
      </w:r>
      <w:r>
        <w:rPr>
          <w:spacing w:val="-12"/>
        </w:rPr>
        <w:t> </w:t>
      </w:r>
      <w:r>
        <w:rPr/>
        <w:t>alto</w:t>
      </w:r>
      <w:r>
        <w:rPr>
          <w:spacing w:val="-12"/>
        </w:rPr>
        <w:t> </w:t>
      </w:r>
      <w:r>
        <w:rPr/>
        <w:t>riesgo,</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7"/>
        <w:jc w:val="both"/>
      </w:pPr>
      <w:r>
        <w:rPr/>
        <w:t>ha sido reconocido como un componente importante de los programas de control de infecciones eficaz para limitar la propagación del MRSA en los hospitales</w:t>
      </w:r>
      <w:r>
        <w:rPr>
          <w:spacing w:val="-44"/>
        </w:rPr>
        <w:t> </w:t>
      </w:r>
      <w:r>
        <w:rPr/>
        <w:t>(Louie </w:t>
      </w:r>
      <w:r>
        <w:rPr>
          <w:i/>
        </w:rPr>
        <w:t>et al.,</w:t>
      </w:r>
      <w:r>
        <w:rPr>
          <w:i/>
          <w:spacing w:val="-5"/>
        </w:rPr>
        <w:t> </w:t>
      </w:r>
      <w:r>
        <w:rPr/>
        <w:t>2000).</w:t>
      </w:r>
    </w:p>
    <w:p>
      <w:pPr>
        <w:pStyle w:val="BodyText"/>
      </w:pPr>
    </w:p>
    <w:p>
      <w:pPr>
        <w:pStyle w:val="BodyText"/>
        <w:spacing w:line="360" w:lineRule="auto" w:before="144"/>
        <w:ind w:left="152" w:right="104"/>
        <w:jc w:val="both"/>
      </w:pPr>
      <w:r>
        <w:rPr/>
        <w:t>La prevalencia MRSA se ha incrementado en los últimos años; altas hospitalizaciones</w:t>
      </w:r>
      <w:r>
        <w:rPr>
          <w:spacing w:val="46"/>
        </w:rPr>
        <w:t> </w:t>
      </w:r>
      <w:r>
        <w:rPr/>
        <w:t>relacionadas</w:t>
      </w:r>
      <w:r>
        <w:rPr>
          <w:spacing w:val="-10"/>
        </w:rPr>
        <w:t> </w:t>
      </w:r>
      <w:r>
        <w:rPr/>
        <w:t>con</w:t>
      </w:r>
      <w:r>
        <w:rPr>
          <w:spacing w:val="-8"/>
        </w:rPr>
        <w:t> </w:t>
      </w:r>
      <w:r>
        <w:rPr/>
        <w:t>MRSA</w:t>
      </w:r>
      <w:r>
        <w:rPr>
          <w:spacing w:val="-12"/>
        </w:rPr>
        <w:t> </w:t>
      </w:r>
      <w:r>
        <w:rPr/>
        <w:t>se</w:t>
      </w:r>
      <w:r>
        <w:rPr>
          <w:spacing w:val="-9"/>
        </w:rPr>
        <w:t> </w:t>
      </w:r>
      <w:r>
        <w:rPr/>
        <w:t>han</w:t>
      </w:r>
      <w:r>
        <w:rPr>
          <w:spacing w:val="-12"/>
        </w:rPr>
        <w:t> </w:t>
      </w:r>
      <w:r>
        <w:rPr/>
        <w:t>duplicado</w:t>
      </w:r>
      <w:r>
        <w:rPr>
          <w:spacing w:val="-12"/>
        </w:rPr>
        <w:t> </w:t>
      </w:r>
      <w:r>
        <w:rPr/>
        <w:t>en</w:t>
      </w:r>
      <w:r>
        <w:rPr>
          <w:spacing w:val="-12"/>
        </w:rPr>
        <w:t> </w:t>
      </w:r>
      <w:r>
        <w:rPr/>
        <w:t>los</w:t>
      </w:r>
      <w:r>
        <w:rPr>
          <w:spacing w:val="-14"/>
        </w:rPr>
        <w:t> </w:t>
      </w:r>
      <w:r>
        <w:rPr/>
        <w:t>últimos</w:t>
      </w:r>
      <w:r>
        <w:rPr>
          <w:spacing w:val="-13"/>
        </w:rPr>
        <w:t> </w:t>
      </w:r>
      <w:r>
        <w:rPr/>
        <w:t>10</w:t>
      </w:r>
      <w:r>
        <w:rPr>
          <w:spacing w:val="-12"/>
        </w:rPr>
        <w:t> </w:t>
      </w:r>
      <w:r>
        <w:rPr/>
        <w:t>años, con las altas hospitalarias por MRSA en piel y tejidos blandos desde 2004. Las infecciones causadas por MRSA se asocian con una mayor hospitalizacion y un aumento</w:t>
      </w:r>
      <w:r>
        <w:rPr>
          <w:spacing w:val="-13"/>
        </w:rPr>
        <w:t> </w:t>
      </w:r>
      <w:r>
        <w:rPr/>
        <w:t>en</w:t>
      </w:r>
      <w:r>
        <w:rPr>
          <w:spacing w:val="-13"/>
        </w:rPr>
        <w:t> </w:t>
      </w:r>
      <w:r>
        <w:rPr/>
        <w:t>la</w:t>
      </w:r>
      <w:r>
        <w:rPr>
          <w:spacing w:val="-13"/>
        </w:rPr>
        <w:t> </w:t>
      </w:r>
      <w:r>
        <w:rPr/>
        <w:t>carga</w:t>
      </w:r>
      <w:r>
        <w:rPr>
          <w:spacing w:val="-16"/>
        </w:rPr>
        <w:t> </w:t>
      </w:r>
      <w:r>
        <w:rPr/>
        <w:t>financiera</w:t>
      </w:r>
      <w:r>
        <w:rPr>
          <w:spacing w:val="-13"/>
        </w:rPr>
        <w:t> </w:t>
      </w:r>
      <w:r>
        <w:rPr/>
        <w:t>de</w:t>
      </w:r>
      <w:r>
        <w:rPr>
          <w:spacing w:val="-13"/>
        </w:rPr>
        <w:t> </w:t>
      </w:r>
      <w:r>
        <w:rPr/>
        <w:t>la</w:t>
      </w:r>
      <w:r>
        <w:rPr>
          <w:spacing w:val="-13"/>
        </w:rPr>
        <w:t> </w:t>
      </w:r>
      <w:r>
        <w:rPr/>
        <w:t>sociedad</w:t>
      </w:r>
      <w:r>
        <w:rPr>
          <w:spacing w:val="-13"/>
        </w:rPr>
        <w:t> </w:t>
      </w:r>
      <w:r>
        <w:rPr/>
        <w:t>para</w:t>
      </w:r>
      <w:r>
        <w:rPr>
          <w:spacing w:val="-14"/>
        </w:rPr>
        <w:t> </w:t>
      </w:r>
      <w:r>
        <w:rPr/>
        <w:t>todos</w:t>
      </w:r>
      <w:r>
        <w:rPr>
          <w:spacing w:val="-14"/>
        </w:rPr>
        <w:t> </w:t>
      </w:r>
      <w:r>
        <w:rPr/>
        <w:t>los</w:t>
      </w:r>
      <w:r>
        <w:rPr>
          <w:spacing w:val="-13"/>
        </w:rPr>
        <w:t> </w:t>
      </w:r>
      <w:r>
        <w:rPr/>
        <w:t>días</w:t>
      </w:r>
      <w:r>
        <w:rPr>
          <w:spacing w:val="-14"/>
        </w:rPr>
        <w:t> </w:t>
      </w:r>
      <w:r>
        <w:rPr/>
        <w:t>de</w:t>
      </w:r>
      <w:r>
        <w:rPr>
          <w:spacing w:val="-13"/>
        </w:rPr>
        <w:t> </w:t>
      </w:r>
      <w:r>
        <w:rPr/>
        <w:t>hospitalización en el 2003. Un ejemplo del aumento de la morbilidad y la mortalidad asociadas</w:t>
      </w:r>
      <w:r>
        <w:rPr>
          <w:spacing w:val="-38"/>
        </w:rPr>
        <w:t> </w:t>
      </w:r>
      <w:r>
        <w:rPr/>
        <w:t>con MRSA puede verse al comparar las tasas de infección anuales y las tasas de mortalidad en los Estados Unidos para el MRSA, el SIDA, la hepatitis viral, y la tuberculosis. Se estima que la infección por MRSA causa más infecciones que las otras enfermedades combinadas y más muertes por año que el SIDA. MRSA es la principal causa de infecciones en piel y tejidos blandos en pacientes que informan a los departamentos de emergencia para el tratamiento, con una tasa de aumento en las clínicas de atención primaria y unidades de cuidados intensivos. La infecciones del MRSA estan relacionadas con mayor frecuencia de procesos patológicos que incluyen: shock séptico (56%), neumonía (32%), endocarditis (19%), bacteriemia (10%), y la celulitis (6%) (Green </w:t>
      </w:r>
      <w:r>
        <w:rPr>
          <w:i/>
        </w:rPr>
        <w:t>et al</w:t>
      </w:r>
      <w:r>
        <w:rPr/>
        <w:t>.,</w:t>
      </w:r>
      <w:r>
        <w:rPr>
          <w:spacing w:val="-12"/>
        </w:rPr>
        <w:t> </w:t>
      </w:r>
      <w:r>
        <w:rPr/>
        <w:t>2012).</w:t>
      </w:r>
    </w:p>
    <w:p>
      <w:pPr>
        <w:pStyle w:val="BodyText"/>
      </w:pPr>
    </w:p>
    <w:p>
      <w:pPr>
        <w:pStyle w:val="BodyText"/>
        <w:spacing w:line="360" w:lineRule="auto" w:before="144"/>
        <w:ind w:left="152" w:right="105"/>
        <w:jc w:val="both"/>
      </w:pPr>
      <w:r>
        <w:rPr/>
        <w:t>MRSA causa infecciones en la piel y tejidos suaves, neumonía y enfermedades de invasión fatal como sepsis, neumonía necrótica, fasitis necrótica, osteomelitis y celulitis</w:t>
      </w:r>
      <w:r>
        <w:rPr>
          <w:spacing w:val="-13"/>
        </w:rPr>
        <w:t> </w:t>
      </w:r>
      <w:r>
        <w:rPr/>
        <w:t>orbital</w:t>
      </w:r>
      <w:r>
        <w:rPr>
          <w:spacing w:val="-13"/>
        </w:rPr>
        <w:t> </w:t>
      </w:r>
      <w:r>
        <w:rPr/>
        <w:t>(Li</w:t>
      </w:r>
      <w:r>
        <w:rPr>
          <w:spacing w:val="-13"/>
        </w:rPr>
        <w:t> </w:t>
      </w:r>
      <w:r>
        <w:rPr>
          <w:i/>
        </w:rPr>
        <w:t>et</w:t>
      </w:r>
      <w:r>
        <w:rPr>
          <w:i/>
          <w:spacing w:val="-12"/>
        </w:rPr>
        <w:t> </w:t>
      </w:r>
      <w:r>
        <w:rPr>
          <w:i/>
        </w:rPr>
        <w:t>al.,</w:t>
      </w:r>
      <w:r>
        <w:rPr>
          <w:i/>
          <w:spacing w:val="-15"/>
        </w:rPr>
        <w:t> </w:t>
      </w:r>
      <w:r>
        <w:rPr/>
        <w:t>2013).</w:t>
      </w:r>
      <w:r>
        <w:rPr>
          <w:spacing w:val="-13"/>
        </w:rPr>
        <w:t> </w:t>
      </w:r>
      <w:r>
        <w:rPr/>
        <w:t>La</w:t>
      </w:r>
      <w:r>
        <w:rPr>
          <w:spacing w:val="-12"/>
        </w:rPr>
        <w:t> </w:t>
      </w:r>
      <w:r>
        <w:rPr/>
        <w:t>prevalencia</w:t>
      </w:r>
      <w:r>
        <w:rPr>
          <w:spacing w:val="-15"/>
        </w:rPr>
        <w:t> </w:t>
      </w:r>
      <w:r>
        <w:rPr/>
        <w:t>de</w:t>
      </w:r>
      <w:r>
        <w:rPr>
          <w:spacing w:val="-12"/>
        </w:rPr>
        <w:t> </w:t>
      </w:r>
      <w:r>
        <w:rPr/>
        <w:t>meticilina</w:t>
      </w:r>
      <w:r>
        <w:rPr>
          <w:spacing w:val="-12"/>
        </w:rPr>
        <w:t> </w:t>
      </w:r>
      <w:r>
        <w:rPr/>
        <w:t>resistentes</w:t>
      </w:r>
      <w:r>
        <w:rPr>
          <w:spacing w:val="44"/>
        </w:rPr>
        <w:t> </w:t>
      </w:r>
      <w:r>
        <w:rPr/>
        <w:t>de</w:t>
      </w:r>
      <w:r>
        <w:rPr>
          <w:spacing w:val="-11"/>
        </w:rPr>
        <w:t> </w:t>
      </w:r>
      <w:r>
        <w:rPr>
          <w:i/>
        </w:rPr>
        <w:t>S.</w:t>
      </w:r>
      <w:r>
        <w:rPr>
          <w:i/>
          <w:spacing w:val="-12"/>
        </w:rPr>
        <w:t> </w:t>
      </w:r>
      <w:r>
        <w:rPr>
          <w:i/>
        </w:rPr>
        <w:t>aureus </w:t>
      </w:r>
      <w:r>
        <w:rPr/>
        <w:t>(MRSA)</w:t>
      </w:r>
      <w:r>
        <w:rPr>
          <w:spacing w:val="-12"/>
        </w:rPr>
        <w:t> </w:t>
      </w:r>
      <w:r>
        <w:rPr/>
        <w:t>en</w:t>
      </w:r>
      <w:r>
        <w:rPr>
          <w:spacing w:val="-11"/>
        </w:rPr>
        <w:t> </w:t>
      </w:r>
      <w:r>
        <w:rPr/>
        <w:t>México</w:t>
      </w:r>
      <w:r>
        <w:rPr>
          <w:spacing w:val="-11"/>
        </w:rPr>
        <w:t> </w:t>
      </w:r>
      <w:r>
        <w:rPr/>
        <w:t>difiere</w:t>
      </w:r>
      <w:r>
        <w:rPr>
          <w:spacing w:val="-14"/>
        </w:rPr>
        <w:t> </w:t>
      </w:r>
      <w:r>
        <w:rPr/>
        <w:t>mucho</w:t>
      </w:r>
      <w:r>
        <w:rPr>
          <w:spacing w:val="-11"/>
        </w:rPr>
        <w:t> </w:t>
      </w:r>
      <w:r>
        <w:rPr/>
        <w:t>de</w:t>
      </w:r>
      <w:r>
        <w:rPr>
          <w:spacing w:val="-13"/>
        </w:rPr>
        <w:t> </w:t>
      </w:r>
      <w:r>
        <w:rPr/>
        <w:t>un</w:t>
      </w:r>
      <w:r>
        <w:rPr>
          <w:spacing w:val="-13"/>
        </w:rPr>
        <w:t> </w:t>
      </w:r>
      <w:r>
        <w:rPr/>
        <w:t>hospital</w:t>
      </w:r>
      <w:r>
        <w:rPr>
          <w:spacing w:val="-12"/>
        </w:rPr>
        <w:t> </w:t>
      </w:r>
      <w:r>
        <w:rPr/>
        <w:t>a</w:t>
      </w:r>
      <w:r>
        <w:rPr>
          <w:spacing w:val="-13"/>
        </w:rPr>
        <w:t> </w:t>
      </w:r>
      <w:r>
        <w:rPr/>
        <w:t>otro.</w:t>
      </w:r>
      <w:r>
        <w:rPr>
          <w:spacing w:val="-13"/>
        </w:rPr>
        <w:t> </w:t>
      </w:r>
      <w:r>
        <w:rPr/>
        <w:t>MRSA</w:t>
      </w:r>
      <w:r>
        <w:rPr>
          <w:spacing w:val="-13"/>
        </w:rPr>
        <w:t> </w:t>
      </w:r>
      <w:r>
        <w:rPr/>
        <w:t>fue</w:t>
      </w:r>
      <w:r>
        <w:rPr>
          <w:spacing w:val="-13"/>
        </w:rPr>
        <w:t> </w:t>
      </w:r>
      <w:r>
        <w:rPr/>
        <w:t>un</w:t>
      </w:r>
      <w:r>
        <w:rPr>
          <w:spacing w:val="-13"/>
        </w:rPr>
        <w:t> </w:t>
      </w:r>
      <w:r>
        <w:rPr/>
        <w:t>patógeno</w:t>
      </w:r>
      <w:r>
        <w:rPr>
          <w:spacing w:val="-13"/>
        </w:rPr>
        <w:t> </w:t>
      </w:r>
      <w:r>
        <w:rPr/>
        <w:t>poco común hasta los 90s. La prevalencia de la resistencia de la bacteria comienza a incrementarse en hospitales mexicanos en los últimos años. Conforme a</w:t>
      </w:r>
      <w:r>
        <w:rPr>
          <w:spacing w:val="-35"/>
        </w:rPr>
        <w:t> </w:t>
      </w:r>
      <w:r>
        <w:rPr/>
        <w:t>diferentes estudios hechos en los 80s y 90s, y en la presente década, la prevalencia de (MRSA)</w:t>
      </w:r>
      <w:r>
        <w:rPr>
          <w:spacing w:val="-17"/>
        </w:rPr>
        <w:t> </w:t>
      </w:r>
      <w:r>
        <w:rPr/>
        <w:t>en</w:t>
      </w:r>
      <w:r>
        <w:rPr>
          <w:spacing w:val="-18"/>
        </w:rPr>
        <w:t> </w:t>
      </w:r>
      <w:r>
        <w:rPr/>
        <w:t>hospitales</w:t>
      </w:r>
      <w:r>
        <w:rPr>
          <w:spacing w:val="-18"/>
        </w:rPr>
        <w:t> </w:t>
      </w:r>
      <w:r>
        <w:rPr/>
        <w:t>mexicanos</w:t>
      </w:r>
      <w:r>
        <w:rPr>
          <w:spacing w:val="-21"/>
        </w:rPr>
        <w:t> </w:t>
      </w:r>
      <w:r>
        <w:rPr/>
        <w:t>fue</w:t>
      </w:r>
      <w:r>
        <w:rPr>
          <w:spacing w:val="-18"/>
        </w:rPr>
        <w:t> </w:t>
      </w:r>
      <w:r>
        <w:rPr/>
        <w:t>estimado</w:t>
      </w:r>
      <w:r>
        <w:rPr>
          <w:spacing w:val="-16"/>
        </w:rPr>
        <w:t> </w:t>
      </w:r>
      <w:r>
        <w:rPr/>
        <w:t>para</w:t>
      </w:r>
      <w:r>
        <w:rPr>
          <w:spacing w:val="-16"/>
        </w:rPr>
        <w:t> </w:t>
      </w:r>
      <w:r>
        <w:rPr/>
        <w:t>variar</w:t>
      </w:r>
      <w:r>
        <w:rPr>
          <w:spacing w:val="-17"/>
        </w:rPr>
        <w:t> </w:t>
      </w:r>
      <w:r>
        <w:rPr/>
        <w:t>de</w:t>
      </w:r>
      <w:r>
        <w:rPr>
          <w:spacing w:val="-18"/>
        </w:rPr>
        <w:t> </w:t>
      </w:r>
      <w:r>
        <w:rPr/>
        <w:t>7-30%.</w:t>
      </w:r>
      <w:r>
        <w:rPr>
          <w:spacing w:val="-18"/>
        </w:rPr>
        <w:t> </w:t>
      </w:r>
      <w:r>
        <w:rPr/>
        <w:t>La</w:t>
      </w:r>
      <w:r>
        <w:rPr>
          <w:spacing w:val="-18"/>
        </w:rPr>
        <w:t> </w:t>
      </w:r>
      <w:r>
        <w:rPr/>
        <w:t>información</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2"/>
        <w:jc w:val="both"/>
      </w:pPr>
      <w:r>
        <w:rPr/>
        <w:t>generada por la PanAmerican Health Organization (PAHO) patrocino el programa sobre infecciones nosocomiales demostrando que para el año 2004, en México la prevalencia de (MRSA) fue de 52%. Datos más recientes en México muestran una prevalencia de MRSA de 48%. Estudios de vigilancia hechos en varios países de Latinoamérica incluyendo México tienen reporte una alta ocurrencia de MRSA. Datos presentados a la PanAmerican Association of Infections Diseases del año 2006</w:t>
      </w:r>
      <w:r>
        <w:rPr>
          <w:spacing w:val="-6"/>
        </w:rPr>
        <w:t> </w:t>
      </w:r>
      <w:r>
        <w:rPr/>
        <w:t>muestra</w:t>
      </w:r>
      <w:r>
        <w:rPr>
          <w:spacing w:val="-8"/>
        </w:rPr>
        <w:t> </w:t>
      </w:r>
      <w:r>
        <w:rPr/>
        <w:t>un</w:t>
      </w:r>
      <w:r>
        <w:rPr>
          <w:spacing w:val="-6"/>
        </w:rPr>
        <w:t> </w:t>
      </w:r>
      <w:r>
        <w:rPr/>
        <w:t>índice</w:t>
      </w:r>
      <w:r>
        <w:rPr>
          <w:spacing w:val="-6"/>
        </w:rPr>
        <w:t> </w:t>
      </w:r>
      <w:r>
        <w:rPr/>
        <w:t>de</w:t>
      </w:r>
      <w:r>
        <w:rPr>
          <w:spacing w:val="-6"/>
        </w:rPr>
        <w:t> </w:t>
      </w:r>
      <w:r>
        <w:rPr/>
        <w:t>MRSA</w:t>
      </w:r>
      <w:r>
        <w:rPr>
          <w:spacing w:val="-8"/>
        </w:rPr>
        <w:t> </w:t>
      </w:r>
      <w:r>
        <w:rPr/>
        <w:t>de</w:t>
      </w:r>
      <w:r>
        <w:rPr>
          <w:spacing w:val="-8"/>
        </w:rPr>
        <w:t> </w:t>
      </w:r>
      <w:r>
        <w:rPr/>
        <w:t>24-55%.</w:t>
      </w:r>
      <w:r>
        <w:rPr>
          <w:spacing w:val="-6"/>
        </w:rPr>
        <w:t> </w:t>
      </w:r>
      <w:r>
        <w:rPr/>
        <w:t>Otros</w:t>
      </w:r>
      <w:r>
        <w:rPr>
          <w:spacing w:val="-7"/>
        </w:rPr>
        <w:t> </w:t>
      </w:r>
      <w:r>
        <w:rPr/>
        <w:t>datos</w:t>
      </w:r>
      <w:r>
        <w:rPr>
          <w:spacing w:val="-9"/>
        </w:rPr>
        <w:t> </w:t>
      </w:r>
      <w:r>
        <w:rPr/>
        <w:t>de</w:t>
      </w:r>
      <w:r>
        <w:rPr>
          <w:spacing w:val="-8"/>
        </w:rPr>
        <w:t> </w:t>
      </w:r>
      <w:r>
        <w:rPr/>
        <w:t>SENTRY</w:t>
      </w:r>
      <w:r>
        <w:rPr>
          <w:spacing w:val="-8"/>
        </w:rPr>
        <w:t> </w:t>
      </w:r>
      <w:r>
        <w:rPr/>
        <w:t>revelan</w:t>
      </w:r>
      <w:r>
        <w:rPr>
          <w:spacing w:val="-6"/>
        </w:rPr>
        <w:t> </w:t>
      </w:r>
      <w:r>
        <w:rPr/>
        <w:t>una proporción</w:t>
      </w:r>
      <w:r>
        <w:rPr>
          <w:spacing w:val="-8"/>
        </w:rPr>
        <w:t> </w:t>
      </w:r>
      <w:r>
        <w:rPr/>
        <w:t>de</w:t>
      </w:r>
      <w:r>
        <w:rPr>
          <w:spacing w:val="-6"/>
        </w:rPr>
        <w:t> </w:t>
      </w:r>
      <w:r>
        <w:rPr/>
        <w:t>MRSA</w:t>
      </w:r>
      <w:r>
        <w:rPr>
          <w:spacing w:val="-8"/>
        </w:rPr>
        <w:t> </w:t>
      </w:r>
      <w:r>
        <w:rPr/>
        <w:t>en</w:t>
      </w:r>
      <w:r>
        <w:rPr>
          <w:spacing w:val="-6"/>
        </w:rPr>
        <w:t> </w:t>
      </w:r>
      <w:r>
        <w:rPr/>
        <w:t>América</w:t>
      </w:r>
      <w:r>
        <w:rPr>
          <w:spacing w:val="-6"/>
        </w:rPr>
        <w:t> </w:t>
      </w:r>
      <w:r>
        <w:rPr/>
        <w:t>latina</w:t>
      </w:r>
      <w:r>
        <w:rPr>
          <w:spacing w:val="-6"/>
        </w:rPr>
        <w:t> </w:t>
      </w:r>
      <w:r>
        <w:rPr/>
        <w:t>en</w:t>
      </w:r>
      <w:r>
        <w:rPr>
          <w:spacing w:val="-6"/>
        </w:rPr>
        <w:t> </w:t>
      </w:r>
      <w:r>
        <w:rPr/>
        <w:t>centros</w:t>
      </w:r>
      <w:r>
        <w:rPr>
          <w:spacing w:val="-7"/>
        </w:rPr>
        <w:t> </w:t>
      </w:r>
      <w:r>
        <w:rPr/>
        <w:t>medicos</w:t>
      </w:r>
      <w:r>
        <w:rPr>
          <w:spacing w:val="-3"/>
        </w:rPr>
        <w:t> </w:t>
      </w:r>
      <w:r>
        <w:rPr/>
        <w:t>fue</w:t>
      </w:r>
      <w:r>
        <w:rPr>
          <w:spacing w:val="-8"/>
        </w:rPr>
        <w:t> </w:t>
      </w:r>
      <w:r>
        <w:rPr/>
        <w:t>de</w:t>
      </w:r>
      <w:r>
        <w:rPr>
          <w:spacing w:val="-6"/>
        </w:rPr>
        <w:t> </w:t>
      </w:r>
      <w:r>
        <w:rPr/>
        <w:t>33.8%</w:t>
      </w:r>
      <w:r>
        <w:rPr>
          <w:spacing w:val="-7"/>
        </w:rPr>
        <w:t> </w:t>
      </w:r>
      <w:r>
        <w:rPr/>
        <w:t>en</w:t>
      </w:r>
      <w:r>
        <w:rPr>
          <w:spacing w:val="-6"/>
        </w:rPr>
        <w:t> </w:t>
      </w:r>
      <w:r>
        <w:rPr/>
        <w:t>1997</w:t>
      </w:r>
      <w:r>
        <w:rPr>
          <w:spacing w:val="-4"/>
        </w:rPr>
        <w:t> </w:t>
      </w:r>
      <w:r>
        <w:rPr/>
        <w:t>y de 40.2% en 2006. Para el control de la propagación de cepas de MRSA es necesario</w:t>
      </w:r>
      <w:r>
        <w:rPr>
          <w:spacing w:val="-11"/>
        </w:rPr>
        <w:t> </w:t>
      </w:r>
      <w:r>
        <w:rPr/>
        <w:t>entender</w:t>
      </w:r>
      <w:r>
        <w:rPr>
          <w:spacing w:val="-15"/>
        </w:rPr>
        <w:t> </w:t>
      </w:r>
      <w:r>
        <w:rPr/>
        <w:t>su</w:t>
      </w:r>
      <w:r>
        <w:rPr>
          <w:spacing w:val="-15"/>
        </w:rPr>
        <w:t> </w:t>
      </w:r>
      <w:r>
        <w:rPr/>
        <w:t>epidemiologia</w:t>
      </w:r>
      <w:r>
        <w:rPr>
          <w:spacing w:val="-7"/>
        </w:rPr>
        <w:t> </w:t>
      </w:r>
      <w:r>
        <w:rPr/>
        <w:t>y</w:t>
      </w:r>
      <w:r>
        <w:rPr>
          <w:spacing w:val="-14"/>
        </w:rPr>
        <w:t> </w:t>
      </w:r>
      <w:r>
        <w:rPr/>
        <w:t>determinar</w:t>
      </w:r>
      <w:r>
        <w:rPr>
          <w:spacing w:val="-12"/>
        </w:rPr>
        <w:t> </w:t>
      </w:r>
      <w:r>
        <w:rPr/>
        <w:t>si</w:t>
      </w:r>
      <w:r>
        <w:rPr>
          <w:spacing w:val="-14"/>
        </w:rPr>
        <w:t> </w:t>
      </w:r>
      <w:r>
        <w:rPr/>
        <w:t>es</w:t>
      </w:r>
      <w:r>
        <w:rPr>
          <w:spacing w:val="-14"/>
        </w:rPr>
        <w:t> </w:t>
      </w:r>
      <w:r>
        <w:rPr/>
        <w:t>debido</w:t>
      </w:r>
      <w:r>
        <w:rPr>
          <w:spacing w:val="-13"/>
        </w:rPr>
        <w:t> </w:t>
      </w:r>
      <w:r>
        <w:rPr/>
        <w:t>a</w:t>
      </w:r>
      <w:r>
        <w:rPr>
          <w:spacing w:val="-13"/>
        </w:rPr>
        <w:t> </w:t>
      </w:r>
      <w:r>
        <w:rPr/>
        <w:t>clones</w:t>
      </w:r>
      <w:r>
        <w:rPr>
          <w:spacing w:val="-14"/>
        </w:rPr>
        <w:t> </w:t>
      </w:r>
      <w:r>
        <w:rPr/>
        <w:t>individuales o múltiples (Vásquez </w:t>
      </w:r>
      <w:r>
        <w:rPr>
          <w:i/>
        </w:rPr>
        <w:t>et al</w:t>
      </w:r>
      <w:r>
        <w:rPr/>
        <w:t>,</w:t>
      </w:r>
      <w:r>
        <w:rPr>
          <w:spacing w:val="-9"/>
        </w:rPr>
        <w:t> </w:t>
      </w:r>
      <w:r>
        <w:rPr/>
        <w:t>2013).</w:t>
      </w:r>
    </w:p>
    <w:p>
      <w:pPr>
        <w:pStyle w:val="BodyText"/>
      </w:pPr>
    </w:p>
    <w:p>
      <w:pPr>
        <w:spacing w:line="360" w:lineRule="auto" w:before="144"/>
        <w:ind w:left="152" w:right="485" w:firstLine="0"/>
        <w:jc w:val="left"/>
        <w:rPr>
          <w:b/>
          <w:sz w:val="24"/>
        </w:rPr>
      </w:pPr>
      <w:r>
        <w:rPr>
          <w:b/>
          <w:i/>
          <w:sz w:val="24"/>
        </w:rPr>
        <w:t>Staphylococcus aureus </w:t>
      </w:r>
      <w:r>
        <w:rPr>
          <w:b/>
          <w:sz w:val="24"/>
        </w:rPr>
        <w:t>meticilina resistentes adquiridas en la comunidad (CA – MRSA).</w:t>
      </w:r>
    </w:p>
    <w:p>
      <w:pPr>
        <w:pStyle w:val="BodyText"/>
        <w:rPr>
          <w:b/>
        </w:rPr>
      </w:pPr>
    </w:p>
    <w:p>
      <w:pPr>
        <w:pStyle w:val="BodyText"/>
        <w:spacing w:line="360" w:lineRule="auto" w:before="142"/>
        <w:ind w:left="152" w:right="105"/>
        <w:jc w:val="both"/>
      </w:pPr>
      <w:r>
        <w:rPr/>
        <w:t>A las cepas asociadas a la comunidad se les conocen como comunidad adquirida MRSA (CA-MRSA) y también están presentes en personas que sirven como portadores asintomáticos resistente a la meticilina. </w:t>
      </w:r>
      <w:r>
        <w:rPr>
          <w:i/>
        </w:rPr>
        <w:t>S. aureus </w:t>
      </w:r>
      <w:r>
        <w:rPr/>
        <w:t>no se limita a un área geográfica; Es un problema mundial; Europa tiene una fuerte presencia de MRSA, que</w:t>
      </w:r>
      <w:r>
        <w:rPr>
          <w:spacing w:val="-13"/>
        </w:rPr>
        <w:t> </w:t>
      </w:r>
      <w:r>
        <w:rPr/>
        <w:t>representa</w:t>
      </w:r>
      <w:r>
        <w:rPr>
          <w:spacing w:val="-15"/>
        </w:rPr>
        <w:t> </w:t>
      </w:r>
      <w:r>
        <w:rPr/>
        <w:t>aproximadamente</w:t>
      </w:r>
      <w:r>
        <w:rPr>
          <w:spacing w:val="-13"/>
        </w:rPr>
        <w:t> </w:t>
      </w:r>
      <w:r>
        <w:rPr/>
        <w:t>el</w:t>
      </w:r>
      <w:r>
        <w:rPr>
          <w:spacing w:val="-17"/>
        </w:rPr>
        <w:t> </w:t>
      </w:r>
      <w:r>
        <w:rPr/>
        <w:t>44%</w:t>
      </w:r>
      <w:r>
        <w:rPr>
          <w:spacing w:val="-14"/>
        </w:rPr>
        <w:t> </w:t>
      </w:r>
      <w:r>
        <w:rPr/>
        <w:t>de</w:t>
      </w:r>
      <w:r>
        <w:rPr>
          <w:spacing w:val="-16"/>
        </w:rPr>
        <w:t> </w:t>
      </w:r>
      <w:r>
        <w:rPr/>
        <w:t>las</w:t>
      </w:r>
      <w:r>
        <w:rPr>
          <w:spacing w:val="-13"/>
        </w:rPr>
        <w:t> </w:t>
      </w:r>
      <w:r>
        <w:rPr/>
        <w:t>infecciones</w:t>
      </w:r>
      <w:r>
        <w:rPr>
          <w:spacing w:val="-14"/>
        </w:rPr>
        <w:t> </w:t>
      </w:r>
      <w:r>
        <w:rPr/>
        <w:t>nosocomiales</w:t>
      </w:r>
      <w:r>
        <w:rPr>
          <w:spacing w:val="-14"/>
        </w:rPr>
        <w:t> </w:t>
      </w:r>
      <w:r>
        <w:rPr/>
        <w:t>en</w:t>
      </w:r>
      <w:r>
        <w:rPr>
          <w:spacing w:val="-13"/>
        </w:rPr>
        <w:t> </w:t>
      </w:r>
      <w:r>
        <w:rPr/>
        <w:t>el</w:t>
      </w:r>
      <w:r>
        <w:rPr>
          <w:spacing w:val="-14"/>
        </w:rPr>
        <w:t> </w:t>
      </w:r>
      <w:r>
        <w:rPr/>
        <w:t>año 2008 (Green </w:t>
      </w:r>
      <w:r>
        <w:rPr>
          <w:i/>
        </w:rPr>
        <w:t>et al</w:t>
      </w:r>
      <w:r>
        <w:rPr/>
        <w:t>.,</w:t>
      </w:r>
      <w:r>
        <w:rPr>
          <w:spacing w:val="-8"/>
        </w:rPr>
        <w:t> </w:t>
      </w:r>
      <w:r>
        <w:rPr/>
        <w:t>2012).</w:t>
      </w:r>
    </w:p>
    <w:p>
      <w:pPr>
        <w:pStyle w:val="BodyText"/>
      </w:pPr>
    </w:p>
    <w:p>
      <w:pPr>
        <w:pStyle w:val="BodyText"/>
        <w:spacing w:line="360" w:lineRule="auto" w:before="142"/>
        <w:ind w:left="152" w:right="107"/>
        <w:jc w:val="both"/>
      </w:pPr>
      <w:r>
        <w:rPr/>
        <w:t>Desde</w:t>
      </w:r>
      <w:r>
        <w:rPr>
          <w:spacing w:val="-6"/>
        </w:rPr>
        <w:t> </w:t>
      </w:r>
      <w:r>
        <w:rPr/>
        <w:t>su</w:t>
      </w:r>
      <w:r>
        <w:rPr>
          <w:spacing w:val="-6"/>
        </w:rPr>
        <w:t> </w:t>
      </w:r>
      <w:r>
        <w:rPr/>
        <w:t>aislamiento</w:t>
      </w:r>
      <w:r>
        <w:rPr>
          <w:spacing w:val="-8"/>
        </w:rPr>
        <w:t> </w:t>
      </w:r>
      <w:r>
        <w:rPr/>
        <w:t>en</w:t>
      </w:r>
      <w:r>
        <w:rPr>
          <w:spacing w:val="-6"/>
        </w:rPr>
        <w:t> </w:t>
      </w:r>
      <w:r>
        <w:rPr/>
        <w:t>1961</w:t>
      </w:r>
      <w:r>
        <w:rPr>
          <w:spacing w:val="-6"/>
        </w:rPr>
        <w:t> </w:t>
      </w:r>
      <w:r>
        <w:rPr/>
        <w:t>hasta</w:t>
      </w:r>
      <w:r>
        <w:rPr>
          <w:spacing w:val="-8"/>
        </w:rPr>
        <w:t> </w:t>
      </w:r>
      <w:r>
        <w:rPr/>
        <w:t>la</w:t>
      </w:r>
      <w:r>
        <w:rPr>
          <w:spacing w:val="-9"/>
        </w:rPr>
        <w:t> </w:t>
      </w:r>
      <w:r>
        <w:rPr/>
        <w:t>fecha</w:t>
      </w:r>
      <w:r>
        <w:rPr>
          <w:spacing w:val="-5"/>
        </w:rPr>
        <w:t> </w:t>
      </w:r>
      <w:r>
        <w:rPr>
          <w:i/>
        </w:rPr>
        <w:t>Staphylococcus</w:t>
      </w:r>
      <w:r>
        <w:rPr>
          <w:i/>
          <w:spacing w:val="-9"/>
        </w:rPr>
        <w:t> </w:t>
      </w:r>
      <w:r>
        <w:rPr>
          <w:i/>
        </w:rPr>
        <w:t>aureus</w:t>
      </w:r>
      <w:r>
        <w:rPr>
          <w:i/>
          <w:spacing w:val="-5"/>
        </w:rPr>
        <w:t> </w:t>
      </w:r>
      <w:r>
        <w:rPr/>
        <w:t>resistente</w:t>
      </w:r>
      <w:r>
        <w:rPr>
          <w:spacing w:val="-6"/>
        </w:rPr>
        <w:t> </w:t>
      </w:r>
      <w:r>
        <w:rPr/>
        <w:t>a</w:t>
      </w:r>
      <w:r>
        <w:rPr>
          <w:spacing w:val="-11"/>
        </w:rPr>
        <w:t> </w:t>
      </w:r>
      <w:r>
        <w:rPr/>
        <w:t>la meticilina (MRSA) ha sido considerado como uno de los principales patógenos nosocomiales en todo el mundo; sin embargo, en las dos últimas décadas el panorama de las infecciones por esta bacteria se ha tornado más complejo debido a la emergencia y diseminación en la comunidad de </w:t>
      </w:r>
      <w:r>
        <w:rPr>
          <w:i/>
        </w:rPr>
        <w:t>Staphylococcus aureus </w:t>
      </w:r>
      <w:r>
        <w:rPr/>
        <w:t>meticilina resistentes asociado a la comunidad (CA - MRSA). Estas cepas difieren de</w:t>
      </w:r>
      <w:r>
        <w:rPr>
          <w:spacing w:val="-12"/>
        </w:rPr>
        <w:t> </w:t>
      </w:r>
      <w:r>
        <w:rPr/>
        <w:t>las</w:t>
      </w:r>
      <w:r>
        <w:rPr>
          <w:spacing w:val="-12"/>
        </w:rPr>
        <w:t> </w:t>
      </w:r>
      <w:r>
        <w:rPr/>
        <w:t>hospitalarias</w:t>
      </w:r>
      <w:r>
        <w:rPr>
          <w:spacing w:val="-13"/>
        </w:rPr>
        <w:t> </w:t>
      </w:r>
      <w:r>
        <w:rPr/>
        <w:t>tradicionales</w:t>
      </w:r>
      <w:r>
        <w:rPr>
          <w:spacing w:val="-12"/>
        </w:rPr>
        <w:t> </w:t>
      </w:r>
      <w:r>
        <w:rPr/>
        <w:t>no</w:t>
      </w:r>
      <w:r>
        <w:rPr>
          <w:spacing w:val="-12"/>
        </w:rPr>
        <w:t> </w:t>
      </w:r>
      <w:r>
        <w:rPr/>
        <w:t>solo</w:t>
      </w:r>
      <w:r>
        <w:rPr>
          <w:spacing w:val="-12"/>
        </w:rPr>
        <w:t> </w:t>
      </w:r>
      <w:r>
        <w:rPr/>
        <w:t>en</w:t>
      </w:r>
      <w:r>
        <w:rPr>
          <w:spacing w:val="-12"/>
        </w:rPr>
        <w:t> </w:t>
      </w:r>
      <w:r>
        <w:rPr/>
        <w:t>su</w:t>
      </w:r>
      <w:r>
        <w:rPr>
          <w:spacing w:val="-12"/>
        </w:rPr>
        <w:t> </w:t>
      </w:r>
      <w:r>
        <w:rPr/>
        <w:t>comportamiento</w:t>
      </w:r>
      <w:r>
        <w:rPr>
          <w:spacing w:val="-11"/>
        </w:rPr>
        <w:t> </w:t>
      </w:r>
      <w:r>
        <w:rPr/>
        <w:t>epidemiológico</w:t>
      </w:r>
      <w:r>
        <w:rPr>
          <w:spacing w:val="-12"/>
        </w:rPr>
        <w:t> </w:t>
      </w:r>
      <w:r>
        <w:rPr/>
        <w:t>sino</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también en la susceptibilidad a antibióticos y la virulencia. Las cepas de CA-MRSA se han mostrado como más virulentas y han ocasionado brotes graves en comunidades cerradas como grupos familiares, militares, reclusos, niños en guarderías y deportistas. La mayoría de estas cepas producen la leucocidina Panton-Valentine (PVL), que se ha asociado con la gravedad de la enfermedad en adultos, jóvenes y niños; y contienen además los tipos IV y V del casete cromosómico mec (SCCmec), que por ser pequeños se pueden diseminar con mayor facilidad (Báez </w:t>
      </w:r>
      <w:r>
        <w:rPr>
          <w:i/>
        </w:rPr>
        <w:t>et al</w:t>
      </w:r>
      <w:r>
        <w:rPr/>
        <w:t>., 2010).</w:t>
      </w:r>
    </w:p>
    <w:p>
      <w:pPr>
        <w:pStyle w:val="BodyText"/>
      </w:pPr>
    </w:p>
    <w:p>
      <w:pPr>
        <w:pStyle w:val="BodyText"/>
        <w:spacing w:line="360" w:lineRule="auto" w:before="144"/>
        <w:ind w:left="152" w:right="107"/>
        <w:jc w:val="both"/>
      </w:pPr>
      <w:r>
        <w:rPr/>
        <w:t>Las infecciones por MRSA adquiridas en la comunidad se reportan desde de 1980 cuando se produjeron brotes de infecciones invasivas en los consumidores de drogas intravenosas en Detroit, en paralelo, los primeros informes de las infecciones por MRSA adquiridas en la comunidad surgieron de las poblaciones indígenas</w:t>
      </w:r>
      <w:r>
        <w:rPr>
          <w:spacing w:val="-6"/>
        </w:rPr>
        <w:t> </w:t>
      </w:r>
      <w:r>
        <w:rPr/>
        <w:t>en</w:t>
      </w:r>
      <w:r>
        <w:rPr>
          <w:spacing w:val="-6"/>
        </w:rPr>
        <w:t> </w:t>
      </w:r>
      <w:r>
        <w:rPr/>
        <w:t>zonas</w:t>
      </w:r>
      <w:r>
        <w:rPr>
          <w:spacing w:val="-9"/>
        </w:rPr>
        <w:t> </w:t>
      </w:r>
      <w:r>
        <w:rPr/>
        <w:t>remotas</w:t>
      </w:r>
      <w:r>
        <w:rPr>
          <w:spacing w:val="-9"/>
        </w:rPr>
        <w:t> </w:t>
      </w:r>
      <w:r>
        <w:rPr/>
        <w:t>de</w:t>
      </w:r>
      <w:r>
        <w:rPr>
          <w:spacing w:val="-8"/>
        </w:rPr>
        <w:t> </w:t>
      </w:r>
      <w:r>
        <w:rPr/>
        <w:t>Australia</w:t>
      </w:r>
      <w:r>
        <w:rPr>
          <w:spacing w:val="-6"/>
        </w:rPr>
        <w:t> </w:t>
      </w:r>
      <w:r>
        <w:rPr/>
        <w:t>Occidental.</w:t>
      </w:r>
      <w:r>
        <w:rPr>
          <w:spacing w:val="-6"/>
        </w:rPr>
        <w:t> </w:t>
      </w:r>
      <w:r>
        <w:rPr/>
        <w:t>Estas</w:t>
      </w:r>
      <w:r>
        <w:rPr>
          <w:spacing w:val="-9"/>
        </w:rPr>
        <w:t> </w:t>
      </w:r>
      <w:r>
        <w:rPr/>
        <w:t>cepas</w:t>
      </w:r>
      <w:r>
        <w:rPr>
          <w:spacing w:val="-6"/>
        </w:rPr>
        <w:t> </w:t>
      </w:r>
      <w:r>
        <w:rPr/>
        <w:t>inicialmente</w:t>
      </w:r>
      <w:r>
        <w:rPr>
          <w:spacing w:val="-7"/>
        </w:rPr>
        <w:t> </w:t>
      </w:r>
      <w:r>
        <w:rPr/>
        <w:t>eran genéticamente</w:t>
      </w:r>
      <w:r>
        <w:rPr>
          <w:spacing w:val="-7"/>
        </w:rPr>
        <w:t> </w:t>
      </w:r>
      <w:r>
        <w:rPr/>
        <w:t>diversa</w:t>
      </w:r>
      <w:r>
        <w:rPr>
          <w:spacing w:val="-5"/>
        </w:rPr>
        <w:t> </w:t>
      </w:r>
      <w:r>
        <w:rPr/>
        <w:t>y</w:t>
      </w:r>
      <w:r>
        <w:rPr>
          <w:spacing w:val="-8"/>
        </w:rPr>
        <w:t> </w:t>
      </w:r>
      <w:r>
        <w:rPr/>
        <w:t>distinto</w:t>
      </w:r>
      <w:r>
        <w:rPr>
          <w:spacing w:val="-7"/>
        </w:rPr>
        <w:t> </w:t>
      </w:r>
      <w:r>
        <w:rPr/>
        <w:t>de</w:t>
      </w:r>
      <w:r>
        <w:rPr>
          <w:spacing w:val="-7"/>
        </w:rPr>
        <w:t> </w:t>
      </w:r>
      <w:r>
        <w:rPr/>
        <w:t>otros</w:t>
      </w:r>
      <w:r>
        <w:rPr>
          <w:spacing w:val="-5"/>
        </w:rPr>
        <w:t> </w:t>
      </w:r>
      <w:r>
        <w:rPr/>
        <w:t>clones</w:t>
      </w:r>
      <w:r>
        <w:rPr>
          <w:spacing w:val="-5"/>
        </w:rPr>
        <w:t> </w:t>
      </w:r>
      <w:r>
        <w:rPr/>
        <w:t>que</w:t>
      </w:r>
      <w:r>
        <w:rPr>
          <w:spacing w:val="-5"/>
        </w:rPr>
        <w:t> </w:t>
      </w:r>
      <w:r>
        <w:rPr/>
        <w:t>circulan</w:t>
      </w:r>
      <w:r>
        <w:rPr>
          <w:spacing w:val="-5"/>
        </w:rPr>
        <w:t> </w:t>
      </w:r>
      <w:r>
        <w:rPr/>
        <w:t>en</w:t>
      </w:r>
      <w:r>
        <w:rPr>
          <w:spacing w:val="-5"/>
        </w:rPr>
        <w:t> </w:t>
      </w:r>
      <w:r>
        <w:rPr/>
        <w:t>Australia.</w:t>
      </w:r>
      <w:r>
        <w:rPr>
          <w:spacing w:val="-5"/>
        </w:rPr>
        <w:t> </w:t>
      </w:r>
      <w:r>
        <w:rPr/>
        <w:t>A</w:t>
      </w:r>
      <w:r>
        <w:rPr>
          <w:spacing w:val="-9"/>
        </w:rPr>
        <w:t> </w:t>
      </w:r>
      <w:r>
        <w:rPr/>
        <w:t>finales de 1990, las infecciones por MRSA adquiridas en la comunidad</w:t>
      </w:r>
      <w:r>
        <w:rPr>
          <w:spacing w:val="-47"/>
        </w:rPr>
        <w:t> </w:t>
      </w:r>
      <w:r>
        <w:rPr/>
        <w:t>fueron reconocidos como una entidad clínica distinta debido a su aparición entre los individuos</w:t>
      </w:r>
      <w:r>
        <w:rPr>
          <w:spacing w:val="-33"/>
        </w:rPr>
        <w:t> </w:t>
      </w:r>
      <w:r>
        <w:rPr/>
        <w:t>jóvenes y sanos sin los factores de riesgo de la salud tradicionales, así como sus antecedentes genéticos distintos y los patrones de susceptibilidad antimicrobiana relativamente conservados. Sin embargo, la epidemiología y la definición de éstas comunidad asociada (CA-MRSA) - y HA-MRSA están evolucionando como linajes CA-MRSA y están invadiendo cada vez más el sistema de salud, lo que contribuye a las infecciones nosocomiales (Sowash y Uhlemann,</w:t>
      </w:r>
      <w:r>
        <w:rPr>
          <w:spacing w:val="-13"/>
        </w:rPr>
        <w:t> </w:t>
      </w:r>
      <w:r>
        <w:rPr/>
        <w:t>2014).</w:t>
      </w:r>
    </w:p>
    <w:p>
      <w:pPr>
        <w:pStyle w:val="BodyText"/>
      </w:pPr>
    </w:p>
    <w:p>
      <w:pPr>
        <w:pStyle w:val="BodyText"/>
        <w:spacing w:line="360" w:lineRule="auto" w:before="140"/>
        <w:ind w:left="152" w:right="106"/>
        <w:jc w:val="both"/>
      </w:pPr>
      <w:r>
        <w:rPr/>
        <w:t>Infecciones CA-MRSA con mayor frecuencia afectan a la piel y los tejidos blandos, pero</w:t>
      </w:r>
      <w:r>
        <w:rPr>
          <w:spacing w:val="-20"/>
        </w:rPr>
        <w:t> </w:t>
      </w:r>
      <w:r>
        <w:rPr/>
        <w:t>también</w:t>
      </w:r>
      <w:r>
        <w:rPr>
          <w:spacing w:val="-17"/>
        </w:rPr>
        <w:t> </w:t>
      </w:r>
      <w:r>
        <w:rPr/>
        <w:t>se</w:t>
      </w:r>
      <w:r>
        <w:rPr>
          <w:spacing w:val="-17"/>
        </w:rPr>
        <w:t> </w:t>
      </w:r>
      <w:r>
        <w:rPr/>
        <w:t>han</w:t>
      </w:r>
      <w:r>
        <w:rPr>
          <w:spacing w:val="-19"/>
        </w:rPr>
        <w:t> </w:t>
      </w:r>
      <w:r>
        <w:rPr/>
        <w:t>relacionado</w:t>
      </w:r>
      <w:r>
        <w:rPr>
          <w:spacing w:val="-17"/>
        </w:rPr>
        <w:t> </w:t>
      </w:r>
      <w:r>
        <w:rPr/>
        <w:t>con</w:t>
      </w:r>
      <w:r>
        <w:rPr>
          <w:spacing w:val="-19"/>
        </w:rPr>
        <w:t> </w:t>
      </w:r>
      <w:r>
        <w:rPr/>
        <w:t>la</w:t>
      </w:r>
      <w:r>
        <w:rPr>
          <w:spacing w:val="-19"/>
        </w:rPr>
        <w:t> </w:t>
      </w:r>
      <w:r>
        <w:rPr/>
        <w:t>enfermedad</w:t>
      </w:r>
      <w:r>
        <w:rPr>
          <w:spacing w:val="-19"/>
        </w:rPr>
        <w:t> </w:t>
      </w:r>
      <w:r>
        <w:rPr/>
        <w:t>invasiva</w:t>
      </w:r>
      <w:r>
        <w:rPr>
          <w:spacing w:val="-17"/>
        </w:rPr>
        <w:t> </w:t>
      </w:r>
      <w:r>
        <w:rPr/>
        <w:t>grave,</w:t>
      </w:r>
      <w:r>
        <w:rPr>
          <w:spacing w:val="-19"/>
        </w:rPr>
        <w:t> </w:t>
      </w:r>
      <w:r>
        <w:rPr/>
        <w:t>como</w:t>
      </w:r>
      <w:r>
        <w:rPr>
          <w:spacing w:val="-19"/>
        </w:rPr>
        <w:t> </w:t>
      </w:r>
      <w:r>
        <w:rPr/>
        <w:t>neumonía necrotizante y sepsis, a menudo en individuos jóvenes y sanos. Los brotes de </w:t>
      </w:r>
      <w:r>
        <w:rPr>
          <w:spacing w:val="3"/>
        </w:rPr>
        <w:t>CA- </w:t>
      </w:r>
      <w:r>
        <w:rPr/>
        <w:t>MRSA se han asociado con varias características comunes, incluyendo el contacto cercano, malas condiciones higiénicas, el equipo  compartido /    </w:t>
      </w:r>
      <w:r>
        <w:rPr>
          <w:spacing w:val="18"/>
        </w:rPr>
        <w:t> </w:t>
      </w:r>
      <w:r>
        <w:rPr/>
        <w:t>suministros,  alto</w:t>
      </w:r>
    </w:p>
    <w:p>
      <w:pPr>
        <w:spacing w:after="0" w:line="360" w:lineRule="auto"/>
        <w:jc w:val="both"/>
        <w:sectPr>
          <w:footerReference w:type="default" r:id="rId11"/>
          <w:pgSz w:w="12240" w:h="15840"/>
          <w:pgMar w:footer="1386" w:header="0" w:top="1500" w:bottom="1580" w:left="1720" w:right="1420"/>
        </w:sectPr>
      </w:pPr>
    </w:p>
    <w:p>
      <w:pPr>
        <w:pStyle w:val="BodyText"/>
        <w:spacing w:before="2"/>
        <w:rPr>
          <w:sz w:val="21"/>
        </w:rPr>
      </w:pPr>
    </w:p>
    <w:p>
      <w:pPr>
        <w:pStyle w:val="BodyText"/>
        <w:spacing w:line="357" w:lineRule="auto" w:before="69"/>
        <w:ind w:left="152" w:right="115"/>
        <w:jc w:val="both"/>
      </w:pPr>
      <w:r>
        <w:rPr/>
        <w:t>riesgo de abrasiones superficiales de la piel, y la falta de acceso a la atención médica para tratar infecciones (Uhlemann </w:t>
      </w:r>
      <w:r>
        <w:rPr>
          <w:i/>
        </w:rPr>
        <w:t>et al., </w:t>
      </w:r>
      <w:r>
        <w:rPr/>
        <w:t>2014).</w:t>
      </w:r>
    </w:p>
    <w:p>
      <w:pPr>
        <w:pStyle w:val="BodyText"/>
      </w:pPr>
    </w:p>
    <w:p>
      <w:pPr>
        <w:spacing w:before="147"/>
        <w:ind w:left="152" w:right="0" w:firstLine="0"/>
        <w:jc w:val="both"/>
        <w:rPr>
          <w:b/>
          <w:sz w:val="24"/>
        </w:rPr>
      </w:pPr>
      <w:r>
        <w:rPr>
          <w:b/>
          <w:i/>
          <w:sz w:val="24"/>
        </w:rPr>
        <w:t>Staphylococcus aureus </w:t>
      </w:r>
      <w:r>
        <w:rPr>
          <w:b/>
          <w:sz w:val="24"/>
        </w:rPr>
        <w:t>meticilina resistentes en animales de compañía</w:t>
      </w:r>
    </w:p>
    <w:p>
      <w:pPr>
        <w:pStyle w:val="BodyText"/>
        <w:rPr>
          <w:b/>
        </w:rPr>
      </w:pPr>
    </w:p>
    <w:p>
      <w:pPr>
        <w:pStyle w:val="BodyText"/>
        <w:rPr>
          <w:b/>
        </w:rPr>
      </w:pPr>
    </w:p>
    <w:p>
      <w:pPr>
        <w:pStyle w:val="BodyText"/>
        <w:spacing w:line="360" w:lineRule="auto"/>
        <w:ind w:left="152" w:right="107"/>
        <w:jc w:val="both"/>
      </w:pPr>
      <w:r>
        <w:rPr/>
        <w:t>MRSA es conocido por ser un patógeno primario causando severos problemas en seres humanos y animales. El incremento del número de casos reportados sugiere que MRSA representa un crecimiento preocupante en la salud de animales y la salud pública. El riesgo de transmisión zoonotica de MRSA entre humanos y animales</w:t>
      </w:r>
      <w:r>
        <w:rPr>
          <w:spacing w:val="-7"/>
        </w:rPr>
        <w:t> </w:t>
      </w:r>
      <w:r>
        <w:rPr/>
        <w:t>ha</w:t>
      </w:r>
      <w:r>
        <w:rPr>
          <w:spacing w:val="-7"/>
        </w:rPr>
        <w:t> </w:t>
      </w:r>
      <w:r>
        <w:rPr/>
        <w:t>empezado</w:t>
      </w:r>
      <w:r>
        <w:rPr>
          <w:spacing w:val="-7"/>
        </w:rPr>
        <w:t> </w:t>
      </w:r>
      <w:r>
        <w:rPr/>
        <w:t>a</w:t>
      </w:r>
      <w:r>
        <w:rPr>
          <w:spacing w:val="-7"/>
        </w:rPr>
        <w:t> </w:t>
      </w:r>
      <w:r>
        <w:rPr/>
        <w:t>describirse</w:t>
      </w:r>
      <w:r>
        <w:rPr>
          <w:spacing w:val="-7"/>
        </w:rPr>
        <w:t> </w:t>
      </w:r>
      <w:r>
        <w:rPr/>
        <w:t>en</w:t>
      </w:r>
      <w:r>
        <w:rPr>
          <w:spacing w:val="-7"/>
        </w:rPr>
        <w:t> </w:t>
      </w:r>
      <w:r>
        <w:rPr/>
        <w:t>hogares,</w:t>
      </w:r>
      <w:r>
        <w:rPr>
          <w:spacing w:val="-7"/>
        </w:rPr>
        <w:t> </w:t>
      </w:r>
      <w:r>
        <w:rPr/>
        <w:t>la</w:t>
      </w:r>
      <w:r>
        <w:rPr>
          <w:spacing w:val="-7"/>
        </w:rPr>
        <w:t> </w:t>
      </w:r>
      <w:r>
        <w:rPr/>
        <w:t>comunidad</w:t>
      </w:r>
      <w:r>
        <w:rPr>
          <w:spacing w:val="-7"/>
        </w:rPr>
        <w:t> </w:t>
      </w:r>
      <w:r>
        <w:rPr/>
        <w:t>y</w:t>
      </w:r>
      <w:r>
        <w:rPr>
          <w:spacing w:val="-10"/>
        </w:rPr>
        <w:t> </w:t>
      </w:r>
      <w:r>
        <w:rPr/>
        <w:t>hospitales.</w:t>
      </w:r>
      <w:r>
        <w:rPr>
          <w:spacing w:val="-7"/>
        </w:rPr>
        <w:t> </w:t>
      </w:r>
      <w:r>
        <w:rPr/>
        <w:t>Varios estudios han implicado superficies hospitalarios contaminados con patógenos nosocomiales, incluyendo MRSA, en la difusión de las infecciones. Paralelamente a</w:t>
      </w:r>
      <w:r>
        <w:rPr>
          <w:spacing w:val="-7"/>
        </w:rPr>
        <w:t> </w:t>
      </w:r>
      <w:r>
        <w:rPr/>
        <w:t>estos</w:t>
      </w:r>
      <w:r>
        <w:rPr>
          <w:spacing w:val="-8"/>
        </w:rPr>
        <w:t> </w:t>
      </w:r>
      <w:r>
        <w:rPr/>
        <w:t>son</w:t>
      </w:r>
      <w:r>
        <w:rPr>
          <w:spacing w:val="-7"/>
        </w:rPr>
        <w:t> </w:t>
      </w:r>
      <w:r>
        <w:rPr/>
        <w:t>informes</w:t>
      </w:r>
      <w:r>
        <w:rPr>
          <w:spacing w:val="-8"/>
        </w:rPr>
        <w:t> </w:t>
      </w:r>
      <w:r>
        <w:rPr/>
        <w:t>del</w:t>
      </w:r>
      <w:r>
        <w:rPr>
          <w:spacing w:val="-8"/>
        </w:rPr>
        <w:t> </w:t>
      </w:r>
      <w:r>
        <w:rPr/>
        <w:t>creciente</w:t>
      </w:r>
      <w:r>
        <w:rPr>
          <w:spacing w:val="-7"/>
        </w:rPr>
        <w:t> </w:t>
      </w:r>
      <w:r>
        <w:rPr/>
        <w:t>papel</w:t>
      </w:r>
      <w:r>
        <w:rPr>
          <w:spacing w:val="-10"/>
        </w:rPr>
        <w:t> </w:t>
      </w:r>
      <w:r>
        <w:rPr/>
        <w:t>de</w:t>
      </w:r>
      <w:r>
        <w:rPr>
          <w:spacing w:val="-11"/>
        </w:rPr>
        <w:t> </w:t>
      </w:r>
      <w:r>
        <w:rPr/>
        <w:t>MRSA</w:t>
      </w:r>
      <w:r>
        <w:rPr>
          <w:spacing w:val="-7"/>
        </w:rPr>
        <w:t> </w:t>
      </w:r>
      <w:r>
        <w:rPr/>
        <w:t>en</w:t>
      </w:r>
      <w:r>
        <w:rPr>
          <w:spacing w:val="-7"/>
        </w:rPr>
        <w:t> </w:t>
      </w:r>
      <w:r>
        <w:rPr/>
        <w:t>las</w:t>
      </w:r>
      <w:r>
        <w:rPr>
          <w:spacing w:val="-8"/>
        </w:rPr>
        <w:t> </w:t>
      </w:r>
      <w:r>
        <w:rPr/>
        <w:t>infecciones</w:t>
      </w:r>
      <w:r>
        <w:rPr>
          <w:spacing w:val="-8"/>
        </w:rPr>
        <w:t> </w:t>
      </w:r>
      <w:r>
        <w:rPr/>
        <w:t>nosocomiales en los servicios veterinarios. Un estudio reciente de los hospitales de enseñanza veterinarios acreditados por la American Veterinary Medicine Association (AVMA) encontró que MRSA fue el segundo patógeno más frecuente (42%) asociados con brotes nosocomiales (Van Balen </w:t>
      </w:r>
      <w:r>
        <w:rPr>
          <w:i/>
        </w:rPr>
        <w:t>et al.,</w:t>
      </w:r>
      <w:r>
        <w:rPr>
          <w:i/>
          <w:spacing w:val="-17"/>
        </w:rPr>
        <w:t> </w:t>
      </w:r>
      <w:r>
        <w:rPr/>
        <w:t>2013).</w:t>
      </w:r>
    </w:p>
    <w:p>
      <w:pPr>
        <w:pStyle w:val="BodyText"/>
      </w:pPr>
    </w:p>
    <w:p>
      <w:pPr>
        <w:spacing w:before="142"/>
        <w:ind w:left="152" w:right="0" w:firstLine="0"/>
        <w:jc w:val="both"/>
        <w:rPr>
          <w:sz w:val="24"/>
        </w:rPr>
      </w:pPr>
      <w:r>
        <w:rPr>
          <w:i/>
          <w:sz w:val="24"/>
        </w:rPr>
        <w:t>Staphylococcus aureus </w:t>
      </w:r>
      <w:r>
        <w:rPr>
          <w:sz w:val="24"/>
        </w:rPr>
        <w:t>es un patógeno humano típico. Algunos linajes animales de</w:t>
      </w:r>
    </w:p>
    <w:p>
      <w:pPr>
        <w:pStyle w:val="ListParagraph"/>
        <w:numPr>
          <w:ilvl w:val="0"/>
          <w:numId w:val="1"/>
        </w:numPr>
        <w:tabs>
          <w:tab w:pos="508" w:val="left" w:leader="none"/>
        </w:tabs>
        <w:spacing w:line="360" w:lineRule="auto" w:before="137" w:after="0"/>
        <w:ind w:left="152" w:right="105" w:firstLine="0"/>
        <w:jc w:val="both"/>
        <w:rPr>
          <w:sz w:val="24"/>
        </w:rPr>
      </w:pPr>
      <w:r>
        <w:rPr>
          <w:i/>
          <w:sz w:val="24"/>
        </w:rPr>
        <w:t>aureus </w:t>
      </w:r>
      <w:r>
        <w:rPr>
          <w:sz w:val="24"/>
        </w:rPr>
        <w:t>han derivado de cepas humanas siguiendo profundas adaptaciones genéticas para determinar un cambio en la especificidad del hospedador. Debido a la estrecha relación de los animales, con el microbioma ambiental, recientemente cepas de estafilococos animales también representan una fuente determinante de resistencia. El MRSA surgió hace 50 años como patógeno nosocomial, pero en la última década también ha venido ser una causa frecuente de infecciones en </w:t>
      </w:r>
      <w:r>
        <w:rPr>
          <w:spacing w:val="4"/>
          <w:sz w:val="24"/>
        </w:rPr>
        <w:t>la </w:t>
      </w:r>
      <w:r>
        <w:rPr>
          <w:sz w:val="24"/>
        </w:rPr>
        <w:t>comunidad. El reporte de hallazgos, sobre el MRSA, que con frecuencia coloniza los animales, especialmente ganado, ha revelado un depósito ampliado de MRSA. Mientras que las cepas de MRSA recuperados de animales de compañía son generalmente</w:t>
      </w:r>
      <w:r>
        <w:rPr>
          <w:spacing w:val="-14"/>
          <w:sz w:val="24"/>
        </w:rPr>
        <w:t> </w:t>
      </w:r>
      <w:r>
        <w:rPr>
          <w:sz w:val="24"/>
        </w:rPr>
        <w:t>similares</w:t>
      </w:r>
      <w:r>
        <w:rPr>
          <w:spacing w:val="-13"/>
          <w:sz w:val="24"/>
        </w:rPr>
        <w:t> </w:t>
      </w:r>
      <w:r>
        <w:rPr>
          <w:sz w:val="24"/>
        </w:rPr>
        <w:t>a</w:t>
      </w:r>
      <w:r>
        <w:rPr>
          <w:spacing w:val="-12"/>
          <w:sz w:val="24"/>
        </w:rPr>
        <w:t> </w:t>
      </w:r>
      <w:r>
        <w:rPr>
          <w:sz w:val="24"/>
        </w:rPr>
        <w:t>MRSA</w:t>
      </w:r>
      <w:r>
        <w:rPr>
          <w:spacing w:val="-12"/>
          <w:sz w:val="24"/>
        </w:rPr>
        <w:t> </w:t>
      </w:r>
      <w:r>
        <w:rPr>
          <w:sz w:val="24"/>
        </w:rPr>
        <w:t>nosocomial</w:t>
      </w:r>
      <w:r>
        <w:rPr>
          <w:spacing w:val="-15"/>
          <w:sz w:val="24"/>
        </w:rPr>
        <w:t> </w:t>
      </w:r>
      <w:r>
        <w:rPr>
          <w:sz w:val="24"/>
        </w:rPr>
        <w:t>humana,</w:t>
      </w:r>
      <w:r>
        <w:rPr>
          <w:spacing w:val="-12"/>
          <w:sz w:val="24"/>
        </w:rPr>
        <w:t> </w:t>
      </w:r>
      <w:r>
        <w:rPr>
          <w:sz w:val="24"/>
        </w:rPr>
        <w:t>cepas</w:t>
      </w:r>
      <w:r>
        <w:rPr>
          <w:spacing w:val="-15"/>
          <w:sz w:val="24"/>
        </w:rPr>
        <w:t> </w:t>
      </w:r>
      <w:r>
        <w:rPr>
          <w:sz w:val="24"/>
        </w:rPr>
        <w:t>de</w:t>
      </w:r>
      <w:r>
        <w:rPr>
          <w:spacing w:val="-12"/>
          <w:sz w:val="24"/>
        </w:rPr>
        <w:t> </w:t>
      </w:r>
      <w:r>
        <w:rPr>
          <w:sz w:val="24"/>
        </w:rPr>
        <w:t>MRSA</w:t>
      </w:r>
      <w:r>
        <w:rPr>
          <w:spacing w:val="-12"/>
          <w:sz w:val="24"/>
        </w:rPr>
        <w:t> </w:t>
      </w:r>
      <w:r>
        <w:rPr>
          <w:sz w:val="24"/>
        </w:rPr>
        <w:t>recuperados</w:t>
      </w:r>
    </w:p>
    <w:p>
      <w:pPr>
        <w:spacing w:after="0" w:line="360" w:lineRule="auto"/>
        <w:jc w:val="both"/>
        <w:rPr>
          <w:sz w:val="24"/>
        </w:rPr>
        <w:sectPr>
          <w:footerReference w:type="default" r:id="rId12"/>
          <w:pgSz w:w="12240" w:h="15840"/>
          <w:pgMar w:footer="1386" w:header="0" w:top="1500" w:bottom="1580" w:left="1720" w:right="1420"/>
          <w:pgNumType w:start="31"/>
        </w:sectPr>
      </w:pPr>
    </w:p>
    <w:p>
      <w:pPr>
        <w:pStyle w:val="BodyText"/>
        <w:spacing w:before="2"/>
        <w:rPr>
          <w:sz w:val="21"/>
        </w:rPr>
      </w:pPr>
    </w:p>
    <w:p>
      <w:pPr>
        <w:pStyle w:val="BodyText"/>
        <w:spacing w:line="360" w:lineRule="auto" w:before="69"/>
        <w:ind w:left="152" w:right="107"/>
        <w:jc w:val="both"/>
      </w:pPr>
      <w:r>
        <w:rPr/>
        <w:t>de</w:t>
      </w:r>
      <w:r>
        <w:rPr>
          <w:spacing w:val="-18"/>
        </w:rPr>
        <w:t> </w:t>
      </w:r>
      <w:r>
        <w:rPr/>
        <w:t>animales</w:t>
      </w:r>
      <w:r>
        <w:rPr>
          <w:spacing w:val="-18"/>
        </w:rPr>
        <w:t> </w:t>
      </w:r>
      <w:r>
        <w:rPr/>
        <w:t>productores</w:t>
      </w:r>
      <w:r>
        <w:rPr>
          <w:spacing w:val="-18"/>
        </w:rPr>
        <w:t> </w:t>
      </w:r>
      <w:r>
        <w:rPr/>
        <w:t>de</w:t>
      </w:r>
      <w:r>
        <w:rPr>
          <w:spacing w:val="-20"/>
        </w:rPr>
        <w:t> </w:t>
      </w:r>
      <w:r>
        <w:rPr/>
        <w:t>alimentos</w:t>
      </w:r>
      <w:r>
        <w:rPr>
          <w:spacing w:val="-21"/>
        </w:rPr>
        <w:t> </w:t>
      </w:r>
      <w:r>
        <w:rPr/>
        <w:t>aparentemente</w:t>
      </w:r>
      <w:r>
        <w:rPr>
          <w:spacing w:val="-18"/>
        </w:rPr>
        <w:t> </w:t>
      </w:r>
      <w:r>
        <w:rPr/>
        <w:t>clones</w:t>
      </w:r>
      <w:r>
        <w:rPr>
          <w:spacing w:val="-18"/>
        </w:rPr>
        <w:t> </w:t>
      </w:r>
      <w:r>
        <w:rPr/>
        <w:t>específicos</w:t>
      </w:r>
      <w:r>
        <w:rPr>
          <w:spacing w:val="-18"/>
        </w:rPr>
        <w:t> </w:t>
      </w:r>
      <w:r>
        <w:rPr/>
        <w:t>adaptados en animales. El MRSA perteneciente a ST398 fue reconocido como un colonizador de cerdos y seres humanos expuestos profesionalmente a la cría de cerdos. El MRSA ST398 también se encontró en otras especies de animales de granja, incluyendo caballos, ganado y aves de corral y desde entonces fue designado </w:t>
      </w:r>
      <w:r>
        <w:rPr>
          <w:i/>
        </w:rPr>
        <w:t>Staphylococcus</w:t>
      </w:r>
      <w:r>
        <w:rPr>
          <w:i/>
          <w:spacing w:val="-8"/>
        </w:rPr>
        <w:t> </w:t>
      </w:r>
      <w:r>
        <w:rPr>
          <w:i/>
        </w:rPr>
        <w:t>aureus</w:t>
      </w:r>
      <w:r>
        <w:rPr>
          <w:i/>
          <w:spacing w:val="-6"/>
        </w:rPr>
        <w:t> </w:t>
      </w:r>
      <w:r>
        <w:rPr/>
        <w:t>asociado</w:t>
      </w:r>
      <w:r>
        <w:rPr>
          <w:spacing w:val="-9"/>
        </w:rPr>
        <w:t> </w:t>
      </w:r>
      <w:r>
        <w:rPr/>
        <w:t>al</w:t>
      </w:r>
      <w:r>
        <w:rPr>
          <w:spacing w:val="-8"/>
        </w:rPr>
        <w:t> </w:t>
      </w:r>
      <w:r>
        <w:rPr/>
        <w:t>ganado</w:t>
      </w:r>
      <w:r>
        <w:rPr>
          <w:spacing w:val="-7"/>
        </w:rPr>
        <w:t> </w:t>
      </w:r>
      <w:r>
        <w:rPr/>
        <w:t>(LA</w:t>
      </w:r>
      <w:r>
        <w:rPr>
          <w:spacing w:val="-4"/>
        </w:rPr>
        <w:t> </w:t>
      </w:r>
      <w:r>
        <w:rPr/>
        <w:t>-</w:t>
      </w:r>
      <w:r>
        <w:rPr>
          <w:spacing w:val="-8"/>
        </w:rPr>
        <w:t> </w:t>
      </w:r>
      <w:r>
        <w:rPr/>
        <w:t>MRSA).</w:t>
      </w:r>
      <w:r>
        <w:rPr>
          <w:spacing w:val="-10"/>
        </w:rPr>
        <w:t> </w:t>
      </w:r>
      <w:r>
        <w:rPr/>
        <w:t>LA</w:t>
      </w:r>
      <w:r>
        <w:rPr>
          <w:spacing w:val="-7"/>
        </w:rPr>
        <w:t> </w:t>
      </w:r>
      <w:r>
        <w:rPr/>
        <w:t>-</w:t>
      </w:r>
      <w:r>
        <w:rPr>
          <w:spacing w:val="-8"/>
        </w:rPr>
        <w:t> </w:t>
      </w:r>
      <w:r>
        <w:rPr/>
        <w:t>MRSA</w:t>
      </w:r>
      <w:r>
        <w:rPr>
          <w:spacing w:val="-7"/>
        </w:rPr>
        <w:t> </w:t>
      </w:r>
      <w:r>
        <w:rPr/>
        <w:t>ST398</w:t>
      </w:r>
      <w:r>
        <w:rPr>
          <w:spacing w:val="-9"/>
        </w:rPr>
        <w:t> </w:t>
      </w:r>
      <w:r>
        <w:rPr/>
        <w:t>puede causar infecciones en los seres humanos en contacto con los animales, y puede infectar</w:t>
      </w:r>
      <w:r>
        <w:rPr>
          <w:spacing w:val="-13"/>
        </w:rPr>
        <w:t> </w:t>
      </w:r>
      <w:r>
        <w:rPr/>
        <w:t>a</w:t>
      </w:r>
      <w:r>
        <w:rPr>
          <w:spacing w:val="-12"/>
        </w:rPr>
        <w:t> </w:t>
      </w:r>
      <w:r>
        <w:rPr/>
        <w:t>las</w:t>
      </w:r>
      <w:r>
        <w:rPr>
          <w:spacing w:val="-13"/>
        </w:rPr>
        <w:t> </w:t>
      </w:r>
      <w:r>
        <w:rPr/>
        <w:t>personas</w:t>
      </w:r>
      <w:r>
        <w:rPr>
          <w:spacing w:val="-15"/>
        </w:rPr>
        <w:t> </w:t>
      </w:r>
      <w:r>
        <w:rPr/>
        <w:t>hospitalizadas,</w:t>
      </w:r>
      <w:r>
        <w:rPr>
          <w:spacing w:val="-12"/>
        </w:rPr>
        <w:t> </w:t>
      </w:r>
      <w:r>
        <w:rPr/>
        <w:t>aunque</w:t>
      </w:r>
      <w:r>
        <w:rPr>
          <w:spacing w:val="-14"/>
        </w:rPr>
        <w:t> </w:t>
      </w:r>
      <w:r>
        <w:rPr/>
        <w:t>hasta</w:t>
      </w:r>
      <w:r>
        <w:rPr>
          <w:spacing w:val="-14"/>
        </w:rPr>
        <w:t> </w:t>
      </w:r>
      <w:r>
        <w:rPr/>
        <w:t>el</w:t>
      </w:r>
      <w:r>
        <w:rPr>
          <w:spacing w:val="-13"/>
        </w:rPr>
        <w:t> </w:t>
      </w:r>
      <w:r>
        <w:rPr/>
        <w:t>momento</w:t>
      </w:r>
      <w:r>
        <w:rPr>
          <w:spacing w:val="-12"/>
        </w:rPr>
        <w:t> </w:t>
      </w:r>
      <w:r>
        <w:rPr/>
        <w:t>esta</w:t>
      </w:r>
      <w:r>
        <w:rPr>
          <w:spacing w:val="-12"/>
        </w:rPr>
        <w:t> </w:t>
      </w:r>
      <w:r>
        <w:rPr/>
        <w:t>ocurrencia</w:t>
      </w:r>
      <w:r>
        <w:rPr>
          <w:spacing w:val="-14"/>
        </w:rPr>
        <w:t> </w:t>
      </w:r>
      <w:r>
        <w:rPr/>
        <w:t>es relativamente rara. Otros clones MRSA adaptados a animales han sido detectados en</w:t>
      </w:r>
      <w:r>
        <w:rPr>
          <w:spacing w:val="-6"/>
        </w:rPr>
        <w:t> </w:t>
      </w:r>
      <w:r>
        <w:rPr/>
        <w:t>el</w:t>
      </w:r>
      <w:r>
        <w:rPr>
          <w:spacing w:val="-5"/>
        </w:rPr>
        <w:t> </w:t>
      </w:r>
      <w:r>
        <w:rPr/>
        <w:t>ganado,</w:t>
      </w:r>
      <w:r>
        <w:rPr>
          <w:spacing w:val="-4"/>
        </w:rPr>
        <w:t> </w:t>
      </w:r>
      <w:r>
        <w:rPr/>
        <w:t>como</w:t>
      </w:r>
      <w:r>
        <w:rPr>
          <w:spacing w:val="-6"/>
        </w:rPr>
        <w:t> </w:t>
      </w:r>
      <w:r>
        <w:rPr/>
        <w:t>el</w:t>
      </w:r>
      <w:r>
        <w:rPr>
          <w:spacing w:val="-7"/>
        </w:rPr>
        <w:t> </w:t>
      </w:r>
      <w:r>
        <w:rPr/>
        <w:t>ST1</w:t>
      </w:r>
      <w:r>
        <w:rPr>
          <w:spacing w:val="-4"/>
        </w:rPr>
        <w:t> </w:t>
      </w:r>
      <w:r>
        <w:rPr/>
        <w:t>y</w:t>
      </w:r>
      <w:r>
        <w:rPr>
          <w:spacing w:val="-7"/>
        </w:rPr>
        <w:t> </w:t>
      </w:r>
      <w:r>
        <w:rPr/>
        <w:t>ST9.</w:t>
      </w:r>
      <w:r>
        <w:rPr>
          <w:spacing w:val="-4"/>
        </w:rPr>
        <w:t> </w:t>
      </w:r>
      <w:r>
        <w:rPr/>
        <w:t>Recientemente,</w:t>
      </w:r>
      <w:r>
        <w:rPr>
          <w:spacing w:val="-4"/>
        </w:rPr>
        <w:t> </w:t>
      </w:r>
      <w:r>
        <w:rPr/>
        <w:t>ST130</w:t>
      </w:r>
      <w:r>
        <w:rPr>
          <w:spacing w:val="-4"/>
        </w:rPr>
        <w:t> </w:t>
      </w:r>
      <w:r>
        <w:rPr/>
        <w:t>MRSA</w:t>
      </w:r>
      <w:r>
        <w:rPr>
          <w:spacing w:val="-6"/>
        </w:rPr>
        <w:t> </w:t>
      </w:r>
      <w:r>
        <w:rPr/>
        <w:t>aislado</w:t>
      </w:r>
      <w:r>
        <w:rPr>
          <w:spacing w:val="-6"/>
        </w:rPr>
        <w:t> </w:t>
      </w:r>
      <w:r>
        <w:rPr/>
        <w:t>a</w:t>
      </w:r>
      <w:r>
        <w:rPr>
          <w:spacing w:val="-6"/>
        </w:rPr>
        <w:t> </w:t>
      </w:r>
      <w:r>
        <w:rPr/>
        <w:t>partir</w:t>
      </w:r>
      <w:r>
        <w:rPr>
          <w:spacing w:val="-7"/>
        </w:rPr>
        <w:t> </w:t>
      </w:r>
      <w:r>
        <w:rPr/>
        <w:t>de mastitis bovina se ha encontrado posee un nuevo gen </w:t>
      </w:r>
      <w:r>
        <w:rPr>
          <w:i/>
        </w:rPr>
        <w:t>mec</w:t>
      </w:r>
      <w:r>
        <w:rPr/>
        <w:t>A que escapa a la detección por pruebas de PCR convencionales. Cepas ST130 similares han sido aisladas de infeciones humanas en Reino Unido, Dinamarca y Alemania a baja frecuencia. Es importante que la atención para MRSA animal con cepas con características peculiares que pueden poseer un riesgo para la salud humana (Pantosti,</w:t>
      </w:r>
      <w:r>
        <w:rPr>
          <w:spacing w:val="-5"/>
        </w:rPr>
        <w:t> </w:t>
      </w:r>
      <w:r>
        <w:rPr/>
        <w:t>2012).</w:t>
      </w:r>
    </w:p>
    <w:p>
      <w:pPr>
        <w:spacing w:after="0" w:line="360" w:lineRule="auto"/>
        <w:jc w:val="both"/>
        <w:sectPr>
          <w:pgSz w:w="12240" w:h="15840"/>
          <w:pgMar w:header="0" w:footer="1386" w:top="1500" w:bottom="1580" w:left="1720" w:right="1420"/>
        </w:sectPr>
      </w:pPr>
    </w:p>
    <w:p>
      <w:pPr>
        <w:pStyle w:val="BodyText"/>
        <w:spacing w:before="2"/>
        <w:rPr>
          <w:sz w:val="21"/>
        </w:rPr>
      </w:pPr>
    </w:p>
    <w:p>
      <w:pPr>
        <w:spacing w:before="69"/>
        <w:ind w:left="288" w:right="251" w:firstLine="0"/>
        <w:jc w:val="center"/>
        <w:rPr>
          <w:b/>
          <w:sz w:val="24"/>
        </w:rPr>
      </w:pPr>
      <w:bookmarkStart w:name="_bookmark7" w:id="8"/>
      <w:bookmarkEnd w:id="8"/>
      <w:r>
        <w:rPr/>
      </w:r>
      <w:r>
        <w:rPr>
          <w:b/>
          <w:sz w:val="24"/>
        </w:rPr>
        <w:t>JUSTIFICACIÓN</w:t>
      </w:r>
    </w:p>
    <w:p>
      <w:pPr>
        <w:pStyle w:val="BodyText"/>
        <w:spacing w:line="360" w:lineRule="auto" w:before="137"/>
        <w:ind w:left="152" w:right="105"/>
        <w:jc w:val="both"/>
      </w:pPr>
      <w:r>
        <w:rPr/>
        <w:t>La cunicultura en México ha crecido en los últimos años. La crianza del conejo (</w:t>
      </w:r>
      <w:r>
        <w:rPr>
          <w:i/>
        </w:rPr>
        <w:t>Oryctolagus cuniculus) </w:t>
      </w:r>
      <w:r>
        <w:rPr/>
        <w:t>brinda alimento y apoya económicamente a las comunidades</w:t>
      </w:r>
      <w:r>
        <w:rPr>
          <w:spacing w:val="-19"/>
        </w:rPr>
        <w:t> </w:t>
      </w:r>
      <w:r>
        <w:rPr/>
        <w:t>rurales</w:t>
      </w:r>
      <w:r>
        <w:rPr>
          <w:spacing w:val="-19"/>
        </w:rPr>
        <w:t> </w:t>
      </w:r>
      <w:r>
        <w:rPr/>
        <w:t>en</w:t>
      </w:r>
      <w:r>
        <w:rPr>
          <w:spacing w:val="-16"/>
        </w:rPr>
        <w:t> </w:t>
      </w:r>
      <w:r>
        <w:rPr/>
        <w:t>todo</w:t>
      </w:r>
      <w:r>
        <w:rPr>
          <w:spacing w:val="-18"/>
        </w:rPr>
        <w:t> </w:t>
      </w:r>
      <w:r>
        <w:rPr/>
        <w:t>el</w:t>
      </w:r>
      <w:r>
        <w:rPr>
          <w:spacing w:val="-19"/>
        </w:rPr>
        <w:t> </w:t>
      </w:r>
      <w:r>
        <w:rPr/>
        <w:t>mundo.</w:t>
      </w:r>
      <w:r>
        <w:rPr>
          <w:spacing w:val="-18"/>
        </w:rPr>
        <w:t> </w:t>
      </w:r>
      <w:r>
        <w:rPr/>
        <w:t>El</w:t>
      </w:r>
      <w:r>
        <w:rPr>
          <w:spacing w:val="-17"/>
        </w:rPr>
        <w:t> </w:t>
      </w:r>
      <w:r>
        <w:rPr/>
        <w:t>conejo</w:t>
      </w:r>
      <w:r>
        <w:rPr>
          <w:spacing w:val="-16"/>
        </w:rPr>
        <w:t> </w:t>
      </w:r>
      <w:r>
        <w:rPr/>
        <w:t>por</w:t>
      </w:r>
      <w:r>
        <w:rPr>
          <w:spacing w:val="-17"/>
        </w:rPr>
        <w:t> </w:t>
      </w:r>
      <w:r>
        <w:rPr/>
        <w:t>sus</w:t>
      </w:r>
      <w:r>
        <w:rPr>
          <w:spacing w:val="-19"/>
        </w:rPr>
        <w:t> </w:t>
      </w:r>
      <w:r>
        <w:rPr/>
        <w:t>características</w:t>
      </w:r>
      <w:r>
        <w:rPr>
          <w:spacing w:val="-16"/>
        </w:rPr>
        <w:t> </w:t>
      </w:r>
      <w:r>
        <w:rPr/>
        <w:t>no</w:t>
      </w:r>
      <w:r>
        <w:rPr>
          <w:spacing w:val="-16"/>
        </w:rPr>
        <w:t> </w:t>
      </w:r>
      <w:r>
        <w:rPr/>
        <w:t>requiere de mucho manejo y se puede criar en lugares pequeños. La carne de conejo es valorada en todo el mundo por su propiedades dietéticas y nutricionales; rico en proteínas, minerales y bajo contenido de colesterol y lípidos. Por sus propiedades nutricionales,</w:t>
      </w:r>
      <w:r>
        <w:rPr>
          <w:spacing w:val="-12"/>
        </w:rPr>
        <w:t> </w:t>
      </w:r>
      <w:r>
        <w:rPr/>
        <w:t>la</w:t>
      </w:r>
      <w:r>
        <w:rPr>
          <w:spacing w:val="-12"/>
        </w:rPr>
        <w:t> </w:t>
      </w:r>
      <w:r>
        <w:rPr/>
        <w:t>carne</w:t>
      </w:r>
      <w:r>
        <w:rPr>
          <w:spacing w:val="-14"/>
        </w:rPr>
        <w:t> </w:t>
      </w:r>
      <w:r>
        <w:rPr/>
        <w:t>de</w:t>
      </w:r>
      <w:r>
        <w:rPr>
          <w:spacing w:val="-12"/>
        </w:rPr>
        <w:t> </w:t>
      </w:r>
      <w:r>
        <w:rPr/>
        <w:t>conejo</w:t>
      </w:r>
      <w:r>
        <w:rPr>
          <w:spacing w:val="-14"/>
        </w:rPr>
        <w:t> </w:t>
      </w:r>
      <w:r>
        <w:rPr/>
        <w:t>es</w:t>
      </w:r>
      <w:r>
        <w:rPr>
          <w:spacing w:val="-13"/>
        </w:rPr>
        <w:t> </w:t>
      </w:r>
      <w:r>
        <w:rPr/>
        <w:t>también</w:t>
      </w:r>
      <w:r>
        <w:rPr>
          <w:spacing w:val="-14"/>
        </w:rPr>
        <w:t> </w:t>
      </w:r>
      <w:r>
        <w:rPr/>
        <w:t>un</w:t>
      </w:r>
      <w:r>
        <w:rPr>
          <w:spacing w:val="-12"/>
        </w:rPr>
        <w:t> </w:t>
      </w:r>
      <w:r>
        <w:rPr/>
        <w:t>buen</w:t>
      </w:r>
      <w:r>
        <w:rPr>
          <w:spacing w:val="-12"/>
        </w:rPr>
        <w:t> </w:t>
      </w:r>
      <w:r>
        <w:rPr/>
        <w:t>sustrato</w:t>
      </w:r>
      <w:r>
        <w:rPr>
          <w:spacing w:val="-12"/>
        </w:rPr>
        <w:t> </w:t>
      </w:r>
      <w:r>
        <w:rPr/>
        <w:t>para</w:t>
      </w:r>
      <w:r>
        <w:rPr>
          <w:spacing w:val="-12"/>
        </w:rPr>
        <w:t> </w:t>
      </w:r>
      <w:r>
        <w:rPr/>
        <w:t>la</w:t>
      </w:r>
      <w:r>
        <w:rPr>
          <w:spacing w:val="-14"/>
        </w:rPr>
        <w:t> </w:t>
      </w:r>
      <w:r>
        <w:rPr/>
        <w:t>contaminación por bacterias oportunistas como es el </w:t>
      </w:r>
      <w:r>
        <w:rPr>
          <w:i/>
        </w:rPr>
        <w:t>Staphylococcus aureus. </w:t>
      </w:r>
      <w:r>
        <w:rPr/>
        <w:t>El proceso de sacrificio y la falta de buenas prácticas de manufactura generan contaminación cruzada.</w:t>
      </w:r>
      <w:r>
        <w:rPr>
          <w:spacing w:val="-8"/>
        </w:rPr>
        <w:t> </w:t>
      </w:r>
      <w:r>
        <w:rPr/>
        <w:t>Las</w:t>
      </w:r>
      <w:r>
        <w:rPr>
          <w:spacing w:val="-9"/>
        </w:rPr>
        <w:t> </w:t>
      </w:r>
      <w:r>
        <w:rPr/>
        <w:t>enfermedades</w:t>
      </w:r>
      <w:r>
        <w:rPr>
          <w:spacing w:val="-6"/>
        </w:rPr>
        <w:t> </w:t>
      </w:r>
      <w:r>
        <w:rPr/>
        <w:t>transmitidas</w:t>
      </w:r>
      <w:r>
        <w:rPr>
          <w:spacing w:val="-9"/>
        </w:rPr>
        <w:t> </w:t>
      </w:r>
      <w:r>
        <w:rPr/>
        <w:t>por</w:t>
      </w:r>
      <w:r>
        <w:rPr>
          <w:spacing w:val="-9"/>
        </w:rPr>
        <w:t> </w:t>
      </w:r>
      <w:r>
        <w:rPr/>
        <w:t>alimentos</w:t>
      </w:r>
      <w:r>
        <w:rPr>
          <w:spacing w:val="-6"/>
        </w:rPr>
        <w:t> </w:t>
      </w:r>
      <w:r>
        <w:rPr/>
        <w:t>se</w:t>
      </w:r>
      <w:r>
        <w:rPr>
          <w:spacing w:val="-10"/>
        </w:rPr>
        <w:t> </w:t>
      </w:r>
      <w:r>
        <w:rPr/>
        <w:t>encuentran</w:t>
      </w:r>
      <w:r>
        <w:rPr>
          <w:spacing w:val="-8"/>
        </w:rPr>
        <w:t> </w:t>
      </w:r>
      <w:r>
        <w:rPr/>
        <w:t>ampliamente extendidas y constituyen un problema prioritario de salud pública. Sin embargo, esta bacteria es también responsable de infecciones e intoxicaciones tanto en el hombre como en animales. La versatilidad que posee </w:t>
      </w:r>
      <w:r>
        <w:rPr>
          <w:i/>
        </w:rPr>
        <w:t>S. aureus </w:t>
      </w:r>
      <w:r>
        <w:rPr/>
        <w:t>como patógeno</w:t>
      </w:r>
      <w:r>
        <w:rPr>
          <w:spacing w:val="-31"/>
        </w:rPr>
        <w:t> </w:t>
      </w:r>
      <w:r>
        <w:rPr/>
        <w:t>de riesgo humano y animales se ve reflejado en la capacidad de expresar amplios factores de virulencia, proporcionándole la habilidad para evadir al sistema inmune del hospedero y a tratamientos con antibióticos. La aparición de cepas de </w:t>
      </w:r>
      <w:r>
        <w:rPr>
          <w:i/>
        </w:rPr>
        <w:t>Staphylococcus aureus </w:t>
      </w:r>
      <w:r>
        <w:rPr/>
        <w:t>multirresistentes a antibióticos hace que los tratamientos frente a este tipo de infecciones sean poco eficaces como es el caso del </w:t>
      </w:r>
      <w:r>
        <w:rPr>
          <w:i/>
        </w:rPr>
        <w:t>Staphylococcus aureus </w:t>
      </w:r>
      <w:r>
        <w:rPr/>
        <w:t>meticilina resistente (MRSA). El riesgo potencial del MRSA por la contaminación cruzada y la falta de buenas prácticas de sacrificio, buenas prácticas de producción y la manipulación de los alimentos son prioritarios para la salud</w:t>
      </w:r>
      <w:r>
        <w:rPr>
          <w:spacing w:val="-3"/>
        </w:rPr>
        <w:t> </w:t>
      </w:r>
      <w:r>
        <w:rPr/>
        <w:t>pública.</w:t>
      </w:r>
    </w:p>
    <w:p>
      <w:pPr>
        <w:pStyle w:val="BodyText"/>
        <w:spacing w:line="360" w:lineRule="auto" w:before="202"/>
        <w:ind w:left="152" w:right="110"/>
        <w:jc w:val="both"/>
      </w:pPr>
      <w:r>
        <w:rPr/>
        <w:t>Por tal motivo, el presente estudio tiene como finalidad determinar la calidad de la carne de conejo con base en su análisis bromatológico y determinar la contaminación MRSA en carne de conejo producida en unidades de produccion cunicula familiar en el Valle de Toluca.</w:t>
      </w:r>
    </w:p>
    <w:p>
      <w:pPr>
        <w:spacing w:after="0" w:line="360" w:lineRule="auto"/>
        <w:jc w:val="both"/>
        <w:sectPr>
          <w:pgSz w:w="12240" w:h="15840"/>
          <w:pgMar w:header="0" w:footer="1386" w:top="1500" w:bottom="1580" w:left="1720" w:right="1420"/>
        </w:sectPr>
      </w:pPr>
    </w:p>
    <w:p>
      <w:pPr>
        <w:pStyle w:val="BodyText"/>
        <w:rPr>
          <w:sz w:val="20"/>
        </w:rPr>
      </w:pPr>
    </w:p>
    <w:p>
      <w:pPr>
        <w:pStyle w:val="BodyText"/>
        <w:rPr>
          <w:sz w:val="20"/>
        </w:rPr>
      </w:pPr>
    </w:p>
    <w:p>
      <w:pPr>
        <w:pStyle w:val="BodyText"/>
        <w:rPr>
          <w:sz w:val="17"/>
        </w:rPr>
      </w:pPr>
    </w:p>
    <w:p>
      <w:pPr>
        <w:spacing w:before="70"/>
        <w:ind w:left="291" w:right="250" w:firstLine="0"/>
        <w:jc w:val="center"/>
        <w:rPr>
          <w:b/>
          <w:sz w:val="24"/>
        </w:rPr>
      </w:pPr>
      <w:bookmarkStart w:name="_bookmark8" w:id="9"/>
      <w:bookmarkEnd w:id="9"/>
      <w:r>
        <w:rPr/>
      </w:r>
      <w:r>
        <w:rPr>
          <w:b/>
          <w:sz w:val="24"/>
        </w:rPr>
        <w:t>HIPOTESIS</w:t>
      </w:r>
    </w:p>
    <w:p>
      <w:pPr>
        <w:pStyle w:val="BodyText"/>
        <w:rPr>
          <w:b/>
        </w:rPr>
      </w:pPr>
    </w:p>
    <w:p>
      <w:pPr>
        <w:pStyle w:val="BodyText"/>
        <w:rPr>
          <w:b/>
        </w:rPr>
      </w:pPr>
    </w:p>
    <w:p>
      <w:pPr>
        <w:pStyle w:val="BodyText"/>
        <w:spacing w:line="360" w:lineRule="auto"/>
        <w:ind w:left="152" w:right="115"/>
        <w:jc w:val="both"/>
      </w:pPr>
      <w:r>
        <w:rPr/>
        <w:t>La calidad nutricional de la carne de conejo que se produce en el Valle de Toluca es similar al que se produce en otros países.</w:t>
      </w:r>
    </w:p>
    <w:p>
      <w:pPr>
        <w:pStyle w:val="BodyText"/>
      </w:pPr>
    </w:p>
    <w:p>
      <w:pPr>
        <w:pStyle w:val="BodyText"/>
      </w:pPr>
    </w:p>
    <w:p>
      <w:pPr>
        <w:pStyle w:val="BodyText"/>
        <w:spacing w:before="9"/>
        <w:rPr>
          <w:sz w:val="22"/>
        </w:rPr>
      </w:pPr>
    </w:p>
    <w:p>
      <w:pPr>
        <w:pStyle w:val="BodyText"/>
        <w:spacing w:line="360" w:lineRule="auto"/>
        <w:ind w:left="152" w:right="107"/>
        <w:jc w:val="both"/>
      </w:pPr>
      <w:r>
        <w:rPr/>
        <w:t>Existe una elevada contaminación mayor del 15% por </w:t>
      </w:r>
      <w:r>
        <w:rPr>
          <w:i/>
        </w:rPr>
        <w:t>Staphylococcus aureus </w:t>
      </w:r>
      <w:r>
        <w:rPr/>
        <w:t>MRSA en la producción cunicula en el Valle de Toluca, representando un riesgo potencial en la salud pública.</w:t>
      </w:r>
    </w:p>
    <w:p>
      <w:pPr>
        <w:spacing w:after="0" w:line="360" w:lineRule="auto"/>
        <w:jc w:val="both"/>
        <w:sectPr>
          <w:pgSz w:w="12240" w:h="15840"/>
          <w:pgMar w:header="0" w:footer="1386" w:top="1500" w:bottom="1580" w:left="1720" w:right="1420"/>
        </w:sectPr>
      </w:pPr>
    </w:p>
    <w:p>
      <w:pPr>
        <w:pStyle w:val="BodyText"/>
        <w:spacing w:before="2"/>
        <w:rPr>
          <w:sz w:val="21"/>
        </w:rPr>
      </w:pPr>
    </w:p>
    <w:p>
      <w:pPr>
        <w:spacing w:before="69"/>
        <w:ind w:left="290" w:right="251" w:firstLine="0"/>
        <w:jc w:val="center"/>
        <w:rPr>
          <w:b/>
          <w:sz w:val="24"/>
        </w:rPr>
      </w:pPr>
      <w:bookmarkStart w:name="_bookmark9" w:id="10"/>
      <w:bookmarkEnd w:id="10"/>
      <w:r>
        <w:rPr/>
      </w:r>
      <w:r>
        <w:rPr>
          <w:b/>
          <w:sz w:val="24"/>
        </w:rPr>
        <w:t>OBJETIVO GENERAL</w:t>
      </w:r>
    </w:p>
    <w:p>
      <w:pPr>
        <w:pStyle w:val="BodyText"/>
        <w:spacing w:line="360" w:lineRule="auto" w:before="137"/>
        <w:ind w:left="152"/>
      </w:pPr>
      <w:r>
        <w:rPr/>
        <w:t>Determinar la composición bromatológica de la carne de conejo en el Valle de Toluca.</w:t>
      </w:r>
    </w:p>
    <w:p>
      <w:pPr>
        <w:pStyle w:val="BodyText"/>
      </w:pPr>
    </w:p>
    <w:p>
      <w:pPr>
        <w:pStyle w:val="BodyText"/>
        <w:spacing w:line="360" w:lineRule="auto" w:before="139"/>
        <w:ind w:left="152" w:right="96"/>
      </w:pPr>
      <w:r>
        <w:rPr/>
        <w:t>Determinar la presencia de </w:t>
      </w:r>
      <w:r>
        <w:rPr>
          <w:i/>
        </w:rPr>
        <w:t>Staphylococcus aureus </w:t>
      </w:r>
      <w:r>
        <w:rPr/>
        <w:t>meticilina resistente en la canal de conejo procedentes de unidades productoras familiares.</w:t>
      </w:r>
    </w:p>
    <w:p>
      <w:pPr>
        <w:pStyle w:val="BodyText"/>
      </w:pPr>
    </w:p>
    <w:p>
      <w:pPr>
        <w:pStyle w:val="BodyText"/>
      </w:pPr>
    </w:p>
    <w:p>
      <w:pPr>
        <w:pStyle w:val="BodyText"/>
      </w:pPr>
    </w:p>
    <w:p>
      <w:pPr>
        <w:pStyle w:val="BodyText"/>
      </w:pPr>
    </w:p>
    <w:p>
      <w:pPr>
        <w:spacing w:before="142"/>
        <w:ind w:left="288" w:right="251" w:firstLine="0"/>
        <w:jc w:val="center"/>
        <w:rPr>
          <w:b/>
          <w:sz w:val="24"/>
        </w:rPr>
      </w:pPr>
      <w:bookmarkStart w:name="_bookmark10" w:id="11"/>
      <w:bookmarkEnd w:id="11"/>
      <w:r>
        <w:rPr/>
      </w:r>
      <w:r>
        <w:rPr>
          <w:b/>
          <w:sz w:val="24"/>
        </w:rPr>
        <w:t>OBJETIVOS ESPECÍFICOS</w:t>
      </w:r>
    </w:p>
    <w:p>
      <w:pPr>
        <w:pStyle w:val="BodyText"/>
        <w:rPr>
          <w:b/>
        </w:rPr>
      </w:pPr>
    </w:p>
    <w:p>
      <w:pPr>
        <w:pStyle w:val="BodyText"/>
        <w:spacing w:before="6"/>
        <w:rPr>
          <w:b/>
          <w:sz w:val="23"/>
        </w:rPr>
      </w:pPr>
    </w:p>
    <w:p>
      <w:pPr>
        <w:pStyle w:val="ListParagraph"/>
        <w:numPr>
          <w:ilvl w:val="1"/>
          <w:numId w:val="1"/>
        </w:numPr>
        <w:tabs>
          <w:tab w:pos="873" w:val="left" w:leader="none"/>
        </w:tabs>
        <w:spacing w:line="240" w:lineRule="auto" w:before="0" w:after="0"/>
        <w:ind w:left="872" w:right="0" w:hanging="360"/>
        <w:jc w:val="left"/>
        <w:rPr>
          <w:sz w:val="24"/>
        </w:rPr>
      </w:pPr>
      <w:r>
        <w:rPr>
          <w:sz w:val="24"/>
        </w:rPr>
        <w:t>Estimar la contaminación en superficie en UFC/cm</w:t>
      </w:r>
      <w:r>
        <w:rPr>
          <w:position w:val="8"/>
          <w:sz w:val="16"/>
        </w:rPr>
        <w:t>2</w:t>
      </w:r>
      <w:r>
        <w:rPr>
          <w:spacing w:val="-10"/>
          <w:position w:val="8"/>
          <w:sz w:val="16"/>
        </w:rPr>
        <w:t> </w:t>
      </w:r>
      <w:r>
        <w:rPr>
          <w:sz w:val="24"/>
        </w:rPr>
        <w:t>.</w:t>
      </w:r>
    </w:p>
    <w:p>
      <w:pPr>
        <w:pStyle w:val="ListParagraph"/>
        <w:numPr>
          <w:ilvl w:val="1"/>
          <w:numId w:val="1"/>
        </w:numPr>
        <w:tabs>
          <w:tab w:pos="873" w:val="left" w:leader="none"/>
        </w:tabs>
        <w:spacing w:line="360" w:lineRule="auto" w:before="137" w:after="0"/>
        <w:ind w:left="872" w:right="109" w:hanging="360"/>
        <w:jc w:val="left"/>
        <w:rPr>
          <w:sz w:val="24"/>
        </w:rPr>
      </w:pPr>
      <w:r>
        <w:rPr>
          <w:sz w:val="24"/>
        </w:rPr>
        <w:t>Identificar las cepas de </w:t>
      </w:r>
      <w:r>
        <w:rPr>
          <w:i/>
          <w:sz w:val="24"/>
        </w:rPr>
        <w:t>S. aureus </w:t>
      </w:r>
      <w:r>
        <w:rPr>
          <w:sz w:val="24"/>
        </w:rPr>
        <w:t>MRSA por métodos microbiológicos de tamizado y</w:t>
      </w:r>
      <w:r>
        <w:rPr>
          <w:spacing w:val="-3"/>
          <w:sz w:val="24"/>
        </w:rPr>
        <w:t> </w:t>
      </w:r>
      <w:r>
        <w:rPr>
          <w:sz w:val="24"/>
        </w:rPr>
        <w:t>PCR.</w:t>
      </w:r>
    </w:p>
    <w:p>
      <w:pPr>
        <w:pStyle w:val="ListParagraph"/>
        <w:numPr>
          <w:ilvl w:val="1"/>
          <w:numId w:val="1"/>
        </w:numPr>
        <w:tabs>
          <w:tab w:pos="873" w:val="left" w:leader="none"/>
        </w:tabs>
        <w:spacing w:line="240" w:lineRule="auto" w:before="5" w:after="0"/>
        <w:ind w:left="872" w:right="0" w:hanging="360"/>
        <w:jc w:val="left"/>
        <w:rPr>
          <w:sz w:val="24"/>
        </w:rPr>
      </w:pPr>
      <w:r>
        <w:rPr>
          <w:sz w:val="24"/>
        </w:rPr>
        <w:t>Identificar los factores de riesgo de la contaminación de la canal de</w:t>
      </w:r>
      <w:r>
        <w:rPr>
          <w:spacing w:val="-17"/>
          <w:sz w:val="24"/>
        </w:rPr>
        <w:t> </w:t>
      </w:r>
      <w:r>
        <w:rPr>
          <w:sz w:val="24"/>
        </w:rPr>
        <w:t>conejo.</w:t>
      </w:r>
    </w:p>
    <w:p>
      <w:pPr>
        <w:pStyle w:val="ListParagraph"/>
        <w:numPr>
          <w:ilvl w:val="1"/>
          <w:numId w:val="1"/>
        </w:numPr>
        <w:tabs>
          <w:tab w:pos="873" w:val="left" w:leader="none"/>
        </w:tabs>
        <w:spacing w:line="240" w:lineRule="auto" w:before="137" w:after="0"/>
        <w:ind w:left="872" w:right="0" w:hanging="360"/>
        <w:jc w:val="left"/>
        <w:rPr>
          <w:sz w:val="24"/>
        </w:rPr>
      </w:pPr>
      <w:r>
        <w:rPr>
          <w:sz w:val="24"/>
        </w:rPr>
        <w:t>Evaluar la calidad de la canal en su composición física y</w:t>
      </w:r>
      <w:r>
        <w:rPr>
          <w:spacing w:val="-25"/>
          <w:sz w:val="24"/>
        </w:rPr>
        <w:t> </w:t>
      </w:r>
      <w:r>
        <w:rPr>
          <w:sz w:val="24"/>
        </w:rPr>
        <w:t>química.</w:t>
      </w:r>
    </w:p>
    <w:p>
      <w:pPr>
        <w:pStyle w:val="ListParagraph"/>
        <w:numPr>
          <w:ilvl w:val="1"/>
          <w:numId w:val="1"/>
        </w:numPr>
        <w:tabs>
          <w:tab w:pos="873" w:val="left" w:leader="none"/>
        </w:tabs>
        <w:spacing w:line="360" w:lineRule="auto" w:before="139" w:after="0"/>
        <w:ind w:left="872" w:right="115" w:hanging="360"/>
        <w:jc w:val="left"/>
        <w:rPr>
          <w:sz w:val="24"/>
        </w:rPr>
      </w:pPr>
      <w:r>
        <w:rPr>
          <w:sz w:val="24"/>
        </w:rPr>
        <w:t>Clasificar la canal de conejo que se produce en el Valle de Toluca con base en la</w:t>
      </w:r>
      <w:r>
        <w:rPr>
          <w:spacing w:val="-4"/>
          <w:sz w:val="24"/>
        </w:rPr>
        <w:t> </w:t>
      </w:r>
      <w:r>
        <w:rPr>
          <w:sz w:val="24"/>
        </w:rPr>
        <w:t>NMX.</w:t>
      </w:r>
    </w:p>
    <w:p>
      <w:pPr>
        <w:spacing w:after="0" w:line="360" w:lineRule="auto"/>
        <w:jc w:val="left"/>
        <w:rPr>
          <w:sz w:val="24"/>
        </w:rPr>
        <w:sectPr>
          <w:pgSz w:w="12240" w:h="15840"/>
          <w:pgMar w:header="0" w:footer="1386" w:top="1500" w:bottom="1580" w:left="1720" w:right="1420"/>
        </w:sectPr>
      </w:pPr>
    </w:p>
    <w:p>
      <w:pPr>
        <w:pStyle w:val="BodyText"/>
        <w:spacing w:before="2"/>
        <w:rPr>
          <w:sz w:val="21"/>
        </w:rPr>
      </w:pPr>
    </w:p>
    <w:p>
      <w:pPr>
        <w:spacing w:before="69"/>
        <w:ind w:left="291" w:right="242" w:firstLine="0"/>
        <w:jc w:val="center"/>
        <w:rPr>
          <w:b/>
          <w:sz w:val="24"/>
        </w:rPr>
      </w:pPr>
      <w:bookmarkStart w:name="_bookmark11" w:id="12"/>
      <w:bookmarkEnd w:id="12"/>
      <w:r>
        <w:rPr/>
      </w:r>
      <w:r>
        <w:rPr>
          <w:b/>
          <w:sz w:val="24"/>
        </w:rPr>
        <w:t>METODOLOGIA</w:t>
      </w:r>
    </w:p>
    <w:p>
      <w:pPr>
        <w:pStyle w:val="BodyText"/>
        <w:spacing w:line="360" w:lineRule="auto" w:before="137"/>
        <w:ind w:left="152" w:right="115"/>
        <w:jc w:val="both"/>
      </w:pPr>
      <w:r>
        <w:rPr/>
        <w:t>El presente trabajo de investigación corresponde a un tipo de estudio transversal, descriptivo, observacional, participativo.</w:t>
      </w:r>
    </w:p>
    <w:p>
      <w:pPr>
        <w:pStyle w:val="BodyText"/>
      </w:pPr>
    </w:p>
    <w:p>
      <w:pPr>
        <w:pStyle w:val="BodyText"/>
        <w:spacing w:before="3"/>
        <w:rPr>
          <w:sz w:val="21"/>
        </w:rPr>
      </w:pPr>
    </w:p>
    <w:p>
      <w:pPr>
        <w:pStyle w:val="BodyText"/>
        <w:spacing w:line="360" w:lineRule="auto"/>
        <w:ind w:left="152" w:right="107"/>
        <w:jc w:val="both"/>
      </w:pPr>
      <w:r>
        <w:rPr/>
        <w:t>El estudio fue realizado en 210 canales de conejo en 30 unidades de produccion cunicula</w:t>
      </w:r>
      <w:r>
        <w:rPr>
          <w:spacing w:val="-9"/>
        </w:rPr>
        <w:t> </w:t>
      </w:r>
      <w:r>
        <w:rPr/>
        <w:t>distribuidas</w:t>
      </w:r>
      <w:r>
        <w:rPr>
          <w:spacing w:val="-8"/>
        </w:rPr>
        <w:t> </w:t>
      </w:r>
      <w:r>
        <w:rPr/>
        <w:t>en</w:t>
      </w:r>
      <w:r>
        <w:rPr>
          <w:spacing w:val="-7"/>
        </w:rPr>
        <w:t> </w:t>
      </w:r>
      <w:r>
        <w:rPr/>
        <w:t>el</w:t>
      </w:r>
      <w:r>
        <w:rPr>
          <w:spacing w:val="-8"/>
        </w:rPr>
        <w:t> </w:t>
      </w:r>
      <w:r>
        <w:rPr/>
        <w:t>Valle</w:t>
      </w:r>
      <w:r>
        <w:rPr>
          <w:spacing w:val="-7"/>
        </w:rPr>
        <w:t> </w:t>
      </w:r>
      <w:r>
        <w:rPr/>
        <w:t>de</w:t>
      </w:r>
      <w:r>
        <w:rPr>
          <w:spacing w:val="-9"/>
        </w:rPr>
        <w:t> </w:t>
      </w:r>
      <w:r>
        <w:rPr/>
        <w:t>Toluca,</w:t>
      </w:r>
      <w:r>
        <w:rPr>
          <w:spacing w:val="-9"/>
        </w:rPr>
        <w:t> </w:t>
      </w:r>
      <w:r>
        <w:rPr/>
        <w:t>los</w:t>
      </w:r>
      <w:r>
        <w:rPr>
          <w:spacing w:val="-8"/>
        </w:rPr>
        <w:t> </w:t>
      </w:r>
      <w:r>
        <w:rPr/>
        <w:t>municipios</w:t>
      </w:r>
      <w:r>
        <w:rPr>
          <w:spacing w:val="-7"/>
        </w:rPr>
        <w:t> </w:t>
      </w:r>
      <w:r>
        <w:rPr/>
        <w:t>que</w:t>
      </w:r>
      <w:r>
        <w:rPr>
          <w:spacing w:val="-9"/>
        </w:rPr>
        <w:t> </w:t>
      </w:r>
      <w:r>
        <w:rPr/>
        <w:t>se</w:t>
      </w:r>
      <w:r>
        <w:rPr>
          <w:spacing w:val="-9"/>
        </w:rPr>
        <w:t> </w:t>
      </w:r>
      <w:r>
        <w:rPr/>
        <w:t>estudiaron</w:t>
      </w:r>
      <w:r>
        <w:rPr>
          <w:spacing w:val="-9"/>
        </w:rPr>
        <w:t> </w:t>
      </w:r>
      <w:r>
        <w:rPr/>
        <w:t>fueron: Toluca, San Mateo Atenco, Ocoyoacac, Almoloya de Juárez, Metepec y Zinacantepec. Las granjas estas distribuidas en la Región VII Lerma y Región XIII Toluca pertenecen a la Macro Región I Toluca, Estado de México. En el cuadro 1 se muestran los municipios y la cantidad de granjas para colecta de muestras al sacrificio.</w:t>
      </w:r>
    </w:p>
    <w:p>
      <w:pPr>
        <w:spacing w:before="204"/>
        <w:ind w:left="291" w:right="248" w:firstLine="0"/>
        <w:jc w:val="center"/>
        <w:rPr>
          <w:b/>
          <w:sz w:val="24"/>
        </w:rPr>
      </w:pPr>
      <w:r>
        <w:rPr>
          <w:b/>
          <w:sz w:val="24"/>
        </w:rPr>
        <w:t>Cuadro 1. Distribución y número de granjas del Valle de Toluca</w:t>
      </w:r>
    </w:p>
    <w:p>
      <w:pPr>
        <w:pStyle w:val="BodyText"/>
        <w:spacing w:before="4"/>
        <w:rPr>
          <w:b/>
          <w:sz w:val="29"/>
        </w:rPr>
      </w:pPr>
    </w:p>
    <w:p>
      <w:pPr>
        <w:pStyle w:val="BodyText"/>
        <w:spacing w:line="20" w:lineRule="exact"/>
        <w:ind w:left="147"/>
        <w:rPr>
          <w:sz w:val="2"/>
        </w:rPr>
      </w:pPr>
      <w:r>
        <w:rPr>
          <w:sz w:val="2"/>
        </w:rPr>
        <w:pict>
          <v:group style="width:442.55pt;height:.5pt;mso-position-horizontal-relative:char;mso-position-vertical-relative:line" coordorigin="0,0" coordsize="8851,10">
            <v:line style="position:absolute" from="5,5" to="2307,5" stroked="true" strokeweight=".47998pt" strokecolor="#000000"/>
            <v:line style="position:absolute" from="2307,5" to="2317,5" stroked="true" strokeweight=".47998pt" strokecolor="#000000"/>
            <v:line style="position:absolute" from="2317,5" to="3738,5" stroked="true" strokeweight=".47998pt" strokecolor="#000000"/>
            <v:line style="position:absolute" from="3738,5" to="3747,5" stroked="true" strokeweight=".47998pt" strokecolor="#000000"/>
            <v:line style="position:absolute" from="3747,5" to="6212,5" stroked="true" strokeweight=".47998pt" strokecolor="#000000"/>
            <v:line style="position:absolute" from="6212,5" to="6222,5" stroked="true" strokeweight=".47998pt" strokecolor="#000000"/>
            <v:line style="position:absolute" from="6222,5" to="8846,5" stroked="true" strokeweight=".47998pt" strokecolor="#000000"/>
          </v:group>
        </w:pict>
      </w:r>
      <w:r>
        <w:rPr>
          <w:sz w:val="2"/>
        </w:rPr>
      </w:r>
    </w:p>
    <w:p>
      <w:pPr>
        <w:spacing w:after="0" w:line="20" w:lineRule="exact"/>
        <w:rPr>
          <w:sz w:val="2"/>
        </w:rPr>
        <w:sectPr>
          <w:pgSz w:w="12240" w:h="15840"/>
          <w:pgMar w:header="0" w:footer="1386" w:top="1500" w:bottom="1580" w:left="1720" w:right="1420"/>
        </w:sectPr>
      </w:pPr>
    </w:p>
    <w:p>
      <w:pPr>
        <w:spacing w:before="157"/>
        <w:ind w:left="836" w:right="0" w:firstLine="0"/>
        <w:jc w:val="left"/>
        <w:rPr>
          <w:b/>
          <w:sz w:val="20"/>
        </w:rPr>
      </w:pPr>
      <w:r>
        <w:rPr/>
        <w:pict>
          <v:shape style="position:absolute;margin-left:93.624001pt;margin-top:17.799158pt;width:442.05pt;height:155.950pt;mso-position-horizontal-relative:page;mso-position-vertical-relative:paragraph;z-index:11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4"/>
                    <w:gridCol w:w="1431"/>
                    <w:gridCol w:w="2450"/>
                    <w:gridCol w:w="2625"/>
                  </w:tblGrid>
                  <w:tr>
                    <w:trPr>
                      <w:trHeight w:val="330" w:hRule="exact"/>
                    </w:trPr>
                    <w:tc>
                      <w:tcPr>
                        <w:tcW w:w="2334" w:type="dxa"/>
                        <w:tcBorders>
                          <w:bottom w:val="single" w:sz="4" w:space="0" w:color="000000"/>
                        </w:tcBorders>
                      </w:tcPr>
                      <w:p>
                        <w:pPr/>
                      </w:p>
                    </w:tc>
                    <w:tc>
                      <w:tcPr>
                        <w:tcW w:w="1431" w:type="dxa"/>
                        <w:tcBorders>
                          <w:bottom w:val="single" w:sz="4" w:space="0" w:color="000000"/>
                        </w:tcBorders>
                      </w:tcPr>
                      <w:p>
                        <w:pPr>
                          <w:pStyle w:val="TableParagraph"/>
                          <w:spacing w:line="204" w:lineRule="exact"/>
                          <w:ind w:left="288" w:right="357"/>
                          <w:rPr>
                            <w:b/>
                            <w:sz w:val="20"/>
                          </w:rPr>
                        </w:pPr>
                        <w:r>
                          <w:rPr>
                            <w:b/>
                            <w:sz w:val="20"/>
                          </w:rPr>
                          <w:t>Granjas</w:t>
                        </w:r>
                      </w:p>
                    </w:tc>
                    <w:tc>
                      <w:tcPr>
                        <w:tcW w:w="2450" w:type="dxa"/>
                        <w:tcBorders>
                          <w:bottom w:val="single" w:sz="4" w:space="0" w:color="000000"/>
                        </w:tcBorders>
                      </w:tcPr>
                      <w:p>
                        <w:pPr/>
                      </w:p>
                    </w:tc>
                    <w:tc>
                      <w:tcPr>
                        <w:tcW w:w="2625" w:type="dxa"/>
                        <w:vMerge w:val="restart"/>
                      </w:tcPr>
                      <w:p>
                        <w:pPr/>
                      </w:p>
                    </w:tc>
                  </w:tr>
                  <w:tr>
                    <w:trPr>
                      <w:trHeight w:val="301" w:hRule="exact"/>
                    </w:trPr>
                    <w:tc>
                      <w:tcPr>
                        <w:tcW w:w="2334" w:type="dxa"/>
                        <w:tcBorders>
                          <w:top w:val="single" w:sz="4" w:space="0" w:color="000000"/>
                        </w:tcBorders>
                      </w:tcPr>
                      <w:p>
                        <w:pPr>
                          <w:pStyle w:val="TableParagraph"/>
                          <w:spacing w:line="227" w:lineRule="exact"/>
                          <w:ind w:left="251" w:right="281"/>
                          <w:rPr>
                            <w:sz w:val="20"/>
                          </w:rPr>
                        </w:pPr>
                        <w:r>
                          <w:rPr>
                            <w:sz w:val="20"/>
                          </w:rPr>
                          <w:t>Lerma</w:t>
                        </w:r>
                      </w:p>
                    </w:tc>
                    <w:tc>
                      <w:tcPr>
                        <w:tcW w:w="1431" w:type="dxa"/>
                        <w:tcBorders>
                          <w:top w:val="single" w:sz="4" w:space="0" w:color="000000"/>
                        </w:tcBorders>
                      </w:tcPr>
                      <w:p>
                        <w:pPr>
                          <w:pStyle w:val="TableParagraph"/>
                          <w:spacing w:line="227" w:lineRule="exact"/>
                          <w:ind w:right="66"/>
                          <w:rPr>
                            <w:sz w:val="20"/>
                          </w:rPr>
                        </w:pPr>
                        <w:r>
                          <w:rPr>
                            <w:w w:val="99"/>
                            <w:sz w:val="20"/>
                          </w:rPr>
                          <w:t>8</w:t>
                        </w:r>
                      </w:p>
                    </w:tc>
                    <w:tc>
                      <w:tcPr>
                        <w:tcW w:w="2450" w:type="dxa"/>
                        <w:tcBorders>
                          <w:top w:val="single" w:sz="4" w:space="0" w:color="000000"/>
                        </w:tcBorders>
                      </w:tcPr>
                      <w:p>
                        <w:pPr>
                          <w:pStyle w:val="TableParagraph"/>
                          <w:spacing w:line="227" w:lineRule="exact"/>
                          <w:ind w:left="360" w:right="399"/>
                          <w:rPr>
                            <w:sz w:val="20"/>
                          </w:rPr>
                        </w:pPr>
                        <w:r>
                          <w:rPr>
                            <w:sz w:val="20"/>
                          </w:rPr>
                          <w:t>Lerma</w:t>
                        </w:r>
                      </w:p>
                    </w:tc>
                    <w:tc>
                      <w:tcPr>
                        <w:tcW w:w="2625" w:type="dxa"/>
                        <w:vMerge/>
                      </w:tcPr>
                      <w:p>
                        <w:pPr/>
                      </w:p>
                    </w:tc>
                  </w:tr>
                  <w:tr>
                    <w:trPr>
                      <w:trHeight w:val="346" w:hRule="exact"/>
                    </w:trPr>
                    <w:tc>
                      <w:tcPr>
                        <w:tcW w:w="2334" w:type="dxa"/>
                      </w:tcPr>
                      <w:p>
                        <w:pPr>
                          <w:pStyle w:val="TableParagraph"/>
                          <w:spacing w:before="47"/>
                          <w:ind w:left="250" w:right="286"/>
                          <w:rPr>
                            <w:sz w:val="20"/>
                          </w:rPr>
                        </w:pPr>
                        <w:r>
                          <w:rPr>
                            <w:sz w:val="20"/>
                          </w:rPr>
                          <w:t>San Mateo Atenco</w:t>
                        </w:r>
                      </w:p>
                    </w:tc>
                    <w:tc>
                      <w:tcPr>
                        <w:tcW w:w="1431" w:type="dxa"/>
                      </w:tcPr>
                      <w:p>
                        <w:pPr>
                          <w:pStyle w:val="TableParagraph"/>
                          <w:spacing w:before="47"/>
                          <w:ind w:right="66"/>
                          <w:rPr>
                            <w:sz w:val="20"/>
                          </w:rPr>
                        </w:pPr>
                        <w:r>
                          <w:rPr>
                            <w:w w:val="99"/>
                            <w:sz w:val="20"/>
                          </w:rPr>
                          <w:t>3</w:t>
                        </w:r>
                      </w:p>
                    </w:tc>
                    <w:tc>
                      <w:tcPr>
                        <w:tcW w:w="2450" w:type="dxa"/>
                      </w:tcPr>
                      <w:p>
                        <w:pPr>
                          <w:pStyle w:val="TableParagraph"/>
                          <w:spacing w:before="47"/>
                          <w:ind w:left="360" w:right="404"/>
                          <w:rPr>
                            <w:sz w:val="20"/>
                          </w:rPr>
                        </w:pPr>
                        <w:r>
                          <w:rPr>
                            <w:sz w:val="20"/>
                          </w:rPr>
                          <w:t>San Mateo Atenco</w:t>
                        </w:r>
                      </w:p>
                    </w:tc>
                    <w:tc>
                      <w:tcPr>
                        <w:tcW w:w="2625" w:type="dxa"/>
                        <w:vMerge/>
                      </w:tcPr>
                      <w:p>
                        <w:pPr/>
                      </w:p>
                    </w:tc>
                  </w:tr>
                  <w:tr>
                    <w:trPr>
                      <w:trHeight w:val="344" w:hRule="exact"/>
                    </w:trPr>
                    <w:tc>
                      <w:tcPr>
                        <w:tcW w:w="2334" w:type="dxa"/>
                      </w:tcPr>
                      <w:p>
                        <w:pPr>
                          <w:pStyle w:val="TableParagraph"/>
                          <w:spacing w:before="47"/>
                          <w:ind w:left="251" w:right="284"/>
                          <w:rPr>
                            <w:sz w:val="20"/>
                          </w:rPr>
                        </w:pPr>
                        <w:r>
                          <w:rPr>
                            <w:sz w:val="20"/>
                          </w:rPr>
                          <w:t>Ocoyoacac</w:t>
                        </w:r>
                      </w:p>
                    </w:tc>
                    <w:tc>
                      <w:tcPr>
                        <w:tcW w:w="1431" w:type="dxa"/>
                      </w:tcPr>
                      <w:p>
                        <w:pPr>
                          <w:pStyle w:val="TableParagraph"/>
                          <w:spacing w:before="47"/>
                          <w:ind w:right="66"/>
                          <w:rPr>
                            <w:sz w:val="20"/>
                          </w:rPr>
                        </w:pPr>
                        <w:r>
                          <w:rPr>
                            <w:w w:val="99"/>
                            <w:sz w:val="20"/>
                          </w:rPr>
                          <w:t>7</w:t>
                        </w:r>
                      </w:p>
                    </w:tc>
                    <w:tc>
                      <w:tcPr>
                        <w:tcW w:w="2450" w:type="dxa"/>
                      </w:tcPr>
                      <w:p>
                        <w:pPr>
                          <w:pStyle w:val="TableParagraph"/>
                          <w:spacing w:before="47"/>
                          <w:ind w:left="357" w:right="404"/>
                          <w:rPr>
                            <w:sz w:val="20"/>
                          </w:rPr>
                        </w:pPr>
                        <w:r>
                          <w:rPr>
                            <w:sz w:val="20"/>
                          </w:rPr>
                          <w:t>Ocoyoacac</w:t>
                        </w:r>
                      </w:p>
                    </w:tc>
                    <w:tc>
                      <w:tcPr>
                        <w:tcW w:w="2625" w:type="dxa"/>
                        <w:vMerge/>
                      </w:tcPr>
                      <w:p>
                        <w:pPr/>
                      </w:p>
                    </w:tc>
                  </w:tr>
                  <w:tr>
                    <w:trPr>
                      <w:trHeight w:val="344" w:hRule="exact"/>
                    </w:trPr>
                    <w:tc>
                      <w:tcPr>
                        <w:tcW w:w="2334" w:type="dxa"/>
                      </w:tcPr>
                      <w:p>
                        <w:pPr>
                          <w:pStyle w:val="TableParagraph"/>
                          <w:spacing w:before="46"/>
                          <w:ind w:left="251" w:right="283"/>
                          <w:rPr>
                            <w:sz w:val="20"/>
                          </w:rPr>
                        </w:pPr>
                        <w:r>
                          <w:rPr>
                            <w:sz w:val="20"/>
                          </w:rPr>
                          <w:t>Toluca</w:t>
                        </w:r>
                      </w:p>
                    </w:tc>
                    <w:tc>
                      <w:tcPr>
                        <w:tcW w:w="1431" w:type="dxa"/>
                      </w:tcPr>
                      <w:p>
                        <w:pPr>
                          <w:pStyle w:val="TableParagraph"/>
                          <w:spacing w:before="46"/>
                          <w:ind w:right="66"/>
                          <w:rPr>
                            <w:sz w:val="20"/>
                          </w:rPr>
                        </w:pPr>
                        <w:r>
                          <w:rPr>
                            <w:w w:val="99"/>
                            <w:sz w:val="20"/>
                          </w:rPr>
                          <w:t>5</w:t>
                        </w:r>
                      </w:p>
                    </w:tc>
                    <w:tc>
                      <w:tcPr>
                        <w:tcW w:w="2450" w:type="dxa"/>
                      </w:tcPr>
                      <w:p>
                        <w:pPr/>
                      </w:p>
                    </w:tc>
                    <w:tc>
                      <w:tcPr>
                        <w:tcW w:w="2625" w:type="dxa"/>
                      </w:tcPr>
                      <w:p>
                        <w:pPr>
                          <w:pStyle w:val="TableParagraph"/>
                          <w:spacing w:before="46"/>
                          <w:ind w:left="406" w:right="419"/>
                          <w:rPr>
                            <w:sz w:val="20"/>
                          </w:rPr>
                        </w:pPr>
                        <w:r>
                          <w:rPr>
                            <w:sz w:val="20"/>
                          </w:rPr>
                          <w:t>Toluca</w:t>
                        </w:r>
                      </w:p>
                    </w:tc>
                  </w:tr>
                  <w:tr>
                    <w:trPr>
                      <w:trHeight w:val="346" w:hRule="exact"/>
                    </w:trPr>
                    <w:tc>
                      <w:tcPr>
                        <w:tcW w:w="2334" w:type="dxa"/>
                      </w:tcPr>
                      <w:p>
                        <w:pPr>
                          <w:pStyle w:val="TableParagraph"/>
                          <w:spacing w:before="47"/>
                          <w:ind w:left="251" w:right="286"/>
                          <w:rPr>
                            <w:sz w:val="20"/>
                          </w:rPr>
                        </w:pPr>
                        <w:r>
                          <w:rPr>
                            <w:sz w:val="20"/>
                          </w:rPr>
                          <w:t>Almoloya de Juárez</w:t>
                        </w:r>
                      </w:p>
                    </w:tc>
                    <w:tc>
                      <w:tcPr>
                        <w:tcW w:w="1431" w:type="dxa"/>
                      </w:tcPr>
                      <w:p>
                        <w:pPr>
                          <w:pStyle w:val="TableParagraph"/>
                          <w:spacing w:before="47"/>
                          <w:ind w:right="66"/>
                          <w:rPr>
                            <w:sz w:val="20"/>
                          </w:rPr>
                        </w:pPr>
                        <w:r>
                          <w:rPr>
                            <w:w w:val="99"/>
                            <w:sz w:val="20"/>
                          </w:rPr>
                          <w:t>2</w:t>
                        </w:r>
                      </w:p>
                    </w:tc>
                    <w:tc>
                      <w:tcPr>
                        <w:tcW w:w="2450" w:type="dxa"/>
                      </w:tcPr>
                      <w:p>
                        <w:pPr/>
                      </w:p>
                    </w:tc>
                    <w:tc>
                      <w:tcPr>
                        <w:tcW w:w="2625" w:type="dxa"/>
                      </w:tcPr>
                      <w:p>
                        <w:pPr>
                          <w:pStyle w:val="TableParagraph"/>
                          <w:spacing w:before="47"/>
                          <w:ind w:left="406" w:right="422"/>
                          <w:rPr>
                            <w:sz w:val="20"/>
                          </w:rPr>
                        </w:pPr>
                        <w:r>
                          <w:rPr>
                            <w:sz w:val="20"/>
                          </w:rPr>
                          <w:t>Almoloya de Juarez</w:t>
                        </w:r>
                      </w:p>
                    </w:tc>
                  </w:tr>
                  <w:tr>
                    <w:trPr>
                      <w:trHeight w:val="346" w:hRule="exact"/>
                    </w:trPr>
                    <w:tc>
                      <w:tcPr>
                        <w:tcW w:w="2334" w:type="dxa"/>
                      </w:tcPr>
                      <w:p>
                        <w:pPr>
                          <w:pStyle w:val="TableParagraph"/>
                          <w:spacing w:before="47"/>
                          <w:ind w:left="250" w:right="286"/>
                          <w:rPr>
                            <w:sz w:val="20"/>
                          </w:rPr>
                        </w:pPr>
                        <w:r>
                          <w:rPr>
                            <w:sz w:val="20"/>
                          </w:rPr>
                          <w:t>Metepec</w:t>
                        </w:r>
                      </w:p>
                    </w:tc>
                    <w:tc>
                      <w:tcPr>
                        <w:tcW w:w="1431" w:type="dxa"/>
                      </w:tcPr>
                      <w:p>
                        <w:pPr>
                          <w:pStyle w:val="TableParagraph"/>
                          <w:spacing w:before="47"/>
                          <w:ind w:right="66"/>
                          <w:rPr>
                            <w:sz w:val="20"/>
                          </w:rPr>
                        </w:pPr>
                        <w:r>
                          <w:rPr>
                            <w:w w:val="99"/>
                            <w:sz w:val="20"/>
                          </w:rPr>
                          <w:t>3</w:t>
                        </w:r>
                      </w:p>
                    </w:tc>
                    <w:tc>
                      <w:tcPr>
                        <w:tcW w:w="2450" w:type="dxa"/>
                      </w:tcPr>
                      <w:p>
                        <w:pPr/>
                      </w:p>
                    </w:tc>
                    <w:tc>
                      <w:tcPr>
                        <w:tcW w:w="2625" w:type="dxa"/>
                      </w:tcPr>
                      <w:p>
                        <w:pPr>
                          <w:pStyle w:val="TableParagraph"/>
                          <w:spacing w:before="47"/>
                          <w:ind w:left="405" w:right="422"/>
                          <w:rPr>
                            <w:sz w:val="20"/>
                          </w:rPr>
                        </w:pPr>
                        <w:r>
                          <w:rPr>
                            <w:sz w:val="20"/>
                          </w:rPr>
                          <w:t>Metepec</w:t>
                        </w:r>
                      </w:p>
                    </w:tc>
                  </w:tr>
                  <w:tr>
                    <w:trPr>
                      <w:trHeight w:val="398" w:hRule="exact"/>
                    </w:trPr>
                    <w:tc>
                      <w:tcPr>
                        <w:tcW w:w="2334" w:type="dxa"/>
                        <w:tcBorders>
                          <w:bottom w:val="single" w:sz="4" w:space="0" w:color="000000"/>
                        </w:tcBorders>
                      </w:tcPr>
                      <w:p>
                        <w:pPr>
                          <w:pStyle w:val="TableParagraph"/>
                          <w:spacing w:before="47"/>
                          <w:ind w:left="251" w:right="285"/>
                          <w:rPr>
                            <w:sz w:val="20"/>
                          </w:rPr>
                        </w:pPr>
                        <w:r>
                          <w:rPr>
                            <w:sz w:val="20"/>
                          </w:rPr>
                          <w:t>Zinacantepec</w:t>
                        </w:r>
                      </w:p>
                    </w:tc>
                    <w:tc>
                      <w:tcPr>
                        <w:tcW w:w="1431" w:type="dxa"/>
                        <w:tcBorders>
                          <w:bottom w:val="single" w:sz="4" w:space="0" w:color="000000"/>
                        </w:tcBorders>
                      </w:tcPr>
                      <w:p>
                        <w:pPr>
                          <w:pStyle w:val="TableParagraph"/>
                          <w:spacing w:before="47"/>
                          <w:ind w:right="66"/>
                          <w:rPr>
                            <w:sz w:val="20"/>
                          </w:rPr>
                        </w:pPr>
                        <w:r>
                          <w:rPr>
                            <w:w w:val="99"/>
                            <w:sz w:val="20"/>
                          </w:rPr>
                          <w:t>2</w:t>
                        </w:r>
                      </w:p>
                    </w:tc>
                    <w:tc>
                      <w:tcPr>
                        <w:tcW w:w="2450" w:type="dxa"/>
                        <w:tcBorders>
                          <w:bottom w:val="single" w:sz="4" w:space="0" w:color="000000"/>
                        </w:tcBorders>
                      </w:tcPr>
                      <w:p>
                        <w:pPr/>
                      </w:p>
                    </w:tc>
                    <w:tc>
                      <w:tcPr>
                        <w:tcW w:w="2625" w:type="dxa"/>
                        <w:tcBorders>
                          <w:bottom w:val="single" w:sz="4" w:space="0" w:color="000000"/>
                        </w:tcBorders>
                      </w:tcPr>
                      <w:p>
                        <w:pPr>
                          <w:pStyle w:val="TableParagraph"/>
                          <w:spacing w:before="47"/>
                          <w:ind w:left="406" w:right="421"/>
                          <w:rPr>
                            <w:sz w:val="20"/>
                          </w:rPr>
                        </w:pPr>
                        <w:r>
                          <w:rPr>
                            <w:sz w:val="20"/>
                          </w:rPr>
                          <w:t>Zinacantepec</w:t>
                        </w:r>
                      </w:p>
                    </w:tc>
                  </w:tr>
                  <w:tr>
                    <w:trPr>
                      <w:trHeight w:val="355" w:hRule="exact"/>
                    </w:trPr>
                    <w:tc>
                      <w:tcPr>
                        <w:tcW w:w="2334" w:type="dxa"/>
                        <w:tcBorders>
                          <w:top w:val="single" w:sz="4" w:space="0" w:color="000000"/>
                          <w:bottom w:val="single" w:sz="4" w:space="0" w:color="000000"/>
                        </w:tcBorders>
                      </w:tcPr>
                      <w:p>
                        <w:pPr>
                          <w:pStyle w:val="TableParagraph"/>
                          <w:spacing w:line="230" w:lineRule="exact"/>
                          <w:ind w:right="33"/>
                          <w:rPr>
                            <w:sz w:val="20"/>
                          </w:rPr>
                        </w:pPr>
                        <w:r>
                          <w:rPr>
                            <w:w w:val="99"/>
                            <w:sz w:val="20"/>
                          </w:rPr>
                          <w:t>N</w:t>
                        </w:r>
                      </w:p>
                    </w:tc>
                    <w:tc>
                      <w:tcPr>
                        <w:tcW w:w="1431" w:type="dxa"/>
                        <w:tcBorders>
                          <w:top w:val="single" w:sz="4" w:space="0" w:color="000000"/>
                          <w:bottom w:val="single" w:sz="4" w:space="0" w:color="000000"/>
                        </w:tcBorders>
                      </w:tcPr>
                      <w:p>
                        <w:pPr>
                          <w:pStyle w:val="TableParagraph"/>
                          <w:spacing w:line="230" w:lineRule="exact"/>
                          <w:ind w:left="288" w:right="355"/>
                          <w:rPr>
                            <w:sz w:val="20"/>
                          </w:rPr>
                        </w:pPr>
                        <w:r>
                          <w:rPr>
                            <w:sz w:val="20"/>
                          </w:rPr>
                          <w:t>30</w:t>
                        </w:r>
                      </w:p>
                    </w:tc>
                    <w:tc>
                      <w:tcPr>
                        <w:tcW w:w="2450" w:type="dxa"/>
                        <w:tcBorders>
                          <w:top w:val="single" w:sz="4" w:space="0" w:color="000000"/>
                          <w:bottom w:val="single" w:sz="4" w:space="0" w:color="000000"/>
                        </w:tcBorders>
                      </w:tcPr>
                      <w:p>
                        <w:pPr>
                          <w:pStyle w:val="TableParagraph"/>
                          <w:spacing w:line="230" w:lineRule="exact"/>
                          <w:ind w:right="40"/>
                          <w:rPr>
                            <w:sz w:val="20"/>
                          </w:rPr>
                        </w:pPr>
                        <w:r>
                          <w:rPr>
                            <w:w w:val="99"/>
                            <w:sz w:val="20"/>
                          </w:rPr>
                          <w:t>3</w:t>
                        </w:r>
                      </w:p>
                    </w:tc>
                    <w:tc>
                      <w:tcPr>
                        <w:tcW w:w="2625" w:type="dxa"/>
                        <w:tcBorders>
                          <w:top w:val="single" w:sz="4" w:space="0" w:color="000000"/>
                          <w:bottom w:val="single" w:sz="4" w:space="0" w:color="000000"/>
                        </w:tcBorders>
                      </w:tcPr>
                      <w:p>
                        <w:pPr>
                          <w:pStyle w:val="TableParagraph"/>
                          <w:spacing w:line="230" w:lineRule="exact"/>
                          <w:ind w:right="13"/>
                          <w:rPr>
                            <w:sz w:val="20"/>
                          </w:rPr>
                        </w:pPr>
                        <w:r>
                          <w:rPr>
                            <w:w w:val="99"/>
                            <w:sz w:val="20"/>
                          </w:rPr>
                          <w:t>4</w:t>
                        </w:r>
                      </w:p>
                    </w:tc>
                  </w:tr>
                </w:tbl>
                <w:p>
                  <w:pPr>
                    <w:pStyle w:val="BodyText"/>
                  </w:pPr>
                </w:p>
              </w:txbxContent>
            </v:textbox>
            <w10:wrap type="none"/>
          </v:shape>
        </w:pict>
      </w:r>
      <w:r>
        <w:rPr>
          <w:b/>
          <w:w w:val="95"/>
          <w:sz w:val="20"/>
        </w:rPr>
        <w:t>Municipio</w:t>
      </w:r>
    </w:p>
    <w:p>
      <w:pPr>
        <w:spacing w:line="217" w:lineRule="exact" w:before="0"/>
        <w:ind w:left="836" w:right="-18" w:firstLine="0"/>
        <w:jc w:val="left"/>
        <w:rPr>
          <w:b/>
          <w:sz w:val="20"/>
        </w:rPr>
      </w:pPr>
      <w:r>
        <w:rPr/>
        <w:br w:type="column"/>
      </w:r>
      <w:r>
        <w:rPr>
          <w:b/>
          <w:sz w:val="20"/>
        </w:rPr>
        <w:t>No.</w:t>
      </w:r>
      <w:r>
        <w:rPr>
          <w:b/>
          <w:spacing w:val="-4"/>
          <w:sz w:val="20"/>
        </w:rPr>
        <w:t> </w:t>
      </w:r>
      <w:r>
        <w:rPr>
          <w:b/>
          <w:sz w:val="20"/>
        </w:rPr>
        <w:t>de</w:t>
      </w:r>
    </w:p>
    <w:p>
      <w:pPr>
        <w:spacing w:before="157"/>
        <w:ind w:left="790" w:right="-16" w:firstLine="0"/>
        <w:jc w:val="left"/>
        <w:rPr>
          <w:b/>
          <w:sz w:val="20"/>
        </w:rPr>
      </w:pPr>
      <w:r>
        <w:rPr/>
        <w:br w:type="column"/>
      </w:r>
      <w:r>
        <w:rPr>
          <w:b/>
          <w:sz w:val="20"/>
        </w:rPr>
        <w:t>Region VII</w:t>
      </w:r>
      <w:r>
        <w:rPr>
          <w:b/>
          <w:spacing w:val="-5"/>
          <w:sz w:val="20"/>
        </w:rPr>
        <w:t> </w:t>
      </w:r>
      <w:r>
        <w:rPr>
          <w:b/>
          <w:sz w:val="20"/>
        </w:rPr>
        <w:t>Lerma</w:t>
      </w:r>
    </w:p>
    <w:p>
      <w:pPr>
        <w:spacing w:line="217" w:lineRule="exact" w:before="0"/>
        <w:ind w:left="836" w:right="0" w:firstLine="0"/>
        <w:jc w:val="left"/>
        <w:rPr>
          <w:b/>
          <w:sz w:val="20"/>
        </w:rPr>
      </w:pPr>
      <w:r>
        <w:rPr/>
        <w:br w:type="column"/>
      </w:r>
      <w:r>
        <w:rPr>
          <w:b/>
          <w:sz w:val="20"/>
        </w:rPr>
        <w:t>Region XII Toluca</w:t>
      </w:r>
    </w:p>
    <w:p>
      <w:pPr>
        <w:spacing w:after="0" w:line="217" w:lineRule="exact"/>
        <w:jc w:val="left"/>
        <w:rPr>
          <w:sz w:val="20"/>
        </w:rPr>
        <w:sectPr>
          <w:type w:val="continuous"/>
          <w:pgSz w:w="12240" w:h="15840"/>
          <w:pgMar w:top="1500" w:bottom="280" w:left="1720" w:right="1420"/>
          <w:cols w:num="4" w:equalWidth="0">
            <w:col w:w="1770" w:space="257"/>
            <w:col w:w="1446" w:space="40"/>
            <w:col w:w="2423" w:space="64"/>
            <w:col w:w="3100"/>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pStyle w:val="BodyText"/>
        <w:spacing w:line="360" w:lineRule="auto"/>
        <w:ind w:left="152" w:right="107"/>
        <w:jc w:val="both"/>
      </w:pPr>
      <w:r>
        <w:rPr/>
        <w:t>Durante la visita a las unidades de producción cunicula familiar, se aplicó un instrumento de encuesta cerrada al propietario de cada granja bajo aceptación concertada de los productores. Las características del instrumento fueron: tipo de granja, ciclo productivo, sistema de manejo, razas o familias de conejos, índice de reproducción,  instalaciones,  método de sacrificio y normatividad.</w:t>
      </w:r>
    </w:p>
    <w:p>
      <w:pPr>
        <w:spacing w:after="0" w:line="360" w:lineRule="auto"/>
        <w:jc w:val="both"/>
        <w:sectPr>
          <w:type w:val="continuous"/>
          <w:pgSz w:w="12240" w:h="15840"/>
          <w:pgMar w:top="1500" w:bottom="280" w:left="1720" w:right="1420"/>
        </w:sectPr>
      </w:pPr>
    </w:p>
    <w:p>
      <w:pPr>
        <w:pStyle w:val="BodyText"/>
        <w:spacing w:before="2"/>
        <w:rPr>
          <w:sz w:val="21"/>
        </w:rPr>
      </w:pPr>
    </w:p>
    <w:p>
      <w:pPr>
        <w:spacing w:before="69"/>
        <w:ind w:left="152" w:right="0" w:firstLine="0"/>
        <w:jc w:val="both"/>
        <w:rPr>
          <w:b/>
          <w:sz w:val="24"/>
        </w:rPr>
      </w:pPr>
      <w:r>
        <w:rPr>
          <w:b/>
          <w:sz w:val="24"/>
        </w:rPr>
        <w:t>OBTENCIÓN DE LA MUESTRA, CLASIFICACIÓN Y ANÁLISIS QUÍMICO</w:t>
      </w:r>
    </w:p>
    <w:p>
      <w:pPr>
        <w:pStyle w:val="BodyText"/>
        <w:spacing w:line="360" w:lineRule="auto" w:before="137"/>
        <w:ind w:left="152" w:right="104"/>
        <w:jc w:val="both"/>
      </w:pPr>
      <w:r>
        <w:rPr/>
        <w:t>Se</w:t>
      </w:r>
      <w:r>
        <w:rPr>
          <w:spacing w:val="-4"/>
        </w:rPr>
        <w:t> </w:t>
      </w:r>
      <w:r>
        <w:rPr/>
        <w:t>realizo</w:t>
      </w:r>
      <w:r>
        <w:rPr>
          <w:spacing w:val="-4"/>
        </w:rPr>
        <w:t> </w:t>
      </w:r>
      <w:r>
        <w:rPr/>
        <w:t>un</w:t>
      </w:r>
      <w:r>
        <w:rPr>
          <w:spacing w:val="-7"/>
        </w:rPr>
        <w:t> </w:t>
      </w:r>
      <w:r>
        <w:rPr/>
        <w:t>estudio</w:t>
      </w:r>
      <w:r>
        <w:rPr>
          <w:spacing w:val="-7"/>
        </w:rPr>
        <w:t> </w:t>
      </w:r>
      <w:r>
        <w:rPr/>
        <w:t>comparativo</w:t>
      </w:r>
      <w:r>
        <w:rPr>
          <w:spacing w:val="-5"/>
        </w:rPr>
        <w:t> </w:t>
      </w:r>
      <w:r>
        <w:rPr/>
        <w:t>de</w:t>
      </w:r>
      <w:r>
        <w:rPr>
          <w:spacing w:val="-7"/>
        </w:rPr>
        <w:t> </w:t>
      </w:r>
      <w:r>
        <w:rPr/>
        <w:t>la</w:t>
      </w:r>
      <w:r>
        <w:rPr>
          <w:spacing w:val="-5"/>
        </w:rPr>
        <w:t> </w:t>
      </w:r>
      <w:r>
        <w:rPr/>
        <w:t>composición</w:t>
      </w:r>
      <w:r>
        <w:rPr>
          <w:spacing w:val="-5"/>
        </w:rPr>
        <w:t> </w:t>
      </w:r>
      <w:r>
        <w:rPr/>
        <w:t>química</w:t>
      </w:r>
      <w:r>
        <w:rPr>
          <w:spacing w:val="-5"/>
        </w:rPr>
        <w:t> </w:t>
      </w:r>
      <w:r>
        <w:rPr/>
        <w:t>de la</w:t>
      </w:r>
      <w:r>
        <w:rPr>
          <w:spacing w:val="-7"/>
        </w:rPr>
        <w:t> </w:t>
      </w:r>
      <w:r>
        <w:rPr/>
        <w:t>carne</w:t>
      </w:r>
      <w:r>
        <w:rPr>
          <w:spacing w:val="-6"/>
        </w:rPr>
        <w:t> </w:t>
      </w:r>
      <w:r>
        <w:rPr/>
        <w:t>de</w:t>
      </w:r>
      <w:r>
        <w:rPr>
          <w:spacing w:val="-5"/>
        </w:rPr>
        <w:t> </w:t>
      </w:r>
      <w:r>
        <w:rPr/>
        <w:t>conejo entre las diferentes regiones estudiadas. Para tal estudio, se obtuvieron de una granja semitecnificada 30 muestras del musculo </w:t>
      </w:r>
      <w:r>
        <w:rPr>
          <w:i/>
        </w:rPr>
        <w:t>Longissimus dorsis </w:t>
      </w:r>
      <w:r>
        <w:rPr/>
        <w:t>de conejos Nueva Zelanda, de 75 ± 3 días de edad, un peso al sacrificio de 2.150 ± 0.124 kg y un peso de la canal de 1.125 </w:t>
      </w:r>
      <w:r>
        <w:rPr>
          <w:spacing w:val="-3"/>
        </w:rPr>
        <w:t>±0.75 </w:t>
      </w:r>
      <w:r>
        <w:rPr/>
        <w:t>kg las cuales fueron empleadas como control del análisis químico de la</w:t>
      </w:r>
      <w:r>
        <w:rPr>
          <w:spacing w:val="-10"/>
        </w:rPr>
        <w:t> </w:t>
      </w:r>
      <w:r>
        <w:rPr/>
        <w:t>carne.</w:t>
      </w:r>
    </w:p>
    <w:p>
      <w:pPr>
        <w:pStyle w:val="BodyText"/>
      </w:pPr>
    </w:p>
    <w:p>
      <w:pPr>
        <w:pStyle w:val="BodyText"/>
        <w:spacing w:line="360" w:lineRule="auto" w:before="142"/>
        <w:ind w:left="152" w:right="106"/>
        <w:jc w:val="both"/>
      </w:pPr>
      <w:r>
        <w:rPr/>
        <w:t>En las 30 granjas, el muestreo se realizó al azar en la línea de sacrificio. Previo al sacrificio se registraron los datos de los conejos como son: raza, edad, peso vivo, peso</w:t>
      </w:r>
      <w:r>
        <w:rPr>
          <w:spacing w:val="-13"/>
        </w:rPr>
        <w:t> </w:t>
      </w:r>
      <w:r>
        <w:rPr/>
        <w:t>a</w:t>
      </w:r>
      <w:r>
        <w:rPr>
          <w:spacing w:val="-13"/>
        </w:rPr>
        <w:t> </w:t>
      </w:r>
      <w:r>
        <w:rPr/>
        <w:t>la</w:t>
      </w:r>
      <w:r>
        <w:rPr>
          <w:spacing w:val="-13"/>
        </w:rPr>
        <w:t> </w:t>
      </w:r>
      <w:r>
        <w:rPr/>
        <w:t>canal;</w:t>
      </w:r>
      <w:r>
        <w:rPr>
          <w:spacing w:val="-14"/>
        </w:rPr>
        <w:t> </w:t>
      </w:r>
      <w:r>
        <w:rPr/>
        <w:t>con</w:t>
      </w:r>
      <w:r>
        <w:rPr>
          <w:spacing w:val="-15"/>
        </w:rPr>
        <w:t> </w:t>
      </w:r>
      <w:r>
        <w:rPr/>
        <w:t>el</w:t>
      </w:r>
      <w:r>
        <w:rPr>
          <w:spacing w:val="-16"/>
        </w:rPr>
        <w:t> </w:t>
      </w:r>
      <w:r>
        <w:rPr/>
        <w:t>fin</w:t>
      </w:r>
      <w:r>
        <w:rPr>
          <w:spacing w:val="-13"/>
        </w:rPr>
        <w:t> </w:t>
      </w:r>
      <w:r>
        <w:rPr/>
        <w:t>de</w:t>
      </w:r>
      <w:r>
        <w:rPr>
          <w:spacing w:val="-13"/>
        </w:rPr>
        <w:t> </w:t>
      </w:r>
      <w:r>
        <w:rPr/>
        <w:t>clasificar</w:t>
      </w:r>
      <w:r>
        <w:rPr>
          <w:spacing w:val="-14"/>
        </w:rPr>
        <w:t> </w:t>
      </w:r>
      <w:r>
        <w:rPr/>
        <w:t>la</w:t>
      </w:r>
      <w:r>
        <w:rPr>
          <w:spacing w:val="-13"/>
        </w:rPr>
        <w:t> </w:t>
      </w:r>
      <w:r>
        <w:rPr/>
        <w:t>canal</w:t>
      </w:r>
      <w:r>
        <w:rPr>
          <w:spacing w:val="-16"/>
        </w:rPr>
        <w:t> </w:t>
      </w:r>
      <w:r>
        <w:rPr/>
        <w:t>del</w:t>
      </w:r>
      <w:r>
        <w:rPr>
          <w:spacing w:val="-14"/>
        </w:rPr>
        <w:t> </w:t>
      </w:r>
      <w:r>
        <w:rPr/>
        <w:t>conejo</w:t>
      </w:r>
      <w:r>
        <w:rPr>
          <w:spacing w:val="-13"/>
        </w:rPr>
        <w:t> </w:t>
      </w:r>
      <w:r>
        <w:rPr/>
        <w:t>como</w:t>
      </w:r>
      <w:r>
        <w:rPr>
          <w:spacing w:val="-13"/>
        </w:rPr>
        <w:t> </w:t>
      </w:r>
      <w:r>
        <w:rPr/>
        <w:t>lo</w:t>
      </w:r>
      <w:r>
        <w:rPr>
          <w:spacing w:val="-15"/>
        </w:rPr>
        <w:t> </w:t>
      </w:r>
      <w:r>
        <w:rPr/>
        <w:t>establece</w:t>
      </w:r>
      <w:r>
        <w:rPr>
          <w:spacing w:val="-13"/>
        </w:rPr>
        <w:t> </w:t>
      </w:r>
      <w:r>
        <w:rPr/>
        <w:t>la</w:t>
      </w:r>
      <w:r>
        <w:rPr>
          <w:spacing w:val="-6"/>
        </w:rPr>
        <w:t> </w:t>
      </w:r>
      <w:r>
        <w:rPr/>
        <w:t>NMX- FF-105-SCFI-2005. Para el análisis químico de la carne se obtuvo una muestra del músculo </w:t>
      </w:r>
      <w:r>
        <w:rPr>
          <w:i/>
        </w:rPr>
        <w:t>Longissimus dorsis</w:t>
      </w:r>
      <w:r>
        <w:rPr/>
        <w:t>. Las muestras de carne se depositaron en un termo con</w:t>
      </w:r>
      <w:r>
        <w:rPr>
          <w:spacing w:val="-7"/>
        </w:rPr>
        <w:t> </w:t>
      </w:r>
      <w:r>
        <w:rPr/>
        <w:t>refrigerantes</w:t>
      </w:r>
      <w:r>
        <w:rPr>
          <w:spacing w:val="-8"/>
        </w:rPr>
        <w:t> </w:t>
      </w:r>
      <w:r>
        <w:rPr/>
        <w:t>a</w:t>
      </w:r>
      <w:r>
        <w:rPr>
          <w:spacing w:val="-9"/>
        </w:rPr>
        <w:t> </w:t>
      </w:r>
      <w:r>
        <w:rPr/>
        <w:t>4</w:t>
      </w:r>
      <w:r>
        <w:rPr>
          <w:spacing w:val="-7"/>
        </w:rPr>
        <w:t> </w:t>
      </w:r>
      <w:r>
        <w:rPr>
          <w:position w:val="8"/>
          <w:sz w:val="16"/>
        </w:rPr>
        <w:t>o</w:t>
      </w:r>
      <w:r>
        <w:rPr/>
        <w:t>C</w:t>
      </w:r>
      <w:r>
        <w:rPr>
          <w:spacing w:val="-8"/>
        </w:rPr>
        <w:t> </w:t>
      </w:r>
      <w:r>
        <w:rPr/>
        <w:t>(NOM-109-SSA1-1994</w:t>
      </w:r>
      <w:r>
        <w:rPr>
          <w:sz w:val="22"/>
        </w:rPr>
        <w:t>)</w:t>
      </w:r>
      <w:r>
        <w:rPr>
          <w:spacing w:val="-9"/>
          <w:sz w:val="22"/>
        </w:rPr>
        <w:t> </w:t>
      </w:r>
      <w:r>
        <w:rPr/>
        <w:t>para</w:t>
      </w:r>
      <w:r>
        <w:rPr>
          <w:spacing w:val="-8"/>
        </w:rPr>
        <w:t> </w:t>
      </w:r>
      <w:r>
        <w:rPr/>
        <w:t>su</w:t>
      </w:r>
      <w:r>
        <w:rPr>
          <w:spacing w:val="-9"/>
        </w:rPr>
        <w:t> </w:t>
      </w:r>
      <w:r>
        <w:rPr/>
        <w:t>transporte</w:t>
      </w:r>
      <w:r>
        <w:rPr>
          <w:spacing w:val="-12"/>
        </w:rPr>
        <w:t> </w:t>
      </w:r>
      <w:r>
        <w:rPr/>
        <w:t>al</w:t>
      </w:r>
      <w:r>
        <w:rPr>
          <w:spacing w:val="-8"/>
        </w:rPr>
        <w:t> </w:t>
      </w:r>
      <w:r>
        <w:rPr/>
        <w:t>laboratorio</w:t>
      </w:r>
      <w:r>
        <w:rPr>
          <w:spacing w:val="-9"/>
        </w:rPr>
        <w:t> </w:t>
      </w:r>
      <w:r>
        <w:rPr/>
        <w:t>de bromatología de la Facultad de Medicina Veterinaria de la</w:t>
      </w:r>
      <w:r>
        <w:rPr>
          <w:spacing w:val="-30"/>
        </w:rPr>
        <w:t> </w:t>
      </w:r>
      <w:r>
        <w:rPr/>
        <w:t>UAEMex.</w:t>
      </w:r>
    </w:p>
    <w:p>
      <w:pPr>
        <w:pStyle w:val="BodyText"/>
      </w:pPr>
    </w:p>
    <w:p>
      <w:pPr>
        <w:spacing w:before="142"/>
        <w:ind w:left="152" w:right="0" w:firstLine="0"/>
        <w:jc w:val="both"/>
        <w:rPr>
          <w:b/>
          <w:sz w:val="24"/>
        </w:rPr>
      </w:pPr>
      <w:r>
        <w:rPr>
          <w:b/>
          <w:sz w:val="24"/>
        </w:rPr>
        <w:t>Análisis químicos de la carne de conejo.</w:t>
      </w:r>
    </w:p>
    <w:p>
      <w:pPr>
        <w:pStyle w:val="BodyText"/>
        <w:spacing w:before="10"/>
        <w:rPr>
          <w:b/>
          <w:sz w:val="35"/>
        </w:rPr>
      </w:pPr>
    </w:p>
    <w:p>
      <w:pPr>
        <w:pStyle w:val="BodyText"/>
        <w:spacing w:line="360" w:lineRule="auto"/>
        <w:ind w:left="152" w:right="104"/>
        <w:jc w:val="both"/>
      </w:pPr>
      <w:r>
        <w:rPr/>
        <w:t>Para</w:t>
      </w:r>
      <w:r>
        <w:rPr>
          <w:spacing w:val="-15"/>
        </w:rPr>
        <w:t> </w:t>
      </w:r>
      <w:r>
        <w:rPr/>
        <w:t>proceder</w:t>
      </w:r>
      <w:r>
        <w:rPr>
          <w:spacing w:val="-13"/>
        </w:rPr>
        <w:t> </w:t>
      </w:r>
      <w:r>
        <w:rPr/>
        <w:t>a</w:t>
      </w:r>
      <w:r>
        <w:rPr>
          <w:spacing w:val="-14"/>
        </w:rPr>
        <w:t> </w:t>
      </w:r>
      <w:r>
        <w:rPr/>
        <w:t>determinar</w:t>
      </w:r>
      <w:r>
        <w:rPr>
          <w:spacing w:val="-16"/>
        </w:rPr>
        <w:t> </w:t>
      </w:r>
      <w:r>
        <w:rPr/>
        <w:t>el</w:t>
      </w:r>
      <w:r>
        <w:rPr>
          <w:spacing w:val="-13"/>
        </w:rPr>
        <w:t> </w:t>
      </w:r>
      <w:r>
        <w:rPr/>
        <w:t>análisis</w:t>
      </w:r>
      <w:r>
        <w:rPr>
          <w:spacing w:val="-13"/>
        </w:rPr>
        <w:t> </w:t>
      </w:r>
      <w:r>
        <w:rPr/>
        <w:t>químico</w:t>
      </w:r>
      <w:r>
        <w:rPr>
          <w:spacing w:val="-12"/>
        </w:rPr>
        <w:t> </w:t>
      </w:r>
      <w:r>
        <w:rPr/>
        <w:t>se</w:t>
      </w:r>
      <w:r>
        <w:rPr>
          <w:spacing w:val="-14"/>
        </w:rPr>
        <w:t> </w:t>
      </w:r>
      <w:r>
        <w:rPr/>
        <w:t>utilizó</w:t>
      </w:r>
      <w:r>
        <w:rPr>
          <w:spacing w:val="-10"/>
        </w:rPr>
        <w:t> </w:t>
      </w:r>
      <w:r>
        <w:rPr/>
        <w:t>una</w:t>
      </w:r>
      <w:r>
        <w:rPr>
          <w:spacing w:val="-14"/>
        </w:rPr>
        <w:t> </w:t>
      </w:r>
      <w:r>
        <w:rPr/>
        <w:t>muestra</w:t>
      </w:r>
      <w:r>
        <w:rPr>
          <w:spacing w:val="-12"/>
        </w:rPr>
        <w:t> </w:t>
      </w:r>
      <w:r>
        <w:rPr/>
        <w:t>representativa de carne del músculo </w:t>
      </w:r>
      <w:r>
        <w:rPr>
          <w:i/>
        </w:rPr>
        <w:t>Longissimus dorsis </w:t>
      </w:r>
      <w:r>
        <w:rPr/>
        <w:t>y se determinó la composición química de la carne expresada en proteína, materia seca, grasa y cenizas para efectuar el análisis químico y determinar en contenido porcentual de proteína, materia seca, grasa</w:t>
      </w:r>
      <w:r>
        <w:rPr>
          <w:spacing w:val="-6"/>
        </w:rPr>
        <w:t> </w:t>
      </w:r>
      <w:r>
        <w:rPr/>
        <w:t>y</w:t>
      </w:r>
      <w:r>
        <w:rPr>
          <w:spacing w:val="-9"/>
        </w:rPr>
        <w:t> </w:t>
      </w:r>
      <w:r>
        <w:rPr/>
        <w:t>cenizas</w:t>
      </w:r>
      <w:r>
        <w:rPr>
          <w:spacing w:val="-6"/>
        </w:rPr>
        <w:t> </w:t>
      </w:r>
      <w:r>
        <w:rPr/>
        <w:t>siguiendo</w:t>
      </w:r>
      <w:r>
        <w:rPr>
          <w:spacing w:val="-6"/>
        </w:rPr>
        <w:t> </w:t>
      </w:r>
      <w:r>
        <w:rPr/>
        <w:t>los</w:t>
      </w:r>
      <w:r>
        <w:rPr>
          <w:spacing w:val="-9"/>
        </w:rPr>
        <w:t> </w:t>
      </w:r>
      <w:r>
        <w:rPr/>
        <w:t>procedimientos</w:t>
      </w:r>
      <w:r>
        <w:rPr>
          <w:spacing w:val="-7"/>
        </w:rPr>
        <w:t> </w:t>
      </w:r>
      <w:r>
        <w:rPr/>
        <w:t>descritos</w:t>
      </w:r>
      <w:r>
        <w:rPr>
          <w:spacing w:val="-7"/>
        </w:rPr>
        <w:t> </w:t>
      </w:r>
      <w:r>
        <w:rPr/>
        <w:t>por</w:t>
      </w:r>
      <w:r>
        <w:rPr>
          <w:spacing w:val="-7"/>
        </w:rPr>
        <w:t> </w:t>
      </w:r>
      <w:r>
        <w:rPr/>
        <w:t>el</w:t>
      </w:r>
      <w:r>
        <w:rPr>
          <w:spacing w:val="-3"/>
        </w:rPr>
        <w:t> </w:t>
      </w:r>
      <w:r>
        <w:rPr/>
        <w:t>Association</w:t>
      </w:r>
      <w:r>
        <w:rPr>
          <w:spacing w:val="-4"/>
        </w:rPr>
        <w:t> </w:t>
      </w:r>
      <w:r>
        <w:rPr/>
        <w:t>of</w:t>
      </w:r>
      <w:r>
        <w:rPr>
          <w:spacing w:val="-7"/>
        </w:rPr>
        <w:t> </w:t>
      </w:r>
      <w:r>
        <w:rPr/>
        <w:t>Official Analytical Chemist (AOAC,</w:t>
      </w:r>
      <w:r>
        <w:rPr>
          <w:spacing w:val="-8"/>
        </w:rPr>
        <w:t> </w:t>
      </w:r>
      <w:r>
        <w:rPr/>
        <w:t>2012</w:t>
      </w:r>
      <w:r>
        <w:rPr>
          <w:sz w:val="22"/>
        </w:rPr>
        <w:t>)</w:t>
      </w:r>
      <w:r>
        <w:rPr/>
        <w:t>.</w:t>
      </w:r>
    </w:p>
    <w:p>
      <w:pPr>
        <w:pStyle w:val="BodyText"/>
        <w:spacing w:before="2"/>
      </w:pPr>
    </w:p>
    <w:p>
      <w:pPr>
        <w:spacing w:before="0"/>
        <w:ind w:left="152" w:right="0" w:firstLine="0"/>
        <w:jc w:val="both"/>
        <w:rPr>
          <w:b/>
          <w:sz w:val="24"/>
        </w:rPr>
      </w:pPr>
      <w:r>
        <w:rPr>
          <w:b/>
          <w:sz w:val="24"/>
        </w:rPr>
        <w:t>Determinación del contenido de humedad/materia seca.</w:t>
      </w:r>
    </w:p>
    <w:p>
      <w:pPr>
        <w:pStyle w:val="ListParagraph"/>
        <w:numPr>
          <w:ilvl w:val="0"/>
          <w:numId w:val="2"/>
        </w:numPr>
        <w:tabs>
          <w:tab w:pos="873" w:val="left" w:leader="none"/>
        </w:tabs>
        <w:spacing w:line="360" w:lineRule="auto" w:before="137" w:after="0"/>
        <w:ind w:left="872" w:right="107" w:hanging="360"/>
        <w:jc w:val="both"/>
        <w:rPr>
          <w:sz w:val="24"/>
        </w:rPr>
      </w:pPr>
      <w:r>
        <w:rPr>
          <w:sz w:val="24"/>
        </w:rPr>
        <w:t>Pesar</w:t>
      </w:r>
      <w:r>
        <w:rPr>
          <w:spacing w:val="-6"/>
          <w:sz w:val="24"/>
        </w:rPr>
        <w:t> </w:t>
      </w:r>
      <w:r>
        <w:rPr>
          <w:sz w:val="24"/>
        </w:rPr>
        <w:t>cuidadosamente</w:t>
      </w:r>
      <w:r>
        <w:rPr>
          <w:spacing w:val="-6"/>
          <w:sz w:val="24"/>
        </w:rPr>
        <w:t> </w:t>
      </w:r>
      <w:r>
        <w:rPr>
          <w:sz w:val="24"/>
        </w:rPr>
        <w:t>10</w:t>
      </w:r>
      <w:r>
        <w:rPr>
          <w:spacing w:val="-5"/>
          <w:sz w:val="24"/>
        </w:rPr>
        <w:t> </w:t>
      </w:r>
      <w:r>
        <w:rPr>
          <w:sz w:val="24"/>
        </w:rPr>
        <w:t>g</w:t>
      </w:r>
      <w:r>
        <w:rPr>
          <w:spacing w:val="-7"/>
          <w:sz w:val="24"/>
        </w:rPr>
        <w:t> </w:t>
      </w:r>
      <w:r>
        <w:rPr>
          <w:sz w:val="24"/>
        </w:rPr>
        <w:t>de</w:t>
      </w:r>
      <w:r>
        <w:rPr>
          <w:spacing w:val="-5"/>
          <w:sz w:val="24"/>
        </w:rPr>
        <w:t> </w:t>
      </w:r>
      <w:r>
        <w:rPr>
          <w:sz w:val="24"/>
        </w:rPr>
        <w:t>cada</w:t>
      </w:r>
      <w:r>
        <w:rPr>
          <w:spacing w:val="-7"/>
          <w:sz w:val="24"/>
        </w:rPr>
        <w:t> </w:t>
      </w:r>
      <w:r>
        <w:rPr>
          <w:sz w:val="24"/>
        </w:rPr>
        <w:t>muestra,</w:t>
      </w:r>
      <w:r>
        <w:rPr>
          <w:spacing w:val="-7"/>
          <w:sz w:val="24"/>
        </w:rPr>
        <w:t> </w:t>
      </w:r>
      <w:r>
        <w:rPr>
          <w:sz w:val="24"/>
        </w:rPr>
        <w:t>previamente</w:t>
      </w:r>
      <w:r>
        <w:rPr>
          <w:spacing w:val="-7"/>
          <w:sz w:val="24"/>
        </w:rPr>
        <w:t> </w:t>
      </w:r>
      <w:r>
        <w:rPr>
          <w:sz w:val="24"/>
        </w:rPr>
        <w:t>homogeneizada, en los crisoles. Colocar en una estufa, a una temperatura de 105 ºC durante 15 a 18</w:t>
      </w:r>
      <w:r>
        <w:rPr>
          <w:spacing w:val="-2"/>
          <w:sz w:val="24"/>
        </w:rPr>
        <w:t> </w:t>
      </w:r>
      <w:r>
        <w:rPr>
          <w:sz w:val="24"/>
        </w:rPr>
        <w:t>h.</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ListParagraph"/>
        <w:numPr>
          <w:ilvl w:val="0"/>
          <w:numId w:val="2"/>
        </w:numPr>
        <w:tabs>
          <w:tab w:pos="873" w:val="left" w:leader="none"/>
        </w:tabs>
        <w:spacing w:line="360" w:lineRule="auto" w:before="69" w:after="0"/>
        <w:ind w:left="872" w:right="117" w:hanging="360"/>
        <w:jc w:val="left"/>
        <w:rPr>
          <w:sz w:val="24"/>
        </w:rPr>
      </w:pPr>
      <w:r>
        <w:rPr>
          <w:sz w:val="24"/>
        </w:rPr>
        <w:t>Sacar las muestras de la estufa y colocarlas en un desecador durante 30 min por lo menos, o hasta que alcancen la temperatura</w:t>
      </w:r>
      <w:r>
        <w:rPr>
          <w:spacing w:val="-23"/>
          <w:sz w:val="24"/>
        </w:rPr>
        <w:t> </w:t>
      </w:r>
      <w:r>
        <w:rPr>
          <w:sz w:val="24"/>
        </w:rPr>
        <w:t>ambiente.</w:t>
      </w:r>
    </w:p>
    <w:p>
      <w:pPr>
        <w:pStyle w:val="ListParagraph"/>
        <w:numPr>
          <w:ilvl w:val="0"/>
          <w:numId w:val="2"/>
        </w:numPr>
        <w:tabs>
          <w:tab w:pos="873" w:val="left" w:leader="none"/>
        </w:tabs>
        <w:spacing w:line="240" w:lineRule="auto" w:before="5" w:after="0"/>
        <w:ind w:left="872" w:right="0" w:hanging="360"/>
        <w:jc w:val="left"/>
        <w:rPr>
          <w:sz w:val="24"/>
        </w:rPr>
      </w:pPr>
      <w:r>
        <w:rPr>
          <w:sz w:val="24"/>
        </w:rPr>
        <w:t>Pesar cada</w:t>
      </w:r>
      <w:r>
        <w:rPr>
          <w:spacing w:val="-4"/>
          <w:sz w:val="24"/>
        </w:rPr>
        <w:t> </w:t>
      </w:r>
      <w:r>
        <w:rPr>
          <w:sz w:val="24"/>
        </w:rPr>
        <w:t>muestra.</w:t>
      </w:r>
    </w:p>
    <w:p>
      <w:pPr>
        <w:pStyle w:val="BodyText"/>
      </w:pPr>
    </w:p>
    <w:p>
      <w:pPr>
        <w:pStyle w:val="BodyText"/>
      </w:pPr>
    </w:p>
    <w:p>
      <w:pPr>
        <w:pStyle w:val="ListParagraph"/>
        <w:numPr>
          <w:ilvl w:val="0"/>
          <w:numId w:val="2"/>
        </w:numPr>
        <w:tabs>
          <w:tab w:pos="873" w:val="left" w:leader="none"/>
        </w:tabs>
        <w:spacing w:line="360" w:lineRule="auto" w:before="0" w:after="0"/>
        <w:ind w:left="872" w:right="113" w:hanging="360"/>
        <w:jc w:val="left"/>
        <w:rPr>
          <w:sz w:val="24"/>
        </w:rPr>
      </w:pPr>
      <w:r>
        <w:rPr>
          <w:sz w:val="24"/>
        </w:rPr>
        <w:t>Registrar su peso en una bitácora y repetir las operaciones de secado hasta que alcance un peso</w:t>
      </w:r>
      <w:r>
        <w:rPr>
          <w:spacing w:val="-10"/>
          <w:sz w:val="24"/>
        </w:rPr>
        <w:t> </w:t>
      </w:r>
      <w:r>
        <w:rPr>
          <w:sz w:val="24"/>
        </w:rPr>
        <w:t>constante.</w:t>
      </w:r>
    </w:p>
    <w:p>
      <w:pPr>
        <w:pStyle w:val="BodyText"/>
      </w:pPr>
    </w:p>
    <w:p>
      <w:pPr>
        <w:pStyle w:val="Heading3"/>
        <w:spacing w:before="142"/>
        <w:ind w:left="512"/>
        <w:rPr>
          <w:i/>
        </w:rPr>
      </w:pPr>
      <w:r>
        <w:rPr>
          <w:i/>
        </w:rPr>
        <w:t>Cálculos</w:t>
      </w:r>
    </w:p>
    <w:p>
      <w:pPr>
        <w:pStyle w:val="BodyText"/>
        <w:rPr>
          <w:b/>
          <w:i/>
        </w:rPr>
      </w:pPr>
    </w:p>
    <w:p>
      <w:pPr>
        <w:pStyle w:val="BodyText"/>
        <w:rPr>
          <w:b/>
          <w:i/>
        </w:rPr>
      </w:pPr>
    </w:p>
    <w:p>
      <w:pPr>
        <w:pStyle w:val="BodyText"/>
        <w:spacing w:line="360" w:lineRule="auto"/>
        <w:ind w:left="152"/>
      </w:pPr>
      <w:r>
        <w:rPr/>
        <w:t>Los</w:t>
      </w:r>
      <w:r>
        <w:rPr>
          <w:spacing w:val="-19"/>
        </w:rPr>
        <w:t> </w:t>
      </w:r>
      <w:r>
        <w:rPr/>
        <w:t>porcentajes</w:t>
      </w:r>
      <w:r>
        <w:rPr>
          <w:spacing w:val="-19"/>
        </w:rPr>
        <w:t> </w:t>
      </w:r>
      <w:r>
        <w:rPr/>
        <w:t>de</w:t>
      </w:r>
      <w:r>
        <w:rPr>
          <w:spacing w:val="-20"/>
        </w:rPr>
        <w:t> </w:t>
      </w:r>
      <w:r>
        <w:rPr/>
        <w:t>materia</w:t>
      </w:r>
      <w:r>
        <w:rPr>
          <w:spacing w:val="-19"/>
        </w:rPr>
        <w:t> </w:t>
      </w:r>
      <w:r>
        <w:rPr/>
        <w:t>seca</w:t>
      </w:r>
      <w:r>
        <w:rPr>
          <w:spacing w:val="-19"/>
        </w:rPr>
        <w:t> </w:t>
      </w:r>
      <w:r>
        <w:rPr/>
        <w:t>(%</w:t>
      </w:r>
      <w:r>
        <w:rPr>
          <w:spacing w:val="-17"/>
        </w:rPr>
        <w:t> </w:t>
      </w:r>
      <w:r>
        <w:rPr/>
        <w:t>MS)</w:t>
      </w:r>
      <w:r>
        <w:rPr>
          <w:spacing w:val="-19"/>
        </w:rPr>
        <w:t> </w:t>
      </w:r>
      <w:r>
        <w:rPr/>
        <w:t>o</w:t>
      </w:r>
      <w:r>
        <w:rPr>
          <w:spacing w:val="-20"/>
        </w:rPr>
        <w:t> </w:t>
      </w:r>
      <w:r>
        <w:rPr/>
        <w:t>humedad</w:t>
      </w:r>
      <w:r>
        <w:rPr>
          <w:spacing w:val="-19"/>
        </w:rPr>
        <w:t> </w:t>
      </w:r>
      <w:r>
        <w:rPr/>
        <w:t>(%</w:t>
      </w:r>
      <w:r>
        <w:rPr>
          <w:spacing w:val="-19"/>
        </w:rPr>
        <w:t> </w:t>
      </w:r>
      <w:r>
        <w:rPr/>
        <w:t>H)</w:t>
      </w:r>
      <w:r>
        <w:rPr>
          <w:spacing w:val="-20"/>
        </w:rPr>
        <w:t> </w:t>
      </w:r>
      <w:r>
        <w:rPr/>
        <w:t>se</w:t>
      </w:r>
      <w:r>
        <w:rPr>
          <w:spacing w:val="-19"/>
        </w:rPr>
        <w:t> </w:t>
      </w:r>
      <w:r>
        <w:rPr/>
        <w:t>calculan</w:t>
      </w:r>
      <w:r>
        <w:rPr>
          <w:spacing w:val="-19"/>
        </w:rPr>
        <w:t> </w:t>
      </w:r>
      <w:r>
        <w:rPr/>
        <w:t>por</w:t>
      </w:r>
      <w:r>
        <w:rPr>
          <w:spacing w:val="-17"/>
        </w:rPr>
        <w:t> </w:t>
      </w:r>
      <w:r>
        <w:rPr/>
        <w:t>diferencia de pesos, de la siguiente</w:t>
      </w:r>
      <w:r>
        <w:rPr>
          <w:spacing w:val="-10"/>
        </w:rPr>
        <w:t> </w:t>
      </w:r>
      <w:r>
        <w:rPr/>
        <w:t>manera:</w:t>
      </w:r>
    </w:p>
    <w:p>
      <w:pPr>
        <w:spacing w:before="0"/>
        <w:ind w:left="152" w:right="0" w:firstLine="0"/>
        <w:jc w:val="left"/>
        <w:rPr>
          <w:i/>
          <w:sz w:val="24"/>
        </w:rPr>
      </w:pPr>
      <w:r>
        <w:rPr>
          <w:i/>
          <w:sz w:val="24"/>
        </w:rPr>
        <w:t>MS = [Peso de la muestra seca (g) / peso de la muestra húmeda (g)] x 100</w:t>
      </w:r>
    </w:p>
    <w:p>
      <w:pPr>
        <w:spacing w:before="139"/>
        <w:ind w:left="152" w:right="0" w:firstLine="0"/>
        <w:jc w:val="left"/>
        <w:rPr>
          <w:i/>
          <w:sz w:val="24"/>
        </w:rPr>
      </w:pPr>
      <w:r>
        <w:rPr>
          <w:i/>
          <w:sz w:val="24"/>
        </w:rPr>
        <w:t>% H = 100 - % MS</w:t>
      </w:r>
    </w:p>
    <w:p>
      <w:pPr>
        <w:pStyle w:val="BodyText"/>
        <w:rPr>
          <w:i/>
        </w:rPr>
      </w:pPr>
    </w:p>
    <w:p>
      <w:pPr>
        <w:pStyle w:val="BodyText"/>
        <w:spacing w:before="2"/>
        <w:rPr>
          <w:i/>
        </w:rPr>
      </w:pPr>
    </w:p>
    <w:p>
      <w:pPr>
        <w:spacing w:before="0"/>
        <w:ind w:left="152" w:right="0" w:firstLine="0"/>
        <w:jc w:val="left"/>
        <w:rPr>
          <w:b/>
          <w:sz w:val="24"/>
        </w:rPr>
      </w:pPr>
      <w:r>
        <w:rPr>
          <w:b/>
          <w:sz w:val="24"/>
        </w:rPr>
        <w:t>Determinación de cenizas.</w:t>
      </w:r>
    </w:p>
    <w:p>
      <w:pPr>
        <w:pStyle w:val="BodyText"/>
        <w:rPr>
          <w:b/>
        </w:rPr>
      </w:pPr>
    </w:p>
    <w:p>
      <w:pPr>
        <w:pStyle w:val="BodyText"/>
        <w:rPr>
          <w:b/>
        </w:rPr>
      </w:pPr>
    </w:p>
    <w:p>
      <w:pPr>
        <w:pStyle w:val="BodyText"/>
        <w:spacing w:line="360" w:lineRule="auto"/>
        <w:ind w:left="152"/>
      </w:pPr>
      <w:r>
        <w:rPr/>
        <w:t>Pesar 10 g de muestra húmeda o 1.5 g si es muestra seca y desengrasada, en crisoles previamente tarados.</w:t>
      </w:r>
    </w:p>
    <w:p>
      <w:pPr>
        <w:pStyle w:val="ListParagraph"/>
        <w:numPr>
          <w:ilvl w:val="0"/>
          <w:numId w:val="3"/>
        </w:numPr>
        <w:tabs>
          <w:tab w:pos="873" w:val="left" w:leader="none"/>
        </w:tabs>
        <w:spacing w:line="360" w:lineRule="auto" w:before="5" w:after="0"/>
        <w:ind w:left="872" w:right="109" w:hanging="360"/>
        <w:jc w:val="left"/>
        <w:rPr>
          <w:sz w:val="24"/>
        </w:rPr>
      </w:pPr>
      <w:r>
        <w:rPr>
          <w:sz w:val="24"/>
        </w:rPr>
        <w:t>Colocar los crisoles en una mufla a 550 ºC durante al menos 12 horas (o hasta observar que las cenizas están completamente de color</w:t>
      </w:r>
      <w:r>
        <w:rPr>
          <w:spacing w:val="-19"/>
          <w:sz w:val="24"/>
        </w:rPr>
        <w:t> </w:t>
      </w:r>
      <w:r>
        <w:rPr>
          <w:sz w:val="24"/>
        </w:rPr>
        <w:t>blanco).</w:t>
      </w:r>
    </w:p>
    <w:p>
      <w:pPr>
        <w:pStyle w:val="ListParagraph"/>
        <w:numPr>
          <w:ilvl w:val="0"/>
          <w:numId w:val="3"/>
        </w:numPr>
        <w:tabs>
          <w:tab w:pos="873" w:val="left" w:leader="none"/>
        </w:tabs>
        <w:spacing w:line="240" w:lineRule="auto" w:before="5" w:after="0"/>
        <w:ind w:left="872" w:right="0" w:hanging="360"/>
        <w:jc w:val="left"/>
        <w:rPr>
          <w:sz w:val="24"/>
        </w:rPr>
      </w:pPr>
      <w:r>
        <w:rPr>
          <w:sz w:val="24"/>
        </w:rPr>
        <w:t>Sacar los crisoles de la mufla e introducirlos en una estufa a 105 ºC por 1</w:t>
      </w:r>
      <w:r>
        <w:rPr>
          <w:spacing w:val="-24"/>
          <w:sz w:val="24"/>
        </w:rPr>
        <w:t> </w:t>
      </w:r>
      <w:r>
        <w:rPr>
          <w:sz w:val="24"/>
        </w:rPr>
        <w:t>h.</w:t>
      </w:r>
    </w:p>
    <w:p>
      <w:pPr>
        <w:pStyle w:val="ListParagraph"/>
        <w:numPr>
          <w:ilvl w:val="0"/>
          <w:numId w:val="3"/>
        </w:numPr>
        <w:tabs>
          <w:tab w:pos="873" w:val="left" w:leader="none"/>
        </w:tabs>
        <w:spacing w:line="360" w:lineRule="auto" w:before="137" w:after="0"/>
        <w:ind w:left="872" w:right="113" w:hanging="360"/>
        <w:jc w:val="left"/>
        <w:rPr>
          <w:sz w:val="24"/>
        </w:rPr>
      </w:pPr>
      <w:r>
        <w:rPr>
          <w:sz w:val="24"/>
        </w:rPr>
        <w:t>Introducir los crisoles con las cenizas en un desecador hasta alcanzar temperatura</w:t>
      </w:r>
      <w:r>
        <w:rPr>
          <w:spacing w:val="-6"/>
          <w:sz w:val="24"/>
        </w:rPr>
        <w:t> </w:t>
      </w:r>
      <w:r>
        <w:rPr>
          <w:sz w:val="24"/>
        </w:rPr>
        <w:t>ambiente.</w:t>
      </w:r>
    </w:p>
    <w:p>
      <w:pPr>
        <w:pStyle w:val="ListParagraph"/>
        <w:numPr>
          <w:ilvl w:val="0"/>
          <w:numId w:val="3"/>
        </w:numPr>
        <w:tabs>
          <w:tab w:pos="873" w:val="left" w:leader="none"/>
        </w:tabs>
        <w:spacing w:line="240" w:lineRule="auto" w:before="3" w:after="0"/>
        <w:ind w:left="872" w:right="0" w:hanging="360"/>
        <w:jc w:val="left"/>
        <w:rPr>
          <w:sz w:val="24"/>
        </w:rPr>
      </w:pPr>
      <w:r>
        <w:rPr>
          <w:sz w:val="24"/>
        </w:rPr>
        <w:t>Pesar</w:t>
      </w:r>
      <w:r>
        <w:rPr>
          <w:spacing w:val="-7"/>
          <w:sz w:val="24"/>
        </w:rPr>
        <w:t> </w:t>
      </w:r>
      <w:r>
        <w:rPr>
          <w:sz w:val="24"/>
        </w:rPr>
        <w:t>los</w:t>
      </w:r>
      <w:r>
        <w:rPr>
          <w:spacing w:val="-6"/>
          <w:sz w:val="24"/>
        </w:rPr>
        <w:t> </w:t>
      </w:r>
      <w:r>
        <w:rPr>
          <w:sz w:val="24"/>
        </w:rPr>
        <w:t>crisoles</w:t>
      </w:r>
      <w:r>
        <w:rPr>
          <w:spacing w:val="-8"/>
          <w:sz w:val="24"/>
        </w:rPr>
        <w:t> </w:t>
      </w:r>
      <w:r>
        <w:rPr>
          <w:sz w:val="24"/>
        </w:rPr>
        <w:t>conteniendo</w:t>
      </w:r>
      <w:r>
        <w:rPr>
          <w:spacing w:val="-8"/>
          <w:sz w:val="24"/>
        </w:rPr>
        <w:t> </w:t>
      </w:r>
      <w:r>
        <w:rPr>
          <w:sz w:val="24"/>
        </w:rPr>
        <w:t>las</w:t>
      </w:r>
      <w:r>
        <w:rPr>
          <w:spacing w:val="-6"/>
          <w:sz w:val="24"/>
        </w:rPr>
        <w:t> </w:t>
      </w:r>
      <w:r>
        <w:rPr>
          <w:sz w:val="24"/>
        </w:rPr>
        <w:t>cenizas</w:t>
      </w:r>
      <w:r>
        <w:rPr>
          <w:spacing w:val="-6"/>
          <w:sz w:val="24"/>
        </w:rPr>
        <w:t> </w:t>
      </w:r>
      <w:r>
        <w:rPr>
          <w:sz w:val="24"/>
        </w:rPr>
        <w:t>hasta</w:t>
      </w:r>
      <w:r>
        <w:rPr>
          <w:spacing w:val="-8"/>
          <w:sz w:val="24"/>
        </w:rPr>
        <w:t> </w:t>
      </w:r>
      <w:r>
        <w:rPr>
          <w:sz w:val="24"/>
        </w:rPr>
        <w:t>alcanzar</w:t>
      </w:r>
      <w:r>
        <w:rPr>
          <w:spacing w:val="-7"/>
          <w:sz w:val="24"/>
        </w:rPr>
        <w:t> </w:t>
      </w:r>
      <w:r>
        <w:rPr>
          <w:sz w:val="24"/>
        </w:rPr>
        <w:t>el</w:t>
      </w:r>
      <w:r>
        <w:rPr>
          <w:spacing w:val="-9"/>
          <w:sz w:val="24"/>
        </w:rPr>
        <w:t> </w:t>
      </w:r>
      <w:r>
        <w:rPr>
          <w:sz w:val="24"/>
        </w:rPr>
        <w:t>peso</w:t>
      </w:r>
      <w:r>
        <w:rPr>
          <w:spacing w:val="-6"/>
          <w:sz w:val="24"/>
        </w:rPr>
        <w:t> </w:t>
      </w:r>
      <w:r>
        <w:rPr>
          <w:sz w:val="24"/>
        </w:rPr>
        <w:t>constante.</w:t>
      </w:r>
    </w:p>
    <w:p>
      <w:pPr>
        <w:pStyle w:val="ListParagraph"/>
        <w:numPr>
          <w:ilvl w:val="0"/>
          <w:numId w:val="3"/>
        </w:numPr>
        <w:tabs>
          <w:tab w:pos="873" w:val="left" w:leader="none"/>
        </w:tabs>
        <w:spacing w:line="360" w:lineRule="auto" w:before="137" w:after="0"/>
        <w:ind w:left="872" w:right="114" w:hanging="360"/>
        <w:jc w:val="both"/>
        <w:rPr>
          <w:sz w:val="24"/>
        </w:rPr>
      </w:pPr>
      <w:r>
        <w:rPr>
          <w:sz w:val="24"/>
        </w:rPr>
        <w:t>Se aconseja efectuar al menos dos determinaciones de la misma muestra. La</w:t>
      </w:r>
      <w:r>
        <w:rPr>
          <w:spacing w:val="-18"/>
          <w:sz w:val="24"/>
        </w:rPr>
        <w:t> </w:t>
      </w:r>
      <w:r>
        <w:rPr>
          <w:sz w:val="24"/>
        </w:rPr>
        <w:t>diferencia</w:t>
      </w:r>
      <w:r>
        <w:rPr>
          <w:spacing w:val="-18"/>
          <w:sz w:val="24"/>
        </w:rPr>
        <w:t> </w:t>
      </w:r>
      <w:r>
        <w:rPr>
          <w:sz w:val="24"/>
        </w:rPr>
        <w:t>entre</w:t>
      </w:r>
      <w:r>
        <w:rPr>
          <w:spacing w:val="-18"/>
          <w:sz w:val="24"/>
        </w:rPr>
        <w:t> </w:t>
      </w:r>
      <w:r>
        <w:rPr>
          <w:sz w:val="24"/>
        </w:rPr>
        <w:t>ambos</w:t>
      </w:r>
      <w:r>
        <w:rPr>
          <w:spacing w:val="-19"/>
          <w:sz w:val="24"/>
        </w:rPr>
        <w:t> </w:t>
      </w:r>
      <w:r>
        <w:rPr>
          <w:sz w:val="24"/>
        </w:rPr>
        <w:t>resultados</w:t>
      </w:r>
      <w:r>
        <w:rPr>
          <w:spacing w:val="-19"/>
          <w:sz w:val="24"/>
        </w:rPr>
        <w:t> </w:t>
      </w:r>
      <w:r>
        <w:rPr>
          <w:sz w:val="24"/>
        </w:rPr>
        <w:t>no</w:t>
      </w:r>
      <w:r>
        <w:rPr>
          <w:spacing w:val="-18"/>
          <w:sz w:val="24"/>
        </w:rPr>
        <w:t> </w:t>
      </w:r>
      <w:r>
        <w:rPr>
          <w:sz w:val="24"/>
        </w:rPr>
        <w:t>deberá</w:t>
      </w:r>
      <w:r>
        <w:rPr>
          <w:spacing w:val="-19"/>
          <w:sz w:val="24"/>
        </w:rPr>
        <w:t> </w:t>
      </w:r>
      <w:r>
        <w:rPr>
          <w:sz w:val="24"/>
        </w:rPr>
        <w:t>ser</w:t>
      </w:r>
      <w:r>
        <w:rPr>
          <w:spacing w:val="-19"/>
          <w:sz w:val="24"/>
        </w:rPr>
        <w:t> </w:t>
      </w:r>
      <w:r>
        <w:rPr>
          <w:sz w:val="24"/>
        </w:rPr>
        <w:t>superior</w:t>
      </w:r>
      <w:r>
        <w:rPr>
          <w:spacing w:val="-19"/>
          <w:sz w:val="24"/>
        </w:rPr>
        <w:t> </w:t>
      </w:r>
      <w:r>
        <w:rPr>
          <w:sz w:val="24"/>
        </w:rPr>
        <w:t>a</w:t>
      </w:r>
      <w:r>
        <w:rPr>
          <w:spacing w:val="-18"/>
          <w:sz w:val="24"/>
        </w:rPr>
        <w:t> </w:t>
      </w:r>
      <w:r>
        <w:rPr>
          <w:sz w:val="24"/>
        </w:rPr>
        <w:t>0.1</w:t>
      </w:r>
      <w:r>
        <w:rPr>
          <w:spacing w:val="-18"/>
          <w:sz w:val="24"/>
        </w:rPr>
        <w:t> </w:t>
      </w:r>
      <w:r>
        <w:rPr>
          <w:sz w:val="24"/>
        </w:rPr>
        <w:t>g</w:t>
      </w:r>
      <w:r>
        <w:rPr>
          <w:spacing w:val="-20"/>
          <w:sz w:val="24"/>
        </w:rPr>
        <w:t> </w:t>
      </w:r>
      <w:r>
        <w:rPr>
          <w:sz w:val="24"/>
        </w:rPr>
        <w:t>de</w:t>
      </w:r>
      <w:r>
        <w:rPr>
          <w:spacing w:val="-18"/>
          <w:sz w:val="24"/>
        </w:rPr>
        <w:t> </w:t>
      </w:r>
      <w:r>
        <w:rPr>
          <w:sz w:val="24"/>
        </w:rPr>
        <w:t>ceniza por 100 g de</w:t>
      </w:r>
      <w:r>
        <w:rPr>
          <w:spacing w:val="-6"/>
          <w:sz w:val="24"/>
        </w:rPr>
        <w:t> </w:t>
      </w:r>
      <w:r>
        <w:rPr>
          <w:sz w:val="24"/>
        </w:rPr>
        <w:t>muestra.</w:t>
      </w:r>
    </w:p>
    <w:p>
      <w:pPr>
        <w:spacing w:after="0" w:line="360" w:lineRule="auto"/>
        <w:jc w:val="both"/>
        <w:rPr>
          <w:sz w:val="24"/>
        </w:rPr>
        <w:sectPr>
          <w:pgSz w:w="12240" w:h="15840"/>
          <w:pgMar w:header="0" w:footer="1386" w:top="1500" w:bottom="1580" w:left="1720" w:right="1420"/>
        </w:sectPr>
      </w:pPr>
    </w:p>
    <w:p>
      <w:pPr>
        <w:pStyle w:val="BodyText"/>
        <w:spacing w:before="11"/>
        <w:rPr>
          <w:sz w:val="20"/>
        </w:rPr>
      </w:pPr>
    </w:p>
    <w:p>
      <w:pPr>
        <w:spacing w:before="69"/>
        <w:ind w:left="152" w:right="0" w:firstLine="0"/>
        <w:jc w:val="left"/>
        <w:rPr>
          <w:i/>
          <w:sz w:val="24"/>
        </w:rPr>
      </w:pPr>
      <w:r>
        <w:rPr>
          <w:i/>
          <w:sz w:val="24"/>
        </w:rPr>
        <w:t>Cálculos</w:t>
      </w:r>
    </w:p>
    <w:p>
      <w:pPr>
        <w:spacing w:before="137"/>
        <w:ind w:left="152" w:right="0" w:firstLine="0"/>
        <w:jc w:val="left"/>
        <w:rPr>
          <w:i/>
          <w:sz w:val="24"/>
        </w:rPr>
      </w:pPr>
      <w:r>
        <w:rPr>
          <w:i/>
          <w:sz w:val="24"/>
        </w:rPr>
        <w:t>% cenizas = [Peso de las cenizas (g) / Peso de la muestra fresca o seca (g)] x 100</w:t>
      </w:r>
    </w:p>
    <w:p>
      <w:pPr>
        <w:pStyle w:val="BodyText"/>
        <w:rPr>
          <w:i/>
        </w:rPr>
      </w:pPr>
    </w:p>
    <w:p>
      <w:pPr>
        <w:pStyle w:val="BodyText"/>
        <w:spacing w:before="2"/>
        <w:rPr>
          <w:i/>
        </w:rPr>
      </w:pPr>
    </w:p>
    <w:p>
      <w:pPr>
        <w:spacing w:before="0"/>
        <w:ind w:left="152" w:right="0" w:firstLine="0"/>
        <w:jc w:val="left"/>
        <w:rPr>
          <w:b/>
          <w:sz w:val="24"/>
        </w:rPr>
      </w:pPr>
      <w:r>
        <w:rPr>
          <w:b/>
          <w:sz w:val="24"/>
        </w:rPr>
        <w:t>Determinación del contenido de proteína</w:t>
      </w:r>
    </w:p>
    <w:p>
      <w:pPr>
        <w:pStyle w:val="BodyText"/>
        <w:spacing w:before="139"/>
        <w:ind w:left="152"/>
      </w:pPr>
      <w:r>
        <w:rPr/>
        <w:t>Este método está basado en tres fases: digestión, destilación y titulación:</w:t>
      </w:r>
    </w:p>
    <w:p>
      <w:pPr>
        <w:pStyle w:val="BodyText"/>
      </w:pPr>
    </w:p>
    <w:p>
      <w:pPr>
        <w:pStyle w:val="BodyText"/>
      </w:pPr>
    </w:p>
    <w:p>
      <w:pPr>
        <w:spacing w:before="0"/>
        <w:ind w:left="152" w:right="0" w:firstLine="0"/>
        <w:jc w:val="left"/>
        <w:rPr>
          <w:b/>
          <w:sz w:val="24"/>
        </w:rPr>
      </w:pPr>
      <w:r>
        <w:rPr>
          <w:b/>
          <w:sz w:val="24"/>
        </w:rPr>
        <w:t>Digestion</w:t>
      </w:r>
    </w:p>
    <w:p>
      <w:pPr>
        <w:pStyle w:val="ListParagraph"/>
        <w:numPr>
          <w:ilvl w:val="0"/>
          <w:numId w:val="4"/>
        </w:numPr>
        <w:tabs>
          <w:tab w:pos="873" w:val="left" w:leader="none"/>
        </w:tabs>
        <w:spacing w:line="360" w:lineRule="auto" w:before="137" w:after="0"/>
        <w:ind w:left="872" w:right="110" w:hanging="360"/>
        <w:jc w:val="both"/>
        <w:rPr>
          <w:sz w:val="24"/>
        </w:rPr>
      </w:pPr>
      <w:r>
        <w:rPr>
          <w:sz w:val="24"/>
        </w:rPr>
        <w:t>En un papel encerado, pesar 0.1 g de muestra por duplicado (muestras resultantes de la determinación de humedad) y registrar el peso de la muestra.</w:t>
      </w:r>
    </w:p>
    <w:p>
      <w:pPr>
        <w:pStyle w:val="ListParagraph"/>
        <w:numPr>
          <w:ilvl w:val="0"/>
          <w:numId w:val="4"/>
        </w:numPr>
        <w:tabs>
          <w:tab w:pos="873" w:val="left" w:leader="none"/>
        </w:tabs>
        <w:spacing w:line="240" w:lineRule="auto" w:before="5" w:after="0"/>
        <w:ind w:left="872" w:right="0" w:hanging="360"/>
        <w:jc w:val="left"/>
        <w:rPr>
          <w:sz w:val="24"/>
        </w:rPr>
      </w:pPr>
      <w:r>
        <w:rPr>
          <w:sz w:val="24"/>
        </w:rPr>
        <w:t>Colocar la muestra en el tubo de</w:t>
      </w:r>
      <w:r>
        <w:rPr>
          <w:spacing w:val="-14"/>
          <w:sz w:val="24"/>
        </w:rPr>
        <w:t> </w:t>
      </w:r>
      <w:r>
        <w:rPr>
          <w:sz w:val="24"/>
        </w:rPr>
        <w:t>digestión.</w:t>
      </w:r>
    </w:p>
    <w:p>
      <w:pPr>
        <w:pStyle w:val="ListParagraph"/>
        <w:numPr>
          <w:ilvl w:val="0"/>
          <w:numId w:val="4"/>
        </w:numPr>
        <w:tabs>
          <w:tab w:pos="873" w:val="left" w:leader="none"/>
        </w:tabs>
        <w:spacing w:line="360" w:lineRule="auto" w:before="137" w:after="0"/>
        <w:ind w:left="872" w:right="116" w:hanging="360"/>
        <w:jc w:val="both"/>
        <w:rPr>
          <w:sz w:val="24"/>
        </w:rPr>
      </w:pPr>
      <w:r>
        <w:rPr>
          <w:sz w:val="24"/>
        </w:rPr>
        <w:t>Pesar de 1.5 a 2 g de la mezcla de catalizadores y verterlo dentro de un matraz Kjieldahl de 100 ml; o añadir una tableta catalizadora</w:t>
      </w:r>
      <w:r>
        <w:rPr>
          <w:spacing w:val="-26"/>
          <w:sz w:val="24"/>
        </w:rPr>
        <w:t> </w:t>
      </w:r>
      <w:r>
        <w:rPr>
          <w:sz w:val="24"/>
        </w:rPr>
        <w:t>Kjeltabs.</w:t>
      </w:r>
    </w:p>
    <w:p>
      <w:pPr>
        <w:pStyle w:val="ListParagraph"/>
        <w:numPr>
          <w:ilvl w:val="0"/>
          <w:numId w:val="4"/>
        </w:numPr>
        <w:tabs>
          <w:tab w:pos="873" w:val="left" w:leader="none"/>
        </w:tabs>
        <w:spacing w:line="240" w:lineRule="auto" w:before="2" w:after="0"/>
        <w:ind w:left="872" w:right="0" w:hanging="360"/>
        <w:jc w:val="left"/>
        <w:rPr>
          <w:sz w:val="24"/>
        </w:rPr>
      </w:pPr>
      <w:r>
        <w:rPr>
          <w:sz w:val="24"/>
        </w:rPr>
        <w:t>Añadir 5 ml de HSO4</w:t>
      </w:r>
      <w:r>
        <w:rPr>
          <w:spacing w:val="-14"/>
          <w:sz w:val="24"/>
        </w:rPr>
        <w:t> </w:t>
      </w:r>
      <w:r>
        <w:rPr>
          <w:sz w:val="24"/>
        </w:rPr>
        <w:t>concentrado.</w:t>
      </w:r>
    </w:p>
    <w:p>
      <w:pPr>
        <w:pStyle w:val="ListParagraph"/>
        <w:numPr>
          <w:ilvl w:val="0"/>
          <w:numId w:val="4"/>
        </w:numPr>
        <w:tabs>
          <w:tab w:pos="873" w:val="left" w:leader="none"/>
        </w:tabs>
        <w:spacing w:line="357" w:lineRule="auto" w:before="139" w:after="0"/>
        <w:ind w:left="872" w:right="104" w:hanging="360"/>
        <w:jc w:val="both"/>
        <w:rPr>
          <w:sz w:val="24"/>
        </w:rPr>
      </w:pPr>
      <w:r>
        <w:rPr>
          <w:sz w:val="24"/>
        </w:rPr>
        <w:t>Digestión. Colocar los tubos en una unidad de digestión a una temperatura media (420 </w:t>
      </w:r>
      <w:r>
        <w:rPr>
          <w:position w:val="8"/>
          <w:sz w:val="16"/>
        </w:rPr>
        <w:t>o</w:t>
      </w:r>
      <w:r>
        <w:rPr>
          <w:sz w:val="24"/>
        </w:rPr>
        <w:t>C) dentro de una campana de extracción y dejar digerir la muestra hasta la destrucción total de la materia orgánica (color verde-azul traslúcido del líquido). Finalizada la digestión, dejar enfriar las</w:t>
      </w:r>
      <w:r>
        <w:rPr>
          <w:spacing w:val="-25"/>
          <w:sz w:val="24"/>
        </w:rPr>
        <w:t> </w:t>
      </w:r>
      <w:r>
        <w:rPr>
          <w:sz w:val="24"/>
        </w:rPr>
        <w:t>muestras.</w:t>
      </w:r>
    </w:p>
    <w:p>
      <w:pPr>
        <w:pStyle w:val="BodyText"/>
      </w:pPr>
    </w:p>
    <w:p>
      <w:pPr>
        <w:spacing w:before="144"/>
        <w:ind w:left="152" w:right="0" w:firstLine="0"/>
        <w:jc w:val="left"/>
        <w:rPr>
          <w:b/>
          <w:sz w:val="24"/>
        </w:rPr>
      </w:pPr>
      <w:r>
        <w:rPr>
          <w:b/>
          <w:sz w:val="24"/>
        </w:rPr>
        <w:t>Destilación.</w:t>
      </w:r>
    </w:p>
    <w:p>
      <w:pPr>
        <w:pStyle w:val="ListParagraph"/>
        <w:numPr>
          <w:ilvl w:val="0"/>
          <w:numId w:val="5"/>
        </w:numPr>
        <w:tabs>
          <w:tab w:pos="873" w:val="left" w:leader="none"/>
        </w:tabs>
        <w:spacing w:line="240" w:lineRule="auto" w:before="139" w:after="0"/>
        <w:ind w:left="872" w:right="0" w:hanging="360"/>
        <w:jc w:val="left"/>
        <w:rPr>
          <w:sz w:val="24"/>
        </w:rPr>
      </w:pPr>
      <w:r>
        <w:rPr>
          <w:sz w:val="24"/>
        </w:rPr>
        <w:t>Acoplar los tubos en el</w:t>
      </w:r>
      <w:r>
        <w:rPr>
          <w:spacing w:val="-8"/>
          <w:sz w:val="24"/>
        </w:rPr>
        <w:t> </w:t>
      </w:r>
      <w:r>
        <w:rPr>
          <w:sz w:val="24"/>
        </w:rPr>
        <w:t>destilador.</w:t>
      </w:r>
    </w:p>
    <w:p>
      <w:pPr>
        <w:pStyle w:val="ListParagraph"/>
        <w:numPr>
          <w:ilvl w:val="0"/>
          <w:numId w:val="5"/>
        </w:numPr>
        <w:tabs>
          <w:tab w:pos="873" w:val="left" w:leader="none"/>
        </w:tabs>
        <w:spacing w:line="360" w:lineRule="auto" w:before="137" w:after="0"/>
        <w:ind w:left="872" w:right="109" w:hanging="360"/>
        <w:jc w:val="both"/>
        <w:rPr>
          <w:sz w:val="24"/>
        </w:rPr>
      </w:pPr>
      <w:r>
        <w:rPr>
          <w:sz w:val="24"/>
        </w:rPr>
        <w:t>Añadir 50 ml de NaOH al 40 % en el receptor del destilador; recoger poco a poco</w:t>
      </w:r>
      <w:r>
        <w:rPr>
          <w:spacing w:val="-16"/>
          <w:sz w:val="24"/>
        </w:rPr>
        <w:t> </w:t>
      </w:r>
      <w:r>
        <w:rPr>
          <w:sz w:val="24"/>
        </w:rPr>
        <w:t>el</w:t>
      </w:r>
      <w:r>
        <w:rPr>
          <w:spacing w:val="-14"/>
          <w:sz w:val="24"/>
        </w:rPr>
        <w:t> </w:t>
      </w:r>
      <w:r>
        <w:rPr>
          <w:sz w:val="24"/>
        </w:rPr>
        <w:t>destilado</w:t>
      </w:r>
      <w:r>
        <w:rPr>
          <w:spacing w:val="-13"/>
          <w:sz w:val="24"/>
        </w:rPr>
        <w:t> </w:t>
      </w:r>
      <w:r>
        <w:rPr>
          <w:sz w:val="24"/>
        </w:rPr>
        <w:t>(100</w:t>
      </w:r>
      <w:r>
        <w:rPr>
          <w:spacing w:val="-16"/>
          <w:sz w:val="24"/>
        </w:rPr>
        <w:t> </w:t>
      </w:r>
      <w:r>
        <w:rPr>
          <w:sz w:val="24"/>
        </w:rPr>
        <w:t>ml)</w:t>
      </w:r>
      <w:r>
        <w:rPr>
          <w:spacing w:val="-15"/>
          <w:sz w:val="24"/>
        </w:rPr>
        <w:t> </w:t>
      </w:r>
      <w:r>
        <w:rPr>
          <w:sz w:val="24"/>
        </w:rPr>
        <w:t>en</w:t>
      </w:r>
      <w:r>
        <w:rPr>
          <w:spacing w:val="-16"/>
          <w:sz w:val="24"/>
        </w:rPr>
        <w:t> </w:t>
      </w:r>
      <w:r>
        <w:rPr>
          <w:sz w:val="24"/>
        </w:rPr>
        <w:t>matraces</w:t>
      </w:r>
      <w:r>
        <w:rPr>
          <w:spacing w:val="-14"/>
          <w:sz w:val="24"/>
        </w:rPr>
        <w:t> </w:t>
      </w:r>
      <w:r>
        <w:rPr>
          <w:sz w:val="24"/>
        </w:rPr>
        <w:t>Erlen</w:t>
      </w:r>
      <w:r>
        <w:rPr>
          <w:spacing w:val="-11"/>
          <w:sz w:val="24"/>
        </w:rPr>
        <w:t> </w:t>
      </w:r>
      <w:r>
        <w:rPr>
          <w:sz w:val="24"/>
        </w:rPr>
        <w:t>Meyer</w:t>
      </w:r>
      <w:r>
        <w:rPr>
          <w:spacing w:val="-15"/>
          <w:sz w:val="24"/>
        </w:rPr>
        <w:t> </w:t>
      </w:r>
      <w:r>
        <w:rPr>
          <w:sz w:val="24"/>
        </w:rPr>
        <w:t>de</w:t>
      </w:r>
      <w:r>
        <w:rPr>
          <w:spacing w:val="-13"/>
          <w:sz w:val="24"/>
        </w:rPr>
        <w:t> </w:t>
      </w:r>
      <w:r>
        <w:rPr>
          <w:sz w:val="24"/>
        </w:rPr>
        <w:t>250</w:t>
      </w:r>
      <w:r>
        <w:rPr>
          <w:spacing w:val="-16"/>
          <w:sz w:val="24"/>
        </w:rPr>
        <w:t> </w:t>
      </w:r>
      <w:r>
        <w:rPr>
          <w:sz w:val="24"/>
        </w:rPr>
        <w:t>ml</w:t>
      </w:r>
      <w:r>
        <w:rPr>
          <w:spacing w:val="-14"/>
          <w:sz w:val="24"/>
        </w:rPr>
        <w:t> </w:t>
      </w:r>
      <w:r>
        <w:rPr>
          <w:sz w:val="24"/>
        </w:rPr>
        <w:t>que</w:t>
      </w:r>
      <w:r>
        <w:rPr>
          <w:spacing w:val="-13"/>
          <w:sz w:val="24"/>
        </w:rPr>
        <w:t> </w:t>
      </w:r>
      <w:r>
        <w:rPr>
          <w:sz w:val="24"/>
        </w:rPr>
        <w:t>contengan 50 ml de indicador de ácido</w:t>
      </w:r>
      <w:r>
        <w:rPr>
          <w:spacing w:val="-13"/>
          <w:sz w:val="24"/>
        </w:rPr>
        <w:t> </w:t>
      </w:r>
      <w:r>
        <w:rPr>
          <w:sz w:val="24"/>
        </w:rPr>
        <w:t>bórico.</w:t>
      </w:r>
    </w:p>
    <w:p>
      <w:pPr>
        <w:pStyle w:val="ListParagraph"/>
        <w:numPr>
          <w:ilvl w:val="0"/>
          <w:numId w:val="5"/>
        </w:numPr>
        <w:tabs>
          <w:tab w:pos="873" w:val="left" w:leader="none"/>
        </w:tabs>
        <w:spacing w:line="360" w:lineRule="auto" w:before="2" w:after="0"/>
        <w:ind w:left="872" w:right="115" w:hanging="360"/>
        <w:jc w:val="both"/>
        <w:rPr>
          <w:sz w:val="24"/>
        </w:rPr>
      </w:pPr>
      <w:r>
        <w:rPr>
          <w:sz w:val="24"/>
        </w:rPr>
        <w:t>Titular el destilado con una solución de HCl 0.1N, hasta la aparición de un color rosa permanente. En cada turno, incluir un blanco de</w:t>
      </w:r>
      <w:r>
        <w:rPr>
          <w:spacing w:val="-28"/>
          <w:sz w:val="24"/>
        </w:rPr>
        <w:t> </w:t>
      </w:r>
      <w:r>
        <w:rPr>
          <w:sz w:val="24"/>
        </w:rPr>
        <w:t>reactivos.</w:t>
      </w:r>
    </w:p>
    <w:p>
      <w:pPr>
        <w:pStyle w:val="ListParagraph"/>
        <w:numPr>
          <w:ilvl w:val="0"/>
          <w:numId w:val="5"/>
        </w:numPr>
        <w:tabs>
          <w:tab w:pos="873" w:val="left" w:leader="none"/>
        </w:tabs>
        <w:spacing w:line="240" w:lineRule="auto" w:before="2" w:after="0"/>
        <w:ind w:left="872" w:right="0" w:hanging="360"/>
        <w:jc w:val="left"/>
        <w:rPr>
          <w:sz w:val="24"/>
        </w:rPr>
      </w:pPr>
      <w:r>
        <w:rPr>
          <w:sz w:val="24"/>
        </w:rPr>
        <w:t>Registrar el volumen gastado y calcular el porcentaje de</w:t>
      </w:r>
      <w:r>
        <w:rPr>
          <w:spacing w:val="-21"/>
          <w:sz w:val="24"/>
        </w:rPr>
        <w:t> </w:t>
      </w:r>
      <w:r>
        <w:rPr>
          <w:sz w:val="24"/>
        </w:rPr>
        <w:t>proteína.</w:t>
      </w:r>
    </w:p>
    <w:p>
      <w:pPr>
        <w:spacing w:after="0" w:line="240" w:lineRule="auto"/>
        <w:jc w:val="left"/>
        <w:rPr>
          <w:sz w:val="24"/>
        </w:rPr>
        <w:sectPr>
          <w:pgSz w:w="12240" w:h="15840"/>
          <w:pgMar w:header="0" w:footer="1386" w:top="1500" w:bottom="1580" w:left="1720" w:right="1420"/>
        </w:sectPr>
      </w:pPr>
    </w:p>
    <w:p>
      <w:pPr>
        <w:pStyle w:val="BodyText"/>
        <w:spacing w:before="2"/>
        <w:rPr>
          <w:sz w:val="21"/>
        </w:rPr>
      </w:pPr>
    </w:p>
    <w:p>
      <w:pPr>
        <w:pStyle w:val="Heading3"/>
        <w:spacing w:before="69"/>
        <w:ind w:left="860"/>
        <w:rPr>
          <w:i/>
        </w:rPr>
      </w:pPr>
      <w:r>
        <w:rPr>
          <w:i/>
        </w:rPr>
        <w:t>Cálculos</w:t>
      </w:r>
    </w:p>
    <w:p>
      <w:pPr>
        <w:pStyle w:val="BodyText"/>
        <w:spacing w:before="137"/>
        <w:ind w:left="152"/>
      </w:pPr>
      <w:r>
        <w:rPr/>
        <w:t>El porcentaje de proteína se calcula de acuerdo con la siguiente fórmula:</w:t>
      </w:r>
    </w:p>
    <w:p>
      <w:pPr>
        <w:pStyle w:val="BodyText"/>
        <w:spacing w:line="360" w:lineRule="auto" w:before="139"/>
        <w:ind w:left="152" w:right="3986"/>
      </w:pPr>
      <w:r>
        <w:rPr/>
        <w:t>% N base seca = VHCl x C(HCl) x 0.014 x 100 Peso muestra</w:t>
      </w:r>
    </w:p>
    <w:p>
      <w:pPr>
        <w:pStyle w:val="BodyText"/>
        <w:spacing w:before="5"/>
        <w:ind w:left="152"/>
      </w:pPr>
      <w:r>
        <w:rPr/>
        <w:t>% N base húmeda = % N base seca x % MS/100</w:t>
      </w:r>
    </w:p>
    <w:p>
      <w:pPr>
        <w:pStyle w:val="BodyText"/>
        <w:spacing w:line="360" w:lineRule="auto" w:before="137"/>
        <w:ind w:left="152" w:right="3904"/>
      </w:pPr>
      <w:r>
        <w:rPr/>
        <w:t>% Proteína = % N base húmeda x 6.25; donde: Donde:</w:t>
      </w:r>
    </w:p>
    <w:p>
      <w:pPr>
        <w:pStyle w:val="BodyText"/>
        <w:spacing w:before="3"/>
        <w:ind w:left="152"/>
      </w:pPr>
      <w:r>
        <w:rPr/>
        <w:t>N: Nitrógeno total</w:t>
      </w:r>
    </w:p>
    <w:p>
      <w:pPr>
        <w:pStyle w:val="BodyText"/>
        <w:spacing w:line="360" w:lineRule="auto" w:before="139"/>
        <w:ind w:left="152" w:right="804"/>
      </w:pPr>
      <w:r>
        <w:rPr/>
        <w:t>VHCl: Volumen de HCl consumido por la muestra en la valoración, menos el volumen del blanco de reactivos</w:t>
      </w:r>
    </w:p>
    <w:p>
      <w:pPr>
        <w:pStyle w:val="BodyText"/>
        <w:spacing w:before="5"/>
        <w:ind w:left="152"/>
      </w:pPr>
      <w:r>
        <w:rPr/>
        <w:t>C (HCl): Concentración de la solución de HCl utilizada en la valoración</w:t>
      </w:r>
    </w:p>
    <w:p>
      <w:pPr>
        <w:pStyle w:val="BodyText"/>
        <w:spacing w:line="360" w:lineRule="auto" w:before="137"/>
        <w:ind w:left="152"/>
      </w:pPr>
      <w:r>
        <w:rPr/>
        <w:t>0.014: Peso molecular del nitrógeno, divido por 1000 para llevar el volumen consumido en la valoración (VHCl) de ml a L.</w:t>
      </w:r>
    </w:p>
    <w:p>
      <w:pPr>
        <w:pStyle w:val="BodyText"/>
        <w:spacing w:before="2"/>
        <w:ind w:left="152"/>
      </w:pPr>
      <w:r>
        <w:rPr/>
        <w:t>% MS: Porcentaje de materia seca (100 - % humedad).</w:t>
      </w:r>
    </w:p>
    <w:p>
      <w:pPr>
        <w:pStyle w:val="ListParagraph"/>
        <w:numPr>
          <w:ilvl w:val="1"/>
          <w:numId w:val="6"/>
        </w:numPr>
        <w:tabs>
          <w:tab w:pos="623" w:val="left" w:leader="none"/>
        </w:tabs>
        <w:spacing w:line="360" w:lineRule="auto" w:before="139" w:after="0"/>
        <w:ind w:left="152" w:right="1143" w:firstLine="0"/>
        <w:jc w:val="left"/>
        <w:rPr>
          <w:sz w:val="24"/>
        </w:rPr>
      </w:pPr>
      <w:r>
        <w:rPr>
          <w:sz w:val="24"/>
        </w:rPr>
        <w:t>: Factor que se deriva de asumir que las proteínas contienen 16%</w:t>
      </w:r>
      <w:r>
        <w:rPr>
          <w:spacing w:val="-24"/>
          <w:sz w:val="24"/>
        </w:rPr>
        <w:t> </w:t>
      </w:r>
      <w:r>
        <w:rPr>
          <w:sz w:val="24"/>
        </w:rPr>
        <w:t>de nitrógeno</w:t>
      </w:r>
    </w:p>
    <w:p>
      <w:pPr>
        <w:pStyle w:val="BodyText"/>
      </w:pPr>
    </w:p>
    <w:p>
      <w:pPr>
        <w:spacing w:before="142"/>
        <w:ind w:left="152" w:right="0" w:firstLine="0"/>
        <w:jc w:val="left"/>
        <w:rPr>
          <w:b/>
          <w:sz w:val="24"/>
        </w:rPr>
      </w:pPr>
      <w:r>
        <w:rPr>
          <w:b/>
          <w:sz w:val="24"/>
        </w:rPr>
        <w:t>Determinación del contenido de grasa</w:t>
      </w:r>
    </w:p>
    <w:p>
      <w:pPr>
        <w:pStyle w:val="BodyText"/>
        <w:rPr>
          <w:b/>
        </w:rPr>
      </w:pPr>
    </w:p>
    <w:p>
      <w:pPr>
        <w:pStyle w:val="BodyText"/>
        <w:rPr>
          <w:b/>
        </w:rPr>
      </w:pPr>
    </w:p>
    <w:p>
      <w:pPr>
        <w:pStyle w:val="ListParagraph"/>
        <w:numPr>
          <w:ilvl w:val="2"/>
          <w:numId w:val="6"/>
        </w:numPr>
        <w:tabs>
          <w:tab w:pos="873" w:val="left" w:leader="none"/>
        </w:tabs>
        <w:spacing w:line="240" w:lineRule="auto" w:before="0" w:after="0"/>
        <w:ind w:left="872" w:right="0" w:hanging="360"/>
        <w:jc w:val="left"/>
        <w:rPr>
          <w:sz w:val="24"/>
        </w:rPr>
      </w:pPr>
      <w:r>
        <w:rPr>
          <w:sz w:val="24"/>
        </w:rPr>
        <w:t>Pesar porciones de 2 a 5 g de la muestra seca por</w:t>
      </w:r>
      <w:r>
        <w:rPr>
          <w:spacing w:val="-21"/>
          <w:sz w:val="24"/>
        </w:rPr>
        <w:t> </w:t>
      </w:r>
      <w:r>
        <w:rPr>
          <w:sz w:val="24"/>
        </w:rPr>
        <w:t>duplicado.</w:t>
      </w:r>
    </w:p>
    <w:p>
      <w:pPr>
        <w:pStyle w:val="ListParagraph"/>
        <w:numPr>
          <w:ilvl w:val="2"/>
          <w:numId w:val="6"/>
        </w:numPr>
        <w:tabs>
          <w:tab w:pos="873" w:val="left" w:leader="none"/>
        </w:tabs>
        <w:spacing w:line="240" w:lineRule="auto" w:before="139" w:after="0"/>
        <w:ind w:left="872" w:right="0" w:hanging="360"/>
        <w:jc w:val="left"/>
        <w:rPr>
          <w:sz w:val="24"/>
        </w:rPr>
      </w:pPr>
      <w:r>
        <w:rPr>
          <w:sz w:val="24"/>
        </w:rPr>
        <w:t>Colocarlas en el dedal de extracción previamente pesado</w:t>
      </w:r>
      <w:r>
        <w:rPr>
          <w:spacing w:val="-22"/>
          <w:sz w:val="24"/>
        </w:rPr>
        <w:t> </w:t>
      </w:r>
      <w:r>
        <w:rPr>
          <w:sz w:val="24"/>
        </w:rPr>
        <w:t>(M).</w:t>
      </w:r>
    </w:p>
    <w:p>
      <w:pPr>
        <w:pStyle w:val="ListParagraph"/>
        <w:numPr>
          <w:ilvl w:val="2"/>
          <w:numId w:val="6"/>
        </w:numPr>
        <w:tabs>
          <w:tab w:pos="873" w:val="left" w:leader="none"/>
        </w:tabs>
        <w:spacing w:line="360" w:lineRule="auto" w:before="137" w:after="0"/>
        <w:ind w:left="872" w:right="114" w:hanging="360"/>
        <w:jc w:val="both"/>
        <w:rPr>
          <w:sz w:val="24"/>
        </w:rPr>
      </w:pPr>
      <w:r>
        <w:rPr>
          <w:sz w:val="24"/>
        </w:rPr>
        <w:t>Pesar los vasos para extracción del sistema de extracción utilizado, previamente secados y tarado a 102-105 °C por 30 min</w:t>
      </w:r>
      <w:r>
        <w:rPr>
          <w:spacing w:val="-22"/>
          <w:sz w:val="24"/>
        </w:rPr>
        <w:t> </w:t>
      </w:r>
      <w:r>
        <w:rPr>
          <w:sz w:val="24"/>
        </w:rPr>
        <w:t>(M1).</w:t>
      </w:r>
    </w:p>
    <w:p>
      <w:pPr>
        <w:pStyle w:val="ListParagraph"/>
        <w:numPr>
          <w:ilvl w:val="2"/>
          <w:numId w:val="6"/>
        </w:numPr>
        <w:tabs>
          <w:tab w:pos="873" w:val="left" w:leader="none"/>
        </w:tabs>
        <w:spacing w:line="360" w:lineRule="auto" w:before="3" w:after="0"/>
        <w:ind w:left="872" w:right="113" w:hanging="360"/>
        <w:jc w:val="both"/>
        <w:rPr>
          <w:sz w:val="24"/>
        </w:rPr>
      </w:pPr>
      <w:r>
        <w:rPr>
          <w:sz w:val="24"/>
        </w:rPr>
        <w:t>Adicionar un volumen apropiado de éter etílico o de petróleo, o la mezcla cloroformo-metanol 2:1 en el vaso, y colocarla en el sistema de extracción dependiendo de la eficiencia del equipo y de si se trabajó o no con presión modificada, el proceso de extracción puede variar desde 40 min, hasta 6 horas en el equipo de extracción, a una velocidad de condensación de 3 a 6 gotas/seg.</w:t>
      </w:r>
    </w:p>
    <w:p>
      <w:pPr>
        <w:spacing w:after="0" w:line="360" w:lineRule="auto"/>
        <w:jc w:val="both"/>
        <w:rPr>
          <w:sz w:val="24"/>
        </w:rPr>
        <w:sectPr>
          <w:footerReference w:type="default" r:id="rId13"/>
          <w:pgSz w:w="12240" w:h="15840"/>
          <w:pgMar w:footer="1386" w:header="0" w:top="1500" w:bottom="1580" w:left="1720" w:right="1420"/>
        </w:sectPr>
      </w:pPr>
    </w:p>
    <w:p>
      <w:pPr>
        <w:pStyle w:val="BodyText"/>
        <w:spacing w:before="2"/>
        <w:rPr>
          <w:sz w:val="21"/>
        </w:rPr>
      </w:pPr>
    </w:p>
    <w:p>
      <w:pPr>
        <w:pStyle w:val="ListParagraph"/>
        <w:numPr>
          <w:ilvl w:val="2"/>
          <w:numId w:val="6"/>
        </w:numPr>
        <w:tabs>
          <w:tab w:pos="873" w:val="left" w:leader="none"/>
        </w:tabs>
        <w:spacing w:line="360" w:lineRule="auto" w:before="69" w:after="0"/>
        <w:ind w:left="872" w:right="110" w:hanging="360"/>
        <w:jc w:val="both"/>
        <w:rPr>
          <w:sz w:val="24"/>
        </w:rPr>
      </w:pPr>
      <w:r>
        <w:rPr>
          <w:sz w:val="24"/>
        </w:rPr>
        <w:t>Una vez terminada la extracción, eliminar el solvente por evaporación en rotaevaporador o baño María bajo campana, hasta que no se detecte olor a éter en los vasos que contienen la grasa</w:t>
      </w:r>
      <w:r>
        <w:rPr>
          <w:spacing w:val="-18"/>
          <w:sz w:val="24"/>
        </w:rPr>
        <w:t> </w:t>
      </w:r>
      <w:r>
        <w:rPr>
          <w:sz w:val="24"/>
        </w:rPr>
        <w:t>extraída.</w:t>
      </w:r>
    </w:p>
    <w:p>
      <w:pPr>
        <w:pStyle w:val="ListParagraph"/>
        <w:numPr>
          <w:ilvl w:val="2"/>
          <w:numId w:val="6"/>
        </w:numPr>
        <w:tabs>
          <w:tab w:pos="873" w:val="left" w:leader="none"/>
        </w:tabs>
        <w:spacing w:line="360" w:lineRule="auto" w:before="2" w:after="0"/>
        <w:ind w:left="872" w:right="116" w:hanging="360"/>
        <w:jc w:val="both"/>
        <w:rPr>
          <w:sz w:val="24"/>
        </w:rPr>
      </w:pPr>
      <w:r>
        <w:rPr>
          <w:sz w:val="24"/>
        </w:rPr>
        <w:t>Secar el vaso de extracción con la grasa en estufa a 103+ 2 °C por 20 a 30 min.</w:t>
      </w:r>
    </w:p>
    <w:p>
      <w:pPr>
        <w:pStyle w:val="ListParagraph"/>
        <w:numPr>
          <w:ilvl w:val="2"/>
          <w:numId w:val="6"/>
        </w:numPr>
        <w:tabs>
          <w:tab w:pos="873" w:val="left" w:leader="none"/>
        </w:tabs>
        <w:spacing w:line="240" w:lineRule="auto" w:before="2" w:after="0"/>
        <w:ind w:left="872" w:right="0" w:hanging="360"/>
        <w:jc w:val="left"/>
        <w:rPr>
          <w:sz w:val="24"/>
        </w:rPr>
      </w:pPr>
      <w:r>
        <w:rPr>
          <w:sz w:val="24"/>
        </w:rPr>
        <w:t>Enfriar en desecador y pesar hasta peso</w:t>
      </w:r>
      <w:r>
        <w:rPr>
          <w:spacing w:val="-15"/>
          <w:sz w:val="24"/>
        </w:rPr>
        <w:t> </w:t>
      </w:r>
      <w:r>
        <w:rPr>
          <w:sz w:val="24"/>
        </w:rPr>
        <w:t>constante.</w:t>
      </w:r>
    </w:p>
    <w:p>
      <w:pPr>
        <w:pStyle w:val="BodyText"/>
      </w:pPr>
    </w:p>
    <w:p>
      <w:pPr>
        <w:pStyle w:val="BodyText"/>
        <w:spacing w:before="9"/>
        <w:rPr>
          <w:sz w:val="23"/>
        </w:rPr>
      </w:pPr>
    </w:p>
    <w:p>
      <w:pPr>
        <w:spacing w:before="0"/>
        <w:ind w:left="152" w:right="0" w:firstLine="0"/>
        <w:jc w:val="both"/>
        <w:rPr>
          <w:i/>
          <w:sz w:val="24"/>
        </w:rPr>
      </w:pPr>
      <w:r>
        <w:rPr>
          <w:i/>
          <w:sz w:val="24"/>
        </w:rPr>
        <w:t>Cálculos</w:t>
      </w:r>
    </w:p>
    <w:p>
      <w:pPr>
        <w:pStyle w:val="BodyText"/>
        <w:spacing w:before="141"/>
        <w:ind w:left="152"/>
        <w:jc w:val="both"/>
      </w:pPr>
      <w:r>
        <w:rPr/>
        <w:t>El porcentaje de grasa cruda se calcula de la siguiente manera:</w:t>
      </w:r>
    </w:p>
    <w:p>
      <w:pPr>
        <w:pStyle w:val="BodyText"/>
        <w:spacing w:before="137"/>
        <w:ind w:left="152"/>
        <w:jc w:val="both"/>
      </w:pPr>
      <w:r>
        <w:rPr/>
        <w:t>% grasa cruda = [(M2 – M1)/M] x 100</w:t>
      </w:r>
    </w:p>
    <w:p>
      <w:pPr>
        <w:pStyle w:val="BodyText"/>
      </w:pPr>
    </w:p>
    <w:p>
      <w:pPr>
        <w:pStyle w:val="BodyText"/>
      </w:pPr>
    </w:p>
    <w:p>
      <w:pPr>
        <w:pStyle w:val="BodyText"/>
        <w:ind w:left="152"/>
        <w:jc w:val="both"/>
      </w:pPr>
      <w:r>
        <w:rPr/>
        <w:t>Donde:</w:t>
      </w:r>
    </w:p>
    <w:p>
      <w:pPr>
        <w:pStyle w:val="BodyText"/>
        <w:spacing w:line="360" w:lineRule="auto" w:before="139"/>
        <w:ind w:left="152" w:right="6413"/>
      </w:pPr>
      <w:r>
        <w:rPr/>
        <w:t>M = peso de la muestra M1= peso del vaso</w:t>
      </w:r>
    </w:p>
    <w:p>
      <w:pPr>
        <w:pStyle w:val="BodyText"/>
        <w:spacing w:before="5"/>
        <w:ind w:left="152"/>
        <w:jc w:val="both"/>
      </w:pPr>
      <w:r>
        <w:rPr/>
        <w:t>M2= peso del vaso con la grasa extraída</w:t>
      </w:r>
    </w:p>
    <w:p>
      <w:pPr>
        <w:pStyle w:val="BodyText"/>
      </w:pPr>
    </w:p>
    <w:p>
      <w:pPr>
        <w:pStyle w:val="BodyText"/>
      </w:pPr>
    </w:p>
    <w:p>
      <w:pPr>
        <w:pStyle w:val="BodyText"/>
        <w:spacing w:line="360" w:lineRule="auto"/>
        <w:ind w:left="152" w:right="105"/>
        <w:jc w:val="both"/>
      </w:pPr>
      <w:r>
        <w:rPr/>
        <w:t>La</w:t>
      </w:r>
      <w:r>
        <w:rPr>
          <w:spacing w:val="-9"/>
        </w:rPr>
        <w:t> </w:t>
      </w:r>
      <w:r>
        <w:rPr/>
        <w:t>concentración</w:t>
      </w:r>
      <w:r>
        <w:rPr>
          <w:spacing w:val="-11"/>
        </w:rPr>
        <w:t> </w:t>
      </w:r>
      <w:r>
        <w:rPr/>
        <w:t>de</w:t>
      </w:r>
      <w:r>
        <w:rPr>
          <w:spacing w:val="-9"/>
        </w:rPr>
        <w:t> </w:t>
      </w:r>
      <w:r>
        <w:rPr/>
        <w:t>grasa</w:t>
      </w:r>
      <w:r>
        <w:rPr>
          <w:spacing w:val="-9"/>
        </w:rPr>
        <w:t> </w:t>
      </w:r>
      <w:r>
        <w:rPr/>
        <w:t>también</w:t>
      </w:r>
      <w:r>
        <w:rPr>
          <w:spacing w:val="-9"/>
        </w:rPr>
        <w:t> </w:t>
      </w:r>
      <w:r>
        <w:rPr/>
        <w:t>puede</w:t>
      </w:r>
      <w:r>
        <w:rPr>
          <w:spacing w:val="-9"/>
        </w:rPr>
        <w:t> </w:t>
      </w:r>
      <w:r>
        <w:rPr/>
        <w:t>expresarse</w:t>
      </w:r>
      <w:r>
        <w:rPr>
          <w:spacing w:val="-10"/>
        </w:rPr>
        <w:t> </w:t>
      </w:r>
      <w:r>
        <w:rPr/>
        <w:t>como</w:t>
      </w:r>
      <w:r>
        <w:rPr>
          <w:spacing w:val="-12"/>
        </w:rPr>
        <w:t> </w:t>
      </w:r>
      <w:r>
        <w:rPr/>
        <w:t>porcentaje</w:t>
      </w:r>
      <w:r>
        <w:rPr>
          <w:spacing w:val="-10"/>
        </w:rPr>
        <w:t> </w:t>
      </w:r>
      <w:r>
        <w:rPr/>
        <w:t>de</w:t>
      </w:r>
      <w:r>
        <w:rPr>
          <w:spacing w:val="-9"/>
        </w:rPr>
        <w:t> </w:t>
      </w:r>
      <w:r>
        <w:rPr/>
        <w:t>grasa</w:t>
      </w:r>
      <w:r>
        <w:rPr>
          <w:spacing w:val="-8"/>
        </w:rPr>
        <w:t> </w:t>
      </w:r>
      <w:r>
        <w:rPr/>
        <w:t>en base húmeda, para lo cual se realiza el cálculo de acuerdo a lo siguiente: % grasa cruda</w:t>
      </w:r>
      <w:r>
        <w:rPr>
          <w:spacing w:val="-6"/>
        </w:rPr>
        <w:t> </w:t>
      </w:r>
      <w:r>
        <w:rPr/>
        <w:t>en</w:t>
      </w:r>
      <w:r>
        <w:rPr>
          <w:spacing w:val="-6"/>
        </w:rPr>
        <w:t> </w:t>
      </w:r>
      <w:r>
        <w:rPr/>
        <w:t>base</w:t>
      </w:r>
      <w:r>
        <w:rPr>
          <w:spacing w:val="-6"/>
        </w:rPr>
        <w:t> </w:t>
      </w:r>
      <w:r>
        <w:rPr/>
        <w:t>húmeda</w:t>
      </w:r>
      <w:r>
        <w:rPr>
          <w:spacing w:val="-8"/>
        </w:rPr>
        <w:t> </w:t>
      </w:r>
      <w:r>
        <w:rPr/>
        <w:t>=</w:t>
      </w:r>
      <w:r>
        <w:rPr>
          <w:spacing w:val="-8"/>
        </w:rPr>
        <w:t> </w:t>
      </w:r>
      <w:r>
        <w:rPr/>
        <w:t>[(100</w:t>
      </w:r>
      <w:r>
        <w:rPr>
          <w:spacing w:val="-3"/>
        </w:rPr>
        <w:t> </w:t>
      </w:r>
      <w:r>
        <w:rPr/>
        <w:t>-</w:t>
      </w:r>
      <w:r>
        <w:rPr>
          <w:spacing w:val="-7"/>
        </w:rPr>
        <w:t> </w:t>
      </w:r>
      <w:r>
        <w:rPr/>
        <w:t>%</w:t>
      </w:r>
      <w:r>
        <w:rPr>
          <w:spacing w:val="-7"/>
        </w:rPr>
        <w:t> </w:t>
      </w:r>
      <w:r>
        <w:rPr/>
        <w:t>humedad)</w:t>
      </w:r>
      <w:r>
        <w:rPr>
          <w:spacing w:val="-10"/>
        </w:rPr>
        <w:t> </w:t>
      </w:r>
      <w:r>
        <w:rPr/>
        <w:t>X</w:t>
      </w:r>
      <w:r>
        <w:rPr>
          <w:spacing w:val="-8"/>
        </w:rPr>
        <w:t> </w:t>
      </w:r>
      <w:r>
        <w:rPr/>
        <w:t>%</w:t>
      </w:r>
      <w:r>
        <w:rPr>
          <w:spacing w:val="-5"/>
        </w:rPr>
        <w:t> </w:t>
      </w:r>
      <w:r>
        <w:rPr/>
        <w:t>grasa</w:t>
      </w:r>
      <w:r>
        <w:rPr>
          <w:spacing w:val="-6"/>
        </w:rPr>
        <w:t> </w:t>
      </w:r>
      <w:r>
        <w:rPr/>
        <w:t>cruda]</w:t>
      </w:r>
      <w:r>
        <w:rPr>
          <w:spacing w:val="-6"/>
        </w:rPr>
        <w:t> </w:t>
      </w:r>
      <w:r>
        <w:rPr/>
        <w:t>/100</w:t>
      </w:r>
      <w:r>
        <w:rPr>
          <w:spacing w:val="-7"/>
        </w:rPr>
        <w:t> </w:t>
      </w:r>
      <w:r>
        <w:rPr/>
        <w:t>%</w:t>
      </w:r>
      <w:r>
        <w:rPr>
          <w:spacing w:val="-7"/>
        </w:rPr>
        <w:t> </w:t>
      </w:r>
      <w:r>
        <w:rPr/>
        <w:t>grasa</w:t>
      </w:r>
      <w:r>
        <w:rPr>
          <w:spacing w:val="-6"/>
        </w:rPr>
        <w:t> </w:t>
      </w:r>
      <w:r>
        <w:rPr/>
        <w:t>cruda en base seca = % grasa cruda x [100/(100-%</w:t>
      </w:r>
      <w:r>
        <w:rPr>
          <w:spacing w:val="-16"/>
        </w:rPr>
        <w:t> </w:t>
      </w:r>
      <w:r>
        <w:rPr/>
        <w:t>humedad)]</w:t>
      </w:r>
    </w:p>
    <w:p>
      <w:pPr>
        <w:pStyle w:val="BodyText"/>
      </w:pPr>
    </w:p>
    <w:p>
      <w:pPr>
        <w:pStyle w:val="BodyText"/>
        <w:spacing w:line="360" w:lineRule="auto" w:before="142"/>
        <w:ind w:left="152" w:right="104"/>
        <w:jc w:val="both"/>
      </w:pPr>
      <w:r>
        <w:rPr/>
        <w:t>La</w:t>
      </w:r>
      <w:r>
        <w:rPr>
          <w:spacing w:val="-13"/>
        </w:rPr>
        <w:t> </w:t>
      </w:r>
      <w:r>
        <w:rPr/>
        <w:t>clasificación</w:t>
      </w:r>
      <w:r>
        <w:rPr>
          <w:spacing w:val="-13"/>
        </w:rPr>
        <w:t> </w:t>
      </w:r>
      <w:r>
        <w:rPr/>
        <w:t>de</w:t>
      </w:r>
      <w:r>
        <w:rPr>
          <w:spacing w:val="-13"/>
        </w:rPr>
        <w:t> </w:t>
      </w:r>
      <w:r>
        <w:rPr/>
        <w:t>la</w:t>
      </w:r>
      <w:r>
        <w:rPr>
          <w:spacing w:val="-13"/>
        </w:rPr>
        <w:t> </w:t>
      </w:r>
      <w:r>
        <w:rPr/>
        <w:t>canal</w:t>
      </w:r>
      <w:r>
        <w:rPr>
          <w:spacing w:val="-12"/>
        </w:rPr>
        <w:t> </w:t>
      </w:r>
      <w:r>
        <w:rPr/>
        <w:t>se</w:t>
      </w:r>
      <w:r>
        <w:rPr>
          <w:spacing w:val="-15"/>
        </w:rPr>
        <w:t> </w:t>
      </w:r>
      <w:r>
        <w:rPr/>
        <w:t>hizo</w:t>
      </w:r>
      <w:r>
        <w:rPr>
          <w:spacing w:val="-13"/>
        </w:rPr>
        <w:t> </w:t>
      </w:r>
      <w:r>
        <w:rPr/>
        <w:t>bajo</w:t>
      </w:r>
      <w:r>
        <w:rPr>
          <w:spacing w:val="-13"/>
        </w:rPr>
        <w:t> </w:t>
      </w:r>
      <w:r>
        <w:rPr/>
        <w:t>las</w:t>
      </w:r>
      <w:r>
        <w:rPr>
          <w:spacing w:val="-14"/>
        </w:rPr>
        <w:t> </w:t>
      </w:r>
      <w:r>
        <w:rPr/>
        <w:t>especificaciones</w:t>
      </w:r>
      <w:r>
        <w:rPr>
          <w:spacing w:val="-14"/>
        </w:rPr>
        <w:t> </w:t>
      </w:r>
      <w:r>
        <w:rPr/>
        <w:t>de</w:t>
      </w:r>
      <w:r>
        <w:rPr>
          <w:spacing w:val="-13"/>
        </w:rPr>
        <w:t> </w:t>
      </w:r>
      <w:r>
        <w:rPr/>
        <w:t>la</w:t>
      </w:r>
      <w:r>
        <w:rPr>
          <w:spacing w:val="40"/>
        </w:rPr>
        <w:t> </w:t>
      </w:r>
      <w:r>
        <w:rPr/>
        <w:t>Norma</w:t>
      </w:r>
      <w:r>
        <w:rPr>
          <w:spacing w:val="-16"/>
        </w:rPr>
        <w:t> </w:t>
      </w:r>
      <w:r>
        <w:rPr/>
        <w:t>mexicana: NMX-FF-105-SCFI-2005. Productos Pecuarios - Carne de Conejo en Canal - Calidad de la Carne- Clasificación Cattle Product - Carcasses Rabbit Flesh – Grading como se muestra en el Cuadro</w:t>
      </w:r>
      <w:r>
        <w:rPr>
          <w:spacing w:val="-9"/>
        </w:rPr>
        <w:t> </w:t>
      </w:r>
      <w:r>
        <w:rPr/>
        <w:t>2.</w:t>
      </w:r>
    </w:p>
    <w:p>
      <w:pPr>
        <w:spacing w:after="0" w:line="360" w:lineRule="auto"/>
        <w:jc w:val="both"/>
        <w:sectPr>
          <w:footerReference w:type="default" r:id="rId14"/>
          <w:pgSz w:w="12240" w:h="15840"/>
          <w:pgMar w:footer="1386" w:header="0" w:top="1500" w:bottom="1580" w:left="1720" w:right="1420"/>
          <w:pgNumType w:start="41"/>
        </w:sectPr>
      </w:pPr>
    </w:p>
    <w:p>
      <w:pPr>
        <w:pStyle w:val="BodyText"/>
        <w:rPr>
          <w:sz w:val="20"/>
        </w:rPr>
      </w:pPr>
    </w:p>
    <w:p>
      <w:pPr>
        <w:pStyle w:val="BodyText"/>
        <w:spacing w:before="9"/>
        <w:rPr>
          <w:sz w:val="13"/>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98"/>
        <w:gridCol w:w="3570"/>
        <w:gridCol w:w="1987"/>
      </w:tblGrid>
      <w:tr>
        <w:trPr>
          <w:trHeight w:val="305" w:hRule="exact"/>
        </w:trPr>
        <w:tc>
          <w:tcPr>
            <w:tcW w:w="8855" w:type="dxa"/>
            <w:gridSpan w:val="3"/>
            <w:tcBorders>
              <w:bottom w:val="single" w:sz="4" w:space="0" w:color="000000"/>
            </w:tcBorders>
          </w:tcPr>
          <w:p>
            <w:pPr>
              <w:pStyle w:val="TableParagraph"/>
              <w:spacing w:line="245" w:lineRule="exact"/>
              <w:ind w:left="1867"/>
              <w:jc w:val="left"/>
              <w:rPr>
                <w:b/>
                <w:sz w:val="24"/>
              </w:rPr>
            </w:pPr>
            <w:r>
              <w:rPr>
                <w:b/>
                <w:sz w:val="24"/>
              </w:rPr>
              <w:t>Cuadro 2. Clasificación de la canal de conejo</w:t>
            </w:r>
          </w:p>
        </w:tc>
      </w:tr>
      <w:tr>
        <w:trPr>
          <w:trHeight w:val="761" w:hRule="exact"/>
        </w:trPr>
        <w:tc>
          <w:tcPr>
            <w:tcW w:w="3298" w:type="dxa"/>
            <w:tcBorders>
              <w:top w:val="single" w:sz="4" w:space="0" w:color="000000"/>
              <w:bottom w:val="single" w:sz="4" w:space="0" w:color="000000"/>
            </w:tcBorders>
          </w:tcPr>
          <w:p>
            <w:pPr>
              <w:pStyle w:val="TableParagraph"/>
              <w:spacing w:before="3"/>
              <w:jc w:val="left"/>
              <w:rPr>
                <w:sz w:val="20"/>
              </w:rPr>
            </w:pPr>
          </w:p>
          <w:p>
            <w:pPr>
              <w:pStyle w:val="TableParagraph"/>
              <w:ind w:left="235" w:right="247"/>
              <w:rPr>
                <w:b/>
                <w:sz w:val="24"/>
              </w:rPr>
            </w:pPr>
            <w:r>
              <w:rPr>
                <w:b/>
                <w:sz w:val="24"/>
              </w:rPr>
              <w:t>Clasificación de la canal</w:t>
            </w:r>
          </w:p>
        </w:tc>
        <w:tc>
          <w:tcPr>
            <w:tcW w:w="3570" w:type="dxa"/>
            <w:tcBorders>
              <w:top w:val="single" w:sz="4" w:space="0" w:color="000000"/>
              <w:bottom w:val="single" w:sz="4" w:space="0" w:color="000000"/>
            </w:tcBorders>
          </w:tcPr>
          <w:p>
            <w:pPr>
              <w:pStyle w:val="TableParagraph"/>
              <w:spacing w:before="3"/>
              <w:jc w:val="left"/>
              <w:rPr>
                <w:sz w:val="20"/>
              </w:rPr>
            </w:pPr>
          </w:p>
          <w:p>
            <w:pPr>
              <w:pStyle w:val="TableParagraph"/>
              <w:ind w:left="247" w:right="200"/>
              <w:rPr>
                <w:b/>
                <w:sz w:val="24"/>
              </w:rPr>
            </w:pPr>
            <w:r>
              <w:rPr>
                <w:b/>
                <w:sz w:val="24"/>
              </w:rPr>
              <w:t>Peso en Canal (kg)</w:t>
            </w:r>
          </w:p>
        </w:tc>
        <w:tc>
          <w:tcPr>
            <w:tcW w:w="1987" w:type="dxa"/>
            <w:tcBorders>
              <w:top w:val="single" w:sz="4" w:space="0" w:color="000000"/>
              <w:bottom w:val="single" w:sz="4" w:space="0" w:color="000000"/>
            </w:tcBorders>
          </w:tcPr>
          <w:p>
            <w:pPr>
              <w:pStyle w:val="TableParagraph"/>
              <w:spacing w:before="3"/>
              <w:jc w:val="left"/>
              <w:rPr>
                <w:sz w:val="20"/>
              </w:rPr>
            </w:pPr>
          </w:p>
          <w:p>
            <w:pPr>
              <w:pStyle w:val="TableParagraph"/>
              <w:ind w:left="200" w:right="115"/>
              <w:rPr>
                <w:b/>
                <w:sz w:val="24"/>
              </w:rPr>
            </w:pPr>
            <w:r>
              <w:rPr>
                <w:b/>
                <w:sz w:val="24"/>
              </w:rPr>
              <w:t>Edad (días)</w:t>
            </w:r>
          </w:p>
        </w:tc>
      </w:tr>
      <w:tr>
        <w:trPr>
          <w:trHeight w:val="389" w:hRule="exact"/>
        </w:trPr>
        <w:tc>
          <w:tcPr>
            <w:tcW w:w="3298" w:type="dxa"/>
            <w:tcBorders>
              <w:top w:val="single" w:sz="4" w:space="0" w:color="000000"/>
            </w:tcBorders>
          </w:tcPr>
          <w:p>
            <w:pPr>
              <w:pStyle w:val="TableParagraph"/>
              <w:spacing w:before="46"/>
              <w:ind w:left="231" w:right="247"/>
              <w:rPr>
                <w:sz w:val="24"/>
              </w:rPr>
            </w:pPr>
            <w:r>
              <w:rPr>
                <w:sz w:val="24"/>
              </w:rPr>
              <w:t>México Extra</w:t>
            </w:r>
          </w:p>
        </w:tc>
        <w:tc>
          <w:tcPr>
            <w:tcW w:w="3570" w:type="dxa"/>
            <w:tcBorders>
              <w:top w:val="single" w:sz="4" w:space="0" w:color="000000"/>
            </w:tcBorders>
          </w:tcPr>
          <w:p>
            <w:pPr>
              <w:pStyle w:val="TableParagraph"/>
              <w:spacing w:before="46"/>
              <w:ind w:left="248" w:right="200"/>
              <w:rPr>
                <w:sz w:val="24"/>
              </w:rPr>
            </w:pPr>
            <w:r>
              <w:rPr>
                <w:sz w:val="24"/>
              </w:rPr>
              <w:t>1,0 a 1,5</w:t>
            </w:r>
          </w:p>
        </w:tc>
        <w:tc>
          <w:tcPr>
            <w:tcW w:w="1987" w:type="dxa"/>
            <w:tcBorders>
              <w:top w:val="single" w:sz="4" w:space="0" w:color="000000"/>
            </w:tcBorders>
          </w:tcPr>
          <w:p>
            <w:pPr>
              <w:pStyle w:val="TableParagraph"/>
              <w:spacing w:before="46"/>
              <w:ind w:left="200" w:right="119"/>
              <w:rPr>
                <w:sz w:val="24"/>
              </w:rPr>
            </w:pPr>
            <w:r>
              <w:rPr>
                <w:sz w:val="24"/>
              </w:rPr>
              <w:t>Hasta 77</w:t>
            </w:r>
          </w:p>
        </w:tc>
      </w:tr>
      <w:tr>
        <w:trPr>
          <w:trHeight w:val="374" w:hRule="exact"/>
        </w:trPr>
        <w:tc>
          <w:tcPr>
            <w:tcW w:w="3298" w:type="dxa"/>
          </w:tcPr>
          <w:p>
            <w:pPr>
              <w:pStyle w:val="TableParagraph"/>
              <w:spacing w:before="36"/>
              <w:ind w:left="233" w:right="247"/>
              <w:rPr>
                <w:sz w:val="24"/>
              </w:rPr>
            </w:pPr>
            <w:r>
              <w:rPr>
                <w:sz w:val="24"/>
              </w:rPr>
              <w:t>México 1</w:t>
            </w:r>
          </w:p>
        </w:tc>
        <w:tc>
          <w:tcPr>
            <w:tcW w:w="3570" w:type="dxa"/>
          </w:tcPr>
          <w:p>
            <w:pPr>
              <w:pStyle w:val="TableParagraph"/>
              <w:spacing w:before="36"/>
              <w:ind w:left="248" w:right="200"/>
              <w:rPr>
                <w:sz w:val="24"/>
              </w:rPr>
            </w:pPr>
            <w:r>
              <w:rPr>
                <w:sz w:val="24"/>
              </w:rPr>
              <w:t>0,9 a 1,8</w:t>
            </w:r>
          </w:p>
        </w:tc>
        <w:tc>
          <w:tcPr>
            <w:tcW w:w="1987" w:type="dxa"/>
          </w:tcPr>
          <w:p>
            <w:pPr>
              <w:pStyle w:val="TableParagraph"/>
              <w:spacing w:before="36"/>
              <w:ind w:left="200" w:right="119"/>
              <w:rPr>
                <w:sz w:val="24"/>
              </w:rPr>
            </w:pPr>
            <w:r>
              <w:rPr>
                <w:sz w:val="24"/>
              </w:rPr>
              <w:t>Hasta 100</w:t>
            </w:r>
          </w:p>
        </w:tc>
      </w:tr>
      <w:tr>
        <w:trPr>
          <w:trHeight w:val="372" w:hRule="exact"/>
        </w:trPr>
        <w:tc>
          <w:tcPr>
            <w:tcW w:w="3298" w:type="dxa"/>
            <w:tcBorders>
              <w:bottom w:val="single" w:sz="4" w:space="0" w:color="000000"/>
            </w:tcBorders>
          </w:tcPr>
          <w:p>
            <w:pPr>
              <w:pStyle w:val="TableParagraph"/>
              <w:spacing w:before="36"/>
              <w:ind w:left="233" w:right="247"/>
              <w:rPr>
                <w:sz w:val="24"/>
              </w:rPr>
            </w:pPr>
            <w:r>
              <w:rPr>
                <w:sz w:val="24"/>
              </w:rPr>
              <w:t>México 2</w:t>
            </w:r>
          </w:p>
        </w:tc>
        <w:tc>
          <w:tcPr>
            <w:tcW w:w="3570" w:type="dxa"/>
            <w:tcBorders>
              <w:bottom w:val="single" w:sz="4" w:space="0" w:color="000000"/>
            </w:tcBorders>
          </w:tcPr>
          <w:p>
            <w:pPr>
              <w:pStyle w:val="TableParagraph"/>
              <w:spacing w:before="36"/>
              <w:ind w:left="248" w:right="200"/>
              <w:rPr>
                <w:sz w:val="24"/>
              </w:rPr>
            </w:pPr>
            <w:r>
              <w:rPr>
                <w:sz w:val="24"/>
              </w:rPr>
              <w:t>Menor de 0,9 o mayor de 1,8</w:t>
            </w:r>
          </w:p>
        </w:tc>
        <w:tc>
          <w:tcPr>
            <w:tcW w:w="1987" w:type="dxa"/>
            <w:tcBorders>
              <w:bottom w:val="single" w:sz="4" w:space="0" w:color="000000"/>
            </w:tcBorders>
          </w:tcPr>
          <w:p>
            <w:pPr>
              <w:pStyle w:val="TableParagraph"/>
              <w:spacing w:before="36"/>
              <w:ind w:left="200" w:right="119"/>
              <w:rPr>
                <w:sz w:val="24"/>
              </w:rPr>
            </w:pPr>
            <w:r>
              <w:rPr>
                <w:sz w:val="24"/>
              </w:rPr>
              <w:t>Cualquier edad</w:t>
            </w:r>
          </w:p>
        </w:tc>
      </w:tr>
    </w:tbl>
    <w:p>
      <w:pPr>
        <w:pStyle w:val="BodyText"/>
        <w:spacing w:before="8"/>
        <w:rPr>
          <w:sz w:val="29"/>
        </w:rPr>
      </w:pPr>
    </w:p>
    <w:p>
      <w:pPr>
        <w:spacing w:before="69"/>
        <w:ind w:left="152" w:right="0" w:firstLine="0"/>
        <w:jc w:val="both"/>
        <w:rPr>
          <w:b/>
          <w:sz w:val="24"/>
        </w:rPr>
      </w:pPr>
      <w:r>
        <w:rPr>
          <w:b/>
          <w:sz w:val="24"/>
        </w:rPr>
        <w:t>Análisis estadístico de la carne de conejo</w:t>
      </w:r>
    </w:p>
    <w:p>
      <w:pPr>
        <w:pStyle w:val="BodyText"/>
        <w:rPr>
          <w:b/>
        </w:rPr>
      </w:pPr>
    </w:p>
    <w:p>
      <w:pPr>
        <w:pStyle w:val="BodyText"/>
        <w:rPr>
          <w:b/>
        </w:rPr>
      </w:pPr>
    </w:p>
    <w:p>
      <w:pPr>
        <w:pStyle w:val="BodyText"/>
        <w:spacing w:line="360" w:lineRule="auto"/>
        <w:ind w:left="152" w:right="107"/>
        <w:jc w:val="both"/>
      </w:pPr>
      <w:r>
        <w:rPr/>
        <w:t>El</w:t>
      </w:r>
      <w:r>
        <w:rPr>
          <w:spacing w:val="-7"/>
        </w:rPr>
        <w:t> </w:t>
      </w:r>
      <w:r>
        <w:rPr/>
        <w:t>modelo</w:t>
      </w:r>
      <w:r>
        <w:rPr>
          <w:spacing w:val="-8"/>
        </w:rPr>
        <w:t> </w:t>
      </w:r>
      <w:r>
        <w:rPr/>
        <w:t>estadístico</w:t>
      </w:r>
      <w:r>
        <w:rPr>
          <w:spacing w:val="-8"/>
        </w:rPr>
        <w:t> </w:t>
      </w:r>
      <w:r>
        <w:rPr/>
        <w:t>para</w:t>
      </w:r>
      <w:r>
        <w:rPr>
          <w:spacing w:val="-9"/>
        </w:rPr>
        <w:t> </w:t>
      </w:r>
      <w:r>
        <w:rPr/>
        <w:t>el</w:t>
      </w:r>
      <w:r>
        <w:rPr>
          <w:spacing w:val="-10"/>
        </w:rPr>
        <w:t> </w:t>
      </w:r>
      <w:r>
        <w:rPr/>
        <w:t>análisis</w:t>
      </w:r>
      <w:r>
        <w:rPr>
          <w:spacing w:val="-10"/>
        </w:rPr>
        <w:t> </w:t>
      </w:r>
      <w:r>
        <w:rPr/>
        <w:t>de</w:t>
      </w:r>
      <w:r>
        <w:rPr>
          <w:spacing w:val="-8"/>
        </w:rPr>
        <w:t> </w:t>
      </w:r>
      <w:r>
        <w:rPr/>
        <w:t>la</w:t>
      </w:r>
      <w:r>
        <w:rPr>
          <w:spacing w:val="-6"/>
        </w:rPr>
        <w:t> </w:t>
      </w:r>
      <w:r>
        <w:rPr/>
        <w:t>composición</w:t>
      </w:r>
      <w:r>
        <w:rPr>
          <w:spacing w:val="-8"/>
        </w:rPr>
        <w:t> </w:t>
      </w:r>
      <w:r>
        <w:rPr/>
        <w:t>química</w:t>
      </w:r>
      <w:r>
        <w:rPr>
          <w:spacing w:val="-6"/>
        </w:rPr>
        <w:t> </w:t>
      </w:r>
      <w:r>
        <w:rPr/>
        <w:t>de</w:t>
      </w:r>
      <w:r>
        <w:rPr>
          <w:spacing w:val="-8"/>
        </w:rPr>
        <w:t> </w:t>
      </w:r>
      <w:r>
        <w:rPr/>
        <w:t>la</w:t>
      </w:r>
      <w:r>
        <w:rPr>
          <w:spacing w:val="-6"/>
        </w:rPr>
        <w:t> </w:t>
      </w:r>
      <w:r>
        <w:rPr/>
        <w:t>carne</w:t>
      </w:r>
      <w:r>
        <w:rPr>
          <w:spacing w:val="-8"/>
        </w:rPr>
        <w:t> </w:t>
      </w:r>
      <w:r>
        <w:rPr/>
        <w:t>incluyo la granja control, las 30 granjas y la ubicación geográfica de las unidades de producción. Los resultados se evaluaron mediante un análisis completamente al azar</w:t>
      </w:r>
      <w:r>
        <w:rPr>
          <w:spacing w:val="-11"/>
        </w:rPr>
        <w:t> </w:t>
      </w:r>
      <w:r>
        <w:rPr/>
        <w:t>con</w:t>
      </w:r>
      <w:r>
        <w:rPr>
          <w:spacing w:val="-9"/>
        </w:rPr>
        <w:t> </w:t>
      </w:r>
      <w:r>
        <w:rPr/>
        <w:t>arreglo</w:t>
      </w:r>
      <w:r>
        <w:rPr>
          <w:spacing w:val="-10"/>
        </w:rPr>
        <w:t> </w:t>
      </w:r>
      <w:r>
        <w:rPr/>
        <w:t>factorial</w:t>
      </w:r>
      <w:r>
        <w:rPr>
          <w:spacing w:val="-11"/>
        </w:rPr>
        <w:t> </w:t>
      </w:r>
      <w:r>
        <w:rPr/>
        <w:t>(p&lt;0.05),</w:t>
      </w:r>
      <w:r>
        <w:rPr>
          <w:spacing w:val="-7"/>
        </w:rPr>
        <w:t> </w:t>
      </w:r>
      <w:r>
        <w:rPr/>
        <w:t>con</w:t>
      </w:r>
      <w:r>
        <w:rPr>
          <w:spacing w:val="-9"/>
        </w:rPr>
        <w:t> </w:t>
      </w:r>
      <w:r>
        <w:rPr/>
        <w:t>el</w:t>
      </w:r>
      <w:r>
        <w:rPr>
          <w:spacing w:val="-11"/>
        </w:rPr>
        <w:t> </w:t>
      </w:r>
      <w:r>
        <w:rPr/>
        <w:t>programa</w:t>
      </w:r>
      <w:r>
        <w:rPr>
          <w:spacing w:val="-9"/>
        </w:rPr>
        <w:t> </w:t>
      </w:r>
      <w:r>
        <w:rPr/>
        <w:t>stadistico</w:t>
      </w:r>
      <w:r>
        <w:rPr>
          <w:spacing w:val="-12"/>
        </w:rPr>
        <w:t> </w:t>
      </w:r>
      <w:r>
        <w:rPr/>
        <w:t>SAS</w:t>
      </w:r>
      <w:r>
        <w:rPr>
          <w:spacing w:val="-10"/>
        </w:rPr>
        <w:t> </w:t>
      </w:r>
      <w:r>
        <w:rPr/>
        <w:t>Versión</w:t>
      </w:r>
      <w:r>
        <w:rPr>
          <w:spacing w:val="-9"/>
        </w:rPr>
        <w:t> </w:t>
      </w:r>
      <w:r>
        <w:rPr/>
        <w:t>9.4</w:t>
      </w:r>
      <w:r>
        <w:rPr>
          <w:spacing w:val="-9"/>
        </w:rPr>
        <w:t> </w:t>
      </w:r>
      <w:r>
        <w:rPr/>
        <w:t>para Windows.</w:t>
      </w:r>
    </w:p>
    <w:p>
      <w:pPr>
        <w:pStyle w:val="BodyText"/>
      </w:pPr>
    </w:p>
    <w:p>
      <w:pPr>
        <w:pStyle w:val="BodyText"/>
        <w:spacing w:before="4"/>
        <w:rPr>
          <w:sz w:val="21"/>
        </w:rPr>
      </w:pPr>
    </w:p>
    <w:p>
      <w:pPr>
        <w:spacing w:before="0"/>
        <w:ind w:left="152" w:right="0" w:firstLine="0"/>
        <w:jc w:val="both"/>
        <w:rPr>
          <w:b/>
          <w:sz w:val="24"/>
        </w:rPr>
      </w:pPr>
      <w:r>
        <w:rPr>
          <w:b/>
          <w:sz w:val="24"/>
        </w:rPr>
        <w:t>METODO DE MUESTREO EN CANALES DE CONEJOS</w:t>
      </w:r>
    </w:p>
    <w:p>
      <w:pPr>
        <w:pStyle w:val="BodyText"/>
        <w:spacing w:before="4"/>
        <w:rPr>
          <w:b/>
          <w:sz w:val="29"/>
        </w:rPr>
      </w:pPr>
    </w:p>
    <w:p>
      <w:pPr>
        <w:spacing w:line="360" w:lineRule="auto" w:before="1"/>
        <w:ind w:left="152" w:right="111" w:firstLine="0"/>
        <w:jc w:val="both"/>
        <w:rPr>
          <w:b/>
          <w:sz w:val="24"/>
        </w:rPr>
      </w:pPr>
      <w:r>
        <w:rPr>
          <w:b/>
          <w:sz w:val="24"/>
        </w:rPr>
        <w:t>Evaluación</w:t>
      </w:r>
      <w:r>
        <w:rPr>
          <w:b/>
          <w:spacing w:val="-10"/>
          <w:sz w:val="24"/>
        </w:rPr>
        <w:t> </w:t>
      </w:r>
      <w:r>
        <w:rPr>
          <w:b/>
          <w:sz w:val="24"/>
        </w:rPr>
        <w:t>del</w:t>
      </w:r>
      <w:r>
        <w:rPr>
          <w:b/>
          <w:spacing w:val="-10"/>
          <w:sz w:val="24"/>
        </w:rPr>
        <w:t> </w:t>
      </w:r>
      <w:r>
        <w:rPr>
          <w:b/>
          <w:sz w:val="24"/>
        </w:rPr>
        <w:t>método</w:t>
      </w:r>
      <w:r>
        <w:rPr>
          <w:b/>
          <w:spacing w:val="-10"/>
          <w:sz w:val="24"/>
        </w:rPr>
        <w:t> </w:t>
      </w:r>
      <w:r>
        <w:rPr>
          <w:b/>
          <w:sz w:val="24"/>
        </w:rPr>
        <w:t>de</w:t>
      </w:r>
      <w:r>
        <w:rPr>
          <w:b/>
          <w:spacing w:val="-10"/>
          <w:sz w:val="24"/>
        </w:rPr>
        <w:t> </w:t>
      </w:r>
      <w:r>
        <w:rPr>
          <w:b/>
          <w:sz w:val="24"/>
        </w:rPr>
        <w:t>lavado</w:t>
      </w:r>
      <w:r>
        <w:rPr>
          <w:b/>
          <w:spacing w:val="-8"/>
          <w:sz w:val="24"/>
        </w:rPr>
        <w:t> </w:t>
      </w:r>
      <w:r>
        <w:rPr>
          <w:b/>
          <w:sz w:val="24"/>
        </w:rPr>
        <w:t>y</w:t>
      </w:r>
      <w:r>
        <w:rPr>
          <w:b/>
          <w:spacing w:val="-13"/>
          <w:sz w:val="24"/>
        </w:rPr>
        <w:t> </w:t>
      </w:r>
      <w:r>
        <w:rPr>
          <w:b/>
          <w:sz w:val="24"/>
        </w:rPr>
        <w:t>superficie</w:t>
      </w:r>
      <w:r>
        <w:rPr>
          <w:b/>
          <w:spacing w:val="-9"/>
          <w:sz w:val="24"/>
        </w:rPr>
        <w:t> </w:t>
      </w:r>
      <w:r>
        <w:rPr>
          <w:b/>
          <w:sz w:val="24"/>
        </w:rPr>
        <w:t>de</w:t>
      </w:r>
      <w:r>
        <w:rPr>
          <w:b/>
          <w:spacing w:val="-9"/>
          <w:sz w:val="24"/>
        </w:rPr>
        <w:t> </w:t>
      </w:r>
      <w:r>
        <w:rPr>
          <w:b/>
          <w:sz w:val="24"/>
        </w:rPr>
        <w:t>la</w:t>
      </w:r>
      <w:r>
        <w:rPr>
          <w:b/>
          <w:spacing w:val="-9"/>
          <w:sz w:val="24"/>
        </w:rPr>
        <w:t> </w:t>
      </w:r>
      <w:r>
        <w:rPr>
          <w:b/>
          <w:sz w:val="24"/>
        </w:rPr>
        <w:t>canal</w:t>
      </w:r>
      <w:r>
        <w:rPr>
          <w:b/>
          <w:spacing w:val="-11"/>
          <w:sz w:val="24"/>
        </w:rPr>
        <w:t> </w:t>
      </w:r>
      <w:r>
        <w:rPr>
          <w:b/>
          <w:sz w:val="24"/>
        </w:rPr>
        <w:t>de</w:t>
      </w:r>
      <w:r>
        <w:rPr>
          <w:b/>
          <w:spacing w:val="-11"/>
          <w:sz w:val="24"/>
        </w:rPr>
        <w:t> </w:t>
      </w:r>
      <w:r>
        <w:rPr>
          <w:b/>
          <w:sz w:val="24"/>
        </w:rPr>
        <w:t>conejo</w:t>
      </w:r>
      <w:r>
        <w:rPr>
          <w:b/>
          <w:spacing w:val="-10"/>
          <w:sz w:val="24"/>
        </w:rPr>
        <w:t> </w:t>
      </w:r>
      <w:r>
        <w:rPr>
          <w:b/>
          <w:sz w:val="24"/>
        </w:rPr>
        <w:t>en</w:t>
      </w:r>
      <w:r>
        <w:rPr>
          <w:b/>
          <w:spacing w:val="-10"/>
          <w:sz w:val="24"/>
        </w:rPr>
        <w:t> </w:t>
      </w:r>
      <w:r>
        <w:rPr>
          <w:b/>
          <w:sz w:val="24"/>
        </w:rPr>
        <w:t>granjas cuniculas en el Valle de</w:t>
      </w:r>
      <w:r>
        <w:rPr>
          <w:b/>
          <w:spacing w:val="-10"/>
          <w:sz w:val="24"/>
        </w:rPr>
        <w:t> </w:t>
      </w:r>
      <w:r>
        <w:rPr>
          <w:b/>
          <w:sz w:val="24"/>
        </w:rPr>
        <w:t>Toluca</w:t>
      </w:r>
    </w:p>
    <w:p>
      <w:pPr>
        <w:pStyle w:val="BodyText"/>
        <w:spacing w:line="360" w:lineRule="auto" w:before="202"/>
        <w:ind w:left="152" w:right="107"/>
        <w:jc w:val="both"/>
      </w:pPr>
      <w:r>
        <w:rPr/>
        <w:t>Se emplearon 30 canales de conejos obtenidos al azar de la línea de sacrificio de una unidad de producción cunicula del Valle de Toluca. Métodos a evaluar considerados: muestreo de superficies de canal (MCA) y lavado de canal (LC).</w:t>
      </w:r>
    </w:p>
    <w:p>
      <w:pPr>
        <w:pStyle w:val="BodyText"/>
      </w:pPr>
    </w:p>
    <w:p>
      <w:pPr>
        <w:pStyle w:val="BodyText"/>
        <w:spacing w:line="360" w:lineRule="auto" w:before="142"/>
        <w:ind w:left="152" w:right="106"/>
        <w:jc w:val="both"/>
      </w:pPr>
      <w:r>
        <w:rPr/>
        <w:t>Para</w:t>
      </w:r>
      <w:r>
        <w:rPr>
          <w:spacing w:val="-12"/>
        </w:rPr>
        <w:t> </w:t>
      </w:r>
      <w:r>
        <w:rPr/>
        <w:t>la</w:t>
      </w:r>
      <w:r>
        <w:rPr>
          <w:spacing w:val="-13"/>
        </w:rPr>
        <w:t> </w:t>
      </w:r>
      <w:r>
        <w:rPr/>
        <w:t>toma</w:t>
      </w:r>
      <w:r>
        <w:rPr>
          <w:spacing w:val="-12"/>
        </w:rPr>
        <w:t> </w:t>
      </w:r>
      <w:r>
        <w:rPr/>
        <w:t>de</w:t>
      </w:r>
      <w:r>
        <w:rPr>
          <w:spacing w:val="-13"/>
        </w:rPr>
        <w:t> </w:t>
      </w:r>
      <w:r>
        <w:rPr/>
        <w:t>muestra</w:t>
      </w:r>
      <w:r>
        <w:rPr>
          <w:spacing w:val="-12"/>
        </w:rPr>
        <w:t> </w:t>
      </w:r>
      <w:r>
        <w:rPr/>
        <w:t>de</w:t>
      </w:r>
      <w:r>
        <w:rPr>
          <w:spacing w:val="-12"/>
        </w:rPr>
        <w:t> </w:t>
      </w:r>
      <w:r>
        <w:rPr/>
        <w:t>MCA</w:t>
      </w:r>
      <w:r>
        <w:rPr>
          <w:spacing w:val="-12"/>
        </w:rPr>
        <w:t> </w:t>
      </w:r>
      <w:r>
        <w:rPr/>
        <w:t>se</w:t>
      </w:r>
      <w:r>
        <w:rPr>
          <w:spacing w:val="-13"/>
        </w:rPr>
        <w:t> </w:t>
      </w:r>
      <w:r>
        <w:rPr/>
        <w:t>utilizaron</w:t>
      </w:r>
      <w:r>
        <w:rPr>
          <w:spacing w:val="-12"/>
        </w:rPr>
        <w:t> </w:t>
      </w:r>
      <w:r>
        <w:rPr/>
        <w:t>la</w:t>
      </w:r>
      <w:r>
        <w:rPr>
          <w:spacing w:val="-12"/>
        </w:rPr>
        <w:t> </w:t>
      </w:r>
      <w:r>
        <w:rPr/>
        <w:t>regiones</w:t>
      </w:r>
      <w:r>
        <w:rPr>
          <w:spacing w:val="-14"/>
        </w:rPr>
        <w:t> </w:t>
      </w:r>
      <w:r>
        <w:rPr/>
        <w:t>de</w:t>
      </w:r>
      <w:r>
        <w:rPr>
          <w:spacing w:val="-13"/>
        </w:rPr>
        <w:t> </w:t>
      </w:r>
      <w:r>
        <w:rPr/>
        <w:t>muestreo</w:t>
      </w:r>
      <w:r>
        <w:rPr>
          <w:spacing w:val="-12"/>
        </w:rPr>
        <w:t> </w:t>
      </w:r>
      <w:r>
        <w:rPr/>
        <w:t>de</w:t>
      </w:r>
      <w:r>
        <w:rPr>
          <w:spacing w:val="-6"/>
        </w:rPr>
        <w:t> </w:t>
      </w:r>
      <w:r>
        <w:rPr/>
        <w:t>canal</w:t>
      </w:r>
      <w:r>
        <w:rPr>
          <w:spacing w:val="-14"/>
        </w:rPr>
        <w:t> </w:t>
      </w:r>
      <w:r>
        <w:rPr/>
        <w:t>que establece la European Communities (Directive 64/433/EEC 2001), para lo cual se modificó la plantilla de 10 x 10 cm a 2.5 x 2.5 cm para el muestreo en la canal del conejo. Para la toma de muestra se utilizó un hisopo estéril y agua peptonada al 2%. Se humedecido el hisopo por 5 segundos y se froto la superficie de muestreo 10 veces en dirección vertical y horizontal (Directive 64/433/EEC 2001). (Figura</w:t>
      </w:r>
      <w:r>
        <w:rPr>
          <w:spacing w:val="7"/>
        </w:rPr>
        <w:t> </w:t>
      </w:r>
      <w:r>
        <w:rPr/>
        <w:t>1).</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92" w:right="115"/>
        <w:jc w:val="both"/>
      </w:pPr>
      <w:r>
        <w:rPr/>
        <w:t>El hisopo se colocó en el tubo con agua peptonada, se identificó y registro para control interno.</w:t>
      </w:r>
    </w:p>
    <w:p>
      <w:pPr>
        <w:pStyle w:val="BodyText"/>
        <w:rPr>
          <w:sz w:val="27"/>
        </w:rPr>
      </w:pPr>
      <w:r>
        <w:rPr/>
        <w:pict>
          <v:group style="position:absolute;margin-left:89.400002pt;margin-top:17.493929pt;width:441.25pt;height:100.95pt;mso-position-horizontal-relative:page;mso-position-vertical-relative:paragraph;z-index:1264;mso-wrap-distance-left:0;mso-wrap-distance-right:0" coordorigin="1788,350" coordsize="8825,2019">
            <v:shape style="position:absolute;left:6106;top:350;width:2244;height:2018" type="#_x0000_t75" stroked="false">
              <v:imagedata r:id="rId15" o:title=""/>
            </v:shape>
            <v:shape style="position:absolute;left:1788;top:350;width:4486;height:2018" type="#_x0000_t75" stroked="false">
              <v:imagedata r:id="rId16" o:title=""/>
            </v:shape>
            <v:shape style="position:absolute;left:8369;top:350;width:2244;height:2018" type="#_x0000_t75" stroked="false">
              <v:imagedata r:id="rId17" o:title=""/>
            </v:shape>
            <v:shape style="position:absolute;left:1937;top:2021;width:402;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pacing w:val="-1"/>
                        <w:sz w:val="20"/>
                      </w:rPr>
                      <w:t>(A)©</w:t>
                    </w:r>
                  </w:p>
                </w:txbxContent>
              </v:textbox>
              <w10:wrap type="none"/>
            </v:shape>
            <v:shape style="position:absolute;left:4179;top:2021;width:395;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pacing w:val="-1"/>
                        <w:sz w:val="20"/>
                      </w:rPr>
                      <w:t>(B)©</w:t>
                    </w:r>
                  </w:p>
                </w:txbxContent>
              </v:textbox>
              <w10:wrap type="none"/>
            </v:shape>
            <v:shape style="position:absolute;left:6423;top:2021;width:395;height:200" type="#_x0000_t202" filled="false" stroked="false">
              <v:textbox inset="0,0,0,0">
                <w:txbxContent>
                  <w:p>
                    <w:pPr>
                      <w:spacing w:line="199" w:lineRule="exact" w:before="0"/>
                      <w:ind w:left="0" w:right="-1" w:firstLine="0"/>
                      <w:jc w:val="left"/>
                      <w:rPr>
                        <w:rFonts w:ascii="Calibri" w:hAnsi="Calibri"/>
                        <w:sz w:val="20"/>
                      </w:rPr>
                    </w:pPr>
                    <w:r>
                      <w:rPr>
                        <w:rFonts w:ascii="Calibri" w:hAnsi="Calibri"/>
                        <w:w w:val="95"/>
                        <w:sz w:val="20"/>
                      </w:rPr>
                      <w:t>(C)©</w:t>
                    </w:r>
                  </w:p>
                </w:txbxContent>
              </v:textbox>
              <w10:wrap type="none"/>
            </v:shape>
            <v:shape style="position:absolute;left:8519;top:2021;width:409;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(D)©</w:t>
                    </w:r>
                  </w:p>
                </w:txbxContent>
              </v:textbox>
              <w10:wrap type="none"/>
            </v:shape>
            <w10:wrap type="topAndBottom"/>
          </v:group>
        </w:pict>
      </w:r>
    </w:p>
    <w:p>
      <w:pPr>
        <w:pStyle w:val="BodyText"/>
        <w:spacing w:before="92"/>
        <w:ind w:left="1732" w:right="1656"/>
        <w:jc w:val="center"/>
      </w:pPr>
      <w:r>
        <w:rPr/>
        <w:t>Figura 1 Muestreo en superficie en la canal de conejo</w:t>
      </w:r>
    </w:p>
    <w:p>
      <w:pPr>
        <w:pStyle w:val="BodyText"/>
      </w:pPr>
    </w:p>
    <w:p>
      <w:pPr>
        <w:pStyle w:val="BodyText"/>
      </w:pPr>
    </w:p>
    <w:p>
      <w:pPr>
        <w:pStyle w:val="BodyText"/>
        <w:spacing w:line="360" w:lineRule="auto"/>
        <w:ind w:left="192" w:right="105"/>
        <w:jc w:val="both"/>
      </w:pPr>
      <w:r>
        <w:rPr/>
        <w:t>El LC se realizó bajo el protocolo descrito en el manual de procedimientos de Guatemala 2004. Para lo cual se introdujo la canal de conejo en una bolsa de plástico estéril de 30 x 45 cm. Se agregaron 400 ml. de agua peptonada al 2% y</w:t>
      </w:r>
      <w:r>
        <w:rPr>
          <w:spacing w:val="-39"/>
        </w:rPr>
        <w:t> </w:t>
      </w:r>
      <w:r>
        <w:rPr/>
        <w:t>se introdujo</w:t>
      </w:r>
      <w:r>
        <w:rPr>
          <w:spacing w:val="-9"/>
        </w:rPr>
        <w:t> </w:t>
      </w:r>
      <w:r>
        <w:rPr/>
        <w:t>el</w:t>
      </w:r>
      <w:r>
        <w:rPr>
          <w:spacing w:val="-10"/>
        </w:rPr>
        <w:t> </w:t>
      </w:r>
      <w:r>
        <w:rPr/>
        <w:t>canal</w:t>
      </w:r>
      <w:r>
        <w:rPr>
          <w:spacing w:val="-10"/>
        </w:rPr>
        <w:t> </w:t>
      </w:r>
      <w:r>
        <w:rPr/>
        <w:t>de</w:t>
      </w:r>
      <w:r>
        <w:rPr>
          <w:spacing w:val="-8"/>
        </w:rPr>
        <w:t> </w:t>
      </w:r>
      <w:r>
        <w:rPr/>
        <w:t>conejo.</w:t>
      </w:r>
      <w:r>
        <w:rPr>
          <w:spacing w:val="-8"/>
        </w:rPr>
        <w:t> </w:t>
      </w:r>
      <w:r>
        <w:rPr/>
        <w:t>La</w:t>
      </w:r>
      <w:r>
        <w:rPr>
          <w:spacing w:val="-8"/>
        </w:rPr>
        <w:t> </w:t>
      </w:r>
      <w:r>
        <w:rPr/>
        <w:t>bolsa</w:t>
      </w:r>
      <w:r>
        <w:rPr>
          <w:spacing w:val="-6"/>
        </w:rPr>
        <w:t> </w:t>
      </w:r>
      <w:r>
        <w:rPr/>
        <w:t>cerrada,</w:t>
      </w:r>
      <w:r>
        <w:rPr>
          <w:spacing w:val="-9"/>
        </w:rPr>
        <w:t> </w:t>
      </w:r>
      <w:r>
        <w:rPr/>
        <w:t>se</w:t>
      </w:r>
      <w:r>
        <w:rPr>
          <w:spacing w:val="-8"/>
        </w:rPr>
        <w:t> </w:t>
      </w:r>
      <w:r>
        <w:rPr/>
        <w:t>sometió</w:t>
      </w:r>
      <w:r>
        <w:rPr>
          <w:spacing w:val="-8"/>
        </w:rPr>
        <w:t> </w:t>
      </w:r>
      <w:r>
        <w:rPr/>
        <w:t>a</w:t>
      </w:r>
      <w:r>
        <w:rPr>
          <w:spacing w:val="-11"/>
        </w:rPr>
        <w:t> </w:t>
      </w:r>
      <w:r>
        <w:rPr/>
        <w:t>movimientos</w:t>
      </w:r>
      <w:r>
        <w:rPr>
          <w:spacing w:val="-9"/>
        </w:rPr>
        <w:t> </w:t>
      </w:r>
      <w:r>
        <w:rPr/>
        <w:t>de</w:t>
      </w:r>
      <w:r>
        <w:rPr>
          <w:spacing w:val="-8"/>
        </w:rPr>
        <w:t> </w:t>
      </w:r>
      <w:r>
        <w:rPr/>
        <w:t>vaivén, invirtiendo la bolsa al menos 30 veces en un minuto para enjuagar la canal. Se tomaron 30 ml de la solución de lavado en un tubo para centrifuga de 50 ml de plástico estéril (Figura 2). La muestra se identificó y registro de manera similar al método</w:t>
      </w:r>
      <w:r>
        <w:rPr>
          <w:spacing w:val="-5"/>
        </w:rPr>
        <w:t> </w:t>
      </w:r>
      <w:r>
        <w:rPr/>
        <w:t>MCA.</w:t>
      </w:r>
    </w:p>
    <w:p>
      <w:pPr>
        <w:pStyle w:val="BodyText"/>
        <w:spacing w:before="7"/>
        <w:rPr>
          <w:sz w:val="14"/>
        </w:rPr>
      </w:pPr>
      <w:r>
        <w:rPr/>
        <w:pict>
          <v:group style="position:absolute;margin-left:122.279999pt;margin-top:10.363897pt;width:364.7pt;height:127.95pt;mso-position-horizontal-relative:page;mso-position-vertical-relative:paragraph;z-index:1336;mso-wrap-distance-left:0;mso-wrap-distance-right:0" coordorigin="2446,207" coordsize="7294,2559">
            <v:shape style="position:absolute;left:2446;top:207;width:7294;height:2558" type="#_x0000_t75" stroked="false">
              <v:imagedata r:id="rId18" o:title=""/>
            </v:shape>
            <v:shape style="position:absolute;left:2585;top:2402;width:402;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pacing w:val="-1"/>
                        <w:sz w:val="20"/>
                      </w:rPr>
                      <w:t>(A)©</w:t>
                    </w:r>
                  </w:p>
                </w:txbxContent>
              </v:textbox>
              <w10:wrap type="none"/>
            </v:shape>
            <v:shape style="position:absolute;left:9066;top:2352;width:395;height:200" type="#_x0000_t202" filled="false" stroked="false">
              <v:textbox inset="0,0,0,0">
                <w:txbxContent>
                  <w:p>
                    <w:pPr>
                      <w:spacing w:line="199" w:lineRule="exact" w:before="0"/>
                      <w:ind w:left="0" w:right="-18" w:firstLine="0"/>
                      <w:jc w:val="left"/>
                      <w:rPr>
                        <w:rFonts w:ascii="Calibri" w:hAnsi="Calibri"/>
                        <w:sz w:val="20"/>
                      </w:rPr>
                    </w:pPr>
                    <w:r>
                      <w:rPr>
                        <w:rFonts w:ascii="Calibri" w:hAnsi="Calibri"/>
                        <w:spacing w:val="-1"/>
                        <w:sz w:val="20"/>
                      </w:rPr>
                      <w:t>(B)©</w:t>
                    </w:r>
                  </w:p>
                </w:txbxContent>
              </v:textbox>
              <w10:wrap type="none"/>
            </v:shape>
            <w10:wrap type="topAndBottom"/>
          </v:group>
        </w:pict>
      </w:r>
    </w:p>
    <w:p>
      <w:pPr>
        <w:spacing w:before="107"/>
        <w:ind w:left="1732" w:right="1654" w:firstLine="0"/>
        <w:jc w:val="center"/>
        <w:rPr>
          <w:sz w:val="20"/>
        </w:rPr>
      </w:pPr>
      <w:r>
        <w:rPr>
          <w:sz w:val="20"/>
        </w:rPr>
        <w:t>Figura 2. A y B método de lavado de la canal de conejo</w:t>
      </w:r>
    </w:p>
    <w:p>
      <w:pPr>
        <w:pStyle w:val="BodyText"/>
        <w:spacing w:line="360" w:lineRule="auto" w:before="116"/>
        <w:ind w:left="192" w:right="107"/>
        <w:jc w:val="both"/>
      </w:pPr>
      <w:r>
        <w:rPr/>
        <w:t>Las</w:t>
      </w:r>
      <w:r>
        <w:rPr>
          <w:spacing w:val="-5"/>
        </w:rPr>
        <w:t> </w:t>
      </w:r>
      <w:r>
        <w:rPr/>
        <w:t>muestras</w:t>
      </w:r>
      <w:r>
        <w:rPr>
          <w:spacing w:val="-8"/>
        </w:rPr>
        <w:t> </w:t>
      </w:r>
      <w:r>
        <w:rPr/>
        <w:t>de</w:t>
      </w:r>
      <w:r>
        <w:rPr>
          <w:spacing w:val="-5"/>
        </w:rPr>
        <w:t> </w:t>
      </w:r>
      <w:r>
        <w:rPr/>
        <w:t>ambos</w:t>
      </w:r>
      <w:r>
        <w:rPr>
          <w:spacing w:val="-5"/>
        </w:rPr>
        <w:t> </w:t>
      </w:r>
      <w:r>
        <w:rPr/>
        <w:t>métodos</w:t>
      </w:r>
      <w:r>
        <w:rPr>
          <w:spacing w:val="-5"/>
        </w:rPr>
        <w:t> </w:t>
      </w:r>
      <w:r>
        <w:rPr/>
        <w:t>se</w:t>
      </w:r>
      <w:r>
        <w:rPr>
          <w:spacing w:val="-5"/>
        </w:rPr>
        <w:t> </w:t>
      </w:r>
      <w:r>
        <w:rPr/>
        <w:t>colocaron</w:t>
      </w:r>
      <w:r>
        <w:rPr>
          <w:spacing w:val="-5"/>
        </w:rPr>
        <w:t> </w:t>
      </w:r>
      <w:r>
        <w:rPr/>
        <w:t>en</w:t>
      </w:r>
      <w:r>
        <w:rPr>
          <w:spacing w:val="-5"/>
        </w:rPr>
        <w:t> </w:t>
      </w:r>
      <w:r>
        <w:rPr/>
        <w:t>un</w:t>
      </w:r>
      <w:r>
        <w:rPr>
          <w:spacing w:val="1"/>
        </w:rPr>
        <w:t> </w:t>
      </w:r>
      <w:r>
        <w:rPr/>
        <w:t>termo</w:t>
      </w:r>
      <w:r>
        <w:rPr>
          <w:spacing w:val="-5"/>
        </w:rPr>
        <w:t> </w:t>
      </w:r>
      <w:r>
        <w:rPr/>
        <w:t>con</w:t>
      </w:r>
      <w:r>
        <w:rPr>
          <w:spacing w:val="-5"/>
        </w:rPr>
        <w:t> </w:t>
      </w:r>
      <w:r>
        <w:rPr/>
        <w:t>refrigerantes</w:t>
      </w:r>
      <w:r>
        <w:rPr>
          <w:spacing w:val="-5"/>
        </w:rPr>
        <w:t> </w:t>
      </w:r>
      <w:r>
        <w:rPr/>
        <w:t>a</w:t>
      </w:r>
      <w:r>
        <w:rPr>
          <w:spacing w:val="-5"/>
        </w:rPr>
        <w:t> </w:t>
      </w:r>
      <w:r>
        <w:rPr/>
        <w:t>4°C (NOM-109-SSA1-1994)  hasta  el momento  de  su  análisis en</w:t>
      </w:r>
      <w:r>
        <w:rPr>
          <w:spacing w:val="-2"/>
        </w:rPr>
        <w:t> </w:t>
      </w:r>
      <w:r>
        <w:rPr/>
        <w:t>el departamento de</w:t>
      </w:r>
    </w:p>
    <w:p>
      <w:pPr>
        <w:spacing w:after="0" w:line="360" w:lineRule="auto"/>
        <w:jc w:val="both"/>
        <w:sectPr>
          <w:pgSz w:w="12240" w:h="15840"/>
          <w:pgMar w:header="0" w:footer="1386" w:top="1500" w:bottom="1580" w:left="1680" w:right="1420"/>
        </w:sectPr>
      </w:pPr>
    </w:p>
    <w:p>
      <w:pPr>
        <w:pStyle w:val="BodyText"/>
        <w:spacing w:before="2"/>
        <w:rPr>
          <w:sz w:val="21"/>
        </w:rPr>
      </w:pPr>
    </w:p>
    <w:p>
      <w:pPr>
        <w:pStyle w:val="BodyText"/>
        <w:spacing w:line="360" w:lineRule="auto" w:before="69"/>
        <w:ind w:left="152" w:right="115"/>
        <w:jc w:val="both"/>
      </w:pPr>
      <w:r>
        <w:rPr/>
        <w:t>inocuidad alimentaria en el laboratorio del Centro de Investigación y Estudios Avanzados en Salud Animal.</w:t>
      </w:r>
    </w:p>
    <w:p>
      <w:pPr>
        <w:pStyle w:val="BodyText"/>
      </w:pPr>
    </w:p>
    <w:p>
      <w:pPr>
        <w:pStyle w:val="BodyText"/>
        <w:spacing w:line="360" w:lineRule="auto" w:before="139"/>
        <w:ind w:left="152" w:right="109"/>
        <w:jc w:val="both"/>
      </w:pPr>
      <w:r>
        <w:rPr/>
        <w:t>La estimación de las UFC de </w:t>
      </w:r>
      <w:r>
        <w:rPr>
          <w:i/>
        </w:rPr>
        <w:t>S. aureus </w:t>
      </w:r>
      <w:r>
        <w:rPr/>
        <w:t>se realizó a partir de las que presentaron una coloración negra y halo amarillo. La cuenta total se estimó mediante la formula UFC/cm</w:t>
      </w:r>
      <w:r>
        <w:rPr>
          <w:position w:val="8"/>
          <w:sz w:val="16"/>
        </w:rPr>
        <w:t>2 </w:t>
      </w:r>
      <w:r>
        <w:rPr/>
        <w:t>= (N*F/A) * D y UFC/ml = No. de colonias contadas x Factor de dilución / ml de la muestra sembrada  (Manual de procedimientos, 2004).</w:t>
      </w:r>
    </w:p>
    <w:p>
      <w:pPr>
        <w:pStyle w:val="BodyText"/>
      </w:pPr>
    </w:p>
    <w:p>
      <w:pPr>
        <w:spacing w:before="142"/>
        <w:ind w:left="152" w:right="0" w:firstLine="0"/>
        <w:jc w:val="both"/>
        <w:rPr>
          <w:b/>
          <w:sz w:val="24"/>
        </w:rPr>
      </w:pPr>
      <w:r>
        <w:rPr>
          <w:b/>
          <w:sz w:val="24"/>
        </w:rPr>
        <w:t>Análisis estadístico para la evaluación del método de muestreo</w:t>
      </w:r>
    </w:p>
    <w:p>
      <w:pPr>
        <w:pStyle w:val="BodyText"/>
        <w:rPr>
          <w:b/>
        </w:rPr>
      </w:pPr>
    </w:p>
    <w:p>
      <w:pPr>
        <w:pStyle w:val="BodyText"/>
        <w:rPr>
          <w:b/>
        </w:rPr>
      </w:pPr>
    </w:p>
    <w:p>
      <w:pPr>
        <w:pStyle w:val="BodyText"/>
        <w:spacing w:line="360" w:lineRule="auto"/>
        <w:ind w:left="152" w:right="113"/>
        <w:jc w:val="both"/>
      </w:pPr>
      <w:r>
        <w:rPr/>
        <w:t>El modelo estadístico para el análisis de las unidades formadoras de colonias se consideró los dos métodos, el método de lavado y el muestreo de superficie de las 30 canales obtenidas de la línea de sacrificio la granja cunicula. Para la evaluación estadística</w:t>
      </w:r>
      <w:r>
        <w:rPr>
          <w:spacing w:val="-13"/>
        </w:rPr>
        <w:t> </w:t>
      </w:r>
      <w:r>
        <w:rPr/>
        <w:t>de</w:t>
      </w:r>
      <w:r>
        <w:rPr>
          <w:spacing w:val="-13"/>
        </w:rPr>
        <w:t> </w:t>
      </w:r>
      <w:r>
        <w:rPr/>
        <w:t>los</w:t>
      </w:r>
      <w:r>
        <w:rPr>
          <w:spacing w:val="-13"/>
        </w:rPr>
        <w:t> </w:t>
      </w:r>
      <w:r>
        <w:rPr/>
        <w:t>resultados</w:t>
      </w:r>
      <w:r>
        <w:rPr>
          <w:spacing w:val="-14"/>
        </w:rPr>
        <w:t> </w:t>
      </w:r>
      <w:r>
        <w:rPr/>
        <w:t>se</w:t>
      </w:r>
      <w:r>
        <w:rPr>
          <w:spacing w:val="-15"/>
        </w:rPr>
        <w:t> </w:t>
      </w:r>
      <w:r>
        <w:rPr/>
        <w:t>utilizó</w:t>
      </w:r>
      <w:r>
        <w:rPr>
          <w:spacing w:val="-11"/>
        </w:rPr>
        <w:t> </w:t>
      </w:r>
      <w:r>
        <w:rPr/>
        <w:t>el</w:t>
      </w:r>
      <w:r>
        <w:rPr>
          <w:spacing w:val="-12"/>
        </w:rPr>
        <w:t> </w:t>
      </w:r>
      <w:r>
        <w:rPr/>
        <w:t>programa</w:t>
      </w:r>
      <w:r>
        <w:rPr>
          <w:spacing w:val="-13"/>
        </w:rPr>
        <w:t> </w:t>
      </w:r>
      <w:r>
        <w:rPr/>
        <w:t>SAS</w:t>
      </w:r>
      <w:r>
        <w:rPr>
          <w:spacing w:val="-13"/>
        </w:rPr>
        <w:t> </w:t>
      </w:r>
      <w:r>
        <w:rPr/>
        <w:t>9.4</w:t>
      </w:r>
      <w:r>
        <w:rPr>
          <w:spacing w:val="-13"/>
        </w:rPr>
        <w:t> </w:t>
      </w:r>
      <w:r>
        <w:rPr/>
        <w:t>para</w:t>
      </w:r>
      <w:r>
        <w:rPr>
          <w:spacing w:val="-21"/>
        </w:rPr>
        <w:t> </w:t>
      </w:r>
      <w:r>
        <w:rPr/>
        <w:t>Windows</w:t>
      </w:r>
      <w:r>
        <w:rPr>
          <w:spacing w:val="-12"/>
        </w:rPr>
        <w:t> </w:t>
      </w:r>
      <w:r>
        <w:rPr/>
        <w:t>en</w:t>
      </w:r>
      <w:r>
        <w:rPr>
          <w:spacing w:val="-13"/>
        </w:rPr>
        <w:t> </w:t>
      </w:r>
      <w:r>
        <w:rPr/>
        <w:t>donde se realizó una comparación de medias</w:t>
      </w:r>
      <w:r>
        <w:rPr>
          <w:spacing w:val="-17"/>
        </w:rPr>
        <w:t> </w:t>
      </w:r>
      <w:r>
        <w:rPr/>
        <w:t>(p&lt;0.05).</w:t>
      </w:r>
    </w:p>
    <w:p>
      <w:pPr>
        <w:pStyle w:val="BodyText"/>
      </w:pPr>
    </w:p>
    <w:p>
      <w:pPr>
        <w:pStyle w:val="BodyText"/>
        <w:spacing w:before="4"/>
        <w:rPr>
          <w:sz w:val="21"/>
        </w:rPr>
      </w:pPr>
    </w:p>
    <w:p>
      <w:pPr>
        <w:spacing w:before="0"/>
        <w:ind w:left="152" w:right="0" w:firstLine="0"/>
        <w:jc w:val="both"/>
        <w:rPr>
          <w:b/>
          <w:sz w:val="24"/>
        </w:rPr>
      </w:pPr>
      <w:r>
        <w:rPr>
          <w:b/>
          <w:sz w:val="24"/>
        </w:rPr>
        <w:t>Determinación de las unidades formadoras de colonias (UFC).</w:t>
      </w:r>
    </w:p>
    <w:p>
      <w:pPr>
        <w:pStyle w:val="BodyText"/>
        <w:spacing w:line="360" w:lineRule="auto" w:before="137"/>
        <w:ind w:left="152" w:right="101"/>
        <w:jc w:val="both"/>
      </w:pPr>
      <w:r>
        <w:rPr/>
        <w:t>Se depositó 1.0 ml. de la muestra primaria, previamente homogenizada y se depositó en tubos para centrifuga de 13 ml con 9.0 ml de agua peptonada para la realización</w:t>
      </w:r>
      <w:r>
        <w:rPr>
          <w:spacing w:val="-8"/>
        </w:rPr>
        <w:t> </w:t>
      </w:r>
      <w:r>
        <w:rPr/>
        <w:t>de</w:t>
      </w:r>
      <w:r>
        <w:rPr>
          <w:spacing w:val="-8"/>
        </w:rPr>
        <w:t> </w:t>
      </w:r>
      <w:r>
        <w:rPr/>
        <w:t>las</w:t>
      </w:r>
      <w:r>
        <w:rPr>
          <w:spacing w:val="-11"/>
        </w:rPr>
        <w:t> </w:t>
      </w:r>
      <w:r>
        <w:rPr/>
        <w:t>diluciones</w:t>
      </w:r>
      <w:r>
        <w:rPr>
          <w:spacing w:val="-9"/>
        </w:rPr>
        <w:t> </w:t>
      </w:r>
      <w:r>
        <w:rPr/>
        <w:t>seriadas</w:t>
      </w:r>
      <w:r>
        <w:rPr>
          <w:spacing w:val="-12"/>
        </w:rPr>
        <w:t> </w:t>
      </w:r>
      <w:r>
        <w:rPr/>
        <w:t>de</w:t>
      </w:r>
      <w:r>
        <w:rPr>
          <w:spacing w:val="-11"/>
        </w:rPr>
        <w:t> </w:t>
      </w:r>
      <w:r>
        <w:rPr/>
        <w:t>10</w:t>
      </w:r>
      <w:r>
        <w:rPr>
          <w:position w:val="8"/>
          <w:sz w:val="16"/>
        </w:rPr>
        <w:t>-1</w:t>
      </w:r>
      <w:r>
        <w:rPr>
          <w:spacing w:val="10"/>
          <w:position w:val="8"/>
          <w:sz w:val="16"/>
        </w:rPr>
        <w:t> </w:t>
      </w:r>
      <w:r>
        <w:rPr/>
        <w:t>a</w:t>
      </w:r>
      <w:r>
        <w:rPr>
          <w:spacing w:val="-8"/>
        </w:rPr>
        <w:t> </w:t>
      </w:r>
      <w:r>
        <w:rPr/>
        <w:t>la</w:t>
      </w:r>
      <w:r>
        <w:rPr>
          <w:spacing w:val="-9"/>
        </w:rPr>
        <w:t> </w:t>
      </w:r>
      <w:r>
        <w:rPr/>
        <w:t>10</w:t>
      </w:r>
      <w:r>
        <w:rPr>
          <w:position w:val="8"/>
          <w:sz w:val="16"/>
        </w:rPr>
        <w:t>-6</w:t>
      </w:r>
      <w:r>
        <w:rPr>
          <w:spacing w:val="12"/>
          <w:position w:val="8"/>
          <w:sz w:val="16"/>
        </w:rPr>
        <w:t> </w:t>
      </w:r>
      <w:r>
        <w:rPr/>
        <w:t>(NOM-110-SSA1-1994).</w:t>
      </w:r>
      <w:r>
        <w:rPr>
          <w:spacing w:val="-9"/>
        </w:rPr>
        <w:t> </w:t>
      </w:r>
      <w:r>
        <w:rPr/>
        <w:t>Para la determinación de las unidades formadoras de colonias (UFC) se depositó 0.1 ml de cada una de las diluciones en cajas petri con medio selectivo de agar Baird Parker con emulsión de yema de huevo y telurito de potasio al 1%, extendiendo homogéneamente sobre la superficie con varilla de vidrio en ángulo recto previamente esterilizada, se incubaron a 37°C de 24 a 36hrs (NOM-115-SSA1- 1994). Se utilizó el mismo procedimiento antes descrito para ambos métodos. La cuenta total se estimó mediante la fórmula  UFC/cm</w:t>
      </w:r>
      <w:r>
        <w:rPr>
          <w:position w:val="8"/>
          <w:sz w:val="16"/>
        </w:rPr>
        <w:t>2 </w:t>
      </w:r>
      <w:r>
        <w:rPr/>
        <w:t>= (N*F/A) *</w:t>
      </w:r>
      <w:r>
        <w:rPr>
          <w:spacing w:val="6"/>
        </w:rPr>
        <w:t> </w:t>
      </w:r>
      <w:r>
        <w:rPr/>
        <w:t>D</w:t>
      </w:r>
    </w:p>
    <w:p>
      <w:pPr>
        <w:spacing w:after="0" w:line="360" w:lineRule="auto"/>
        <w:jc w:val="both"/>
        <w:sectPr>
          <w:pgSz w:w="12240" w:h="15840"/>
          <w:pgMar w:header="0" w:footer="1386" w:top="1500" w:bottom="1580" w:left="1720" w:right="1420"/>
        </w:sectPr>
      </w:pPr>
    </w:p>
    <w:p>
      <w:pPr>
        <w:pStyle w:val="BodyText"/>
        <w:spacing w:before="2"/>
        <w:rPr>
          <w:sz w:val="21"/>
        </w:rPr>
      </w:pPr>
    </w:p>
    <w:p>
      <w:pPr>
        <w:spacing w:before="69"/>
        <w:ind w:left="152" w:right="0" w:firstLine="0"/>
        <w:jc w:val="both"/>
        <w:rPr>
          <w:b/>
          <w:i/>
          <w:sz w:val="24"/>
        </w:rPr>
      </w:pPr>
      <w:r>
        <w:rPr>
          <w:b/>
          <w:sz w:val="24"/>
        </w:rPr>
        <w:t>Identificación fenotípica del </w:t>
      </w:r>
      <w:r>
        <w:rPr>
          <w:b/>
          <w:i/>
          <w:sz w:val="24"/>
        </w:rPr>
        <w:t>Staphylococcus aureus</w:t>
      </w:r>
    </w:p>
    <w:p>
      <w:pPr>
        <w:pStyle w:val="BodyText"/>
        <w:rPr>
          <w:b/>
          <w:i/>
        </w:rPr>
      </w:pPr>
    </w:p>
    <w:p>
      <w:pPr>
        <w:pStyle w:val="BodyText"/>
        <w:spacing w:before="9"/>
        <w:rPr>
          <w:b/>
          <w:i/>
          <w:sz w:val="23"/>
        </w:rPr>
      </w:pPr>
    </w:p>
    <w:p>
      <w:pPr>
        <w:pStyle w:val="BodyText"/>
        <w:spacing w:line="360" w:lineRule="auto"/>
        <w:ind w:left="152" w:right="106"/>
        <w:jc w:val="both"/>
      </w:pPr>
      <w:r>
        <w:rPr/>
        <w:t>De las colonias típicas de </w:t>
      </w:r>
      <w:r>
        <w:rPr>
          <w:i/>
        </w:rPr>
        <w:t>S. aureus </w:t>
      </w:r>
      <w:r>
        <w:rPr/>
        <w:t>que se identificaron en el medio selectivo agar Baird Parker. Se seleccionó una sola colonia del medio y se sembró en agar sal y manitol (BD Bioxon, México), Las colonias que se determinaron como sal y manitol positivas se sembraron en tubos de vidrio de 13 x 100 mm en agar base sangre para</w:t>
      </w:r>
      <w:r>
        <w:rPr>
          <w:spacing w:val="-10"/>
        </w:rPr>
        <w:t> </w:t>
      </w:r>
      <w:r>
        <w:rPr/>
        <w:t>su</w:t>
      </w:r>
      <w:r>
        <w:rPr>
          <w:spacing w:val="-12"/>
        </w:rPr>
        <w:t> </w:t>
      </w:r>
      <w:r>
        <w:rPr/>
        <w:t>almacenamiento</w:t>
      </w:r>
      <w:r>
        <w:rPr>
          <w:spacing w:val="-11"/>
        </w:rPr>
        <w:t> </w:t>
      </w:r>
      <w:r>
        <w:rPr/>
        <w:t>en</w:t>
      </w:r>
      <w:r>
        <w:rPr>
          <w:spacing w:val="-9"/>
        </w:rPr>
        <w:t> </w:t>
      </w:r>
      <w:r>
        <w:rPr/>
        <w:t>refrigeración</w:t>
      </w:r>
      <w:r>
        <w:rPr>
          <w:spacing w:val="-12"/>
        </w:rPr>
        <w:t> </w:t>
      </w:r>
      <w:r>
        <w:rPr/>
        <w:t>a</w:t>
      </w:r>
      <w:r>
        <w:rPr>
          <w:spacing w:val="-9"/>
        </w:rPr>
        <w:t> </w:t>
      </w:r>
      <w:r>
        <w:rPr/>
        <w:t>4</w:t>
      </w:r>
      <w:r>
        <w:rPr>
          <w:rFonts w:ascii="Calibri" w:hAnsi="Calibri"/>
        </w:rPr>
        <w:t>°</w:t>
      </w:r>
      <w:r>
        <w:rPr/>
        <w:t>C.</w:t>
      </w:r>
      <w:r>
        <w:rPr>
          <w:spacing w:val="-10"/>
        </w:rPr>
        <w:t> </w:t>
      </w:r>
      <w:r>
        <w:rPr/>
        <w:t>Posteriormente</w:t>
      </w:r>
      <w:r>
        <w:rPr>
          <w:spacing w:val="-11"/>
        </w:rPr>
        <w:t> </w:t>
      </w:r>
      <w:r>
        <w:rPr/>
        <w:t>se</w:t>
      </w:r>
      <w:r>
        <w:rPr>
          <w:spacing w:val="-12"/>
        </w:rPr>
        <w:t> </w:t>
      </w:r>
      <w:r>
        <w:rPr/>
        <w:t>sometieron</w:t>
      </w:r>
      <w:r>
        <w:rPr>
          <w:spacing w:val="-11"/>
        </w:rPr>
        <w:t> </w:t>
      </w:r>
      <w:r>
        <w:rPr/>
        <w:t>a</w:t>
      </w:r>
      <w:r>
        <w:rPr>
          <w:spacing w:val="-12"/>
        </w:rPr>
        <w:t> </w:t>
      </w:r>
      <w:r>
        <w:rPr/>
        <w:t>las pruebas de coagulasa, catalasa, fermentación anaerobia del manitol, fermentación de carbohidratos (Trehalosa y Malthosa), Voges Proskauer, tinción de Gram y hemolisis</w:t>
      </w:r>
      <w:r>
        <w:rPr>
          <w:spacing w:val="-14"/>
        </w:rPr>
        <w:t> </w:t>
      </w:r>
      <w:r>
        <w:rPr/>
        <w:t>β</w:t>
      </w:r>
      <w:r>
        <w:rPr>
          <w:spacing w:val="-15"/>
        </w:rPr>
        <w:t> </w:t>
      </w:r>
      <w:r>
        <w:rPr/>
        <w:t>y</w:t>
      </w:r>
      <w:r>
        <w:rPr>
          <w:spacing w:val="-16"/>
        </w:rPr>
        <w:t> </w:t>
      </w:r>
      <w:r>
        <w:rPr/>
        <w:t>α</w:t>
      </w:r>
      <w:r>
        <w:rPr>
          <w:spacing w:val="-13"/>
        </w:rPr>
        <w:t> </w:t>
      </w:r>
      <w:r>
        <w:rPr/>
        <w:t>y</w:t>
      </w:r>
      <w:r>
        <w:rPr>
          <w:spacing w:val="-16"/>
        </w:rPr>
        <w:t> </w:t>
      </w:r>
      <w:r>
        <w:rPr/>
        <w:t>TSI.</w:t>
      </w:r>
      <w:r>
        <w:rPr>
          <w:spacing w:val="-13"/>
        </w:rPr>
        <w:t> </w:t>
      </w:r>
      <w:r>
        <w:rPr/>
        <w:t>Como</w:t>
      </w:r>
      <w:r>
        <w:rPr>
          <w:spacing w:val="-15"/>
        </w:rPr>
        <w:t> </w:t>
      </w:r>
      <w:r>
        <w:rPr/>
        <w:t>control</w:t>
      </w:r>
      <w:r>
        <w:rPr>
          <w:spacing w:val="-17"/>
        </w:rPr>
        <w:t> </w:t>
      </w:r>
      <w:r>
        <w:rPr/>
        <w:t>positivo</w:t>
      </w:r>
      <w:r>
        <w:rPr>
          <w:spacing w:val="-13"/>
        </w:rPr>
        <w:t> </w:t>
      </w:r>
      <w:r>
        <w:rPr/>
        <w:t>para</w:t>
      </w:r>
      <w:r>
        <w:rPr>
          <w:spacing w:val="-10"/>
        </w:rPr>
        <w:t> </w:t>
      </w:r>
      <w:r>
        <w:rPr>
          <w:i/>
        </w:rPr>
        <w:t>S.</w:t>
      </w:r>
      <w:r>
        <w:rPr>
          <w:i/>
          <w:spacing w:val="-16"/>
        </w:rPr>
        <w:t> </w:t>
      </w:r>
      <w:r>
        <w:rPr>
          <w:i/>
        </w:rPr>
        <w:t>aureus</w:t>
      </w:r>
      <w:r>
        <w:rPr>
          <w:i/>
          <w:spacing w:val="-13"/>
        </w:rPr>
        <w:t> </w:t>
      </w:r>
      <w:r>
        <w:rPr/>
        <w:t>se</w:t>
      </w:r>
      <w:r>
        <w:rPr>
          <w:spacing w:val="-16"/>
        </w:rPr>
        <w:t> </w:t>
      </w:r>
      <w:r>
        <w:rPr/>
        <w:t>empleó</w:t>
      </w:r>
      <w:r>
        <w:rPr>
          <w:spacing w:val="-15"/>
        </w:rPr>
        <w:t> </w:t>
      </w:r>
      <w:r>
        <w:rPr/>
        <w:t>la</w:t>
      </w:r>
      <w:r>
        <w:rPr>
          <w:spacing w:val="-13"/>
        </w:rPr>
        <w:t> </w:t>
      </w:r>
      <w:r>
        <w:rPr/>
        <w:t>cepa</w:t>
      </w:r>
      <w:r>
        <w:rPr>
          <w:spacing w:val="-15"/>
        </w:rPr>
        <w:t> </w:t>
      </w:r>
      <w:r>
        <w:rPr/>
        <w:t>ATCC 43300 y como negativo, la cepa </w:t>
      </w:r>
      <w:r>
        <w:rPr>
          <w:i/>
        </w:rPr>
        <w:t>S. epidermidis </w:t>
      </w:r>
      <w:r>
        <w:rPr/>
        <w:t>ATCC 12228 (López </w:t>
      </w:r>
      <w:r>
        <w:rPr>
          <w:i/>
        </w:rPr>
        <w:t>et al.</w:t>
      </w:r>
      <w:r>
        <w:rPr/>
        <w:t>,</w:t>
      </w:r>
      <w:r>
        <w:rPr>
          <w:spacing w:val="-27"/>
        </w:rPr>
        <w:t> </w:t>
      </w:r>
      <w:r>
        <w:rPr/>
        <w:t>2013).</w:t>
      </w:r>
    </w:p>
    <w:p>
      <w:pPr>
        <w:pStyle w:val="BodyText"/>
      </w:pPr>
    </w:p>
    <w:p>
      <w:pPr>
        <w:pStyle w:val="BodyText"/>
        <w:spacing w:before="6"/>
        <w:rPr>
          <w:sz w:val="21"/>
        </w:rPr>
      </w:pPr>
    </w:p>
    <w:p>
      <w:pPr>
        <w:spacing w:before="0"/>
        <w:ind w:left="152" w:right="0" w:firstLine="0"/>
        <w:jc w:val="both"/>
        <w:rPr>
          <w:b/>
          <w:i/>
          <w:sz w:val="24"/>
        </w:rPr>
      </w:pPr>
      <w:r>
        <w:rPr>
          <w:b/>
          <w:sz w:val="24"/>
        </w:rPr>
        <w:t>Identificación fenotípica de </w:t>
      </w:r>
      <w:r>
        <w:rPr>
          <w:b/>
          <w:i/>
          <w:sz w:val="24"/>
        </w:rPr>
        <w:t>Staphylococcus spp</w:t>
      </w:r>
    </w:p>
    <w:p>
      <w:pPr>
        <w:pStyle w:val="BodyText"/>
        <w:spacing w:line="360" w:lineRule="auto" w:before="137"/>
        <w:ind w:left="152" w:right="105"/>
        <w:jc w:val="both"/>
      </w:pPr>
      <w:r>
        <w:rPr/>
        <w:t>Las muestras de </w:t>
      </w:r>
      <w:r>
        <w:rPr>
          <w:i/>
        </w:rPr>
        <w:t>Staphylococcus </w:t>
      </w:r>
      <w:r>
        <w:rPr/>
        <w:t>que fueron negativas a la prueba de coagulasa (SCN) se procesaron utilizando un kit comercial de API Staphy siguiendo las recomendaciones del fabricante. Para la interpretación de las reacciones positivas y negativas se utilizó la galeria de colores de API Staphy color (Figura 3 Biomerieux.)</w:t>
      </w:r>
    </w:p>
    <w:p>
      <w:pPr>
        <w:pStyle w:val="BodyText"/>
        <w:spacing w:before="10"/>
        <w:rPr>
          <w:sz w:val="29"/>
        </w:rPr>
      </w:pPr>
      <w:r>
        <w:rPr/>
        <w:drawing>
          <wp:anchor distT="0" distB="0" distL="0" distR="0" allowOverlap="1" layoutInCell="1" locked="0" behindDoc="0" simplePos="0" relativeHeight="1360">
            <wp:simplePos x="0" y="0"/>
            <wp:positionH relativeFrom="page">
              <wp:posOffset>1188719</wp:posOffset>
            </wp:positionH>
            <wp:positionV relativeFrom="paragraph">
              <wp:posOffset>242873</wp:posOffset>
            </wp:positionV>
            <wp:extent cx="5605095" cy="1957673"/>
            <wp:effectExtent l="0" t="0" r="0" b="0"/>
            <wp:wrapTopAndBottom/>
            <wp:docPr id="3" name="image6.jpeg" descr=""/>
            <wp:cNvGraphicFramePr>
              <a:graphicFrameLocks noChangeAspect="1"/>
            </wp:cNvGraphicFramePr>
            <a:graphic>
              <a:graphicData uri="http://schemas.openxmlformats.org/drawingml/2006/picture">
                <pic:pic>
                  <pic:nvPicPr>
                    <pic:cNvPr id="4" name="image6.jpeg"/>
                    <pic:cNvPicPr/>
                  </pic:nvPicPr>
                  <pic:blipFill>
                    <a:blip r:embed="rId19" cstate="print"/>
                    <a:stretch>
                      <a:fillRect/>
                    </a:stretch>
                  </pic:blipFill>
                  <pic:spPr>
                    <a:xfrm>
                      <a:off x="0" y="0"/>
                      <a:ext cx="5605095" cy="1957673"/>
                    </a:xfrm>
                    <a:prstGeom prst="rect">
                      <a:avLst/>
                    </a:prstGeom>
                  </pic:spPr>
                </pic:pic>
              </a:graphicData>
            </a:graphic>
          </wp:anchor>
        </w:drawing>
      </w:r>
    </w:p>
    <w:p>
      <w:pPr>
        <w:pStyle w:val="BodyText"/>
      </w:pPr>
    </w:p>
    <w:p>
      <w:pPr>
        <w:pStyle w:val="BodyText"/>
        <w:spacing w:before="9"/>
        <w:rPr>
          <w:sz w:val="18"/>
        </w:rPr>
      </w:pPr>
    </w:p>
    <w:p>
      <w:pPr>
        <w:spacing w:before="1"/>
        <w:ind w:left="1222" w:right="0" w:firstLine="0"/>
        <w:jc w:val="left"/>
        <w:rPr>
          <w:sz w:val="18"/>
        </w:rPr>
      </w:pPr>
      <w:r>
        <w:rPr>
          <w:sz w:val="22"/>
        </w:rPr>
        <w:t>Figura 3 Galería API Staphy color, </w:t>
      </w:r>
      <w:r>
        <w:rPr>
          <w:sz w:val="18"/>
        </w:rPr>
        <w:t>(tomada de </w:t>
      </w:r>
      <w:hyperlink r:id="rId20">
        <w:r>
          <w:rPr>
            <w:sz w:val="18"/>
          </w:rPr>
          <w:t>www.</w:t>
        </w:r>
      </w:hyperlink>
      <w:r>
        <w:rPr>
          <w:sz w:val="18"/>
        </w:rPr>
        <w:t> </w:t>
      </w:r>
      <w:r>
        <w:rPr>
          <w:sz w:val="24"/>
        </w:rPr>
        <w:t>Biomerieux.com </w:t>
      </w:r>
      <w:r>
        <w:rPr>
          <w:sz w:val="18"/>
        </w:rPr>
        <w:t>)</w:t>
      </w:r>
    </w:p>
    <w:p>
      <w:pPr>
        <w:spacing w:after="0"/>
        <w:jc w:val="left"/>
        <w:rPr>
          <w:sz w:val="18"/>
        </w:rPr>
        <w:sectPr>
          <w:pgSz w:w="12240" w:h="15840"/>
          <w:pgMar w:header="0" w:footer="1386" w:top="1500" w:bottom="1580" w:left="1720" w:right="1420"/>
        </w:sectPr>
      </w:pPr>
    </w:p>
    <w:p>
      <w:pPr>
        <w:pStyle w:val="BodyText"/>
        <w:spacing w:before="9"/>
        <w:rPr>
          <w:sz w:val="20"/>
        </w:rPr>
      </w:pPr>
    </w:p>
    <w:p>
      <w:pPr>
        <w:spacing w:line="352" w:lineRule="auto" w:before="73"/>
        <w:ind w:left="152" w:right="106" w:firstLine="0"/>
        <w:jc w:val="both"/>
        <w:rPr>
          <w:sz w:val="22"/>
        </w:rPr>
      </w:pPr>
      <w:r>
        <w:rPr>
          <w:sz w:val="22"/>
        </w:rPr>
        <w:t>La identificación se obtuvo a partir del perfil numérico por medio del software de identificación </w:t>
      </w:r>
      <w:r>
        <w:rPr>
          <w:b/>
          <w:sz w:val="22"/>
        </w:rPr>
        <w:t>apiweb</w:t>
      </w:r>
      <w:r>
        <w:rPr>
          <w:position w:val="8"/>
          <w:sz w:val="14"/>
        </w:rPr>
        <w:t>TM </w:t>
      </w:r>
      <w:r>
        <w:rPr>
          <w:sz w:val="22"/>
        </w:rPr>
        <w:t>(Biomerieux).</w:t>
      </w:r>
    </w:p>
    <w:p>
      <w:pPr>
        <w:pStyle w:val="BodyText"/>
        <w:rPr>
          <w:sz w:val="20"/>
        </w:rPr>
      </w:pPr>
    </w:p>
    <w:p>
      <w:pPr>
        <w:pStyle w:val="BodyText"/>
        <w:spacing w:before="6"/>
        <w:rPr>
          <w:sz w:val="10"/>
        </w:rPr>
      </w:pPr>
      <w:r>
        <w:rPr/>
        <w:drawing>
          <wp:anchor distT="0" distB="0" distL="0" distR="0" allowOverlap="1" layoutInCell="1" locked="0" behindDoc="0" simplePos="0" relativeHeight="1384">
            <wp:simplePos x="0" y="0"/>
            <wp:positionH relativeFrom="page">
              <wp:posOffset>1188796</wp:posOffset>
            </wp:positionH>
            <wp:positionV relativeFrom="paragraph">
              <wp:posOffset>102056</wp:posOffset>
            </wp:positionV>
            <wp:extent cx="4725887" cy="2343150"/>
            <wp:effectExtent l="0" t="0" r="0" b="0"/>
            <wp:wrapTopAndBottom/>
            <wp:docPr id="5" name="image7.png" descr=""/>
            <wp:cNvGraphicFramePr>
              <a:graphicFrameLocks noChangeAspect="1"/>
            </wp:cNvGraphicFramePr>
            <a:graphic>
              <a:graphicData uri="http://schemas.openxmlformats.org/drawingml/2006/picture">
                <pic:pic>
                  <pic:nvPicPr>
                    <pic:cNvPr id="6" name="image7.png"/>
                    <pic:cNvPicPr/>
                  </pic:nvPicPr>
                  <pic:blipFill>
                    <a:blip r:embed="rId21" cstate="print"/>
                    <a:stretch>
                      <a:fillRect/>
                    </a:stretch>
                  </pic:blipFill>
                  <pic:spPr>
                    <a:xfrm>
                      <a:off x="0" y="0"/>
                      <a:ext cx="4725887" cy="2343150"/>
                    </a:xfrm>
                    <a:prstGeom prst="rect">
                      <a:avLst/>
                    </a:prstGeom>
                  </pic:spPr>
                </pic:pic>
              </a:graphicData>
            </a:graphic>
          </wp:anchor>
        </w:drawing>
      </w:r>
    </w:p>
    <w:p>
      <w:pPr>
        <w:spacing w:line="360" w:lineRule="auto" w:before="95"/>
        <w:ind w:left="2939" w:right="1215" w:hanging="971"/>
        <w:jc w:val="left"/>
        <w:rPr>
          <w:sz w:val="22"/>
        </w:rPr>
      </w:pPr>
      <w:r>
        <w:rPr>
          <w:sz w:val="20"/>
        </w:rPr>
        <w:t>Figura 4. Galería de identificación numérica api staph V4.1 (tomada de </w:t>
      </w:r>
      <w:hyperlink r:id="rId20">
        <w:r>
          <w:rPr>
            <w:sz w:val="20"/>
          </w:rPr>
          <w:t>www.</w:t>
        </w:r>
      </w:hyperlink>
      <w:r>
        <w:rPr>
          <w:sz w:val="20"/>
        </w:rPr>
        <w:t> </w:t>
      </w:r>
      <w:r>
        <w:rPr>
          <w:sz w:val="22"/>
        </w:rPr>
        <w:t>Biomerieux.com)</w:t>
      </w:r>
    </w:p>
    <w:p>
      <w:pPr>
        <w:pStyle w:val="BodyText"/>
        <w:rPr>
          <w:sz w:val="22"/>
        </w:rPr>
      </w:pPr>
    </w:p>
    <w:p>
      <w:pPr>
        <w:spacing w:before="130"/>
        <w:ind w:left="152" w:right="0" w:firstLine="0"/>
        <w:jc w:val="both"/>
        <w:rPr>
          <w:b/>
          <w:sz w:val="24"/>
        </w:rPr>
      </w:pPr>
      <w:r>
        <w:rPr>
          <w:b/>
          <w:sz w:val="24"/>
        </w:rPr>
        <w:t>Identificación del antibiotipo MRSA</w:t>
      </w:r>
    </w:p>
    <w:p>
      <w:pPr>
        <w:pStyle w:val="BodyText"/>
        <w:rPr>
          <w:b/>
        </w:rPr>
      </w:pPr>
    </w:p>
    <w:p>
      <w:pPr>
        <w:pStyle w:val="BodyText"/>
        <w:spacing w:before="9"/>
        <w:rPr>
          <w:b/>
          <w:sz w:val="23"/>
        </w:rPr>
      </w:pPr>
    </w:p>
    <w:p>
      <w:pPr>
        <w:pStyle w:val="BodyText"/>
        <w:spacing w:line="360" w:lineRule="auto"/>
        <w:ind w:left="152" w:right="104"/>
        <w:jc w:val="both"/>
      </w:pPr>
      <w:r>
        <w:rPr/>
        <w:t>Para</w:t>
      </w:r>
      <w:r>
        <w:rPr>
          <w:spacing w:val="-16"/>
        </w:rPr>
        <w:t> </w:t>
      </w:r>
      <w:r>
        <w:rPr/>
        <w:t>la</w:t>
      </w:r>
      <w:r>
        <w:rPr>
          <w:spacing w:val="-16"/>
        </w:rPr>
        <w:t> </w:t>
      </w:r>
      <w:r>
        <w:rPr/>
        <w:t>detección</w:t>
      </w:r>
      <w:r>
        <w:rPr>
          <w:spacing w:val="-16"/>
        </w:rPr>
        <w:t> </w:t>
      </w:r>
      <w:r>
        <w:rPr/>
        <w:t>del</w:t>
      </w:r>
      <w:r>
        <w:rPr>
          <w:spacing w:val="-17"/>
        </w:rPr>
        <w:t> </w:t>
      </w:r>
      <w:r>
        <w:rPr/>
        <w:t>antibiotipo</w:t>
      </w:r>
      <w:r>
        <w:rPr>
          <w:spacing w:val="-16"/>
        </w:rPr>
        <w:t> </w:t>
      </w:r>
      <w:r>
        <w:rPr/>
        <w:t>MRSA</w:t>
      </w:r>
      <w:r>
        <w:rPr>
          <w:spacing w:val="-16"/>
        </w:rPr>
        <w:t> </w:t>
      </w:r>
      <w:r>
        <w:rPr/>
        <w:t>a</w:t>
      </w:r>
      <w:r>
        <w:rPr>
          <w:spacing w:val="-16"/>
        </w:rPr>
        <w:t> </w:t>
      </w:r>
      <w:r>
        <w:rPr/>
        <w:t>partir</w:t>
      </w:r>
      <w:r>
        <w:rPr>
          <w:spacing w:val="-17"/>
        </w:rPr>
        <w:t> </w:t>
      </w:r>
      <w:r>
        <w:rPr/>
        <w:t>de</w:t>
      </w:r>
      <w:r>
        <w:rPr>
          <w:spacing w:val="-12"/>
        </w:rPr>
        <w:t> </w:t>
      </w:r>
      <w:r>
        <w:rPr>
          <w:i/>
        </w:rPr>
        <w:t>S.</w:t>
      </w:r>
      <w:r>
        <w:rPr>
          <w:i/>
          <w:spacing w:val="-16"/>
        </w:rPr>
        <w:t> </w:t>
      </w:r>
      <w:r>
        <w:rPr>
          <w:i/>
        </w:rPr>
        <w:t>aureus</w:t>
      </w:r>
      <w:r>
        <w:rPr>
          <w:i/>
          <w:spacing w:val="-16"/>
        </w:rPr>
        <w:t> </w:t>
      </w:r>
      <w:r>
        <w:rPr/>
        <w:t>resistente</w:t>
      </w:r>
      <w:r>
        <w:rPr>
          <w:spacing w:val="-16"/>
        </w:rPr>
        <w:t> </w:t>
      </w:r>
      <w:r>
        <w:rPr/>
        <w:t>a</w:t>
      </w:r>
      <w:r>
        <w:rPr>
          <w:spacing w:val="-16"/>
        </w:rPr>
        <w:t> </w:t>
      </w:r>
      <w:r>
        <w:rPr/>
        <w:t>la</w:t>
      </w:r>
      <w:r>
        <w:rPr>
          <w:spacing w:val="-16"/>
        </w:rPr>
        <w:t> </w:t>
      </w:r>
      <w:r>
        <w:rPr/>
        <w:t>oxacilina, se realizó la prueba de tamizado de oxacilina (oxacillin agar screen), en la cual, de cada aislamiento se hizo una suspensión directa de colonias en caldo Mueller- Hinton, con una suspensión bacteriana a una densidad de 0,5 McFarland. De cada cultivo se inoculó por duplicado en placas de agar Mueller-Hinton adicionadas con 4</w:t>
      </w:r>
      <w:r>
        <w:rPr>
          <w:b/>
        </w:rPr>
        <w:t>% </w:t>
      </w:r>
      <w:r>
        <w:rPr/>
        <w:t>de NaCl y 6 μg/mL de oxacilina y se incubaron por 24 horas a 35 ºC. Para esta prueba se consideraron como MRSA aquellos aislamientos que resistieron esta concentración.</w:t>
      </w:r>
      <w:r>
        <w:rPr>
          <w:spacing w:val="-10"/>
        </w:rPr>
        <w:t> </w:t>
      </w:r>
      <w:r>
        <w:rPr/>
        <w:t>La</w:t>
      </w:r>
      <w:r>
        <w:rPr>
          <w:spacing w:val="-9"/>
        </w:rPr>
        <w:t> </w:t>
      </w:r>
      <w:r>
        <w:rPr/>
        <w:t>cepa</w:t>
      </w:r>
      <w:r>
        <w:rPr>
          <w:spacing w:val="-9"/>
        </w:rPr>
        <w:t> </w:t>
      </w:r>
      <w:r>
        <w:rPr/>
        <w:t>ATCC</w:t>
      </w:r>
      <w:r>
        <w:rPr>
          <w:spacing w:val="-14"/>
        </w:rPr>
        <w:t> </w:t>
      </w:r>
      <w:r>
        <w:rPr/>
        <w:t>29213</w:t>
      </w:r>
      <w:r>
        <w:rPr>
          <w:spacing w:val="-12"/>
        </w:rPr>
        <w:t> </w:t>
      </w:r>
      <w:r>
        <w:rPr/>
        <w:t>(sensible)</w:t>
      </w:r>
      <w:r>
        <w:rPr>
          <w:spacing w:val="-10"/>
        </w:rPr>
        <w:t> </w:t>
      </w:r>
      <w:r>
        <w:rPr/>
        <w:t>y</w:t>
      </w:r>
      <w:r>
        <w:rPr>
          <w:spacing w:val="-13"/>
        </w:rPr>
        <w:t> </w:t>
      </w:r>
      <w:r>
        <w:rPr/>
        <w:t>cepa</w:t>
      </w:r>
      <w:r>
        <w:rPr>
          <w:spacing w:val="-12"/>
        </w:rPr>
        <w:t> </w:t>
      </w:r>
      <w:r>
        <w:rPr/>
        <w:t>ATCC</w:t>
      </w:r>
      <w:r>
        <w:rPr>
          <w:spacing w:val="-11"/>
        </w:rPr>
        <w:t> </w:t>
      </w:r>
      <w:r>
        <w:rPr/>
        <w:t>43300</w:t>
      </w:r>
      <w:r>
        <w:rPr>
          <w:spacing w:val="-9"/>
        </w:rPr>
        <w:t> </w:t>
      </w:r>
      <w:r>
        <w:rPr/>
        <w:t>(resistente),</w:t>
      </w:r>
      <w:r>
        <w:rPr>
          <w:spacing w:val="-13"/>
        </w:rPr>
        <w:t> </w:t>
      </w:r>
      <w:r>
        <w:rPr/>
        <w:t>se emplearon como controles</w:t>
      </w:r>
      <w:r>
        <w:rPr>
          <w:spacing w:val="-15"/>
        </w:rPr>
        <w:t> </w:t>
      </w:r>
      <w:r>
        <w:rPr/>
        <w:t>positivos.</w:t>
      </w:r>
    </w:p>
    <w:p>
      <w:pPr>
        <w:pStyle w:val="BodyText"/>
      </w:pPr>
    </w:p>
    <w:p>
      <w:pPr>
        <w:pStyle w:val="BodyText"/>
        <w:spacing w:line="360" w:lineRule="auto" w:before="139"/>
        <w:ind w:left="152" w:right="105"/>
        <w:jc w:val="both"/>
      </w:pPr>
      <w:r>
        <w:rPr/>
        <w:t>La sensibilidad </w:t>
      </w:r>
      <w:r>
        <w:rPr>
          <w:i/>
        </w:rPr>
        <w:t>in vitro </w:t>
      </w:r>
      <w:r>
        <w:rPr/>
        <w:t>a los antibióticos β-lactamicos del aislamiento de </w:t>
      </w:r>
      <w:r>
        <w:rPr>
          <w:i/>
        </w:rPr>
        <w:t>S aureus </w:t>
      </w:r>
      <w:r>
        <w:rPr/>
        <w:t>se evaluó por el método de difusión en agar Mueller-Hinton (MH), con unidiscos de amoxicilina / ácido clavulanico (10/20 mg) incubadas a 37°C y placas de agar   MH</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57" w:lineRule="auto" w:before="69"/>
        <w:ind w:left="152" w:right="109"/>
        <w:jc w:val="both"/>
      </w:pPr>
      <w:r>
        <w:rPr/>
        <w:t>(NaCl</w:t>
      </w:r>
      <w:r>
        <w:rPr>
          <w:spacing w:val="-4"/>
        </w:rPr>
        <w:t> </w:t>
      </w:r>
      <w:r>
        <w:rPr/>
        <w:t>4%)</w:t>
      </w:r>
      <w:r>
        <w:rPr>
          <w:spacing w:val="-4"/>
        </w:rPr>
        <w:t> </w:t>
      </w:r>
      <w:r>
        <w:rPr/>
        <w:t>y</w:t>
      </w:r>
      <w:r>
        <w:rPr>
          <w:spacing w:val="-6"/>
        </w:rPr>
        <w:t> </w:t>
      </w:r>
      <w:r>
        <w:rPr/>
        <w:t>unidiscos</w:t>
      </w:r>
      <w:r>
        <w:rPr>
          <w:spacing w:val="-3"/>
        </w:rPr>
        <w:t> </w:t>
      </w:r>
      <w:r>
        <w:rPr/>
        <w:t>de</w:t>
      </w:r>
      <w:r>
        <w:rPr>
          <w:spacing w:val="-3"/>
        </w:rPr>
        <w:t> </w:t>
      </w:r>
      <w:r>
        <w:rPr/>
        <w:t>oxacilina</w:t>
      </w:r>
      <w:r>
        <w:rPr>
          <w:spacing w:val="1"/>
        </w:rPr>
        <w:t> </w:t>
      </w:r>
      <w:r>
        <w:rPr/>
        <w:t>–</w:t>
      </w:r>
      <w:r>
        <w:rPr>
          <w:spacing w:val="-5"/>
        </w:rPr>
        <w:t> </w:t>
      </w:r>
      <w:r>
        <w:rPr/>
        <w:t>meticilina</w:t>
      </w:r>
      <w:r>
        <w:rPr>
          <w:spacing w:val="-3"/>
        </w:rPr>
        <w:t> </w:t>
      </w:r>
      <w:r>
        <w:rPr/>
        <w:t>(1</w:t>
      </w:r>
      <w:r>
        <w:rPr>
          <w:spacing w:val="-2"/>
        </w:rPr>
        <w:t> </w:t>
      </w:r>
      <w:r>
        <w:rPr/>
        <w:t>μg</w:t>
      </w:r>
      <w:r>
        <w:rPr>
          <w:spacing w:val="-5"/>
        </w:rPr>
        <w:t> </w:t>
      </w:r>
      <w:r>
        <w:rPr/>
        <w:t>y</w:t>
      </w:r>
      <w:r>
        <w:rPr>
          <w:spacing w:val="-6"/>
        </w:rPr>
        <w:t> </w:t>
      </w:r>
      <w:r>
        <w:rPr/>
        <w:t>6</w:t>
      </w:r>
      <w:r>
        <w:rPr>
          <w:spacing w:val="-2"/>
        </w:rPr>
        <w:t> </w:t>
      </w:r>
      <w:r>
        <w:rPr/>
        <w:t>μg)</w:t>
      </w:r>
      <w:r>
        <w:rPr>
          <w:spacing w:val="-4"/>
        </w:rPr>
        <w:t> </w:t>
      </w:r>
      <w:r>
        <w:rPr/>
        <w:t>incubadas</w:t>
      </w:r>
      <w:r>
        <w:rPr>
          <w:spacing w:val="-3"/>
        </w:rPr>
        <w:t> </w:t>
      </w:r>
      <w:r>
        <w:rPr/>
        <w:t>a</w:t>
      </w:r>
      <w:r>
        <w:rPr>
          <w:spacing w:val="-3"/>
        </w:rPr>
        <w:t> </w:t>
      </w:r>
      <w:r>
        <w:rPr/>
        <w:t>35</w:t>
      </w:r>
      <w:r>
        <w:rPr>
          <w:spacing w:val="-3"/>
        </w:rPr>
        <w:t> </w:t>
      </w:r>
      <w:r>
        <w:rPr/>
        <w:t>y</w:t>
      </w:r>
      <w:r>
        <w:rPr>
          <w:spacing w:val="-6"/>
        </w:rPr>
        <w:t> </w:t>
      </w:r>
      <w:r>
        <w:rPr/>
        <w:t>42°C (López </w:t>
      </w:r>
      <w:r>
        <w:rPr>
          <w:i/>
        </w:rPr>
        <w:t>et al</w:t>
      </w:r>
      <w:r>
        <w:rPr/>
        <w:t>.,</w:t>
      </w:r>
      <w:r>
        <w:rPr>
          <w:spacing w:val="-8"/>
        </w:rPr>
        <w:t> </w:t>
      </w:r>
      <w:r>
        <w:rPr/>
        <w:t>2013).</w:t>
      </w:r>
    </w:p>
    <w:p>
      <w:pPr>
        <w:pStyle w:val="BodyText"/>
      </w:pPr>
    </w:p>
    <w:p>
      <w:pPr>
        <w:spacing w:line="360" w:lineRule="auto" w:before="147"/>
        <w:ind w:left="152" w:right="632" w:firstLine="0"/>
        <w:jc w:val="left"/>
        <w:rPr>
          <w:b/>
          <w:sz w:val="24"/>
        </w:rPr>
      </w:pPr>
      <w:r>
        <w:rPr>
          <w:b/>
          <w:sz w:val="24"/>
        </w:rPr>
        <w:t>Identificación genotípica de </w:t>
      </w:r>
      <w:r>
        <w:rPr>
          <w:b/>
          <w:i/>
          <w:sz w:val="24"/>
        </w:rPr>
        <w:t>Staphylosoccus aureus </w:t>
      </w:r>
      <w:r>
        <w:rPr>
          <w:b/>
          <w:sz w:val="24"/>
        </w:rPr>
        <w:t>meticilina resistente MRSA por  reacción en cadena de la polimerasa.</w:t>
      </w:r>
    </w:p>
    <w:p>
      <w:pPr>
        <w:pStyle w:val="BodyText"/>
        <w:spacing w:before="10"/>
        <w:rPr>
          <w:b/>
          <w:sz w:val="34"/>
        </w:rPr>
      </w:pPr>
    </w:p>
    <w:p>
      <w:pPr>
        <w:pStyle w:val="BodyText"/>
        <w:spacing w:line="360" w:lineRule="auto"/>
        <w:ind w:left="152" w:right="110"/>
        <w:jc w:val="both"/>
      </w:pPr>
      <w:r>
        <w:rPr>
          <w:b/>
        </w:rPr>
        <w:t>Extracción de ADN bacteriano. </w:t>
      </w:r>
      <w:r>
        <w:rPr/>
        <w:t>La extracción de ADN nuclear se llevó a cabo utilizando el kit comercial, GeneJET Genomic DNA Purification Kit (Thermo Scientific, EUA), siguiendo las instrucciones del fabricante.</w:t>
      </w:r>
    </w:p>
    <w:p>
      <w:pPr>
        <w:pStyle w:val="BodyText"/>
      </w:pPr>
    </w:p>
    <w:p>
      <w:pPr>
        <w:pStyle w:val="BodyText"/>
        <w:spacing w:line="360" w:lineRule="auto" w:before="142"/>
        <w:ind w:left="152" w:right="101"/>
        <w:jc w:val="both"/>
      </w:pPr>
      <w:r>
        <w:rPr>
          <w:b/>
        </w:rPr>
        <w:t>Cuantificación</w:t>
      </w:r>
      <w:r>
        <w:rPr>
          <w:b/>
          <w:spacing w:val="-8"/>
        </w:rPr>
        <w:t> </w:t>
      </w:r>
      <w:r>
        <w:rPr>
          <w:b/>
        </w:rPr>
        <w:t>del</w:t>
      </w:r>
      <w:r>
        <w:rPr>
          <w:b/>
          <w:spacing w:val="-5"/>
        </w:rPr>
        <w:t> </w:t>
      </w:r>
      <w:r>
        <w:rPr>
          <w:b/>
        </w:rPr>
        <w:t>ADN.</w:t>
      </w:r>
      <w:r>
        <w:rPr>
          <w:b/>
          <w:spacing w:val="-7"/>
        </w:rPr>
        <w:t> </w:t>
      </w:r>
      <w:r>
        <w:rPr/>
        <w:t>La</w:t>
      </w:r>
      <w:r>
        <w:rPr>
          <w:spacing w:val="-7"/>
        </w:rPr>
        <w:t> </w:t>
      </w:r>
      <w:r>
        <w:rPr/>
        <w:t>concentración</w:t>
      </w:r>
      <w:r>
        <w:rPr>
          <w:spacing w:val="-9"/>
        </w:rPr>
        <w:t> </w:t>
      </w:r>
      <w:r>
        <w:rPr/>
        <w:t>y</w:t>
      </w:r>
      <w:r>
        <w:rPr>
          <w:spacing w:val="-10"/>
        </w:rPr>
        <w:t> </w:t>
      </w:r>
      <w:r>
        <w:rPr/>
        <w:t>pureza</w:t>
      </w:r>
      <w:r>
        <w:rPr>
          <w:spacing w:val="-7"/>
        </w:rPr>
        <w:t> </w:t>
      </w:r>
      <w:r>
        <w:rPr/>
        <w:t>del</w:t>
      </w:r>
      <w:r>
        <w:rPr>
          <w:spacing w:val="-8"/>
        </w:rPr>
        <w:t> </w:t>
      </w:r>
      <w:r>
        <w:rPr/>
        <w:t>ADN</w:t>
      </w:r>
      <w:r>
        <w:rPr>
          <w:spacing w:val="-11"/>
        </w:rPr>
        <w:t> </w:t>
      </w:r>
      <w:r>
        <w:rPr/>
        <w:t>extraído</w:t>
      </w:r>
      <w:r>
        <w:rPr>
          <w:spacing w:val="-7"/>
        </w:rPr>
        <w:t> </w:t>
      </w:r>
      <w:r>
        <w:rPr/>
        <w:t>se</w:t>
      </w:r>
      <w:r>
        <w:rPr>
          <w:spacing w:val="-9"/>
        </w:rPr>
        <w:t> </w:t>
      </w:r>
      <w:r>
        <w:rPr/>
        <w:t>cuantificó mediante el espectrofotómetro y programa informático de cuantificación NANO- DROP.</w:t>
      </w:r>
    </w:p>
    <w:p>
      <w:pPr>
        <w:pStyle w:val="BodyText"/>
        <w:spacing w:line="360" w:lineRule="auto" w:before="5"/>
        <w:ind w:left="152" w:right="106"/>
        <w:jc w:val="both"/>
      </w:pPr>
      <w:r>
        <w:rPr/>
        <w:t>La pureza del ADN se obtuvo por la relación entre la absorbancia de 260 nm y 280 nm. La preparación pura del ADN presenta un cociente entre 1.8 y 2.0.</w:t>
      </w:r>
    </w:p>
    <w:p>
      <w:pPr>
        <w:pStyle w:val="BodyText"/>
      </w:pPr>
    </w:p>
    <w:p>
      <w:pPr>
        <w:spacing w:before="142"/>
        <w:ind w:left="152" w:right="0" w:firstLine="0"/>
        <w:jc w:val="both"/>
        <w:rPr>
          <w:b/>
          <w:i/>
          <w:sz w:val="24"/>
        </w:rPr>
      </w:pPr>
      <w:r>
        <w:rPr>
          <w:b/>
          <w:sz w:val="24"/>
        </w:rPr>
        <w:t>Identificaion</w:t>
      </w:r>
      <w:r>
        <w:rPr>
          <w:b/>
          <w:spacing w:val="-14"/>
          <w:sz w:val="24"/>
        </w:rPr>
        <w:t> </w:t>
      </w:r>
      <w:r>
        <w:rPr>
          <w:b/>
          <w:sz w:val="24"/>
        </w:rPr>
        <w:t>genotípica</w:t>
      </w:r>
      <w:r>
        <w:rPr>
          <w:b/>
          <w:spacing w:val="-13"/>
          <w:sz w:val="24"/>
        </w:rPr>
        <w:t> </w:t>
      </w:r>
      <w:r>
        <w:rPr>
          <w:b/>
          <w:sz w:val="24"/>
        </w:rPr>
        <w:t>de</w:t>
      </w:r>
      <w:r>
        <w:rPr>
          <w:b/>
          <w:spacing w:val="-13"/>
          <w:sz w:val="24"/>
        </w:rPr>
        <w:t> </w:t>
      </w:r>
      <w:r>
        <w:rPr>
          <w:b/>
          <w:sz w:val="24"/>
        </w:rPr>
        <w:t>Staphylococsus</w:t>
      </w:r>
      <w:r>
        <w:rPr>
          <w:b/>
          <w:spacing w:val="-13"/>
          <w:sz w:val="24"/>
        </w:rPr>
        <w:t> </w:t>
      </w:r>
      <w:r>
        <w:rPr>
          <w:b/>
          <w:sz w:val="24"/>
        </w:rPr>
        <w:t>aureus</w:t>
      </w:r>
      <w:r>
        <w:rPr>
          <w:b/>
          <w:spacing w:val="-16"/>
          <w:sz w:val="24"/>
        </w:rPr>
        <w:t> </w:t>
      </w:r>
      <w:r>
        <w:rPr>
          <w:b/>
          <w:sz w:val="24"/>
        </w:rPr>
        <w:t>a</w:t>
      </w:r>
      <w:r>
        <w:rPr>
          <w:b/>
          <w:spacing w:val="-13"/>
          <w:sz w:val="24"/>
        </w:rPr>
        <w:t> </w:t>
      </w:r>
      <w:r>
        <w:rPr>
          <w:b/>
          <w:sz w:val="24"/>
        </w:rPr>
        <w:t>través</w:t>
      </w:r>
      <w:r>
        <w:rPr>
          <w:b/>
          <w:spacing w:val="-8"/>
          <w:sz w:val="24"/>
        </w:rPr>
        <w:t> </w:t>
      </w:r>
      <w:r>
        <w:rPr>
          <w:b/>
          <w:sz w:val="24"/>
        </w:rPr>
        <w:t>de</w:t>
      </w:r>
      <w:r>
        <w:rPr>
          <w:b/>
          <w:spacing w:val="-13"/>
          <w:sz w:val="24"/>
        </w:rPr>
        <w:t> </w:t>
      </w:r>
      <w:r>
        <w:rPr>
          <w:b/>
          <w:sz w:val="24"/>
        </w:rPr>
        <w:t>los</w:t>
      </w:r>
      <w:r>
        <w:rPr>
          <w:b/>
          <w:spacing w:val="-13"/>
          <w:sz w:val="24"/>
        </w:rPr>
        <w:t> </w:t>
      </w:r>
      <w:r>
        <w:rPr>
          <w:b/>
          <w:sz w:val="24"/>
        </w:rPr>
        <w:t>genes</w:t>
      </w:r>
      <w:r>
        <w:rPr>
          <w:b/>
          <w:spacing w:val="-11"/>
          <w:sz w:val="24"/>
        </w:rPr>
        <w:t> </w:t>
      </w:r>
      <w:r>
        <w:rPr>
          <w:b/>
          <w:i/>
          <w:sz w:val="24"/>
        </w:rPr>
        <w:t>femB</w:t>
      </w:r>
    </w:p>
    <w:p>
      <w:pPr>
        <w:spacing w:before="139"/>
        <w:ind w:left="152" w:right="0" w:firstLine="0"/>
        <w:jc w:val="both"/>
        <w:rPr>
          <w:b/>
          <w:sz w:val="24"/>
        </w:rPr>
      </w:pPr>
      <w:r>
        <w:rPr>
          <w:b/>
          <w:sz w:val="24"/>
        </w:rPr>
        <w:t>y </w:t>
      </w:r>
      <w:r>
        <w:rPr>
          <w:b/>
          <w:i/>
          <w:sz w:val="24"/>
        </w:rPr>
        <w:t>mecA </w:t>
      </w:r>
      <w:r>
        <w:rPr>
          <w:b/>
          <w:sz w:val="24"/>
        </w:rPr>
        <w:t>por PCR multiplex.</w:t>
      </w:r>
    </w:p>
    <w:p>
      <w:pPr>
        <w:pStyle w:val="BodyText"/>
        <w:rPr>
          <w:b/>
        </w:rPr>
      </w:pPr>
    </w:p>
    <w:p>
      <w:pPr>
        <w:pStyle w:val="BodyText"/>
        <w:spacing w:before="10"/>
        <w:rPr>
          <w:b/>
          <w:sz w:val="25"/>
        </w:rPr>
      </w:pPr>
    </w:p>
    <w:p>
      <w:pPr>
        <w:pStyle w:val="BodyText"/>
        <w:spacing w:line="360" w:lineRule="auto"/>
        <w:ind w:left="152" w:right="104"/>
        <w:jc w:val="both"/>
      </w:pPr>
      <w:r>
        <w:rPr/>
        <w:t>El total de los aislamientos de </w:t>
      </w:r>
      <w:r>
        <w:rPr>
          <w:i/>
        </w:rPr>
        <w:t>S. aureus, </w:t>
      </w:r>
      <w:r>
        <w:rPr/>
        <w:t>fueron probados para la identificación de MRSA, el cual se llevó a cabo mediante la detección del gen </w:t>
      </w:r>
      <w:r>
        <w:rPr>
          <w:i/>
        </w:rPr>
        <w:t>femB </w:t>
      </w:r>
      <w:r>
        <w:rPr/>
        <w:t>(específico de </w:t>
      </w:r>
      <w:r>
        <w:rPr>
          <w:i/>
        </w:rPr>
        <w:t>Staphylococcus aureus</w:t>
      </w:r>
      <w:r>
        <w:rPr/>
        <w:t>) y el gen </w:t>
      </w:r>
      <w:r>
        <w:rPr>
          <w:i/>
        </w:rPr>
        <w:t>mecA </w:t>
      </w:r>
      <w:r>
        <w:rPr/>
        <w:t>(codificante de la resistencia a meticilina) (Kobayashi </w:t>
      </w:r>
      <w:r>
        <w:rPr>
          <w:i/>
        </w:rPr>
        <w:t>et al</w:t>
      </w:r>
      <w:r>
        <w:rPr/>
        <w:t>., 1994), los iniciadores utilizados se encuentran descritos en el cuadro 5. Las condiciones de amplificación empleadas fueron las siguientes: desnaturalización inicial a 94°C por 5 min; desnaturalización 94°C por 1min; alineación a 55°C por 1 min; extensión a 72°C por 2 min y extensión final a 72°C por 7 min, por 30 ciclos; como control positivo se empleó la cepa ATCC 43300 (Cuadro 3).</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BodyText"/>
        <w:spacing w:before="69"/>
        <w:ind w:left="762"/>
      </w:pPr>
      <w:r>
        <w:rPr/>
        <w:t>Cuadro 3. Primer de los genes </w:t>
      </w:r>
      <w:r>
        <w:rPr>
          <w:i/>
        </w:rPr>
        <w:t>mecA </w:t>
      </w:r>
      <w:r>
        <w:rPr/>
        <w:t>y </w:t>
      </w:r>
      <w:r>
        <w:rPr>
          <w:i/>
        </w:rPr>
        <w:t>femb </w:t>
      </w:r>
      <w:r>
        <w:rPr/>
        <w:t>para la identificación de MRSA.</w:t>
      </w:r>
    </w:p>
    <w:p>
      <w:pPr>
        <w:pStyle w:val="BodyText"/>
        <w:spacing w:before="3"/>
        <w:rPr>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8"/>
        <w:gridCol w:w="4543"/>
        <w:gridCol w:w="1928"/>
        <w:gridCol w:w="2033"/>
      </w:tblGrid>
      <w:tr>
        <w:trPr>
          <w:trHeight w:val="838" w:hRule="exact"/>
        </w:trPr>
        <w:tc>
          <w:tcPr>
            <w:tcW w:w="908" w:type="dxa"/>
            <w:tcBorders>
              <w:left w:val="nil"/>
              <w:right w:val="nil"/>
            </w:tcBorders>
          </w:tcPr>
          <w:p>
            <w:pPr>
              <w:pStyle w:val="TableParagraph"/>
              <w:spacing w:before="207"/>
              <w:ind w:right="176"/>
              <w:jc w:val="right"/>
              <w:rPr>
                <w:b/>
                <w:sz w:val="24"/>
              </w:rPr>
            </w:pPr>
            <w:r>
              <w:rPr>
                <w:b/>
                <w:sz w:val="24"/>
              </w:rPr>
              <w:t>Gen</w:t>
            </w:r>
          </w:p>
        </w:tc>
        <w:tc>
          <w:tcPr>
            <w:tcW w:w="4543" w:type="dxa"/>
            <w:tcBorders>
              <w:left w:val="nil"/>
              <w:right w:val="nil"/>
            </w:tcBorders>
          </w:tcPr>
          <w:p>
            <w:pPr>
              <w:pStyle w:val="TableParagraph"/>
              <w:spacing w:before="207"/>
              <w:ind w:left="440" w:right="203"/>
              <w:jc w:val="left"/>
              <w:rPr>
                <w:b/>
                <w:sz w:val="24"/>
              </w:rPr>
            </w:pPr>
            <w:r>
              <w:rPr>
                <w:b/>
                <w:sz w:val="24"/>
              </w:rPr>
              <w:t>Secuencia de nucleótidos (5’</w:t>
            </w:r>
            <w:r>
              <w:rPr>
                <w:sz w:val="24"/>
              </w:rPr>
              <w:t>→</w:t>
            </w:r>
            <w:r>
              <w:rPr>
                <w:b/>
                <w:sz w:val="24"/>
              </w:rPr>
              <w:t>3’)</w:t>
            </w:r>
          </w:p>
        </w:tc>
        <w:tc>
          <w:tcPr>
            <w:tcW w:w="1928" w:type="dxa"/>
            <w:tcBorders>
              <w:left w:val="nil"/>
              <w:right w:val="nil"/>
            </w:tcBorders>
          </w:tcPr>
          <w:p>
            <w:pPr>
              <w:pStyle w:val="TableParagraph"/>
              <w:spacing w:line="360" w:lineRule="auto"/>
              <w:ind w:left="223" w:right="111" w:firstLine="326"/>
              <w:jc w:val="left"/>
              <w:rPr>
                <w:b/>
                <w:sz w:val="24"/>
              </w:rPr>
            </w:pPr>
            <w:r>
              <w:rPr>
                <w:b/>
                <w:sz w:val="24"/>
              </w:rPr>
              <w:t>Tamaño amplicón (pb)</w:t>
            </w:r>
          </w:p>
        </w:tc>
        <w:tc>
          <w:tcPr>
            <w:tcW w:w="2033" w:type="dxa"/>
            <w:tcBorders>
              <w:left w:val="nil"/>
              <w:right w:val="nil"/>
            </w:tcBorders>
          </w:tcPr>
          <w:p>
            <w:pPr>
              <w:pStyle w:val="TableParagraph"/>
              <w:spacing w:before="207"/>
              <w:ind w:left="405" w:right="109"/>
              <w:jc w:val="left"/>
              <w:rPr>
                <w:b/>
                <w:sz w:val="24"/>
              </w:rPr>
            </w:pPr>
            <w:r>
              <w:rPr>
                <w:b/>
                <w:sz w:val="24"/>
              </w:rPr>
              <w:t>Referencia</w:t>
            </w:r>
          </w:p>
        </w:tc>
      </w:tr>
      <w:tr>
        <w:trPr>
          <w:trHeight w:val="774" w:hRule="exact"/>
        </w:trPr>
        <w:tc>
          <w:tcPr>
            <w:tcW w:w="908" w:type="dxa"/>
            <w:tcBorders>
              <w:left w:val="nil"/>
              <w:bottom w:val="nil"/>
              <w:right w:val="nil"/>
            </w:tcBorders>
          </w:tcPr>
          <w:p>
            <w:pPr>
              <w:pStyle w:val="TableParagraph"/>
              <w:spacing w:line="274" w:lineRule="exact"/>
              <w:ind w:right="172"/>
              <w:jc w:val="right"/>
              <w:rPr>
                <w:i/>
                <w:sz w:val="24"/>
              </w:rPr>
            </w:pPr>
            <w:r>
              <w:rPr>
                <w:i/>
                <w:w w:val="95"/>
                <w:sz w:val="24"/>
              </w:rPr>
              <w:t>mecA</w:t>
            </w:r>
          </w:p>
        </w:tc>
        <w:tc>
          <w:tcPr>
            <w:tcW w:w="4543" w:type="dxa"/>
            <w:tcBorders>
              <w:left w:val="nil"/>
              <w:bottom w:val="nil"/>
              <w:right w:val="nil"/>
            </w:tcBorders>
          </w:tcPr>
          <w:p>
            <w:pPr>
              <w:pStyle w:val="TableParagraph"/>
              <w:spacing w:line="357" w:lineRule="auto"/>
              <w:ind w:left="174" w:right="203"/>
              <w:jc w:val="left"/>
              <w:rPr>
                <w:sz w:val="20"/>
              </w:rPr>
            </w:pPr>
            <w:r>
              <w:rPr>
                <w:sz w:val="20"/>
              </w:rPr>
              <w:t>Sentido: AAAATCGATGGTAAAGGTTGGC Antisentido: AGTTCTGCAGTACCGGATTTGC</w:t>
            </w:r>
          </w:p>
        </w:tc>
        <w:tc>
          <w:tcPr>
            <w:tcW w:w="1928" w:type="dxa"/>
            <w:tcBorders>
              <w:left w:val="nil"/>
              <w:bottom w:val="nil"/>
              <w:right w:val="nil"/>
            </w:tcBorders>
          </w:tcPr>
          <w:p>
            <w:pPr>
              <w:pStyle w:val="TableParagraph"/>
              <w:ind w:right="713"/>
              <w:jc w:val="right"/>
              <w:rPr>
                <w:sz w:val="24"/>
              </w:rPr>
            </w:pPr>
            <w:r>
              <w:rPr>
                <w:w w:val="95"/>
                <w:sz w:val="24"/>
              </w:rPr>
              <w:t>533</w:t>
            </w:r>
          </w:p>
        </w:tc>
        <w:tc>
          <w:tcPr>
            <w:tcW w:w="2033" w:type="dxa"/>
            <w:tcBorders>
              <w:left w:val="nil"/>
              <w:bottom w:val="nil"/>
              <w:right w:val="nil"/>
            </w:tcBorders>
          </w:tcPr>
          <w:p>
            <w:pPr>
              <w:pStyle w:val="TableParagraph"/>
              <w:spacing w:line="360" w:lineRule="auto"/>
              <w:ind w:left="672" w:right="109" w:hanging="543"/>
              <w:jc w:val="left"/>
              <w:rPr>
                <w:sz w:val="24"/>
              </w:rPr>
            </w:pPr>
            <w:r>
              <w:rPr>
                <w:sz w:val="24"/>
              </w:rPr>
              <w:t>Kobayashi </w:t>
            </w:r>
            <w:r>
              <w:rPr>
                <w:i/>
                <w:sz w:val="24"/>
              </w:rPr>
              <w:t>et al</w:t>
            </w:r>
            <w:r>
              <w:rPr>
                <w:sz w:val="24"/>
              </w:rPr>
              <w:t>., (1994)</w:t>
            </w:r>
          </w:p>
        </w:tc>
      </w:tr>
      <w:tr>
        <w:trPr>
          <w:trHeight w:val="755" w:hRule="exact"/>
        </w:trPr>
        <w:tc>
          <w:tcPr>
            <w:tcW w:w="908" w:type="dxa"/>
            <w:tcBorders>
              <w:top w:val="nil"/>
              <w:left w:val="nil"/>
              <w:right w:val="nil"/>
            </w:tcBorders>
          </w:tcPr>
          <w:p>
            <w:pPr>
              <w:pStyle w:val="TableParagraph"/>
              <w:spacing w:before="57"/>
              <w:ind w:right="225"/>
              <w:jc w:val="right"/>
              <w:rPr>
                <w:i/>
                <w:sz w:val="24"/>
              </w:rPr>
            </w:pPr>
            <w:r>
              <w:rPr>
                <w:i/>
                <w:sz w:val="24"/>
              </w:rPr>
              <w:t>femB</w:t>
            </w:r>
          </w:p>
        </w:tc>
        <w:tc>
          <w:tcPr>
            <w:tcW w:w="4543" w:type="dxa"/>
            <w:tcBorders>
              <w:top w:val="nil"/>
              <w:left w:val="nil"/>
              <w:right w:val="nil"/>
            </w:tcBorders>
          </w:tcPr>
          <w:p>
            <w:pPr>
              <w:pStyle w:val="TableParagraph"/>
              <w:spacing w:before="58"/>
              <w:ind w:left="174" w:right="203"/>
              <w:jc w:val="left"/>
              <w:rPr>
                <w:sz w:val="20"/>
              </w:rPr>
            </w:pPr>
            <w:r>
              <w:rPr>
                <w:sz w:val="20"/>
              </w:rPr>
              <w:t>Sentido:TTACAGAGTTAACTGTTACC</w:t>
            </w:r>
          </w:p>
          <w:p>
            <w:pPr>
              <w:pStyle w:val="TableParagraph"/>
              <w:spacing w:before="113"/>
              <w:ind w:left="174" w:right="203"/>
              <w:jc w:val="left"/>
              <w:rPr>
                <w:sz w:val="20"/>
              </w:rPr>
            </w:pPr>
            <w:r>
              <w:rPr>
                <w:sz w:val="20"/>
              </w:rPr>
              <w:t>Antisentido:ATACAAATCCAGCACGC CT</w:t>
            </w:r>
          </w:p>
        </w:tc>
        <w:tc>
          <w:tcPr>
            <w:tcW w:w="1928" w:type="dxa"/>
            <w:tcBorders>
              <w:top w:val="nil"/>
              <w:left w:val="nil"/>
              <w:right w:val="nil"/>
            </w:tcBorders>
          </w:tcPr>
          <w:p>
            <w:pPr>
              <w:pStyle w:val="TableParagraph"/>
              <w:spacing w:before="59"/>
              <w:ind w:right="713"/>
              <w:jc w:val="right"/>
              <w:rPr>
                <w:sz w:val="24"/>
              </w:rPr>
            </w:pPr>
            <w:r>
              <w:rPr>
                <w:w w:val="95"/>
                <w:sz w:val="24"/>
              </w:rPr>
              <w:t>651</w:t>
            </w:r>
          </w:p>
        </w:tc>
        <w:tc>
          <w:tcPr>
            <w:tcW w:w="2033" w:type="dxa"/>
            <w:tcBorders>
              <w:top w:val="nil"/>
              <w:left w:val="nil"/>
              <w:right w:val="nil"/>
            </w:tcBorders>
          </w:tcPr>
          <w:p>
            <w:pPr/>
          </w:p>
        </w:tc>
      </w:tr>
    </w:tbl>
    <w:p>
      <w:pPr>
        <w:spacing w:after="0"/>
        <w:sectPr>
          <w:pgSz w:w="12240" w:h="15840"/>
          <w:pgMar w:header="0" w:footer="1386" w:top="1500" w:bottom="1580" w:left="1460" w:right="1140"/>
        </w:sectPr>
      </w:pPr>
    </w:p>
    <w:p>
      <w:pPr>
        <w:pStyle w:val="BodyText"/>
        <w:spacing w:before="2"/>
        <w:rPr>
          <w:sz w:val="21"/>
        </w:rPr>
      </w:pPr>
    </w:p>
    <w:p>
      <w:pPr>
        <w:spacing w:before="69"/>
        <w:ind w:left="287" w:right="251" w:firstLine="0"/>
        <w:jc w:val="center"/>
        <w:rPr>
          <w:b/>
          <w:sz w:val="24"/>
        </w:rPr>
      </w:pPr>
      <w:bookmarkStart w:name="_bookmark12" w:id="13"/>
      <w:bookmarkEnd w:id="13"/>
      <w:r>
        <w:rPr/>
      </w:r>
      <w:r>
        <w:rPr>
          <w:b/>
          <w:sz w:val="24"/>
        </w:rPr>
        <w:t>RESULTADOS</w:t>
      </w:r>
    </w:p>
    <w:p>
      <w:pPr>
        <w:spacing w:line="360" w:lineRule="auto" w:before="137"/>
        <w:ind w:left="152" w:right="108" w:firstLine="0"/>
        <w:jc w:val="both"/>
        <w:rPr>
          <w:b/>
          <w:sz w:val="24"/>
        </w:rPr>
      </w:pPr>
      <w:r>
        <w:rPr>
          <w:b/>
          <w:sz w:val="24"/>
        </w:rPr>
        <w:t>Descripcion de la cunicultura e instalaciones de las granjas en el Valle de Toluca.</w:t>
      </w:r>
    </w:p>
    <w:p>
      <w:pPr>
        <w:pStyle w:val="BodyText"/>
        <w:spacing w:line="360" w:lineRule="auto" w:before="204"/>
        <w:ind w:left="152" w:right="114"/>
        <w:jc w:val="both"/>
      </w:pPr>
      <w:r>
        <w:rPr/>
        <w:t>Las 30 unidades de producción cunicula familiar distribuidas en el Valle de Toluca en</w:t>
      </w:r>
      <w:r>
        <w:rPr>
          <w:spacing w:val="-13"/>
        </w:rPr>
        <w:t> </w:t>
      </w:r>
      <w:r>
        <w:rPr/>
        <w:t>los</w:t>
      </w:r>
      <w:r>
        <w:rPr>
          <w:spacing w:val="-16"/>
        </w:rPr>
        <w:t> </w:t>
      </w:r>
      <w:r>
        <w:rPr/>
        <w:t>municipios</w:t>
      </w:r>
      <w:r>
        <w:rPr>
          <w:spacing w:val="-16"/>
        </w:rPr>
        <w:t> </w:t>
      </w:r>
      <w:r>
        <w:rPr/>
        <w:t>de</w:t>
      </w:r>
      <w:r>
        <w:rPr>
          <w:spacing w:val="-16"/>
        </w:rPr>
        <w:t> </w:t>
      </w:r>
      <w:r>
        <w:rPr/>
        <w:t>Almoloya</w:t>
      </w:r>
      <w:r>
        <w:rPr>
          <w:spacing w:val="-13"/>
        </w:rPr>
        <w:t> </w:t>
      </w:r>
      <w:r>
        <w:rPr/>
        <w:t>de</w:t>
      </w:r>
      <w:r>
        <w:rPr>
          <w:spacing w:val="-13"/>
        </w:rPr>
        <w:t> </w:t>
      </w:r>
      <w:r>
        <w:rPr/>
        <w:t>Juárez,</w:t>
      </w:r>
      <w:r>
        <w:rPr>
          <w:spacing w:val="-13"/>
        </w:rPr>
        <w:t> </w:t>
      </w:r>
      <w:r>
        <w:rPr/>
        <w:t>Lerma,</w:t>
      </w:r>
      <w:r>
        <w:rPr>
          <w:spacing w:val="-16"/>
        </w:rPr>
        <w:t> </w:t>
      </w:r>
      <w:r>
        <w:rPr/>
        <w:t>Ocoyoacac,</w:t>
      </w:r>
      <w:r>
        <w:rPr>
          <w:spacing w:val="-16"/>
        </w:rPr>
        <w:t> </w:t>
      </w:r>
      <w:r>
        <w:rPr/>
        <w:t>Toluca,</w:t>
      </w:r>
      <w:r>
        <w:rPr>
          <w:spacing w:val="-13"/>
        </w:rPr>
        <w:t> </w:t>
      </w:r>
      <w:r>
        <w:rPr/>
        <w:t>Metepec,</w:t>
      </w:r>
      <w:r>
        <w:rPr>
          <w:spacing w:val="-16"/>
        </w:rPr>
        <w:t> </w:t>
      </w:r>
      <w:r>
        <w:rPr/>
        <w:t>San Mateo Atenco y Zinacantepec corresponden al 100% de tipo</w:t>
      </w:r>
      <w:r>
        <w:rPr>
          <w:spacing w:val="-21"/>
        </w:rPr>
        <w:t> </w:t>
      </w:r>
      <w:r>
        <w:rPr/>
        <w:t>familiar.</w:t>
      </w:r>
    </w:p>
    <w:p>
      <w:pPr>
        <w:pStyle w:val="BodyText"/>
        <w:spacing w:line="360" w:lineRule="auto" w:before="202"/>
        <w:ind w:left="152" w:right="116"/>
        <w:jc w:val="both"/>
      </w:pPr>
      <w:r>
        <w:rPr/>
        <w:t>El material de las instalaciones que predominan en las unidades de producción cunicula son: el 50% tabique, lámina, jaulas y piso de tierra y el 43.3% tabique, lámina, módulos y piso de tierra (Cuadro 4).</w:t>
      </w:r>
    </w:p>
    <w:p>
      <w:pPr>
        <w:pStyle w:val="BodyText"/>
        <w:spacing w:before="10" w:after="1"/>
        <w:rPr>
          <w:sz w:val="20"/>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92"/>
        <w:gridCol w:w="468"/>
        <w:gridCol w:w="993"/>
        <w:gridCol w:w="3102"/>
      </w:tblGrid>
      <w:tr>
        <w:trPr>
          <w:trHeight w:val="244" w:hRule="exact"/>
        </w:trPr>
        <w:tc>
          <w:tcPr>
            <w:tcW w:w="8855" w:type="dxa"/>
            <w:gridSpan w:val="4"/>
            <w:tcBorders>
              <w:bottom w:val="single" w:sz="4" w:space="0" w:color="000000"/>
            </w:tcBorders>
          </w:tcPr>
          <w:p>
            <w:pPr>
              <w:pStyle w:val="TableParagraph"/>
              <w:spacing w:line="226" w:lineRule="exact"/>
              <w:ind w:left="309"/>
              <w:jc w:val="left"/>
              <w:rPr>
                <w:sz w:val="22"/>
              </w:rPr>
            </w:pPr>
            <w:r>
              <w:rPr>
                <w:sz w:val="22"/>
              </w:rPr>
              <w:t>Cuadro 4. Instalaciones en las unidades de produccion familiar en el Valle de Toluca</w:t>
            </w:r>
          </w:p>
        </w:tc>
      </w:tr>
      <w:tr>
        <w:trPr>
          <w:trHeight w:val="283" w:hRule="exact"/>
        </w:trPr>
        <w:tc>
          <w:tcPr>
            <w:tcW w:w="4292" w:type="dxa"/>
            <w:tcBorders>
              <w:top w:val="single" w:sz="4" w:space="0" w:color="000000"/>
              <w:bottom w:val="single" w:sz="4" w:space="0" w:color="000000"/>
            </w:tcBorders>
          </w:tcPr>
          <w:p>
            <w:pPr>
              <w:pStyle w:val="TableParagraph"/>
              <w:spacing w:before="7"/>
              <w:ind w:left="1528" w:right="1438"/>
              <w:rPr>
                <w:sz w:val="22"/>
              </w:rPr>
            </w:pPr>
            <w:r>
              <w:rPr>
                <w:sz w:val="22"/>
              </w:rPr>
              <w:t>Instalaciones</w:t>
            </w:r>
          </w:p>
        </w:tc>
        <w:tc>
          <w:tcPr>
            <w:tcW w:w="1461" w:type="dxa"/>
            <w:gridSpan w:val="2"/>
            <w:tcBorders>
              <w:top w:val="single" w:sz="4" w:space="0" w:color="000000"/>
              <w:bottom w:val="single" w:sz="4" w:space="0" w:color="000000"/>
            </w:tcBorders>
          </w:tcPr>
          <w:p>
            <w:pPr>
              <w:pStyle w:val="TableParagraph"/>
              <w:spacing w:before="17"/>
              <w:ind w:left="400"/>
              <w:jc w:val="left"/>
              <w:rPr>
                <w:sz w:val="22"/>
              </w:rPr>
            </w:pPr>
            <w:r>
              <w:rPr>
                <w:sz w:val="22"/>
              </w:rPr>
              <w:t>Granjas</w:t>
            </w:r>
          </w:p>
        </w:tc>
        <w:tc>
          <w:tcPr>
            <w:tcW w:w="3102" w:type="dxa"/>
            <w:tcBorders>
              <w:top w:val="single" w:sz="4" w:space="0" w:color="000000"/>
              <w:bottom w:val="single" w:sz="4" w:space="0" w:color="000000"/>
            </w:tcBorders>
          </w:tcPr>
          <w:p>
            <w:pPr>
              <w:pStyle w:val="TableParagraph"/>
              <w:spacing w:before="17"/>
              <w:ind w:left="106"/>
              <w:jc w:val="left"/>
              <w:rPr>
                <w:sz w:val="22"/>
              </w:rPr>
            </w:pPr>
            <w:r>
              <w:rPr>
                <w:sz w:val="22"/>
              </w:rPr>
              <w:t>Sistemas</w:t>
            </w:r>
          </w:p>
        </w:tc>
      </w:tr>
      <w:tr>
        <w:trPr>
          <w:trHeight w:val="287" w:hRule="exact"/>
        </w:trPr>
        <w:tc>
          <w:tcPr>
            <w:tcW w:w="4292" w:type="dxa"/>
            <w:tcBorders>
              <w:top w:val="single" w:sz="4" w:space="0" w:color="000000"/>
            </w:tcBorders>
          </w:tcPr>
          <w:p>
            <w:pPr>
              <w:pStyle w:val="TableParagraph"/>
              <w:spacing w:before="7"/>
              <w:ind w:left="84"/>
              <w:jc w:val="left"/>
              <w:rPr>
                <w:sz w:val="22"/>
              </w:rPr>
            </w:pPr>
            <w:r>
              <w:rPr>
                <w:sz w:val="22"/>
              </w:rPr>
              <w:t>Tabique, lamina, jaulas, piso de cemento</w:t>
            </w:r>
          </w:p>
        </w:tc>
        <w:tc>
          <w:tcPr>
            <w:tcW w:w="468" w:type="dxa"/>
            <w:tcBorders>
              <w:top w:val="single" w:sz="4" w:space="0" w:color="000000"/>
            </w:tcBorders>
          </w:tcPr>
          <w:p>
            <w:pPr>
              <w:pStyle w:val="TableParagraph"/>
              <w:spacing w:before="7"/>
              <w:ind w:left="67"/>
              <w:rPr>
                <w:sz w:val="22"/>
              </w:rPr>
            </w:pPr>
            <w:r>
              <w:rPr>
                <w:w w:val="100"/>
                <w:sz w:val="22"/>
              </w:rPr>
              <w:t>1</w:t>
            </w:r>
          </w:p>
        </w:tc>
        <w:tc>
          <w:tcPr>
            <w:tcW w:w="993" w:type="dxa"/>
            <w:tcBorders>
              <w:top w:val="single" w:sz="4" w:space="0" w:color="000000"/>
            </w:tcBorders>
          </w:tcPr>
          <w:p>
            <w:pPr>
              <w:pStyle w:val="TableParagraph"/>
              <w:spacing w:before="7"/>
              <w:ind w:left="180" w:right="149"/>
              <w:rPr>
                <w:sz w:val="22"/>
              </w:rPr>
            </w:pPr>
            <w:r>
              <w:rPr>
                <w:sz w:val="22"/>
              </w:rPr>
              <w:t>3.33%</w:t>
            </w:r>
          </w:p>
        </w:tc>
        <w:tc>
          <w:tcPr>
            <w:tcW w:w="3102" w:type="dxa"/>
            <w:tcBorders>
              <w:top w:val="single" w:sz="4" w:space="0" w:color="000000"/>
            </w:tcBorders>
          </w:tcPr>
          <w:p>
            <w:pPr>
              <w:pStyle w:val="TableParagraph"/>
              <w:spacing w:before="7"/>
              <w:ind w:left="106"/>
              <w:jc w:val="left"/>
              <w:rPr>
                <w:sz w:val="22"/>
              </w:rPr>
            </w:pPr>
            <w:r>
              <w:rPr>
                <w:sz w:val="22"/>
              </w:rPr>
              <w:t>Semitecnificado</w:t>
            </w:r>
          </w:p>
        </w:tc>
      </w:tr>
      <w:tr>
        <w:trPr>
          <w:trHeight w:val="274" w:hRule="exact"/>
        </w:trPr>
        <w:tc>
          <w:tcPr>
            <w:tcW w:w="4292" w:type="dxa"/>
            <w:vMerge w:val="restart"/>
          </w:tcPr>
          <w:p>
            <w:pPr>
              <w:pStyle w:val="TableParagraph"/>
              <w:spacing w:before="135"/>
              <w:ind w:left="84"/>
              <w:jc w:val="left"/>
              <w:rPr>
                <w:sz w:val="22"/>
              </w:rPr>
            </w:pPr>
            <w:r>
              <w:rPr>
                <w:sz w:val="22"/>
              </w:rPr>
              <w:t>Tabique, lamina, jaulas, piso de tierra</w:t>
            </w:r>
          </w:p>
        </w:tc>
        <w:tc>
          <w:tcPr>
            <w:tcW w:w="468" w:type="dxa"/>
            <w:vMerge w:val="restart"/>
          </w:tcPr>
          <w:p>
            <w:pPr>
              <w:pStyle w:val="TableParagraph"/>
              <w:spacing w:before="8"/>
              <w:ind w:left="206"/>
              <w:jc w:val="left"/>
              <w:rPr>
                <w:sz w:val="22"/>
              </w:rPr>
            </w:pPr>
            <w:r>
              <w:rPr>
                <w:w w:val="100"/>
                <w:sz w:val="22"/>
              </w:rPr>
              <w:t>1</w:t>
            </w:r>
          </w:p>
          <w:p>
            <w:pPr>
              <w:pStyle w:val="TableParagraph"/>
              <w:spacing w:before="1"/>
              <w:ind w:left="206"/>
              <w:jc w:val="left"/>
              <w:rPr>
                <w:sz w:val="22"/>
              </w:rPr>
            </w:pPr>
            <w:r>
              <w:rPr>
                <w:w w:val="100"/>
                <w:sz w:val="22"/>
              </w:rPr>
              <w:t>5</w:t>
            </w:r>
          </w:p>
        </w:tc>
        <w:tc>
          <w:tcPr>
            <w:tcW w:w="993" w:type="dxa"/>
            <w:vMerge w:val="restart"/>
          </w:tcPr>
          <w:p>
            <w:pPr>
              <w:pStyle w:val="TableParagraph"/>
              <w:spacing w:before="135"/>
              <w:ind w:left="139"/>
              <w:jc w:val="left"/>
              <w:rPr>
                <w:sz w:val="22"/>
              </w:rPr>
            </w:pPr>
            <w:r>
              <w:rPr>
                <w:sz w:val="22"/>
              </w:rPr>
              <w:t>50.00%</w:t>
            </w:r>
          </w:p>
        </w:tc>
        <w:tc>
          <w:tcPr>
            <w:tcW w:w="3102" w:type="dxa"/>
          </w:tcPr>
          <w:p>
            <w:pPr>
              <w:pStyle w:val="TableParagraph"/>
              <w:spacing w:line="252" w:lineRule="exact"/>
              <w:ind w:left="106"/>
              <w:jc w:val="left"/>
              <w:rPr>
                <w:sz w:val="22"/>
              </w:rPr>
            </w:pPr>
            <w:r>
              <w:rPr>
                <w:sz w:val="22"/>
              </w:rPr>
              <w:t>26.6% Semitecnificado</w:t>
            </w:r>
          </w:p>
        </w:tc>
      </w:tr>
      <w:tr>
        <w:trPr>
          <w:trHeight w:val="268" w:hRule="exact"/>
        </w:trPr>
        <w:tc>
          <w:tcPr>
            <w:tcW w:w="4292" w:type="dxa"/>
            <w:vMerge/>
          </w:tcPr>
          <w:p>
            <w:pPr/>
          </w:p>
        </w:tc>
        <w:tc>
          <w:tcPr>
            <w:tcW w:w="468" w:type="dxa"/>
            <w:vMerge/>
          </w:tcPr>
          <w:p>
            <w:pPr/>
          </w:p>
        </w:tc>
        <w:tc>
          <w:tcPr>
            <w:tcW w:w="993" w:type="dxa"/>
            <w:vMerge/>
          </w:tcPr>
          <w:p>
            <w:pPr/>
          </w:p>
        </w:tc>
        <w:tc>
          <w:tcPr>
            <w:tcW w:w="3102" w:type="dxa"/>
          </w:tcPr>
          <w:p>
            <w:pPr>
              <w:pStyle w:val="TableParagraph"/>
              <w:spacing w:line="252" w:lineRule="exact"/>
              <w:ind w:left="106"/>
              <w:jc w:val="left"/>
              <w:rPr>
                <w:sz w:val="22"/>
              </w:rPr>
            </w:pPr>
            <w:r>
              <w:rPr>
                <w:sz w:val="22"/>
              </w:rPr>
              <w:t>73.4% traspatio</w:t>
            </w:r>
          </w:p>
        </w:tc>
      </w:tr>
      <w:tr>
        <w:trPr>
          <w:trHeight w:val="516" w:hRule="exact"/>
        </w:trPr>
        <w:tc>
          <w:tcPr>
            <w:tcW w:w="4292" w:type="dxa"/>
          </w:tcPr>
          <w:p>
            <w:pPr>
              <w:pStyle w:val="TableParagraph"/>
              <w:spacing w:line="242" w:lineRule="auto"/>
              <w:ind w:left="84" w:right="837"/>
              <w:jc w:val="left"/>
              <w:rPr>
                <w:sz w:val="22"/>
              </w:rPr>
            </w:pPr>
            <w:r>
              <w:rPr>
                <w:sz w:val="22"/>
              </w:rPr>
              <w:t>Tabique, lamina, modulos, piso de cemento</w:t>
            </w:r>
          </w:p>
        </w:tc>
        <w:tc>
          <w:tcPr>
            <w:tcW w:w="468" w:type="dxa"/>
          </w:tcPr>
          <w:p>
            <w:pPr>
              <w:pStyle w:val="TableParagraph"/>
              <w:spacing w:before="120"/>
              <w:ind w:left="67"/>
              <w:rPr>
                <w:sz w:val="22"/>
              </w:rPr>
            </w:pPr>
            <w:r>
              <w:rPr>
                <w:w w:val="100"/>
                <w:sz w:val="22"/>
              </w:rPr>
              <w:t>1</w:t>
            </w:r>
          </w:p>
        </w:tc>
        <w:tc>
          <w:tcPr>
            <w:tcW w:w="993" w:type="dxa"/>
          </w:tcPr>
          <w:p>
            <w:pPr>
              <w:pStyle w:val="TableParagraph"/>
              <w:spacing w:before="120"/>
              <w:ind w:left="180" w:right="149"/>
              <w:rPr>
                <w:sz w:val="22"/>
              </w:rPr>
            </w:pPr>
            <w:r>
              <w:rPr>
                <w:sz w:val="22"/>
              </w:rPr>
              <w:t>3.33%</w:t>
            </w:r>
          </w:p>
        </w:tc>
        <w:tc>
          <w:tcPr>
            <w:tcW w:w="3102" w:type="dxa"/>
          </w:tcPr>
          <w:p>
            <w:pPr>
              <w:pStyle w:val="TableParagraph"/>
              <w:spacing w:before="120"/>
              <w:ind w:left="106"/>
              <w:jc w:val="left"/>
              <w:rPr>
                <w:sz w:val="22"/>
              </w:rPr>
            </w:pPr>
            <w:r>
              <w:rPr>
                <w:sz w:val="22"/>
              </w:rPr>
              <w:t>Semitecnificado</w:t>
            </w:r>
          </w:p>
        </w:tc>
      </w:tr>
      <w:tr>
        <w:trPr>
          <w:trHeight w:val="268" w:hRule="exact"/>
        </w:trPr>
        <w:tc>
          <w:tcPr>
            <w:tcW w:w="4292" w:type="dxa"/>
            <w:vMerge w:val="restart"/>
          </w:tcPr>
          <w:p>
            <w:pPr>
              <w:pStyle w:val="TableParagraph"/>
              <w:spacing w:before="129"/>
              <w:ind w:left="84"/>
              <w:jc w:val="left"/>
              <w:rPr>
                <w:sz w:val="22"/>
              </w:rPr>
            </w:pPr>
            <w:r>
              <w:rPr>
                <w:sz w:val="22"/>
              </w:rPr>
              <w:t>Tabique, lamina, modulos, piso de tierra</w:t>
            </w:r>
          </w:p>
        </w:tc>
        <w:tc>
          <w:tcPr>
            <w:tcW w:w="468" w:type="dxa"/>
            <w:vMerge w:val="restart"/>
          </w:tcPr>
          <w:p>
            <w:pPr>
              <w:pStyle w:val="TableParagraph"/>
              <w:spacing w:before="2"/>
              <w:ind w:left="206"/>
              <w:jc w:val="left"/>
              <w:rPr>
                <w:sz w:val="22"/>
              </w:rPr>
            </w:pPr>
            <w:r>
              <w:rPr>
                <w:w w:val="100"/>
                <w:sz w:val="22"/>
              </w:rPr>
              <w:t>1</w:t>
            </w:r>
          </w:p>
          <w:p>
            <w:pPr>
              <w:pStyle w:val="TableParagraph"/>
              <w:spacing w:before="1"/>
              <w:ind w:left="206"/>
              <w:jc w:val="left"/>
              <w:rPr>
                <w:sz w:val="22"/>
              </w:rPr>
            </w:pPr>
            <w:r>
              <w:rPr>
                <w:w w:val="100"/>
                <w:sz w:val="22"/>
              </w:rPr>
              <w:t>3</w:t>
            </w:r>
          </w:p>
        </w:tc>
        <w:tc>
          <w:tcPr>
            <w:tcW w:w="993" w:type="dxa"/>
            <w:vMerge w:val="restart"/>
          </w:tcPr>
          <w:p>
            <w:pPr>
              <w:pStyle w:val="TableParagraph"/>
              <w:spacing w:before="129"/>
              <w:ind w:left="139"/>
              <w:jc w:val="left"/>
              <w:rPr>
                <w:sz w:val="22"/>
              </w:rPr>
            </w:pPr>
            <w:r>
              <w:rPr>
                <w:sz w:val="22"/>
              </w:rPr>
              <w:t>43.33%</w:t>
            </w:r>
          </w:p>
        </w:tc>
        <w:tc>
          <w:tcPr>
            <w:tcW w:w="3102" w:type="dxa"/>
          </w:tcPr>
          <w:p>
            <w:pPr>
              <w:pStyle w:val="TableParagraph"/>
              <w:spacing w:line="246" w:lineRule="exact"/>
              <w:ind w:left="106"/>
              <w:jc w:val="left"/>
              <w:rPr>
                <w:sz w:val="22"/>
              </w:rPr>
            </w:pPr>
            <w:r>
              <w:rPr>
                <w:sz w:val="22"/>
              </w:rPr>
              <w:t>15.38% Traspatio</w:t>
            </w:r>
          </w:p>
        </w:tc>
      </w:tr>
      <w:tr>
        <w:trPr>
          <w:trHeight w:val="270" w:hRule="exact"/>
        </w:trPr>
        <w:tc>
          <w:tcPr>
            <w:tcW w:w="4292" w:type="dxa"/>
            <w:vMerge/>
            <w:tcBorders>
              <w:bottom w:val="single" w:sz="4" w:space="0" w:color="000000"/>
            </w:tcBorders>
          </w:tcPr>
          <w:p>
            <w:pPr/>
          </w:p>
        </w:tc>
        <w:tc>
          <w:tcPr>
            <w:tcW w:w="468" w:type="dxa"/>
            <w:vMerge/>
            <w:tcBorders>
              <w:bottom w:val="single" w:sz="4" w:space="0" w:color="000000"/>
            </w:tcBorders>
          </w:tcPr>
          <w:p>
            <w:pPr/>
          </w:p>
        </w:tc>
        <w:tc>
          <w:tcPr>
            <w:tcW w:w="993" w:type="dxa"/>
            <w:vMerge/>
            <w:tcBorders>
              <w:bottom w:val="single" w:sz="4" w:space="0" w:color="000000"/>
            </w:tcBorders>
          </w:tcPr>
          <w:p>
            <w:pPr/>
          </w:p>
        </w:tc>
        <w:tc>
          <w:tcPr>
            <w:tcW w:w="3102" w:type="dxa"/>
            <w:tcBorders>
              <w:bottom w:val="single" w:sz="4" w:space="0" w:color="000000"/>
            </w:tcBorders>
          </w:tcPr>
          <w:p>
            <w:pPr>
              <w:pStyle w:val="TableParagraph"/>
              <w:spacing w:line="252" w:lineRule="exact"/>
              <w:ind w:left="106"/>
              <w:jc w:val="left"/>
              <w:rPr>
                <w:sz w:val="22"/>
              </w:rPr>
            </w:pPr>
            <w:r>
              <w:rPr>
                <w:sz w:val="22"/>
              </w:rPr>
              <w:t>84.61% Semitecnificada</w:t>
            </w:r>
          </w:p>
        </w:tc>
      </w:tr>
      <w:tr>
        <w:trPr>
          <w:trHeight w:val="516" w:hRule="exact"/>
        </w:trPr>
        <w:tc>
          <w:tcPr>
            <w:tcW w:w="4292" w:type="dxa"/>
            <w:tcBorders>
              <w:top w:val="single" w:sz="4" w:space="0" w:color="000000"/>
              <w:bottom w:val="single" w:sz="4" w:space="0" w:color="000000"/>
            </w:tcBorders>
          </w:tcPr>
          <w:p>
            <w:pPr>
              <w:pStyle w:val="TableParagraph"/>
              <w:spacing w:before="8"/>
              <w:jc w:val="left"/>
              <w:rPr>
                <w:sz w:val="21"/>
              </w:rPr>
            </w:pPr>
          </w:p>
          <w:p>
            <w:pPr>
              <w:pStyle w:val="TableParagraph"/>
              <w:ind w:left="1148"/>
              <w:rPr>
                <w:sz w:val="22"/>
              </w:rPr>
            </w:pPr>
            <w:r>
              <w:rPr>
                <w:w w:val="100"/>
                <w:sz w:val="22"/>
              </w:rPr>
              <w:t>N</w:t>
            </w:r>
          </w:p>
        </w:tc>
        <w:tc>
          <w:tcPr>
            <w:tcW w:w="468" w:type="dxa"/>
            <w:tcBorders>
              <w:top w:val="single" w:sz="4" w:space="0" w:color="000000"/>
              <w:bottom w:val="single" w:sz="4" w:space="0" w:color="000000"/>
            </w:tcBorders>
          </w:tcPr>
          <w:p>
            <w:pPr>
              <w:pStyle w:val="TableParagraph"/>
              <w:spacing w:line="250" w:lineRule="exact"/>
              <w:ind w:left="206"/>
              <w:jc w:val="left"/>
              <w:rPr>
                <w:sz w:val="22"/>
              </w:rPr>
            </w:pPr>
            <w:r>
              <w:rPr>
                <w:w w:val="100"/>
                <w:sz w:val="22"/>
              </w:rPr>
              <w:t>3</w:t>
            </w:r>
          </w:p>
          <w:p>
            <w:pPr>
              <w:pStyle w:val="TableParagraph"/>
              <w:spacing w:line="252" w:lineRule="exact"/>
              <w:ind w:left="206"/>
              <w:jc w:val="left"/>
              <w:rPr>
                <w:sz w:val="22"/>
              </w:rPr>
            </w:pPr>
            <w:r>
              <w:rPr>
                <w:w w:val="100"/>
                <w:sz w:val="22"/>
              </w:rPr>
              <w:t>0</w:t>
            </w:r>
          </w:p>
        </w:tc>
        <w:tc>
          <w:tcPr>
            <w:tcW w:w="993" w:type="dxa"/>
            <w:tcBorders>
              <w:top w:val="single" w:sz="4" w:space="0" w:color="000000"/>
              <w:bottom w:val="single" w:sz="4" w:space="0" w:color="000000"/>
            </w:tcBorders>
          </w:tcPr>
          <w:p>
            <w:pPr>
              <w:pStyle w:val="TableParagraph"/>
              <w:spacing w:before="122"/>
              <w:ind w:left="180" w:right="149"/>
              <w:rPr>
                <w:sz w:val="22"/>
              </w:rPr>
            </w:pPr>
            <w:r>
              <w:rPr>
                <w:sz w:val="22"/>
              </w:rPr>
              <w:t>100%</w:t>
            </w:r>
          </w:p>
        </w:tc>
        <w:tc>
          <w:tcPr>
            <w:tcW w:w="3102" w:type="dxa"/>
            <w:tcBorders>
              <w:top w:val="single" w:sz="4" w:space="0" w:color="000000"/>
              <w:bottom w:val="single" w:sz="4" w:space="0" w:color="000000"/>
            </w:tcBorders>
          </w:tcPr>
          <w:p>
            <w:pPr/>
          </w:p>
        </w:tc>
      </w:tr>
    </w:tbl>
    <w:p>
      <w:pPr>
        <w:pStyle w:val="BodyText"/>
        <w:rPr>
          <w:sz w:val="20"/>
        </w:rPr>
      </w:pPr>
    </w:p>
    <w:p>
      <w:pPr>
        <w:pStyle w:val="BodyText"/>
        <w:spacing w:before="2"/>
        <w:rPr>
          <w:sz w:val="27"/>
        </w:rPr>
      </w:pPr>
    </w:p>
    <w:p>
      <w:pPr>
        <w:pStyle w:val="BodyText"/>
        <w:spacing w:line="360" w:lineRule="auto" w:before="70"/>
        <w:ind w:left="152" w:right="105"/>
        <w:jc w:val="both"/>
      </w:pPr>
      <w:r>
        <w:rPr/>
        <w:t>En</w:t>
      </w:r>
      <w:r>
        <w:rPr>
          <w:spacing w:val="-13"/>
        </w:rPr>
        <w:t> </w:t>
      </w:r>
      <w:r>
        <w:rPr/>
        <w:t>el</w:t>
      </w:r>
      <w:r>
        <w:rPr>
          <w:spacing w:val="-12"/>
        </w:rPr>
        <w:t> </w:t>
      </w:r>
      <w:r>
        <w:rPr/>
        <w:t>Cuadro</w:t>
      </w:r>
      <w:r>
        <w:rPr>
          <w:spacing w:val="-14"/>
        </w:rPr>
        <w:t> </w:t>
      </w:r>
      <w:r>
        <w:rPr/>
        <w:t>5</w:t>
      </w:r>
      <w:r>
        <w:rPr>
          <w:spacing w:val="-11"/>
        </w:rPr>
        <w:t> </w:t>
      </w:r>
      <w:r>
        <w:rPr/>
        <w:t>se</w:t>
      </w:r>
      <w:r>
        <w:rPr>
          <w:spacing w:val="-13"/>
        </w:rPr>
        <w:t> </w:t>
      </w:r>
      <w:r>
        <w:rPr/>
        <w:t>muestra</w:t>
      </w:r>
      <w:r>
        <w:rPr>
          <w:spacing w:val="-11"/>
        </w:rPr>
        <w:t> </w:t>
      </w:r>
      <w:r>
        <w:rPr/>
        <w:t>el</w:t>
      </w:r>
      <w:r>
        <w:rPr>
          <w:spacing w:val="-14"/>
        </w:rPr>
        <w:t> </w:t>
      </w:r>
      <w:r>
        <w:rPr/>
        <w:t>tipo</w:t>
      </w:r>
      <w:r>
        <w:rPr>
          <w:spacing w:val="-13"/>
        </w:rPr>
        <w:t> </w:t>
      </w:r>
      <w:r>
        <w:rPr/>
        <w:t>de</w:t>
      </w:r>
      <w:r>
        <w:rPr>
          <w:spacing w:val="-13"/>
        </w:rPr>
        <w:t> </w:t>
      </w:r>
      <w:r>
        <w:rPr/>
        <w:t>sistema</w:t>
      </w:r>
      <w:r>
        <w:rPr>
          <w:spacing w:val="-15"/>
        </w:rPr>
        <w:t> </w:t>
      </w:r>
      <w:r>
        <w:rPr/>
        <w:t>de</w:t>
      </w:r>
      <w:r>
        <w:rPr>
          <w:spacing w:val="-13"/>
        </w:rPr>
        <w:t> </w:t>
      </w:r>
      <w:r>
        <w:rPr/>
        <w:t>producción</w:t>
      </w:r>
      <w:r>
        <w:rPr>
          <w:spacing w:val="-10"/>
        </w:rPr>
        <w:t> </w:t>
      </w:r>
      <w:r>
        <w:rPr/>
        <w:t>en</w:t>
      </w:r>
      <w:r>
        <w:rPr>
          <w:spacing w:val="-13"/>
        </w:rPr>
        <w:t> </w:t>
      </w:r>
      <w:r>
        <w:rPr/>
        <w:t>las</w:t>
      </w:r>
      <w:r>
        <w:rPr>
          <w:spacing w:val="-11"/>
        </w:rPr>
        <w:t> </w:t>
      </w:r>
      <w:r>
        <w:rPr/>
        <w:t>granjas</w:t>
      </w:r>
      <w:r>
        <w:rPr>
          <w:spacing w:val="-11"/>
        </w:rPr>
        <w:t> </w:t>
      </w:r>
      <w:r>
        <w:rPr/>
        <w:t>cuniculas donde predomina el sistema de traspatio 63.33%, seguido del sistema semitecnificado con</w:t>
      </w:r>
      <w:r>
        <w:rPr>
          <w:spacing w:val="-5"/>
        </w:rPr>
        <w:t> </w:t>
      </w:r>
      <w:r>
        <w:rPr/>
        <w:t>36.67%.</w:t>
      </w:r>
    </w:p>
    <w:p>
      <w:pPr>
        <w:pStyle w:val="BodyText"/>
        <w:spacing w:before="202"/>
        <w:ind w:left="1076"/>
      </w:pPr>
      <w:r>
        <w:rPr/>
        <w:t>Cuadro 5. Sistemas de produccion Cunicula en el Valle de Toluca</w:t>
      </w:r>
    </w:p>
    <w:p>
      <w:pPr>
        <w:pStyle w:val="BodyText"/>
        <w:spacing w:before="6" w:after="1"/>
        <w:rPr>
          <w:sz w:val="29"/>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3"/>
        <w:gridCol w:w="1372"/>
        <w:gridCol w:w="1470"/>
        <w:gridCol w:w="1997"/>
        <w:gridCol w:w="1704"/>
      </w:tblGrid>
      <w:tr>
        <w:trPr>
          <w:trHeight w:val="355" w:hRule="exact"/>
        </w:trPr>
        <w:tc>
          <w:tcPr>
            <w:tcW w:w="8855" w:type="dxa"/>
            <w:gridSpan w:val="5"/>
            <w:tcBorders>
              <w:bottom w:val="single" w:sz="4" w:space="0" w:color="000000"/>
            </w:tcBorders>
          </w:tcPr>
          <w:p>
            <w:pPr>
              <w:pStyle w:val="TableParagraph"/>
              <w:spacing w:before="2"/>
              <w:ind w:left="1303"/>
              <w:jc w:val="left"/>
              <w:rPr>
                <w:sz w:val="20"/>
              </w:rPr>
            </w:pPr>
            <w:r>
              <w:rPr>
                <w:sz w:val="20"/>
              </w:rPr>
              <w:t>INTERVALO DE CLASES EN SISTEMAS DE PRODUCCION</w:t>
            </w:r>
          </w:p>
        </w:tc>
      </w:tr>
      <w:tr>
        <w:trPr>
          <w:trHeight w:val="360" w:hRule="exact"/>
        </w:trPr>
        <w:tc>
          <w:tcPr>
            <w:tcW w:w="2313" w:type="dxa"/>
            <w:tcBorders>
              <w:top w:val="single" w:sz="4" w:space="0" w:color="000000"/>
              <w:bottom w:val="single" w:sz="8" w:space="0" w:color="000000"/>
            </w:tcBorders>
          </w:tcPr>
          <w:p>
            <w:pPr>
              <w:pStyle w:val="TableParagraph"/>
              <w:spacing w:line="227" w:lineRule="exact"/>
              <w:ind w:left="195" w:right="251"/>
              <w:rPr>
                <w:sz w:val="20"/>
              </w:rPr>
            </w:pPr>
            <w:r>
              <w:rPr>
                <w:sz w:val="20"/>
              </w:rPr>
              <w:t>SISTEMA</w:t>
            </w:r>
          </w:p>
        </w:tc>
        <w:tc>
          <w:tcPr>
            <w:tcW w:w="1372" w:type="dxa"/>
            <w:tcBorders>
              <w:top w:val="single" w:sz="4" w:space="0" w:color="000000"/>
              <w:bottom w:val="single" w:sz="8" w:space="0" w:color="000000"/>
            </w:tcBorders>
          </w:tcPr>
          <w:p>
            <w:pPr>
              <w:pStyle w:val="TableParagraph"/>
              <w:spacing w:line="227" w:lineRule="exact"/>
              <w:ind w:left="256" w:right="363"/>
              <w:rPr>
                <w:sz w:val="20"/>
              </w:rPr>
            </w:pPr>
            <w:r>
              <w:rPr>
                <w:sz w:val="20"/>
              </w:rPr>
              <w:t>LIM INF</w:t>
            </w:r>
          </w:p>
        </w:tc>
        <w:tc>
          <w:tcPr>
            <w:tcW w:w="1470" w:type="dxa"/>
            <w:tcBorders>
              <w:top w:val="single" w:sz="4" w:space="0" w:color="000000"/>
              <w:bottom w:val="single" w:sz="8" w:space="0" w:color="000000"/>
            </w:tcBorders>
          </w:tcPr>
          <w:p>
            <w:pPr>
              <w:pStyle w:val="TableParagraph"/>
              <w:spacing w:line="227" w:lineRule="exact"/>
              <w:ind w:left="365" w:right="264"/>
              <w:rPr>
                <w:sz w:val="20"/>
              </w:rPr>
            </w:pPr>
            <w:r>
              <w:rPr>
                <w:sz w:val="20"/>
              </w:rPr>
              <w:t>LIM SUP</w:t>
            </w:r>
          </w:p>
        </w:tc>
        <w:tc>
          <w:tcPr>
            <w:tcW w:w="1997" w:type="dxa"/>
            <w:tcBorders>
              <w:top w:val="single" w:sz="4" w:space="0" w:color="000000"/>
              <w:bottom w:val="single" w:sz="8" w:space="0" w:color="000000"/>
            </w:tcBorders>
          </w:tcPr>
          <w:p>
            <w:pPr>
              <w:pStyle w:val="TableParagraph"/>
              <w:spacing w:line="227" w:lineRule="exact"/>
              <w:ind w:left="266" w:right="390"/>
              <w:rPr>
                <w:sz w:val="20"/>
              </w:rPr>
            </w:pPr>
            <w:r>
              <w:rPr>
                <w:sz w:val="20"/>
              </w:rPr>
              <w:t>FRECUENCIA</w:t>
            </w:r>
          </w:p>
        </w:tc>
        <w:tc>
          <w:tcPr>
            <w:tcW w:w="1704" w:type="dxa"/>
            <w:tcBorders>
              <w:top w:val="single" w:sz="4" w:space="0" w:color="000000"/>
              <w:bottom w:val="single" w:sz="8" w:space="0" w:color="000000"/>
            </w:tcBorders>
          </w:tcPr>
          <w:p>
            <w:pPr>
              <w:pStyle w:val="TableParagraph"/>
              <w:spacing w:line="227" w:lineRule="exact"/>
              <w:ind w:left="501"/>
              <w:jc w:val="left"/>
              <w:rPr>
                <w:sz w:val="20"/>
              </w:rPr>
            </w:pPr>
            <w:r>
              <w:rPr>
                <w:sz w:val="20"/>
              </w:rPr>
              <w:t>HI %</w:t>
            </w:r>
          </w:p>
        </w:tc>
      </w:tr>
      <w:tr>
        <w:trPr>
          <w:trHeight w:val="305" w:hRule="exact"/>
        </w:trPr>
        <w:tc>
          <w:tcPr>
            <w:tcW w:w="2313" w:type="dxa"/>
            <w:tcBorders>
              <w:top w:val="single" w:sz="8" w:space="0" w:color="000000"/>
            </w:tcBorders>
          </w:tcPr>
          <w:p>
            <w:pPr>
              <w:pStyle w:val="TableParagraph"/>
              <w:spacing w:line="227" w:lineRule="exact"/>
              <w:ind w:left="195" w:right="250"/>
              <w:rPr>
                <w:sz w:val="20"/>
              </w:rPr>
            </w:pPr>
            <w:r>
              <w:rPr>
                <w:sz w:val="20"/>
              </w:rPr>
              <w:t>TRASPATIO</w:t>
            </w:r>
          </w:p>
        </w:tc>
        <w:tc>
          <w:tcPr>
            <w:tcW w:w="1372" w:type="dxa"/>
            <w:tcBorders>
              <w:top w:val="single" w:sz="8" w:space="0" w:color="000000"/>
            </w:tcBorders>
          </w:tcPr>
          <w:p>
            <w:pPr>
              <w:pStyle w:val="TableParagraph"/>
              <w:spacing w:line="227" w:lineRule="exact"/>
              <w:ind w:right="103"/>
              <w:rPr>
                <w:sz w:val="20"/>
              </w:rPr>
            </w:pPr>
            <w:r>
              <w:rPr>
                <w:w w:val="99"/>
                <w:sz w:val="20"/>
              </w:rPr>
              <w:t>2</w:t>
            </w:r>
          </w:p>
        </w:tc>
        <w:tc>
          <w:tcPr>
            <w:tcW w:w="1470" w:type="dxa"/>
            <w:tcBorders>
              <w:top w:val="single" w:sz="8" w:space="0" w:color="000000"/>
            </w:tcBorders>
          </w:tcPr>
          <w:p>
            <w:pPr>
              <w:pStyle w:val="TableParagraph"/>
              <w:spacing w:line="227" w:lineRule="exact"/>
              <w:ind w:left="364" w:right="264"/>
              <w:rPr>
                <w:sz w:val="20"/>
              </w:rPr>
            </w:pPr>
            <w:r>
              <w:rPr>
                <w:sz w:val="20"/>
              </w:rPr>
              <w:t>20</w:t>
            </w:r>
          </w:p>
        </w:tc>
        <w:tc>
          <w:tcPr>
            <w:tcW w:w="1997" w:type="dxa"/>
            <w:tcBorders>
              <w:top w:val="single" w:sz="8" w:space="0" w:color="000000"/>
            </w:tcBorders>
          </w:tcPr>
          <w:p>
            <w:pPr>
              <w:pStyle w:val="TableParagraph"/>
              <w:spacing w:line="227" w:lineRule="exact"/>
              <w:ind w:left="266" w:right="389"/>
              <w:rPr>
                <w:sz w:val="20"/>
              </w:rPr>
            </w:pPr>
            <w:r>
              <w:rPr>
                <w:sz w:val="20"/>
              </w:rPr>
              <w:t>19</w:t>
            </w:r>
          </w:p>
        </w:tc>
        <w:tc>
          <w:tcPr>
            <w:tcW w:w="1704" w:type="dxa"/>
            <w:tcBorders>
              <w:top w:val="single" w:sz="8" w:space="0" w:color="000000"/>
            </w:tcBorders>
          </w:tcPr>
          <w:p>
            <w:pPr>
              <w:pStyle w:val="TableParagraph"/>
              <w:spacing w:line="227" w:lineRule="exact"/>
              <w:ind w:left="467"/>
              <w:jc w:val="left"/>
              <w:rPr>
                <w:sz w:val="20"/>
              </w:rPr>
            </w:pPr>
            <w:r>
              <w:rPr>
                <w:sz w:val="20"/>
              </w:rPr>
              <w:t>63.33</w:t>
            </w:r>
          </w:p>
        </w:tc>
      </w:tr>
      <w:tr>
        <w:trPr>
          <w:trHeight w:val="400" w:hRule="exact"/>
        </w:trPr>
        <w:tc>
          <w:tcPr>
            <w:tcW w:w="2313" w:type="dxa"/>
            <w:tcBorders>
              <w:bottom w:val="single" w:sz="4" w:space="0" w:color="000000"/>
            </w:tcBorders>
          </w:tcPr>
          <w:p>
            <w:pPr>
              <w:pStyle w:val="TableParagraph"/>
              <w:spacing w:before="47"/>
              <w:ind w:left="195" w:right="254"/>
              <w:rPr>
                <w:sz w:val="20"/>
              </w:rPr>
            </w:pPr>
            <w:r>
              <w:rPr>
                <w:sz w:val="20"/>
              </w:rPr>
              <w:t>SEMITECNIFICADA</w:t>
            </w:r>
          </w:p>
        </w:tc>
        <w:tc>
          <w:tcPr>
            <w:tcW w:w="1372" w:type="dxa"/>
            <w:tcBorders>
              <w:bottom w:val="single" w:sz="4" w:space="0" w:color="000000"/>
            </w:tcBorders>
          </w:tcPr>
          <w:p>
            <w:pPr>
              <w:pStyle w:val="TableParagraph"/>
              <w:spacing w:before="47"/>
              <w:ind w:left="254" w:right="363"/>
              <w:rPr>
                <w:sz w:val="20"/>
              </w:rPr>
            </w:pPr>
            <w:r>
              <w:rPr>
                <w:sz w:val="20"/>
              </w:rPr>
              <w:t>21</w:t>
            </w:r>
          </w:p>
        </w:tc>
        <w:tc>
          <w:tcPr>
            <w:tcW w:w="1470" w:type="dxa"/>
            <w:tcBorders>
              <w:bottom w:val="single" w:sz="4" w:space="0" w:color="000000"/>
            </w:tcBorders>
          </w:tcPr>
          <w:p>
            <w:pPr>
              <w:pStyle w:val="TableParagraph"/>
              <w:spacing w:before="47"/>
              <w:ind w:left="364" w:right="264"/>
              <w:rPr>
                <w:sz w:val="20"/>
              </w:rPr>
            </w:pPr>
            <w:r>
              <w:rPr>
                <w:sz w:val="20"/>
              </w:rPr>
              <w:t>50</w:t>
            </w:r>
          </w:p>
        </w:tc>
        <w:tc>
          <w:tcPr>
            <w:tcW w:w="1997" w:type="dxa"/>
            <w:tcBorders>
              <w:bottom w:val="single" w:sz="4" w:space="0" w:color="000000"/>
            </w:tcBorders>
          </w:tcPr>
          <w:p>
            <w:pPr>
              <w:pStyle w:val="TableParagraph"/>
              <w:spacing w:before="47"/>
              <w:ind w:left="266" w:right="389"/>
              <w:rPr>
                <w:sz w:val="20"/>
              </w:rPr>
            </w:pPr>
            <w:r>
              <w:rPr>
                <w:sz w:val="20"/>
              </w:rPr>
              <w:t>11</w:t>
            </w:r>
          </w:p>
        </w:tc>
        <w:tc>
          <w:tcPr>
            <w:tcW w:w="1704" w:type="dxa"/>
            <w:tcBorders>
              <w:bottom w:val="single" w:sz="4" w:space="0" w:color="000000"/>
            </w:tcBorders>
          </w:tcPr>
          <w:p>
            <w:pPr>
              <w:pStyle w:val="TableParagraph"/>
              <w:spacing w:before="47"/>
              <w:ind w:left="467"/>
              <w:jc w:val="left"/>
              <w:rPr>
                <w:sz w:val="20"/>
              </w:rPr>
            </w:pPr>
            <w:r>
              <w:rPr>
                <w:sz w:val="20"/>
              </w:rPr>
              <w:t>36.67</w:t>
            </w:r>
          </w:p>
        </w:tc>
      </w:tr>
      <w:tr>
        <w:trPr>
          <w:trHeight w:val="355" w:hRule="exact"/>
        </w:trPr>
        <w:tc>
          <w:tcPr>
            <w:tcW w:w="2313" w:type="dxa"/>
            <w:tcBorders>
              <w:top w:val="single" w:sz="4" w:space="0" w:color="000000"/>
              <w:bottom w:val="single" w:sz="4" w:space="0" w:color="000000"/>
            </w:tcBorders>
          </w:tcPr>
          <w:p>
            <w:pPr/>
          </w:p>
        </w:tc>
        <w:tc>
          <w:tcPr>
            <w:tcW w:w="1372" w:type="dxa"/>
            <w:tcBorders>
              <w:top w:val="single" w:sz="4" w:space="0" w:color="000000"/>
              <w:bottom w:val="single" w:sz="4" w:space="0" w:color="000000"/>
            </w:tcBorders>
          </w:tcPr>
          <w:p>
            <w:pPr/>
          </w:p>
        </w:tc>
        <w:tc>
          <w:tcPr>
            <w:tcW w:w="1470" w:type="dxa"/>
            <w:tcBorders>
              <w:top w:val="single" w:sz="4" w:space="0" w:color="000000"/>
              <w:bottom w:val="single" w:sz="4" w:space="0" w:color="000000"/>
            </w:tcBorders>
          </w:tcPr>
          <w:p>
            <w:pPr>
              <w:pStyle w:val="TableParagraph"/>
              <w:spacing w:line="227" w:lineRule="exact"/>
              <w:ind w:left="100"/>
              <w:rPr>
                <w:sz w:val="20"/>
              </w:rPr>
            </w:pPr>
            <w:r>
              <w:rPr>
                <w:w w:val="99"/>
                <w:sz w:val="20"/>
              </w:rPr>
              <w:t>N</w:t>
            </w:r>
          </w:p>
        </w:tc>
        <w:tc>
          <w:tcPr>
            <w:tcW w:w="1997" w:type="dxa"/>
            <w:tcBorders>
              <w:top w:val="single" w:sz="4" w:space="0" w:color="000000"/>
              <w:bottom w:val="single" w:sz="4" w:space="0" w:color="000000"/>
            </w:tcBorders>
          </w:tcPr>
          <w:p>
            <w:pPr>
              <w:pStyle w:val="TableParagraph"/>
              <w:spacing w:line="227" w:lineRule="exact"/>
              <w:ind w:left="266" w:right="389"/>
              <w:rPr>
                <w:sz w:val="20"/>
              </w:rPr>
            </w:pPr>
            <w:r>
              <w:rPr>
                <w:sz w:val="20"/>
              </w:rPr>
              <w:t>30</w:t>
            </w:r>
          </w:p>
        </w:tc>
        <w:tc>
          <w:tcPr>
            <w:tcW w:w="1704" w:type="dxa"/>
            <w:tcBorders>
              <w:top w:val="single" w:sz="4" w:space="0" w:color="000000"/>
              <w:bottom w:val="single" w:sz="4" w:space="0" w:color="000000"/>
            </w:tcBorders>
          </w:tcPr>
          <w:p>
            <w:pPr>
              <w:pStyle w:val="TableParagraph"/>
              <w:spacing w:line="227" w:lineRule="exact"/>
              <w:ind w:left="412"/>
              <w:jc w:val="left"/>
              <w:rPr>
                <w:sz w:val="20"/>
              </w:rPr>
            </w:pPr>
            <w:r>
              <w:rPr>
                <w:sz w:val="20"/>
              </w:rPr>
              <w:t>100.00</w:t>
            </w:r>
          </w:p>
        </w:tc>
      </w:tr>
    </w:tbl>
    <w:p>
      <w:pPr>
        <w:spacing w:after="0" w:line="227" w:lineRule="exact"/>
        <w:jc w:val="left"/>
        <w:rPr>
          <w:sz w:val="20"/>
        </w:rPr>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7"/>
        <w:jc w:val="both"/>
      </w:pPr>
      <w:r>
        <w:rPr/>
        <w:t>El inventario total de conejos de las 30 unidades de produccion son 3,271 de los cuales 543 son hembras productivas y 59 machos sementales. Las razas de conejos para la produccion de carne son Nueva Zelanda 20%, California 17%, Chinchilla 15%, Rex 5% y predomina el hibrido o fenotipo racial 43%.</w:t>
      </w:r>
    </w:p>
    <w:p>
      <w:pPr>
        <w:pStyle w:val="BodyText"/>
        <w:spacing w:line="360" w:lineRule="auto" w:before="204"/>
        <w:ind w:left="152" w:right="110"/>
        <w:jc w:val="both"/>
      </w:pPr>
      <w:r>
        <w:rPr/>
        <w:t>El</w:t>
      </w:r>
      <w:r>
        <w:rPr>
          <w:spacing w:val="-19"/>
        </w:rPr>
        <w:t> </w:t>
      </w:r>
      <w:r>
        <w:rPr/>
        <w:t>ciclo</w:t>
      </w:r>
      <w:r>
        <w:rPr>
          <w:spacing w:val="-18"/>
        </w:rPr>
        <w:t> </w:t>
      </w:r>
      <w:r>
        <w:rPr/>
        <w:t>de</w:t>
      </w:r>
      <w:r>
        <w:rPr>
          <w:spacing w:val="-18"/>
        </w:rPr>
        <w:t> </w:t>
      </w:r>
      <w:r>
        <w:rPr/>
        <w:t>reproductivo</w:t>
      </w:r>
      <w:r>
        <w:rPr>
          <w:spacing w:val="-18"/>
        </w:rPr>
        <w:t> </w:t>
      </w:r>
      <w:r>
        <w:rPr/>
        <w:t>que</w:t>
      </w:r>
      <w:r>
        <w:rPr>
          <w:spacing w:val="-18"/>
        </w:rPr>
        <w:t> </w:t>
      </w:r>
      <w:r>
        <w:rPr/>
        <w:t>se</w:t>
      </w:r>
      <w:r>
        <w:rPr>
          <w:spacing w:val="-18"/>
        </w:rPr>
        <w:t> </w:t>
      </w:r>
      <w:r>
        <w:rPr/>
        <w:t>maneja</w:t>
      </w:r>
      <w:r>
        <w:rPr>
          <w:spacing w:val="-18"/>
        </w:rPr>
        <w:t> </w:t>
      </w:r>
      <w:r>
        <w:rPr/>
        <w:t>en</w:t>
      </w:r>
      <w:r>
        <w:rPr>
          <w:spacing w:val="-20"/>
        </w:rPr>
        <w:t> </w:t>
      </w:r>
      <w:r>
        <w:rPr/>
        <w:t>el</w:t>
      </w:r>
      <w:r>
        <w:rPr>
          <w:spacing w:val="-19"/>
        </w:rPr>
        <w:t> </w:t>
      </w:r>
      <w:r>
        <w:rPr/>
        <w:t>sistema</w:t>
      </w:r>
      <w:r>
        <w:rPr>
          <w:spacing w:val="-18"/>
        </w:rPr>
        <w:t> </w:t>
      </w:r>
      <w:r>
        <w:rPr/>
        <w:t>de</w:t>
      </w:r>
      <w:r>
        <w:rPr>
          <w:spacing w:val="-18"/>
        </w:rPr>
        <w:t> </w:t>
      </w:r>
      <w:r>
        <w:rPr/>
        <w:t>producción</w:t>
      </w:r>
      <w:r>
        <w:rPr>
          <w:spacing w:val="-18"/>
        </w:rPr>
        <w:t> </w:t>
      </w:r>
      <w:r>
        <w:rPr/>
        <w:t>en</w:t>
      </w:r>
      <w:r>
        <w:rPr>
          <w:spacing w:val="-18"/>
        </w:rPr>
        <w:t> </w:t>
      </w:r>
      <w:r>
        <w:rPr/>
        <w:t>la</w:t>
      </w:r>
      <w:r>
        <w:rPr>
          <w:spacing w:val="-18"/>
        </w:rPr>
        <w:t> </w:t>
      </w:r>
      <w:r>
        <w:rPr/>
        <w:t>cunicultura, el 27% corresponde al ciclo semiintensivo: </w:t>
      </w:r>
      <w:r>
        <w:rPr>
          <w:spacing w:val="3"/>
        </w:rPr>
        <w:t>10 </w:t>
      </w:r>
      <w:r>
        <w:rPr/>
        <w:t>granjas corresponden al sistema de traspatio y 17 al sistema semitecnificado: el 10% maneja el ciclo extensivo y pertenecen al sistema de producción de traspatio (Cuadro</w:t>
      </w:r>
      <w:r>
        <w:rPr>
          <w:spacing w:val="-22"/>
        </w:rPr>
        <w:t> </w:t>
      </w:r>
      <w:r>
        <w:rPr/>
        <w:t>6).</w:t>
      </w:r>
    </w:p>
    <w:p>
      <w:pPr>
        <w:pStyle w:val="BodyText"/>
        <w:spacing w:line="360" w:lineRule="auto" w:before="202"/>
        <w:ind w:left="3616" w:right="179" w:hanging="3296"/>
      </w:pPr>
      <w:r>
        <w:rPr/>
        <w:pict>
          <v:group style="position:absolute;margin-left:93.374001pt;margin-top:51.585842pt;width:442.55pt;height:.5pt;mso-position-horizontal-relative:page;mso-position-vertical-relative:paragraph;z-index:1408" coordorigin="1867,1032" coordsize="8851,10">
            <v:line style="position:absolute" from="1872,1037" to="3627,1037" stroked="true" strokeweight=".48001pt" strokecolor="#000000"/>
            <v:line style="position:absolute" from="3627,1037" to="3636,1037" stroked="true" strokeweight=".48001pt" strokecolor="#000000"/>
            <v:line style="position:absolute" from="3636,1037" to="5869,1037" stroked="true" strokeweight=".48001pt" strokecolor="#000000"/>
            <v:line style="position:absolute" from="5869,1037" to="5879,1037" stroked="true" strokeweight=".48001pt" strokecolor="#000000"/>
            <v:line style="position:absolute" from="5879,1037" to="6820,1037" stroked="true" strokeweight=".48001pt" strokecolor="#000000"/>
            <v:line style="position:absolute" from="6820,1037" to="6829,1037" stroked="true" strokeweight=".48001pt" strokecolor="#000000"/>
            <v:line style="position:absolute" from="6829,1037" to="10713,1037" stroked="true" strokeweight=".48001pt" strokecolor="#000000"/>
            <w10:wrap type="none"/>
          </v:group>
        </w:pict>
      </w:r>
      <w:r>
        <w:rPr/>
        <w:t>Cuadro 6. Ciclo de producción en Unidades de Producción Cunicula Familiar en el Valle de Toluca</w:t>
      </w:r>
    </w:p>
    <w:p>
      <w:pPr>
        <w:spacing w:after="0" w:line="360" w:lineRule="auto"/>
        <w:sectPr>
          <w:footerReference w:type="default" r:id="rId22"/>
          <w:pgSz w:w="12240" w:h="15840"/>
          <w:pgMar w:footer="1386" w:header="0" w:top="1500" w:bottom="1580" w:left="1720" w:right="1420"/>
        </w:sectPr>
      </w:pPr>
    </w:p>
    <w:p>
      <w:pPr>
        <w:pStyle w:val="BodyText"/>
        <w:spacing w:before="7"/>
        <w:rPr>
          <w:sz w:val="19"/>
        </w:rPr>
      </w:pPr>
    </w:p>
    <w:p>
      <w:pPr>
        <w:pStyle w:val="BodyText"/>
        <w:tabs>
          <w:tab w:pos="2247" w:val="left" w:leader="none"/>
          <w:tab w:pos="4516" w:val="left" w:leader="none"/>
        </w:tabs>
        <w:ind w:left="761"/>
      </w:pPr>
      <w:r>
        <w:rPr/>
        <w:pict>
          <v:shape style="position:absolute;margin-left:93.624001pt;margin-top:10.415859pt;width:442.05pt;height:84.9pt;mso-position-horizontal-relative:page;mso-position-vertical-relative:paragraph;z-index:14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1"/>
                    <w:gridCol w:w="1346"/>
                    <w:gridCol w:w="1461"/>
                    <w:gridCol w:w="1434"/>
                    <w:gridCol w:w="2388"/>
                  </w:tblGrid>
                  <w:tr>
                    <w:trPr>
                      <w:trHeight w:val="425" w:hRule="exact"/>
                    </w:trPr>
                    <w:tc>
                      <w:tcPr>
                        <w:tcW w:w="5018" w:type="dxa"/>
                        <w:gridSpan w:val="3"/>
                        <w:tcBorders>
                          <w:bottom w:val="single" w:sz="4" w:space="0" w:color="000000"/>
                        </w:tcBorders>
                      </w:tcPr>
                      <w:p>
                        <w:pPr/>
                      </w:p>
                    </w:tc>
                    <w:tc>
                      <w:tcPr>
                        <w:tcW w:w="1434" w:type="dxa"/>
                        <w:tcBorders>
                          <w:top w:val="single" w:sz="4" w:space="0" w:color="000000"/>
                          <w:bottom w:val="single" w:sz="4" w:space="0" w:color="000000"/>
                          <w:right w:val="single" w:sz="4" w:space="0" w:color="000000"/>
                        </w:tcBorders>
                      </w:tcPr>
                      <w:p>
                        <w:pPr>
                          <w:pStyle w:val="TableParagraph"/>
                          <w:spacing w:line="274" w:lineRule="exact"/>
                          <w:ind w:left="160" w:right="227"/>
                          <w:rPr>
                            <w:sz w:val="24"/>
                          </w:rPr>
                        </w:pPr>
                        <w:r>
                          <w:rPr>
                            <w:sz w:val="24"/>
                          </w:rPr>
                          <w:t>Traspatio</w:t>
                        </w:r>
                      </w:p>
                    </w:tc>
                    <w:tc>
                      <w:tcPr>
                        <w:tcW w:w="2388" w:type="dxa"/>
                        <w:tcBorders>
                          <w:top w:val="single" w:sz="4" w:space="0" w:color="000000"/>
                          <w:left w:val="single" w:sz="4" w:space="0" w:color="000000"/>
                          <w:bottom w:val="single" w:sz="4" w:space="0" w:color="000000"/>
                        </w:tcBorders>
                      </w:tcPr>
                      <w:p>
                        <w:pPr>
                          <w:pStyle w:val="TableParagraph"/>
                          <w:spacing w:line="274" w:lineRule="exact"/>
                          <w:ind w:left="319" w:right="329"/>
                          <w:rPr>
                            <w:sz w:val="24"/>
                          </w:rPr>
                        </w:pPr>
                        <w:r>
                          <w:rPr>
                            <w:sz w:val="24"/>
                          </w:rPr>
                          <w:t>Semitecnificado</w:t>
                        </w:r>
                      </w:p>
                    </w:tc>
                  </w:tr>
                  <w:tr>
                    <w:trPr>
                      <w:trHeight w:val="360" w:hRule="exact"/>
                    </w:trPr>
                    <w:tc>
                      <w:tcPr>
                        <w:tcW w:w="2211" w:type="dxa"/>
                        <w:tcBorders>
                          <w:top w:val="single" w:sz="4" w:space="0" w:color="000000"/>
                        </w:tcBorders>
                      </w:tcPr>
                      <w:p>
                        <w:pPr>
                          <w:pStyle w:val="TableParagraph"/>
                          <w:spacing w:line="274" w:lineRule="exact"/>
                          <w:ind w:left="69"/>
                          <w:jc w:val="left"/>
                          <w:rPr>
                            <w:sz w:val="24"/>
                          </w:rPr>
                        </w:pPr>
                        <w:r>
                          <w:rPr>
                            <w:sz w:val="24"/>
                          </w:rPr>
                          <w:t>Semiintensivo</w:t>
                        </w:r>
                      </w:p>
                    </w:tc>
                    <w:tc>
                      <w:tcPr>
                        <w:tcW w:w="1346" w:type="dxa"/>
                        <w:tcBorders>
                          <w:top w:val="single" w:sz="4" w:space="0" w:color="000000"/>
                        </w:tcBorders>
                      </w:tcPr>
                      <w:p>
                        <w:pPr>
                          <w:pStyle w:val="TableParagraph"/>
                          <w:spacing w:line="274" w:lineRule="exact"/>
                          <w:ind w:left="512" w:right="527"/>
                          <w:rPr>
                            <w:sz w:val="24"/>
                          </w:rPr>
                        </w:pPr>
                        <w:r>
                          <w:rPr>
                            <w:sz w:val="24"/>
                          </w:rPr>
                          <w:t>27</w:t>
                        </w:r>
                      </w:p>
                    </w:tc>
                    <w:tc>
                      <w:tcPr>
                        <w:tcW w:w="1461" w:type="dxa"/>
                        <w:tcBorders>
                          <w:top w:val="single" w:sz="4" w:space="0" w:color="000000"/>
                        </w:tcBorders>
                      </w:tcPr>
                      <w:p>
                        <w:pPr>
                          <w:pStyle w:val="TableParagraph"/>
                          <w:spacing w:line="274" w:lineRule="exact"/>
                          <w:ind w:left="527" w:right="156"/>
                          <w:rPr>
                            <w:sz w:val="24"/>
                          </w:rPr>
                        </w:pPr>
                        <w:r>
                          <w:rPr>
                            <w:sz w:val="24"/>
                          </w:rPr>
                          <w:t>90%</w:t>
                        </w:r>
                      </w:p>
                    </w:tc>
                    <w:tc>
                      <w:tcPr>
                        <w:tcW w:w="1434" w:type="dxa"/>
                        <w:tcBorders>
                          <w:top w:val="single" w:sz="4" w:space="0" w:color="000000"/>
                        </w:tcBorders>
                      </w:tcPr>
                      <w:p>
                        <w:pPr>
                          <w:pStyle w:val="TableParagraph"/>
                          <w:spacing w:line="274" w:lineRule="exact"/>
                          <w:ind w:left="528" w:right="599"/>
                          <w:rPr>
                            <w:sz w:val="24"/>
                          </w:rPr>
                        </w:pPr>
                        <w:r>
                          <w:rPr>
                            <w:sz w:val="24"/>
                          </w:rPr>
                          <w:t>10</w:t>
                        </w:r>
                      </w:p>
                    </w:tc>
                    <w:tc>
                      <w:tcPr>
                        <w:tcW w:w="2388" w:type="dxa"/>
                        <w:tcBorders>
                          <w:top w:val="single" w:sz="4" w:space="0" w:color="000000"/>
                        </w:tcBorders>
                      </w:tcPr>
                      <w:p>
                        <w:pPr>
                          <w:pStyle w:val="TableParagraph"/>
                          <w:spacing w:line="274" w:lineRule="exact"/>
                          <w:ind w:left="1040" w:right="1040"/>
                          <w:rPr>
                            <w:sz w:val="24"/>
                          </w:rPr>
                        </w:pPr>
                        <w:r>
                          <w:rPr>
                            <w:sz w:val="24"/>
                          </w:rPr>
                          <w:t>17</w:t>
                        </w:r>
                      </w:p>
                    </w:tc>
                  </w:tr>
                  <w:tr>
                    <w:trPr>
                      <w:trHeight w:val="478" w:hRule="exact"/>
                    </w:trPr>
                    <w:tc>
                      <w:tcPr>
                        <w:tcW w:w="2211" w:type="dxa"/>
                        <w:tcBorders>
                          <w:bottom w:val="single" w:sz="4" w:space="0" w:color="000000"/>
                        </w:tcBorders>
                      </w:tcPr>
                      <w:p>
                        <w:pPr>
                          <w:pStyle w:val="TableParagraph"/>
                          <w:spacing w:before="55"/>
                          <w:ind w:left="69"/>
                          <w:jc w:val="left"/>
                          <w:rPr>
                            <w:sz w:val="24"/>
                          </w:rPr>
                        </w:pPr>
                        <w:r>
                          <w:rPr>
                            <w:sz w:val="24"/>
                          </w:rPr>
                          <w:t>Extensivo</w:t>
                        </w:r>
                      </w:p>
                    </w:tc>
                    <w:tc>
                      <w:tcPr>
                        <w:tcW w:w="1346" w:type="dxa"/>
                        <w:tcBorders>
                          <w:bottom w:val="single" w:sz="4" w:space="0" w:color="000000"/>
                        </w:tcBorders>
                      </w:tcPr>
                      <w:p>
                        <w:pPr>
                          <w:pStyle w:val="TableParagraph"/>
                          <w:spacing w:before="55"/>
                          <w:ind w:right="16"/>
                          <w:rPr>
                            <w:sz w:val="24"/>
                          </w:rPr>
                        </w:pPr>
                        <w:r>
                          <w:rPr>
                            <w:w w:val="99"/>
                            <w:sz w:val="24"/>
                          </w:rPr>
                          <w:t>3</w:t>
                        </w:r>
                      </w:p>
                    </w:tc>
                    <w:tc>
                      <w:tcPr>
                        <w:tcW w:w="1461" w:type="dxa"/>
                        <w:tcBorders>
                          <w:bottom w:val="single" w:sz="4" w:space="0" w:color="000000"/>
                        </w:tcBorders>
                      </w:tcPr>
                      <w:p>
                        <w:pPr>
                          <w:pStyle w:val="TableParagraph"/>
                          <w:spacing w:before="55"/>
                          <w:ind w:left="527" w:right="156"/>
                          <w:rPr>
                            <w:sz w:val="24"/>
                          </w:rPr>
                        </w:pPr>
                        <w:r>
                          <w:rPr>
                            <w:sz w:val="24"/>
                          </w:rPr>
                          <w:t>10%</w:t>
                        </w:r>
                      </w:p>
                    </w:tc>
                    <w:tc>
                      <w:tcPr>
                        <w:tcW w:w="1434" w:type="dxa"/>
                        <w:tcBorders>
                          <w:bottom w:val="single" w:sz="4" w:space="0" w:color="000000"/>
                        </w:tcBorders>
                      </w:tcPr>
                      <w:p>
                        <w:pPr>
                          <w:pStyle w:val="TableParagraph"/>
                          <w:spacing w:before="55"/>
                          <w:ind w:right="72"/>
                          <w:rPr>
                            <w:sz w:val="24"/>
                          </w:rPr>
                        </w:pPr>
                        <w:r>
                          <w:rPr>
                            <w:w w:val="99"/>
                            <w:sz w:val="24"/>
                          </w:rPr>
                          <w:t>3</w:t>
                        </w:r>
                      </w:p>
                    </w:tc>
                    <w:tc>
                      <w:tcPr>
                        <w:tcW w:w="2388" w:type="dxa"/>
                        <w:tcBorders>
                          <w:bottom w:val="single" w:sz="4" w:space="0" w:color="000000"/>
                        </w:tcBorders>
                      </w:tcPr>
                      <w:p>
                        <w:pPr>
                          <w:pStyle w:val="TableParagraph"/>
                          <w:spacing w:before="55"/>
                          <w:ind w:right="6"/>
                          <w:rPr>
                            <w:sz w:val="24"/>
                          </w:rPr>
                        </w:pPr>
                        <w:r>
                          <w:rPr>
                            <w:w w:val="99"/>
                            <w:sz w:val="24"/>
                          </w:rPr>
                          <w:t>0</w:t>
                        </w:r>
                      </w:p>
                    </w:tc>
                  </w:tr>
                  <w:tr>
                    <w:trPr>
                      <w:trHeight w:val="425" w:hRule="exact"/>
                    </w:trPr>
                    <w:tc>
                      <w:tcPr>
                        <w:tcW w:w="2211" w:type="dxa"/>
                        <w:tcBorders>
                          <w:top w:val="single" w:sz="4" w:space="0" w:color="000000"/>
                          <w:bottom w:val="single" w:sz="4" w:space="0" w:color="000000"/>
                        </w:tcBorders>
                      </w:tcPr>
                      <w:p>
                        <w:pPr>
                          <w:pStyle w:val="TableParagraph"/>
                          <w:spacing w:line="274" w:lineRule="exact"/>
                          <w:ind w:right="527"/>
                          <w:jc w:val="right"/>
                          <w:rPr>
                            <w:sz w:val="24"/>
                          </w:rPr>
                        </w:pPr>
                        <w:r>
                          <w:rPr>
                            <w:w w:val="99"/>
                            <w:sz w:val="24"/>
                          </w:rPr>
                          <w:t>n</w:t>
                        </w:r>
                      </w:p>
                    </w:tc>
                    <w:tc>
                      <w:tcPr>
                        <w:tcW w:w="1346" w:type="dxa"/>
                        <w:tcBorders>
                          <w:top w:val="single" w:sz="4" w:space="0" w:color="000000"/>
                          <w:bottom w:val="single" w:sz="4" w:space="0" w:color="000000"/>
                        </w:tcBorders>
                      </w:tcPr>
                      <w:p>
                        <w:pPr>
                          <w:pStyle w:val="TableParagraph"/>
                          <w:spacing w:line="274" w:lineRule="exact"/>
                          <w:ind w:left="512" w:right="527"/>
                          <w:rPr>
                            <w:sz w:val="24"/>
                          </w:rPr>
                        </w:pPr>
                        <w:r>
                          <w:rPr>
                            <w:sz w:val="24"/>
                          </w:rPr>
                          <w:t>30</w:t>
                        </w:r>
                      </w:p>
                    </w:tc>
                    <w:tc>
                      <w:tcPr>
                        <w:tcW w:w="1461" w:type="dxa"/>
                        <w:tcBorders>
                          <w:top w:val="single" w:sz="4" w:space="0" w:color="000000"/>
                          <w:bottom w:val="single" w:sz="4" w:space="0" w:color="000000"/>
                        </w:tcBorders>
                      </w:tcPr>
                      <w:p>
                        <w:pPr>
                          <w:pStyle w:val="TableParagraph"/>
                          <w:spacing w:line="274" w:lineRule="exact"/>
                          <w:ind w:left="527" w:right="159"/>
                          <w:rPr>
                            <w:sz w:val="24"/>
                          </w:rPr>
                        </w:pPr>
                        <w:r>
                          <w:rPr>
                            <w:sz w:val="24"/>
                          </w:rPr>
                          <w:t>100.00</w:t>
                        </w:r>
                      </w:p>
                    </w:tc>
                    <w:tc>
                      <w:tcPr>
                        <w:tcW w:w="1434" w:type="dxa"/>
                        <w:tcBorders>
                          <w:top w:val="single" w:sz="4" w:space="0" w:color="000000"/>
                          <w:bottom w:val="single" w:sz="4" w:space="0" w:color="000000"/>
                        </w:tcBorders>
                      </w:tcPr>
                      <w:p>
                        <w:pPr>
                          <w:pStyle w:val="TableParagraph"/>
                          <w:spacing w:line="274" w:lineRule="exact"/>
                          <w:ind w:left="528" w:right="599"/>
                          <w:rPr>
                            <w:sz w:val="24"/>
                          </w:rPr>
                        </w:pPr>
                        <w:r>
                          <w:rPr>
                            <w:sz w:val="24"/>
                          </w:rPr>
                          <w:t>13</w:t>
                        </w:r>
                      </w:p>
                    </w:tc>
                    <w:tc>
                      <w:tcPr>
                        <w:tcW w:w="2388" w:type="dxa"/>
                        <w:tcBorders>
                          <w:top w:val="single" w:sz="4" w:space="0" w:color="000000"/>
                          <w:bottom w:val="single" w:sz="4" w:space="0" w:color="000000"/>
                        </w:tcBorders>
                      </w:tcPr>
                      <w:p>
                        <w:pPr>
                          <w:pStyle w:val="TableParagraph"/>
                          <w:spacing w:line="274" w:lineRule="exact"/>
                          <w:ind w:left="1040" w:right="1040"/>
                          <w:rPr>
                            <w:sz w:val="24"/>
                          </w:rPr>
                        </w:pPr>
                        <w:r>
                          <w:rPr>
                            <w:sz w:val="24"/>
                          </w:rPr>
                          <w:t>17</w:t>
                        </w:r>
                      </w:p>
                    </w:tc>
                  </w:tr>
                </w:tbl>
                <w:p>
                  <w:pPr>
                    <w:pStyle w:val="BodyText"/>
                  </w:pPr>
                </w:p>
              </w:txbxContent>
            </v:textbox>
            <w10:wrap type="none"/>
          </v:shape>
        </w:pict>
      </w:r>
      <w:r>
        <w:rPr/>
        <w:t>Ciclo</w:t>
        <w:tab/>
        <w:t>No.</w:t>
      </w:r>
      <w:r>
        <w:rPr>
          <w:spacing w:val="-1"/>
        </w:rPr>
        <w:t> </w:t>
      </w:r>
      <w:r>
        <w:rPr/>
        <w:t>de</w:t>
      </w:r>
      <w:r>
        <w:rPr>
          <w:spacing w:val="-3"/>
        </w:rPr>
        <w:t> </w:t>
      </w:r>
      <w:r>
        <w:rPr/>
        <w:t>granjas</w:t>
        <w:tab/>
        <w:t>%</w:t>
      </w:r>
    </w:p>
    <w:p>
      <w:pPr>
        <w:pStyle w:val="BodyText"/>
        <w:spacing w:before="14"/>
        <w:ind w:left="762"/>
      </w:pPr>
      <w:r>
        <w:rPr/>
        <w:br w:type="column"/>
      </w:r>
      <w:r>
        <w:rPr/>
        <w:t>Sistema de produccion</w:t>
      </w:r>
    </w:p>
    <w:p>
      <w:pPr>
        <w:spacing w:after="0"/>
        <w:sectPr>
          <w:type w:val="continuous"/>
          <w:pgSz w:w="12240" w:h="15840"/>
          <w:pgMar w:top="1500" w:bottom="280" w:left="1720" w:right="1420"/>
          <w:cols w:num="2" w:equalWidth="0">
            <w:col w:w="4730" w:space="333"/>
            <w:col w:w="403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pStyle w:val="BodyText"/>
        <w:spacing w:line="360" w:lineRule="auto" w:before="70"/>
        <w:ind w:left="152"/>
      </w:pPr>
      <w:r>
        <w:rPr/>
        <w:t>En el cuadro 7 se muestran los índices de reproducción en la cunicultura del Valle de Toluca.</w:t>
      </w:r>
    </w:p>
    <w:p>
      <w:pPr>
        <w:pStyle w:val="BodyText"/>
        <w:spacing w:before="204"/>
        <w:ind w:left="733"/>
      </w:pPr>
      <w:r>
        <w:rPr/>
        <w:t>Cuadro 7. Índice de reproduccion de la cunicultura en el Valle de Toluca</w:t>
      </w:r>
    </w:p>
    <w:p>
      <w:pPr>
        <w:pStyle w:val="BodyText"/>
        <w:spacing w:before="6" w:after="1"/>
        <w:rPr>
          <w:sz w:val="29"/>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8"/>
        <w:gridCol w:w="1759"/>
        <w:gridCol w:w="2169"/>
        <w:gridCol w:w="1842"/>
        <w:gridCol w:w="1303"/>
      </w:tblGrid>
      <w:tr>
        <w:trPr>
          <w:trHeight w:val="562" w:hRule="exact"/>
        </w:trPr>
        <w:tc>
          <w:tcPr>
            <w:tcW w:w="1768" w:type="dxa"/>
            <w:tcBorders>
              <w:left w:val="nil"/>
              <w:right w:val="nil"/>
            </w:tcBorders>
          </w:tcPr>
          <w:p>
            <w:pPr>
              <w:pStyle w:val="TableParagraph"/>
              <w:ind w:left="698" w:right="230" w:hanging="608"/>
              <w:jc w:val="left"/>
              <w:rPr>
                <w:sz w:val="24"/>
              </w:rPr>
            </w:pPr>
            <w:r>
              <w:rPr>
                <w:sz w:val="24"/>
              </w:rPr>
              <w:t>Macho/Hemb ra</w:t>
            </w:r>
          </w:p>
        </w:tc>
        <w:tc>
          <w:tcPr>
            <w:tcW w:w="1759" w:type="dxa"/>
            <w:tcBorders>
              <w:left w:val="nil"/>
              <w:right w:val="nil"/>
            </w:tcBorders>
          </w:tcPr>
          <w:p>
            <w:pPr>
              <w:pStyle w:val="TableParagraph"/>
              <w:ind w:left="396" w:right="384" w:hanging="149"/>
              <w:jc w:val="left"/>
              <w:rPr>
                <w:sz w:val="24"/>
              </w:rPr>
            </w:pPr>
            <w:r>
              <w:rPr>
                <w:sz w:val="24"/>
              </w:rPr>
              <w:t>Partos por hembra</w:t>
            </w:r>
          </w:p>
        </w:tc>
        <w:tc>
          <w:tcPr>
            <w:tcW w:w="2169" w:type="dxa"/>
            <w:tcBorders>
              <w:left w:val="nil"/>
              <w:right w:val="nil"/>
            </w:tcBorders>
          </w:tcPr>
          <w:p>
            <w:pPr>
              <w:pStyle w:val="TableParagraph"/>
              <w:ind w:left="683" w:right="372" w:hanging="281"/>
              <w:jc w:val="left"/>
              <w:rPr>
                <w:sz w:val="24"/>
              </w:rPr>
            </w:pPr>
            <w:r>
              <w:rPr>
                <w:sz w:val="24"/>
              </w:rPr>
              <w:t>Gazapos por hembra</w:t>
            </w:r>
          </w:p>
        </w:tc>
        <w:tc>
          <w:tcPr>
            <w:tcW w:w="1842" w:type="dxa"/>
            <w:tcBorders>
              <w:left w:val="nil"/>
              <w:right w:val="nil"/>
            </w:tcBorders>
          </w:tcPr>
          <w:p>
            <w:pPr>
              <w:pStyle w:val="TableParagraph"/>
              <w:ind w:left="605" w:right="217" w:hanging="214"/>
              <w:jc w:val="left"/>
              <w:rPr>
                <w:sz w:val="24"/>
              </w:rPr>
            </w:pPr>
            <w:r>
              <w:rPr>
                <w:sz w:val="24"/>
              </w:rPr>
              <w:t>Gazapos al destete</w:t>
            </w:r>
          </w:p>
        </w:tc>
        <w:tc>
          <w:tcPr>
            <w:tcW w:w="1303" w:type="dxa"/>
            <w:tcBorders>
              <w:left w:val="nil"/>
              <w:right w:val="nil"/>
            </w:tcBorders>
          </w:tcPr>
          <w:p>
            <w:pPr>
              <w:pStyle w:val="TableParagraph"/>
              <w:ind w:left="659" w:right="61" w:hanging="425"/>
              <w:jc w:val="left"/>
              <w:rPr>
                <w:sz w:val="24"/>
              </w:rPr>
            </w:pPr>
            <w:r>
              <w:rPr>
                <w:sz w:val="24"/>
              </w:rPr>
              <w:t>Mortalida d</w:t>
            </w:r>
          </w:p>
        </w:tc>
      </w:tr>
      <w:tr>
        <w:trPr>
          <w:trHeight w:val="413" w:hRule="exact"/>
        </w:trPr>
        <w:tc>
          <w:tcPr>
            <w:tcW w:w="1768" w:type="dxa"/>
            <w:tcBorders>
              <w:left w:val="nil"/>
              <w:right w:val="nil"/>
            </w:tcBorders>
          </w:tcPr>
          <w:p>
            <w:pPr>
              <w:pStyle w:val="TableParagraph"/>
              <w:spacing w:before="58"/>
              <w:ind w:left="620" w:right="774"/>
              <w:rPr>
                <w:sz w:val="24"/>
              </w:rPr>
            </w:pPr>
            <w:r>
              <w:rPr>
                <w:sz w:val="24"/>
              </w:rPr>
              <w:t>1:8</w:t>
            </w:r>
          </w:p>
        </w:tc>
        <w:tc>
          <w:tcPr>
            <w:tcW w:w="1759" w:type="dxa"/>
            <w:tcBorders>
              <w:left w:val="nil"/>
              <w:right w:val="nil"/>
            </w:tcBorders>
          </w:tcPr>
          <w:p>
            <w:pPr>
              <w:pStyle w:val="TableParagraph"/>
              <w:spacing w:before="58"/>
              <w:ind w:left="570" w:right="384"/>
              <w:jc w:val="left"/>
              <w:rPr>
                <w:sz w:val="24"/>
              </w:rPr>
            </w:pPr>
            <w:r>
              <w:rPr>
                <w:sz w:val="24"/>
              </w:rPr>
              <w:t>7.47</w:t>
            </w:r>
          </w:p>
        </w:tc>
        <w:tc>
          <w:tcPr>
            <w:tcW w:w="2169" w:type="dxa"/>
            <w:tcBorders>
              <w:left w:val="nil"/>
              <w:right w:val="nil"/>
            </w:tcBorders>
          </w:tcPr>
          <w:p>
            <w:pPr>
              <w:pStyle w:val="TableParagraph"/>
              <w:spacing w:before="58"/>
              <w:ind w:left="836" w:right="824"/>
              <w:rPr>
                <w:sz w:val="24"/>
              </w:rPr>
            </w:pPr>
            <w:r>
              <w:rPr>
                <w:sz w:val="24"/>
              </w:rPr>
              <w:t>9.43</w:t>
            </w:r>
          </w:p>
        </w:tc>
        <w:tc>
          <w:tcPr>
            <w:tcW w:w="1842" w:type="dxa"/>
            <w:tcBorders>
              <w:left w:val="nil"/>
              <w:right w:val="nil"/>
            </w:tcBorders>
          </w:tcPr>
          <w:p>
            <w:pPr>
              <w:pStyle w:val="TableParagraph"/>
              <w:spacing w:before="58"/>
              <w:ind w:left="766" w:right="217"/>
              <w:jc w:val="left"/>
              <w:rPr>
                <w:sz w:val="24"/>
              </w:rPr>
            </w:pPr>
            <w:r>
              <w:rPr>
                <w:sz w:val="24"/>
              </w:rPr>
              <w:t>8.33</w:t>
            </w:r>
          </w:p>
        </w:tc>
        <w:tc>
          <w:tcPr>
            <w:tcW w:w="1303" w:type="dxa"/>
            <w:tcBorders>
              <w:left w:val="nil"/>
              <w:right w:val="nil"/>
            </w:tcBorders>
          </w:tcPr>
          <w:p>
            <w:pPr>
              <w:pStyle w:val="TableParagraph"/>
              <w:spacing w:before="58"/>
              <w:ind w:left="426" w:right="61"/>
              <w:jc w:val="left"/>
              <w:rPr>
                <w:sz w:val="24"/>
              </w:rPr>
            </w:pPr>
            <w:r>
              <w:rPr>
                <w:sz w:val="24"/>
              </w:rPr>
              <w:t>11.81</w:t>
            </w:r>
          </w:p>
        </w:tc>
      </w:tr>
    </w:tbl>
    <w:p>
      <w:pPr>
        <w:spacing w:after="0"/>
        <w:jc w:val="left"/>
        <w:rPr>
          <w:sz w:val="24"/>
        </w:rPr>
        <w:sectPr>
          <w:type w:val="continuous"/>
          <w:pgSz w:w="12240" w:h="15840"/>
          <w:pgMar w:top="1500" w:bottom="280" w:left="1720" w:right="1420"/>
        </w:sectPr>
      </w:pPr>
    </w:p>
    <w:p>
      <w:pPr>
        <w:pStyle w:val="BodyText"/>
        <w:spacing w:before="2"/>
        <w:rPr>
          <w:sz w:val="21"/>
        </w:rPr>
      </w:pPr>
    </w:p>
    <w:p>
      <w:pPr>
        <w:spacing w:before="69"/>
        <w:ind w:left="152" w:right="0" w:firstLine="0"/>
        <w:jc w:val="both"/>
        <w:rPr>
          <w:b/>
          <w:sz w:val="24"/>
        </w:rPr>
      </w:pPr>
      <w:r>
        <w:rPr>
          <w:b/>
          <w:sz w:val="24"/>
        </w:rPr>
        <w:t>Parametros productivos en la cunicultura en el Valle de Toluca</w:t>
      </w:r>
    </w:p>
    <w:p>
      <w:pPr>
        <w:pStyle w:val="BodyText"/>
        <w:spacing w:before="4"/>
        <w:rPr>
          <w:b/>
          <w:sz w:val="29"/>
        </w:rPr>
      </w:pPr>
    </w:p>
    <w:p>
      <w:pPr>
        <w:pStyle w:val="BodyText"/>
        <w:spacing w:line="360" w:lineRule="auto" w:before="1"/>
        <w:ind w:left="152" w:right="114"/>
        <w:jc w:val="both"/>
      </w:pPr>
      <w:r>
        <w:rPr/>
        <w:t>En el cuadro 8 y 9 se muestra el efecto de la región y la localidad en el peso al sacrificio, pesos canal y rendimiento (p&gt;0.05) los parámetros de producción de los conejos</w:t>
      </w:r>
      <w:r>
        <w:rPr>
          <w:spacing w:val="-10"/>
        </w:rPr>
        <w:t> </w:t>
      </w:r>
      <w:r>
        <w:rPr/>
        <w:t>en</w:t>
      </w:r>
      <w:r>
        <w:rPr>
          <w:spacing w:val="-7"/>
        </w:rPr>
        <w:t> </w:t>
      </w:r>
      <w:r>
        <w:rPr/>
        <w:t>el</w:t>
      </w:r>
      <w:r>
        <w:rPr>
          <w:spacing w:val="51"/>
        </w:rPr>
        <w:t> </w:t>
      </w:r>
      <w:r>
        <w:rPr/>
        <w:t>Valle</w:t>
      </w:r>
      <w:r>
        <w:rPr>
          <w:spacing w:val="-7"/>
        </w:rPr>
        <w:t> </w:t>
      </w:r>
      <w:r>
        <w:rPr/>
        <w:t>de</w:t>
      </w:r>
      <w:r>
        <w:rPr>
          <w:spacing w:val="-10"/>
        </w:rPr>
        <w:t> </w:t>
      </w:r>
      <w:r>
        <w:rPr/>
        <w:t>Toluca</w:t>
      </w:r>
      <w:r>
        <w:rPr>
          <w:spacing w:val="-7"/>
        </w:rPr>
        <w:t> </w:t>
      </w:r>
      <w:r>
        <w:rPr/>
        <w:t>se</w:t>
      </w:r>
      <w:r>
        <w:rPr>
          <w:spacing w:val="-7"/>
        </w:rPr>
        <w:t> </w:t>
      </w:r>
      <w:r>
        <w:rPr/>
        <w:t>sacrifican</w:t>
      </w:r>
      <w:r>
        <w:rPr>
          <w:spacing w:val="-7"/>
        </w:rPr>
        <w:t> </w:t>
      </w:r>
      <w:r>
        <w:rPr/>
        <w:t>en</w:t>
      </w:r>
      <w:r>
        <w:rPr>
          <w:spacing w:val="-10"/>
        </w:rPr>
        <w:t> </w:t>
      </w:r>
      <w:r>
        <w:rPr/>
        <w:t>promedio</w:t>
      </w:r>
      <w:r>
        <w:rPr>
          <w:spacing w:val="-8"/>
        </w:rPr>
        <w:t> </w:t>
      </w:r>
      <w:r>
        <w:rPr/>
        <w:t>a</w:t>
      </w:r>
      <w:r>
        <w:rPr>
          <w:spacing w:val="-7"/>
        </w:rPr>
        <w:t> </w:t>
      </w:r>
      <w:r>
        <w:rPr/>
        <w:t>los</w:t>
      </w:r>
      <w:r>
        <w:rPr>
          <w:spacing w:val="-8"/>
        </w:rPr>
        <w:t> </w:t>
      </w:r>
      <w:r>
        <w:rPr/>
        <w:t>78.65</w:t>
      </w:r>
      <w:r>
        <w:rPr>
          <w:spacing w:val="-10"/>
        </w:rPr>
        <w:t> </w:t>
      </w:r>
      <w:r>
        <w:rPr/>
        <w:t>±</w:t>
      </w:r>
      <w:r>
        <w:rPr>
          <w:spacing w:val="-16"/>
        </w:rPr>
        <w:t> </w:t>
      </w:r>
      <w:r>
        <w:rPr/>
        <w:t>10.99</w:t>
      </w:r>
      <w:r>
        <w:rPr>
          <w:spacing w:val="-7"/>
        </w:rPr>
        <w:t> </w:t>
      </w:r>
      <w:r>
        <w:rPr/>
        <w:t>dias</w:t>
      </w:r>
      <w:r>
        <w:rPr>
          <w:spacing w:val="-12"/>
        </w:rPr>
        <w:t> </w:t>
      </w:r>
      <w:r>
        <w:rPr/>
        <w:t>de vida con peso promedio en pie de 2.45  ± 0.29 kg y un rendimiento en promedio</w:t>
      </w:r>
      <w:r>
        <w:rPr>
          <w:spacing w:val="-27"/>
        </w:rPr>
        <w:t> </w:t>
      </w:r>
      <w:r>
        <w:rPr/>
        <w:t>de</w:t>
      </w:r>
    </w:p>
    <w:p>
      <w:pPr>
        <w:pStyle w:val="BodyText"/>
        <w:spacing w:line="360" w:lineRule="auto" w:before="5"/>
        <w:ind w:left="152" w:right="113"/>
        <w:jc w:val="both"/>
      </w:pPr>
      <w:r>
        <w:rPr/>
        <w:t>1.43 ± 0.29 kg los resultados obtenidos del peso al sacrificio, peso canal y rendimiento no muestran una diferencia significativa (p&gt;0.05).</w:t>
      </w:r>
    </w:p>
    <w:p>
      <w:pPr>
        <w:pStyle w:val="BodyText"/>
        <w:spacing w:before="4"/>
        <w:rPr>
          <w:sz w:val="22"/>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49"/>
        <w:gridCol w:w="1634"/>
        <w:gridCol w:w="1308"/>
        <w:gridCol w:w="1371"/>
        <w:gridCol w:w="1393"/>
      </w:tblGrid>
      <w:tr>
        <w:trPr>
          <w:trHeight w:val="275" w:hRule="exact"/>
        </w:trPr>
        <w:tc>
          <w:tcPr>
            <w:tcW w:w="8855" w:type="dxa"/>
            <w:gridSpan w:val="5"/>
          </w:tcPr>
          <w:p>
            <w:pPr>
              <w:pStyle w:val="TableParagraph"/>
              <w:tabs>
                <w:tab w:pos="8854" w:val="left" w:leader="none"/>
              </w:tabs>
              <w:spacing w:line="245" w:lineRule="exact"/>
              <w:ind w:left="14"/>
              <w:jc w:val="left"/>
              <w:rPr>
                <w:sz w:val="24"/>
              </w:rPr>
            </w:pPr>
            <w:r>
              <w:rPr>
                <w:w w:val="100"/>
                <w:sz w:val="24"/>
                <w:u w:val="single"/>
              </w:rPr>
              <w:t> </w:t>
            </w:r>
            <w:r>
              <w:rPr>
                <w:sz w:val="24"/>
                <w:u w:val="single"/>
              </w:rPr>
              <w:t> </w:t>
            </w:r>
            <w:r>
              <w:rPr>
                <w:spacing w:val="20"/>
                <w:sz w:val="24"/>
                <w:u w:val="single"/>
              </w:rPr>
              <w:t> </w:t>
            </w:r>
            <w:r>
              <w:rPr>
                <w:sz w:val="24"/>
                <w:u w:val="single"/>
              </w:rPr>
              <w:t>Cuadro 8. Efecto de la Region en el peso al sacrficio, peso canal y</w:t>
            </w:r>
            <w:r>
              <w:rPr>
                <w:spacing w:val="-20"/>
                <w:sz w:val="24"/>
                <w:u w:val="single"/>
              </w:rPr>
              <w:t> </w:t>
            </w:r>
            <w:r>
              <w:rPr>
                <w:sz w:val="24"/>
                <w:u w:val="single"/>
              </w:rPr>
              <w:t>rendimiento</w:t>
              <w:tab/>
            </w:r>
          </w:p>
        </w:tc>
      </w:tr>
      <w:tr>
        <w:trPr>
          <w:trHeight w:val="305" w:hRule="exact"/>
        </w:trPr>
        <w:tc>
          <w:tcPr>
            <w:tcW w:w="8855" w:type="dxa"/>
            <w:gridSpan w:val="5"/>
          </w:tcPr>
          <w:p>
            <w:pPr>
              <w:pStyle w:val="TableParagraph"/>
              <w:spacing w:before="4"/>
              <w:ind w:left="2844" w:right="2250"/>
              <w:rPr>
                <w:sz w:val="24"/>
              </w:rPr>
            </w:pPr>
            <w:r>
              <w:rPr>
                <w:sz w:val="24"/>
              </w:rPr>
              <w:t>REGION</w:t>
            </w:r>
          </w:p>
        </w:tc>
      </w:tr>
      <w:tr>
        <w:trPr>
          <w:trHeight w:val="455" w:hRule="exact"/>
        </w:trPr>
        <w:tc>
          <w:tcPr>
            <w:tcW w:w="3149" w:type="dxa"/>
          </w:tcPr>
          <w:p>
            <w:pPr>
              <w:pStyle w:val="TableParagraph"/>
              <w:spacing w:line="275" w:lineRule="exact"/>
              <w:ind w:left="84"/>
              <w:jc w:val="left"/>
              <w:rPr>
                <w:sz w:val="24"/>
              </w:rPr>
            </w:pPr>
            <w:r>
              <w:rPr>
                <w:sz w:val="24"/>
              </w:rPr>
              <w:t>VARIABLE</w:t>
            </w:r>
          </w:p>
        </w:tc>
        <w:tc>
          <w:tcPr>
            <w:tcW w:w="1634" w:type="dxa"/>
          </w:tcPr>
          <w:p>
            <w:pPr>
              <w:pStyle w:val="TableParagraph"/>
              <w:tabs>
                <w:tab w:pos="717" w:val="left" w:leader="none"/>
                <w:tab w:pos="1932" w:val="left" w:leader="none"/>
              </w:tabs>
              <w:spacing w:line="275" w:lineRule="exact"/>
              <w:ind w:left="328" w:right="-299"/>
              <w:jc w:val="left"/>
              <w:rPr>
                <w:b/>
                <w:sz w:val="24"/>
              </w:rPr>
            </w:pPr>
            <w:r>
              <w:rPr>
                <w:b/>
                <w:sz w:val="24"/>
                <w:u w:val="single"/>
              </w:rPr>
              <w:t> </w:t>
              <w:tab/>
              <w:t>VII</w:t>
              <w:tab/>
            </w:r>
          </w:p>
        </w:tc>
        <w:tc>
          <w:tcPr>
            <w:tcW w:w="1308" w:type="dxa"/>
          </w:tcPr>
          <w:p>
            <w:pPr>
              <w:pStyle w:val="TableParagraph"/>
              <w:tabs>
                <w:tab w:pos="895" w:val="left" w:leader="none"/>
              </w:tabs>
              <w:spacing w:line="275" w:lineRule="exact"/>
              <w:ind w:right="112"/>
              <w:jc w:val="right"/>
              <w:rPr>
                <w:b/>
                <w:sz w:val="24"/>
              </w:rPr>
            </w:pPr>
            <w:r>
              <w:rPr>
                <w:b/>
                <w:sz w:val="24"/>
                <w:u w:val="single"/>
              </w:rPr>
              <w:t>XIII</w:t>
              <w:tab/>
            </w:r>
          </w:p>
        </w:tc>
        <w:tc>
          <w:tcPr>
            <w:tcW w:w="1371" w:type="dxa"/>
          </w:tcPr>
          <w:p>
            <w:pPr>
              <w:pStyle w:val="TableParagraph"/>
              <w:spacing w:line="275" w:lineRule="exact"/>
              <w:ind w:left="185"/>
              <w:jc w:val="left"/>
              <w:rPr>
                <w:b/>
                <w:sz w:val="24"/>
              </w:rPr>
            </w:pPr>
            <w:r>
              <w:rPr>
                <w:b/>
                <w:sz w:val="24"/>
              </w:rPr>
              <w:t>EEM</w:t>
            </w:r>
          </w:p>
        </w:tc>
        <w:tc>
          <w:tcPr>
            <w:tcW w:w="1393" w:type="dxa"/>
          </w:tcPr>
          <w:p>
            <w:pPr>
              <w:pStyle w:val="TableParagraph"/>
              <w:spacing w:line="275" w:lineRule="exact"/>
              <w:ind w:left="433"/>
              <w:jc w:val="left"/>
              <w:rPr>
                <w:b/>
                <w:sz w:val="24"/>
              </w:rPr>
            </w:pPr>
            <w:r>
              <w:rPr>
                <w:b/>
                <w:sz w:val="24"/>
              </w:rPr>
              <w:t>P</w:t>
            </w:r>
          </w:p>
        </w:tc>
      </w:tr>
      <w:tr>
        <w:trPr>
          <w:trHeight w:val="455" w:hRule="exact"/>
        </w:trPr>
        <w:tc>
          <w:tcPr>
            <w:tcW w:w="3149" w:type="dxa"/>
          </w:tcPr>
          <w:p>
            <w:pPr>
              <w:pStyle w:val="TableParagraph"/>
              <w:spacing w:before="154"/>
              <w:ind w:left="84"/>
              <w:jc w:val="left"/>
              <w:rPr>
                <w:sz w:val="24"/>
              </w:rPr>
            </w:pPr>
            <w:r>
              <w:rPr>
                <w:sz w:val="24"/>
              </w:rPr>
              <w:t>PESO AL SACRIFICIO</w:t>
            </w:r>
          </w:p>
        </w:tc>
        <w:tc>
          <w:tcPr>
            <w:tcW w:w="1634" w:type="dxa"/>
          </w:tcPr>
          <w:p>
            <w:pPr>
              <w:pStyle w:val="TableParagraph"/>
              <w:spacing w:before="154"/>
              <w:ind w:left="600" w:right="-299"/>
              <w:jc w:val="left"/>
              <w:rPr>
                <w:sz w:val="24"/>
              </w:rPr>
            </w:pPr>
            <w:r>
              <w:rPr>
                <w:sz w:val="24"/>
              </w:rPr>
              <w:t>2.4389</w:t>
            </w:r>
          </w:p>
        </w:tc>
        <w:tc>
          <w:tcPr>
            <w:tcW w:w="1308" w:type="dxa"/>
          </w:tcPr>
          <w:p>
            <w:pPr>
              <w:pStyle w:val="TableParagraph"/>
              <w:spacing w:before="154"/>
              <w:ind w:right="183"/>
              <w:jc w:val="right"/>
              <w:rPr>
                <w:sz w:val="24"/>
              </w:rPr>
            </w:pPr>
            <w:r>
              <w:rPr>
                <w:sz w:val="24"/>
              </w:rPr>
              <w:t>2.5167</w:t>
            </w:r>
          </w:p>
        </w:tc>
        <w:tc>
          <w:tcPr>
            <w:tcW w:w="1371" w:type="dxa"/>
          </w:tcPr>
          <w:p>
            <w:pPr>
              <w:pStyle w:val="TableParagraph"/>
              <w:spacing w:before="154"/>
              <w:ind w:right="431"/>
              <w:jc w:val="right"/>
              <w:rPr>
                <w:sz w:val="24"/>
              </w:rPr>
            </w:pPr>
            <w:r>
              <w:rPr>
                <w:sz w:val="24"/>
              </w:rPr>
              <w:t>0.067</w:t>
            </w:r>
          </w:p>
        </w:tc>
        <w:tc>
          <w:tcPr>
            <w:tcW w:w="1393" w:type="dxa"/>
          </w:tcPr>
          <w:p>
            <w:pPr>
              <w:pStyle w:val="TableParagraph"/>
              <w:spacing w:before="154"/>
              <w:ind w:right="69"/>
              <w:jc w:val="right"/>
              <w:rPr>
                <w:sz w:val="24"/>
              </w:rPr>
            </w:pPr>
            <w:r>
              <w:rPr>
                <w:sz w:val="24"/>
              </w:rPr>
              <w:t>0.4739</w:t>
            </w:r>
          </w:p>
        </w:tc>
      </w:tr>
      <w:tr>
        <w:trPr>
          <w:trHeight w:val="300" w:hRule="exact"/>
        </w:trPr>
        <w:tc>
          <w:tcPr>
            <w:tcW w:w="3149" w:type="dxa"/>
          </w:tcPr>
          <w:p>
            <w:pPr>
              <w:pStyle w:val="TableParagraph"/>
              <w:spacing w:line="275" w:lineRule="exact"/>
              <w:ind w:left="84"/>
              <w:jc w:val="left"/>
              <w:rPr>
                <w:sz w:val="24"/>
              </w:rPr>
            </w:pPr>
            <w:r>
              <w:rPr>
                <w:sz w:val="24"/>
              </w:rPr>
              <w:t>PESO CANAL</w:t>
            </w:r>
          </w:p>
        </w:tc>
        <w:tc>
          <w:tcPr>
            <w:tcW w:w="1634" w:type="dxa"/>
          </w:tcPr>
          <w:p>
            <w:pPr>
              <w:pStyle w:val="TableParagraph"/>
              <w:spacing w:line="275" w:lineRule="exact"/>
              <w:ind w:left="600" w:right="-299"/>
              <w:jc w:val="left"/>
              <w:rPr>
                <w:sz w:val="24"/>
              </w:rPr>
            </w:pPr>
            <w:r>
              <w:rPr>
                <w:sz w:val="24"/>
              </w:rPr>
              <w:t>1.4147</w:t>
            </w:r>
          </w:p>
        </w:tc>
        <w:tc>
          <w:tcPr>
            <w:tcW w:w="1308" w:type="dxa"/>
          </w:tcPr>
          <w:p>
            <w:pPr>
              <w:pStyle w:val="TableParagraph"/>
              <w:spacing w:line="275" w:lineRule="exact"/>
              <w:ind w:right="183"/>
              <w:jc w:val="right"/>
              <w:rPr>
                <w:sz w:val="24"/>
              </w:rPr>
            </w:pPr>
            <w:r>
              <w:rPr>
                <w:sz w:val="24"/>
              </w:rPr>
              <w:t>1.485</w:t>
            </w:r>
          </w:p>
        </w:tc>
        <w:tc>
          <w:tcPr>
            <w:tcW w:w="1371" w:type="dxa"/>
          </w:tcPr>
          <w:p>
            <w:pPr>
              <w:pStyle w:val="TableParagraph"/>
              <w:spacing w:line="275" w:lineRule="exact"/>
              <w:ind w:right="431"/>
              <w:jc w:val="right"/>
              <w:rPr>
                <w:sz w:val="24"/>
              </w:rPr>
            </w:pPr>
            <w:r>
              <w:rPr>
                <w:sz w:val="24"/>
              </w:rPr>
              <w:t>0.072</w:t>
            </w:r>
          </w:p>
        </w:tc>
        <w:tc>
          <w:tcPr>
            <w:tcW w:w="1393" w:type="dxa"/>
          </w:tcPr>
          <w:p>
            <w:pPr>
              <w:pStyle w:val="TableParagraph"/>
              <w:spacing w:line="275" w:lineRule="exact"/>
              <w:ind w:right="69"/>
              <w:jc w:val="right"/>
              <w:rPr>
                <w:sz w:val="24"/>
              </w:rPr>
            </w:pPr>
            <w:r>
              <w:rPr>
                <w:sz w:val="24"/>
              </w:rPr>
              <w:t>0.5356</w:t>
            </w:r>
          </w:p>
        </w:tc>
      </w:tr>
      <w:tr>
        <w:trPr>
          <w:trHeight w:val="284" w:hRule="exact"/>
        </w:trPr>
        <w:tc>
          <w:tcPr>
            <w:tcW w:w="3149" w:type="dxa"/>
            <w:tcBorders>
              <w:bottom w:val="single" w:sz="4" w:space="0" w:color="000000"/>
            </w:tcBorders>
          </w:tcPr>
          <w:p>
            <w:pPr>
              <w:pStyle w:val="TableParagraph"/>
              <w:spacing w:line="275" w:lineRule="exact"/>
              <w:ind w:left="84"/>
              <w:jc w:val="left"/>
              <w:rPr>
                <w:sz w:val="24"/>
              </w:rPr>
            </w:pPr>
            <w:r>
              <w:rPr>
                <w:sz w:val="24"/>
              </w:rPr>
              <w:t>RENDIMIENTO</w:t>
            </w:r>
          </w:p>
        </w:tc>
        <w:tc>
          <w:tcPr>
            <w:tcW w:w="1634" w:type="dxa"/>
            <w:tcBorders>
              <w:bottom w:val="single" w:sz="4" w:space="0" w:color="000000"/>
            </w:tcBorders>
          </w:tcPr>
          <w:p>
            <w:pPr>
              <w:pStyle w:val="TableParagraph"/>
              <w:spacing w:line="275" w:lineRule="exact"/>
              <w:ind w:left="866" w:right="-299"/>
              <w:jc w:val="left"/>
              <w:rPr>
                <w:sz w:val="24"/>
              </w:rPr>
            </w:pPr>
            <w:r>
              <w:rPr>
                <w:sz w:val="24"/>
              </w:rPr>
              <w:t>58.0</w:t>
            </w:r>
          </w:p>
        </w:tc>
        <w:tc>
          <w:tcPr>
            <w:tcW w:w="1308" w:type="dxa"/>
            <w:tcBorders>
              <w:bottom w:val="single" w:sz="4" w:space="0" w:color="000000"/>
            </w:tcBorders>
          </w:tcPr>
          <w:p>
            <w:pPr>
              <w:pStyle w:val="TableParagraph"/>
              <w:spacing w:line="275" w:lineRule="exact"/>
              <w:ind w:right="185"/>
              <w:jc w:val="right"/>
              <w:rPr>
                <w:sz w:val="24"/>
              </w:rPr>
            </w:pPr>
            <w:r>
              <w:rPr>
                <w:sz w:val="24"/>
              </w:rPr>
              <w:t>59.0</w:t>
            </w:r>
          </w:p>
        </w:tc>
        <w:tc>
          <w:tcPr>
            <w:tcW w:w="1371" w:type="dxa"/>
            <w:tcBorders>
              <w:bottom w:val="single" w:sz="4" w:space="0" w:color="000000"/>
            </w:tcBorders>
          </w:tcPr>
          <w:p>
            <w:pPr>
              <w:pStyle w:val="TableParagraph"/>
              <w:spacing w:line="275" w:lineRule="exact"/>
              <w:ind w:right="431"/>
              <w:jc w:val="right"/>
              <w:rPr>
                <w:sz w:val="24"/>
              </w:rPr>
            </w:pPr>
            <w:r>
              <w:rPr>
                <w:sz w:val="24"/>
              </w:rPr>
              <w:t>0.062</w:t>
            </w:r>
          </w:p>
        </w:tc>
        <w:tc>
          <w:tcPr>
            <w:tcW w:w="1393" w:type="dxa"/>
            <w:tcBorders>
              <w:bottom w:val="single" w:sz="4" w:space="0" w:color="000000"/>
            </w:tcBorders>
          </w:tcPr>
          <w:p>
            <w:pPr>
              <w:pStyle w:val="TableParagraph"/>
              <w:spacing w:line="275" w:lineRule="exact"/>
              <w:ind w:right="69"/>
              <w:jc w:val="right"/>
              <w:rPr>
                <w:sz w:val="24"/>
              </w:rPr>
            </w:pPr>
            <w:r>
              <w:rPr>
                <w:sz w:val="24"/>
              </w:rPr>
              <w:t>0.4919</w:t>
            </w:r>
          </w:p>
        </w:tc>
      </w:tr>
    </w:tbl>
    <w:p>
      <w:pPr>
        <w:spacing w:line="251" w:lineRule="exact" w:before="0"/>
        <w:ind w:left="872" w:right="0" w:firstLine="0"/>
        <w:jc w:val="left"/>
        <w:rPr>
          <w:sz w:val="20"/>
        </w:rPr>
      </w:pPr>
      <w:r>
        <w:rPr>
          <w:sz w:val="22"/>
        </w:rPr>
        <w:t>VII Región Lerma, XII Región, </w:t>
      </w:r>
      <w:r>
        <w:rPr>
          <w:sz w:val="20"/>
        </w:rPr>
        <w:t>EEM Error Estándar de la Media. p, probabilidad p&lt;0.05.</w:t>
      </w:r>
    </w:p>
    <w:p>
      <w:pPr>
        <w:pStyle w:val="BodyText"/>
        <w:rPr>
          <w:sz w:val="20"/>
        </w:rPr>
      </w:pPr>
    </w:p>
    <w:p>
      <w:pPr>
        <w:pStyle w:val="BodyText"/>
        <w:rPr>
          <w:sz w:val="20"/>
        </w:rPr>
      </w:pPr>
    </w:p>
    <w:p>
      <w:pPr>
        <w:pStyle w:val="BodyText"/>
        <w:spacing w:before="8"/>
        <w:rPr>
          <w:sz w:val="18"/>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1"/>
        <w:gridCol w:w="640"/>
        <w:gridCol w:w="753"/>
        <w:gridCol w:w="642"/>
        <w:gridCol w:w="751"/>
        <w:gridCol w:w="751"/>
        <w:gridCol w:w="752"/>
        <w:gridCol w:w="753"/>
        <w:gridCol w:w="775"/>
        <w:gridCol w:w="827"/>
      </w:tblGrid>
      <w:tr>
        <w:trPr>
          <w:trHeight w:val="248" w:hRule="exact"/>
        </w:trPr>
        <w:tc>
          <w:tcPr>
            <w:tcW w:w="8855" w:type="dxa"/>
            <w:gridSpan w:val="10"/>
            <w:tcBorders>
              <w:bottom w:val="single" w:sz="4" w:space="0" w:color="000000"/>
            </w:tcBorders>
          </w:tcPr>
          <w:p>
            <w:pPr>
              <w:pStyle w:val="TableParagraph"/>
              <w:spacing w:line="204" w:lineRule="exact"/>
              <w:ind w:left="611"/>
              <w:jc w:val="left"/>
              <w:rPr>
                <w:sz w:val="20"/>
              </w:rPr>
            </w:pPr>
            <w:r>
              <w:rPr>
                <w:sz w:val="20"/>
              </w:rPr>
              <w:t>Cuadro 9. Efecto de la localidad en el peso al sacrifico, peso de la canal y rendimeinto</w:t>
            </w:r>
          </w:p>
        </w:tc>
      </w:tr>
      <w:tr>
        <w:trPr>
          <w:trHeight w:val="310" w:hRule="exact"/>
        </w:trPr>
        <w:tc>
          <w:tcPr>
            <w:tcW w:w="8855" w:type="dxa"/>
            <w:gridSpan w:val="10"/>
            <w:tcBorders>
              <w:top w:val="single" w:sz="4" w:space="0" w:color="000000"/>
            </w:tcBorders>
          </w:tcPr>
          <w:p>
            <w:pPr>
              <w:pStyle w:val="TableParagraph"/>
              <w:spacing w:before="31"/>
              <w:ind w:left="3248" w:right="3395"/>
              <w:rPr>
                <w:sz w:val="20"/>
              </w:rPr>
            </w:pPr>
            <w:r>
              <w:rPr>
                <w:sz w:val="20"/>
              </w:rPr>
              <w:t>LOCALIDAD</w:t>
            </w:r>
          </w:p>
        </w:tc>
      </w:tr>
      <w:tr>
        <w:trPr>
          <w:trHeight w:val="299" w:hRule="exact"/>
        </w:trPr>
        <w:tc>
          <w:tcPr>
            <w:tcW w:w="2211" w:type="dxa"/>
          </w:tcPr>
          <w:p>
            <w:pPr>
              <w:pStyle w:val="TableParagraph"/>
              <w:spacing w:before="25"/>
              <w:ind w:left="621"/>
              <w:jc w:val="left"/>
              <w:rPr>
                <w:sz w:val="20"/>
              </w:rPr>
            </w:pPr>
            <w:r>
              <w:rPr>
                <w:sz w:val="20"/>
              </w:rPr>
              <w:t>VARIABLE</w:t>
            </w:r>
          </w:p>
        </w:tc>
        <w:tc>
          <w:tcPr>
            <w:tcW w:w="640" w:type="dxa"/>
            <w:tcBorders>
              <w:bottom w:val="single" w:sz="4" w:space="0" w:color="000000"/>
            </w:tcBorders>
          </w:tcPr>
          <w:p>
            <w:pPr>
              <w:pStyle w:val="TableParagraph"/>
              <w:spacing w:before="23"/>
              <w:rPr>
                <w:b/>
                <w:sz w:val="20"/>
              </w:rPr>
            </w:pPr>
            <w:r>
              <w:rPr>
                <w:b/>
                <w:w w:val="99"/>
                <w:sz w:val="20"/>
              </w:rPr>
              <w:t>1</w:t>
            </w:r>
          </w:p>
        </w:tc>
        <w:tc>
          <w:tcPr>
            <w:tcW w:w="753" w:type="dxa"/>
            <w:tcBorders>
              <w:bottom w:val="single" w:sz="4" w:space="0" w:color="000000"/>
            </w:tcBorders>
          </w:tcPr>
          <w:p>
            <w:pPr>
              <w:pStyle w:val="TableParagraph"/>
              <w:spacing w:before="23"/>
              <w:ind w:right="1"/>
              <w:rPr>
                <w:b/>
                <w:sz w:val="20"/>
              </w:rPr>
            </w:pPr>
            <w:r>
              <w:rPr>
                <w:b/>
                <w:w w:val="99"/>
                <w:sz w:val="20"/>
              </w:rPr>
              <w:t>2</w:t>
            </w:r>
          </w:p>
        </w:tc>
        <w:tc>
          <w:tcPr>
            <w:tcW w:w="642" w:type="dxa"/>
            <w:tcBorders>
              <w:bottom w:val="single" w:sz="4" w:space="0" w:color="000000"/>
            </w:tcBorders>
          </w:tcPr>
          <w:p>
            <w:pPr>
              <w:pStyle w:val="TableParagraph"/>
              <w:spacing w:before="23"/>
              <w:ind w:left="1"/>
              <w:rPr>
                <w:b/>
                <w:sz w:val="20"/>
              </w:rPr>
            </w:pPr>
            <w:r>
              <w:rPr>
                <w:b/>
                <w:w w:val="99"/>
                <w:sz w:val="20"/>
              </w:rPr>
              <w:t>3</w:t>
            </w:r>
          </w:p>
        </w:tc>
        <w:tc>
          <w:tcPr>
            <w:tcW w:w="751" w:type="dxa"/>
            <w:tcBorders>
              <w:bottom w:val="single" w:sz="4" w:space="0" w:color="000000"/>
            </w:tcBorders>
          </w:tcPr>
          <w:p>
            <w:pPr>
              <w:pStyle w:val="TableParagraph"/>
              <w:spacing w:before="23"/>
              <w:rPr>
                <w:b/>
                <w:sz w:val="20"/>
              </w:rPr>
            </w:pPr>
            <w:r>
              <w:rPr>
                <w:b/>
                <w:w w:val="99"/>
                <w:sz w:val="20"/>
              </w:rPr>
              <w:t>4</w:t>
            </w:r>
          </w:p>
        </w:tc>
        <w:tc>
          <w:tcPr>
            <w:tcW w:w="751" w:type="dxa"/>
            <w:tcBorders>
              <w:bottom w:val="single" w:sz="4" w:space="0" w:color="000000"/>
            </w:tcBorders>
          </w:tcPr>
          <w:p>
            <w:pPr>
              <w:pStyle w:val="TableParagraph"/>
              <w:spacing w:before="23"/>
              <w:rPr>
                <w:b/>
                <w:sz w:val="20"/>
              </w:rPr>
            </w:pPr>
            <w:r>
              <w:rPr>
                <w:b/>
                <w:w w:val="99"/>
                <w:sz w:val="20"/>
              </w:rPr>
              <w:t>5</w:t>
            </w:r>
          </w:p>
        </w:tc>
        <w:tc>
          <w:tcPr>
            <w:tcW w:w="752" w:type="dxa"/>
            <w:tcBorders>
              <w:bottom w:val="single" w:sz="4" w:space="0" w:color="000000"/>
            </w:tcBorders>
          </w:tcPr>
          <w:p>
            <w:pPr>
              <w:pStyle w:val="TableParagraph"/>
              <w:spacing w:before="23"/>
              <w:ind w:right="1"/>
              <w:rPr>
                <w:b/>
                <w:sz w:val="20"/>
              </w:rPr>
            </w:pPr>
            <w:r>
              <w:rPr>
                <w:b/>
                <w:w w:val="99"/>
                <w:sz w:val="20"/>
              </w:rPr>
              <w:t>6</w:t>
            </w:r>
          </w:p>
        </w:tc>
        <w:tc>
          <w:tcPr>
            <w:tcW w:w="753" w:type="dxa"/>
            <w:tcBorders>
              <w:bottom w:val="single" w:sz="4" w:space="0" w:color="000000"/>
            </w:tcBorders>
          </w:tcPr>
          <w:p>
            <w:pPr>
              <w:pStyle w:val="TableParagraph"/>
              <w:spacing w:before="23"/>
              <w:rPr>
                <w:b/>
                <w:sz w:val="20"/>
              </w:rPr>
            </w:pPr>
            <w:r>
              <w:rPr>
                <w:b/>
                <w:w w:val="99"/>
                <w:sz w:val="20"/>
              </w:rPr>
              <w:t>7</w:t>
            </w:r>
          </w:p>
        </w:tc>
        <w:tc>
          <w:tcPr>
            <w:tcW w:w="775" w:type="dxa"/>
          </w:tcPr>
          <w:p>
            <w:pPr>
              <w:pStyle w:val="TableParagraph"/>
              <w:spacing w:before="23"/>
              <w:ind w:left="46" w:right="72"/>
              <w:rPr>
                <w:b/>
                <w:sz w:val="20"/>
              </w:rPr>
            </w:pPr>
            <w:r>
              <w:rPr>
                <w:b/>
                <w:sz w:val="20"/>
              </w:rPr>
              <w:t>EEM</w:t>
            </w:r>
          </w:p>
        </w:tc>
        <w:tc>
          <w:tcPr>
            <w:tcW w:w="827" w:type="dxa"/>
          </w:tcPr>
          <w:p>
            <w:pPr>
              <w:pStyle w:val="TableParagraph"/>
              <w:spacing w:before="23"/>
              <w:ind w:right="27"/>
              <w:rPr>
                <w:b/>
                <w:sz w:val="20"/>
              </w:rPr>
            </w:pPr>
            <w:r>
              <w:rPr>
                <w:b/>
                <w:w w:val="99"/>
                <w:sz w:val="20"/>
              </w:rPr>
              <w:t>P</w:t>
            </w:r>
          </w:p>
        </w:tc>
      </w:tr>
      <w:tr>
        <w:trPr>
          <w:trHeight w:val="614" w:hRule="exact"/>
        </w:trPr>
        <w:tc>
          <w:tcPr>
            <w:tcW w:w="2211" w:type="dxa"/>
          </w:tcPr>
          <w:p>
            <w:pPr>
              <w:pStyle w:val="TableParagraph"/>
              <w:spacing w:before="4"/>
              <w:jc w:val="left"/>
              <w:rPr>
                <w:sz w:val="29"/>
              </w:rPr>
            </w:pPr>
          </w:p>
          <w:p>
            <w:pPr>
              <w:pStyle w:val="TableParagraph"/>
              <w:ind w:left="84"/>
              <w:jc w:val="left"/>
              <w:rPr>
                <w:sz w:val="20"/>
              </w:rPr>
            </w:pPr>
            <w:r>
              <w:rPr>
                <w:sz w:val="20"/>
              </w:rPr>
              <w:t>PESO AL SACRIFICIO</w:t>
            </w:r>
          </w:p>
        </w:tc>
        <w:tc>
          <w:tcPr>
            <w:tcW w:w="640" w:type="dxa"/>
            <w:tcBorders>
              <w:top w:val="single" w:sz="4" w:space="0" w:color="000000"/>
            </w:tcBorders>
          </w:tcPr>
          <w:p>
            <w:pPr>
              <w:pStyle w:val="TableParagraph"/>
              <w:spacing w:before="11"/>
              <w:jc w:val="left"/>
              <w:rPr>
                <w:sz w:val="28"/>
              </w:rPr>
            </w:pPr>
          </w:p>
          <w:p>
            <w:pPr>
              <w:pStyle w:val="TableParagraph"/>
              <w:ind w:left="49" w:right="50"/>
              <w:rPr>
                <w:sz w:val="20"/>
              </w:rPr>
            </w:pPr>
            <w:r>
              <w:rPr>
                <w:sz w:val="20"/>
              </w:rPr>
              <w:t>2.5</w:t>
            </w:r>
          </w:p>
        </w:tc>
        <w:tc>
          <w:tcPr>
            <w:tcW w:w="753" w:type="dxa"/>
            <w:tcBorders>
              <w:top w:val="single" w:sz="4" w:space="0" w:color="000000"/>
            </w:tcBorders>
          </w:tcPr>
          <w:p>
            <w:pPr>
              <w:pStyle w:val="TableParagraph"/>
              <w:spacing w:before="11"/>
              <w:jc w:val="left"/>
              <w:rPr>
                <w:sz w:val="28"/>
              </w:rPr>
            </w:pPr>
          </w:p>
          <w:p>
            <w:pPr>
              <w:pStyle w:val="TableParagraph"/>
              <w:ind w:left="49" w:right="50"/>
              <w:rPr>
                <w:sz w:val="20"/>
              </w:rPr>
            </w:pPr>
            <w:r>
              <w:rPr>
                <w:sz w:val="20"/>
              </w:rPr>
              <w:t>2.2357</w:t>
            </w:r>
          </w:p>
        </w:tc>
        <w:tc>
          <w:tcPr>
            <w:tcW w:w="642" w:type="dxa"/>
            <w:tcBorders>
              <w:top w:val="single" w:sz="4" w:space="0" w:color="000000"/>
            </w:tcBorders>
          </w:tcPr>
          <w:p>
            <w:pPr>
              <w:pStyle w:val="TableParagraph"/>
              <w:spacing w:before="11"/>
              <w:jc w:val="left"/>
              <w:rPr>
                <w:sz w:val="28"/>
              </w:rPr>
            </w:pPr>
          </w:p>
          <w:p>
            <w:pPr>
              <w:pStyle w:val="TableParagraph"/>
              <w:ind w:left="49" w:right="50"/>
              <w:rPr>
                <w:sz w:val="20"/>
              </w:rPr>
            </w:pPr>
            <w:r>
              <w:rPr>
                <w:sz w:val="20"/>
              </w:rPr>
              <w:t>2.5</w:t>
            </w:r>
          </w:p>
        </w:tc>
        <w:tc>
          <w:tcPr>
            <w:tcW w:w="751" w:type="dxa"/>
            <w:tcBorders>
              <w:top w:val="single" w:sz="4" w:space="0" w:color="000000"/>
            </w:tcBorders>
          </w:tcPr>
          <w:p>
            <w:pPr>
              <w:pStyle w:val="TableParagraph"/>
              <w:spacing w:before="11"/>
              <w:jc w:val="left"/>
              <w:rPr>
                <w:sz w:val="28"/>
              </w:rPr>
            </w:pPr>
          </w:p>
          <w:p>
            <w:pPr>
              <w:pStyle w:val="TableParagraph"/>
              <w:ind w:left="48" w:right="49"/>
              <w:rPr>
                <w:sz w:val="20"/>
              </w:rPr>
            </w:pPr>
            <w:r>
              <w:rPr>
                <w:sz w:val="20"/>
              </w:rPr>
              <w:t>2.4</w:t>
            </w:r>
          </w:p>
        </w:tc>
        <w:tc>
          <w:tcPr>
            <w:tcW w:w="751" w:type="dxa"/>
            <w:tcBorders>
              <w:top w:val="single" w:sz="4" w:space="0" w:color="000000"/>
            </w:tcBorders>
          </w:tcPr>
          <w:p>
            <w:pPr>
              <w:pStyle w:val="TableParagraph"/>
              <w:spacing w:before="11"/>
              <w:jc w:val="left"/>
              <w:rPr>
                <w:sz w:val="28"/>
              </w:rPr>
            </w:pPr>
          </w:p>
          <w:p>
            <w:pPr>
              <w:pStyle w:val="TableParagraph"/>
              <w:ind w:left="49" w:right="49"/>
              <w:rPr>
                <w:sz w:val="20"/>
              </w:rPr>
            </w:pPr>
            <w:r>
              <w:rPr>
                <w:sz w:val="20"/>
              </w:rPr>
              <w:t>2.475</w:t>
            </w:r>
          </w:p>
        </w:tc>
        <w:tc>
          <w:tcPr>
            <w:tcW w:w="752" w:type="dxa"/>
            <w:tcBorders>
              <w:top w:val="single" w:sz="4" w:space="0" w:color="000000"/>
            </w:tcBorders>
          </w:tcPr>
          <w:p>
            <w:pPr>
              <w:pStyle w:val="TableParagraph"/>
              <w:spacing w:before="11"/>
              <w:jc w:val="left"/>
              <w:rPr>
                <w:sz w:val="28"/>
              </w:rPr>
            </w:pPr>
          </w:p>
          <w:p>
            <w:pPr>
              <w:pStyle w:val="TableParagraph"/>
              <w:ind w:left="49" w:right="50"/>
              <w:rPr>
                <w:sz w:val="20"/>
              </w:rPr>
            </w:pPr>
            <w:r>
              <w:rPr>
                <w:sz w:val="20"/>
              </w:rPr>
              <w:t>2.6167</w:t>
            </w:r>
          </w:p>
        </w:tc>
        <w:tc>
          <w:tcPr>
            <w:tcW w:w="753" w:type="dxa"/>
            <w:tcBorders>
              <w:top w:val="single" w:sz="4" w:space="0" w:color="000000"/>
            </w:tcBorders>
          </w:tcPr>
          <w:p>
            <w:pPr>
              <w:pStyle w:val="TableParagraph"/>
              <w:spacing w:before="11"/>
              <w:jc w:val="left"/>
              <w:rPr>
                <w:sz w:val="28"/>
              </w:rPr>
            </w:pPr>
          </w:p>
          <w:p>
            <w:pPr>
              <w:pStyle w:val="TableParagraph"/>
              <w:ind w:left="50" w:right="50"/>
              <w:rPr>
                <w:sz w:val="20"/>
              </w:rPr>
            </w:pPr>
            <w:r>
              <w:rPr>
                <w:sz w:val="20"/>
              </w:rPr>
              <w:t>2.7</w:t>
            </w:r>
          </w:p>
        </w:tc>
        <w:tc>
          <w:tcPr>
            <w:tcW w:w="775" w:type="dxa"/>
          </w:tcPr>
          <w:p>
            <w:pPr>
              <w:pStyle w:val="TableParagraph"/>
              <w:spacing w:before="4"/>
              <w:jc w:val="left"/>
              <w:rPr>
                <w:sz w:val="29"/>
              </w:rPr>
            </w:pPr>
          </w:p>
          <w:p>
            <w:pPr>
              <w:pStyle w:val="TableParagraph"/>
              <w:ind w:left="49" w:right="72"/>
              <w:rPr>
                <w:sz w:val="20"/>
              </w:rPr>
            </w:pPr>
            <w:r>
              <w:rPr>
                <w:sz w:val="20"/>
              </w:rPr>
              <w:t>0.0948</w:t>
            </w:r>
          </w:p>
        </w:tc>
        <w:tc>
          <w:tcPr>
            <w:tcW w:w="827" w:type="dxa"/>
          </w:tcPr>
          <w:p>
            <w:pPr>
              <w:pStyle w:val="TableParagraph"/>
              <w:spacing w:before="4"/>
              <w:jc w:val="left"/>
              <w:rPr>
                <w:sz w:val="29"/>
              </w:rPr>
            </w:pPr>
          </w:p>
          <w:p>
            <w:pPr>
              <w:pStyle w:val="TableParagraph"/>
              <w:ind w:left="75" w:right="100"/>
              <w:rPr>
                <w:sz w:val="20"/>
              </w:rPr>
            </w:pPr>
            <w:r>
              <w:rPr>
                <w:sz w:val="20"/>
              </w:rPr>
              <w:t>0.1833</w:t>
            </w:r>
          </w:p>
        </w:tc>
      </w:tr>
      <w:tr>
        <w:trPr>
          <w:trHeight w:val="300" w:hRule="exact"/>
        </w:trPr>
        <w:tc>
          <w:tcPr>
            <w:tcW w:w="2211" w:type="dxa"/>
          </w:tcPr>
          <w:p>
            <w:pPr>
              <w:pStyle w:val="TableParagraph"/>
              <w:spacing w:before="24"/>
              <w:ind w:left="84"/>
              <w:jc w:val="left"/>
              <w:rPr>
                <w:sz w:val="20"/>
              </w:rPr>
            </w:pPr>
            <w:r>
              <w:rPr>
                <w:sz w:val="20"/>
              </w:rPr>
              <w:t>PESO CANAL</w:t>
            </w:r>
          </w:p>
        </w:tc>
        <w:tc>
          <w:tcPr>
            <w:tcW w:w="640" w:type="dxa"/>
          </w:tcPr>
          <w:p>
            <w:pPr>
              <w:pStyle w:val="TableParagraph"/>
              <w:spacing w:before="24"/>
              <w:ind w:left="49" w:right="50"/>
              <w:rPr>
                <w:sz w:val="20"/>
              </w:rPr>
            </w:pPr>
            <w:r>
              <w:rPr>
                <w:sz w:val="20"/>
              </w:rPr>
              <w:t>1.576</w:t>
            </w:r>
          </w:p>
        </w:tc>
        <w:tc>
          <w:tcPr>
            <w:tcW w:w="753" w:type="dxa"/>
          </w:tcPr>
          <w:p>
            <w:pPr>
              <w:pStyle w:val="TableParagraph"/>
              <w:spacing w:before="24"/>
              <w:ind w:left="49" w:right="50"/>
              <w:rPr>
                <w:sz w:val="20"/>
              </w:rPr>
            </w:pPr>
            <w:r>
              <w:rPr>
                <w:sz w:val="20"/>
              </w:rPr>
              <w:t>1.175</w:t>
            </w:r>
          </w:p>
        </w:tc>
        <w:tc>
          <w:tcPr>
            <w:tcW w:w="642" w:type="dxa"/>
          </w:tcPr>
          <w:p>
            <w:pPr>
              <w:pStyle w:val="TableParagraph"/>
              <w:spacing w:before="24"/>
              <w:ind w:left="50" w:right="49"/>
              <w:rPr>
                <w:sz w:val="20"/>
              </w:rPr>
            </w:pPr>
            <w:r>
              <w:rPr>
                <w:sz w:val="20"/>
              </w:rPr>
              <w:t>1.466</w:t>
            </w:r>
          </w:p>
        </w:tc>
        <w:tc>
          <w:tcPr>
            <w:tcW w:w="751" w:type="dxa"/>
          </w:tcPr>
          <w:p>
            <w:pPr>
              <w:pStyle w:val="TableParagraph"/>
              <w:spacing w:before="24"/>
              <w:ind w:left="49" w:right="49"/>
              <w:rPr>
                <w:sz w:val="20"/>
              </w:rPr>
            </w:pPr>
            <w:r>
              <w:rPr>
                <w:sz w:val="20"/>
              </w:rPr>
              <w:t>1.364</w:t>
            </w:r>
          </w:p>
        </w:tc>
        <w:tc>
          <w:tcPr>
            <w:tcW w:w="751" w:type="dxa"/>
          </w:tcPr>
          <w:p>
            <w:pPr>
              <w:pStyle w:val="TableParagraph"/>
              <w:spacing w:before="24"/>
              <w:ind w:left="49" w:right="49"/>
              <w:rPr>
                <w:sz w:val="20"/>
              </w:rPr>
            </w:pPr>
            <w:r>
              <w:rPr>
                <w:sz w:val="20"/>
              </w:rPr>
              <w:t>1.47</w:t>
            </w:r>
          </w:p>
        </w:tc>
        <w:tc>
          <w:tcPr>
            <w:tcW w:w="752" w:type="dxa"/>
          </w:tcPr>
          <w:p>
            <w:pPr>
              <w:pStyle w:val="TableParagraph"/>
              <w:spacing w:before="24"/>
              <w:ind w:left="48" w:right="50"/>
              <w:rPr>
                <w:sz w:val="20"/>
              </w:rPr>
            </w:pPr>
            <w:r>
              <w:rPr>
                <w:sz w:val="20"/>
              </w:rPr>
              <w:t>1.6</w:t>
            </w:r>
          </w:p>
        </w:tc>
        <w:tc>
          <w:tcPr>
            <w:tcW w:w="753" w:type="dxa"/>
          </w:tcPr>
          <w:p>
            <w:pPr>
              <w:pStyle w:val="TableParagraph"/>
              <w:spacing w:before="24"/>
              <w:ind w:left="50" w:right="50"/>
              <w:rPr>
                <w:sz w:val="20"/>
              </w:rPr>
            </w:pPr>
            <w:r>
              <w:rPr>
                <w:sz w:val="20"/>
              </w:rPr>
              <w:t>1.6</w:t>
            </w:r>
          </w:p>
        </w:tc>
        <w:tc>
          <w:tcPr>
            <w:tcW w:w="775" w:type="dxa"/>
          </w:tcPr>
          <w:p>
            <w:pPr>
              <w:pStyle w:val="TableParagraph"/>
              <w:spacing w:before="24"/>
              <w:ind w:left="49" w:right="72"/>
              <w:rPr>
                <w:sz w:val="20"/>
              </w:rPr>
            </w:pPr>
            <w:r>
              <w:rPr>
                <w:sz w:val="20"/>
              </w:rPr>
              <w:t>0.975</w:t>
            </w:r>
          </w:p>
        </w:tc>
        <w:tc>
          <w:tcPr>
            <w:tcW w:w="827" w:type="dxa"/>
          </w:tcPr>
          <w:p>
            <w:pPr>
              <w:pStyle w:val="TableParagraph"/>
              <w:spacing w:before="24"/>
              <w:ind w:left="75" w:right="100"/>
              <w:rPr>
                <w:sz w:val="20"/>
              </w:rPr>
            </w:pPr>
            <w:r>
              <w:rPr>
                <w:sz w:val="20"/>
              </w:rPr>
              <w:t>0.1854</w:t>
            </w:r>
          </w:p>
        </w:tc>
      </w:tr>
      <w:tr>
        <w:trPr>
          <w:trHeight w:val="296" w:hRule="exact"/>
        </w:trPr>
        <w:tc>
          <w:tcPr>
            <w:tcW w:w="2211" w:type="dxa"/>
            <w:tcBorders>
              <w:bottom w:val="single" w:sz="4" w:space="0" w:color="000000"/>
            </w:tcBorders>
          </w:tcPr>
          <w:p>
            <w:pPr>
              <w:pStyle w:val="TableParagraph"/>
              <w:spacing w:before="24"/>
              <w:ind w:left="84"/>
              <w:jc w:val="left"/>
              <w:rPr>
                <w:sz w:val="20"/>
              </w:rPr>
            </w:pPr>
            <w:r>
              <w:rPr>
                <w:sz w:val="20"/>
              </w:rPr>
              <w:t>RENDIMIENTO</w:t>
            </w:r>
          </w:p>
        </w:tc>
        <w:tc>
          <w:tcPr>
            <w:tcW w:w="640" w:type="dxa"/>
            <w:tcBorders>
              <w:bottom w:val="single" w:sz="4" w:space="0" w:color="000000"/>
            </w:tcBorders>
          </w:tcPr>
          <w:p>
            <w:pPr>
              <w:pStyle w:val="TableParagraph"/>
              <w:spacing w:before="24"/>
              <w:ind w:left="49" w:right="50"/>
              <w:rPr>
                <w:sz w:val="20"/>
              </w:rPr>
            </w:pPr>
            <w:r>
              <w:rPr>
                <w:sz w:val="20"/>
              </w:rPr>
              <w:t>63.04</w:t>
            </w:r>
          </w:p>
        </w:tc>
        <w:tc>
          <w:tcPr>
            <w:tcW w:w="753" w:type="dxa"/>
            <w:tcBorders>
              <w:bottom w:val="single" w:sz="4" w:space="0" w:color="000000"/>
            </w:tcBorders>
          </w:tcPr>
          <w:p>
            <w:pPr>
              <w:pStyle w:val="TableParagraph"/>
              <w:spacing w:before="24"/>
              <w:ind w:left="49" w:right="50"/>
              <w:rPr>
                <w:sz w:val="20"/>
              </w:rPr>
            </w:pPr>
            <w:r>
              <w:rPr>
                <w:sz w:val="20"/>
              </w:rPr>
              <w:t>52.556</w:t>
            </w:r>
          </w:p>
        </w:tc>
        <w:tc>
          <w:tcPr>
            <w:tcW w:w="642" w:type="dxa"/>
            <w:tcBorders>
              <w:bottom w:val="single" w:sz="4" w:space="0" w:color="000000"/>
            </w:tcBorders>
          </w:tcPr>
          <w:p>
            <w:pPr>
              <w:pStyle w:val="TableParagraph"/>
              <w:spacing w:before="24"/>
              <w:ind w:left="50" w:right="50"/>
              <w:rPr>
                <w:sz w:val="20"/>
              </w:rPr>
            </w:pPr>
            <w:r>
              <w:rPr>
                <w:sz w:val="20"/>
              </w:rPr>
              <w:t>58.64</w:t>
            </w:r>
          </w:p>
        </w:tc>
        <w:tc>
          <w:tcPr>
            <w:tcW w:w="751" w:type="dxa"/>
            <w:tcBorders>
              <w:bottom w:val="single" w:sz="4" w:space="0" w:color="000000"/>
            </w:tcBorders>
          </w:tcPr>
          <w:p>
            <w:pPr>
              <w:pStyle w:val="TableParagraph"/>
              <w:spacing w:before="24"/>
              <w:ind w:left="49" w:right="49"/>
              <w:rPr>
                <w:sz w:val="20"/>
              </w:rPr>
            </w:pPr>
            <w:r>
              <w:rPr>
                <w:sz w:val="20"/>
              </w:rPr>
              <w:t>56.833</w:t>
            </w:r>
          </w:p>
        </w:tc>
        <w:tc>
          <w:tcPr>
            <w:tcW w:w="751" w:type="dxa"/>
            <w:tcBorders>
              <w:bottom w:val="single" w:sz="4" w:space="0" w:color="000000"/>
            </w:tcBorders>
          </w:tcPr>
          <w:p>
            <w:pPr>
              <w:pStyle w:val="TableParagraph"/>
              <w:spacing w:before="24"/>
              <w:ind w:left="49" w:right="49"/>
              <w:rPr>
                <w:sz w:val="20"/>
              </w:rPr>
            </w:pPr>
            <w:r>
              <w:rPr>
                <w:sz w:val="20"/>
              </w:rPr>
              <w:t>59.394</w:t>
            </w:r>
          </w:p>
        </w:tc>
        <w:tc>
          <w:tcPr>
            <w:tcW w:w="752" w:type="dxa"/>
            <w:tcBorders>
              <w:bottom w:val="single" w:sz="4" w:space="0" w:color="000000"/>
            </w:tcBorders>
          </w:tcPr>
          <w:p>
            <w:pPr>
              <w:pStyle w:val="TableParagraph"/>
              <w:spacing w:before="24"/>
              <w:ind w:left="49" w:right="50"/>
              <w:rPr>
                <w:sz w:val="20"/>
              </w:rPr>
            </w:pPr>
            <w:r>
              <w:rPr>
                <w:sz w:val="20"/>
              </w:rPr>
              <w:t>61.146</w:t>
            </w:r>
          </w:p>
        </w:tc>
        <w:tc>
          <w:tcPr>
            <w:tcW w:w="753" w:type="dxa"/>
            <w:tcBorders>
              <w:bottom w:val="single" w:sz="4" w:space="0" w:color="000000"/>
            </w:tcBorders>
          </w:tcPr>
          <w:p>
            <w:pPr>
              <w:pStyle w:val="TableParagraph"/>
              <w:spacing w:before="24"/>
              <w:ind w:left="50" w:right="50"/>
              <w:rPr>
                <w:sz w:val="20"/>
              </w:rPr>
            </w:pPr>
            <w:r>
              <w:rPr>
                <w:sz w:val="20"/>
              </w:rPr>
              <w:t>59.259</w:t>
            </w:r>
          </w:p>
        </w:tc>
        <w:tc>
          <w:tcPr>
            <w:tcW w:w="775" w:type="dxa"/>
            <w:tcBorders>
              <w:bottom w:val="single" w:sz="4" w:space="0" w:color="000000"/>
            </w:tcBorders>
          </w:tcPr>
          <w:p>
            <w:pPr>
              <w:pStyle w:val="TableParagraph"/>
              <w:spacing w:before="24"/>
              <w:ind w:left="46" w:right="72"/>
              <w:rPr>
                <w:sz w:val="20"/>
              </w:rPr>
            </w:pPr>
            <w:r>
              <w:rPr>
                <w:sz w:val="20"/>
              </w:rPr>
              <w:t>0.10</w:t>
            </w:r>
          </w:p>
        </w:tc>
        <w:tc>
          <w:tcPr>
            <w:tcW w:w="827" w:type="dxa"/>
            <w:tcBorders>
              <w:bottom w:val="single" w:sz="4" w:space="0" w:color="000000"/>
            </w:tcBorders>
          </w:tcPr>
          <w:p>
            <w:pPr>
              <w:pStyle w:val="TableParagraph"/>
              <w:spacing w:before="24"/>
              <w:ind w:left="75" w:right="100"/>
              <w:rPr>
                <w:sz w:val="20"/>
              </w:rPr>
            </w:pPr>
            <w:r>
              <w:rPr>
                <w:sz w:val="20"/>
              </w:rPr>
              <w:t>0.1854</w:t>
            </w:r>
          </w:p>
        </w:tc>
      </w:tr>
    </w:tbl>
    <w:p>
      <w:pPr>
        <w:spacing w:line="240" w:lineRule="auto" w:before="0"/>
        <w:ind w:left="872" w:right="107" w:firstLine="0"/>
        <w:jc w:val="both"/>
        <w:rPr>
          <w:sz w:val="22"/>
        </w:rPr>
      </w:pPr>
      <w:r>
        <w:rPr>
          <w:sz w:val="22"/>
        </w:rPr>
        <w:t>Toluca; 1 Lerma, 2 Ocoyoacac, 3 San Mateo Atenco, 4 Toluca, 5 Almoloya de Juárez,</w:t>
      </w:r>
      <w:r>
        <w:rPr>
          <w:spacing w:val="-15"/>
          <w:sz w:val="22"/>
        </w:rPr>
        <w:t> </w:t>
      </w:r>
      <w:r>
        <w:rPr>
          <w:sz w:val="22"/>
        </w:rPr>
        <w:t>6</w:t>
      </w:r>
      <w:r>
        <w:rPr>
          <w:spacing w:val="-16"/>
          <w:sz w:val="22"/>
        </w:rPr>
        <w:t> </w:t>
      </w:r>
      <w:r>
        <w:rPr>
          <w:sz w:val="22"/>
        </w:rPr>
        <w:t>Metepec,</w:t>
      </w:r>
      <w:r>
        <w:rPr>
          <w:spacing w:val="-17"/>
          <w:sz w:val="22"/>
        </w:rPr>
        <w:t> </w:t>
      </w:r>
      <w:r>
        <w:rPr>
          <w:sz w:val="22"/>
        </w:rPr>
        <w:t>7</w:t>
      </w:r>
      <w:r>
        <w:rPr>
          <w:spacing w:val="-16"/>
          <w:sz w:val="22"/>
        </w:rPr>
        <w:t> </w:t>
      </w:r>
      <w:r>
        <w:rPr>
          <w:sz w:val="22"/>
        </w:rPr>
        <w:t>Zinacantepec,</w:t>
      </w:r>
      <w:r>
        <w:rPr>
          <w:spacing w:val="-17"/>
          <w:sz w:val="22"/>
        </w:rPr>
        <w:t> </w:t>
      </w:r>
      <w:r>
        <w:rPr>
          <w:sz w:val="22"/>
        </w:rPr>
        <w:t>EEM</w:t>
      </w:r>
      <w:r>
        <w:rPr>
          <w:spacing w:val="-20"/>
          <w:sz w:val="22"/>
        </w:rPr>
        <w:t> </w:t>
      </w:r>
      <w:r>
        <w:rPr>
          <w:sz w:val="22"/>
        </w:rPr>
        <w:t>Error</w:t>
      </w:r>
      <w:r>
        <w:rPr>
          <w:spacing w:val="-18"/>
          <w:sz w:val="22"/>
        </w:rPr>
        <w:t> </w:t>
      </w:r>
      <w:r>
        <w:rPr>
          <w:sz w:val="22"/>
        </w:rPr>
        <w:t>Estándar</w:t>
      </w:r>
      <w:r>
        <w:rPr>
          <w:spacing w:val="-17"/>
          <w:sz w:val="22"/>
        </w:rPr>
        <w:t> </w:t>
      </w:r>
      <w:r>
        <w:rPr>
          <w:sz w:val="22"/>
        </w:rPr>
        <w:t>de</w:t>
      </w:r>
      <w:r>
        <w:rPr>
          <w:spacing w:val="-16"/>
          <w:sz w:val="22"/>
        </w:rPr>
        <w:t> </w:t>
      </w:r>
      <w:r>
        <w:rPr>
          <w:sz w:val="22"/>
        </w:rPr>
        <w:t>la</w:t>
      </w:r>
      <w:r>
        <w:rPr>
          <w:spacing w:val="-16"/>
          <w:sz w:val="22"/>
        </w:rPr>
        <w:t> </w:t>
      </w:r>
      <w:r>
        <w:rPr>
          <w:sz w:val="22"/>
        </w:rPr>
        <w:t>Media.</w:t>
      </w:r>
      <w:r>
        <w:rPr>
          <w:spacing w:val="-15"/>
          <w:sz w:val="22"/>
        </w:rPr>
        <w:t> </w:t>
      </w:r>
      <w:r>
        <w:rPr>
          <w:sz w:val="22"/>
        </w:rPr>
        <w:t>p,</w:t>
      </w:r>
      <w:r>
        <w:rPr>
          <w:spacing w:val="-17"/>
          <w:sz w:val="22"/>
        </w:rPr>
        <w:t> </w:t>
      </w:r>
      <w:r>
        <w:rPr>
          <w:sz w:val="22"/>
        </w:rPr>
        <w:t>probabilidad p&lt;0.05.</w:t>
      </w:r>
    </w:p>
    <w:p>
      <w:pPr>
        <w:pStyle w:val="BodyText"/>
        <w:rPr>
          <w:sz w:val="22"/>
        </w:rPr>
      </w:pPr>
    </w:p>
    <w:p>
      <w:pPr>
        <w:pStyle w:val="BodyText"/>
        <w:spacing w:before="5"/>
        <w:rPr>
          <w:sz w:val="31"/>
        </w:rPr>
      </w:pPr>
    </w:p>
    <w:p>
      <w:pPr>
        <w:spacing w:before="0"/>
        <w:ind w:left="152" w:right="0" w:firstLine="0"/>
        <w:jc w:val="left"/>
        <w:rPr>
          <w:b/>
          <w:sz w:val="24"/>
        </w:rPr>
      </w:pPr>
      <w:r>
        <w:rPr>
          <w:b/>
          <w:sz w:val="24"/>
        </w:rPr>
        <w:t>Razas de conejos en la cunicultura familiar del Valle de México</w:t>
      </w:r>
    </w:p>
    <w:p>
      <w:pPr>
        <w:pStyle w:val="BodyText"/>
        <w:spacing w:before="4"/>
        <w:rPr>
          <w:b/>
          <w:sz w:val="29"/>
        </w:rPr>
      </w:pPr>
    </w:p>
    <w:p>
      <w:pPr>
        <w:pStyle w:val="BodyText"/>
        <w:spacing w:line="360" w:lineRule="auto" w:before="1"/>
        <w:ind w:left="152"/>
      </w:pPr>
      <w:r>
        <w:rPr/>
        <w:t>Los resultados de conejos que utilizan para produccion de carne de conejo en el Valle</w:t>
      </w:r>
      <w:r>
        <w:rPr>
          <w:spacing w:val="-8"/>
        </w:rPr>
        <w:t> </w:t>
      </w:r>
      <w:r>
        <w:rPr/>
        <w:t>de</w:t>
      </w:r>
      <w:r>
        <w:rPr>
          <w:spacing w:val="-11"/>
        </w:rPr>
        <w:t> </w:t>
      </w:r>
      <w:r>
        <w:rPr/>
        <w:t>Toluca,</w:t>
      </w:r>
      <w:r>
        <w:rPr>
          <w:spacing w:val="-11"/>
        </w:rPr>
        <w:t> </w:t>
      </w:r>
      <w:r>
        <w:rPr/>
        <w:t>predominan</w:t>
      </w:r>
      <w:r>
        <w:rPr>
          <w:spacing w:val="-8"/>
        </w:rPr>
        <w:t> </w:t>
      </w:r>
      <w:r>
        <w:rPr/>
        <w:t>en</w:t>
      </w:r>
      <w:r>
        <w:rPr>
          <w:spacing w:val="-8"/>
        </w:rPr>
        <w:t> </w:t>
      </w:r>
      <w:r>
        <w:rPr/>
        <w:t>la</w:t>
      </w:r>
      <w:r>
        <w:rPr>
          <w:spacing w:val="-11"/>
        </w:rPr>
        <w:t> </w:t>
      </w:r>
      <w:r>
        <w:rPr/>
        <w:t>cunicultura</w:t>
      </w:r>
      <w:r>
        <w:rPr>
          <w:spacing w:val="-11"/>
        </w:rPr>
        <w:t> </w:t>
      </w:r>
      <w:r>
        <w:rPr/>
        <w:t>hibridos</w:t>
      </w:r>
      <w:r>
        <w:rPr>
          <w:spacing w:val="-12"/>
        </w:rPr>
        <w:t> </w:t>
      </w:r>
      <w:r>
        <w:rPr/>
        <w:t>o</w:t>
      </w:r>
      <w:r>
        <w:rPr>
          <w:spacing w:val="-11"/>
        </w:rPr>
        <w:t> </w:t>
      </w:r>
      <w:r>
        <w:rPr/>
        <w:t>fenotipo</w:t>
      </w:r>
      <w:r>
        <w:rPr>
          <w:spacing w:val="-8"/>
        </w:rPr>
        <w:t> </w:t>
      </w:r>
      <w:r>
        <w:rPr/>
        <w:t>racial</w:t>
      </w:r>
      <w:r>
        <w:rPr>
          <w:spacing w:val="-10"/>
        </w:rPr>
        <w:t> </w:t>
      </w:r>
      <w:r>
        <w:rPr/>
        <w:t>con</w:t>
      </w:r>
      <w:r>
        <w:rPr>
          <w:spacing w:val="-11"/>
        </w:rPr>
        <w:t> </w:t>
      </w:r>
      <w:r>
        <w:rPr>
          <w:spacing w:val="2"/>
        </w:rPr>
        <w:t>un</w:t>
      </w:r>
      <w:r>
        <w:rPr>
          <w:spacing w:val="-8"/>
        </w:rPr>
        <w:t> </w:t>
      </w:r>
      <w:r>
        <w:rPr/>
        <w:t>43%.</w:t>
      </w:r>
    </w:p>
    <w:p>
      <w:pPr>
        <w:spacing w:after="0" w:line="360" w:lineRule="auto"/>
        <w:sectPr>
          <w:footerReference w:type="default" r:id="rId23"/>
          <w:pgSz w:w="12240" w:h="15840"/>
          <w:pgMar w:footer="1386" w:header="0" w:top="1500" w:bottom="1580" w:left="1720" w:right="1420"/>
          <w:pgNumType w:start="51"/>
        </w:sectPr>
      </w:pPr>
    </w:p>
    <w:p>
      <w:pPr>
        <w:pStyle w:val="BodyText"/>
        <w:spacing w:before="2"/>
        <w:rPr>
          <w:sz w:val="21"/>
        </w:rPr>
      </w:pPr>
    </w:p>
    <w:p>
      <w:pPr>
        <w:pStyle w:val="BodyText"/>
        <w:spacing w:line="360" w:lineRule="auto" w:before="69"/>
        <w:ind w:left="3883" w:right="181" w:hanging="3303"/>
      </w:pPr>
      <w:r>
        <w:rPr/>
        <w:t>Cuadro 10. Razas de conejos carnicos que predominan en la cunicultura del Valle de Toluca</w:t>
      </w:r>
    </w:p>
    <w:p>
      <w:pPr>
        <w:pStyle w:val="BodyText"/>
        <w:spacing w:before="10"/>
        <w:rPr>
          <w:sz w:val="17"/>
        </w:rPr>
      </w:pPr>
    </w:p>
    <w:tbl>
      <w:tblPr>
        <w:tblW w:w="0" w:type="auto"/>
        <w:jc w:val="left"/>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8"/>
        <w:gridCol w:w="1695"/>
        <w:gridCol w:w="1700"/>
        <w:gridCol w:w="1699"/>
        <w:gridCol w:w="1697"/>
      </w:tblGrid>
      <w:tr>
        <w:trPr>
          <w:trHeight w:val="300" w:hRule="exact"/>
        </w:trPr>
        <w:tc>
          <w:tcPr>
            <w:tcW w:w="8829" w:type="dxa"/>
            <w:gridSpan w:val="5"/>
          </w:tcPr>
          <w:p>
            <w:pPr>
              <w:pStyle w:val="TableParagraph"/>
              <w:spacing w:before="3"/>
              <w:ind w:left="4042" w:right="4043"/>
              <w:rPr>
                <w:b/>
                <w:sz w:val="24"/>
              </w:rPr>
            </w:pPr>
            <w:r>
              <w:rPr>
                <w:b/>
                <w:sz w:val="24"/>
              </w:rPr>
              <w:t>Razas</w:t>
            </w:r>
          </w:p>
        </w:tc>
      </w:tr>
      <w:tr>
        <w:trPr>
          <w:trHeight w:val="300" w:hRule="exact"/>
        </w:trPr>
        <w:tc>
          <w:tcPr>
            <w:tcW w:w="2038" w:type="dxa"/>
          </w:tcPr>
          <w:p>
            <w:pPr>
              <w:pStyle w:val="TableParagraph"/>
              <w:spacing w:before="10"/>
              <w:ind w:left="651" w:right="654"/>
              <w:rPr>
                <w:b/>
                <w:sz w:val="24"/>
              </w:rPr>
            </w:pPr>
            <w:r>
              <w:rPr>
                <w:b/>
                <w:sz w:val="24"/>
              </w:rPr>
              <w:t>NZ</w:t>
            </w:r>
          </w:p>
        </w:tc>
        <w:tc>
          <w:tcPr>
            <w:tcW w:w="1695" w:type="dxa"/>
          </w:tcPr>
          <w:p>
            <w:pPr>
              <w:pStyle w:val="TableParagraph"/>
              <w:spacing w:before="10"/>
              <w:ind w:left="482" w:right="482"/>
              <w:rPr>
                <w:b/>
                <w:sz w:val="24"/>
              </w:rPr>
            </w:pPr>
            <w:r>
              <w:rPr>
                <w:b/>
                <w:sz w:val="24"/>
              </w:rPr>
              <w:t>CA</w:t>
            </w:r>
          </w:p>
        </w:tc>
        <w:tc>
          <w:tcPr>
            <w:tcW w:w="1700" w:type="dxa"/>
          </w:tcPr>
          <w:p>
            <w:pPr>
              <w:pStyle w:val="TableParagraph"/>
              <w:spacing w:before="10"/>
              <w:ind w:left="482" w:right="485"/>
              <w:rPr>
                <w:b/>
                <w:sz w:val="24"/>
              </w:rPr>
            </w:pPr>
            <w:r>
              <w:rPr>
                <w:b/>
                <w:sz w:val="24"/>
              </w:rPr>
              <w:t>CH</w:t>
            </w:r>
          </w:p>
        </w:tc>
        <w:tc>
          <w:tcPr>
            <w:tcW w:w="1699" w:type="dxa"/>
          </w:tcPr>
          <w:p>
            <w:pPr>
              <w:pStyle w:val="TableParagraph"/>
              <w:spacing w:before="10"/>
              <w:ind w:left="545" w:right="551"/>
              <w:rPr>
                <w:b/>
                <w:sz w:val="24"/>
              </w:rPr>
            </w:pPr>
            <w:r>
              <w:rPr>
                <w:b/>
                <w:sz w:val="24"/>
              </w:rPr>
              <w:t>RX</w:t>
            </w:r>
          </w:p>
        </w:tc>
        <w:tc>
          <w:tcPr>
            <w:tcW w:w="1697" w:type="dxa"/>
          </w:tcPr>
          <w:p>
            <w:pPr>
              <w:pStyle w:val="TableParagraph"/>
              <w:spacing w:before="10"/>
              <w:ind w:left="336" w:right="338"/>
              <w:rPr>
                <w:b/>
                <w:sz w:val="24"/>
              </w:rPr>
            </w:pPr>
            <w:r>
              <w:rPr>
                <w:b/>
                <w:sz w:val="24"/>
              </w:rPr>
              <w:t>Hibridos</w:t>
            </w:r>
          </w:p>
        </w:tc>
      </w:tr>
      <w:tr>
        <w:trPr>
          <w:trHeight w:val="300" w:hRule="exact"/>
        </w:trPr>
        <w:tc>
          <w:tcPr>
            <w:tcW w:w="2038" w:type="dxa"/>
          </w:tcPr>
          <w:p>
            <w:pPr>
              <w:pStyle w:val="TableParagraph"/>
              <w:spacing w:before="10"/>
              <w:ind w:left="653" w:right="654"/>
              <w:rPr>
                <w:sz w:val="24"/>
              </w:rPr>
            </w:pPr>
            <w:r>
              <w:rPr>
                <w:sz w:val="24"/>
              </w:rPr>
              <w:t>20.0%</w:t>
            </w:r>
          </w:p>
        </w:tc>
        <w:tc>
          <w:tcPr>
            <w:tcW w:w="1695" w:type="dxa"/>
          </w:tcPr>
          <w:p>
            <w:pPr>
              <w:pStyle w:val="TableParagraph"/>
              <w:spacing w:before="10"/>
              <w:ind w:left="482" w:right="482"/>
              <w:rPr>
                <w:sz w:val="24"/>
              </w:rPr>
            </w:pPr>
            <w:r>
              <w:rPr>
                <w:sz w:val="24"/>
              </w:rPr>
              <w:t>17.0%</w:t>
            </w:r>
          </w:p>
        </w:tc>
        <w:tc>
          <w:tcPr>
            <w:tcW w:w="1700" w:type="dxa"/>
          </w:tcPr>
          <w:p>
            <w:pPr>
              <w:pStyle w:val="TableParagraph"/>
              <w:spacing w:before="10"/>
              <w:ind w:left="484" w:right="485"/>
              <w:rPr>
                <w:sz w:val="24"/>
              </w:rPr>
            </w:pPr>
            <w:r>
              <w:rPr>
                <w:sz w:val="24"/>
              </w:rPr>
              <w:t>15.0%</w:t>
            </w:r>
          </w:p>
        </w:tc>
        <w:tc>
          <w:tcPr>
            <w:tcW w:w="1699" w:type="dxa"/>
          </w:tcPr>
          <w:p>
            <w:pPr>
              <w:pStyle w:val="TableParagraph"/>
              <w:spacing w:before="10"/>
              <w:ind w:left="550" w:right="551"/>
              <w:rPr>
                <w:sz w:val="24"/>
              </w:rPr>
            </w:pPr>
            <w:r>
              <w:rPr>
                <w:sz w:val="24"/>
              </w:rPr>
              <w:t>5.0%</w:t>
            </w:r>
          </w:p>
        </w:tc>
        <w:tc>
          <w:tcPr>
            <w:tcW w:w="1697" w:type="dxa"/>
          </w:tcPr>
          <w:p>
            <w:pPr>
              <w:pStyle w:val="TableParagraph"/>
              <w:spacing w:before="10"/>
              <w:ind w:left="336" w:right="336"/>
              <w:rPr>
                <w:sz w:val="24"/>
              </w:rPr>
            </w:pPr>
            <w:r>
              <w:rPr>
                <w:sz w:val="24"/>
              </w:rPr>
              <w:t>43.%</w:t>
            </w:r>
          </w:p>
        </w:tc>
      </w:tr>
    </w:tbl>
    <w:p>
      <w:pPr>
        <w:pStyle w:val="BodyText"/>
        <w:rPr>
          <w:sz w:val="20"/>
        </w:rPr>
      </w:pPr>
    </w:p>
    <w:p>
      <w:pPr>
        <w:pStyle w:val="BodyText"/>
        <w:spacing w:before="2"/>
        <w:rPr>
          <w:sz w:val="27"/>
        </w:rPr>
      </w:pPr>
    </w:p>
    <w:p>
      <w:pPr>
        <w:spacing w:before="70"/>
        <w:ind w:left="292" w:right="0" w:firstLine="0"/>
        <w:jc w:val="both"/>
        <w:rPr>
          <w:b/>
          <w:sz w:val="24"/>
        </w:rPr>
      </w:pPr>
      <w:r>
        <w:rPr>
          <w:b/>
          <w:sz w:val="24"/>
        </w:rPr>
        <w:t>Clasificacion de la canal de conejo en el Valle de Toluca</w:t>
      </w:r>
    </w:p>
    <w:p>
      <w:pPr>
        <w:pStyle w:val="BodyText"/>
        <w:spacing w:before="5"/>
        <w:rPr>
          <w:b/>
          <w:sz w:val="29"/>
        </w:rPr>
      </w:pPr>
    </w:p>
    <w:p>
      <w:pPr>
        <w:pStyle w:val="BodyText"/>
        <w:spacing w:line="360" w:lineRule="auto"/>
        <w:ind w:left="292" w:right="270"/>
        <w:jc w:val="both"/>
      </w:pPr>
      <w:r>
        <w:rPr/>
        <w:t>Las</w:t>
      </w:r>
      <w:r>
        <w:rPr>
          <w:spacing w:val="-4"/>
        </w:rPr>
        <w:t> </w:t>
      </w:r>
      <w:r>
        <w:rPr/>
        <w:t>clasificación</w:t>
      </w:r>
      <w:r>
        <w:rPr>
          <w:spacing w:val="-5"/>
        </w:rPr>
        <w:t> </w:t>
      </w:r>
      <w:r>
        <w:rPr/>
        <w:t>de</w:t>
      </w:r>
      <w:r>
        <w:rPr>
          <w:spacing w:val="-6"/>
        </w:rPr>
        <w:t> </w:t>
      </w:r>
      <w:r>
        <w:rPr/>
        <w:t>las</w:t>
      </w:r>
      <w:r>
        <w:rPr>
          <w:spacing w:val="-6"/>
        </w:rPr>
        <w:t> </w:t>
      </w:r>
      <w:r>
        <w:rPr/>
        <w:t>canales</w:t>
      </w:r>
      <w:r>
        <w:rPr>
          <w:spacing w:val="-4"/>
        </w:rPr>
        <w:t> </w:t>
      </w:r>
      <w:r>
        <w:rPr/>
        <w:t>que</w:t>
      </w:r>
      <w:r>
        <w:rPr>
          <w:spacing w:val="-1"/>
        </w:rPr>
        <w:t> </w:t>
      </w:r>
      <w:r>
        <w:rPr/>
        <w:t>se</w:t>
      </w:r>
      <w:r>
        <w:rPr>
          <w:spacing w:val="-6"/>
        </w:rPr>
        <w:t> </w:t>
      </w:r>
      <w:r>
        <w:rPr/>
        <w:t>producen</w:t>
      </w:r>
      <w:r>
        <w:rPr>
          <w:spacing w:val="-6"/>
        </w:rPr>
        <w:t> </w:t>
      </w:r>
      <w:r>
        <w:rPr/>
        <w:t>en</w:t>
      </w:r>
      <w:r>
        <w:rPr>
          <w:spacing w:val="-6"/>
        </w:rPr>
        <w:t> </w:t>
      </w:r>
      <w:r>
        <w:rPr/>
        <w:t>el</w:t>
      </w:r>
      <w:r>
        <w:rPr>
          <w:spacing w:val="-7"/>
        </w:rPr>
        <w:t> </w:t>
      </w:r>
      <w:r>
        <w:rPr/>
        <w:t>Valle</w:t>
      </w:r>
      <w:r>
        <w:rPr>
          <w:spacing w:val="-6"/>
        </w:rPr>
        <w:t> </w:t>
      </w:r>
      <w:r>
        <w:rPr/>
        <w:t>de</w:t>
      </w:r>
      <w:r>
        <w:rPr>
          <w:spacing w:val="-8"/>
        </w:rPr>
        <w:t> </w:t>
      </w:r>
      <w:r>
        <w:rPr/>
        <w:t>Toluca</w:t>
      </w:r>
      <w:r>
        <w:rPr>
          <w:spacing w:val="-4"/>
        </w:rPr>
        <w:t> </w:t>
      </w:r>
      <w:r>
        <w:rPr/>
        <w:t>con</w:t>
      </w:r>
      <w:r>
        <w:rPr>
          <w:spacing w:val="-6"/>
        </w:rPr>
        <w:t> </w:t>
      </w:r>
      <w:r>
        <w:rPr/>
        <w:t>base</w:t>
      </w:r>
      <w:r>
        <w:rPr>
          <w:spacing w:val="-8"/>
        </w:rPr>
        <w:t> </w:t>
      </w:r>
      <w:r>
        <w:rPr/>
        <w:t>en la norma mexicana que se identificaron fue: México Extra (55.25 %) y México1 (26.67%) y México 2 de</w:t>
      </w:r>
      <w:r>
        <w:rPr>
          <w:spacing w:val="-6"/>
        </w:rPr>
        <w:t> </w:t>
      </w:r>
      <w:r>
        <w:rPr/>
        <w:t>18.10%</w:t>
      </w:r>
    </w:p>
    <w:p>
      <w:pPr>
        <w:pStyle w:val="BodyText"/>
        <w:spacing w:line="360" w:lineRule="auto" w:before="204"/>
        <w:ind w:left="292" w:right="268"/>
        <w:jc w:val="both"/>
      </w:pPr>
      <w:r>
        <w:rPr/>
        <w:t>La clasificación de la canal de conejo que está establecida bajo norma (NMX-FF- 105-SCFI-2005),</w:t>
      </w:r>
      <w:r>
        <w:rPr>
          <w:spacing w:val="-7"/>
        </w:rPr>
        <w:t> </w:t>
      </w:r>
      <w:r>
        <w:rPr/>
        <w:t>donde</w:t>
      </w:r>
      <w:r>
        <w:rPr>
          <w:spacing w:val="-3"/>
        </w:rPr>
        <w:t> </w:t>
      </w:r>
      <w:r>
        <w:rPr/>
        <w:t>se</w:t>
      </w:r>
      <w:r>
        <w:rPr>
          <w:spacing w:val="-6"/>
        </w:rPr>
        <w:t> </w:t>
      </w:r>
      <w:r>
        <w:rPr/>
        <w:t>clasifica</w:t>
      </w:r>
      <w:r>
        <w:rPr>
          <w:spacing w:val="-6"/>
        </w:rPr>
        <w:t> </w:t>
      </w:r>
      <w:r>
        <w:rPr/>
        <w:t>de</w:t>
      </w:r>
      <w:r>
        <w:rPr>
          <w:spacing w:val="-6"/>
        </w:rPr>
        <w:t> </w:t>
      </w:r>
      <w:r>
        <w:rPr/>
        <w:t>acuerdo</w:t>
      </w:r>
      <w:r>
        <w:rPr>
          <w:spacing w:val="-6"/>
        </w:rPr>
        <w:t> </w:t>
      </w:r>
      <w:r>
        <w:rPr/>
        <w:t>a</w:t>
      </w:r>
      <w:r>
        <w:rPr>
          <w:spacing w:val="-5"/>
        </w:rPr>
        <w:t> </w:t>
      </w:r>
      <w:r>
        <w:rPr/>
        <w:t>la</w:t>
      </w:r>
      <w:r>
        <w:rPr>
          <w:spacing w:val="-6"/>
        </w:rPr>
        <w:t> </w:t>
      </w:r>
      <w:r>
        <w:rPr/>
        <w:t>edad,</w:t>
      </w:r>
      <w:r>
        <w:rPr>
          <w:spacing w:val="-5"/>
        </w:rPr>
        <w:t> </w:t>
      </w:r>
      <w:r>
        <w:rPr/>
        <w:t>con</w:t>
      </w:r>
      <w:r>
        <w:rPr>
          <w:spacing w:val="-6"/>
        </w:rPr>
        <w:t> </w:t>
      </w:r>
      <w:r>
        <w:rPr/>
        <w:t>el</w:t>
      </w:r>
      <w:r>
        <w:rPr>
          <w:spacing w:val="-7"/>
        </w:rPr>
        <w:t> </w:t>
      </w:r>
      <w:r>
        <w:rPr/>
        <w:t>peso</w:t>
      </w:r>
      <w:r>
        <w:rPr>
          <w:spacing w:val="-5"/>
        </w:rPr>
        <w:t> </w:t>
      </w:r>
      <w:r>
        <w:rPr/>
        <w:t>al</w:t>
      </w:r>
      <w:r>
        <w:rPr>
          <w:spacing w:val="-7"/>
        </w:rPr>
        <w:t> </w:t>
      </w:r>
      <w:r>
        <w:rPr/>
        <w:t>sacrificio</w:t>
      </w:r>
      <w:r>
        <w:rPr>
          <w:spacing w:val="-6"/>
        </w:rPr>
        <w:t> </w:t>
      </w:r>
      <w:r>
        <w:rPr/>
        <w:t>y con</w:t>
      </w:r>
      <w:r>
        <w:rPr>
          <w:spacing w:val="-8"/>
        </w:rPr>
        <w:t> </w:t>
      </w:r>
      <w:r>
        <w:rPr/>
        <w:t>base</w:t>
      </w:r>
      <w:r>
        <w:rPr>
          <w:spacing w:val="-8"/>
        </w:rPr>
        <w:t> </w:t>
      </w:r>
      <w:r>
        <w:rPr/>
        <w:t>en</w:t>
      </w:r>
      <w:r>
        <w:rPr>
          <w:spacing w:val="-8"/>
        </w:rPr>
        <w:t> </w:t>
      </w:r>
      <w:r>
        <w:rPr/>
        <w:t>estos</w:t>
      </w:r>
      <w:r>
        <w:rPr>
          <w:spacing w:val="-9"/>
        </w:rPr>
        <w:t> </w:t>
      </w:r>
      <w:r>
        <w:rPr/>
        <w:t>datos,</w:t>
      </w:r>
      <w:r>
        <w:rPr>
          <w:spacing w:val="-6"/>
        </w:rPr>
        <w:t> </w:t>
      </w:r>
      <w:r>
        <w:rPr/>
        <w:t>la</w:t>
      </w:r>
      <w:r>
        <w:rPr>
          <w:spacing w:val="-9"/>
        </w:rPr>
        <w:t> </w:t>
      </w:r>
      <w:r>
        <w:rPr/>
        <w:t>clasificación</w:t>
      </w:r>
      <w:r>
        <w:rPr>
          <w:spacing w:val="-8"/>
        </w:rPr>
        <w:t> </w:t>
      </w:r>
      <w:r>
        <w:rPr/>
        <w:t>de</w:t>
      </w:r>
      <w:r>
        <w:rPr>
          <w:spacing w:val="-8"/>
        </w:rPr>
        <w:t> </w:t>
      </w:r>
      <w:r>
        <w:rPr/>
        <w:t>las</w:t>
      </w:r>
      <w:r>
        <w:rPr>
          <w:spacing w:val="-7"/>
        </w:rPr>
        <w:t> </w:t>
      </w:r>
      <w:r>
        <w:rPr/>
        <w:t>canales</w:t>
      </w:r>
      <w:r>
        <w:rPr>
          <w:spacing w:val="-9"/>
        </w:rPr>
        <w:t> </w:t>
      </w:r>
      <w:r>
        <w:rPr/>
        <w:t>que</w:t>
      </w:r>
      <w:r>
        <w:rPr>
          <w:spacing w:val="-8"/>
        </w:rPr>
        <w:t> </w:t>
      </w:r>
      <w:r>
        <w:rPr/>
        <w:t>se</w:t>
      </w:r>
      <w:r>
        <w:rPr>
          <w:spacing w:val="-8"/>
        </w:rPr>
        <w:t> </w:t>
      </w:r>
      <w:r>
        <w:rPr/>
        <w:t>producen</w:t>
      </w:r>
      <w:r>
        <w:rPr>
          <w:spacing w:val="-8"/>
        </w:rPr>
        <w:t> </w:t>
      </w:r>
      <w:r>
        <w:rPr/>
        <w:t>en</w:t>
      </w:r>
      <w:r>
        <w:rPr>
          <w:spacing w:val="-8"/>
        </w:rPr>
        <w:t> </w:t>
      </w:r>
      <w:r>
        <w:rPr/>
        <w:t>el</w:t>
      </w:r>
      <w:r>
        <w:rPr>
          <w:spacing w:val="-10"/>
        </w:rPr>
        <w:t> </w:t>
      </w:r>
      <w:r>
        <w:rPr/>
        <w:t>Valle de</w:t>
      </w:r>
      <w:r>
        <w:rPr>
          <w:spacing w:val="-9"/>
        </w:rPr>
        <w:t> </w:t>
      </w:r>
      <w:r>
        <w:rPr/>
        <w:t>Toluca</w:t>
      </w:r>
      <w:r>
        <w:rPr>
          <w:spacing w:val="-7"/>
        </w:rPr>
        <w:t> </w:t>
      </w:r>
      <w:r>
        <w:rPr/>
        <w:t>son:</w:t>
      </w:r>
      <w:r>
        <w:rPr>
          <w:spacing w:val="-7"/>
        </w:rPr>
        <w:t> </w:t>
      </w:r>
      <w:r>
        <w:rPr/>
        <w:t>México</w:t>
      </w:r>
      <w:r>
        <w:rPr>
          <w:spacing w:val="-7"/>
        </w:rPr>
        <w:t> </w:t>
      </w:r>
      <w:r>
        <w:rPr/>
        <w:t>Extra</w:t>
      </w:r>
      <w:r>
        <w:rPr>
          <w:spacing w:val="-7"/>
        </w:rPr>
        <w:t> </w:t>
      </w:r>
      <w:r>
        <w:rPr/>
        <w:t>55.24%,</w:t>
      </w:r>
      <w:r>
        <w:rPr>
          <w:spacing w:val="-7"/>
        </w:rPr>
        <w:t> </w:t>
      </w:r>
      <w:r>
        <w:rPr/>
        <w:t>México</w:t>
      </w:r>
      <w:r>
        <w:rPr>
          <w:spacing w:val="-7"/>
        </w:rPr>
        <w:t> </w:t>
      </w:r>
      <w:r>
        <w:rPr/>
        <w:t>1:</w:t>
      </w:r>
      <w:r>
        <w:rPr>
          <w:spacing w:val="-7"/>
        </w:rPr>
        <w:t> </w:t>
      </w:r>
      <w:r>
        <w:rPr/>
        <w:t>26.67</w:t>
      </w:r>
      <w:r>
        <w:rPr>
          <w:spacing w:val="-9"/>
        </w:rPr>
        <w:t> </w:t>
      </w:r>
      <w:r>
        <w:rPr/>
        <w:t>y</w:t>
      </w:r>
      <w:r>
        <w:rPr>
          <w:spacing w:val="-10"/>
        </w:rPr>
        <w:t> </w:t>
      </w:r>
      <w:r>
        <w:rPr/>
        <w:t>México</w:t>
      </w:r>
      <w:r>
        <w:rPr>
          <w:spacing w:val="-7"/>
        </w:rPr>
        <w:t> </w:t>
      </w:r>
      <w:r>
        <w:rPr/>
        <w:t>2:</w:t>
      </w:r>
      <w:r>
        <w:rPr>
          <w:spacing w:val="-7"/>
        </w:rPr>
        <w:t> </w:t>
      </w:r>
      <w:r>
        <w:rPr/>
        <w:t>18.10%.</w:t>
      </w:r>
      <w:r>
        <w:rPr>
          <w:spacing w:val="-7"/>
        </w:rPr>
        <w:t> </w:t>
      </w:r>
      <w:r>
        <w:rPr/>
        <w:t>(Cuadro</w:t>
      </w:r>
    </w:p>
    <w:p>
      <w:pPr>
        <w:pStyle w:val="BodyText"/>
        <w:spacing w:before="5"/>
        <w:ind w:left="292"/>
        <w:jc w:val="both"/>
      </w:pPr>
      <w:r>
        <w:rPr/>
        <w:t>11)</w:t>
      </w:r>
    </w:p>
    <w:p>
      <w:pPr>
        <w:pStyle w:val="BodyText"/>
        <w:rPr>
          <w:sz w:val="20"/>
        </w:rPr>
      </w:pPr>
    </w:p>
    <w:p>
      <w:pPr>
        <w:pStyle w:val="BodyText"/>
        <w:spacing w:before="10"/>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7"/>
        <w:gridCol w:w="2830"/>
        <w:gridCol w:w="1826"/>
        <w:gridCol w:w="983"/>
        <w:gridCol w:w="1042"/>
      </w:tblGrid>
      <w:tr>
        <w:trPr>
          <w:trHeight w:val="391" w:hRule="exact"/>
        </w:trPr>
        <w:tc>
          <w:tcPr>
            <w:tcW w:w="9189" w:type="dxa"/>
            <w:gridSpan w:val="5"/>
            <w:tcBorders>
              <w:bottom w:val="single" w:sz="4" w:space="0" w:color="000000"/>
            </w:tcBorders>
          </w:tcPr>
          <w:p>
            <w:pPr>
              <w:pStyle w:val="TableParagraph"/>
              <w:spacing w:line="245" w:lineRule="exact"/>
              <w:ind w:left="1797"/>
              <w:jc w:val="left"/>
              <w:rPr>
                <w:sz w:val="24"/>
              </w:rPr>
            </w:pPr>
            <w:r>
              <w:rPr>
                <w:sz w:val="24"/>
              </w:rPr>
              <w:t>Cuadro 11 Clasificación Oficial de la canal de conejo</w:t>
            </w:r>
          </w:p>
        </w:tc>
      </w:tr>
      <w:tr>
        <w:trPr>
          <w:trHeight w:val="701" w:hRule="exact"/>
        </w:trPr>
        <w:tc>
          <w:tcPr>
            <w:tcW w:w="5338" w:type="dxa"/>
            <w:gridSpan w:val="2"/>
            <w:tcBorders>
              <w:top w:val="single" w:sz="4" w:space="0" w:color="000000"/>
              <w:bottom w:val="single" w:sz="4" w:space="0" w:color="000000"/>
            </w:tcBorders>
          </w:tcPr>
          <w:p>
            <w:pPr>
              <w:pStyle w:val="TableParagraph"/>
              <w:spacing w:line="360" w:lineRule="auto"/>
              <w:ind w:left="1744" w:right="174" w:hanging="1479"/>
              <w:jc w:val="left"/>
              <w:rPr>
                <w:sz w:val="20"/>
              </w:rPr>
            </w:pPr>
            <w:r>
              <w:rPr>
                <w:sz w:val="20"/>
              </w:rPr>
              <w:t>NMX-FF-105-SCFI-2005 PRODUCTOS PECUARIOS - CARNE DE CONEJO</w:t>
            </w:r>
          </w:p>
        </w:tc>
        <w:tc>
          <w:tcPr>
            <w:tcW w:w="2809" w:type="dxa"/>
            <w:gridSpan w:val="2"/>
            <w:tcBorders>
              <w:top w:val="single" w:sz="4" w:space="0" w:color="000000"/>
              <w:bottom w:val="single" w:sz="4" w:space="0" w:color="000000"/>
            </w:tcBorders>
          </w:tcPr>
          <w:p>
            <w:pPr>
              <w:pStyle w:val="TableParagraph"/>
              <w:spacing w:before="170"/>
              <w:ind w:left="1284"/>
              <w:jc w:val="left"/>
              <w:rPr>
                <w:sz w:val="20"/>
              </w:rPr>
            </w:pPr>
            <w:r>
              <w:rPr>
                <w:sz w:val="20"/>
              </w:rPr>
              <w:t>No. de Granjas</w:t>
            </w:r>
          </w:p>
        </w:tc>
        <w:tc>
          <w:tcPr>
            <w:tcW w:w="1042" w:type="dxa"/>
            <w:tcBorders>
              <w:top w:val="single" w:sz="4" w:space="0" w:color="000000"/>
              <w:bottom w:val="single" w:sz="4" w:space="0" w:color="000000"/>
            </w:tcBorders>
          </w:tcPr>
          <w:p>
            <w:pPr/>
          </w:p>
        </w:tc>
      </w:tr>
      <w:tr>
        <w:trPr>
          <w:trHeight w:val="758" w:hRule="exact"/>
        </w:trPr>
        <w:tc>
          <w:tcPr>
            <w:tcW w:w="2507" w:type="dxa"/>
            <w:tcBorders>
              <w:top w:val="single" w:sz="4" w:space="0" w:color="000000"/>
              <w:bottom w:val="single" w:sz="4" w:space="0" w:color="000000"/>
            </w:tcBorders>
          </w:tcPr>
          <w:p>
            <w:pPr>
              <w:pStyle w:val="TableParagraph"/>
              <w:spacing w:line="360" w:lineRule="auto" w:before="23"/>
              <w:ind w:left="427" w:hanging="233"/>
              <w:jc w:val="left"/>
              <w:rPr>
                <w:b/>
                <w:sz w:val="20"/>
              </w:rPr>
            </w:pPr>
            <w:r>
              <w:rPr>
                <w:b/>
                <w:sz w:val="20"/>
              </w:rPr>
              <w:t>Clasificación Oficial de la canal de conejo</w:t>
            </w:r>
          </w:p>
        </w:tc>
        <w:tc>
          <w:tcPr>
            <w:tcW w:w="2830" w:type="dxa"/>
            <w:tcBorders>
              <w:top w:val="single" w:sz="4" w:space="0" w:color="000000"/>
              <w:bottom w:val="single" w:sz="4" w:space="0" w:color="000000"/>
            </w:tcBorders>
          </w:tcPr>
          <w:p>
            <w:pPr>
              <w:pStyle w:val="TableParagraph"/>
              <w:jc w:val="left"/>
              <w:rPr>
                <w:sz w:val="17"/>
              </w:rPr>
            </w:pPr>
          </w:p>
          <w:p>
            <w:pPr>
              <w:pStyle w:val="TableParagraph"/>
              <w:spacing w:before="1"/>
              <w:ind w:left="579"/>
              <w:jc w:val="left"/>
              <w:rPr>
                <w:b/>
                <w:sz w:val="20"/>
              </w:rPr>
            </w:pPr>
            <w:r>
              <w:rPr>
                <w:b/>
                <w:sz w:val="20"/>
              </w:rPr>
              <w:t>Peso en Canal (kg)</w:t>
            </w:r>
          </w:p>
        </w:tc>
        <w:tc>
          <w:tcPr>
            <w:tcW w:w="1826" w:type="dxa"/>
            <w:tcBorders>
              <w:top w:val="single" w:sz="4" w:space="0" w:color="000000"/>
              <w:bottom w:val="single" w:sz="4" w:space="0" w:color="000000"/>
            </w:tcBorders>
          </w:tcPr>
          <w:p>
            <w:pPr>
              <w:pStyle w:val="TableParagraph"/>
              <w:jc w:val="left"/>
              <w:rPr>
                <w:sz w:val="17"/>
              </w:rPr>
            </w:pPr>
          </w:p>
          <w:p>
            <w:pPr>
              <w:pStyle w:val="TableParagraph"/>
              <w:spacing w:before="1"/>
              <w:ind w:left="375"/>
              <w:jc w:val="left"/>
              <w:rPr>
                <w:b/>
                <w:sz w:val="20"/>
              </w:rPr>
            </w:pPr>
            <w:r>
              <w:rPr>
                <w:b/>
                <w:sz w:val="20"/>
              </w:rPr>
              <w:t>Edad (días)</w:t>
            </w:r>
          </w:p>
        </w:tc>
        <w:tc>
          <w:tcPr>
            <w:tcW w:w="983" w:type="dxa"/>
            <w:tcBorders>
              <w:top w:val="single" w:sz="4" w:space="0" w:color="000000"/>
              <w:bottom w:val="single" w:sz="4" w:space="0" w:color="000000"/>
            </w:tcBorders>
          </w:tcPr>
          <w:p>
            <w:pPr>
              <w:pStyle w:val="TableParagraph"/>
              <w:jc w:val="left"/>
              <w:rPr>
                <w:sz w:val="17"/>
              </w:rPr>
            </w:pPr>
          </w:p>
          <w:p>
            <w:pPr>
              <w:pStyle w:val="TableParagraph"/>
              <w:spacing w:before="1"/>
              <w:ind w:left="27"/>
              <w:rPr>
                <w:b/>
                <w:sz w:val="20"/>
              </w:rPr>
            </w:pPr>
            <w:r>
              <w:rPr>
                <w:b/>
                <w:w w:val="99"/>
                <w:sz w:val="20"/>
              </w:rPr>
              <w:t>N</w:t>
            </w:r>
          </w:p>
        </w:tc>
        <w:tc>
          <w:tcPr>
            <w:tcW w:w="1042" w:type="dxa"/>
            <w:tcBorders>
              <w:top w:val="single" w:sz="4" w:space="0" w:color="000000"/>
              <w:bottom w:val="single" w:sz="4" w:space="0" w:color="000000"/>
            </w:tcBorders>
          </w:tcPr>
          <w:p>
            <w:pPr>
              <w:pStyle w:val="TableParagraph"/>
              <w:jc w:val="left"/>
              <w:rPr>
                <w:sz w:val="17"/>
              </w:rPr>
            </w:pPr>
          </w:p>
          <w:p>
            <w:pPr>
              <w:pStyle w:val="TableParagraph"/>
              <w:spacing w:before="1"/>
              <w:ind w:left="90"/>
              <w:rPr>
                <w:b/>
                <w:sz w:val="20"/>
              </w:rPr>
            </w:pPr>
            <w:r>
              <w:rPr>
                <w:b/>
                <w:w w:val="99"/>
                <w:sz w:val="20"/>
              </w:rPr>
              <w:t>%</w:t>
            </w:r>
          </w:p>
        </w:tc>
      </w:tr>
      <w:tr>
        <w:trPr>
          <w:trHeight w:val="339" w:hRule="exact"/>
        </w:trPr>
        <w:tc>
          <w:tcPr>
            <w:tcW w:w="2507" w:type="dxa"/>
            <w:tcBorders>
              <w:top w:val="single" w:sz="4" w:space="0" w:color="000000"/>
            </w:tcBorders>
          </w:tcPr>
          <w:p>
            <w:pPr>
              <w:pStyle w:val="TableParagraph"/>
              <w:spacing w:before="28"/>
              <w:ind w:left="83"/>
              <w:jc w:val="left"/>
              <w:rPr>
                <w:sz w:val="20"/>
              </w:rPr>
            </w:pPr>
            <w:r>
              <w:rPr>
                <w:sz w:val="20"/>
              </w:rPr>
              <w:t>México Extra</w:t>
            </w:r>
          </w:p>
        </w:tc>
        <w:tc>
          <w:tcPr>
            <w:tcW w:w="2830" w:type="dxa"/>
            <w:tcBorders>
              <w:top w:val="single" w:sz="4" w:space="0" w:color="000000"/>
            </w:tcBorders>
          </w:tcPr>
          <w:p>
            <w:pPr>
              <w:pStyle w:val="TableParagraph"/>
              <w:spacing w:before="28"/>
              <w:ind w:left="128"/>
              <w:jc w:val="left"/>
              <w:rPr>
                <w:sz w:val="20"/>
              </w:rPr>
            </w:pPr>
            <w:r>
              <w:rPr>
                <w:sz w:val="20"/>
              </w:rPr>
              <w:t>1,0 a 1,5</w:t>
            </w:r>
          </w:p>
        </w:tc>
        <w:tc>
          <w:tcPr>
            <w:tcW w:w="1826" w:type="dxa"/>
            <w:tcBorders>
              <w:top w:val="single" w:sz="4" w:space="0" w:color="000000"/>
            </w:tcBorders>
          </w:tcPr>
          <w:p>
            <w:pPr>
              <w:pStyle w:val="TableParagraph"/>
              <w:spacing w:before="28"/>
              <w:ind w:left="135"/>
              <w:jc w:val="left"/>
              <w:rPr>
                <w:sz w:val="20"/>
              </w:rPr>
            </w:pPr>
            <w:r>
              <w:rPr>
                <w:sz w:val="20"/>
              </w:rPr>
              <w:t>Hasta 77</w:t>
            </w:r>
          </w:p>
        </w:tc>
        <w:tc>
          <w:tcPr>
            <w:tcW w:w="983" w:type="dxa"/>
            <w:tcBorders>
              <w:top w:val="single" w:sz="4" w:space="0" w:color="000000"/>
            </w:tcBorders>
          </w:tcPr>
          <w:p>
            <w:pPr>
              <w:pStyle w:val="TableParagraph"/>
              <w:spacing w:before="14"/>
              <w:ind w:left="315" w:right="293"/>
              <w:rPr>
                <w:sz w:val="20"/>
              </w:rPr>
            </w:pPr>
            <w:r>
              <w:rPr>
                <w:sz w:val="20"/>
              </w:rPr>
              <w:t>116</w:t>
            </w:r>
          </w:p>
        </w:tc>
        <w:tc>
          <w:tcPr>
            <w:tcW w:w="1042" w:type="dxa"/>
            <w:tcBorders>
              <w:top w:val="single" w:sz="4" w:space="0" w:color="000000"/>
            </w:tcBorders>
          </w:tcPr>
          <w:p>
            <w:pPr>
              <w:pStyle w:val="TableParagraph"/>
              <w:spacing w:before="14"/>
              <w:ind w:left="293" w:right="207"/>
              <w:rPr>
                <w:sz w:val="20"/>
              </w:rPr>
            </w:pPr>
            <w:r>
              <w:rPr>
                <w:sz w:val="20"/>
              </w:rPr>
              <w:t>55.24</w:t>
            </w:r>
          </w:p>
        </w:tc>
      </w:tr>
      <w:tr>
        <w:trPr>
          <w:trHeight w:val="368" w:hRule="exact"/>
        </w:trPr>
        <w:tc>
          <w:tcPr>
            <w:tcW w:w="2507" w:type="dxa"/>
          </w:tcPr>
          <w:p>
            <w:pPr>
              <w:pStyle w:val="TableParagraph"/>
              <w:spacing w:before="54"/>
              <w:ind w:left="83"/>
              <w:jc w:val="left"/>
              <w:rPr>
                <w:sz w:val="20"/>
              </w:rPr>
            </w:pPr>
            <w:r>
              <w:rPr>
                <w:sz w:val="20"/>
              </w:rPr>
              <w:t>México 1</w:t>
            </w:r>
          </w:p>
        </w:tc>
        <w:tc>
          <w:tcPr>
            <w:tcW w:w="2830" w:type="dxa"/>
          </w:tcPr>
          <w:p>
            <w:pPr>
              <w:pStyle w:val="TableParagraph"/>
              <w:spacing w:before="54"/>
              <w:ind w:left="128"/>
              <w:jc w:val="left"/>
              <w:rPr>
                <w:sz w:val="20"/>
              </w:rPr>
            </w:pPr>
            <w:r>
              <w:rPr>
                <w:sz w:val="20"/>
              </w:rPr>
              <w:t>0,9 a 1,8</w:t>
            </w:r>
          </w:p>
        </w:tc>
        <w:tc>
          <w:tcPr>
            <w:tcW w:w="1826" w:type="dxa"/>
          </w:tcPr>
          <w:p>
            <w:pPr>
              <w:pStyle w:val="TableParagraph"/>
              <w:spacing w:before="54"/>
              <w:ind w:left="135"/>
              <w:jc w:val="left"/>
              <w:rPr>
                <w:sz w:val="20"/>
              </w:rPr>
            </w:pPr>
            <w:r>
              <w:rPr>
                <w:sz w:val="20"/>
              </w:rPr>
              <w:t>Hasta 100</w:t>
            </w:r>
          </w:p>
        </w:tc>
        <w:tc>
          <w:tcPr>
            <w:tcW w:w="983" w:type="dxa"/>
          </w:tcPr>
          <w:p>
            <w:pPr>
              <w:pStyle w:val="TableParagraph"/>
              <w:spacing w:before="54"/>
              <w:ind w:left="315" w:right="293"/>
              <w:rPr>
                <w:sz w:val="20"/>
              </w:rPr>
            </w:pPr>
            <w:r>
              <w:rPr>
                <w:sz w:val="20"/>
              </w:rPr>
              <w:t>56</w:t>
            </w:r>
          </w:p>
        </w:tc>
        <w:tc>
          <w:tcPr>
            <w:tcW w:w="1042" w:type="dxa"/>
          </w:tcPr>
          <w:p>
            <w:pPr>
              <w:pStyle w:val="TableParagraph"/>
              <w:spacing w:before="54"/>
              <w:ind w:left="293" w:right="207"/>
              <w:rPr>
                <w:sz w:val="20"/>
              </w:rPr>
            </w:pPr>
            <w:r>
              <w:rPr>
                <w:sz w:val="20"/>
              </w:rPr>
              <w:t>26.67</w:t>
            </w:r>
          </w:p>
        </w:tc>
      </w:tr>
      <w:tr>
        <w:trPr>
          <w:trHeight w:val="429" w:hRule="exact"/>
        </w:trPr>
        <w:tc>
          <w:tcPr>
            <w:tcW w:w="2507" w:type="dxa"/>
            <w:tcBorders>
              <w:bottom w:val="single" w:sz="4" w:space="0" w:color="000000"/>
            </w:tcBorders>
          </w:tcPr>
          <w:p>
            <w:pPr>
              <w:pStyle w:val="TableParagraph"/>
              <w:spacing w:before="76"/>
              <w:ind w:left="83"/>
              <w:jc w:val="left"/>
              <w:rPr>
                <w:sz w:val="20"/>
              </w:rPr>
            </w:pPr>
            <w:r>
              <w:rPr>
                <w:sz w:val="20"/>
              </w:rPr>
              <w:t>México 2</w:t>
            </w:r>
          </w:p>
        </w:tc>
        <w:tc>
          <w:tcPr>
            <w:tcW w:w="2830" w:type="dxa"/>
            <w:tcBorders>
              <w:bottom w:val="single" w:sz="4" w:space="0" w:color="000000"/>
            </w:tcBorders>
          </w:tcPr>
          <w:p>
            <w:pPr>
              <w:pStyle w:val="TableParagraph"/>
              <w:spacing w:before="76"/>
              <w:ind w:left="128"/>
              <w:jc w:val="left"/>
              <w:rPr>
                <w:sz w:val="20"/>
              </w:rPr>
            </w:pPr>
            <w:r>
              <w:rPr>
                <w:sz w:val="20"/>
              </w:rPr>
              <w:t>Menor de 0,9 o mayor de 1,8</w:t>
            </w:r>
          </w:p>
        </w:tc>
        <w:tc>
          <w:tcPr>
            <w:tcW w:w="1826" w:type="dxa"/>
            <w:tcBorders>
              <w:bottom w:val="single" w:sz="4" w:space="0" w:color="000000"/>
            </w:tcBorders>
          </w:tcPr>
          <w:p>
            <w:pPr>
              <w:pStyle w:val="TableParagraph"/>
              <w:spacing w:before="76"/>
              <w:ind w:left="135"/>
              <w:jc w:val="left"/>
              <w:rPr>
                <w:sz w:val="20"/>
              </w:rPr>
            </w:pPr>
            <w:r>
              <w:rPr>
                <w:sz w:val="20"/>
              </w:rPr>
              <w:t>Cualquier edad</w:t>
            </w:r>
          </w:p>
        </w:tc>
        <w:tc>
          <w:tcPr>
            <w:tcW w:w="983" w:type="dxa"/>
            <w:tcBorders>
              <w:bottom w:val="single" w:sz="4" w:space="0" w:color="000000"/>
            </w:tcBorders>
          </w:tcPr>
          <w:p>
            <w:pPr>
              <w:pStyle w:val="TableParagraph"/>
              <w:spacing w:before="61"/>
              <w:ind w:left="315" w:right="293"/>
              <w:rPr>
                <w:sz w:val="20"/>
              </w:rPr>
            </w:pPr>
            <w:r>
              <w:rPr>
                <w:sz w:val="20"/>
              </w:rPr>
              <w:t>38</w:t>
            </w:r>
          </w:p>
        </w:tc>
        <w:tc>
          <w:tcPr>
            <w:tcW w:w="1042" w:type="dxa"/>
            <w:tcBorders>
              <w:bottom w:val="single" w:sz="4" w:space="0" w:color="000000"/>
            </w:tcBorders>
          </w:tcPr>
          <w:p>
            <w:pPr>
              <w:pStyle w:val="TableParagraph"/>
              <w:spacing w:before="61"/>
              <w:ind w:left="293" w:right="207"/>
              <w:rPr>
                <w:sz w:val="20"/>
              </w:rPr>
            </w:pPr>
            <w:r>
              <w:rPr>
                <w:sz w:val="20"/>
              </w:rPr>
              <w:t>18.10</w:t>
            </w:r>
          </w:p>
        </w:tc>
      </w:tr>
      <w:tr>
        <w:trPr>
          <w:trHeight w:val="355" w:hRule="exact"/>
        </w:trPr>
        <w:tc>
          <w:tcPr>
            <w:tcW w:w="2507" w:type="dxa"/>
            <w:tcBorders>
              <w:top w:val="single" w:sz="4" w:space="0" w:color="000000"/>
              <w:bottom w:val="single" w:sz="4" w:space="0" w:color="000000"/>
            </w:tcBorders>
          </w:tcPr>
          <w:p>
            <w:pPr/>
          </w:p>
        </w:tc>
        <w:tc>
          <w:tcPr>
            <w:tcW w:w="2830" w:type="dxa"/>
            <w:tcBorders>
              <w:top w:val="single" w:sz="4" w:space="0" w:color="000000"/>
              <w:bottom w:val="single" w:sz="4" w:space="0" w:color="000000"/>
            </w:tcBorders>
          </w:tcPr>
          <w:p>
            <w:pPr/>
          </w:p>
        </w:tc>
        <w:tc>
          <w:tcPr>
            <w:tcW w:w="1826" w:type="dxa"/>
            <w:tcBorders>
              <w:top w:val="single" w:sz="4" w:space="0" w:color="000000"/>
              <w:bottom w:val="single" w:sz="4" w:space="0" w:color="000000"/>
            </w:tcBorders>
          </w:tcPr>
          <w:p>
            <w:pPr>
              <w:pStyle w:val="TableParagraph"/>
              <w:spacing w:line="225" w:lineRule="exact"/>
              <w:ind w:left="1"/>
              <w:rPr>
                <w:b/>
                <w:sz w:val="20"/>
              </w:rPr>
            </w:pPr>
            <w:r>
              <w:rPr>
                <w:b/>
                <w:w w:val="99"/>
                <w:sz w:val="20"/>
              </w:rPr>
              <w:t>n</w:t>
            </w:r>
          </w:p>
        </w:tc>
        <w:tc>
          <w:tcPr>
            <w:tcW w:w="983" w:type="dxa"/>
            <w:tcBorders>
              <w:top w:val="single" w:sz="4" w:space="0" w:color="000000"/>
              <w:bottom w:val="single" w:sz="4" w:space="0" w:color="000000"/>
            </w:tcBorders>
          </w:tcPr>
          <w:p>
            <w:pPr>
              <w:pStyle w:val="TableParagraph"/>
              <w:spacing w:line="225" w:lineRule="exact"/>
              <w:ind w:left="315" w:right="293"/>
              <w:rPr>
                <w:b/>
                <w:sz w:val="20"/>
              </w:rPr>
            </w:pPr>
            <w:r>
              <w:rPr>
                <w:b/>
                <w:sz w:val="20"/>
              </w:rPr>
              <w:t>210</w:t>
            </w:r>
          </w:p>
        </w:tc>
        <w:tc>
          <w:tcPr>
            <w:tcW w:w="1042" w:type="dxa"/>
            <w:tcBorders>
              <w:top w:val="single" w:sz="4" w:space="0" w:color="000000"/>
              <w:bottom w:val="single" w:sz="4" w:space="0" w:color="000000"/>
            </w:tcBorders>
          </w:tcPr>
          <w:p>
            <w:pPr>
              <w:pStyle w:val="TableParagraph"/>
              <w:spacing w:line="225" w:lineRule="exact"/>
              <w:ind w:left="293" w:right="207"/>
              <w:rPr>
                <w:b/>
                <w:sz w:val="20"/>
              </w:rPr>
            </w:pPr>
            <w:r>
              <w:rPr>
                <w:b/>
                <w:sz w:val="20"/>
              </w:rPr>
              <w:t>100</w:t>
            </w:r>
          </w:p>
        </w:tc>
      </w:tr>
    </w:tbl>
    <w:p>
      <w:pPr>
        <w:pStyle w:val="BodyText"/>
        <w:rPr>
          <w:sz w:val="20"/>
        </w:rPr>
      </w:pPr>
    </w:p>
    <w:p>
      <w:pPr>
        <w:pStyle w:val="BodyText"/>
        <w:spacing w:before="9"/>
        <w:rPr>
          <w:sz w:val="21"/>
        </w:rPr>
      </w:pPr>
    </w:p>
    <w:p>
      <w:pPr>
        <w:pStyle w:val="BodyText"/>
        <w:spacing w:line="360" w:lineRule="auto" w:before="69"/>
        <w:ind w:left="292" w:right="267"/>
        <w:jc w:val="both"/>
      </w:pPr>
      <w:r>
        <w:rPr/>
        <w:t>Los resultados de la clasificación de la canal considerada como México Extra fue mayor en la proporción de canales obtenidas en la región VII, en comparación con las otras categorías de México 1 y México 2 que mostraron mayores  proporciones</w:t>
      </w:r>
    </w:p>
    <w:p>
      <w:pPr>
        <w:spacing w:after="0" w:line="360" w:lineRule="auto"/>
        <w:jc w:val="both"/>
        <w:sectPr>
          <w:pgSz w:w="12240" w:h="15840"/>
          <w:pgMar w:header="0" w:footer="1386" w:top="1500" w:bottom="1580" w:left="1580" w:right="1260"/>
        </w:sectPr>
      </w:pPr>
    </w:p>
    <w:p>
      <w:pPr>
        <w:pStyle w:val="BodyText"/>
        <w:spacing w:before="2"/>
        <w:rPr>
          <w:sz w:val="21"/>
        </w:rPr>
      </w:pPr>
    </w:p>
    <w:p>
      <w:pPr>
        <w:pStyle w:val="BodyText"/>
        <w:spacing w:line="360" w:lineRule="auto" w:before="69"/>
        <w:ind w:left="152" w:right="111"/>
        <w:jc w:val="both"/>
      </w:pPr>
      <w:r>
        <w:rPr/>
        <w:t>(p&lt;0.05), En región XIII predomina la clasificación México 1 en comparación de México Extra y México 2 (p&lt;0.05). Lo que nos indica una diferencia significativa (p&lt;0.05) entre regiones en la clasificación México Extra y México 1 (Cuadro 12).</w:t>
      </w:r>
    </w:p>
    <w:p>
      <w:pPr>
        <w:pStyle w:val="BodyText"/>
        <w:spacing w:line="360" w:lineRule="auto" w:before="2"/>
        <w:ind w:left="152" w:right="179"/>
      </w:pPr>
      <w:r>
        <w:rPr/>
        <w:t>Sin embargo, aunque la región VII produce canales en su mayoría Mexico Extra las localidades de la región XII no producen canales México 2.</w:t>
      </w:r>
    </w:p>
    <w:p>
      <w:pPr>
        <w:pStyle w:val="BodyText"/>
        <w:spacing w:line="360" w:lineRule="auto" w:before="2"/>
        <w:ind w:left="152" w:right="110" w:firstLine="134"/>
        <w:jc w:val="both"/>
      </w:pPr>
      <w:r>
        <w:rPr/>
        <w:t>La región XIII en comparación con la región VII en la cual las unidades cunícolas de</w:t>
      </w:r>
      <w:r>
        <w:rPr>
          <w:spacing w:val="-12"/>
        </w:rPr>
        <w:t> </w:t>
      </w:r>
      <w:r>
        <w:rPr/>
        <w:t>tipo</w:t>
      </w:r>
      <w:r>
        <w:rPr>
          <w:spacing w:val="-14"/>
        </w:rPr>
        <w:t> </w:t>
      </w:r>
      <w:r>
        <w:rPr/>
        <w:t>familiar</w:t>
      </w:r>
      <w:r>
        <w:rPr>
          <w:spacing w:val="-13"/>
        </w:rPr>
        <w:t> </w:t>
      </w:r>
      <w:r>
        <w:rPr/>
        <w:t>corresponden</w:t>
      </w:r>
      <w:r>
        <w:rPr>
          <w:spacing w:val="-12"/>
        </w:rPr>
        <w:t> </w:t>
      </w:r>
      <w:r>
        <w:rPr/>
        <w:t>en</w:t>
      </w:r>
      <w:r>
        <w:rPr>
          <w:spacing w:val="-12"/>
        </w:rPr>
        <w:t> </w:t>
      </w:r>
      <w:r>
        <w:rPr/>
        <w:t>igual</w:t>
      </w:r>
      <w:r>
        <w:rPr>
          <w:spacing w:val="-13"/>
        </w:rPr>
        <w:t> </w:t>
      </w:r>
      <w:r>
        <w:rPr/>
        <w:t>distribución</w:t>
      </w:r>
      <w:r>
        <w:rPr>
          <w:spacing w:val="-11"/>
        </w:rPr>
        <w:t> </w:t>
      </w:r>
      <w:r>
        <w:rPr/>
        <w:t>porcentual</w:t>
      </w:r>
      <w:r>
        <w:rPr>
          <w:spacing w:val="-13"/>
        </w:rPr>
        <w:t> </w:t>
      </w:r>
      <w:r>
        <w:rPr/>
        <w:t>al</w:t>
      </w:r>
      <w:r>
        <w:rPr>
          <w:spacing w:val="-13"/>
        </w:rPr>
        <w:t> </w:t>
      </w:r>
      <w:r>
        <w:rPr/>
        <w:t>sistema</w:t>
      </w:r>
      <w:r>
        <w:rPr>
          <w:spacing w:val="-12"/>
        </w:rPr>
        <w:t> </w:t>
      </w:r>
      <w:r>
        <w:rPr/>
        <w:t>de</w:t>
      </w:r>
      <w:r>
        <w:rPr>
          <w:spacing w:val="-12"/>
        </w:rPr>
        <w:t> </w:t>
      </w:r>
      <w:r>
        <w:rPr/>
        <w:t>traspatio (50%)</w:t>
      </w:r>
      <w:r>
        <w:rPr>
          <w:spacing w:val="-13"/>
        </w:rPr>
        <w:t> </w:t>
      </w:r>
      <w:r>
        <w:rPr/>
        <w:t>y</w:t>
      </w:r>
      <w:r>
        <w:rPr>
          <w:spacing w:val="-15"/>
        </w:rPr>
        <w:t> </w:t>
      </w:r>
      <w:r>
        <w:rPr/>
        <w:t>semitecnificado</w:t>
      </w:r>
      <w:r>
        <w:rPr>
          <w:spacing w:val="-13"/>
        </w:rPr>
        <w:t> </w:t>
      </w:r>
      <w:r>
        <w:rPr/>
        <w:t>(50%),</w:t>
      </w:r>
      <w:r>
        <w:rPr>
          <w:spacing w:val="-15"/>
        </w:rPr>
        <w:t> </w:t>
      </w:r>
      <w:r>
        <w:rPr/>
        <w:t>en</w:t>
      </w:r>
      <w:r>
        <w:rPr>
          <w:spacing w:val="-14"/>
        </w:rPr>
        <w:t> </w:t>
      </w:r>
      <w:r>
        <w:rPr/>
        <w:t>cuyo</w:t>
      </w:r>
      <w:r>
        <w:rPr>
          <w:spacing w:val="-13"/>
        </w:rPr>
        <w:t> </w:t>
      </w:r>
      <w:r>
        <w:rPr/>
        <w:t>caso</w:t>
      </w:r>
      <w:r>
        <w:rPr>
          <w:spacing w:val="-14"/>
        </w:rPr>
        <w:t> </w:t>
      </w:r>
      <w:r>
        <w:rPr/>
        <w:t>la</w:t>
      </w:r>
      <w:r>
        <w:rPr>
          <w:spacing w:val="-13"/>
        </w:rPr>
        <w:t> </w:t>
      </w:r>
      <w:r>
        <w:rPr/>
        <w:t>calidad</w:t>
      </w:r>
      <w:r>
        <w:rPr>
          <w:spacing w:val="-14"/>
        </w:rPr>
        <w:t> </w:t>
      </w:r>
      <w:r>
        <w:rPr/>
        <w:t>de</w:t>
      </w:r>
      <w:r>
        <w:rPr>
          <w:spacing w:val="-13"/>
        </w:rPr>
        <w:t> </w:t>
      </w:r>
      <w:r>
        <w:rPr/>
        <w:t>la</w:t>
      </w:r>
      <w:r>
        <w:rPr>
          <w:spacing w:val="-13"/>
        </w:rPr>
        <w:t> </w:t>
      </w:r>
      <w:r>
        <w:rPr/>
        <w:t>canal</w:t>
      </w:r>
      <w:r>
        <w:rPr>
          <w:spacing w:val="-15"/>
        </w:rPr>
        <w:t> </w:t>
      </w:r>
      <w:r>
        <w:rPr/>
        <w:t>está</w:t>
      </w:r>
      <w:r>
        <w:rPr>
          <w:spacing w:val="-12"/>
        </w:rPr>
        <w:t> </w:t>
      </w:r>
      <w:r>
        <w:rPr/>
        <w:t>influenciada por el manejo productivo y la organización de los ciclos de producción de la unidad cunícola bajo los sistemas semitecnificados predominantes en la región </w:t>
      </w:r>
      <w:r>
        <w:rPr>
          <w:spacing w:val="-3"/>
        </w:rPr>
        <w:t>XII </w:t>
      </w:r>
      <w:r>
        <w:rPr/>
        <w:t>observados en el</w:t>
      </w:r>
      <w:r>
        <w:rPr>
          <w:spacing w:val="-13"/>
        </w:rPr>
        <w:t> </w:t>
      </w:r>
      <w:r>
        <w:rPr/>
        <w:t>estudio.</w:t>
      </w:r>
    </w:p>
    <w:p>
      <w:pPr>
        <w:pStyle w:val="BodyText"/>
        <w:rPr>
          <w:sz w:val="20"/>
        </w:rPr>
      </w:pPr>
    </w:p>
    <w:p>
      <w:pPr>
        <w:pStyle w:val="BodyText"/>
        <w:rPr>
          <w:sz w:val="20"/>
        </w:rPr>
      </w:pPr>
    </w:p>
    <w:p>
      <w:pPr>
        <w:pStyle w:val="BodyText"/>
        <w:spacing w:before="6"/>
        <w:rPr>
          <w:sz w:val="13"/>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2"/>
        <w:gridCol w:w="1596"/>
        <w:gridCol w:w="724"/>
        <w:gridCol w:w="820"/>
        <w:gridCol w:w="731"/>
        <w:gridCol w:w="616"/>
        <w:gridCol w:w="609"/>
        <w:gridCol w:w="611"/>
        <w:gridCol w:w="611"/>
        <w:gridCol w:w="615"/>
      </w:tblGrid>
      <w:tr>
        <w:trPr>
          <w:trHeight w:val="248" w:hRule="exact"/>
        </w:trPr>
        <w:tc>
          <w:tcPr>
            <w:tcW w:w="8855" w:type="dxa"/>
            <w:gridSpan w:val="10"/>
            <w:tcBorders>
              <w:bottom w:val="single" w:sz="4" w:space="0" w:color="000000"/>
            </w:tcBorders>
          </w:tcPr>
          <w:p>
            <w:pPr>
              <w:pStyle w:val="TableParagraph"/>
              <w:spacing w:line="204" w:lineRule="exact"/>
              <w:ind w:left="417"/>
              <w:jc w:val="left"/>
              <w:rPr>
                <w:sz w:val="20"/>
              </w:rPr>
            </w:pPr>
            <w:r>
              <w:rPr>
                <w:sz w:val="20"/>
              </w:rPr>
              <w:t>Cuadro 12 Efecto de la regio y lalocalidad en la clasifiacion de calida de la canal de conejo</w:t>
            </w:r>
          </w:p>
        </w:tc>
      </w:tr>
      <w:tr>
        <w:trPr>
          <w:trHeight w:val="313" w:hRule="exact"/>
        </w:trPr>
        <w:tc>
          <w:tcPr>
            <w:tcW w:w="1922" w:type="dxa"/>
            <w:tcBorders>
              <w:top w:val="single" w:sz="4" w:space="0" w:color="000000"/>
            </w:tcBorders>
          </w:tcPr>
          <w:p>
            <w:pPr/>
          </w:p>
        </w:tc>
        <w:tc>
          <w:tcPr>
            <w:tcW w:w="1596" w:type="dxa"/>
            <w:tcBorders>
              <w:top w:val="single" w:sz="4" w:space="0" w:color="000000"/>
            </w:tcBorders>
          </w:tcPr>
          <w:p>
            <w:pPr>
              <w:pStyle w:val="TableParagraph"/>
              <w:spacing w:before="33"/>
              <w:ind w:left="794" w:right="-7"/>
              <w:jc w:val="left"/>
              <w:rPr>
                <w:sz w:val="20"/>
              </w:rPr>
            </w:pPr>
            <w:r>
              <w:rPr>
                <w:sz w:val="20"/>
              </w:rPr>
              <w:t>REGION</w:t>
            </w:r>
          </w:p>
        </w:tc>
        <w:tc>
          <w:tcPr>
            <w:tcW w:w="724" w:type="dxa"/>
            <w:tcBorders>
              <w:top w:val="single" w:sz="4" w:space="0" w:color="000000"/>
            </w:tcBorders>
          </w:tcPr>
          <w:p>
            <w:pPr/>
          </w:p>
        </w:tc>
        <w:tc>
          <w:tcPr>
            <w:tcW w:w="820" w:type="dxa"/>
            <w:tcBorders>
              <w:top w:val="single" w:sz="4" w:space="0" w:color="000000"/>
            </w:tcBorders>
          </w:tcPr>
          <w:p>
            <w:pPr/>
          </w:p>
        </w:tc>
        <w:tc>
          <w:tcPr>
            <w:tcW w:w="731" w:type="dxa"/>
            <w:tcBorders>
              <w:top w:val="single" w:sz="4" w:space="0" w:color="000000"/>
            </w:tcBorders>
          </w:tcPr>
          <w:p>
            <w:pPr/>
          </w:p>
        </w:tc>
        <w:tc>
          <w:tcPr>
            <w:tcW w:w="1225" w:type="dxa"/>
            <w:gridSpan w:val="2"/>
            <w:tcBorders>
              <w:top w:val="single" w:sz="4" w:space="0" w:color="000000"/>
            </w:tcBorders>
          </w:tcPr>
          <w:p>
            <w:pPr>
              <w:pStyle w:val="TableParagraph"/>
              <w:spacing w:before="33"/>
              <w:ind w:left="-13"/>
              <w:jc w:val="left"/>
              <w:rPr>
                <w:sz w:val="20"/>
              </w:rPr>
            </w:pPr>
            <w:r>
              <w:rPr>
                <w:sz w:val="20"/>
              </w:rPr>
              <w:t>LOCALIDAD</w:t>
            </w:r>
          </w:p>
        </w:tc>
        <w:tc>
          <w:tcPr>
            <w:tcW w:w="611" w:type="dxa"/>
            <w:tcBorders>
              <w:top w:val="single" w:sz="4" w:space="0" w:color="000000"/>
            </w:tcBorders>
          </w:tcPr>
          <w:p>
            <w:pPr/>
          </w:p>
        </w:tc>
        <w:tc>
          <w:tcPr>
            <w:tcW w:w="611" w:type="dxa"/>
            <w:tcBorders>
              <w:top w:val="single" w:sz="4" w:space="0" w:color="000000"/>
            </w:tcBorders>
          </w:tcPr>
          <w:p>
            <w:pPr/>
          </w:p>
        </w:tc>
        <w:tc>
          <w:tcPr>
            <w:tcW w:w="615" w:type="dxa"/>
            <w:tcBorders>
              <w:top w:val="single" w:sz="4" w:space="0" w:color="000000"/>
            </w:tcBorders>
          </w:tcPr>
          <w:p>
            <w:pPr/>
          </w:p>
        </w:tc>
      </w:tr>
      <w:tr>
        <w:trPr>
          <w:trHeight w:val="299" w:hRule="exact"/>
        </w:trPr>
        <w:tc>
          <w:tcPr>
            <w:tcW w:w="1922" w:type="dxa"/>
            <w:tcBorders>
              <w:bottom w:val="single" w:sz="4" w:space="0" w:color="000000"/>
            </w:tcBorders>
          </w:tcPr>
          <w:p>
            <w:pPr>
              <w:pStyle w:val="TableParagraph"/>
              <w:spacing w:before="25"/>
              <w:ind w:left="116" w:right="252"/>
              <w:rPr>
                <w:sz w:val="20"/>
              </w:rPr>
            </w:pPr>
            <w:r>
              <w:rPr>
                <w:sz w:val="20"/>
              </w:rPr>
              <w:t>VARIABLE</w:t>
            </w:r>
          </w:p>
        </w:tc>
        <w:tc>
          <w:tcPr>
            <w:tcW w:w="1596" w:type="dxa"/>
            <w:tcBorders>
              <w:bottom w:val="single" w:sz="4" w:space="0" w:color="000000"/>
            </w:tcBorders>
          </w:tcPr>
          <w:p>
            <w:pPr>
              <w:pStyle w:val="TableParagraph"/>
              <w:spacing w:before="23"/>
              <w:ind w:left="353" w:right="-7"/>
              <w:jc w:val="left"/>
              <w:rPr>
                <w:b/>
                <w:sz w:val="20"/>
              </w:rPr>
            </w:pPr>
            <w:r>
              <w:rPr>
                <w:b/>
                <w:sz w:val="20"/>
              </w:rPr>
              <w:t>VII</w:t>
            </w:r>
          </w:p>
        </w:tc>
        <w:tc>
          <w:tcPr>
            <w:tcW w:w="724" w:type="dxa"/>
            <w:tcBorders>
              <w:bottom w:val="single" w:sz="4" w:space="0" w:color="000000"/>
            </w:tcBorders>
          </w:tcPr>
          <w:p>
            <w:pPr>
              <w:pStyle w:val="TableParagraph"/>
              <w:spacing w:before="23"/>
              <w:ind w:right="358"/>
              <w:jc w:val="right"/>
              <w:rPr>
                <w:b/>
                <w:sz w:val="20"/>
              </w:rPr>
            </w:pPr>
            <w:r>
              <w:rPr>
                <w:b/>
                <w:sz w:val="20"/>
              </w:rPr>
              <w:t>XIII</w:t>
            </w:r>
          </w:p>
        </w:tc>
        <w:tc>
          <w:tcPr>
            <w:tcW w:w="820" w:type="dxa"/>
            <w:tcBorders>
              <w:bottom w:val="single" w:sz="4" w:space="0" w:color="000000"/>
            </w:tcBorders>
          </w:tcPr>
          <w:p>
            <w:pPr>
              <w:pStyle w:val="TableParagraph"/>
              <w:spacing w:before="23"/>
              <w:ind w:left="205"/>
              <w:rPr>
                <w:b/>
                <w:sz w:val="20"/>
              </w:rPr>
            </w:pPr>
            <w:r>
              <w:rPr>
                <w:b/>
                <w:w w:val="99"/>
                <w:sz w:val="20"/>
              </w:rPr>
              <w:t>1</w:t>
            </w:r>
          </w:p>
        </w:tc>
        <w:tc>
          <w:tcPr>
            <w:tcW w:w="731" w:type="dxa"/>
            <w:tcBorders>
              <w:bottom w:val="single" w:sz="4" w:space="0" w:color="000000"/>
            </w:tcBorders>
          </w:tcPr>
          <w:p>
            <w:pPr>
              <w:pStyle w:val="TableParagraph"/>
              <w:spacing w:before="23"/>
              <w:ind w:left="4"/>
              <w:rPr>
                <w:b/>
                <w:sz w:val="20"/>
              </w:rPr>
            </w:pPr>
            <w:r>
              <w:rPr>
                <w:b/>
                <w:w w:val="99"/>
                <w:sz w:val="20"/>
              </w:rPr>
              <w:t>2</w:t>
            </w:r>
          </w:p>
        </w:tc>
        <w:tc>
          <w:tcPr>
            <w:tcW w:w="616" w:type="dxa"/>
            <w:tcBorders>
              <w:bottom w:val="single" w:sz="4" w:space="0" w:color="000000"/>
            </w:tcBorders>
          </w:tcPr>
          <w:p>
            <w:pPr>
              <w:pStyle w:val="TableParagraph"/>
              <w:spacing w:before="23"/>
              <w:ind w:left="11"/>
              <w:rPr>
                <w:b/>
                <w:sz w:val="20"/>
              </w:rPr>
            </w:pPr>
            <w:r>
              <w:rPr>
                <w:b/>
                <w:w w:val="99"/>
                <w:sz w:val="20"/>
              </w:rPr>
              <w:t>3</w:t>
            </w:r>
          </w:p>
        </w:tc>
        <w:tc>
          <w:tcPr>
            <w:tcW w:w="609" w:type="dxa"/>
            <w:tcBorders>
              <w:bottom w:val="single" w:sz="4" w:space="0" w:color="000000"/>
            </w:tcBorders>
          </w:tcPr>
          <w:p>
            <w:pPr>
              <w:pStyle w:val="TableParagraph"/>
              <w:spacing w:before="23"/>
              <w:ind w:left="5"/>
              <w:rPr>
                <w:b/>
                <w:sz w:val="20"/>
              </w:rPr>
            </w:pPr>
            <w:r>
              <w:rPr>
                <w:b/>
                <w:w w:val="99"/>
                <w:sz w:val="20"/>
              </w:rPr>
              <w:t>4</w:t>
            </w:r>
          </w:p>
        </w:tc>
        <w:tc>
          <w:tcPr>
            <w:tcW w:w="611" w:type="dxa"/>
            <w:tcBorders>
              <w:bottom w:val="single" w:sz="4" w:space="0" w:color="000000"/>
            </w:tcBorders>
          </w:tcPr>
          <w:p>
            <w:pPr>
              <w:pStyle w:val="TableParagraph"/>
              <w:spacing w:before="23"/>
              <w:ind w:left="4"/>
              <w:rPr>
                <w:b/>
                <w:sz w:val="20"/>
              </w:rPr>
            </w:pPr>
            <w:r>
              <w:rPr>
                <w:b/>
                <w:w w:val="99"/>
                <w:sz w:val="20"/>
              </w:rPr>
              <w:t>5</w:t>
            </w:r>
          </w:p>
        </w:tc>
        <w:tc>
          <w:tcPr>
            <w:tcW w:w="611" w:type="dxa"/>
            <w:tcBorders>
              <w:bottom w:val="single" w:sz="4" w:space="0" w:color="000000"/>
            </w:tcBorders>
          </w:tcPr>
          <w:p>
            <w:pPr>
              <w:pStyle w:val="TableParagraph"/>
              <w:spacing w:before="23"/>
              <w:ind w:left="2"/>
              <w:rPr>
                <w:b/>
                <w:sz w:val="20"/>
              </w:rPr>
            </w:pPr>
            <w:r>
              <w:rPr>
                <w:b/>
                <w:w w:val="99"/>
                <w:sz w:val="20"/>
              </w:rPr>
              <w:t>6</w:t>
            </w:r>
          </w:p>
        </w:tc>
        <w:tc>
          <w:tcPr>
            <w:tcW w:w="615" w:type="dxa"/>
            <w:tcBorders>
              <w:bottom w:val="single" w:sz="4" w:space="0" w:color="000000"/>
            </w:tcBorders>
          </w:tcPr>
          <w:p>
            <w:pPr>
              <w:pStyle w:val="TableParagraph"/>
              <w:spacing w:before="23"/>
              <w:rPr>
                <w:b/>
                <w:sz w:val="20"/>
              </w:rPr>
            </w:pPr>
            <w:r>
              <w:rPr>
                <w:b/>
                <w:w w:val="99"/>
                <w:sz w:val="20"/>
              </w:rPr>
              <w:t>7</w:t>
            </w:r>
          </w:p>
        </w:tc>
      </w:tr>
      <w:tr>
        <w:trPr>
          <w:trHeight w:val="617" w:hRule="exact"/>
        </w:trPr>
        <w:tc>
          <w:tcPr>
            <w:tcW w:w="1922" w:type="dxa"/>
            <w:tcBorders>
              <w:top w:val="single" w:sz="4" w:space="0" w:color="000000"/>
            </w:tcBorders>
          </w:tcPr>
          <w:p>
            <w:pPr>
              <w:pStyle w:val="TableParagraph"/>
              <w:jc w:val="left"/>
              <w:rPr>
                <w:sz w:val="29"/>
              </w:rPr>
            </w:pPr>
          </w:p>
          <w:p>
            <w:pPr>
              <w:pStyle w:val="TableParagraph"/>
              <w:ind w:left="118" w:right="252"/>
              <w:rPr>
                <w:sz w:val="20"/>
              </w:rPr>
            </w:pPr>
            <w:r>
              <w:rPr>
                <w:sz w:val="20"/>
              </w:rPr>
              <w:t>MEXICO EXTRA</w:t>
            </w:r>
          </w:p>
        </w:tc>
        <w:tc>
          <w:tcPr>
            <w:tcW w:w="1596" w:type="dxa"/>
            <w:tcBorders>
              <w:top w:val="single" w:sz="4" w:space="0" w:color="000000"/>
            </w:tcBorders>
          </w:tcPr>
          <w:p>
            <w:pPr>
              <w:pStyle w:val="TableParagraph"/>
              <w:jc w:val="left"/>
              <w:rPr>
                <w:sz w:val="29"/>
              </w:rPr>
            </w:pPr>
          </w:p>
          <w:p>
            <w:pPr>
              <w:pStyle w:val="TableParagraph"/>
              <w:ind w:left="273" w:right="-7"/>
              <w:jc w:val="left"/>
              <w:rPr>
                <w:sz w:val="20"/>
              </w:rPr>
            </w:pPr>
            <w:r>
              <w:rPr>
                <w:sz w:val="20"/>
              </w:rPr>
              <w:t>66%</w:t>
            </w:r>
          </w:p>
        </w:tc>
        <w:tc>
          <w:tcPr>
            <w:tcW w:w="724" w:type="dxa"/>
            <w:tcBorders>
              <w:top w:val="single" w:sz="4" w:space="0" w:color="000000"/>
            </w:tcBorders>
          </w:tcPr>
          <w:p>
            <w:pPr>
              <w:pStyle w:val="TableParagraph"/>
              <w:jc w:val="left"/>
              <w:rPr>
                <w:sz w:val="29"/>
              </w:rPr>
            </w:pPr>
          </w:p>
          <w:p>
            <w:pPr>
              <w:pStyle w:val="TableParagraph"/>
              <w:ind w:right="309"/>
              <w:jc w:val="right"/>
              <w:rPr>
                <w:sz w:val="20"/>
              </w:rPr>
            </w:pPr>
            <w:r>
              <w:rPr>
                <w:sz w:val="20"/>
              </w:rPr>
              <w:t>43%</w:t>
            </w:r>
          </w:p>
        </w:tc>
        <w:tc>
          <w:tcPr>
            <w:tcW w:w="820" w:type="dxa"/>
            <w:tcBorders>
              <w:top w:val="single" w:sz="4" w:space="0" w:color="000000"/>
            </w:tcBorders>
          </w:tcPr>
          <w:p>
            <w:pPr>
              <w:pStyle w:val="TableParagraph"/>
              <w:jc w:val="left"/>
              <w:rPr>
                <w:sz w:val="29"/>
              </w:rPr>
            </w:pPr>
          </w:p>
          <w:p>
            <w:pPr>
              <w:pStyle w:val="TableParagraph"/>
              <w:ind w:left="288" w:right="89"/>
              <w:rPr>
                <w:sz w:val="20"/>
              </w:rPr>
            </w:pPr>
            <w:r>
              <w:rPr>
                <w:sz w:val="20"/>
              </w:rPr>
              <w:t>50%</w:t>
            </w:r>
          </w:p>
        </w:tc>
        <w:tc>
          <w:tcPr>
            <w:tcW w:w="731" w:type="dxa"/>
            <w:tcBorders>
              <w:top w:val="single" w:sz="4" w:space="0" w:color="000000"/>
            </w:tcBorders>
          </w:tcPr>
          <w:p>
            <w:pPr>
              <w:pStyle w:val="TableParagraph"/>
              <w:jc w:val="left"/>
              <w:rPr>
                <w:sz w:val="29"/>
              </w:rPr>
            </w:pPr>
          </w:p>
          <w:p>
            <w:pPr>
              <w:pStyle w:val="TableParagraph"/>
              <w:ind w:left="89" w:right="90"/>
              <w:rPr>
                <w:sz w:val="20"/>
              </w:rPr>
            </w:pPr>
            <w:r>
              <w:rPr>
                <w:sz w:val="20"/>
              </w:rPr>
              <w:t>100%</w:t>
            </w:r>
          </w:p>
        </w:tc>
        <w:tc>
          <w:tcPr>
            <w:tcW w:w="616" w:type="dxa"/>
            <w:tcBorders>
              <w:top w:val="single" w:sz="4" w:space="0" w:color="000000"/>
            </w:tcBorders>
          </w:tcPr>
          <w:p>
            <w:pPr>
              <w:pStyle w:val="TableParagraph"/>
              <w:jc w:val="left"/>
              <w:rPr>
                <w:sz w:val="29"/>
              </w:rPr>
            </w:pPr>
          </w:p>
          <w:p>
            <w:pPr>
              <w:pStyle w:val="TableParagraph"/>
              <w:ind w:left="90" w:right="84"/>
              <w:rPr>
                <w:sz w:val="20"/>
              </w:rPr>
            </w:pPr>
            <w:r>
              <w:rPr>
                <w:sz w:val="20"/>
              </w:rPr>
              <w:t>34%</w:t>
            </w:r>
          </w:p>
        </w:tc>
        <w:tc>
          <w:tcPr>
            <w:tcW w:w="609" w:type="dxa"/>
            <w:tcBorders>
              <w:top w:val="single" w:sz="4" w:space="0" w:color="000000"/>
            </w:tcBorders>
          </w:tcPr>
          <w:p>
            <w:pPr>
              <w:pStyle w:val="TableParagraph"/>
              <w:jc w:val="left"/>
              <w:rPr>
                <w:sz w:val="29"/>
              </w:rPr>
            </w:pPr>
          </w:p>
          <w:p>
            <w:pPr>
              <w:pStyle w:val="TableParagraph"/>
              <w:ind w:left="84" w:right="84"/>
              <w:rPr>
                <w:sz w:val="20"/>
              </w:rPr>
            </w:pPr>
            <w:r>
              <w:rPr>
                <w:sz w:val="20"/>
              </w:rPr>
              <w:t>60%</w:t>
            </w:r>
          </w:p>
        </w:tc>
        <w:tc>
          <w:tcPr>
            <w:tcW w:w="611" w:type="dxa"/>
            <w:tcBorders>
              <w:top w:val="single" w:sz="4" w:space="0" w:color="000000"/>
            </w:tcBorders>
          </w:tcPr>
          <w:p>
            <w:pPr>
              <w:pStyle w:val="TableParagraph"/>
              <w:jc w:val="left"/>
              <w:rPr>
                <w:sz w:val="29"/>
              </w:rPr>
            </w:pPr>
          </w:p>
          <w:p>
            <w:pPr>
              <w:pStyle w:val="TableParagraph"/>
              <w:ind w:left="83" w:right="84"/>
              <w:rPr>
                <w:sz w:val="20"/>
              </w:rPr>
            </w:pPr>
            <w:r>
              <w:rPr>
                <w:sz w:val="20"/>
              </w:rPr>
              <w:t>50%</w:t>
            </w:r>
          </w:p>
        </w:tc>
        <w:tc>
          <w:tcPr>
            <w:tcW w:w="611" w:type="dxa"/>
            <w:tcBorders>
              <w:top w:val="single" w:sz="4" w:space="0" w:color="000000"/>
            </w:tcBorders>
          </w:tcPr>
          <w:p>
            <w:pPr>
              <w:pStyle w:val="TableParagraph"/>
              <w:jc w:val="left"/>
              <w:rPr>
                <w:sz w:val="29"/>
              </w:rPr>
            </w:pPr>
          </w:p>
          <w:p>
            <w:pPr>
              <w:pStyle w:val="TableParagraph"/>
              <w:ind w:left="84" w:right="83"/>
              <w:rPr>
                <w:sz w:val="20"/>
              </w:rPr>
            </w:pPr>
            <w:r>
              <w:rPr>
                <w:sz w:val="20"/>
              </w:rPr>
              <w:t>67%</w:t>
            </w:r>
          </w:p>
        </w:tc>
        <w:tc>
          <w:tcPr>
            <w:tcW w:w="615" w:type="dxa"/>
            <w:tcBorders>
              <w:top w:val="single" w:sz="4" w:space="0" w:color="000000"/>
            </w:tcBorders>
          </w:tcPr>
          <w:p>
            <w:pPr>
              <w:pStyle w:val="TableParagraph"/>
              <w:jc w:val="left"/>
              <w:rPr>
                <w:sz w:val="29"/>
              </w:rPr>
            </w:pPr>
          </w:p>
          <w:p>
            <w:pPr>
              <w:pStyle w:val="TableParagraph"/>
              <w:ind w:left="85" w:right="88"/>
              <w:rPr>
                <w:sz w:val="20"/>
              </w:rPr>
            </w:pPr>
            <w:r>
              <w:rPr>
                <w:sz w:val="20"/>
              </w:rPr>
              <w:t>50%</w:t>
            </w:r>
          </w:p>
        </w:tc>
      </w:tr>
      <w:tr>
        <w:trPr>
          <w:trHeight w:val="312" w:hRule="exact"/>
        </w:trPr>
        <w:tc>
          <w:tcPr>
            <w:tcW w:w="1922" w:type="dxa"/>
          </w:tcPr>
          <w:p>
            <w:pPr>
              <w:pStyle w:val="TableParagraph"/>
              <w:spacing w:before="29"/>
              <w:ind w:left="115" w:right="252"/>
              <w:rPr>
                <w:sz w:val="20"/>
              </w:rPr>
            </w:pPr>
            <w:r>
              <w:rPr>
                <w:sz w:val="20"/>
              </w:rPr>
              <w:t>MEXICO 1</w:t>
            </w:r>
          </w:p>
        </w:tc>
        <w:tc>
          <w:tcPr>
            <w:tcW w:w="1596" w:type="dxa"/>
          </w:tcPr>
          <w:p>
            <w:pPr>
              <w:pStyle w:val="TableParagraph"/>
              <w:spacing w:before="29"/>
              <w:ind w:left="273" w:right="-7"/>
              <w:jc w:val="left"/>
              <w:rPr>
                <w:sz w:val="20"/>
              </w:rPr>
            </w:pPr>
            <w:r>
              <w:rPr>
                <w:sz w:val="20"/>
              </w:rPr>
              <w:t>22%</w:t>
            </w:r>
          </w:p>
        </w:tc>
        <w:tc>
          <w:tcPr>
            <w:tcW w:w="724" w:type="dxa"/>
          </w:tcPr>
          <w:p>
            <w:pPr>
              <w:pStyle w:val="TableParagraph"/>
              <w:spacing w:before="29"/>
              <w:ind w:right="309"/>
              <w:jc w:val="right"/>
              <w:rPr>
                <w:sz w:val="20"/>
              </w:rPr>
            </w:pPr>
            <w:r>
              <w:rPr>
                <w:w w:val="95"/>
                <w:sz w:val="20"/>
              </w:rPr>
              <w:t>57%</w:t>
            </w:r>
          </w:p>
        </w:tc>
        <w:tc>
          <w:tcPr>
            <w:tcW w:w="820" w:type="dxa"/>
          </w:tcPr>
          <w:p>
            <w:pPr>
              <w:pStyle w:val="TableParagraph"/>
              <w:spacing w:before="29"/>
              <w:ind w:left="288" w:right="89"/>
              <w:rPr>
                <w:sz w:val="20"/>
              </w:rPr>
            </w:pPr>
            <w:r>
              <w:rPr>
                <w:sz w:val="20"/>
              </w:rPr>
              <w:t>38%</w:t>
            </w:r>
          </w:p>
        </w:tc>
        <w:tc>
          <w:tcPr>
            <w:tcW w:w="731" w:type="dxa"/>
          </w:tcPr>
          <w:p>
            <w:pPr>
              <w:pStyle w:val="TableParagraph"/>
              <w:spacing w:before="26"/>
              <w:ind w:left="3"/>
              <w:rPr>
                <w:b/>
                <w:sz w:val="20"/>
              </w:rPr>
            </w:pPr>
            <w:r>
              <w:rPr>
                <w:b/>
                <w:w w:val="99"/>
                <w:sz w:val="20"/>
              </w:rPr>
              <w:t>-</w:t>
            </w:r>
          </w:p>
        </w:tc>
        <w:tc>
          <w:tcPr>
            <w:tcW w:w="616" w:type="dxa"/>
          </w:tcPr>
          <w:p>
            <w:pPr>
              <w:pStyle w:val="TableParagraph"/>
              <w:spacing w:before="29"/>
              <w:ind w:left="89" w:right="84"/>
              <w:rPr>
                <w:sz w:val="20"/>
              </w:rPr>
            </w:pPr>
            <w:r>
              <w:rPr>
                <w:sz w:val="20"/>
              </w:rPr>
              <w:t>33%</w:t>
            </w:r>
          </w:p>
        </w:tc>
        <w:tc>
          <w:tcPr>
            <w:tcW w:w="609" w:type="dxa"/>
          </w:tcPr>
          <w:p>
            <w:pPr>
              <w:pStyle w:val="TableParagraph"/>
              <w:spacing w:before="29"/>
              <w:ind w:left="84" w:right="84"/>
              <w:rPr>
                <w:sz w:val="20"/>
              </w:rPr>
            </w:pPr>
            <w:r>
              <w:rPr>
                <w:sz w:val="20"/>
              </w:rPr>
              <w:t>40%</w:t>
            </w:r>
          </w:p>
        </w:tc>
        <w:tc>
          <w:tcPr>
            <w:tcW w:w="611" w:type="dxa"/>
          </w:tcPr>
          <w:p>
            <w:pPr>
              <w:pStyle w:val="TableParagraph"/>
              <w:spacing w:before="29"/>
              <w:ind w:left="83" w:right="84"/>
              <w:rPr>
                <w:sz w:val="20"/>
              </w:rPr>
            </w:pPr>
            <w:r>
              <w:rPr>
                <w:sz w:val="20"/>
              </w:rPr>
              <w:t>50%</w:t>
            </w:r>
          </w:p>
        </w:tc>
        <w:tc>
          <w:tcPr>
            <w:tcW w:w="611" w:type="dxa"/>
          </w:tcPr>
          <w:p>
            <w:pPr>
              <w:pStyle w:val="TableParagraph"/>
              <w:spacing w:before="29"/>
              <w:ind w:left="84" w:right="83"/>
              <w:rPr>
                <w:sz w:val="20"/>
              </w:rPr>
            </w:pPr>
            <w:r>
              <w:rPr>
                <w:sz w:val="20"/>
              </w:rPr>
              <w:t>33%</w:t>
            </w:r>
          </w:p>
        </w:tc>
        <w:tc>
          <w:tcPr>
            <w:tcW w:w="615" w:type="dxa"/>
          </w:tcPr>
          <w:p>
            <w:pPr>
              <w:pStyle w:val="TableParagraph"/>
              <w:spacing w:before="29"/>
              <w:ind w:left="85" w:right="88"/>
              <w:rPr>
                <w:sz w:val="20"/>
              </w:rPr>
            </w:pPr>
            <w:r>
              <w:rPr>
                <w:sz w:val="20"/>
              </w:rPr>
              <w:t>50%</w:t>
            </w:r>
          </w:p>
        </w:tc>
      </w:tr>
      <w:tr>
        <w:trPr>
          <w:trHeight w:val="315" w:hRule="exact"/>
        </w:trPr>
        <w:tc>
          <w:tcPr>
            <w:tcW w:w="1922" w:type="dxa"/>
            <w:tcBorders>
              <w:bottom w:val="single" w:sz="4" w:space="0" w:color="000000"/>
            </w:tcBorders>
          </w:tcPr>
          <w:p>
            <w:pPr>
              <w:pStyle w:val="TableParagraph"/>
              <w:spacing w:before="34"/>
              <w:ind w:left="115" w:right="252"/>
              <w:rPr>
                <w:sz w:val="20"/>
              </w:rPr>
            </w:pPr>
            <w:r>
              <w:rPr>
                <w:sz w:val="20"/>
              </w:rPr>
              <w:t>MEXICO 2</w:t>
            </w:r>
          </w:p>
        </w:tc>
        <w:tc>
          <w:tcPr>
            <w:tcW w:w="1596" w:type="dxa"/>
            <w:tcBorders>
              <w:bottom w:val="single" w:sz="4" w:space="0" w:color="000000"/>
            </w:tcBorders>
          </w:tcPr>
          <w:p>
            <w:pPr>
              <w:pStyle w:val="TableParagraph"/>
              <w:spacing w:before="34"/>
              <w:ind w:left="273" w:right="-7"/>
              <w:jc w:val="left"/>
              <w:rPr>
                <w:sz w:val="20"/>
              </w:rPr>
            </w:pPr>
            <w:r>
              <w:rPr>
                <w:sz w:val="20"/>
              </w:rPr>
              <w:t>12%</w:t>
            </w:r>
          </w:p>
        </w:tc>
        <w:tc>
          <w:tcPr>
            <w:tcW w:w="724" w:type="dxa"/>
            <w:tcBorders>
              <w:bottom w:val="single" w:sz="4" w:space="0" w:color="000000"/>
            </w:tcBorders>
          </w:tcPr>
          <w:p>
            <w:pPr>
              <w:pStyle w:val="TableParagraph"/>
              <w:spacing w:before="31"/>
              <w:ind w:left="182"/>
              <w:jc w:val="left"/>
              <w:rPr>
                <w:b/>
                <w:sz w:val="20"/>
              </w:rPr>
            </w:pPr>
            <w:r>
              <w:rPr>
                <w:b/>
                <w:w w:val="99"/>
                <w:sz w:val="20"/>
              </w:rPr>
              <w:t>-</w:t>
            </w:r>
          </w:p>
        </w:tc>
        <w:tc>
          <w:tcPr>
            <w:tcW w:w="820" w:type="dxa"/>
            <w:tcBorders>
              <w:bottom w:val="single" w:sz="4" w:space="0" w:color="000000"/>
            </w:tcBorders>
          </w:tcPr>
          <w:p>
            <w:pPr>
              <w:pStyle w:val="TableParagraph"/>
              <w:spacing w:before="34"/>
              <w:ind w:left="289" w:right="89"/>
              <w:rPr>
                <w:sz w:val="20"/>
              </w:rPr>
            </w:pPr>
            <w:r>
              <w:rPr>
                <w:sz w:val="20"/>
              </w:rPr>
              <w:t>12%</w:t>
            </w:r>
          </w:p>
        </w:tc>
        <w:tc>
          <w:tcPr>
            <w:tcW w:w="731" w:type="dxa"/>
            <w:tcBorders>
              <w:bottom w:val="single" w:sz="4" w:space="0" w:color="000000"/>
            </w:tcBorders>
          </w:tcPr>
          <w:p>
            <w:pPr>
              <w:pStyle w:val="TableParagraph"/>
              <w:spacing w:before="31"/>
              <w:ind w:left="3"/>
              <w:rPr>
                <w:b/>
                <w:sz w:val="20"/>
              </w:rPr>
            </w:pPr>
            <w:r>
              <w:rPr>
                <w:b/>
                <w:w w:val="99"/>
                <w:sz w:val="20"/>
              </w:rPr>
              <w:t>-</w:t>
            </w:r>
          </w:p>
        </w:tc>
        <w:tc>
          <w:tcPr>
            <w:tcW w:w="616" w:type="dxa"/>
            <w:tcBorders>
              <w:bottom w:val="single" w:sz="4" w:space="0" w:color="000000"/>
            </w:tcBorders>
          </w:tcPr>
          <w:p>
            <w:pPr>
              <w:pStyle w:val="TableParagraph"/>
              <w:spacing w:before="34"/>
              <w:ind w:left="89" w:right="84"/>
              <w:rPr>
                <w:sz w:val="20"/>
              </w:rPr>
            </w:pPr>
            <w:r>
              <w:rPr>
                <w:sz w:val="20"/>
              </w:rPr>
              <w:t>33%</w:t>
            </w:r>
          </w:p>
        </w:tc>
        <w:tc>
          <w:tcPr>
            <w:tcW w:w="609" w:type="dxa"/>
            <w:tcBorders>
              <w:bottom w:val="single" w:sz="4" w:space="0" w:color="000000"/>
            </w:tcBorders>
          </w:tcPr>
          <w:p>
            <w:pPr>
              <w:pStyle w:val="TableParagraph"/>
              <w:spacing w:before="31"/>
              <w:ind w:left="4"/>
              <w:rPr>
                <w:b/>
                <w:sz w:val="20"/>
              </w:rPr>
            </w:pPr>
            <w:r>
              <w:rPr>
                <w:b/>
                <w:w w:val="99"/>
                <w:sz w:val="20"/>
              </w:rPr>
              <w:t>-</w:t>
            </w:r>
          </w:p>
        </w:tc>
        <w:tc>
          <w:tcPr>
            <w:tcW w:w="611" w:type="dxa"/>
            <w:tcBorders>
              <w:bottom w:val="single" w:sz="4" w:space="0" w:color="000000"/>
            </w:tcBorders>
          </w:tcPr>
          <w:p>
            <w:pPr>
              <w:pStyle w:val="TableParagraph"/>
              <w:spacing w:before="31"/>
              <w:ind w:left="3"/>
              <w:rPr>
                <w:b/>
                <w:sz w:val="20"/>
              </w:rPr>
            </w:pPr>
            <w:r>
              <w:rPr>
                <w:b/>
                <w:w w:val="99"/>
                <w:sz w:val="20"/>
              </w:rPr>
              <w:t>-</w:t>
            </w:r>
          </w:p>
        </w:tc>
        <w:tc>
          <w:tcPr>
            <w:tcW w:w="611" w:type="dxa"/>
            <w:tcBorders>
              <w:bottom w:val="single" w:sz="4" w:space="0" w:color="000000"/>
            </w:tcBorders>
          </w:tcPr>
          <w:p>
            <w:pPr>
              <w:pStyle w:val="TableParagraph"/>
              <w:spacing w:before="31"/>
              <w:ind w:left="1"/>
              <w:rPr>
                <w:b/>
                <w:sz w:val="20"/>
              </w:rPr>
            </w:pPr>
            <w:r>
              <w:rPr>
                <w:b/>
                <w:w w:val="99"/>
                <w:sz w:val="20"/>
              </w:rPr>
              <w:t>-</w:t>
            </w:r>
          </w:p>
        </w:tc>
        <w:tc>
          <w:tcPr>
            <w:tcW w:w="615" w:type="dxa"/>
            <w:tcBorders>
              <w:bottom w:val="single" w:sz="4" w:space="0" w:color="000000"/>
            </w:tcBorders>
          </w:tcPr>
          <w:p>
            <w:pPr>
              <w:pStyle w:val="TableParagraph"/>
              <w:spacing w:before="31"/>
              <w:rPr>
                <w:b/>
                <w:sz w:val="20"/>
              </w:rPr>
            </w:pPr>
            <w:r>
              <w:rPr>
                <w:b/>
                <w:w w:val="99"/>
                <w:sz w:val="20"/>
              </w:rPr>
              <w:t>-</w:t>
            </w:r>
          </w:p>
        </w:tc>
      </w:tr>
    </w:tbl>
    <w:p>
      <w:pPr>
        <w:spacing w:line="240" w:lineRule="auto" w:before="0"/>
        <w:ind w:left="872" w:right="104" w:firstLine="0"/>
        <w:jc w:val="both"/>
        <w:rPr>
          <w:sz w:val="20"/>
        </w:rPr>
      </w:pPr>
      <w:r>
        <w:rPr>
          <w:sz w:val="20"/>
        </w:rPr>
        <w:t>VII</w:t>
      </w:r>
      <w:r>
        <w:rPr>
          <w:spacing w:val="-9"/>
          <w:sz w:val="20"/>
        </w:rPr>
        <w:t> </w:t>
      </w:r>
      <w:r>
        <w:rPr>
          <w:sz w:val="20"/>
        </w:rPr>
        <w:t>Región</w:t>
      </w:r>
      <w:r>
        <w:rPr>
          <w:spacing w:val="-9"/>
          <w:sz w:val="20"/>
        </w:rPr>
        <w:t> </w:t>
      </w:r>
      <w:r>
        <w:rPr>
          <w:sz w:val="20"/>
        </w:rPr>
        <w:t>Lerma,</w:t>
      </w:r>
      <w:r>
        <w:rPr>
          <w:spacing w:val="-10"/>
          <w:sz w:val="20"/>
        </w:rPr>
        <w:t> </w:t>
      </w:r>
      <w:r>
        <w:rPr>
          <w:sz w:val="20"/>
        </w:rPr>
        <w:t>XII</w:t>
      </w:r>
      <w:r>
        <w:rPr>
          <w:spacing w:val="-9"/>
          <w:sz w:val="20"/>
        </w:rPr>
        <w:t> </w:t>
      </w:r>
      <w:r>
        <w:rPr>
          <w:sz w:val="20"/>
        </w:rPr>
        <w:t>Región</w:t>
      </w:r>
      <w:r>
        <w:rPr>
          <w:spacing w:val="-10"/>
          <w:sz w:val="20"/>
        </w:rPr>
        <w:t> </w:t>
      </w:r>
      <w:r>
        <w:rPr>
          <w:sz w:val="20"/>
        </w:rPr>
        <w:t>Toluca;</w:t>
      </w:r>
      <w:r>
        <w:rPr>
          <w:spacing w:val="-10"/>
          <w:sz w:val="20"/>
        </w:rPr>
        <w:t> </w:t>
      </w:r>
      <w:r>
        <w:rPr>
          <w:sz w:val="20"/>
        </w:rPr>
        <w:t>1</w:t>
      </w:r>
      <w:r>
        <w:rPr>
          <w:spacing w:val="-9"/>
          <w:sz w:val="20"/>
        </w:rPr>
        <w:t> </w:t>
      </w:r>
      <w:r>
        <w:rPr>
          <w:sz w:val="20"/>
        </w:rPr>
        <w:t>Lerma,</w:t>
      </w:r>
      <w:r>
        <w:rPr>
          <w:spacing w:val="-10"/>
          <w:sz w:val="20"/>
        </w:rPr>
        <w:t> </w:t>
      </w:r>
      <w:r>
        <w:rPr>
          <w:sz w:val="20"/>
        </w:rPr>
        <w:t>2</w:t>
      </w:r>
      <w:r>
        <w:rPr>
          <w:spacing w:val="-9"/>
          <w:sz w:val="20"/>
        </w:rPr>
        <w:t> </w:t>
      </w:r>
      <w:r>
        <w:rPr>
          <w:sz w:val="20"/>
        </w:rPr>
        <w:t>Ocoyoacac,</w:t>
      </w:r>
      <w:r>
        <w:rPr>
          <w:spacing w:val="-9"/>
          <w:sz w:val="20"/>
        </w:rPr>
        <w:t> </w:t>
      </w:r>
      <w:r>
        <w:rPr>
          <w:sz w:val="20"/>
        </w:rPr>
        <w:t>3</w:t>
      </w:r>
      <w:r>
        <w:rPr>
          <w:spacing w:val="-9"/>
          <w:sz w:val="20"/>
        </w:rPr>
        <w:t> </w:t>
      </w:r>
      <w:r>
        <w:rPr>
          <w:sz w:val="20"/>
        </w:rPr>
        <w:t>San</w:t>
      </w:r>
      <w:r>
        <w:rPr>
          <w:spacing w:val="-9"/>
          <w:sz w:val="20"/>
        </w:rPr>
        <w:t> </w:t>
      </w:r>
      <w:r>
        <w:rPr>
          <w:sz w:val="20"/>
        </w:rPr>
        <w:t>Mateo</w:t>
      </w:r>
      <w:r>
        <w:rPr>
          <w:spacing w:val="-7"/>
          <w:sz w:val="20"/>
        </w:rPr>
        <w:t> </w:t>
      </w:r>
      <w:r>
        <w:rPr>
          <w:sz w:val="20"/>
        </w:rPr>
        <w:t>Atenco,</w:t>
      </w:r>
      <w:r>
        <w:rPr>
          <w:spacing w:val="-9"/>
          <w:sz w:val="20"/>
        </w:rPr>
        <w:t> </w:t>
      </w:r>
      <w:r>
        <w:rPr>
          <w:sz w:val="20"/>
        </w:rPr>
        <w:t>4</w:t>
      </w:r>
      <w:r>
        <w:rPr>
          <w:spacing w:val="-9"/>
          <w:sz w:val="20"/>
        </w:rPr>
        <w:t> </w:t>
      </w:r>
      <w:r>
        <w:rPr>
          <w:sz w:val="20"/>
        </w:rPr>
        <w:t>Toluca, 5 Almoloya de Juárez, 6 Metepec, 7 Zinacantepec, EEM Error Estándar de la Media. P, probabilidad</w:t>
      </w:r>
      <w:r>
        <w:rPr>
          <w:spacing w:val="-7"/>
          <w:sz w:val="20"/>
        </w:rPr>
        <w:t> </w:t>
      </w:r>
      <w:r>
        <w:rPr>
          <w:sz w:val="20"/>
        </w:rPr>
        <w:t>p&lt;0.05.</w:t>
      </w:r>
    </w:p>
    <w:p>
      <w:pPr>
        <w:pStyle w:val="BodyText"/>
        <w:rPr>
          <w:sz w:val="20"/>
        </w:rPr>
      </w:pPr>
    </w:p>
    <w:p>
      <w:pPr>
        <w:pStyle w:val="BodyText"/>
        <w:spacing w:before="11"/>
      </w:pPr>
    </w:p>
    <w:p>
      <w:pPr>
        <w:spacing w:before="0"/>
        <w:ind w:left="152" w:right="0" w:firstLine="0"/>
        <w:jc w:val="both"/>
        <w:rPr>
          <w:b/>
          <w:sz w:val="24"/>
        </w:rPr>
      </w:pPr>
      <w:r>
        <w:rPr>
          <w:b/>
          <w:sz w:val="24"/>
        </w:rPr>
        <w:t>Resultado de análisis quimico de la carne de conejo</w:t>
      </w:r>
    </w:p>
    <w:p>
      <w:pPr>
        <w:pStyle w:val="BodyText"/>
        <w:spacing w:before="4"/>
        <w:rPr>
          <w:b/>
          <w:sz w:val="29"/>
        </w:rPr>
      </w:pPr>
    </w:p>
    <w:p>
      <w:pPr>
        <w:pStyle w:val="BodyText"/>
        <w:spacing w:line="360" w:lineRule="auto" w:before="1"/>
        <w:ind w:left="152" w:right="106"/>
        <w:jc w:val="both"/>
      </w:pPr>
      <w:r>
        <w:rPr/>
        <w:t>En el cuadro 13, se muestran los resultados comparativos del análisis químico de la carne de las unidades estudiadas y el grupo control, las cuales mostraron diferencias significativas en el contenido de materia seca, humedad y proteína (p&lt;0.05).</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BodyText"/>
        <w:spacing w:before="69" w:after="4"/>
        <w:ind w:left="1594"/>
      </w:pPr>
      <w:r>
        <w:rPr/>
        <w:t>Cuadro 13 Análisis bromatológico de la carne de conejo</w:t>
      </w: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3"/>
        <w:gridCol w:w="3264"/>
        <w:gridCol w:w="2948"/>
      </w:tblGrid>
      <w:tr>
        <w:trPr>
          <w:trHeight w:val="562" w:hRule="exact"/>
        </w:trPr>
        <w:tc>
          <w:tcPr>
            <w:tcW w:w="2643" w:type="dxa"/>
            <w:tcBorders>
              <w:left w:val="nil"/>
              <w:right w:val="nil"/>
            </w:tcBorders>
          </w:tcPr>
          <w:p>
            <w:pPr/>
          </w:p>
        </w:tc>
        <w:tc>
          <w:tcPr>
            <w:tcW w:w="3264" w:type="dxa"/>
            <w:tcBorders>
              <w:left w:val="nil"/>
              <w:right w:val="nil"/>
            </w:tcBorders>
          </w:tcPr>
          <w:p>
            <w:pPr>
              <w:pStyle w:val="TableParagraph"/>
              <w:ind w:left="957" w:right="580" w:firstLine="427"/>
              <w:jc w:val="left"/>
              <w:rPr>
                <w:b/>
                <w:sz w:val="24"/>
              </w:rPr>
            </w:pPr>
            <w:r>
              <w:rPr>
                <w:b/>
                <w:sz w:val="24"/>
              </w:rPr>
              <w:t>Control Media/Std. Dev</w:t>
            </w:r>
          </w:p>
        </w:tc>
        <w:tc>
          <w:tcPr>
            <w:tcW w:w="2948" w:type="dxa"/>
            <w:tcBorders>
              <w:left w:val="nil"/>
              <w:right w:val="nil"/>
            </w:tcBorders>
          </w:tcPr>
          <w:p>
            <w:pPr>
              <w:pStyle w:val="TableParagraph"/>
              <w:ind w:left="597" w:right="623" w:firstLine="408"/>
              <w:jc w:val="left"/>
              <w:rPr>
                <w:b/>
                <w:sz w:val="24"/>
              </w:rPr>
            </w:pPr>
            <w:r>
              <w:rPr>
                <w:b/>
                <w:sz w:val="24"/>
              </w:rPr>
              <w:t>Granjas Media/Std. Dev</w:t>
            </w:r>
          </w:p>
        </w:tc>
      </w:tr>
      <w:tr>
        <w:trPr>
          <w:trHeight w:val="289" w:hRule="exact"/>
        </w:trPr>
        <w:tc>
          <w:tcPr>
            <w:tcW w:w="2643" w:type="dxa"/>
            <w:tcBorders>
              <w:left w:val="nil"/>
              <w:bottom w:val="nil"/>
              <w:right w:val="nil"/>
            </w:tcBorders>
          </w:tcPr>
          <w:p>
            <w:pPr>
              <w:pStyle w:val="TableParagraph"/>
              <w:spacing w:line="272" w:lineRule="exact"/>
              <w:ind w:left="84"/>
              <w:jc w:val="left"/>
              <w:rPr>
                <w:sz w:val="24"/>
              </w:rPr>
            </w:pPr>
            <w:r>
              <w:rPr>
                <w:sz w:val="24"/>
              </w:rPr>
              <w:t>Materia Seca</w:t>
            </w:r>
          </w:p>
        </w:tc>
        <w:tc>
          <w:tcPr>
            <w:tcW w:w="3264" w:type="dxa"/>
            <w:tcBorders>
              <w:left w:val="nil"/>
              <w:bottom w:val="nil"/>
              <w:right w:val="nil"/>
            </w:tcBorders>
          </w:tcPr>
          <w:p>
            <w:pPr>
              <w:pStyle w:val="TableParagraph"/>
              <w:spacing w:line="272" w:lineRule="exact"/>
              <w:ind w:right="785"/>
              <w:jc w:val="right"/>
              <w:rPr>
                <w:sz w:val="24"/>
              </w:rPr>
            </w:pPr>
            <w:r>
              <w:rPr>
                <w:sz w:val="24"/>
              </w:rPr>
              <w:t>21.49 ± 1.25</w:t>
            </w:r>
          </w:p>
        </w:tc>
        <w:tc>
          <w:tcPr>
            <w:tcW w:w="2948" w:type="dxa"/>
            <w:tcBorders>
              <w:left w:val="nil"/>
              <w:bottom w:val="nil"/>
              <w:right w:val="nil"/>
            </w:tcBorders>
          </w:tcPr>
          <w:p>
            <w:pPr>
              <w:pStyle w:val="TableParagraph"/>
              <w:spacing w:line="272" w:lineRule="exact"/>
              <w:ind w:left="766" w:right="809"/>
              <w:rPr>
                <w:sz w:val="24"/>
              </w:rPr>
            </w:pPr>
            <w:r>
              <w:rPr>
                <w:sz w:val="24"/>
              </w:rPr>
              <w:t>26.21 ± 1.71</w:t>
            </w:r>
          </w:p>
        </w:tc>
      </w:tr>
      <w:tr>
        <w:trPr>
          <w:trHeight w:val="276" w:hRule="exact"/>
        </w:trPr>
        <w:tc>
          <w:tcPr>
            <w:tcW w:w="2643" w:type="dxa"/>
            <w:tcBorders>
              <w:top w:val="nil"/>
              <w:left w:val="nil"/>
              <w:bottom w:val="nil"/>
              <w:right w:val="nil"/>
            </w:tcBorders>
          </w:tcPr>
          <w:p>
            <w:pPr>
              <w:pStyle w:val="TableParagraph"/>
              <w:spacing w:line="263" w:lineRule="exact"/>
              <w:ind w:left="84"/>
              <w:jc w:val="left"/>
              <w:rPr>
                <w:sz w:val="24"/>
              </w:rPr>
            </w:pPr>
            <w:r>
              <w:rPr>
                <w:sz w:val="24"/>
              </w:rPr>
              <w:t>Humedad</w:t>
            </w:r>
          </w:p>
        </w:tc>
        <w:tc>
          <w:tcPr>
            <w:tcW w:w="3264" w:type="dxa"/>
            <w:tcBorders>
              <w:top w:val="nil"/>
              <w:left w:val="nil"/>
              <w:bottom w:val="nil"/>
              <w:right w:val="nil"/>
            </w:tcBorders>
          </w:tcPr>
          <w:p>
            <w:pPr>
              <w:pStyle w:val="TableParagraph"/>
              <w:spacing w:line="263" w:lineRule="exact"/>
              <w:ind w:right="785"/>
              <w:jc w:val="right"/>
              <w:rPr>
                <w:sz w:val="24"/>
              </w:rPr>
            </w:pPr>
            <w:r>
              <w:rPr>
                <w:sz w:val="24"/>
              </w:rPr>
              <w:t>78.51 ± 1.25</w:t>
            </w:r>
          </w:p>
        </w:tc>
        <w:tc>
          <w:tcPr>
            <w:tcW w:w="2948" w:type="dxa"/>
            <w:tcBorders>
              <w:top w:val="nil"/>
              <w:left w:val="nil"/>
              <w:bottom w:val="nil"/>
              <w:right w:val="nil"/>
            </w:tcBorders>
          </w:tcPr>
          <w:p>
            <w:pPr>
              <w:pStyle w:val="TableParagraph"/>
              <w:spacing w:line="263" w:lineRule="exact"/>
              <w:ind w:left="766" w:right="809"/>
              <w:rPr>
                <w:sz w:val="24"/>
              </w:rPr>
            </w:pPr>
            <w:r>
              <w:rPr>
                <w:sz w:val="24"/>
              </w:rPr>
              <w:t>73.79 ± 1.71</w:t>
            </w:r>
          </w:p>
        </w:tc>
      </w:tr>
      <w:tr>
        <w:trPr>
          <w:trHeight w:val="276" w:hRule="exact"/>
        </w:trPr>
        <w:tc>
          <w:tcPr>
            <w:tcW w:w="2643" w:type="dxa"/>
            <w:tcBorders>
              <w:top w:val="nil"/>
              <w:left w:val="nil"/>
              <w:bottom w:val="nil"/>
              <w:right w:val="nil"/>
            </w:tcBorders>
          </w:tcPr>
          <w:p>
            <w:pPr>
              <w:pStyle w:val="TableParagraph"/>
              <w:spacing w:line="263" w:lineRule="exact"/>
              <w:ind w:left="84"/>
              <w:jc w:val="left"/>
              <w:rPr>
                <w:sz w:val="24"/>
              </w:rPr>
            </w:pPr>
            <w:r>
              <w:rPr>
                <w:sz w:val="24"/>
              </w:rPr>
              <w:t>Proteína</w:t>
            </w:r>
          </w:p>
        </w:tc>
        <w:tc>
          <w:tcPr>
            <w:tcW w:w="3264" w:type="dxa"/>
            <w:tcBorders>
              <w:top w:val="nil"/>
              <w:left w:val="nil"/>
              <w:bottom w:val="nil"/>
              <w:right w:val="nil"/>
            </w:tcBorders>
          </w:tcPr>
          <w:p>
            <w:pPr>
              <w:pStyle w:val="TableParagraph"/>
              <w:spacing w:line="263" w:lineRule="exact"/>
              <w:ind w:right="785"/>
              <w:jc w:val="right"/>
              <w:rPr>
                <w:sz w:val="24"/>
              </w:rPr>
            </w:pPr>
            <w:r>
              <w:rPr>
                <w:sz w:val="24"/>
              </w:rPr>
              <w:t>18.61 ± 1.11</w:t>
            </w:r>
          </w:p>
        </w:tc>
        <w:tc>
          <w:tcPr>
            <w:tcW w:w="2948" w:type="dxa"/>
            <w:tcBorders>
              <w:top w:val="nil"/>
              <w:left w:val="nil"/>
              <w:bottom w:val="nil"/>
              <w:right w:val="nil"/>
            </w:tcBorders>
          </w:tcPr>
          <w:p>
            <w:pPr>
              <w:pStyle w:val="TableParagraph"/>
              <w:spacing w:line="263" w:lineRule="exact"/>
              <w:ind w:left="766" w:right="809"/>
              <w:rPr>
                <w:sz w:val="24"/>
              </w:rPr>
            </w:pPr>
            <w:r>
              <w:rPr>
                <w:sz w:val="24"/>
              </w:rPr>
              <w:t>22.17 ± 1.11</w:t>
            </w:r>
          </w:p>
        </w:tc>
      </w:tr>
      <w:tr>
        <w:trPr>
          <w:trHeight w:val="276" w:hRule="exact"/>
        </w:trPr>
        <w:tc>
          <w:tcPr>
            <w:tcW w:w="2643" w:type="dxa"/>
            <w:tcBorders>
              <w:top w:val="nil"/>
              <w:left w:val="nil"/>
              <w:bottom w:val="nil"/>
              <w:right w:val="nil"/>
            </w:tcBorders>
          </w:tcPr>
          <w:p>
            <w:pPr>
              <w:pStyle w:val="TableParagraph"/>
              <w:spacing w:line="263" w:lineRule="exact"/>
              <w:ind w:left="84"/>
              <w:jc w:val="left"/>
              <w:rPr>
                <w:sz w:val="24"/>
              </w:rPr>
            </w:pPr>
            <w:r>
              <w:rPr>
                <w:sz w:val="24"/>
              </w:rPr>
              <w:t>Grasa</w:t>
            </w:r>
          </w:p>
        </w:tc>
        <w:tc>
          <w:tcPr>
            <w:tcW w:w="3264" w:type="dxa"/>
            <w:tcBorders>
              <w:top w:val="nil"/>
              <w:left w:val="nil"/>
              <w:bottom w:val="nil"/>
              <w:right w:val="nil"/>
            </w:tcBorders>
          </w:tcPr>
          <w:p>
            <w:pPr>
              <w:pStyle w:val="TableParagraph"/>
              <w:spacing w:line="263" w:lineRule="exact"/>
              <w:ind w:right="849"/>
              <w:jc w:val="right"/>
              <w:rPr>
                <w:sz w:val="24"/>
              </w:rPr>
            </w:pPr>
            <w:r>
              <w:rPr>
                <w:sz w:val="24"/>
              </w:rPr>
              <w:t>2.68 ± 0.99</w:t>
            </w:r>
          </w:p>
        </w:tc>
        <w:tc>
          <w:tcPr>
            <w:tcW w:w="2948" w:type="dxa"/>
            <w:tcBorders>
              <w:top w:val="nil"/>
              <w:left w:val="nil"/>
              <w:bottom w:val="nil"/>
              <w:right w:val="nil"/>
            </w:tcBorders>
          </w:tcPr>
          <w:p>
            <w:pPr>
              <w:pStyle w:val="TableParagraph"/>
              <w:spacing w:line="263" w:lineRule="exact"/>
              <w:ind w:left="766" w:right="807"/>
              <w:rPr>
                <w:sz w:val="24"/>
              </w:rPr>
            </w:pPr>
            <w:r>
              <w:rPr>
                <w:sz w:val="24"/>
              </w:rPr>
              <w:t>3.09 ± 0.83</w:t>
            </w:r>
          </w:p>
        </w:tc>
      </w:tr>
      <w:tr>
        <w:trPr>
          <w:trHeight w:val="272" w:hRule="exact"/>
        </w:trPr>
        <w:tc>
          <w:tcPr>
            <w:tcW w:w="2643" w:type="dxa"/>
            <w:tcBorders>
              <w:top w:val="nil"/>
              <w:left w:val="nil"/>
              <w:right w:val="nil"/>
            </w:tcBorders>
          </w:tcPr>
          <w:p>
            <w:pPr>
              <w:pStyle w:val="TableParagraph"/>
              <w:spacing w:line="263" w:lineRule="exact"/>
              <w:ind w:left="84"/>
              <w:jc w:val="left"/>
              <w:rPr>
                <w:sz w:val="24"/>
              </w:rPr>
            </w:pPr>
            <w:r>
              <w:rPr>
                <w:sz w:val="24"/>
              </w:rPr>
              <w:t>Cenizas</w:t>
            </w:r>
          </w:p>
        </w:tc>
        <w:tc>
          <w:tcPr>
            <w:tcW w:w="3264" w:type="dxa"/>
            <w:tcBorders>
              <w:top w:val="nil"/>
              <w:left w:val="nil"/>
              <w:right w:val="nil"/>
            </w:tcBorders>
          </w:tcPr>
          <w:p>
            <w:pPr>
              <w:pStyle w:val="TableParagraph"/>
              <w:spacing w:line="263" w:lineRule="exact"/>
              <w:ind w:right="849"/>
              <w:jc w:val="right"/>
              <w:rPr>
                <w:sz w:val="24"/>
              </w:rPr>
            </w:pPr>
            <w:r>
              <w:rPr>
                <w:sz w:val="24"/>
              </w:rPr>
              <w:t>1.05 ± 0.47</w:t>
            </w:r>
          </w:p>
        </w:tc>
        <w:tc>
          <w:tcPr>
            <w:tcW w:w="2948" w:type="dxa"/>
            <w:tcBorders>
              <w:top w:val="nil"/>
              <w:left w:val="nil"/>
              <w:right w:val="nil"/>
            </w:tcBorders>
          </w:tcPr>
          <w:p>
            <w:pPr>
              <w:pStyle w:val="TableParagraph"/>
              <w:spacing w:line="263" w:lineRule="exact"/>
              <w:ind w:left="766" w:right="807"/>
              <w:rPr>
                <w:sz w:val="24"/>
              </w:rPr>
            </w:pPr>
            <w:r>
              <w:rPr>
                <w:sz w:val="24"/>
              </w:rPr>
              <w:t>1,12 ± 0.47</w:t>
            </w:r>
          </w:p>
        </w:tc>
      </w:tr>
    </w:tbl>
    <w:p>
      <w:pPr>
        <w:pStyle w:val="BodyText"/>
        <w:rPr>
          <w:sz w:val="20"/>
        </w:rPr>
      </w:pPr>
    </w:p>
    <w:p>
      <w:pPr>
        <w:pStyle w:val="BodyText"/>
        <w:spacing w:before="3"/>
        <w:rPr>
          <w:sz w:val="27"/>
        </w:rPr>
      </w:pPr>
    </w:p>
    <w:p>
      <w:pPr>
        <w:pStyle w:val="BodyText"/>
        <w:spacing w:line="360" w:lineRule="auto" w:before="69"/>
        <w:ind w:left="152" w:right="105"/>
        <w:jc w:val="both"/>
      </w:pPr>
      <w:r>
        <w:rPr/>
        <w:t>En los cuadros 14 y 15 se muestran los resultados del análisis químico de la carne de conejo obtenidas de las 30 granjas de producción cunicula son los siguientes: materia seca 26.21±1.71, humedad 73.79±1.71, proteína 22.17±1.11, grasa 3.09±0.83, cenizas 1.12±0.47. El análisis estadistico del efecto de la región y la localidad en la composición nutricional de la carne de conejo no muestran una diferencia significativa (p&gt;0.05) como semuestra en los cuadros</w:t>
      </w:r>
    </w:p>
    <w:p>
      <w:pPr>
        <w:pStyle w:val="BodyText"/>
        <w:spacing w:before="1"/>
        <w:rPr>
          <w:sz w:val="22"/>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32"/>
        <w:gridCol w:w="2186"/>
        <w:gridCol w:w="1417"/>
        <w:gridCol w:w="1219"/>
        <w:gridCol w:w="1002"/>
      </w:tblGrid>
      <w:tr>
        <w:trPr>
          <w:trHeight w:val="275" w:hRule="exact"/>
        </w:trPr>
        <w:tc>
          <w:tcPr>
            <w:tcW w:w="8855" w:type="dxa"/>
            <w:gridSpan w:val="5"/>
          </w:tcPr>
          <w:p>
            <w:pPr>
              <w:pStyle w:val="TableParagraph"/>
              <w:spacing w:line="245" w:lineRule="exact"/>
              <w:ind w:left="14"/>
              <w:jc w:val="left"/>
              <w:rPr>
                <w:sz w:val="24"/>
              </w:rPr>
            </w:pPr>
            <w:r>
              <w:rPr>
                <w:w w:val="100"/>
                <w:sz w:val="24"/>
                <w:u w:val="single"/>
              </w:rPr>
              <w:t> </w:t>
            </w:r>
            <w:r>
              <w:rPr>
                <w:sz w:val="24"/>
                <w:u w:val="single"/>
              </w:rPr>
              <w:t> Cuadro 14.Efecto de la región en la composición nutricinal de la carne de conejo </w:t>
            </w:r>
          </w:p>
        </w:tc>
      </w:tr>
      <w:tr>
        <w:trPr>
          <w:trHeight w:val="311" w:hRule="exact"/>
        </w:trPr>
        <w:tc>
          <w:tcPr>
            <w:tcW w:w="8855" w:type="dxa"/>
            <w:gridSpan w:val="5"/>
          </w:tcPr>
          <w:p>
            <w:pPr>
              <w:pStyle w:val="TableParagraph"/>
              <w:tabs>
                <w:tab w:pos="4718" w:val="left" w:leader="none"/>
                <w:tab w:pos="6646" w:val="left" w:leader="none"/>
              </w:tabs>
              <w:spacing w:before="4"/>
              <w:ind w:left="3742"/>
              <w:jc w:val="left"/>
              <w:rPr>
                <w:sz w:val="24"/>
              </w:rPr>
            </w:pPr>
            <w:r>
              <w:rPr>
                <w:w w:val="100"/>
                <w:sz w:val="24"/>
                <w:u w:val="single"/>
              </w:rPr>
              <w:t> </w:t>
            </w:r>
            <w:r>
              <w:rPr>
                <w:sz w:val="24"/>
                <w:u w:val="single"/>
              </w:rPr>
              <w:tab/>
              <w:t>REGION</w:t>
              <w:tab/>
            </w:r>
          </w:p>
        </w:tc>
      </w:tr>
      <w:tr>
        <w:trPr>
          <w:trHeight w:val="291" w:hRule="exact"/>
        </w:trPr>
        <w:tc>
          <w:tcPr>
            <w:tcW w:w="3032" w:type="dxa"/>
            <w:tcBorders>
              <w:bottom w:val="single" w:sz="4" w:space="0" w:color="000000"/>
            </w:tcBorders>
          </w:tcPr>
          <w:p>
            <w:pPr>
              <w:pStyle w:val="TableParagraph"/>
              <w:spacing w:before="5"/>
              <w:ind w:left="84"/>
              <w:jc w:val="left"/>
              <w:rPr>
                <w:sz w:val="24"/>
              </w:rPr>
            </w:pPr>
            <w:r>
              <w:rPr>
                <w:sz w:val="24"/>
              </w:rPr>
              <w:t>VARIABLE</w:t>
            </w:r>
          </w:p>
        </w:tc>
        <w:tc>
          <w:tcPr>
            <w:tcW w:w="2186" w:type="dxa"/>
            <w:tcBorders>
              <w:bottom w:val="single" w:sz="4" w:space="0" w:color="000000"/>
            </w:tcBorders>
          </w:tcPr>
          <w:p>
            <w:pPr>
              <w:pStyle w:val="TableParagraph"/>
              <w:spacing w:before="5"/>
              <w:ind w:left="1139" w:right="406"/>
              <w:rPr>
                <w:sz w:val="24"/>
              </w:rPr>
            </w:pPr>
            <w:r>
              <w:rPr>
                <w:sz w:val="24"/>
              </w:rPr>
              <w:t>VII</w:t>
            </w:r>
          </w:p>
        </w:tc>
        <w:tc>
          <w:tcPr>
            <w:tcW w:w="1417" w:type="dxa"/>
            <w:tcBorders>
              <w:bottom w:val="single" w:sz="4" w:space="0" w:color="000000"/>
            </w:tcBorders>
          </w:tcPr>
          <w:p>
            <w:pPr>
              <w:pStyle w:val="TableParagraph"/>
              <w:spacing w:before="5"/>
              <w:ind w:left="404" w:right="371"/>
              <w:rPr>
                <w:sz w:val="24"/>
              </w:rPr>
            </w:pPr>
            <w:r>
              <w:rPr>
                <w:sz w:val="24"/>
              </w:rPr>
              <w:t>XIII</w:t>
            </w:r>
          </w:p>
        </w:tc>
        <w:tc>
          <w:tcPr>
            <w:tcW w:w="1219" w:type="dxa"/>
            <w:tcBorders>
              <w:bottom w:val="single" w:sz="4" w:space="0" w:color="000000"/>
            </w:tcBorders>
          </w:tcPr>
          <w:p>
            <w:pPr>
              <w:pStyle w:val="TableParagraph"/>
              <w:spacing w:before="5"/>
              <w:ind w:right="303"/>
              <w:jc w:val="right"/>
              <w:rPr>
                <w:sz w:val="24"/>
              </w:rPr>
            </w:pPr>
            <w:r>
              <w:rPr>
                <w:sz w:val="24"/>
              </w:rPr>
              <w:t>EEM</w:t>
            </w:r>
          </w:p>
        </w:tc>
        <w:tc>
          <w:tcPr>
            <w:tcW w:w="1002" w:type="dxa"/>
            <w:tcBorders>
              <w:bottom w:val="single" w:sz="4" w:space="0" w:color="000000"/>
            </w:tcBorders>
          </w:tcPr>
          <w:p>
            <w:pPr>
              <w:pStyle w:val="TableParagraph"/>
              <w:spacing w:before="5"/>
              <w:ind w:left="76"/>
              <w:rPr>
                <w:sz w:val="24"/>
              </w:rPr>
            </w:pPr>
            <w:r>
              <w:rPr>
                <w:w w:val="100"/>
                <w:sz w:val="24"/>
              </w:rPr>
              <w:t>P</w:t>
            </w:r>
          </w:p>
        </w:tc>
      </w:tr>
      <w:tr>
        <w:trPr>
          <w:trHeight w:val="625" w:hRule="exact"/>
        </w:trPr>
        <w:tc>
          <w:tcPr>
            <w:tcW w:w="3032" w:type="dxa"/>
            <w:tcBorders>
              <w:top w:val="single" w:sz="4" w:space="0" w:color="000000"/>
            </w:tcBorders>
          </w:tcPr>
          <w:p>
            <w:pPr>
              <w:pStyle w:val="TableParagraph"/>
              <w:spacing w:before="9"/>
              <w:jc w:val="left"/>
              <w:rPr>
                <w:sz w:val="27"/>
              </w:rPr>
            </w:pPr>
          </w:p>
          <w:p>
            <w:pPr>
              <w:pStyle w:val="TableParagraph"/>
              <w:ind w:left="84"/>
              <w:jc w:val="left"/>
              <w:rPr>
                <w:sz w:val="24"/>
              </w:rPr>
            </w:pPr>
            <w:r>
              <w:rPr>
                <w:sz w:val="24"/>
              </w:rPr>
              <w:t>MATERIA SECA</w:t>
            </w:r>
          </w:p>
        </w:tc>
        <w:tc>
          <w:tcPr>
            <w:tcW w:w="2186" w:type="dxa"/>
            <w:tcBorders>
              <w:top w:val="single" w:sz="4" w:space="0" w:color="000000"/>
            </w:tcBorders>
          </w:tcPr>
          <w:p>
            <w:pPr>
              <w:pStyle w:val="TableParagraph"/>
              <w:spacing w:before="9"/>
              <w:jc w:val="left"/>
              <w:rPr>
                <w:sz w:val="27"/>
              </w:rPr>
            </w:pPr>
          </w:p>
          <w:p>
            <w:pPr>
              <w:pStyle w:val="TableParagraph"/>
              <w:ind w:left="1139" w:right="406"/>
              <w:rPr>
                <w:sz w:val="24"/>
              </w:rPr>
            </w:pPr>
            <w:r>
              <w:rPr>
                <w:sz w:val="24"/>
              </w:rPr>
              <w:t>26.31</w:t>
            </w:r>
          </w:p>
        </w:tc>
        <w:tc>
          <w:tcPr>
            <w:tcW w:w="1417" w:type="dxa"/>
            <w:tcBorders>
              <w:top w:val="single" w:sz="4" w:space="0" w:color="000000"/>
            </w:tcBorders>
          </w:tcPr>
          <w:p>
            <w:pPr>
              <w:pStyle w:val="TableParagraph"/>
              <w:spacing w:before="9"/>
              <w:jc w:val="left"/>
              <w:rPr>
                <w:sz w:val="27"/>
              </w:rPr>
            </w:pPr>
          </w:p>
          <w:p>
            <w:pPr>
              <w:pStyle w:val="TableParagraph"/>
              <w:ind w:left="405" w:right="371"/>
              <w:rPr>
                <w:sz w:val="24"/>
              </w:rPr>
            </w:pPr>
            <w:r>
              <w:rPr>
                <w:sz w:val="24"/>
              </w:rPr>
              <w:t>26.05</w:t>
            </w:r>
          </w:p>
        </w:tc>
        <w:tc>
          <w:tcPr>
            <w:tcW w:w="1219" w:type="dxa"/>
            <w:tcBorders>
              <w:top w:val="single" w:sz="4" w:space="0" w:color="000000"/>
            </w:tcBorders>
          </w:tcPr>
          <w:p>
            <w:pPr>
              <w:pStyle w:val="TableParagraph"/>
              <w:spacing w:before="9"/>
              <w:jc w:val="left"/>
              <w:rPr>
                <w:sz w:val="27"/>
              </w:rPr>
            </w:pPr>
          </w:p>
          <w:p>
            <w:pPr>
              <w:pStyle w:val="TableParagraph"/>
              <w:ind w:right="330"/>
              <w:jc w:val="right"/>
              <w:rPr>
                <w:sz w:val="24"/>
              </w:rPr>
            </w:pPr>
            <w:r>
              <w:rPr>
                <w:sz w:val="24"/>
              </w:rPr>
              <w:t>0.41</w:t>
            </w:r>
          </w:p>
        </w:tc>
        <w:tc>
          <w:tcPr>
            <w:tcW w:w="1002" w:type="dxa"/>
            <w:tcBorders>
              <w:top w:val="single" w:sz="4" w:space="0" w:color="000000"/>
            </w:tcBorders>
          </w:tcPr>
          <w:p>
            <w:pPr>
              <w:pStyle w:val="TableParagraph"/>
              <w:spacing w:before="9"/>
              <w:jc w:val="left"/>
              <w:rPr>
                <w:sz w:val="27"/>
              </w:rPr>
            </w:pPr>
          </w:p>
          <w:p>
            <w:pPr>
              <w:pStyle w:val="TableParagraph"/>
              <w:ind w:left="286" w:right="208"/>
              <w:rPr>
                <w:sz w:val="24"/>
              </w:rPr>
            </w:pPr>
            <w:r>
              <w:rPr>
                <w:sz w:val="24"/>
              </w:rPr>
              <w:t>0.69</w:t>
            </w:r>
          </w:p>
        </w:tc>
      </w:tr>
      <w:tr>
        <w:trPr>
          <w:trHeight w:val="300" w:hRule="exact"/>
        </w:trPr>
        <w:tc>
          <w:tcPr>
            <w:tcW w:w="3032" w:type="dxa"/>
          </w:tcPr>
          <w:p>
            <w:pPr>
              <w:pStyle w:val="TableParagraph"/>
              <w:spacing w:line="275" w:lineRule="exact"/>
              <w:ind w:left="84"/>
              <w:jc w:val="left"/>
              <w:rPr>
                <w:sz w:val="24"/>
              </w:rPr>
            </w:pPr>
            <w:r>
              <w:rPr>
                <w:sz w:val="24"/>
              </w:rPr>
              <w:t>HUMEDAD</w:t>
            </w:r>
          </w:p>
        </w:tc>
        <w:tc>
          <w:tcPr>
            <w:tcW w:w="2186" w:type="dxa"/>
          </w:tcPr>
          <w:p>
            <w:pPr>
              <w:pStyle w:val="TableParagraph"/>
              <w:spacing w:line="275" w:lineRule="exact"/>
              <w:ind w:left="1139" w:right="406"/>
              <w:rPr>
                <w:sz w:val="24"/>
              </w:rPr>
            </w:pPr>
            <w:r>
              <w:rPr>
                <w:sz w:val="24"/>
              </w:rPr>
              <w:t>73.68</w:t>
            </w:r>
          </w:p>
        </w:tc>
        <w:tc>
          <w:tcPr>
            <w:tcW w:w="1417" w:type="dxa"/>
          </w:tcPr>
          <w:p>
            <w:pPr>
              <w:pStyle w:val="TableParagraph"/>
              <w:spacing w:line="275" w:lineRule="exact"/>
              <w:ind w:left="405" w:right="371"/>
              <w:rPr>
                <w:sz w:val="24"/>
              </w:rPr>
            </w:pPr>
            <w:r>
              <w:rPr>
                <w:sz w:val="24"/>
              </w:rPr>
              <w:t>73.94</w:t>
            </w:r>
          </w:p>
        </w:tc>
        <w:tc>
          <w:tcPr>
            <w:tcW w:w="1219" w:type="dxa"/>
          </w:tcPr>
          <w:p>
            <w:pPr>
              <w:pStyle w:val="TableParagraph"/>
              <w:spacing w:line="275" w:lineRule="exact"/>
              <w:ind w:right="330"/>
              <w:jc w:val="right"/>
              <w:rPr>
                <w:sz w:val="24"/>
              </w:rPr>
            </w:pPr>
            <w:r>
              <w:rPr>
                <w:sz w:val="24"/>
              </w:rPr>
              <w:t>0.41</w:t>
            </w:r>
          </w:p>
        </w:tc>
        <w:tc>
          <w:tcPr>
            <w:tcW w:w="1002" w:type="dxa"/>
          </w:tcPr>
          <w:p>
            <w:pPr>
              <w:pStyle w:val="TableParagraph"/>
              <w:spacing w:line="275" w:lineRule="exact"/>
              <w:ind w:left="286" w:right="208"/>
              <w:rPr>
                <w:sz w:val="24"/>
              </w:rPr>
            </w:pPr>
            <w:r>
              <w:rPr>
                <w:sz w:val="24"/>
              </w:rPr>
              <w:t>0.69</w:t>
            </w:r>
          </w:p>
        </w:tc>
      </w:tr>
      <w:tr>
        <w:trPr>
          <w:trHeight w:val="300" w:hRule="exact"/>
        </w:trPr>
        <w:tc>
          <w:tcPr>
            <w:tcW w:w="3032" w:type="dxa"/>
          </w:tcPr>
          <w:p>
            <w:pPr>
              <w:pStyle w:val="TableParagraph"/>
              <w:spacing w:line="275" w:lineRule="exact"/>
              <w:ind w:left="84"/>
              <w:jc w:val="left"/>
              <w:rPr>
                <w:sz w:val="24"/>
              </w:rPr>
            </w:pPr>
            <w:r>
              <w:rPr>
                <w:sz w:val="24"/>
              </w:rPr>
              <w:t>PROTEINA</w:t>
            </w:r>
          </w:p>
        </w:tc>
        <w:tc>
          <w:tcPr>
            <w:tcW w:w="2186" w:type="dxa"/>
          </w:tcPr>
          <w:p>
            <w:pPr>
              <w:pStyle w:val="TableParagraph"/>
              <w:spacing w:line="275" w:lineRule="exact"/>
              <w:ind w:left="1139" w:right="406"/>
              <w:rPr>
                <w:sz w:val="24"/>
              </w:rPr>
            </w:pPr>
            <w:r>
              <w:rPr>
                <w:sz w:val="24"/>
              </w:rPr>
              <w:t>22.17</w:t>
            </w:r>
          </w:p>
        </w:tc>
        <w:tc>
          <w:tcPr>
            <w:tcW w:w="1417" w:type="dxa"/>
          </w:tcPr>
          <w:p>
            <w:pPr>
              <w:pStyle w:val="TableParagraph"/>
              <w:spacing w:line="275" w:lineRule="exact"/>
              <w:ind w:left="405" w:right="371"/>
              <w:rPr>
                <w:sz w:val="24"/>
              </w:rPr>
            </w:pPr>
            <w:r>
              <w:rPr>
                <w:sz w:val="24"/>
              </w:rPr>
              <w:t>22.14</w:t>
            </w:r>
          </w:p>
        </w:tc>
        <w:tc>
          <w:tcPr>
            <w:tcW w:w="1219" w:type="dxa"/>
          </w:tcPr>
          <w:p>
            <w:pPr>
              <w:pStyle w:val="TableParagraph"/>
              <w:spacing w:line="275" w:lineRule="exact"/>
              <w:ind w:right="330"/>
              <w:jc w:val="right"/>
              <w:rPr>
                <w:sz w:val="24"/>
              </w:rPr>
            </w:pPr>
            <w:r>
              <w:rPr>
                <w:sz w:val="24"/>
              </w:rPr>
              <w:t>0.39</w:t>
            </w:r>
          </w:p>
        </w:tc>
        <w:tc>
          <w:tcPr>
            <w:tcW w:w="1002" w:type="dxa"/>
          </w:tcPr>
          <w:p>
            <w:pPr>
              <w:pStyle w:val="TableParagraph"/>
              <w:spacing w:line="275" w:lineRule="exact"/>
              <w:ind w:left="286" w:right="208"/>
              <w:rPr>
                <w:sz w:val="24"/>
              </w:rPr>
            </w:pPr>
            <w:r>
              <w:rPr>
                <w:sz w:val="24"/>
              </w:rPr>
              <w:t>0.96</w:t>
            </w:r>
          </w:p>
        </w:tc>
      </w:tr>
      <w:tr>
        <w:trPr>
          <w:trHeight w:val="300" w:hRule="exact"/>
        </w:trPr>
        <w:tc>
          <w:tcPr>
            <w:tcW w:w="3032" w:type="dxa"/>
          </w:tcPr>
          <w:p>
            <w:pPr>
              <w:pStyle w:val="TableParagraph"/>
              <w:spacing w:line="275" w:lineRule="exact"/>
              <w:ind w:left="84"/>
              <w:jc w:val="left"/>
              <w:rPr>
                <w:sz w:val="24"/>
              </w:rPr>
            </w:pPr>
            <w:r>
              <w:rPr>
                <w:sz w:val="24"/>
              </w:rPr>
              <w:t>GRASA</w:t>
            </w:r>
          </w:p>
        </w:tc>
        <w:tc>
          <w:tcPr>
            <w:tcW w:w="2186" w:type="dxa"/>
          </w:tcPr>
          <w:p>
            <w:pPr>
              <w:pStyle w:val="TableParagraph"/>
              <w:spacing w:line="275" w:lineRule="exact"/>
              <w:ind w:left="1139" w:right="404"/>
              <w:rPr>
                <w:sz w:val="24"/>
              </w:rPr>
            </w:pPr>
            <w:r>
              <w:rPr>
                <w:sz w:val="24"/>
              </w:rPr>
              <w:t>3.01</w:t>
            </w:r>
          </w:p>
        </w:tc>
        <w:tc>
          <w:tcPr>
            <w:tcW w:w="1417" w:type="dxa"/>
          </w:tcPr>
          <w:p>
            <w:pPr>
              <w:pStyle w:val="TableParagraph"/>
              <w:spacing w:line="275" w:lineRule="exact"/>
              <w:ind w:left="403" w:right="371"/>
              <w:rPr>
                <w:sz w:val="24"/>
              </w:rPr>
            </w:pPr>
            <w:r>
              <w:rPr>
                <w:sz w:val="24"/>
              </w:rPr>
              <w:t>3.2</w:t>
            </w:r>
          </w:p>
        </w:tc>
        <w:tc>
          <w:tcPr>
            <w:tcW w:w="1219" w:type="dxa"/>
          </w:tcPr>
          <w:p>
            <w:pPr>
              <w:pStyle w:val="TableParagraph"/>
              <w:spacing w:line="275" w:lineRule="exact"/>
              <w:ind w:right="330"/>
              <w:jc w:val="right"/>
              <w:rPr>
                <w:sz w:val="24"/>
              </w:rPr>
            </w:pPr>
            <w:r>
              <w:rPr>
                <w:sz w:val="24"/>
              </w:rPr>
              <w:t>0.20</w:t>
            </w:r>
          </w:p>
        </w:tc>
        <w:tc>
          <w:tcPr>
            <w:tcW w:w="1002" w:type="dxa"/>
          </w:tcPr>
          <w:p>
            <w:pPr>
              <w:pStyle w:val="TableParagraph"/>
              <w:spacing w:line="275" w:lineRule="exact"/>
              <w:ind w:left="286" w:right="208"/>
              <w:rPr>
                <w:sz w:val="24"/>
              </w:rPr>
            </w:pPr>
            <w:r>
              <w:rPr>
                <w:sz w:val="24"/>
              </w:rPr>
              <w:t>0.54</w:t>
            </w:r>
          </w:p>
        </w:tc>
      </w:tr>
      <w:tr>
        <w:trPr>
          <w:trHeight w:val="284" w:hRule="exact"/>
        </w:trPr>
        <w:tc>
          <w:tcPr>
            <w:tcW w:w="3032" w:type="dxa"/>
            <w:tcBorders>
              <w:bottom w:val="single" w:sz="4" w:space="0" w:color="000000"/>
            </w:tcBorders>
          </w:tcPr>
          <w:p>
            <w:pPr>
              <w:pStyle w:val="TableParagraph"/>
              <w:spacing w:line="275" w:lineRule="exact"/>
              <w:ind w:left="84"/>
              <w:jc w:val="left"/>
              <w:rPr>
                <w:sz w:val="24"/>
              </w:rPr>
            </w:pPr>
            <w:r>
              <w:rPr>
                <w:sz w:val="24"/>
              </w:rPr>
              <w:t>CENIZAS</w:t>
            </w:r>
          </w:p>
        </w:tc>
        <w:tc>
          <w:tcPr>
            <w:tcW w:w="2186" w:type="dxa"/>
            <w:tcBorders>
              <w:bottom w:val="single" w:sz="4" w:space="0" w:color="000000"/>
            </w:tcBorders>
          </w:tcPr>
          <w:p>
            <w:pPr>
              <w:pStyle w:val="TableParagraph"/>
              <w:spacing w:line="275" w:lineRule="exact"/>
              <w:ind w:left="1139" w:right="404"/>
              <w:rPr>
                <w:sz w:val="24"/>
              </w:rPr>
            </w:pPr>
            <w:r>
              <w:rPr>
                <w:sz w:val="24"/>
              </w:rPr>
              <w:t>1.17</w:t>
            </w:r>
          </w:p>
        </w:tc>
        <w:tc>
          <w:tcPr>
            <w:tcW w:w="1417" w:type="dxa"/>
            <w:tcBorders>
              <w:bottom w:val="single" w:sz="4" w:space="0" w:color="000000"/>
            </w:tcBorders>
          </w:tcPr>
          <w:p>
            <w:pPr>
              <w:pStyle w:val="TableParagraph"/>
              <w:spacing w:line="275" w:lineRule="exact"/>
              <w:ind w:left="403" w:right="371"/>
              <w:rPr>
                <w:sz w:val="24"/>
              </w:rPr>
            </w:pPr>
            <w:r>
              <w:rPr>
                <w:sz w:val="24"/>
              </w:rPr>
              <w:t>1.04</w:t>
            </w:r>
          </w:p>
        </w:tc>
        <w:tc>
          <w:tcPr>
            <w:tcW w:w="1219" w:type="dxa"/>
            <w:tcBorders>
              <w:bottom w:val="single" w:sz="4" w:space="0" w:color="000000"/>
            </w:tcBorders>
          </w:tcPr>
          <w:p>
            <w:pPr>
              <w:pStyle w:val="TableParagraph"/>
              <w:spacing w:line="275" w:lineRule="exact"/>
              <w:ind w:right="330"/>
              <w:jc w:val="right"/>
              <w:rPr>
                <w:sz w:val="24"/>
              </w:rPr>
            </w:pPr>
            <w:r>
              <w:rPr>
                <w:sz w:val="24"/>
              </w:rPr>
              <w:t>0.07</w:t>
            </w:r>
          </w:p>
        </w:tc>
        <w:tc>
          <w:tcPr>
            <w:tcW w:w="1002" w:type="dxa"/>
            <w:tcBorders>
              <w:bottom w:val="single" w:sz="4" w:space="0" w:color="000000"/>
            </w:tcBorders>
          </w:tcPr>
          <w:p>
            <w:pPr>
              <w:pStyle w:val="TableParagraph"/>
              <w:spacing w:line="275" w:lineRule="exact"/>
              <w:ind w:left="286" w:right="208"/>
              <w:rPr>
                <w:sz w:val="24"/>
              </w:rPr>
            </w:pPr>
            <w:r>
              <w:rPr>
                <w:sz w:val="24"/>
              </w:rPr>
              <w:t>0.24</w:t>
            </w:r>
          </w:p>
        </w:tc>
      </w:tr>
    </w:tbl>
    <w:p>
      <w:pPr>
        <w:spacing w:line="251" w:lineRule="exact" w:before="0"/>
        <w:ind w:left="872" w:right="0" w:firstLine="0"/>
        <w:jc w:val="left"/>
        <w:rPr>
          <w:sz w:val="20"/>
        </w:rPr>
      </w:pPr>
      <w:r>
        <w:rPr>
          <w:sz w:val="22"/>
        </w:rPr>
        <w:t>VII Región Lerma, XII Región, </w:t>
      </w:r>
      <w:r>
        <w:rPr>
          <w:sz w:val="20"/>
        </w:rPr>
        <w:t>EEM Error Estándar de la Media. p, probabilidad p&lt;0.05.</w:t>
      </w:r>
    </w:p>
    <w:p>
      <w:pPr>
        <w:spacing w:after="0" w:line="251" w:lineRule="exact"/>
        <w:jc w:val="left"/>
        <w:rPr>
          <w:sz w:val="20"/>
        </w:rPr>
        <w:sectPr>
          <w:pgSz w:w="12240" w:h="15840"/>
          <w:pgMar w:header="0" w:footer="1386" w:top="1500" w:bottom="1580" w:left="1720" w:right="1420"/>
        </w:sectPr>
      </w:pPr>
    </w:p>
    <w:p>
      <w:pPr>
        <w:pStyle w:val="BodyText"/>
        <w:rPr>
          <w:sz w:val="20"/>
        </w:rPr>
      </w:pPr>
    </w:p>
    <w:p>
      <w:pPr>
        <w:pStyle w:val="BodyText"/>
        <w:rPr>
          <w:sz w:val="20"/>
        </w:rPr>
      </w:pPr>
    </w:p>
    <w:p>
      <w:pPr>
        <w:pStyle w:val="BodyText"/>
        <w:spacing w:before="5"/>
        <w:rPr>
          <w:sz w:val="28"/>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3"/>
        <w:gridCol w:w="780"/>
        <w:gridCol w:w="783"/>
        <w:gridCol w:w="784"/>
        <w:gridCol w:w="784"/>
        <w:gridCol w:w="783"/>
        <w:gridCol w:w="784"/>
        <w:gridCol w:w="791"/>
        <w:gridCol w:w="695"/>
        <w:gridCol w:w="649"/>
      </w:tblGrid>
      <w:tr>
        <w:trPr>
          <w:trHeight w:val="245" w:hRule="exact"/>
        </w:trPr>
        <w:tc>
          <w:tcPr>
            <w:tcW w:w="8855" w:type="dxa"/>
            <w:gridSpan w:val="10"/>
            <w:tcBorders>
              <w:bottom w:val="single" w:sz="4" w:space="0" w:color="000000"/>
            </w:tcBorders>
          </w:tcPr>
          <w:p>
            <w:pPr>
              <w:pStyle w:val="TableParagraph"/>
              <w:spacing w:line="204" w:lineRule="exact"/>
              <w:ind w:left="585"/>
              <w:jc w:val="left"/>
              <w:rPr>
                <w:sz w:val="20"/>
              </w:rPr>
            </w:pPr>
            <w:r>
              <w:rPr>
                <w:sz w:val="20"/>
              </w:rPr>
              <w:t>Cuadro 15 Efecto de la localidad en la conmposiscion nutricional de la carne de conejo</w:t>
            </w:r>
          </w:p>
        </w:tc>
      </w:tr>
      <w:tr>
        <w:trPr>
          <w:trHeight w:val="310" w:hRule="exact"/>
        </w:trPr>
        <w:tc>
          <w:tcPr>
            <w:tcW w:w="8855" w:type="dxa"/>
            <w:gridSpan w:val="10"/>
            <w:tcBorders>
              <w:top w:val="single" w:sz="4" w:space="0" w:color="000000"/>
            </w:tcBorders>
          </w:tcPr>
          <w:p>
            <w:pPr>
              <w:pStyle w:val="TableParagraph"/>
              <w:spacing w:before="33"/>
              <w:ind w:left="3248" w:right="2573"/>
              <w:rPr>
                <w:sz w:val="20"/>
              </w:rPr>
            </w:pPr>
            <w:r>
              <w:rPr>
                <w:sz w:val="20"/>
              </w:rPr>
              <w:t>LOCALIDAD</w:t>
            </w:r>
          </w:p>
        </w:tc>
      </w:tr>
      <w:tr>
        <w:trPr>
          <w:trHeight w:val="312" w:hRule="exact"/>
        </w:trPr>
        <w:tc>
          <w:tcPr>
            <w:tcW w:w="2023" w:type="dxa"/>
            <w:tcBorders>
              <w:bottom w:val="single" w:sz="4" w:space="0" w:color="000000"/>
            </w:tcBorders>
          </w:tcPr>
          <w:p>
            <w:pPr>
              <w:pStyle w:val="TableParagraph"/>
              <w:spacing w:before="38"/>
              <w:ind w:left="249" w:right="240"/>
              <w:rPr>
                <w:sz w:val="20"/>
              </w:rPr>
            </w:pPr>
            <w:r>
              <w:rPr>
                <w:sz w:val="20"/>
              </w:rPr>
              <w:t>Variable</w:t>
            </w:r>
          </w:p>
        </w:tc>
        <w:tc>
          <w:tcPr>
            <w:tcW w:w="780" w:type="dxa"/>
            <w:tcBorders>
              <w:top w:val="single" w:sz="4" w:space="0" w:color="000000"/>
              <w:bottom w:val="single" w:sz="4" w:space="0" w:color="000000"/>
            </w:tcBorders>
          </w:tcPr>
          <w:p>
            <w:pPr>
              <w:pStyle w:val="TableParagraph"/>
              <w:spacing w:before="33"/>
              <w:ind w:left="3"/>
              <w:rPr>
                <w:sz w:val="20"/>
              </w:rPr>
            </w:pPr>
            <w:r>
              <w:rPr>
                <w:w w:val="99"/>
                <w:sz w:val="20"/>
              </w:rPr>
              <w:t>1</w:t>
            </w:r>
          </w:p>
        </w:tc>
        <w:tc>
          <w:tcPr>
            <w:tcW w:w="783" w:type="dxa"/>
            <w:tcBorders>
              <w:top w:val="single" w:sz="4" w:space="0" w:color="000000"/>
              <w:bottom w:val="single" w:sz="4" w:space="0" w:color="000000"/>
            </w:tcBorders>
          </w:tcPr>
          <w:p>
            <w:pPr>
              <w:pStyle w:val="TableParagraph"/>
              <w:spacing w:before="33"/>
              <w:ind w:left="5"/>
              <w:rPr>
                <w:sz w:val="20"/>
              </w:rPr>
            </w:pPr>
            <w:r>
              <w:rPr>
                <w:w w:val="99"/>
                <w:sz w:val="20"/>
              </w:rPr>
              <w:t>2</w:t>
            </w:r>
          </w:p>
        </w:tc>
        <w:tc>
          <w:tcPr>
            <w:tcW w:w="784" w:type="dxa"/>
            <w:tcBorders>
              <w:top w:val="single" w:sz="4" w:space="0" w:color="000000"/>
              <w:bottom w:val="single" w:sz="4" w:space="0" w:color="000000"/>
            </w:tcBorders>
          </w:tcPr>
          <w:p>
            <w:pPr>
              <w:pStyle w:val="TableParagraph"/>
              <w:spacing w:before="33"/>
              <w:ind w:left="3"/>
              <w:rPr>
                <w:sz w:val="20"/>
              </w:rPr>
            </w:pPr>
            <w:r>
              <w:rPr>
                <w:w w:val="99"/>
                <w:sz w:val="20"/>
              </w:rPr>
              <w:t>3</w:t>
            </w:r>
          </w:p>
        </w:tc>
        <w:tc>
          <w:tcPr>
            <w:tcW w:w="784" w:type="dxa"/>
            <w:tcBorders>
              <w:top w:val="single" w:sz="4" w:space="0" w:color="000000"/>
              <w:bottom w:val="single" w:sz="4" w:space="0" w:color="000000"/>
            </w:tcBorders>
          </w:tcPr>
          <w:p>
            <w:pPr>
              <w:pStyle w:val="TableParagraph"/>
              <w:spacing w:before="33"/>
              <w:ind w:left="6"/>
              <w:rPr>
                <w:sz w:val="20"/>
              </w:rPr>
            </w:pPr>
            <w:r>
              <w:rPr>
                <w:w w:val="99"/>
                <w:sz w:val="20"/>
              </w:rPr>
              <w:t>4</w:t>
            </w:r>
          </w:p>
        </w:tc>
        <w:tc>
          <w:tcPr>
            <w:tcW w:w="783" w:type="dxa"/>
            <w:tcBorders>
              <w:top w:val="single" w:sz="4" w:space="0" w:color="000000"/>
              <w:bottom w:val="single" w:sz="4" w:space="0" w:color="000000"/>
            </w:tcBorders>
          </w:tcPr>
          <w:p>
            <w:pPr>
              <w:pStyle w:val="TableParagraph"/>
              <w:spacing w:before="33"/>
              <w:ind w:left="5"/>
              <w:rPr>
                <w:sz w:val="20"/>
              </w:rPr>
            </w:pPr>
            <w:r>
              <w:rPr>
                <w:w w:val="99"/>
                <w:sz w:val="20"/>
              </w:rPr>
              <w:t>5</w:t>
            </w:r>
          </w:p>
        </w:tc>
        <w:tc>
          <w:tcPr>
            <w:tcW w:w="784" w:type="dxa"/>
            <w:tcBorders>
              <w:top w:val="single" w:sz="4" w:space="0" w:color="000000"/>
              <w:bottom w:val="single" w:sz="4" w:space="0" w:color="000000"/>
            </w:tcBorders>
          </w:tcPr>
          <w:p>
            <w:pPr>
              <w:pStyle w:val="TableParagraph"/>
              <w:spacing w:before="33"/>
              <w:ind w:left="3"/>
              <w:rPr>
                <w:sz w:val="20"/>
              </w:rPr>
            </w:pPr>
            <w:r>
              <w:rPr>
                <w:w w:val="99"/>
                <w:sz w:val="20"/>
              </w:rPr>
              <w:t>6</w:t>
            </w:r>
          </w:p>
        </w:tc>
        <w:tc>
          <w:tcPr>
            <w:tcW w:w="791" w:type="dxa"/>
            <w:tcBorders>
              <w:top w:val="single" w:sz="4" w:space="0" w:color="000000"/>
              <w:bottom w:val="single" w:sz="4" w:space="0" w:color="000000"/>
            </w:tcBorders>
          </w:tcPr>
          <w:p>
            <w:pPr>
              <w:pStyle w:val="TableParagraph"/>
              <w:spacing w:before="33"/>
              <w:rPr>
                <w:sz w:val="20"/>
              </w:rPr>
            </w:pPr>
            <w:r>
              <w:rPr>
                <w:w w:val="99"/>
                <w:sz w:val="20"/>
              </w:rPr>
              <w:t>7</w:t>
            </w:r>
          </w:p>
        </w:tc>
        <w:tc>
          <w:tcPr>
            <w:tcW w:w="695" w:type="dxa"/>
            <w:tcBorders>
              <w:bottom w:val="single" w:sz="4" w:space="0" w:color="000000"/>
            </w:tcBorders>
          </w:tcPr>
          <w:p>
            <w:pPr>
              <w:pStyle w:val="TableParagraph"/>
              <w:spacing w:before="38"/>
              <w:ind w:left="111" w:right="110"/>
              <w:rPr>
                <w:sz w:val="20"/>
              </w:rPr>
            </w:pPr>
            <w:r>
              <w:rPr>
                <w:sz w:val="20"/>
              </w:rPr>
              <w:t>EEM</w:t>
            </w:r>
          </w:p>
        </w:tc>
        <w:tc>
          <w:tcPr>
            <w:tcW w:w="649" w:type="dxa"/>
            <w:tcBorders>
              <w:bottom w:val="single" w:sz="4" w:space="0" w:color="000000"/>
            </w:tcBorders>
          </w:tcPr>
          <w:p>
            <w:pPr>
              <w:pStyle w:val="TableParagraph"/>
              <w:spacing w:before="38"/>
              <w:rPr>
                <w:sz w:val="20"/>
              </w:rPr>
            </w:pPr>
            <w:r>
              <w:rPr>
                <w:w w:val="99"/>
                <w:sz w:val="20"/>
              </w:rPr>
              <w:t>P</w:t>
            </w:r>
          </w:p>
        </w:tc>
      </w:tr>
      <w:tr>
        <w:trPr>
          <w:trHeight w:val="611" w:hRule="exact"/>
        </w:trPr>
        <w:tc>
          <w:tcPr>
            <w:tcW w:w="2023" w:type="dxa"/>
            <w:tcBorders>
              <w:top w:val="single" w:sz="4" w:space="0" w:color="000000"/>
            </w:tcBorders>
          </w:tcPr>
          <w:p>
            <w:pPr>
              <w:pStyle w:val="TableParagraph"/>
              <w:spacing w:before="8"/>
              <w:jc w:val="left"/>
              <w:rPr>
                <w:sz w:val="28"/>
              </w:rPr>
            </w:pPr>
          </w:p>
          <w:p>
            <w:pPr>
              <w:pStyle w:val="TableParagraph"/>
              <w:spacing w:before="1"/>
              <w:ind w:left="252" w:right="240"/>
              <w:rPr>
                <w:sz w:val="20"/>
              </w:rPr>
            </w:pPr>
            <w:r>
              <w:rPr>
                <w:sz w:val="20"/>
              </w:rPr>
              <w:t>MATERIA SECA</w:t>
            </w:r>
          </w:p>
        </w:tc>
        <w:tc>
          <w:tcPr>
            <w:tcW w:w="780" w:type="dxa"/>
            <w:tcBorders>
              <w:top w:val="single" w:sz="4" w:space="0" w:color="000000"/>
            </w:tcBorders>
          </w:tcPr>
          <w:p>
            <w:pPr>
              <w:pStyle w:val="TableParagraph"/>
              <w:spacing w:before="8"/>
              <w:jc w:val="left"/>
              <w:rPr>
                <w:sz w:val="28"/>
              </w:rPr>
            </w:pPr>
          </w:p>
          <w:p>
            <w:pPr>
              <w:pStyle w:val="TableParagraph"/>
              <w:spacing w:before="1"/>
              <w:ind w:left="119" w:right="119"/>
              <w:rPr>
                <w:sz w:val="20"/>
              </w:rPr>
            </w:pPr>
            <w:r>
              <w:rPr>
                <w:sz w:val="20"/>
              </w:rPr>
              <w:t>26.72</w:t>
            </w:r>
          </w:p>
        </w:tc>
        <w:tc>
          <w:tcPr>
            <w:tcW w:w="783" w:type="dxa"/>
            <w:tcBorders>
              <w:top w:val="single" w:sz="4" w:space="0" w:color="000000"/>
            </w:tcBorders>
          </w:tcPr>
          <w:p>
            <w:pPr>
              <w:pStyle w:val="TableParagraph"/>
              <w:spacing w:before="8"/>
              <w:jc w:val="left"/>
              <w:rPr>
                <w:sz w:val="28"/>
              </w:rPr>
            </w:pPr>
          </w:p>
          <w:p>
            <w:pPr>
              <w:pStyle w:val="TableParagraph"/>
              <w:spacing w:before="1"/>
              <w:ind w:left="121" w:right="121"/>
              <w:rPr>
                <w:sz w:val="20"/>
              </w:rPr>
            </w:pPr>
            <w:r>
              <w:rPr>
                <w:sz w:val="20"/>
              </w:rPr>
              <w:t>25.73</w:t>
            </w:r>
          </w:p>
        </w:tc>
        <w:tc>
          <w:tcPr>
            <w:tcW w:w="784" w:type="dxa"/>
            <w:tcBorders>
              <w:top w:val="single" w:sz="4" w:space="0" w:color="000000"/>
            </w:tcBorders>
          </w:tcPr>
          <w:p>
            <w:pPr>
              <w:pStyle w:val="TableParagraph"/>
              <w:spacing w:before="8"/>
              <w:jc w:val="left"/>
              <w:rPr>
                <w:sz w:val="28"/>
              </w:rPr>
            </w:pPr>
          </w:p>
          <w:p>
            <w:pPr>
              <w:pStyle w:val="TableParagraph"/>
              <w:spacing w:before="1"/>
              <w:ind w:left="121" w:right="122"/>
              <w:rPr>
                <w:sz w:val="20"/>
              </w:rPr>
            </w:pPr>
            <w:r>
              <w:rPr>
                <w:sz w:val="20"/>
              </w:rPr>
              <w:t>26.57</w:t>
            </w:r>
          </w:p>
        </w:tc>
        <w:tc>
          <w:tcPr>
            <w:tcW w:w="784" w:type="dxa"/>
            <w:tcBorders>
              <w:top w:val="single" w:sz="4" w:space="0" w:color="000000"/>
            </w:tcBorders>
          </w:tcPr>
          <w:p>
            <w:pPr>
              <w:pStyle w:val="TableParagraph"/>
              <w:spacing w:before="8"/>
              <w:jc w:val="left"/>
              <w:rPr>
                <w:sz w:val="28"/>
              </w:rPr>
            </w:pPr>
          </w:p>
          <w:p>
            <w:pPr>
              <w:pStyle w:val="TableParagraph"/>
              <w:spacing w:before="1"/>
              <w:ind w:left="121" w:right="121"/>
              <w:rPr>
                <w:sz w:val="20"/>
              </w:rPr>
            </w:pPr>
            <w:r>
              <w:rPr>
                <w:sz w:val="20"/>
              </w:rPr>
              <w:t>25.26</w:t>
            </w:r>
          </w:p>
        </w:tc>
        <w:tc>
          <w:tcPr>
            <w:tcW w:w="783" w:type="dxa"/>
            <w:tcBorders>
              <w:top w:val="single" w:sz="4" w:space="0" w:color="000000"/>
            </w:tcBorders>
          </w:tcPr>
          <w:p>
            <w:pPr>
              <w:pStyle w:val="TableParagraph"/>
              <w:spacing w:before="8"/>
              <w:jc w:val="left"/>
              <w:rPr>
                <w:sz w:val="28"/>
              </w:rPr>
            </w:pPr>
          </w:p>
          <w:p>
            <w:pPr>
              <w:pStyle w:val="TableParagraph"/>
              <w:spacing w:before="1"/>
              <w:ind w:left="121" w:right="121"/>
              <w:rPr>
                <w:sz w:val="20"/>
              </w:rPr>
            </w:pPr>
            <w:r>
              <w:rPr>
                <w:sz w:val="20"/>
              </w:rPr>
              <w:t>27.99</w:t>
            </w:r>
          </w:p>
        </w:tc>
        <w:tc>
          <w:tcPr>
            <w:tcW w:w="784" w:type="dxa"/>
            <w:tcBorders>
              <w:top w:val="single" w:sz="4" w:space="0" w:color="000000"/>
            </w:tcBorders>
          </w:tcPr>
          <w:p>
            <w:pPr>
              <w:pStyle w:val="TableParagraph"/>
              <w:spacing w:before="8"/>
              <w:jc w:val="left"/>
              <w:rPr>
                <w:sz w:val="28"/>
              </w:rPr>
            </w:pPr>
          </w:p>
          <w:p>
            <w:pPr>
              <w:pStyle w:val="TableParagraph"/>
              <w:spacing w:before="1"/>
              <w:ind w:left="121" w:right="122"/>
              <w:rPr>
                <w:sz w:val="20"/>
              </w:rPr>
            </w:pPr>
            <w:r>
              <w:rPr>
                <w:sz w:val="20"/>
              </w:rPr>
              <w:t>25.49</w:t>
            </w:r>
          </w:p>
        </w:tc>
        <w:tc>
          <w:tcPr>
            <w:tcW w:w="791" w:type="dxa"/>
            <w:tcBorders>
              <w:top w:val="single" w:sz="4" w:space="0" w:color="000000"/>
            </w:tcBorders>
          </w:tcPr>
          <w:p>
            <w:pPr>
              <w:pStyle w:val="TableParagraph"/>
              <w:spacing w:before="8"/>
              <w:jc w:val="left"/>
              <w:rPr>
                <w:sz w:val="28"/>
              </w:rPr>
            </w:pPr>
          </w:p>
          <w:p>
            <w:pPr>
              <w:pStyle w:val="TableParagraph"/>
              <w:spacing w:before="1"/>
              <w:ind w:left="123" w:right="127"/>
              <w:rPr>
                <w:sz w:val="20"/>
              </w:rPr>
            </w:pPr>
            <w:r>
              <w:rPr>
                <w:sz w:val="20"/>
              </w:rPr>
              <w:t>26.95</w:t>
            </w:r>
          </w:p>
        </w:tc>
        <w:tc>
          <w:tcPr>
            <w:tcW w:w="695" w:type="dxa"/>
            <w:tcBorders>
              <w:top w:val="single" w:sz="4" w:space="0" w:color="000000"/>
            </w:tcBorders>
          </w:tcPr>
          <w:p>
            <w:pPr>
              <w:pStyle w:val="TableParagraph"/>
              <w:spacing w:before="8"/>
              <w:jc w:val="left"/>
              <w:rPr>
                <w:sz w:val="28"/>
              </w:rPr>
            </w:pPr>
          </w:p>
          <w:p>
            <w:pPr>
              <w:pStyle w:val="TableParagraph"/>
              <w:spacing w:before="1"/>
              <w:ind w:left="109" w:right="110"/>
              <w:rPr>
                <w:sz w:val="20"/>
              </w:rPr>
            </w:pPr>
            <w:r>
              <w:rPr>
                <w:sz w:val="20"/>
              </w:rPr>
              <w:t>0.61</w:t>
            </w:r>
          </w:p>
        </w:tc>
        <w:tc>
          <w:tcPr>
            <w:tcW w:w="649" w:type="dxa"/>
            <w:tcBorders>
              <w:top w:val="single" w:sz="4" w:space="0" w:color="000000"/>
            </w:tcBorders>
          </w:tcPr>
          <w:p>
            <w:pPr>
              <w:pStyle w:val="TableParagraph"/>
              <w:spacing w:before="8"/>
              <w:jc w:val="left"/>
              <w:rPr>
                <w:sz w:val="28"/>
              </w:rPr>
            </w:pPr>
          </w:p>
          <w:p>
            <w:pPr>
              <w:pStyle w:val="TableParagraph"/>
              <w:spacing w:before="1"/>
              <w:ind w:left="109" w:right="110"/>
              <w:rPr>
                <w:sz w:val="20"/>
              </w:rPr>
            </w:pPr>
            <w:r>
              <w:rPr>
                <w:sz w:val="20"/>
              </w:rPr>
              <w:t>0.45</w:t>
            </w:r>
          </w:p>
        </w:tc>
      </w:tr>
      <w:tr>
        <w:trPr>
          <w:trHeight w:val="300" w:hRule="exact"/>
        </w:trPr>
        <w:tc>
          <w:tcPr>
            <w:tcW w:w="2023" w:type="dxa"/>
          </w:tcPr>
          <w:p>
            <w:pPr>
              <w:pStyle w:val="TableParagraph"/>
              <w:spacing w:before="24"/>
              <w:ind w:left="251" w:right="240"/>
              <w:rPr>
                <w:sz w:val="20"/>
              </w:rPr>
            </w:pPr>
            <w:r>
              <w:rPr>
                <w:sz w:val="20"/>
              </w:rPr>
              <w:t>HUMEDAD</w:t>
            </w:r>
          </w:p>
        </w:tc>
        <w:tc>
          <w:tcPr>
            <w:tcW w:w="780" w:type="dxa"/>
          </w:tcPr>
          <w:p>
            <w:pPr>
              <w:pStyle w:val="TableParagraph"/>
              <w:spacing w:before="24"/>
              <w:ind w:left="119" w:right="119"/>
              <w:rPr>
                <w:sz w:val="20"/>
              </w:rPr>
            </w:pPr>
            <w:r>
              <w:rPr>
                <w:sz w:val="20"/>
              </w:rPr>
              <w:t>73.28</w:t>
            </w:r>
          </w:p>
        </w:tc>
        <w:tc>
          <w:tcPr>
            <w:tcW w:w="783" w:type="dxa"/>
          </w:tcPr>
          <w:p>
            <w:pPr>
              <w:pStyle w:val="TableParagraph"/>
              <w:spacing w:before="24"/>
              <w:ind w:left="121" w:right="121"/>
              <w:rPr>
                <w:sz w:val="20"/>
              </w:rPr>
            </w:pPr>
            <w:r>
              <w:rPr>
                <w:sz w:val="20"/>
              </w:rPr>
              <w:t>74.27</w:t>
            </w:r>
          </w:p>
        </w:tc>
        <w:tc>
          <w:tcPr>
            <w:tcW w:w="784" w:type="dxa"/>
          </w:tcPr>
          <w:p>
            <w:pPr>
              <w:pStyle w:val="TableParagraph"/>
              <w:spacing w:before="24"/>
              <w:ind w:left="121" w:right="122"/>
              <w:rPr>
                <w:sz w:val="20"/>
              </w:rPr>
            </w:pPr>
            <w:r>
              <w:rPr>
                <w:sz w:val="20"/>
              </w:rPr>
              <w:t>73.43</w:t>
            </w:r>
          </w:p>
        </w:tc>
        <w:tc>
          <w:tcPr>
            <w:tcW w:w="784" w:type="dxa"/>
          </w:tcPr>
          <w:p>
            <w:pPr>
              <w:pStyle w:val="TableParagraph"/>
              <w:spacing w:before="24"/>
              <w:ind w:left="121" w:right="121"/>
              <w:rPr>
                <w:sz w:val="20"/>
              </w:rPr>
            </w:pPr>
            <w:r>
              <w:rPr>
                <w:sz w:val="20"/>
              </w:rPr>
              <w:t>74.74</w:t>
            </w:r>
          </w:p>
        </w:tc>
        <w:tc>
          <w:tcPr>
            <w:tcW w:w="783" w:type="dxa"/>
          </w:tcPr>
          <w:p>
            <w:pPr>
              <w:pStyle w:val="TableParagraph"/>
              <w:spacing w:before="24"/>
              <w:ind w:left="121" w:right="121"/>
              <w:rPr>
                <w:sz w:val="20"/>
              </w:rPr>
            </w:pPr>
            <w:r>
              <w:rPr>
                <w:sz w:val="20"/>
              </w:rPr>
              <w:t>72.01</w:t>
            </w:r>
          </w:p>
        </w:tc>
        <w:tc>
          <w:tcPr>
            <w:tcW w:w="784" w:type="dxa"/>
          </w:tcPr>
          <w:p>
            <w:pPr>
              <w:pStyle w:val="TableParagraph"/>
              <w:spacing w:before="24"/>
              <w:ind w:left="121" w:right="122"/>
              <w:rPr>
                <w:sz w:val="20"/>
              </w:rPr>
            </w:pPr>
            <w:r>
              <w:rPr>
                <w:sz w:val="20"/>
              </w:rPr>
              <w:t>74.51</w:t>
            </w:r>
          </w:p>
        </w:tc>
        <w:tc>
          <w:tcPr>
            <w:tcW w:w="791" w:type="dxa"/>
          </w:tcPr>
          <w:p>
            <w:pPr>
              <w:pStyle w:val="TableParagraph"/>
              <w:spacing w:before="24"/>
              <w:ind w:left="123" w:right="127"/>
              <w:rPr>
                <w:sz w:val="20"/>
              </w:rPr>
            </w:pPr>
            <w:r>
              <w:rPr>
                <w:sz w:val="20"/>
              </w:rPr>
              <w:t>73.05</w:t>
            </w:r>
          </w:p>
        </w:tc>
        <w:tc>
          <w:tcPr>
            <w:tcW w:w="695" w:type="dxa"/>
          </w:tcPr>
          <w:p>
            <w:pPr>
              <w:pStyle w:val="TableParagraph"/>
              <w:spacing w:before="24"/>
              <w:ind w:left="109" w:right="110"/>
              <w:rPr>
                <w:sz w:val="20"/>
              </w:rPr>
            </w:pPr>
            <w:r>
              <w:rPr>
                <w:sz w:val="20"/>
              </w:rPr>
              <w:t>0.61</w:t>
            </w:r>
          </w:p>
        </w:tc>
        <w:tc>
          <w:tcPr>
            <w:tcW w:w="649" w:type="dxa"/>
          </w:tcPr>
          <w:p>
            <w:pPr>
              <w:pStyle w:val="TableParagraph"/>
              <w:spacing w:before="24"/>
              <w:ind w:left="109" w:right="110"/>
              <w:rPr>
                <w:sz w:val="20"/>
              </w:rPr>
            </w:pPr>
            <w:r>
              <w:rPr>
                <w:sz w:val="20"/>
              </w:rPr>
              <w:t>0.45</w:t>
            </w:r>
          </w:p>
        </w:tc>
      </w:tr>
      <w:tr>
        <w:trPr>
          <w:trHeight w:val="300" w:hRule="exact"/>
        </w:trPr>
        <w:tc>
          <w:tcPr>
            <w:tcW w:w="2023" w:type="dxa"/>
          </w:tcPr>
          <w:p>
            <w:pPr>
              <w:pStyle w:val="TableParagraph"/>
              <w:spacing w:before="24"/>
              <w:ind w:left="250" w:right="240"/>
              <w:rPr>
                <w:sz w:val="20"/>
              </w:rPr>
            </w:pPr>
            <w:r>
              <w:rPr>
                <w:sz w:val="20"/>
              </w:rPr>
              <w:t>PROTEINA</w:t>
            </w:r>
          </w:p>
        </w:tc>
        <w:tc>
          <w:tcPr>
            <w:tcW w:w="780" w:type="dxa"/>
          </w:tcPr>
          <w:p>
            <w:pPr>
              <w:pStyle w:val="TableParagraph"/>
              <w:spacing w:before="24"/>
              <w:ind w:left="119" w:right="119"/>
              <w:rPr>
                <w:sz w:val="20"/>
              </w:rPr>
            </w:pPr>
            <w:r>
              <w:rPr>
                <w:sz w:val="20"/>
              </w:rPr>
              <w:t>22.63</w:t>
            </w:r>
          </w:p>
        </w:tc>
        <w:tc>
          <w:tcPr>
            <w:tcW w:w="783" w:type="dxa"/>
          </w:tcPr>
          <w:p>
            <w:pPr>
              <w:pStyle w:val="TableParagraph"/>
              <w:spacing w:before="24"/>
              <w:ind w:left="121" w:right="121"/>
              <w:rPr>
                <w:sz w:val="20"/>
              </w:rPr>
            </w:pPr>
            <w:r>
              <w:rPr>
                <w:sz w:val="20"/>
              </w:rPr>
              <w:t>21.96</w:t>
            </w:r>
          </w:p>
        </w:tc>
        <w:tc>
          <w:tcPr>
            <w:tcW w:w="784" w:type="dxa"/>
          </w:tcPr>
          <w:p>
            <w:pPr>
              <w:pStyle w:val="TableParagraph"/>
              <w:spacing w:before="24"/>
              <w:ind w:left="121" w:right="122"/>
              <w:rPr>
                <w:sz w:val="20"/>
              </w:rPr>
            </w:pPr>
            <w:r>
              <w:rPr>
                <w:sz w:val="20"/>
              </w:rPr>
              <w:t>21.45</w:t>
            </w:r>
          </w:p>
        </w:tc>
        <w:tc>
          <w:tcPr>
            <w:tcW w:w="784" w:type="dxa"/>
          </w:tcPr>
          <w:p>
            <w:pPr>
              <w:pStyle w:val="TableParagraph"/>
              <w:spacing w:before="24"/>
              <w:ind w:left="121" w:right="121"/>
              <w:rPr>
                <w:sz w:val="20"/>
              </w:rPr>
            </w:pPr>
            <w:r>
              <w:rPr>
                <w:sz w:val="20"/>
              </w:rPr>
              <w:t>21.18</w:t>
            </w:r>
          </w:p>
        </w:tc>
        <w:tc>
          <w:tcPr>
            <w:tcW w:w="783" w:type="dxa"/>
          </w:tcPr>
          <w:p>
            <w:pPr>
              <w:pStyle w:val="TableParagraph"/>
              <w:spacing w:before="24"/>
              <w:ind w:left="121" w:right="121"/>
              <w:rPr>
                <w:sz w:val="20"/>
              </w:rPr>
            </w:pPr>
            <w:r>
              <w:rPr>
                <w:sz w:val="20"/>
              </w:rPr>
              <w:t>23.68</w:t>
            </w:r>
          </w:p>
        </w:tc>
        <w:tc>
          <w:tcPr>
            <w:tcW w:w="784" w:type="dxa"/>
          </w:tcPr>
          <w:p>
            <w:pPr>
              <w:pStyle w:val="TableParagraph"/>
              <w:spacing w:before="24"/>
              <w:ind w:left="121" w:right="122"/>
              <w:rPr>
                <w:sz w:val="20"/>
              </w:rPr>
            </w:pPr>
            <w:r>
              <w:rPr>
                <w:sz w:val="20"/>
              </w:rPr>
              <w:t>21.77</w:t>
            </w:r>
          </w:p>
        </w:tc>
        <w:tc>
          <w:tcPr>
            <w:tcW w:w="791" w:type="dxa"/>
          </w:tcPr>
          <w:p>
            <w:pPr>
              <w:pStyle w:val="TableParagraph"/>
              <w:spacing w:before="24"/>
              <w:ind w:left="123" w:right="124"/>
              <w:rPr>
                <w:sz w:val="20"/>
              </w:rPr>
            </w:pPr>
            <w:r>
              <w:rPr>
                <w:sz w:val="20"/>
              </w:rPr>
              <w:t>23.5</w:t>
            </w:r>
          </w:p>
        </w:tc>
        <w:tc>
          <w:tcPr>
            <w:tcW w:w="695" w:type="dxa"/>
          </w:tcPr>
          <w:p>
            <w:pPr>
              <w:pStyle w:val="TableParagraph"/>
              <w:spacing w:before="24"/>
              <w:ind w:left="109" w:right="110"/>
              <w:rPr>
                <w:sz w:val="20"/>
              </w:rPr>
            </w:pPr>
            <w:r>
              <w:rPr>
                <w:sz w:val="20"/>
              </w:rPr>
              <w:t>0.57</w:t>
            </w:r>
          </w:p>
        </w:tc>
        <w:tc>
          <w:tcPr>
            <w:tcW w:w="649" w:type="dxa"/>
          </w:tcPr>
          <w:p>
            <w:pPr>
              <w:pStyle w:val="TableParagraph"/>
              <w:spacing w:before="24"/>
              <w:ind w:left="109" w:right="110"/>
              <w:rPr>
                <w:sz w:val="20"/>
              </w:rPr>
            </w:pPr>
            <w:r>
              <w:rPr>
                <w:sz w:val="20"/>
              </w:rPr>
              <w:t>0.40</w:t>
            </w:r>
          </w:p>
        </w:tc>
      </w:tr>
      <w:tr>
        <w:trPr>
          <w:trHeight w:val="300" w:hRule="exact"/>
        </w:trPr>
        <w:tc>
          <w:tcPr>
            <w:tcW w:w="2023" w:type="dxa"/>
          </w:tcPr>
          <w:p>
            <w:pPr>
              <w:pStyle w:val="TableParagraph"/>
              <w:spacing w:before="24"/>
              <w:ind w:left="250" w:right="240"/>
              <w:rPr>
                <w:sz w:val="20"/>
              </w:rPr>
            </w:pPr>
            <w:r>
              <w:rPr>
                <w:sz w:val="20"/>
              </w:rPr>
              <w:t>GRASA</w:t>
            </w:r>
          </w:p>
        </w:tc>
        <w:tc>
          <w:tcPr>
            <w:tcW w:w="780" w:type="dxa"/>
          </w:tcPr>
          <w:p>
            <w:pPr>
              <w:pStyle w:val="TableParagraph"/>
              <w:spacing w:before="24"/>
              <w:ind w:left="119" w:right="119"/>
              <w:rPr>
                <w:sz w:val="20"/>
              </w:rPr>
            </w:pPr>
            <w:r>
              <w:rPr>
                <w:sz w:val="20"/>
              </w:rPr>
              <w:t>3.05</w:t>
            </w:r>
          </w:p>
        </w:tc>
        <w:tc>
          <w:tcPr>
            <w:tcW w:w="783" w:type="dxa"/>
          </w:tcPr>
          <w:p>
            <w:pPr>
              <w:pStyle w:val="TableParagraph"/>
              <w:spacing w:before="24"/>
              <w:ind w:left="121" w:right="119"/>
              <w:rPr>
                <w:sz w:val="20"/>
              </w:rPr>
            </w:pPr>
            <w:r>
              <w:rPr>
                <w:sz w:val="20"/>
              </w:rPr>
              <w:t>3.04</w:t>
            </w:r>
          </w:p>
        </w:tc>
        <w:tc>
          <w:tcPr>
            <w:tcW w:w="784" w:type="dxa"/>
          </w:tcPr>
          <w:p>
            <w:pPr>
              <w:pStyle w:val="TableParagraph"/>
              <w:spacing w:before="24"/>
              <w:ind w:left="121" w:right="120"/>
              <w:rPr>
                <w:sz w:val="20"/>
              </w:rPr>
            </w:pPr>
            <w:r>
              <w:rPr>
                <w:sz w:val="20"/>
              </w:rPr>
              <w:t>2.84</w:t>
            </w:r>
          </w:p>
        </w:tc>
        <w:tc>
          <w:tcPr>
            <w:tcW w:w="784" w:type="dxa"/>
          </w:tcPr>
          <w:p>
            <w:pPr>
              <w:pStyle w:val="TableParagraph"/>
              <w:spacing w:before="24"/>
              <w:ind w:left="121" w:right="118"/>
              <w:rPr>
                <w:sz w:val="20"/>
              </w:rPr>
            </w:pPr>
            <w:r>
              <w:rPr>
                <w:sz w:val="20"/>
              </w:rPr>
              <w:t>2.8</w:t>
            </w:r>
          </w:p>
        </w:tc>
        <w:tc>
          <w:tcPr>
            <w:tcW w:w="783" w:type="dxa"/>
          </w:tcPr>
          <w:p>
            <w:pPr>
              <w:pStyle w:val="TableParagraph"/>
              <w:spacing w:before="24"/>
              <w:ind w:left="121" w:right="119"/>
              <w:rPr>
                <w:sz w:val="20"/>
              </w:rPr>
            </w:pPr>
            <w:r>
              <w:rPr>
                <w:sz w:val="20"/>
              </w:rPr>
              <w:t>3.77</w:t>
            </w:r>
          </w:p>
        </w:tc>
        <w:tc>
          <w:tcPr>
            <w:tcW w:w="784" w:type="dxa"/>
          </w:tcPr>
          <w:p>
            <w:pPr>
              <w:pStyle w:val="TableParagraph"/>
              <w:spacing w:before="24"/>
              <w:ind w:left="121" w:right="120"/>
              <w:rPr>
                <w:sz w:val="20"/>
              </w:rPr>
            </w:pPr>
            <w:r>
              <w:rPr>
                <w:sz w:val="20"/>
              </w:rPr>
              <w:t>3.43</w:t>
            </w:r>
          </w:p>
        </w:tc>
        <w:tc>
          <w:tcPr>
            <w:tcW w:w="791" w:type="dxa"/>
          </w:tcPr>
          <w:p>
            <w:pPr>
              <w:pStyle w:val="TableParagraph"/>
              <w:spacing w:before="24"/>
              <w:ind w:left="123" w:right="124"/>
              <w:rPr>
                <w:sz w:val="20"/>
              </w:rPr>
            </w:pPr>
            <w:r>
              <w:rPr>
                <w:sz w:val="20"/>
              </w:rPr>
              <w:t>3.04</w:t>
            </w:r>
          </w:p>
        </w:tc>
        <w:tc>
          <w:tcPr>
            <w:tcW w:w="695" w:type="dxa"/>
          </w:tcPr>
          <w:p>
            <w:pPr>
              <w:pStyle w:val="TableParagraph"/>
              <w:spacing w:before="24"/>
              <w:ind w:left="109" w:right="110"/>
              <w:rPr>
                <w:sz w:val="20"/>
              </w:rPr>
            </w:pPr>
            <w:r>
              <w:rPr>
                <w:sz w:val="20"/>
              </w:rPr>
              <w:t>0.31</w:t>
            </w:r>
          </w:p>
        </w:tc>
        <w:tc>
          <w:tcPr>
            <w:tcW w:w="649" w:type="dxa"/>
          </w:tcPr>
          <w:p>
            <w:pPr>
              <w:pStyle w:val="TableParagraph"/>
              <w:spacing w:before="24"/>
              <w:ind w:left="109" w:right="110"/>
              <w:rPr>
                <w:sz w:val="20"/>
              </w:rPr>
            </w:pPr>
            <w:r>
              <w:rPr>
                <w:sz w:val="20"/>
              </w:rPr>
              <w:t>0.85</w:t>
            </w:r>
          </w:p>
        </w:tc>
      </w:tr>
      <w:tr>
        <w:trPr>
          <w:trHeight w:val="299" w:hRule="exact"/>
        </w:trPr>
        <w:tc>
          <w:tcPr>
            <w:tcW w:w="2023" w:type="dxa"/>
            <w:tcBorders>
              <w:bottom w:val="single" w:sz="4" w:space="0" w:color="000000"/>
            </w:tcBorders>
          </w:tcPr>
          <w:p>
            <w:pPr>
              <w:pStyle w:val="TableParagraph"/>
              <w:spacing w:before="24"/>
              <w:ind w:left="252" w:right="240"/>
              <w:rPr>
                <w:sz w:val="20"/>
              </w:rPr>
            </w:pPr>
            <w:r>
              <w:rPr>
                <w:sz w:val="20"/>
              </w:rPr>
              <w:t>CENIZAS</w:t>
            </w:r>
          </w:p>
        </w:tc>
        <w:tc>
          <w:tcPr>
            <w:tcW w:w="780" w:type="dxa"/>
            <w:tcBorders>
              <w:bottom w:val="single" w:sz="4" w:space="0" w:color="000000"/>
            </w:tcBorders>
          </w:tcPr>
          <w:p>
            <w:pPr>
              <w:pStyle w:val="TableParagraph"/>
              <w:spacing w:before="24"/>
              <w:ind w:left="119" w:right="119"/>
              <w:rPr>
                <w:sz w:val="20"/>
              </w:rPr>
            </w:pPr>
            <w:r>
              <w:rPr>
                <w:sz w:val="20"/>
              </w:rPr>
              <w:t>1.09</w:t>
            </w:r>
          </w:p>
        </w:tc>
        <w:tc>
          <w:tcPr>
            <w:tcW w:w="783" w:type="dxa"/>
            <w:tcBorders>
              <w:bottom w:val="single" w:sz="4" w:space="0" w:color="000000"/>
            </w:tcBorders>
          </w:tcPr>
          <w:p>
            <w:pPr>
              <w:pStyle w:val="TableParagraph"/>
              <w:spacing w:before="24"/>
              <w:ind w:left="121" w:right="119"/>
              <w:rPr>
                <w:sz w:val="20"/>
              </w:rPr>
            </w:pPr>
            <w:r>
              <w:rPr>
                <w:sz w:val="20"/>
              </w:rPr>
              <w:t>1.32</w:t>
            </w:r>
          </w:p>
        </w:tc>
        <w:tc>
          <w:tcPr>
            <w:tcW w:w="784" w:type="dxa"/>
            <w:tcBorders>
              <w:bottom w:val="single" w:sz="4" w:space="0" w:color="000000"/>
            </w:tcBorders>
          </w:tcPr>
          <w:p>
            <w:pPr>
              <w:pStyle w:val="TableParagraph"/>
              <w:spacing w:before="24"/>
              <w:ind w:left="121" w:right="120"/>
              <w:rPr>
                <w:sz w:val="20"/>
              </w:rPr>
            </w:pPr>
            <w:r>
              <w:rPr>
                <w:sz w:val="20"/>
              </w:rPr>
              <w:t>1.08</w:t>
            </w:r>
          </w:p>
        </w:tc>
        <w:tc>
          <w:tcPr>
            <w:tcW w:w="784" w:type="dxa"/>
            <w:tcBorders>
              <w:bottom w:val="single" w:sz="4" w:space="0" w:color="000000"/>
            </w:tcBorders>
          </w:tcPr>
          <w:p>
            <w:pPr>
              <w:pStyle w:val="TableParagraph"/>
              <w:spacing w:before="24"/>
              <w:ind w:left="121" w:right="118"/>
              <w:rPr>
                <w:sz w:val="20"/>
              </w:rPr>
            </w:pPr>
            <w:r>
              <w:rPr>
                <w:sz w:val="20"/>
              </w:rPr>
              <w:t>1.09</w:t>
            </w:r>
          </w:p>
        </w:tc>
        <w:tc>
          <w:tcPr>
            <w:tcW w:w="783" w:type="dxa"/>
            <w:tcBorders>
              <w:bottom w:val="single" w:sz="4" w:space="0" w:color="000000"/>
            </w:tcBorders>
          </w:tcPr>
          <w:p>
            <w:pPr>
              <w:pStyle w:val="TableParagraph"/>
              <w:spacing w:before="24"/>
              <w:ind w:left="121" w:right="119"/>
              <w:rPr>
                <w:sz w:val="20"/>
              </w:rPr>
            </w:pPr>
            <w:r>
              <w:rPr>
                <w:sz w:val="20"/>
              </w:rPr>
              <w:t>0.86</w:t>
            </w:r>
          </w:p>
        </w:tc>
        <w:tc>
          <w:tcPr>
            <w:tcW w:w="784" w:type="dxa"/>
            <w:tcBorders>
              <w:bottom w:val="single" w:sz="4" w:space="0" w:color="000000"/>
            </w:tcBorders>
          </w:tcPr>
          <w:p>
            <w:pPr>
              <w:pStyle w:val="TableParagraph"/>
              <w:spacing w:before="24"/>
              <w:ind w:left="121" w:right="120"/>
              <w:rPr>
                <w:sz w:val="20"/>
              </w:rPr>
            </w:pPr>
            <w:r>
              <w:rPr>
                <w:sz w:val="20"/>
              </w:rPr>
              <w:t>1.08</w:t>
            </w:r>
          </w:p>
        </w:tc>
        <w:tc>
          <w:tcPr>
            <w:tcW w:w="791" w:type="dxa"/>
            <w:tcBorders>
              <w:bottom w:val="single" w:sz="4" w:space="0" w:color="000000"/>
            </w:tcBorders>
          </w:tcPr>
          <w:p>
            <w:pPr>
              <w:pStyle w:val="TableParagraph"/>
              <w:spacing w:before="24"/>
              <w:ind w:left="123" w:right="124"/>
              <w:rPr>
                <w:sz w:val="20"/>
              </w:rPr>
            </w:pPr>
            <w:r>
              <w:rPr>
                <w:sz w:val="20"/>
              </w:rPr>
              <w:t>1.32</w:t>
            </w:r>
          </w:p>
        </w:tc>
        <w:tc>
          <w:tcPr>
            <w:tcW w:w="695" w:type="dxa"/>
            <w:tcBorders>
              <w:bottom w:val="single" w:sz="4" w:space="0" w:color="000000"/>
            </w:tcBorders>
          </w:tcPr>
          <w:p>
            <w:pPr>
              <w:pStyle w:val="TableParagraph"/>
              <w:spacing w:before="24"/>
              <w:ind w:left="109" w:right="110"/>
              <w:rPr>
                <w:sz w:val="20"/>
              </w:rPr>
            </w:pPr>
            <w:r>
              <w:rPr>
                <w:sz w:val="20"/>
              </w:rPr>
              <w:t>0.11</w:t>
            </w:r>
          </w:p>
        </w:tc>
        <w:tc>
          <w:tcPr>
            <w:tcW w:w="649" w:type="dxa"/>
            <w:tcBorders>
              <w:bottom w:val="single" w:sz="4" w:space="0" w:color="000000"/>
            </w:tcBorders>
          </w:tcPr>
          <w:p>
            <w:pPr>
              <w:pStyle w:val="TableParagraph"/>
              <w:spacing w:before="24"/>
              <w:ind w:left="109" w:right="110"/>
              <w:rPr>
                <w:sz w:val="20"/>
              </w:rPr>
            </w:pPr>
            <w:r>
              <w:rPr>
                <w:sz w:val="20"/>
              </w:rPr>
              <w:t>0.64</w:t>
            </w:r>
          </w:p>
        </w:tc>
      </w:tr>
    </w:tbl>
    <w:p>
      <w:pPr>
        <w:spacing w:line="240" w:lineRule="auto" w:before="0"/>
        <w:ind w:left="872" w:right="104" w:firstLine="0"/>
        <w:jc w:val="both"/>
        <w:rPr>
          <w:sz w:val="20"/>
        </w:rPr>
      </w:pPr>
      <w:r>
        <w:rPr>
          <w:sz w:val="20"/>
        </w:rPr>
        <w:t>VII</w:t>
      </w:r>
      <w:r>
        <w:rPr>
          <w:spacing w:val="-9"/>
          <w:sz w:val="20"/>
        </w:rPr>
        <w:t> </w:t>
      </w:r>
      <w:r>
        <w:rPr>
          <w:sz w:val="20"/>
        </w:rPr>
        <w:t>Región</w:t>
      </w:r>
      <w:r>
        <w:rPr>
          <w:spacing w:val="-9"/>
          <w:sz w:val="20"/>
        </w:rPr>
        <w:t> </w:t>
      </w:r>
      <w:r>
        <w:rPr>
          <w:sz w:val="20"/>
        </w:rPr>
        <w:t>Lerma,</w:t>
      </w:r>
      <w:r>
        <w:rPr>
          <w:spacing w:val="-10"/>
          <w:sz w:val="20"/>
        </w:rPr>
        <w:t> </w:t>
      </w:r>
      <w:r>
        <w:rPr>
          <w:sz w:val="20"/>
        </w:rPr>
        <w:t>XII</w:t>
      </w:r>
      <w:r>
        <w:rPr>
          <w:spacing w:val="-9"/>
          <w:sz w:val="20"/>
        </w:rPr>
        <w:t> </w:t>
      </w:r>
      <w:r>
        <w:rPr>
          <w:sz w:val="20"/>
        </w:rPr>
        <w:t>Región</w:t>
      </w:r>
      <w:r>
        <w:rPr>
          <w:spacing w:val="-10"/>
          <w:sz w:val="20"/>
        </w:rPr>
        <w:t> </w:t>
      </w:r>
      <w:r>
        <w:rPr>
          <w:sz w:val="20"/>
        </w:rPr>
        <w:t>Toluca;</w:t>
      </w:r>
      <w:r>
        <w:rPr>
          <w:spacing w:val="-10"/>
          <w:sz w:val="20"/>
        </w:rPr>
        <w:t> </w:t>
      </w:r>
      <w:r>
        <w:rPr>
          <w:sz w:val="20"/>
        </w:rPr>
        <w:t>1</w:t>
      </w:r>
      <w:r>
        <w:rPr>
          <w:spacing w:val="-9"/>
          <w:sz w:val="20"/>
        </w:rPr>
        <w:t> </w:t>
      </w:r>
      <w:r>
        <w:rPr>
          <w:sz w:val="20"/>
        </w:rPr>
        <w:t>Lerma,</w:t>
      </w:r>
      <w:r>
        <w:rPr>
          <w:spacing w:val="-10"/>
          <w:sz w:val="20"/>
        </w:rPr>
        <w:t> </w:t>
      </w:r>
      <w:r>
        <w:rPr>
          <w:sz w:val="20"/>
        </w:rPr>
        <w:t>2</w:t>
      </w:r>
      <w:r>
        <w:rPr>
          <w:spacing w:val="-9"/>
          <w:sz w:val="20"/>
        </w:rPr>
        <w:t> </w:t>
      </w:r>
      <w:r>
        <w:rPr>
          <w:sz w:val="20"/>
        </w:rPr>
        <w:t>Ocoyoacac,</w:t>
      </w:r>
      <w:r>
        <w:rPr>
          <w:spacing w:val="-9"/>
          <w:sz w:val="20"/>
        </w:rPr>
        <w:t> </w:t>
      </w:r>
      <w:r>
        <w:rPr>
          <w:sz w:val="20"/>
        </w:rPr>
        <w:t>3</w:t>
      </w:r>
      <w:r>
        <w:rPr>
          <w:spacing w:val="-9"/>
          <w:sz w:val="20"/>
        </w:rPr>
        <w:t> </w:t>
      </w:r>
      <w:r>
        <w:rPr>
          <w:sz w:val="20"/>
        </w:rPr>
        <w:t>San</w:t>
      </w:r>
      <w:r>
        <w:rPr>
          <w:spacing w:val="-9"/>
          <w:sz w:val="20"/>
        </w:rPr>
        <w:t> </w:t>
      </w:r>
      <w:r>
        <w:rPr>
          <w:sz w:val="20"/>
        </w:rPr>
        <w:t>Mateo</w:t>
      </w:r>
      <w:r>
        <w:rPr>
          <w:spacing w:val="-7"/>
          <w:sz w:val="20"/>
        </w:rPr>
        <w:t> </w:t>
      </w:r>
      <w:r>
        <w:rPr>
          <w:sz w:val="20"/>
        </w:rPr>
        <w:t>Atenco,</w:t>
      </w:r>
      <w:r>
        <w:rPr>
          <w:spacing w:val="-9"/>
          <w:sz w:val="20"/>
        </w:rPr>
        <w:t> </w:t>
      </w:r>
      <w:r>
        <w:rPr>
          <w:sz w:val="20"/>
        </w:rPr>
        <w:t>4</w:t>
      </w:r>
      <w:r>
        <w:rPr>
          <w:spacing w:val="-9"/>
          <w:sz w:val="20"/>
        </w:rPr>
        <w:t> </w:t>
      </w:r>
      <w:r>
        <w:rPr>
          <w:sz w:val="20"/>
        </w:rPr>
        <w:t>Toluca, 5 Almoloya de Juárez, 6 Metepec, 7 Zinacantepec, EEM Error Estándar de la Media. P, probabilidad</w:t>
      </w:r>
      <w:r>
        <w:rPr>
          <w:spacing w:val="-7"/>
          <w:sz w:val="20"/>
        </w:rPr>
        <w:t> </w:t>
      </w:r>
      <w:r>
        <w:rPr>
          <w:sz w:val="20"/>
        </w:rPr>
        <w:t>p&lt;0.05.</w:t>
      </w:r>
    </w:p>
    <w:p>
      <w:pPr>
        <w:pStyle w:val="BodyText"/>
        <w:rPr>
          <w:sz w:val="20"/>
        </w:rPr>
      </w:pPr>
    </w:p>
    <w:p>
      <w:pPr>
        <w:pStyle w:val="BodyText"/>
        <w:rPr>
          <w:sz w:val="16"/>
        </w:rPr>
      </w:pPr>
    </w:p>
    <w:p>
      <w:pPr>
        <w:pStyle w:val="BodyText"/>
        <w:spacing w:line="360" w:lineRule="auto"/>
        <w:ind w:left="152" w:right="95"/>
      </w:pPr>
      <w:r>
        <w:rPr/>
        <w:t>En el cuadro 16 se muestra el efecto de la edad en la composición nutricional de la carne de conejo, donde se observa que no existe diferencia significativa (p&gt;0.05).</w:t>
      </w:r>
    </w:p>
    <w:p>
      <w:pPr>
        <w:pStyle w:val="BodyText"/>
        <w:rPr>
          <w:sz w:val="20"/>
        </w:rPr>
      </w:pPr>
    </w:p>
    <w:p>
      <w:pPr>
        <w:pStyle w:val="BodyText"/>
        <w:spacing w:before="9"/>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9"/>
        <w:gridCol w:w="1161"/>
        <w:gridCol w:w="810"/>
        <w:gridCol w:w="832"/>
        <w:gridCol w:w="871"/>
        <w:gridCol w:w="937"/>
        <w:gridCol w:w="1124"/>
        <w:gridCol w:w="1051"/>
      </w:tblGrid>
      <w:tr>
        <w:trPr>
          <w:trHeight w:val="254" w:hRule="exact"/>
        </w:trPr>
        <w:tc>
          <w:tcPr>
            <w:tcW w:w="8855" w:type="dxa"/>
            <w:gridSpan w:val="8"/>
          </w:tcPr>
          <w:p>
            <w:pPr>
              <w:pStyle w:val="TableParagraph"/>
              <w:tabs>
                <w:tab w:pos="911" w:val="left" w:leader="none"/>
                <w:tab w:pos="8855" w:val="left" w:leader="none"/>
              </w:tabs>
              <w:spacing w:line="204" w:lineRule="exact"/>
              <w:ind w:left="14"/>
              <w:jc w:val="left"/>
              <w:rPr>
                <w:sz w:val="20"/>
              </w:rPr>
            </w:pPr>
            <w:r>
              <w:rPr>
                <w:w w:val="99"/>
                <w:sz w:val="20"/>
                <w:u w:val="single"/>
              </w:rPr>
              <w:t> </w:t>
            </w:r>
            <w:r>
              <w:rPr>
                <w:sz w:val="20"/>
                <w:u w:val="single"/>
              </w:rPr>
              <w:tab/>
              <w:t>Cuadro 16. Efecto de la edad en los valores nutricionales de la carne de</w:t>
            </w:r>
            <w:r>
              <w:rPr>
                <w:spacing w:val="-26"/>
                <w:sz w:val="20"/>
                <w:u w:val="single"/>
              </w:rPr>
              <w:t> </w:t>
            </w:r>
            <w:r>
              <w:rPr>
                <w:sz w:val="20"/>
                <w:u w:val="single"/>
              </w:rPr>
              <w:t>conejo</w:t>
              <w:tab/>
            </w:r>
          </w:p>
        </w:tc>
      </w:tr>
      <w:tr>
        <w:trPr>
          <w:trHeight w:val="304" w:hRule="exact"/>
        </w:trPr>
        <w:tc>
          <w:tcPr>
            <w:tcW w:w="2069" w:type="dxa"/>
          </w:tcPr>
          <w:p>
            <w:pPr/>
          </w:p>
        </w:tc>
        <w:tc>
          <w:tcPr>
            <w:tcW w:w="1161" w:type="dxa"/>
          </w:tcPr>
          <w:p>
            <w:pPr/>
          </w:p>
        </w:tc>
        <w:tc>
          <w:tcPr>
            <w:tcW w:w="810" w:type="dxa"/>
          </w:tcPr>
          <w:p>
            <w:pPr/>
          </w:p>
        </w:tc>
        <w:tc>
          <w:tcPr>
            <w:tcW w:w="832" w:type="dxa"/>
          </w:tcPr>
          <w:p>
            <w:pPr>
              <w:pStyle w:val="TableParagraph"/>
              <w:spacing w:before="29"/>
              <w:ind w:left="158" w:right="-384"/>
              <w:jc w:val="left"/>
              <w:rPr>
                <w:sz w:val="20"/>
              </w:rPr>
            </w:pPr>
            <w:r>
              <w:rPr>
                <w:sz w:val="20"/>
              </w:rPr>
              <w:t>EDAD</w:t>
            </w:r>
          </w:p>
        </w:tc>
        <w:tc>
          <w:tcPr>
            <w:tcW w:w="871" w:type="dxa"/>
          </w:tcPr>
          <w:p>
            <w:pPr/>
          </w:p>
        </w:tc>
        <w:tc>
          <w:tcPr>
            <w:tcW w:w="937" w:type="dxa"/>
          </w:tcPr>
          <w:p>
            <w:pPr/>
          </w:p>
        </w:tc>
        <w:tc>
          <w:tcPr>
            <w:tcW w:w="1124" w:type="dxa"/>
          </w:tcPr>
          <w:p>
            <w:pPr/>
          </w:p>
        </w:tc>
        <w:tc>
          <w:tcPr>
            <w:tcW w:w="1051" w:type="dxa"/>
          </w:tcPr>
          <w:p>
            <w:pPr/>
          </w:p>
        </w:tc>
      </w:tr>
      <w:tr>
        <w:trPr>
          <w:trHeight w:val="456" w:hRule="exact"/>
        </w:trPr>
        <w:tc>
          <w:tcPr>
            <w:tcW w:w="2069" w:type="dxa"/>
          </w:tcPr>
          <w:p>
            <w:pPr>
              <w:pStyle w:val="TableParagraph"/>
              <w:spacing w:before="25"/>
              <w:ind w:left="84"/>
              <w:jc w:val="left"/>
              <w:rPr>
                <w:sz w:val="20"/>
              </w:rPr>
            </w:pPr>
            <w:r>
              <w:rPr>
                <w:sz w:val="20"/>
              </w:rPr>
              <w:t>VARIABLE</w:t>
            </w:r>
          </w:p>
        </w:tc>
        <w:tc>
          <w:tcPr>
            <w:tcW w:w="1161" w:type="dxa"/>
          </w:tcPr>
          <w:p>
            <w:pPr>
              <w:pStyle w:val="TableParagraph"/>
              <w:tabs>
                <w:tab w:pos="691" w:val="left" w:leader="none"/>
                <w:tab w:pos="1521" w:val="left" w:leader="none"/>
              </w:tabs>
              <w:spacing w:before="23"/>
              <w:ind w:left="300" w:right="-362"/>
              <w:jc w:val="left"/>
              <w:rPr>
                <w:b/>
                <w:sz w:val="20"/>
              </w:rPr>
            </w:pPr>
            <w:r>
              <w:rPr>
                <w:b/>
                <w:w w:val="99"/>
                <w:sz w:val="20"/>
                <w:u w:val="single"/>
              </w:rPr>
              <w:t> </w:t>
            </w:r>
            <w:r>
              <w:rPr>
                <w:b/>
                <w:sz w:val="20"/>
                <w:u w:val="single"/>
              </w:rPr>
              <w:tab/>
              <w:t>1</w:t>
              <w:tab/>
            </w:r>
          </w:p>
        </w:tc>
        <w:tc>
          <w:tcPr>
            <w:tcW w:w="810" w:type="dxa"/>
          </w:tcPr>
          <w:p>
            <w:pPr>
              <w:pStyle w:val="TableParagraph"/>
              <w:tabs>
                <w:tab w:pos="1150" w:val="left" w:leader="none"/>
              </w:tabs>
              <w:spacing w:before="23"/>
              <w:ind w:left="361" w:right="-341"/>
              <w:jc w:val="left"/>
              <w:rPr>
                <w:b/>
                <w:sz w:val="20"/>
              </w:rPr>
            </w:pPr>
            <w:r>
              <w:rPr>
                <w:b/>
                <w:sz w:val="20"/>
                <w:u w:val="single"/>
              </w:rPr>
              <w:t>2</w:t>
              <w:tab/>
            </w:r>
          </w:p>
        </w:tc>
        <w:tc>
          <w:tcPr>
            <w:tcW w:w="832" w:type="dxa"/>
          </w:tcPr>
          <w:p>
            <w:pPr>
              <w:pStyle w:val="TableParagraph"/>
              <w:tabs>
                <w:tab w:pos="1214" w:val="left" w:leader="none"/>
              </w:tabs>
              <w:spacing w:before="23"/>
              <w:ind w:left="340" w:right="-384"/>
              <w:jc w:val="left"/>
              <w:rPr>
                <w:b/>
                <w:sz w:val="20"/>
              </w:rPr>
            </w:pPr>
            <w:r>
              <w:rPr>
                <w:b/>
                <w:sz w:val="20"/>
                <w:u w:val="single"/>
              </w:rPr>
              <w:t>3</w:t>
              <w:tab/>
            </w:r>
          </w:p>
        </w:tc>
        <w:tc>
          <w:tcPr>
            <w:tcW w:w="871" w:type="dxa"/>
          </w:tcPr>
          <w:p>
            <w:pPr>
              <w:pStyle w:val="TableParagraph"/>
              <w:tabs>
                <w:tab w:pos="1251" w:val="left" w:leader="none"/>
              </w:tabs>
              <w:spacing w:before="23"/>
              <w:ind w:left="383" w:right="-381"/>
              <w:jc w:val="left"/>
              <w:rPr>
                <w:b/>
                <w:sz w:val="20"/>
              </w:rPr>
            </w:pPr>
            <w:r>
              <w:rPr>
                <w:b/>
                <w:sz w:val="20"/>
                <w:u w:val="single"/>
              </w:rPr>
              <w:t>4</w:t>
              <w:tab/>
            </w:r>
          </w:p>
        </w:tc>
        <w:tc>
          <w:tcPr>
            <w:tcW w:w="937" w:type="dxa"/>
          </w:tcPr>
          <w:p>
            <w:pPr>
              <w:pStyle w:val="TableParagraph"/>
              <w:tabs>
                <w:tab w:pos="843" w:val="left" w:leader="none"/>
              </w:tabs>
              <w:spacing w:before="23"/>
              <w:ind w:left="380"/>
              <w:jc w:val="left"/>
              <w:rPr>
                <w:b/>
                <w:sz w:val="20"/>
              </w:rPr>
            </w:pPr>
            <w:r>
              <w:rPr>
                <w:b/>
                <w:sz w:val="20"/>
                <w:u w:val="single"/>
              </w:rPr>
              <w:t>5</w:t>
              <w:tab/>
            </w:r>
          </w:p>
        </w:tc>
        <w:tc>
          <w:tcPr>
            <w:tcW w:w="1124" w:type="dxa"/>
          </w:tcPr>
          <w:p>
            <w:pPr>
              <w:pStyle w:val="TableParagraph"/>
              <w:spacing w:before="23"/>
              <w:ind w:left="228" w:right="239"/>
              <w:rPr>
                <w:b/>
                <w:sz w:val="20"/>
              </w:rPr>
            </w:pPr>
            <w:r>
              <w:rPr>
                <w:b/>
                <w:sz w:val="20"/>
              </w:rPr>
              <w:t>EEM</w:t>
            </w:r>
          </w:p>
        </w:tc>
        <w:tc>
          <w:tcPr>
            <w:tcW w:w="1051" w:type="dxa"/>
          </w:tcPr>
          <w:p>
            <w:pPr>
              <w:pStyle w:val="TableParagraph"/>
              <w:spacing w:before="23"/>
              <w:ind w:left="84"/>
              <w:rPr>
                <w:b/>
                <w:sz w:val="20"/>
              </w:rPr>
            </w:pPr>
            <w:r>
              <w:rPr>
                <w:b/>
                <w:w w:val="99"/>
                <w:sz w:val="20"/>
              </w:rPr>
              <w:t>P</w:t>
            </w:r>
          </w:p>
        </w:tc>
      </w:tr>
      <w:tr>
        <w:trPr>
          <w:trHeight w:val="455" w:hRule="exact"/>
        </w:trPr>
        <w:tc>
          <w:tcPr>
            <w:tcW w:w="2069" w:type="dxa"/>
          </w:tcPr>
          <w:p>
            <w:pPr>
              <w:pStyle w:val="TableParagraph"/>
              <w:spacing w:before="179"/>
              <w:ind w:left="84"/>
              <w:jc w:val="left"/>
              <w:rPr>
                <w:sz w:val="20"/>
              </w:rPr>
            </w:pPr>
            <w:r>
              <w:rPr>
                <w:sz w:val="20"/>
              </w:rPr>
              <w:t>MATERIA SECA</w:t>
            </w:r>
          </w:p>
        </w:tc>
        <w:tc>
          <w:tcPr>
            <w:tcW w:w="1161" w:type="dxa"/>
          </w:tcPr>
          <w:p>
            <w:pPr>
              <w:pStyle w:val="TableParagraph"/>
              <w:spacing w:before="179"/>
              <w:ind w:left="496" w:right="-362"/>
              <w:jc w:val="left"/>
              <w:rPr>
                <w:sz w:val="20"/>
              </w:rPr>
            </w:pPr>
            <w:r>
              <w:rPr>
                <w:sz w:val="20"/>
              </w:rPr>
              <w:t>26.26</w:t>
            </w:r>
          </w:p>
        </w:tc>
        <w:tc>
          <w:tcPr>
            <w:tcW w:w="810" w:type="dxa"/>
          </w:tcPr>
          <w:p>
            <w:pPr>
              <w:pStyle w:val="TableParagraph"/>
              <w:spacing w:before="179"/>
              <w:ind w:left="164"/>
              <w:jc w:val="left"/>
              <w:rPr>
                <w:sz w:val="20"/>
              </w:rPr>
            </w:pPr>
            <w:r>
              <w:rPr>
                <w:sz w:val="20"/>
              </w:rPr>
              <w:t>25.68</w:t>
            </w:r>
          </w:p>
        </w:tc>
        <w:tc>
          <w:tcPr>
            <w:tcW w:w="832" w:type="dxa"/>
          </w:tcPr>
          <w:p>
            <w:pPr>
              <w:pStyle w:val="TableParagraph"/>
              <w:spacing w:before="179"/>
              <w:ind w:left="146" w:right="-384"/>
              <w:jc w:val="left"/>
              <w:rPr>
                <w:sz w:val="20"/>
              </w:rPr>
            </w:pPr>
            <w:r>
              <w:rPr>
                <w:sz w:val="20"/>
              </w:rPr>
              <w:t>25.51</w:t>
            </w:r>
          </w:p>
        </w:tc>
        <w:tc>
          <w:tcPr>
            <w:tcW w:w="871" w:type="dxa"/>
          </w:tcPr>
          <w:p>
            <w:pPr>
              <w:pStyle w:val="TableParagraph"/>
              <w:spacing w:before="179"/>
              <w:ind w:left="186"/>
              <w:jc w:val="left"/>
              <w:rPr>
                <w:sz w:val="20"/>
              </w:rPr>
            </w:pPr>
            <w:r>
              <w:rPr>
                <w:sz w:val="20"/>
              </w:rPr>
              <w:t>27.38</w:t>
            </w:r>
          </w:p>
        </w:tc>
        <w:tc>
          <w:tcPr>
            <w:tcW w:w="937" w:type="dxa"/>
          </w:tcPr>
          <w:p>
            <w:pPr>
              <w:pStyle w:val="TableParagraph"/>
              <w:spacing w:before="179"/>
              <w:ind w:left="186"/>
              <w:jc w:val="left"/>
              <w:rPr>
                <w:sz w:val="20"/>
              </w:rPr>
            </w:pPr>
            <w:r>
              <w:rPr>
                <w:sz w:val="20"/>
              </w:rPr>
              <w:t>26.84</w:t>
            </w:r>
          </w:p>
        </w:tc>
        <w:tc>
          <w:tcPr>
            <w:tcW w:w="1124" w:type="dxa"/>
          </w:tcPr>
          <w:p>
            <w:pPr>
              <w:pStyle w:val="TableParagraph"/>
              <w:spacing w:before="179"/>
              <w:ind w:left="232" w:right="239"/>
              <w:rPr>
                <w:sz w:val="20"/>
              </w:rPr>
            </w:pPr>
            <w:r>
              <w:rPr>
                <w:sz w:val="20"/>
              </w:rPr>
              <w:t>0.5703</w:t>
            </w:r>
          </w:p>
        </w:tc>
        <w:tc>
          <w:tcPr>
            <w:tcW w:w="1051" w:type="dxa"/>
          </w:tcPr>
          <w:p>
            <w:pPr>
              <w:pStyle w:val="TableParagraph"/>
              <w:spacing w:before="179"/>
              <w:ind w:left="240" w:right="158"/>
              <w:rPr>
                <w:sz w:val="20"/>
              </w:rPr>
            </w:pPr>
            <w:r>
              <w:rPr>
                <w:sz w:val="20"/>
              </w:rPr>
              <w:t>0.4244</w:t>
            </w:r>
          </w:p>
        </w:tc>
      </w:tr>
      <w:tr>
        <w:trPr>
          <w:trHeight w:val="300" w:hRule="exact"/>
        </w:trPr>
        <w:tc>
          <w:tcPr>
            <w:tcW w:w="2069" w:type="dxa"/>
          </w:tcPr>
          <w:p>
            <w:pPr>
              <w:pStyle w:val="TableParagraph"/>
              <w:spacing w:before="24"/>
              <w:ind w:left="84"/>
              <w:jc w:val="left"/>
              <w:rPr>
                <w:sz w:val="20"/>
              </w:rPr>
            </w:pPr>
            <w:r>
              <w:rPr>
                <w:sz w:val="20"/>
              </w:rPr>
              <w:t>HUMEDAD</w:t>
            </w:r>
          </w:p>
        </w:tc>
        <w:tc>
          <w:tcPr>
            <w:tcW w:w="1161" w:type="dxa"/>
          </w:tcPr>
          <w:p>
            <w:pPr>
              <w:pStyle w:val="TableParagraph"/>
              <w:spacing w:before="24"/>
              <w:ind w:left="496" w:right="-362"/>
              <w:jc w:val="left"/>
              <w:rPr>
                <w:sz w:val="20"/>
              </w:rPr>
            </w:pPr>
            <w:r>
              <w:rPr>
                <w:sz w:val="20"/>
              </w:rPr>
              <w:t>73.74</w:t>
            </w:r>
          </w:p>
        </w:tc>
        <w:tc>
          <w:tcPr>
            <w:tcW w:w="810" w:type="dxa"/>
          </w:tcPr>
          <w:p>
            <w:pPr>
              <w:pStyle w:val="TableParagraph"/>
              <w:spacing w:before="24"/>
              <w:ind w:left="164"/>
              <w:jc w:val="left"/>
              <w:rPr>
                <w:sz w:val="20"/>
              </w:rPr>
            </w:pPr>
            <w:r>
              <w:rPr>
                <w:sz w:val="20"/>
              </w:rPr>
              <w:t>74.32</w:t>
            </w:r>
          </w:p>
        </w:tc>
        <w:tc>
          <w:tcPr>
            <w:tcW w:w="832" w:type="dxa"/>
          </w:tcPr>
          <w:p>
            <w:pPr>
              <w:pStyle w:val="TableParagraph"/>
              <w:spacing w:before="24"/>
              <w:ind w:left="146" w:right="-384"/>
              <w:jc w:val="left"/>
              <w:rPr>
                <w:sz w:val="20"/>
              </w:rPr>
            </w:pPr>
            <w:r>
              <w:rPr>
                <w:sz w:val="20"/>
              </w:rPr>
              <w:t>74.49</w:t>
            </w:r>
          </w:p>
        </w:tc>
        <w:tc>
          <w:tcPr>
            <w:tcW w:w="871" w:type="dxa"/>
          </w:tcPr>
          <w:p>
            <w:pPr>
              <w:pStyle w:val="TableParagraph"/>
              <w:spacing w:before="24"/>
              <w:ind w:left="186"/>
              <w:jc w:val="left"/>
              <w:rPr>
                <w:sz w:val="20"/>
              </w:rPr>
            </w:pPr>
            <w:r>
              <w:rPr>
                <w:sz w:val="20"/>
              </w:rPr>
              <w:t>72.62</w:t>
            </w:r>
          </w:p>
        </w:tc>
        <w:tc>
          <w:tcPr>
            <w:tcW w:w="937" w:type="dxa"/>
          </w:tcPr>
          <w:p>
            <w:pPr>
              <w:pStyle w:val="TableParagraph"/>
              <w:spacing w:before="24"/>
              <w:ind w:left="186"/>
              <w:jc w:val="left"/>
              <w:rPr>
                <w:sz w:val="20"/>
              </w:rPr>
            </w:pPr>
            <w:r>
              <w:rPr>
                <w:sz w:val="20"/>
              </w:rPr>
              <w:t>73.16</w:t>
            </w:r>
          </w:p>
        </w:tc>
        <w:tc>
          <w:tcPr>
            <w:tcW w:w="1124" w:type="dxa"/>
          </w:tcPr>
          <w:p>
            <w:pPr>
              <w:pStyle w:val="TableParagraph"/>
              <w:spacing w:before="24"/>
              <w:ind w:left="232" w:right="239"/>
              <w:rPr>
                <w:sz w:val="20"/>
              </w:rPr>
            </w:pPr>
            <w:r>
              <w:rPr>
                <w:sz w:val="20"/>
              </w:rPr>
              <w:t>0.5703</w:t>
            </w:r>
          </w:p>
        </w:tc>
        <w:tc>
          <w:tcPr>
            <w:tcW w:w="1051" w:type="dxa"/>
          </w:tcPr>
          <w:p>
            <w:pPr>
              <w:pStyle w:val="TableParagraph"/>
              <w:spacing w:before="24"/>
              <w:ind w:left="240" w:right="158"/>
              <w:rPr>
                <w:sz w:val="20"/>
              </w:rPr>
            </w:pPr>
            <w:r>
              <w:rPr>
                <w:sz w:val="20"/>
              </w:rPr>
              <w:t>0.4244</w:t>
            </w:r>
          </w:p>
        </w:tc>
      </w:tr>
      <w:tr>
        <w:trPr>
          <w:trHeight w:val="300" w:hRule="exact"/>
        </w:trPr>
        <w:tc>
          <w:tcPr>
            <w:tcW w:w="2069" w:type="dxa"/>
          </w:tcPr>
          <w:p>
            <w:pPr>
              <w:pStyle w:val="TableParagraph"/>
              <w:spacing w:before="24"/>
              <w:ind w:left="84"/>
              <w:jc w:val="left"/>
              <w:rPr>
                <w:sz w:val="20"/>
              </w:rPr>
            </w:pPr>
            <w:r>
              <w:rPr>
                <w:sz w:val="20"/>
              </w:rPr>
              <w:t>PROTEINA</w:t>
            </w:r>
          </w:p>
        </w:tc>
        <w:tc>
          <w:tcPr>
            <w:tcW w:w="1161" w:type="dxa"/>
          </w:tcPr>
          <w:p>
            <w:pPr>
              <w:pStyle w:val="TableParagraph"/>
              <w:spacing w:before="24"/>
              <w:ind w:left="496" w:right="-362"/>
              <w:jc w:val="left"/>
              <w:rPr>
                <w:sz w:val="20"/>
              </w:rPr>
            </w:pPr>
            <w:r>
              <w:rPr>
                <w:sz w:val="20"/>
              </w:rPr>
              <w:t>22.63</w:t>
            </w:r>
          </w:p>
        </w:tc>
        <w:tc>
          <w:tcPr>
            <w:tcW w:w="810" w:type="dxa"/>
          </w:tcPr>
          <w:p>
            <w:pPr>
              <w:pStyle w:val="TableParagraph"/>
              <w:spacing w:before="24"/>
              <w:ind w:left="164"/>
              <w:jc w:val="left"/>
              <w:rPr>
                <w:sz w:val="20"/>
              </w:rPr>
            </w:pPr>
            <w:r>
              <w:rPr>
                <w:sz w:val="20"/>
              </w:rPr>
              <w:t>21.43</w:t>
            </w:r>
          </w:p>
        </w:tc>
        <w:tc>
          <w:tcPr>
            <w:tcW w:w="832" w:type="dxa"/>
          </w:tcPr>
          <w:p>
            <w:pPr>
              <w:pStyle w:val="TableParagraph"/>
              <w:spacing w:before="24"/>
              <w:ind w:left="146" w:right="-384"/>
              <w:jc w:val="left"/>
              <w:rPr>
                <w:sz w:val="20"/>
              </w:rPr>
            </w:pPr>
            <w:r>
              <w:rPr>
                <w:sz w:val="20"/>
              </w:rPr>
              <w:t>21.22</w:t>
            </w:r>
          </w:p>
        </w:tc>
        <w:tc>
          <w:tcPr>
            <w:tcW w:w="871" w:type="dxa"/>
          </w:tcPr>
          <w:p>
            <w:pPr>
              <w:pStyle w:val="TableParagraph"/>
              <w:spacing w:before="24"/>
              <w:ind w:left="186"/>
              <w:jc w:val="left"/>
              <w:rPr>
                <w:sz w:val="20"/>
              </w:rPr>
            </w:pPr>
            <w:r>
              <w:rPr>
                <w:sz w:val="20"/>
              </w:rPr>
              <w:t>23.03</w:t>
            </w:r>
          </w:p>
        </w:tc>
        <w:tc>
          <w:tcPr>
            <w:tcW w:w="937" w:type="dxa"/>
          </w:tcPr>
          <w:p>
            <w:pPr>
              <w:pStyle w:val="TableParagraph"/>
              <w:spacing w:before="24"/>
              <w:ind w:left="186"/>
              <w:jc w:val="left"/>
              <w:rPr>
                <w:sz w:val="20"/>
              </w:rPr>
            </w:pPr>
            <w:r>
              <w:rPr>
                <w:sz w:val="20"/>
              </w:rPr>
              <w:t>22.89</w:t>
            </w:r>
          </w:p>
        </w:tc>
        <w:tc>
          <w:tcPr>
            <w:tcW w:w="1124" w:type="dxa"/>
          </w:tcPr>
          <w:p>
            <w:pPr>
              <w:pStyle w:val="TableParagraph"/>
              <w:spacing w:before="24"/>
              <w:ind w:left="232" w:right="237"/>
              <w:rPr>
                <w:sz w:val="20"/>
              </w:rPr>
            </w:pPr>
            <w:r>
              <w:rPr>
                <w:sz w:val="20"/>
              </w:rPr>
              <w:t>0.53</w:t>
            </w:r>
          </w:p>
        </w:tc>
        <w:tc>
          <w:tcPr>
            <w:tcW w:w="1051" w:type="dxa"/>
          </w:tcPr>
          <w:p>
            <w:pPr>
              <w:pStyle w:val="TableParagraph"/>
              <w:spacing w:before="24"/>
              <w:ind w:left="240" w:right="158"/>
              <w:rPr>
                <w:sz w:val="20"/>
              </w:rPr>
            </w:pPr>
            <w:r>
              <w:rPr>
                <w:sz w:val="20"/>
              </w:rPr>
              <w:t>0.2059</w:t>
            </w:r>
          </w:p>
        </w:tc>
      </w:tr>
      <w:tr>
        <w:trPr>
          <w:trHeight w:val="300" w:hRule="exact"/>
        </w:trPr>
        <w:tc>
          <w:tcPr>
            <w:tcW w:w="2069" w:type="dxa"/>
          </w:tcPr>
          <w:p>
            <w:pPr>
              <w:pStyle w:val="TableParagraph"/>
              <w:spacing w:before="24"/>
              <w:ind w:left="84"/>
              <w:jc w:val="left"/>
              <w:rPr>
                <w:sz w:val="20"/>
              </w:rPr>
            </w:pPr>
            <w:r>
              <w:rPr>
                <w:sz w:val="20"/>
              </w:rPr>
              <w:t>GRASA</w:t>
            </w:r>
          </w:p>
        </w:tc>
        <w:tc>
          <w:tcPr>
            <w:tcW w:w="1161" w:type="dxa"/>
          </w:tcPr>
          <w:p>
            <w:pPr>
              <w:pStyle w:val="TableParagraph"/>
              <w:spacing w:before="24"/>
              <w:ind w:left="496" w:right="-362"/>
              <w:jc w:val="left"/>
              <w:rPr>
                <w:sz w:val="20"/>
              </w:rPr>
            </w:pPr>
            <w:r>
              <w:rPr>
                <w:sz w:val="20"/>
              </w:rPr>
              <w:t>3.261</w:t>
            </w:r>
          </w:p>
        </w:tc>
        <w:tc>
          <w:tcPr>
            <w:tcW w:w="810" w:type="dxa"/>
          </w:tcPr>
          <w:p>
            <w:pPr>
              <w:pStyle w:val="TableParagraph"/>
              <w:spacing w:before="24"/>
              <w:ind w:left="221"/>
              <w:jc w:val="left"/>
              <w:rPr>
                <w:sz w:val="20"/>
              </w:rPr>
            </w:pPr>
            <w:r>
              <w:rPr>
                <w:sz w:val="20"/>
              </w:rPr>
              <w:t>2.92</w:t>
            </w:r>
          </w:p>
        </w:tc>
        <w:tc>
          <w:tcPr>
            <w:tcW w:w="832" w:type="dxa"/>
          </w:tcPr>
          <w:p>
            <w:pPr>
              <w:pStyle w:val="TableParagraph"/>
              <w:spacing w:before="24"/>
              <w:ind w:left="201" w:right="-384"/>
              <w:jc w:val="left"/>
              <w:rPr>
                <w:sz w:val="20"/>
              </w:rPr>
            </w:pPr>
            <w:r>
              <w:rPr>
                <w:sz w:val="20"/>
              </w:rPr>
              <w:t>2.66</w:t>
            </w:r>
          </w:p>
        </w:tc>
        <w:tc>
          <w:tcPr>
            <w:tcW w:w="871" w:type="dxa"/>
          </w:tcPr>
          <w:p>
            <w:pPr>
              <w:pStyle w:val="TableParagraph"/>
              <w:spacing w:before="24"/>
              <w:ind w:left="243"/>
              <w:jc w:val="left"/>
              <w:rPr>
                <w:sz w:val="20"/>
              </w:rPr>
            </w:pPr>
            <w:r>
              <w:rPr>
                <w:sz w:val="20"/>
              </w:rPr>
              <w:t>3.56</w:t>
            </w:r>
          </w:p>
        </w:tc>
        <w:tc>
          <w:tcPr>
            <w:tcW w:w="937" w:type="dxa"/>
          </w:tcPr>
          <w:p>
            <w:pPr>
              <w:pStyle w:val="TableParagraph"/>
              <w:spacing w:before="24"/>
              <w:ind w:left="241"/>
              <w:jc w:val="left"/>
              <w:rPr>
                <w:sz w:val="20"/>
              </w:rPr>
            </w:pPr>
            <w:r>
              <w:rPr>
                <w:sz w:val="20"/>
              </w:rPr>
              <w:t>3.12</w:t>
            </w:r>
          </w:p>
        </w:tc>
        <w:tc>
          <w:tcPr>
            <w:tcW w:w="1124" w:type="dxa"/>
          </w:tcPr>
          <w:p>
            <w:pPr>
              <w:pStyle w:val="TableParagraph"/>
              <w:spacing w:before="24"/>
              <w:ind w:left="232" w:right="239"/>
              <w:rPr>
                <w:sz w:val="20"/>
              </w:rPr>
            </w:pPr>
            <w:r>
              <w:rPr>
                <w:sz w:val="20"/>
              </w:rPr>
              <w:t>0.2795</w:t>
            </w:r>
          </w:p>
        </w:tc>
        <w:tc>
          <w:tcPr>
            <w:tcW w:w="1051" w:type="dxa"/>
          </w:tcPr>
          <w:p>
            <w:pPr>
              <w:pStyle w:val="TableParagraph"/>
              <w:spacing w:before="24"/>
              <w:ind w:left="240" w:right="158"/>
              <w:rPr>
                <w:sz w:val="20"/>
              </w:rPr>
            </w:pPr>
            <w:r>
              <w:rPr>
                <w:sz w:val="20"/>
              </w:rPr>
              <w:t>0.5228</w:t>
            </w:r>
          </w:p>
        </w:tc>
      </w:tr>
      <w:tr>
        <w:trPr>
          <w:trHeight w:val="262" w:hRule="exact"/>
        </w:trPr>
        <w:tc>
          <w:tcPr>
            <w:tcW w:w="2069" w:type="dxa"/>
            <w:tcBorders>
              <w:bottom w:val="single" w:sz="4" w:space="0" w:color="000000"/>
            </w:tcBorders>
          </w:tcPr>
          <w:p>
            <w:pPr>
              <w:pStyle w:val="TableParagraph"/>
              <w:spacing w:before="24"/>
              <w:ind w:left="84"/>
              <w:jc w:val="left"/>
              <w:rPr>
                <w:sz w:val="20"/>
              </w:rPr>
            </w:pPr>
            <w:r>
              <w:rPr>
                <w:sz w:val="20"/>
              </w:rPr>
              <w:t>CENIZAS</w:t>
            </w:r>
          </w:p>
        </w:tc>
        <w:tc>
          <w:tcPr>
            <w:tcW w:w="1161" w:type="dxa"/>
            <w:tcBorders>
              <w:bottom w:val="single" w:sz="4" w:space="0" w:color="000000"/>
            </w:tcBorders>
          </w:tcPr>
          <w:p>
            <w:pPr>
              <w:pStyle w:val="TableParagraph"/>
              <w:spacing w:before="24"/>
              <w:ind w:left="552" w:right="-362"/>
              <w:jc w:val="left"/>
              <w:rPr>
                <w:sz w:val="20"/>
              </w:rPr>
            </w:pPr>
            <w:r>
              <w:rPr>
                <w:sz w:val="20"/>
              </w:rPr>
              <w:t>1.29</w:t>
            </w:r>
          </w:p>
        </w:tc>
        <w:tc>
          <w:tcPr>
            <w:tcW w:w="810" w:type="dxa"/>
            <w:tcBorders>
              <w:bottom w:val="single" w:sz="4" w:space="0" w:color="000000"/>
            </w:tcBorders>
          </w:tcPr>
          <w:p>
            <w:pPr>
              <w:pStyle w:val="TableParagraph"/>
              <w:spacing w:before="24"/>
              <w:ind w:left="221"/>
              <w:jc w:val="left"/>
              <w:rPr>
                <w:sz w:val="20"/>
              </w:rPr>
            </w:pPr>
            <w:r>
              <w:rPr>
                <w:sz w:val="20"/>
              </w:rPr>
              <w:t>0.99</w:t>
            </w:r>
          </w:p>
        </w:tc>
        <w:tc>
          <w:tcPr>
            <w:tcW w:w="832" w:type="dxa"/>
            <w:tcBorders>
              <w:bottom w:val="single" w:sz="4" w:space="0" w:color="000000"/>
            </w:tcBorders>
          </w:tcPr>
          <w:p>
            <w:pPr>
              <w:pStyle w:val="TableParagraph"/>
              <w:spacing w:before="24"/>
              <w:ind w:left="201" w:right="-384"/>
              <w:jc w:val="left"/>
              <w:rPr>
                <w:sz w:val="20"/>
              </w:rPr>
            </w:pPr>
            <w:r>
              <w:rPr>
                <w:sz w:val="20"/>
              </w:rPr>
              <w:t>1.12</w:t>
            </w:r>
          </w:p>
        </w:tc>
        <w:tc>
          <w:tcPr>
            <w:tcW w:w="871" w:type="dxa"/>
            <w:tcBorders>
              <w:bottom w:val="single" w:sz="4" w:space="0" w:color="000000"/>
            </w:tcBorders>
          </w:tcPr>
          <w:p>
            <w:pPr>
              <w:pStyle w:val="TableParagraph"/>
              <w:spacing w:before="24"/>
              <w:ind w:left="243"/>
              <w:jc w:val="left"/>
              <w:rPr>
                <w:sz w:val="20"/>
              </w:rPr>
            </w:pPr>
            <w:r>
              <w:rPr>
                <w:sz w:val="20"/>
              </w:rPr>
              <w:t>1.05</w:t>
            </w:r>
          </w:p>
        </w:tc>
        <w:tc>
          <w:tcPr>
            <w:tcW w:w="937" w:type="dxa"/>
            <w:tcBorders>
              <w:bottom w:val="single" w:sz="4" w:space="0" w:color="000000"/>
            </w:tcBorders>
          </w:tcPr>
          <w:p>
            <w:pPr>
              <w:pStyle w:val="TableParagraph"/>
              <w:spacing w:before="24"/>
              <w:ind w:left="241"/>
              <w:jc w:val="left"/>
              <w:rPr>
                <w:sz w:val="20"/>
              </w:rPr>
            </w:pPr>
            <w:r>
              <w:rPr>
                <w:sz w:val="20"/>
              </w:rPr>
              <w:t>1.02</w:t>
            </w:r>
          </w:p>
        </w:tc>
        <w:tc>
          <w:tcPr>
            <w:tcW w:w="1124" w:type="dxa"/>
            <w:tcBorders>
              <w:bottom w:val="single" w:sz="4" w:space="0" w:color="000000"/>
            </w:tcBorders>
          </w:tcPr>
          <w:p>
            <w:pPr>
              <w:pStyle w:val="TableParagraph"/>
              <w:spacing w:before="24"/>
              <w:ind w:left="232" w:right="239"/>
              <w:rPr>
                <w:sz w:val="20"/>
              </w:rPr>
            </w:pPr>
            <w:r>
              <w:rPr>
                <w:sz w:val="20"/>
              </w:rPr>
              <w:t>0.1042</w:t>
            </w:r>
          </w:p>
        </w:tc>
        <w:tc>
          <w:tcPr>
            <w:tcW w:w="1051" w:type="dxa"/>
            <w:tcBorders>
              <w:bottom w:val="single" w:sz="4" w:space="0" w:color="000000"/>
            </w:tcBorders>
          </w:tcPr>
          <w:p>
            <w:pPr>
              <w:pStyle w:val="TableParagraph"/>
              <w:spacing w:before="24"/>
              <w:ind w:left="240" w:right="158"/>
              <w:rPr>
                <w:sz w:val="20"/>
              </w:rPr>
            </w:pPr>
            <w:r>
              <w:rPr>
                <w:sz w:val="20"/>
              </w:rPr>
              <w:t>0.3874</w:t>
            </w:r>
          </w:p>
        </w:tc>
      </w:tr>
    </w:tbl>
    <w:p>
      <w:pPr>
        <w:spacing w:line="272" w:lineRule="exact" w:before="0"/>
        <w:ind w:left="953" w:right="0" w:firstLine="0"/>
        <w:jc w:val="left"/>
        <w:rPr>
          <w:sz w:val="20"/>
        </w:rPr>
      </w:pPr>
      <w:r>
        <w:rPr>
          <w:sz w:val="20"/>
        </w:rPr>
        <w:t>1 =60 a 70 dias, 2 = 75 dias, 3 = 80 dias, 4 = 85, 5 = 90 – 120 dias</w:t>
      </w:r>
      <w:r>
        <w:rPr>
          <w:sz w:val="24"/>
        </w:rPr>
        <w:t>, </w:t>
      </w:r>
      <w:r>
        <w:rPr>
          <w:sz w:val="20"/>
        </w:rPr>
        <w:t>p Prevalencia</w:t>
      </w:r>
    </w:p>
    <w:p>
      <w:pPr>
        <w:pStyle w:val="BodyText"/>
        <w:spacing w:before="2"/>
      </w:pPr>
    </w:p>
    <w:p>
      <w:pPr>
        <w:pStyle w:val="BodyText"/>
        <w:spacing w:line="360" w:lineRule="auto"/>
        <w:ind w:left="152" w:right="115"/>
        <w:jc w:val="both"/>
      </w:pPr>
      <w:r>
        <w:rPr/>
        <w:t>En el cuadro 17 se muesta la relación del sexo, peso al sacrificio y peso canal en el valor nutricional de la carne de conejo. Donde se muestra que no hay una diferencia significativa</w:t>
      </w:r>
      <w:r>
        <w:rPr>
          <w:spacing w:val="-8"/>
        </w:rPr>
        <w:t> </w:t>
      </w:r>
      <w:r>
        <w:rPr/>
        <w:t>(p&gt;0.05)</w:t>
      </w:r>
    </w:p>
    <w:p>
      <w:pPr>
        <w:spacing w:after="0" w:line="360" w:lineRule="auto"/>
        <w:jc w:val="both"/>
        <w:sectPr>
          <w:pgSz w:w="12240" w:h="15840"/>
          <w:pgMar w:header="0" w:footer="1386" w:top="1500" w:bottom="1580" w:left="1720" w:right="1420"/>
        </w:sectPr>
      </w:pPr>
    </w:p>
    <w:p>
      <w:pPr>
        <w:pStyle w:val="BodyText"/>
        <w:spacing w:before="7"/>
        <w:rPr>
          <w:sz w:val="29"/>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30"/>
        <w:gridCol w:w="1933"/>
        <w:gridCol w:w="1264"/>
        <w:gridCol w:w="1234"/>
        <w:gridCol w:w="895"/>
      </w:tblGrid>
      <w:tr>
        <w:trPr>
          <w:trHeight w:val="548" w:hRule="exact"/>
        </w:trPr>
        <w:tc>
          <w:tcPr>
            <w:tcW w:w="8855" w:type="dxa"/>
            <w:gridSpan w:val="5"/>
          </w:tcPr>
          <w:p>
            <w:pPr>
              <w:pStyle w:val="TableParagraph"/>
              <w:spacing w:line="245" w:lineRule="exact"/>
              <w:ind w:left="84"/>
              <w:jc w:val="left"/>
              <w:rPr>
                <w:sz w:val="24"/>
              </w:rPr>
            </w:pPr>
            <w:r>
              <w:rPr>
                <w:sz w:val="24"/>
              </w:rPr>
              <w:t>Cuadro 17. Efecto del sexo, peso al sacrificio y peso canal en el valor nutricional</w:t>
            </w:r>
          </w:p>
          <w:p>
            <w:pPr>
              <w:pStyle w:val="TableParagraph"/>
              <w:tabs>
                <w:tab w:pos="8855" w:val="left" w:leader="none"/>
              </w:tabs>
              <w:ind w:left="14"/>
              <w:jc w:val="left"/>
              <w:rPr>
                <w:sz w:val="24"/>
              </w:rPr>
            </w:pPr>
            <w:r>
              <w:rPr>
                <w:spacing w:val="2"/>
                <w:w w:val="100"/>
                <w:sz w:val="24"/>
                <w:u w:val="single"/>
              </w:rPr>
              <w:t> </w:t>
            </w:r>
            <w:r>
              <w:rPr>
                <w:sz w:val="24"/>
                <w:u w:val="single"/>
              </w:rPr>
              <w:t>de la carne de</w:t>
            </w:r>
            <w:r>
              <w:rPr>
                <w:spacing w:val="-8"/>
                <w:sz w:val="24"/>
                <w:u w:val="single"/>
              </w:rPr>
              <w:t> </w:t>
            </w:r>
            <w:r>
              <w:rPr>
                <w:sz w:val="24"/>
                <w:u w:val="single"/>
              </w:rPr>
              <w:t>conejo</w:t>
              <w:tab/>
            </w:r>
          </w:p>
        </w:tc>
      </w:tr>
      <w:tr>
        <w:trPr>
          <w:trHeight w:val="306" w:hRule="exact"/>
        </w:trPr>
        <w:tc>
          <w:tcPr>
            <w:tcW w:w="8855" w:type="dxa"/>
            <w:gridSpan w:val="5"/>
          </w:tcPr>
          <w:p>
            <w:pPr>
              <w:pStyle w:val="TableParagraph"/>
              <w:tabs>
                <w:tab w:pos="4964" w:val="left" w:leader="none"/>
                <w:tab w:pos="6586" w:val="left" w:leader="none"/>
              </w:tabs>
              <w:spacing w:before="1"/>
              <w:ind w:left="4008"/>
              <w:jc w:val="left"/>
              <w:rPr>
                <w:sz w:val="24"/>
              </w:rPr>
            </w:pPr>
            <w:r>
              <w:rPr>
                <w:w w:val="100"/>
                <w:sz w:val="24"/>
                <w:u w:val="single"/>
              </w:rPr>
              <w:t> </w:t>
            </w:r>
            <w:r>
              <w:rPr>
                <w:sz w:val="24"/>
                <w:u w:val="single"/>
              </w:rPr>
              <w:tab/>
              <w:t>SEXO</w:t>
              <w:tab/>
            </w:r>
          </w:p>
        </w:tc>
      </w:tr>
      <w:tr>
        <w:trPr>
          <w:trHeight w:val="288" w:hRule="exact"/>
        </w:trPr>
        <w:tc>
          <w:tcPr>
            <w:tcW w:w="3530" w:type="dxa"/>
            <w:tcBorders>
              <w:bottom w:val="single" w:sz="4" w:space="0" w:color="000000"/>
            </w:tcBorders>
          </w:tcPr>
          <w:p>
            <w:pPr>
              <w:pStyle w:val="TableParagraph"/>
              <w:spacing w:before="3"/>
              <w:ind w:left="84"/>
              <w:jc w:val="left"/>
              <w:rPr>
                <w:sz w:val="24"/>
              </w:rPr>
            </w:pPr>
            <w:r>
              <w:rPr>
                <w:sz w:val="24"/>
              </w:rPr>
              <w:t>Variable</w:t>
            </w:r>
          </w:p>
        </w:tc>
        <w:tc>
          <w:tcPr>
            <w:tcW w:w="1933" w:type="dxa"/>
            <w:tcBorders>
              <w:bottom w:val="single" w:sz="4" w:space="0" w:color="000000"/>
            </w:tcBorders>
          </w:tcPr>
          <w:p>
            <w:pPr>
              <w:pStyle w:val="TableParagraph"/>
              <w:spacing w:before="3"/>
              <w:ind w:left="228"/>
              <w:rPr>
                <w:sz w:val="24"/>
              </w:rPr>
            </w:pPr>
            <w:r>
              <w:rPr>
                <w:w w:val="99"/>
                <w:sz w:val="24"/>
              </w:rPr>
              <w:t>M</w:t>
            </w:r>
          </w:p>
        </w:tc>
        <w:tc>
          <w:tcPr>
            <w:tcW w:w="1264" w:type="dxa"/>
            <w:tcBorders>
              <w:bottom w:val="single" w:sz="4" w:space="0" w:color="000000"/>
            </w:tcBorders>
          </w:tcPr>
          <w:p>
            <w:pPr>
              <w:pStyle w:val="TableParagraph"/>
              <w:spacing w:before="3"/>
              <w:ind w:left="348"/>
              <w:jc w:val="left"/>
              <w:rPr>
                <w:sz w:val="24"/>
              </w:rPr>
            </w:pPr>
            <w:r>
              <w:rPr>
                <w:w w:val="99"/>
                <w:sz w:val="24"/>
              </w:rPr>
              <w:t>H</w:t>
            </w:r>
          </w:p>
        </w:tc>
        <w:tc>
          <w:tcPr>
            <w:tcW w:w="1234" w:type="dxa"/>
            <w:tcBorders>
              <w:bottom w:val="single" w:sz="4" w:space="0" w:color="000000"/>
            </w:tcBorders>
          </w:tcPr>
          <w:p>
            <w:pPr>
              <w:pStyle w:val="TableParagraph"/>
              <w:spacing w:before="3"/>
              <w:ind w:left="208"/>
              <w:jc w:val="left"/>
              <w:rPr>
                <w:sz w:val="24"/>
              </w:rPr>
            </w:pPr>
            <w:r>
              <w:rPr>
                <w:sz w:val="24"/>
              </w:rPr>
              <w:t>EEM</w:t>
            </w:r>
          </w:p>
        </w:tc>
        <w:tc>
          <w:tcPr>
            <w:tcW w:w="895" w:type="dxa"/>
            <w:tcBorders>
              <w:bottom w:val="single" w:sz="4" w:space="0" w:color="000000"/>
            </w:tcBorders>
          </w:tcPr>
          <w:p>
            <w:pPr>
              <w:pStyle w:val="TableParagraph"/>
              <w:spacing w:before="3"/>
              <w:ind w:left="287"/>
              <w:jc w:val="left"/>
              <w:rPr>
                <w:sz w:val="24"/>
              </w:rPr>
            </w:pPr>
            <w:r>
              <w:rPr>
                <w:w w:val="100"/>
                <w:sz w:val="24"/>
              </w:rPr>
              <w:t>P</w:t>
            </w:r>
          </w:p>
        </w:tc>
      </w:tr>
      <w:tr>
        <w:trPr>
          <w:trHeight w:val="616" w:hRule="exact"/>
        </w:trPr>
        <w:tc>
          <w:tcPr>
            <w:tcW w:w="3530" w:type="dxa"/>
            <w:tcBorders>
              <w:top w:val="single" w:sz="4" w:space="0" w:color="000000"/>
            </w:tcBorders>
          </w:tcPr>
          <w:p>
            <w:pPr>
              <w:pStyle w:val="TableParagraph"/>
              <w:spacing w:before="2"/>
              <w:jc w:val="left"/>
              <w:rPr>
                <w:sz w:val="27"/>
              </w:rPr>
            </w:pPr>
          </w:p>
          <w:p>
            <w:pPr>
              <w:pStyle w:val="TableParagraph"/>
              <w:ind w:left="84"/>
              <w:jc w:val="left"/>
              <w:rPr>
                <w:sz w:val="24"/>
              </w:rPr>
            </w:pPr>
            <w:r>
              <w:rPr>
                <w:sz w:val="24"/>
              </w:rPr>
              <w:t>MATERIA SECA</w:t>
            </w:r>
          </w:p>
        </w:tc>
        <w:tc>
          <w:tcPr>
            <w:tcW w:w="1933" w:type="dxa"/>
            <w:tcBorders>
              <w:top w:val="single" w:sz="4" w:space="0" w:color="000000"/>
            </w:tcBorders>
          </w:tcPr>
          <w:p>
            <w:pPr>
              <w:pStyle w:val="TableParagraph"/>
              <w:spacing w:before="2"/>
              <w:jc w:val="left"/>
              <w:rPr>
                <w:sz w:val="27"/>
              </w:rPr>
            </w:pPr>
          </w:p>
          <w:p>
            <w:pPr>
              <w:pStyle w:val="TableParagraph"/>
              <w:ind w:right="318"/>
              <w:jc w:val="right"/>
              <w:rPr>
                <w:sz w:val="24"/>
              </w:rPr>
            </w:pPr>
            <w:r>
              <w:rPr>
                <w:sz w:val="24"/>
              </w:rPr>
              <w:t>26.44</w:t>
            </w:r>
          </w:p>
        </w:tc>
        <w:tc>
          <w:tcPr>
            <w:tcW w:w="1264" w:type="dxa"/>
            <w:tcBorders>
              <w:top w:val="single" w:sz="4" w:space="0" w:color="000000"/>
            </w:tcBorders>
          </w:tcPr>
          <w:p>
            <w:pPr>
              <w:pStyle w:val="TableParagraph"/>
              <w:spacing w:before="2"/>
              <w:jc w:val="left"/>
              <w:rPr>
                <w:sz w:val="27"/>
              </w:rPr>
            </w:pPr>
          </w:p>
          <w:p>
            <w:pPr>
              <w:pStyle w:val="TableParagraph"/>
              <w:ind w:right="206"/>
              <w:jc w:val="right"/>
              <w:rPr>
                <w:sz w:val="24"/>
              </w:rPr>
            </w:pPr>
            <w:r>
              <w:rPr>
                <w:sz w:val="24"/>
              </w:rPr>
              <w:t>25.86</w:t>
            </w:r>
          </w:p>
        </w:tc>
        <w:tc>
          <w:tcPr>
            <w:tcW w:w="1234" w:type="dxa"/>
            <w:tcBorders>
              <w:top w:val="single" w:sz="4" w:space="0" w:color="000000"/>
            </w:tcBorders>
          </w:tcPr>
          <w:p>
            <w:pPr>
              <w:pStyle w:val="TableParagraph"/>
              <w:spacing w:before="2"/>
              <w:jc w:val="left"/>
              <w:rPr>
                <w:sz w:val="27"/>
              </w:rPr>
            </w:pPr>
          </w:p>
          <w:p>
            <w:pPr>
              <w:pStyle w:val="TableParagraph"/>
              <w:ind w:right="221"/>
              <w:jc w:val="right"/>
              <w:rPr>
                <w:sz w:val="24"/>
              </w:rPr>
            </w:pPr>
            <w:r>
              <w:rPr>
                <w:sz w:val="24"/>
              </w:rPr>
              <w:t>0.436</w:t>
            </w:r>
          </w:p>
        </w:tc>
        <w:tc>
          <w:tcPr>
            <w:tcW w:w="895" w:type="dxa"/>
            <w:tcBorders>
              <w:top w:val="single" w:sz="4" w:space="0" w:color="000000"/>
            </w:tcBorders>
          </w:tcPr>
          <w:p>
            <w:pPr>
              <w:pStyle w:val="TableParagraph"/>
              <w:spacing w:before="2"/>
              <w:jc w:val="left"/>
              <w:rPr>
                <w:sz w:val="27"/>
              </w:rPr>
            </w:pPr>
          </w:p>
          <w:p>
            <w:pPr>
              <w:pStyle w:val="TableParagraph"/>
              <w:ind w:left="223"/>
              <w:jc w:val="left"/>
              <w:rPr>
                <w:sz w:val="24"/>
              </w:rPr>
            </w:pPr>
            <w:r>
              <w:rPr>
                <w:sz w:val="24"/>
              </w:rPr>
              <w:t>0.437</w:t>
            </w:r>
          </w:p>
        </w:tc>
      </w:tr>
      <w:tr>
        <w:trPr>
          <w:trHeight w:val="295" w:hRule="exact"/>
        </w:trPr>
        <w:tc>
          <w:tcPr>
            <w:tcW w:w="3530" w:type="dxa"/>
          </w:tcPr>
          <w:p>
            <w:pPr>
              <w:pStyle w:val="TableParagraph"/>
              <w:spacing w:line="273" w:lineRule="exact"/>
              <w:ind w:left="84"/>
              <w:jc w:val="left"/>
              <w:rPr>
                <w:sz w:val="24"/>
              </w:rPr>
            </w:pPr>
            <w:r>
              <w:rPr>
                <w:sz w:val="24"/>
              </w:rPr>
              <w:t>HUMEDAD</w:t>
            </w:r>
          </w:p>
        </w:tc>
        <w:tc>
          <w:tcPr>
            <w:tcW w:w="1933" w:type="dxa"/>
          </w:tcPr>
          <w:p>
            <w:pPr>
              <w:pStyle w:val="TableParagraph"/>
              <w:spacing w:line="273" w:lineRule="exact"/>
              <w:ind w:right="318"/>
              <w:jc w:val="right"/>
              <w:rPr>
                <w:sz w:val="24"/>
              </w:rPr>
            </w:pPr>
            <w:r>
              <w:rPr>
                <w:sz w:val="24"/>
              </w:rPr>
              <w:t>73.68</w:t>
            </w:r>
          </w:p>
        </w:tc>
        <w:tc>
          <w:tcPr>
            <w:tcW w:w="1264" w:type="dxa"/>
          </w:tcPr>
          <w:p>
            <w:pPr>
              <w:pStyle w:val="TableParagraph"/>
              <w:spacing w:line="273" w:lineRule="exact"/>
              <w:ind w:right="206"/>
              <w:jc w:val="right"/>
              <w:rPr>
                <w:sz w:val="24"/>
              </w:rPr>
            </w:pPr>
            <w:r>
              <w:rPr>
                <w:sz w:val="24"/>
              </w:rPr>
              <w:t>73.94</w:t>
            </w:r>
          </w:p>
        </w:tc>
        <w:tc>
          <w:tcPr>
            <w:tcW w:w="1234" w:type="dxa"/>
          </w:tcPr>
          <w:p>
            <w:pPr>
              <w:pStyle w:val="TableParagraph"/>
              <w:spacing w:line="273" w:lineRule="exact"/>
              <w:ind w:right="221"/>
              <w:jc w:val="right"/>
              <w:rPr>
                <w:sz w:val="24"/>
              </w:rPr>
            </w:pPr>
            <w:r>
              <w:rPr>
                <w:sz w:val="24"/>
              </w:rPr>
              <w:t>0.436</w:t>
            </w:r>
          </w:p>
        </w:tc>
        <w:tc>
          <w:tcPr>
            <w:tcW w:w="895" w:type="dxa"/>
          </w:tcPr>
          <w:p>
            <w:pPr>
              <w:pStyle w:val="TableParagraph"/>
              <w:spacing w:line="273" w:lineRule="exact"/>
              <w:ind w:left="223"/>
              <w:jc w:val="left"/>
              <w:rPr>
                <w:sz w:val="24"/>
              </w:rPr>
            </w:pPr>
            <w:r>
              <w:rPr>
                <w:sz w:val="24"/>
              </w:rPr>
              <w:t>0.437</w:t>
            </w:r>
          </w:p>
        </w:tc>
      </w:tr>
      <w:tr>
        <w:trPr>
          <w:trHeight w:val="296" w:hRule="exact"/>
        </w:trPr>
        <w:tc>
          <w:tcPr>
            <w:tcW w:w="3530" w:type="dxa"/>
          </w:tcPr>
          <w:p>
            <w:pPr>
              <w:pStyle w:val="TableParagraph"/>
              <w:spacing w:line="273" w:lineRule="exact"/>
              <w:ind w:left="84"/>
              <w:jc w:val="left"/>
              <w:rPr>
                <w:sz w:val="24"/>
              </w:rPr>
            </w:pPr>
            <w:r>
              <w:rPr>
                <w:sz w:val="24"/>
              </w:rPr>
              <w:t>PROTEINA</w:t>
            </w:r>
          </w:p>
        </w:tc>
        <w:tc>
          <w:tcPr>
            <w:tcW w:w="1933" w:type="dxa"/>
          </w:tcPr>
          <w:p>
            <w:pPr>
              <w:pStyle w:val="TableParagraph"/>
              <w:spacing w:line="273" w:lineRule="exact"/>
              <w:ind w:right="318"/>
              <w:jc w:val="right"/>
              <w:rPr>
                <w:sz w:val="24"/>
              </w:rPr>
            </w:pPr>
            <w:r>
              <w:rPr>
                <w:sz w:val="24"/>
              </w:rPr>
              <w:t>22.6</w:t>
            </w:r>
          </w:p>
        </w:tc>
        <w:tc>
          <w:tcPr>
            <w:tcW w:w="1264" w:type="dxa"/>
          </w:tcPr>
          <w:p>
            <w:pPr>
              <w:pStyle w:val="TableParagraph"/>
              <w:spacing w:line="273" w:lineRule="exact"/>
              <w:ind w:right="206"/>
              <w:jc w:val="right"/>
              <w:rPr>
                <w:sz w:val="24"/>
              </w:rPr>
            </w:pPr>
            <w:r>
              <w:rPr>
                <w:sz w:val="24"/>
              </w:rPr>
              <w:t>21.69</w:t>
            </w:r>
          </w:p>
        </w:tc>
        <w:tc>
          <w:tcPr>
            <w:tcW w:w="1234" w:type="dxa"/>
          </w:tcPr>
          <w:p>
            <w:pPr>
              <w:pStyle w:val="TableParagraph"/>
              <w:spacing w:line="273" w:lineRule="exact"/>
              <w:ind w:right="221"/>
              <w:jc w:val="right"/>
              <w:rPr>
                <w:sz w:val="24"/>
              </w:rPr>
            </w:pPr>
            <w:r>
              <w:rPr>
                <w:sz w:val="24"/>
              </w:rPr>
              <w:t>0.399</w:t>
            </w:r>
          </w:p>
        </w:tc>
        <w:tc>
          <w:tcPr>
            <w:tcW w:w="895" w:type="dxa"/>
          </w:tcPr>
          <w:p>
            <w:pPr>
              <w:pStyle w:val="TableParagraph"/>
              <w:spacing w:line="273" w:lineRule="exact"/>
              <w:ind w:left="223"/>
              <w:jc w:val="left"/>
              <w:rPr>
                <w:sz w:val="24"/>
              </w:rPr>
            </w:pPr>
            <w:r>
              <w:rPr>
                <w:sz w:val="24"/>
              </w:rPr>
              <w:t>0.114</w:t>
            </w:r>
          </w:p>
        </w:tc>
      </w:tr>
      <w:tr>
        <w:trPr>
          <w:trHeight w:val="296" w:hRule="exact"/>
        </w:trPr>
        <w:tc>
          <w:tcPr>
            <w:tcW w:w="3530" w:type="dxa"/>
          </w:tcPr>
          <w:p>
            <w:pPr>
              <w:pStyle w:val="TableParagraph"/>
              <w:spacing w:line="274" w:lineRule="exact"/>
              <w:ind w:left="84"/>
              <w:jc w:val="left"/>
              <w:rPr>
                <w:sz w:val="24"/>
              </w:rPr>
            </w:pPr>
            <w:r>
              <w:rPr>
                <w:sz w:val="24"/>
              </w:rPr>
              <w:t>GRASA</w:t>
            </w:r>
          </w:p>
        </w:tc>
        <w:tc>
          <w:tcPr>
            <w:tcW w:w="1933" w:type="dxa"/>
          </w:tcPr>
          <w:p>
            <w:pPr>
              <w:pStyle w:val="TableParagraph"/>
              <w:spacing w:line="274" w:lineRule="exact"/>
              <w:ind w:right="318"/>
              <w:jc w:val="right"/>
              <w:rPr>
                <w:sz w:val="24"/>
              </w:rPr>
            </w:pPr>
            <w:r>
              <w:rPr>
                <w:sz w:val="24"/>
              </w:rPr>
              <w:t>3.29</w:t>
            </w:r>
          </w:p>
        </w:tc>
        <w:tc>
          <w:tcPr>
            <w:tcW w:w="1264" w:type="dxa"/>
          </w:tcPr>
          <w:p>
            <w:pPr>
              <w:pStyle w:val="TableParagraph"/>
              <w:spacing w:line="274" w:lineRule="exact"/>
              <w:ind w:right="206"/>
              <w:jc w:val="right"/>
              <w:rPr>
                <w:sz w:val="24"/>
              </w:rPr>
            </w:pPr>
            <w:r>
              <w:rPr>
                <w:sz w:val="24"/>
              </w:rPr>
              <w:t>2.88</w:t>
            </w:r>
          </w:p>
        </w:tc>
        <w:tc>
          <w:tcPr>
            <w:tcW w:w="1234" w:type="dxa"/>
          </w:tcPr>
          <w:p>
            <w:pPr>
              <w:pStyle w:val="TableParagraph"/>
              <w:spacing w:line="274" w:lineRule="exact"/>
              <w:ind w:right="221"/>
              <w:jc w:val="right"/>
              <w:rPr>
                <w:sz w:val="24"/>
              </w:rPr>
            </w:pPr>
            <w:r>
              <w:rPr>
                <w:sz w:val="24"/>
              </w:rPr>
              <w:t>0.204</w:t>
            </w:r>
          </w:p>
        </w:tc>
        <w:tc>
          <w:tcPr>
            <w:tcW w:w="895" w:type="dxa"/>
          </w:tcPr>
          <w:p>
            <w:pPr>
              <w:pStyle w:val="TableParagraph"/>
              <w:spacing w:line="274" w:lineRule="exact"/>
              <w:ind w:left="223"/>
              <w:jc w:val="left"/>
              <w:rPr>
                <w:sz w:val="24"/>
              </w:rPr>
            </w:pPr>
            <w:r>
              <w:rPr>
                <w:sz w:val="24"/>
              </w:rPr>
              <w:t>0.167</w:t>
            </w:r>
          </w:p>
        </w:tc>
      </w:tr>
      <w:tr>
        <w:trPr>
          <w:trHeight w:val="295" w:hRule="exact"/>
        </w:trPr>
        <w:tc>
          <w:tcPr>
            <w:tcW w:w="3530" w:type="dxa"/>
          </w:tcPr>
          <w:p>
            <w:pPr>
              <w:pStyle w:val="TableParagraph"/>
              <w:spacing w:line="273" w:lineRule="exact"/>
              <w:ind w:left="84"/>
              <w:jc w:val="left"/>
              <w:rPr>
                <w:sz w:val="24"/>
              </w:rPr>
            </w:pPr>
            <w:r>
              <w:rPr>
                <w:sz w:val="24"/>
              </w:rPr>
              <w:t>CENIZAS</w:t>
            </w:r>
          </w:p>
        </w:tc>
        <w:tc>
          <w:tcPr>
            <w:tcW w:w="1933" w:type="dxa"/>
          </w:tcPr>
          <w:p>
            <w:pPr>
              <w:pStyle w:val="TableParagraph"/>
              <w:spacing w:line="273" w:lineRule="exact"/>
              <w:ind w:right="318"/>
              <w:jc w:val="right"/>
              <w:rPr>
                <w:sz w:val="24"/>
              </w:rPr>
            </w:pPr>
            <w:r>
              <w:rPr>
                <w:sz w:val="24"/>
              </w:rPr>
              <w:t>1.16</w:t>
            </w:r>
          </w:p>
        </w:tc>
        <w:tc>
          <w:tcPr>
            <w:tcW w:w="1264" w:type="dxa"/>
          </w:tcPr>
          <w:p>
            <w:pPr>
              <w:pStyle w:val="TableParagraph"/>
              <w:spacing w:line="273" w:lineRule="exact"/>
              <w:ind w:right="206"/>
              <w:jc w:val="right"/>
              <w:rPr>
                <w:sz w:val="24"/>
              </w:rPr>
            </w:pPr>
            <w:r>
              <w:rPr>
                <w:sz w:val="24"/>
              </w:rPr>
              <w:t>1.07</w:t>
            </w:r>
          </w:p>
        </w:tc>
        <w:tc>
          <w:tcPr>
            <w:tcW w:w="1234" w:type="dxa"/>
          </w:tcPr>
          <w:p>
            <w:pPr>
              <w:pStyle w:val="TableParagraph"/>
              <w:spacing w:line="273" w:lineRule="exact"/>
              <w:ind w:right="221"/>
              <w:jc w:val="right"/>
              <w:rPr>
                <w:sz w:val="24"/>
              </w:rPr>
            </w:pPr>
            <w:r>
              <w:rPr>
                <w:sz w:val="24"/>
              </w:rPr>
              <w:t>0.079</w:t>
            </w:r>
          </w:p>
        </w:tc>
        <w:tc>
          <w:tcPr>
            <w:tcW w:w="895" w:type="dxa"/>
          </w:tcPr>
          <w:p>
            <w:pPr>
              <w:pStyle w:val="TableParagraph"/>
              <w:spacing w:line="273" w:lineRule="exact"/>
              <w:ind w:left="223"/>
              <w:jc w:val="left"/>
              <w:rPr>
                <w:sz w:val="24"/>
              </w:rPr>
            </w:pPr>
            <w:r>
              <w:rPr>
                <w:sz w:val="24"/>
              </w:rPr>
              <w:t>0.479</w:t>
            </w:r>
          </w:p>
        </w:tc>
      </w:tr>
      <w:tr>
        <w:trPr>
          <w:trHeight w:val="297" w:hRule="exact"/>
        </w:trPr>
        <w:tc>
          <w:tcPr>
            <w:tcW w:w="3530" w:type="dxa"/>
          </w:tcPr>
          <w:p>
            <w:pPr>
              <w:pStyle w:val="TableParagraph"/>
              <w:spacing w:line="273" w:lineRule="exact"/>
              <w:ind w:left="84"/>
              <w:jc w:val="left"/>
              <w:rPr>
                <w:sz w:val="24"/>
              </w:rPr>
            </w:pPr>
            <w:r>
              <w:rPr>
                <w:sz w:val="24"/>
              </w:rPr>
              <w:t>PESO AL SACRIFICIO</w:t>
            </w:r>
          </w:p>
        </w:tc>
        <w:tc>
          <w:tcPr>
            <w:tcW w:w="1933" w:type="dxa"/>
          </w:tcPr>
          <w:p>
            <w:pPr>
              <w:pStyle w:val="TableParagraph"/>
              <w:spacing w:line="273" w:lineRule="exact"/>
              <w:ind w:right="318"/>
              <w:jc w:val="right"/>
              <w:rPr>
                <w:sz w:val="24"/>
              </w:rPr>
            </w:pPr>
            <w:r>
              <w:rPr>
                <w:sz w:val="24"/>
              </w:rPr>
              <w:t>2.484</w:t>
            </w:r>
          </w:p>
        </w:tc>
        <w:tc>
          <w:tcPr>
            <w:tcW w:w="1264" w:type="dxa"/>
          </w:tcPr>
          <w:p>
            <w:pPr>
              <w:pStyle w:val="TableParagraph"/>
              <w:spacing w:line="273" w:lineRule="exact"/>
              <w:ind w:right="206"/>
              <w:jc w:val="right"/>
              <w:rPr>
                <w:sz w:val="24"/>
              </w:rPr>
            </w:pPr>
            <w:r>
              <w:rPr>
                <w:sz w:val="24"/>
              </w:rPr>
              <w:t>2.4536</w:t>
            </w:r>
          </w:p>
        </w:tc>
        <w:tc>
          <w:tcPr>
            <w:tcW w:w="1234" w:type="dxa"/>
          </w:tcPr>
          <w:p>
            <w:pPr>
              <w:pStyle w:val="TableParagraph"/>
              <w:spacing w:line="273" w:lineRule="exact"/>
              <w:ind w:right="221"/>
              <w:jc w:val="right"/>
              <w:rPr>
                <w:sz w:val="24"/>
              </w:rPr>
            </w:pPr>
            <w:r>
              <w:rPr>
                <w:sz w:val="24"/>
              </w:rPr>
              <w:t>0.072</w:t>
            </w:r>
          </w:p>
        </w:tc>
        <w:tc>
          <w:tcPr>
            <w:tcW w:w="895" w:type="dxa"/>
          </w:tcPr>
          <w:p>
            <w:pPr>
              <w:pStyle w:val="TableParagraph"/>
              <w:spacing w:line="273" w:lineRule="exact"/>
              <w:ind w:left="223"/>
              <w:jc w:val="left"/>
              <w:rPr>
                <w:sz w:val="24"/>
              </w:rPr>
            </w:pPr>
            <w:r>
              <w:rPr>
                <w:sz w:val="24"/>
              </w:rPr>
              <w:t>0.774</w:t>
            </w:r>
          </w:p>
        </w:tc>
      </w:tr>
      <w:tr>
        <w:trPr>
          <w:trHeight w:val="283" w:hRule="exact"/>
        </w:trPr>
        <w:tc>
          <w:tcPr>
            <w:tcW w:w="3530" w:type="dxa"/>
            <w:tcBorders>
              <w:bottom w:val="single" w:sz="4" w:space="0" w:color="000000"/>
            </w:tcBorders>
          </w:tcPr>
          <w:p>
            <w:pPr>
              <w:pStyle w:val="TableParagraph"/>
              <w:spacing w:line="274" w:lineRule="exact"/>
              <w:ind w:left="84"/>
              <w:jc w:val="left"/>
              <w:rPr>
                <w:sz w:val="24"/>
              </w:rPr>
            </w:pPr>
            <w:r>
              <w:rPr>
                <w:sz w:val="24"/>
              </w:rPr>
              <w:t>PESO A LA CANAL</w:t>
            </w:r>
          </w:p>
        </w:tc>
        <w:tc>
          <w:tcPr>
            <w:tcW w:w="1933" w:type="dxa"/>
            <w:tcBorders>
              <w:bottom w:val="single" w:sz="4" w:space="0" w:color="000000"/>
            </w:tcBorders>
          </w:tcPr>
          <w:p>
            <w:pPr>
              <w:pStyle w:val="TableParagraph"/>
              <w:spacing w:line="274" w:lineRule="exact"/>
              <w:ind w:right="318"/>
              <w:jc w:val="right"/>
              <w:rPr>
                <w:sz w:val="24"/>
              </w:rPr>
            </w:pPr>
            <w:r>
              <w:rPr>
                <w:sz w:val="24"/>
              </w:rPr>
              <w:t>1.448</w:t>
            </w:r>
          </w:p>
        </w:tc>
        <w:tc>
          <w:tcPr>
            <w:tcW w:w="1264" w:type="dxa"/>
            <w:tcBorders>
              <w:bottom w:val="single" w:sz="4" w:space="0" w:color="000000"/>
            </w:tcBorders>
          </w:tcPr>
          <w:p>
            <w:pPr>
              <w:pStyle w:val="TableParagraph"/>
              <w:spacing w:line="274" w:lineRule="exact"/>
              <w:ind w:right="206"/>
              <w:jc w:val="right"/>
              <w:rPr>
                <w:sz w:val="24"/>
              </w:rPr>
            </w:pPr>
            <w:r>
              <w:rPr>
                <w:sz w:val="24"/>
              </w:rPr>
              <w:t>1.4385</w:t>
            </w:r>
          </w:p>
        </w:tc>
        <w:tc>
          <w:tcPr>
            <w:tcW w:w="1234" w:type="dxa"/>
            <w:tcBorders>
              <w:bottom w:val="single" w:sz="4" w:space="0" w:color="000000"/>
            </w:tcBorders>
          </w:tcPr>
          <w:p>
            <w:pPr>
              <w:pStyle w:val="TableParagraph"/>
              <w:spacing w:line="274" w:lineRule="exact"/>
              <w:ind w:right="221"/>
              <w:jc w:val="right"/>
              <w:rPr>
                <w:sz w:val="24"/>
              </w:rPr>
            </w:pPr>
            <w:r>
              <w:rPr>
                <w:sz w:val="24"/>
              </w:rPr>
              <w:t>0.075</w:t>
            </w:r>
          </w:p>
        </w:tc>
        <w:tc>
          <w:tcPr>
            <w:tcW w:w="895" w:type="dxa"/>
            <w:tcBorders>
              <w:bottom w:val="single" w:sz="4" w:space="0" w:color="000000"/>
            </w:tcBorders>
          </w:tcPr>
          <w:p>
            <w:pPr>
              <w:pStyle w:val="TableParagraph"/>
              <w:spacing w:line="274" w:lineRule="exact"/>
              <w:ind w:left="223"/>
              <w:jc w:val="left"/>
              <w:rPr>
                <w:sz w:val="24"/>
              </w:rPr>
            </w:pPr>
            <w:r>
              <w:rPr>
                <w:sz w:val="24"/>
              </w:rPr>
              <w:t>0.932</w:t>
            </w:r>
          </w:p>
        </w:tc>
      </w:tr>
    </w:tbl>
    <w:p>
      <w:pPr>
        <w:spacing w:line="227" w:lineRule="exact" w:before="0"/>
        <w:ind w:left="286" w:right="251" w:firstLine="0"/>
        <w:jc w:val="center"/>
        <w:rPr>
          <w:sz w:val="20"/>
        </w:rPr>
      </w:pPr>
      <w:r>
        <w:rPr>
          <w:sz w:val="20"/>
        </w:rPr>
        <w:t>M macho; H hembra; EEM Error Estandar de la Media: p Probabilidad</w:t>
      </w:r>
    </w:p>
    <w:p>
      <w:pPr>
        <w:pStyle w:val="BodyText"/>
        <w:rPr>
          <w:sz w:val="20"/>
        </w:rPr>
      </w:pPr>
    </w:p>
    <w:p>
      <w:pPr>
        <w:pStyle w:val="BodyText"/>
        <w:rPr>
          <w:sz w:val="20"/>
        </w:rPr>
      </w:pPr>
    </w:p>
    <w:p>
      <w:pPr>
        <w:pStyle w:val="BodyText"/>
        <w:rPr>
          <w:sz w:val="20"/>
        </w:rPr>
      </w:pPr>
    </w:p>
    <w:p>
      <w:pPr>
        <w:pStyle w:val="BodyText"/>
        <w:spacing w:line="360" w:lineRule="auto" w:before="153"/>
        <w:ind w:left="152"/>
      </w:pPr>
      <w:r>
        <w:rPr/>
        <w:t>En el cuadro 18 se muestran las características de alimentación comercialización, costos de ventas y sacrificio.</w:t>
      </w:r>
    </w:p>
    <w:p>
      <w:pPr>
        <w:pStyle w:val="BodyText"/>
      </w:pPr>
    </w:p>
    <w:p>
      <w:pPr>
        <w:pStyle w:val="BodyText"/>
        <w:spacing w:before="142"/>
        <w:ind w:left="288" w:right="251"/>
        <w:jc w:val="center"/>
      </w:pPr>
      <w:r>
        <w:rPr/>
        <w:pict>
          <v:group style="position:absolute;margin-left:93.374001pt;margin-top:27.845867pt;width:442.55pt;height:.5pt;mso-position-horizontal-relative:page;mso-position-vertical-relative:paragraph;z-index:1456;mso-wrap-distance-left:0;mso-wrap-distance-right:0" coordorigin="1867,557" coordsize="8851,10">
            <v:line style="position:absolute" from="1872,562" to="4020,562" stroked="true" strokeweight=".48001pt" strokecolor="#000000"/>
            <v:line style="position:absolute" from="4020,562" to="4030,562" stroked="true" strokeweight=".48001pt" strokecolor="#000000"/>
            <v:line style="position:absolute" from="4030,562" to="6320,562" stroked="true" strokeweight=".48001pt" strokecolor="#000000"/>
            <v:line style="position:absolute" from="6320,562" to="6330,562" stroked="true" strokeweight=".48001pt" strokecolor="#000000"/>
            <v:line style="position:absolute" from="6330,562" to="7909,562" stroked="true" strokeweight=".48001pt" strokecolor="#000000"/>
            <v:line style="position:absolute" from="7909,562" to="7919,562" stroked="true" strokeweight=".48001pt" strokecolor="#000000"/>
            <v:line style="position:absolute" from="7919,562" to="9311,562" stroked="true" strokeweight=".48001pt" strokecolor="#000000"/>
            <v:line style="position:absolute" from="9311,562" to="9321,562" stroked="true" strokeweight=".48001pt" strokecolor="#000000"/>
            <v:line style="position:absolute" from="9321,562" to="10713,562" stroked="true" strokeweight=".48001pt" strokecolor="#000000"/>
            <w10:wrap type="topAndBottom"/>
          </v:group>
        </w:pict>
      </w:r>
      <w:r>
        <w:rPr/>
        <w:t>Cuadro 18. Alimentacion, comercialización venta</w:t>
      </w:r>
    </w:p>
    <w:p>
      <w:pPr>
        <w:pStyle w:val="BodyText"/>
        <w:spacing w:before="1"/>
        <w:rPr>
          <w:sz w:val="6"/>
        </w:rPr>
      </w:pPr>
    </w:p>
    <w:p>
      <w:pPr>
        <w:spacing w:after="0"/>
        <w:rPr>
          <w:sz w:val="6"/>
        </w:rPr>
        <w:sectPr>
          <w:pgSz w:w="12240" w:h="15840"/>
          <w:pgMar w:header="0" w:footer="1386" w:top="1500" w:bottom="1580" w:left="1720" w:right="1420"/>
        </w:sectPr>
      </w:pPr>
    </w:p>
    <w:p>
      <w:pPr>
        <w:pStyle w:val="BodyText"/>
        <w:tabs>
          <w:tab w:pos="2536" w:val="left" w:leader="none"/>
          <w:tab w:pos="4885" w:val="left" w:leader="none"/>
        </w:tabs>
        <w:spacing w:line="348" w:lineRule="exact" w:before="25"/>
        <w:ind w:left="538"/>
      </w:pPr>
      <w:r>
        <w:rPr/>
        <w:t>Alimentacion</w:t>
        <w:tab/>
        <w:t>Comercializacion</w:t>
        <w:tab/>
      </w:r>
      <w:r>
        <w:rPr>
          <w:position w:val="14"/>
        </w:rPr>
        <w:t>Precio</w:t>
      </w:r>
      <w:r>
        <w:rPr>
          <w:spacing w:val="-2"/>
          <w:position w:val="14"/>
        </w:rPr>
        <w:t> </w:t>
      </w:r>
      <w:r>
        <w:rPr>
          <w:position w:val="14"/>
        </w:rPr>
        <w:t>de</w:t>
      </w:r>
    </w:p>
    <w:p>
      <w:pPr>
        <w:pStyle w:val="BodyText"/>
        <w:spacing w:line="208" w:lineRule="exact"/>
        <w:ind w:right="111"/>
        <w:jc w:val="right"/>
      </w:pPr>
      <w:r>
        <w:rPr/>
        <w:t>gazapo</w:t>
      </w:r>
    </w:p>
    <w:p>
      <w:pPr>
        <w:pStyle w:val="BodyText"/>
        <w:spacing w:before="28"/>
        <w:ind w:left="789" w:right="-19" w:hanging="348"/>
      </w:pPr>
      <w:r>
        <w:rPr/>
        <w:br w:type="column"/>
      </w:r>
      <w:r>
        <w:rPr/>
        <w:t>Precio en pie</w:t>
      </w:r>
    </w:p>
    <w:p>
      <w:pPr>
        <w:pStyle w:val="BodyText"/>
        <w:spacing w:before="28"/>
        <w:ind w:left="569" w:right="462" w:hanging="41"/>
      </w:pPr>
      <w:r>
        <w:rPr/>
        <w:br w:type="column"/>
      </w:r>
      <w:r>
        <w:rPr/>
        <w:t>precio canal</w:t>
      </w:r>
    </w:p>
    <w:p>
      <w:pPr>
        <w:spacing w:after="0"/>
        <w:sectPr>
          <w:type w:val="continuous"/>
          <w:pgSz w:w="12240" w:h="15840"/>
          <w:pgMar w:top="1500" w:bottom="280" w:left="1720" w:right="1420"/>
          <w:cols w:num="3" w:equalWidth="0">
            <w:col w:w="5900" w:space="40"/>
            <w:col w:w="1456" w:space="40"/>
            <w:col w:w="1664"/>
          </w:cols>
        </w:sectPr>
      </w:pPr>
    </w:p>
    <w:p>
      <w:pPr>
        <w:pStyle w:val="BodyText"/>
        <w:spacing w:before="9"/>
        <w:rPr>
          <w:sz w:val="11"/>
        </w:rPr>
      </w:pPr>
    </w:p>
    <w:p>
      <w:pPr>
        <w:pStyle w:val="BodyText"/>
        <w:spacing w:line="20" w:lineRule="exact"/>
        <w:ind w:left="147"/>
        <w:rPr>
          <w:sz w:val="2"/>
        </w:rPr>
      </w:pPr>
      <w:r>
        <w:rPr>
          <w:sz w:val="2"/>
        </w:rPr>
        <w:pict>
          <v:group style="width:442.55pt;height:.5pt;mso-position-horizontal-relative:char;mso-position-vertical-relative:line" coordorigin="0,0" coordsize="8851,10">
            <v:line style="position:absolute" from="5,5" to="2153,5" stroked="true" strokeweight=".48001pt" strokecolor="#000000"/>
            <v:line style="position:absolute" from="2153,5" to="2163,5" stroked="true" strokeweight=".48001pt" strokecolor="#000000"/>
            <v:line style="position:absolute" from="2163,5" to="4453,5" stroked="true" strokeweight=".48001pt" strokecolor="#000000"/>
            <v:line style="position:absolute" from="4453,5" to="4462,5" stroked="true" strokeweight=".48001pt" strokecolor="#000000"/>
            <v:line style="position:absolute" from="4462,5" to="6042,5" stroked="true" strokeweight=".48001pt" strokecolor="#000000"/>
            <v:line style="position:absolute" from="6042,5" to="6052,5" stroked="true" strokeweight=".48001pt" strokecolor="#000000"/>
            <v:line style="position:absolute" from="6052,5" to="7444,5" stroked="true" strokeweight=".48001pt" strokecolor="#000000"/>
            <v:line style="position:absolute" from="7444,5" to="7453,5" stroked="true" strokeweight=".48001pt" strokecolor="#000000"/>
            <v:line style="position:absolute" from="7453,5" to="8846,5" stroked="true" strokeweight=".48001pt" strokecolor="#000000"/>
          </v:group>
        </w:pict>
      </w:r>
      <w:r>
        <w:rPr>
          <w:sz w:val="2"/>
        </w:rPr>
      </w:r>
    </w:p>
    <w:p>
      <w:pPr>
        <w:spacing w:after="0" w:line="20" w:lineRule="exact"/>
        <w:rPr>
          <w:sz w:val="2"/>
        </w:rPr>
        <w:sectPr>
          <w:type w:val="continuous"/>
          <w:pgSz w:w="12240" w:h="15840"/>
          <w:pgMar w:top="1500" w:bottom="280" w:left="1720" w:right="1420"/>
        </w:sectPr>
      </w:pPr>
    </w:p>
    <w:p>
      <w:pPr>
        <w:pStyle w:val="BodyText"/>
      </w:pPr>
    </w:p>
    <w:p>
      <w:pPr>
        <w:pStyle w:val="BodyText"/>
        <w:spacing w:before="9"/>
        <w:rPr>
          <w:sz w:val="33"/>
        </w:rPr>
      </w:pPr>
    </w:p>
    <w:p>
      <w:pPr>
        <w:pStyle w:val="BodyText"/>
        <w:ind w:left="685" w:right="-18"/>
      </w:pPr>
      <w:r>
        <w:rPr/>
        <w:t>Comercial</w:t>
      </w:r>
    </w:p>
    <w:p>
      <w:pPr>
        <w:pStyle w:val="BodyText"/>
        <w:spacing w:line="357" w:lineRule="auto" w:before="48"/>
        <w:ind w:left="1011" w:right="326" w:firstLine="4"/>
        <w:jc w:val="center"/>
      </w:pPr>
      <w:r>
        <w:rPr/>
        <w:br w:type="column"/>
      </w:r>
      <w:r>
        <w:rPr/>
        <w:t>Canal Pie Gazapo</w:t>
      </w:r>
    </w:p>
    <w:p>
      <w:pPr>
        <w:pStyle w:val="BodyText"/>
        <w:spacing w:before="5"/>
        <w:ind w:left="685"/>
        <w:jc w:val="center"/>
      </w:pPr>
      <w:r>
        <w:rPr/>
        <w:t>Transformado</w:t>
      </w:r>
    </w:p>
    <w:p>
      <w:pPr>
        <w:pStyle w:val="BodyText"/>
      </w:pPr>
      <w:r>
        <w:rPr/>
        <w:br w:type="column"/>
      </w:r>
      <w:r>
        <w:rPr/>
      </w:r>
    </w:p>
    <w:p>
      <w:pPr>
        <w:pStyle w:val="BodyText"/>
        <w:spacing w:before="9"/>
        <w:rPr>
          <w:sz w:val="33"/>
        </w:rPr>
      </w:pPr>
    </w:p>
    <w:p>
      <w:pPr>
        <w:pStyle w:val="BodyText"/>
        <w:tabs>
          <w:tab w:pos="2180" w:val="left" w:leader="none"/>
          <w:tab w:pos="3513" w:val="left" w:leader="none"/>
        </w:tabs>
        <w:ind w:left="685"/>
      </w:pPr>
      <w:r>
        <w:rPr/>
        <w:t>$42.5</w:t>
        <w:tab/>
        <w:t>$45.5</w:t>
        <w:tab/>
        <w:t>$87.33</w:t>
      </w:r>
    </w:p>
    <w:p>
      <w:pPr>
        <w:spacing w:after="0"/>
        <w:sectPr>
          <w:type w:val="continuous"/>
          <w:pgSz w:w="12240" w:h="15840"/>
          <w:pgMar w:top="1500" w:bottom="280" w:left="1720" w:right="1420"/>
          <w:cols w:num="3" w:equalWidth="0">
            <w:col w:w="1768" w:space="249"/>
            <w:col w:w="2181" w:space="211"/>
            <w:col w:w="4691"/>
          </w:cols>
        </w:sectPr>
      </w:pPr>
    </w:p>
    <w:p>
      <w:pPr>
        <w:pStyle w:val="BodyText"/>
        <w:spacing w:before="9"/>
        <w:rPr>
          <w:sz w:val="5"/>
        </w:rPr>
      </w:pPr>
    </w:p>
    <w:p>
      <w:pPr>
        <w:pStyle w:val="BodyText"/>
        <w:spacing w:line="20" w:lineRule="exact"/>
        <w:ind w:left="147"/>
        <w:rPr>
          <w:sz w:val="2"/>
        </w:rPr>
      </w:pPr>
      <w:r>
        <w:rPr>
          <w:sz w:val="2"/>
        </w:rPr>
        <w:pict>
          <v:group style="width:442.55pt;height:.5pt;mso-position-horizontal-relative:char;mso-position-vertical-relative:line" coordorigin="0,0" coordsize="8851,10">
            <v:line style="position:absolute" from="5,5" to="2153,5" stroked="true" strokeweight=".47998pt" strokecolor="#000000"/>
            <v:line style="position:absolute" from="2153,5" to="2163,5" stroked="true" strokeweight=".47998pt" strokecolor="#000000"/>
            <v:line style="position:absolute" from="2163,5" to="4453,5" stroked="true" strokeweight=".47998pt" strokecolor="#000000"/>
            <v:line style="position:absolute" from="4453,5" to="4462,5" stroked="true" strokeweight=".47998pt" strokecolor="#000000"/>
            <v:line style="position:absolute" from="4462,5" to="6042,5" stroked="true" strokeweight=".47998pt" strokecolor="#000000"/>
            <v:line style="position:absolute" from="6042,5" to="6052,5" stroked="true" strokeweight=".47998pt" strokecolor="#000000"/>
            <v:line style="position:absolute" from="6052,5" to="7444,5" stroked="true" strokeweight=".47998pt" strokecolor="#000000"/>
            <v:line style="position:absolute" from="7444,5" to="7453,5" stroked="true" strokeweight=".47998pt" strokecolor="#000000"/>
            <v:line style="position:absolute" from="7453,5" to="8846,5" stroked="true" strokeweight=".47998pt" strokecolor="#000000"/>
          </v:group>
        </w:pict>
      </w:r>
      <w:r>
        <w:rPr>
          <w:sz w:val="2"/>
        </w:rPr>
      </w:r>
    </w:p>
    <w:p>
      <w:pPr>
        <w:pStyle w:val="BodyText"/>
        <w:rPr>
          <w:sz w:val="20"/>
        </w:rPr>
      </w:pPr>
    </w:p>
    <w:p>
      <w:pPr>
        <w:pStyle w:val="BodyText"/>
        <w:rPr>
          <w:sz w:val="18"/>
        </w:rPr>
      </w:pPr>
    </w:p>
    <w:p>
      <w:pPr>
        <w:pStyle w:val="BodyText"/>
        <w:spacing w:line="276" w:lineRule="auto" w:before="70"/>
        <w:ind w:left="152" w:right="107"/>
        <w:jc w:val="both"/>
      </w:pPr>
      <w:r>
        <w:rPr/>
        <w:t>En el siguiente cuadro 19 se muestran las características de los métodos de sacrificio, normatividad, la aplicación de las buenas prácticas de manufatura y de sacrificio</w:t>
      </w:r>
      <w:r>
        <w:rPr>
          <w:spacing w:val="-19"/>
        </w:rPr>
        <w:t> </w:t>
      </w:r>
      <w:r>
        <w:rPr/>
        <w:t>y</w:t>
      </w:r>
      <w:r>
        <w:rPr>
          <w:spacing w:val="-22"/>
        </w:rPr>
        <w:t> </w:t>
      </w:r>
      <w:r>
        <w:rPr/>
        <w:t>las</w:t>
      </w:r>
      <w:r>
        <w:rPr>
          <w:spacing w:val="-19"/>
        </w:rPr>
        <w:t> </w:t>
      </w:r>
      <w:r>
        <w:rPr/>
        <w:t>enfermedades</w:t>
      </w:r>
      <w:r>
        <w:rPr>
          <w:spacing w:val="-20"/>
        </w:rPr>
        <w:t> </w:t>
      </w:r>
      <w:r>
        <w:rPr/>
        <w:t>mas</w:t>
      </w:r>
      <w:r>
        <w:rPr>
          <w:spacing w:val="-20"/>
        </w:rPr>
        <w:t> </w:t>
      </w:r>
      <w:r>
        <w:rPr/>
        <w:t>comunes</w:t>
      </w:r>
      <w:r>
        <w:rPr>
          <w:spacing w:val="-20"/>
        </w:rPr>
        <w:t> </w:t>
      </w:r>
      <w:r>
        <w:rPr/>
        <w:t>que</w:t>
      </w:r>
      <w:r>
        <w:rPr>
          <w:spacing w:val="-19"/>
        </w:rPr>
        <w:t> </w:t>
      </w:r>
      <w:r>
        <w:rPr/>
        <w:t>reportan</w:t>
      </w:r>
      <w:r>
        <w:rPr>
          <w:spacing w:val="-19"/>
        </w:rPr>
        <w:t> </w:t>
      </w:r>
      <w:r>
        <w:rPr/>
        <w:t>los</w:t>
      </w:r>
      <w:r>
        <w:rPr>
          <w:spacing w:val="-20"/>
        </w:rPr>
        <w:t> </w:t>
      </w:r>
      <w:r>
        <w:rPr/>
        <w:t>productores</w:t>
      </w:r>
      <w:r>
        <w:rPr>
          <w:spacing w:val="-20"/>
        </w:rPr>
        <w:t> </w:t>
      </w:r>
      <w:r>
        <w:rPr/>
        <w:t>de</w:t>
      </w:r>
      <w:r>
        <w:rPr>
          <w:spacing w:val="-19"/>
        </w:rPr>
        <w:t> </w:t>
      </w:r>
      <w:r>
        <w:rPr/>
        <w:t>conejos</w:t>
      </w:r>
    </w:p>
    <w:p>
      <w:pPr>
        <w:spacing w:after="0" w:line="276" w:lineRule="auto"/>
        <w:jc w:val="both"/>
        <w:sectPr>
          <w:type w:val="continuous"/>
          <w:pgSz w:w="12240" w:h="15840"/>
          <w:pgMar w:top="1500" w:bottom="280" w:left="1720" w:right="1420"/>
        </w:sectPr>
      </w:pPr>
    </w:p>
    <w:p>
      <w:pPr>
        <w:pStyle w:val="BodyText"/>
        <w:spacing w:before="2"/>
        <w:rPr>
          <w:sz w:val="21"/>
        </w:rPr>
      </w:pPr>
    </w:p>
    <w:p>
      <w:pPr>
        <w:pStyle w:val="BodyText"/>
        <w:spacing w:before="69"/>
        <w:ind w:left="1909"/>
      </w:pPr>
      <w:r>
        <w:rPr/>
        <w:t>Cuadro 19. Sacrificio, notmatividad enfermedades</w:t>
      </w:r>
    </w:p>
    <w:p>
      <w:pPr>
        <w:pStyle w:val="BodyText"/>
        <w:rPr>
          <w:sz w:val="21"/>
        </w:rPr>
      </w:pPr>
    </w:p>
    <w:p>
      <w:pPr>
        <w:pStyle w:val="BodyText"/>
        <w:spacing w:line="20" w:lineRule="exact"/>
        <w:ind w:left="147"/>
        <w:rPr>
          <w:sz w:val="2"/>
        </w:rPr>
      </w:pPr>
      <w:r>
        <w:rPr>
          <w:sz w:val="2"/>
        </w:rPr>
        <w:pict>
          <v:group style="width:442.55pt;height:.5pt;mso-position-horizontal-relative:char;mso-position-vertical-relative:line" coordorigin="0,0" coordsize="8851,10">
            <v:line style="position:absolute" from="5,5" to="1807,5" stroked="true" strokeweight=".48pt" strokecolor="#000000"/>
            <v:line style="position:absolute" from="1807,5" to="1817,5" stroked="true" strokeweight=".48pt" strokecolor="#000000"/>
            <v:line style="position:absolute" from="1817,5" to="3901,5" stroked="true" strokeweight=".48pt" strokecolor="#000000"/>
            <v:line style="position:absolute" from="3901,5" to="3910,5" stroked="true" strokeweight=".48pt" strokecolor="#000000"/>
            <v:line style="position:absolute" from="3910,5" to="4921,5" stroked="true" strokeweight=".48pt" strokecolor="#000000"/>
            <v:line style="position:absolute" from="4921,5" to="4930,5" stroked="true" strokeweight=".48pt" strokecolor="#000000"/>
            <v:line style="position:absolute" from="4930,5" to="5872,5" stroked="true" strokeweight=".48pt" strokecolor="#000000"/>
            <v:line style="position:absolute" from="5872,5" to="5881,5" stroked="true" strokeweight=".48pt" strokecolor="#000000"/>
            <v:line style="position:absolute" from="5881,5" to="6455,5" stroked="true" strokeweight=".48pt" strokecolor="#000000"/>
            <v:line style="position:absolute" from="6455,5" to="6464,5" stroked="true" strokeweight=".48pt" strokecolor="#000000"/>
            <v:line style="position:absolute" from="6464,5" to="7036,5" stroked="true" strokeweight=".48pt" strokecolor="#000000"/>
            <v:line style="position:absolute" from="7036,5" to="7045,5" stroked="true" strokeweight=".48pt" strokecolor="#000000"/>
            <v:line style="position:absolute" from="7045,5" to="8846,5" stroked="true" strokeweight=".48pt" strokecolor="#000000"/>
          </v:group>
        </w:pict>
      </w:r>
      <w:r>
        <w:rPr>
          <w:sz w:val="2"/>
        </w:rPr>
      </w:r>
    </w:p>
    <w:p>
      <w:pPr>
        <w:spacing w:after="0" w:line="20" w:lineRule="exact"/>
        <w:rPr>
          <w:sz w:val="2"/>
        </w:rPr>
        <w:sectPr>
          <w:pgSz w:w="12240" w:h="15840"/>
          <w:pgMar w:header="0" w:footer="1386" w:top="1500" w:bottom="1580" w:left="1720" w:right="1420"/>
        </w:sectPr>
      </w:pPr>
    </w:p>
    <w:p>
      <w:pPr>
        <w:spacing w:line="161" w:lineRule="exact" w:before="0"/>
        <w:ind w:left="260" w:right="0" w:firstLine="0"/>
        <w:jc w:val="left"/>
        <w:rPr>
          <w:sz w:val="20"/>
        </w:rPr>
      </w:pPr>
      <w:r>
        <w:rPr>
          <w:sz w:val="20"/>
        </w:rPr>
        <w:t>SACRIFICIO DEL</w:t>
      </w:r>
    </w:p>
    <w:p>
      <w:pPr>
        <w:tabs>
          <w:tab w:pos="1473" w:val="left" w:leader="none"/>
        </w:tabs>
        <w:spacing w:line="291" w:lineRule="exact" w:before="0"/>
        <w:ind w:left="0" w:right="85" w:firstLine="0"/>
        <w:jc w:val="right"/>
        <w:rPr>
          <w:sz w:val="20"/>
        </w:rPr>
      </w:pPr>
      <w:r>
        <w:rPr/>
        <w:pict>
          <v:group style="position:absolute;margin-left:93.374001pt;margin-top:14.480354pt;width:195.3pt;height:.5pt;mso-position-horizontal-relative:page;mso-position-vertical-relative:paragraph;z-index:-112864" coordorigin="1867,290" coordsize="3906,10">
            <v:line style="position:absolute" from="1872,295" to="2691,295" stroked="true" strokeweight=".48001pt" strokecolor="#000000"/>
            <v:line style="position:absolute" from="2691,295" to="2700,295" stroked="true" strokeweight=".48001pt" strokecolor="#000000"/>
            <v:line style="position:absolute" from="2700,295" to="3675,295" stroked="true" strokeweight=".48001pt" strokecolor="#000000"/>
            <v:line style="position:absolute" from="3675,295" to="3684,295" stroked="true" strokeweight=".48001pt" strokecolor="#000000"/>
            <v:line style="position:absolute" from="3684,295" to="4606,295" stroked="true" strokeweight=".48001pt" strokecolor="#000000"/>
            <v:line style="position:absolute" from="4607,295" to="4616,295" stroked="true" strokeweight=".48001pt" strokecolor="#000000"/>
            <v:line style="position:absolute" from="4616,295" to="5768,295" stroked="true" strokeweight=".48001pt" strokecolor="#000000"/>
            <w10:wrap type="none"/>
          </v:group>
        </w:pict>
      </w:r>
      <w:r>
        <w:rPr>
          <w:position w:val="-11"/>
          <w:sz w:val="20"/>
        </w:rPr>
        <w:t>CONEJO</w:t>
        <w:tab/>
      </w:r>
      <w:r>
        <w:rPr>
          <w:sz w:val="20"/>
        </w:rPr>
        <w:t>Metodo de</w:t>
      </w:r>
      <w:r>
        <w:rPr>
          <w:spacing w:val="-9"/>
          <w:sz w:val="20"/>
        </w:rPr>
        <w:t> </w:t>
      </w:r>
      <w:r>
        <w:rPr>
          <w:sz w:val="20"/>
        </w:rPr>
        <w:t>sacrificio</w:t>
      </w:r>
    </w:p>
    <w:p>
      <w:pPr>
        <w:spacing w:line="137" w:lineRule="exact" w:before="231"/>
        <w:ind w:left="0" w:right="0" w:firstLine="0"/>
        <w:jc w:val="right"/>
        <w:rPr>
          <w:sz w:val="20"/>
        </w:rPr>
      </w:pPr>
      <w:r>
        <w:rPr>
          <w:w w:val="95"/>
          <w:sz w:val="20"/>
        </w:rPr>
        <w:t>Dislocacion</w:t>
      </w:r>
    </w:p>
    <w:p>
      <w:pPr>
        <w:pStyle w:val="BodyText"/>
        <w:spacing w:before="10"/>
        <w:rPr>
          <w:sz w:val="28"/>
        </w:rPr>
      </w:pPr>
      <w:r>
        <w:rPr/>
        <w:br w:type="column"/>
      </w:r>
      <w:r>
        <w:rPr>
          <w:sz w:val="28"/>
        </w:rPr>
      </w:r>
    </w:p>
    <w:p>
      <w:pPr>
        <w:spacing w:before="0"/>
        <w:ind w:left="332" w:right="0" w:hanging="190"/>
        <w:jc w:val="left"/>
        <w:rPr>
          <w:sz w:val="20"/>
        </w:rPr>
      </w:pPr>
      <w:r>
        <w:rPr>
          <w:w w:val="95"/>
          <w:sz w:val="20"/>
        </w:rPr>
        <w:t>NOM033 </w:t>
      </w:r>
      <w:r>
        <w:rPr>
          <w:sz w:val="20"/>
        </w:rPr>
        <w:t>SAG</w:t>
      </w:r>
    </w:p>
    <w:p>
      <w:pPr>
        <w:pStyle w:val="BodyText"/>
        <w:spacing w:before="10"/>
        <w:rPr>
          <w:sz w:val="18"/>
        </w:rPr>
      </w:pPr>
      <w:r>
        <w:rPr/>
        <w:br w:type="column"/>
      </w:r>
      <w:r>
        <w:rPr>
          <w:sz w:val="18"/>
        </w:rPr>
      </w:r>
    </w:p>
    <w:p>
      <w:pPr>
        <w:spacing w:before="0"/>
        <w:ind w:left="178" w:right="0" w:firstLine="0"/>
        <w:jc w:val="center"/>
        <w:rPr>
          <w:sz w:val="20"/>
        </w:rPr>
      </w:pPr>
      <w:r>
        <w:rPr>
          <w:sz w:val="20"/>
        </w:rPr>
        <w:t>NMX</w:t>
      </w:r>
      <w:r>
        <w:rPr>
          <w:spacing w:val="-2"/>
          <w:sz w:val="20"/>
        </w:rPr>
        <w:t> </w:t>
      </w:r>
      <w:r>
        <w:rPr>
          <w:sz w:val="20"/>
        </w:rPr>
        <w:t>FF</w:t>
      </w:r>
      <w:r>
        <w:rPr>
          <w:w w:val="99"/>
          <w:sz w:val="20"/>
        </w:rPr>
        <w:t> </w:t>
      </w:r>
      <w:r>
        <w:rPr>
          <w:sz w:val="20"/>
        </w:rPr>
        <w:t>105 SCFI</w:t>
      </w:r>
    </w:p>
    <w:p>
      <w:pPr>
        <w:pStyle w:val="BodyText"/>
        <w:rPr>
          <w:sz w:val="20"/>
        </w:rPr>
      </w:pPr>
      <w:r>
        <w:rPr/>
        <w:br w:type="column"/>
      </w:r>
      <w:r>
        <w:rPr>
          <w:sz w:val="20"/>
        </w:rPr>
      </w:r>
    </w:p>
    <w:p>
      <w:pPr>
        <w:pStyle w:val="BodyText"/>
        <w:spacing w:before="11"/>
        <w:rPr>
          <w:sz w:val="28"/>
        </w:rPr>
      </w:pPr>
    </w:p>
    <w:p>
      <w:pPr>
        <w:tabs>
          <w:tab w:pos="1480" w:val="left" w:leader="none"/>
        </w:tabs>
        <w:spacing w:before="0"/>
        <w:ind w:left="136" w:right="0" w:firstLine="0"/>
        <w:jc w:val="left"/>
        <w:rPr>
          <w:sz w:val="20"/>
        </w:rPr>
      </w:pPr>
      <w:r>
        <w:rPr>
          <w:sz w:val="20"/>
        </w:rPr>
        <w:t>BPM </w:t>
      </w:r>
      <w:r>
        <w:rPr>
          <w:spacing w:val="51"/>
          <w:sz w:val="20"/>
        </w:rPr>
        <w:t> </w:t>
      </w:r>
      <w:r>
        <w:rPr>
          <w:sz w:val="20"/>
        </w:rPr>
        <w:t>BPS</w:t>
        <w:tab/>
        <w:t>Enfermedades</w:t>
      </w:r>
    </w:p>
    <w:p>
      <w:pPr>
        <w:spacing w:after="0"/>
        <w:jc w:val="left"/>
        <w:rPr>
          <w:sz w:val="20"/>
        </w:rPr>
        <w:sectPr>
          <w:type w:val="continuous"/>
          <w:pgSz w:w="12240" w:h="15840"/>
          <w:pgMar w:top="1500" w:bottom="280" w:left="1720" w:right="1420"/>
          <w:cols w:num="4" w:equalWidth="0">
            <w:col w:w="3974" w:space="40"/>
            <w:col w:w="940" w:space="40"/>
            <w:col w:w="921" w:space="40"/>
            <w:col w:w="3145"/>
          </w:cols>
        </w:sectPr>
      </w:pPr>
    </w:p>
    <w:p>
      <w:pPr>
        <w:spacing w:line="120" w:lineRule="exact" w:before="0"/>
        <w:ind w:left="222" w:right="-15" w:firstLine="0"/>
        <w:jc w:val="left"/>
        <w:rPr>
          <w:sz w:val="20"/>
        </w:rPr>
      </w:pPr>
      <w:r>
        <w:rPr>
          <w:sz w:val="20"/>
        </w:rPr>
        <w:t>FUERA  DENTRO </w:t>
      </w:r>
      <w:r>
        <w:rPr>
          <w:spacing w:val="51"/>
          <w:sz w:val="20"/>
        </w:rPr>
        <w:t> </w:t>
      </w:r>
      <w:r>
        <w:rPr>
          <w:sz w:val="20"/>
        </w:rPr>
        <w:t>Deguello</w:t>
      </w:r>
    </w:p>
    <w:p>
      <w:pPr>
        <w:spacing w:before="5"/>
        <w:ind w:left="140" w:right="-18" w:firstLine="0"/>
        <w:jc w:val="left"/>
        <w:rPr>
          <w:sz w:val="20"/>
        </w:rPr>
      </w:pPr>
      <w:r>
        <w:rPr/>
        <w:br w:type="column"/>
      </w:r>
      <w:r>
        <w:rPr>
          <w:sz w:val="20"/>
        </w:rPr>
        <w:t>y</w:t>
      </w:r>
      <w:r>
        <w:rPr>
          <w:spacing w:val="-4"/>
          <w:sz w:val="20"/>
        </w:rPr>
        <w:t> </w:t>
      </w:r>
      <w:r>
        <w:rPr>
          <w:sz w:val="20"/>
        </w:rPr>
        <w:t>Deguello</w:t>
      </w:r>
    </w:p>
    <w:p>
      <w:pPr>
        <w:spacing w:line="115" w:lineRule="exact" w:before="0"/>
        <w:ind w:left="142" w:right="0" w:firstLine="0"/>
        <w:jc w:val="left"/>
        <w:rPr>
          <w:sz w:val="20"/>
        </w:rPr>
      </w:pPr>
      <w:r>
        <w:rPr/>
        <w:br w:type="column"/>
      </w:r>
      <w:r>
        <w:rPr>
          <w:w w:val="95"/>
          <w:sz w:val="20"/>
        </w:rPr>
        <w:t>ZOO2014</w:t>
      </w:r>
    </w:p>
    <w:p>
      <w:pPr>
        <w:spacing w:before="0"/>
        <w:ind w:left="222" w:right="0" w:firstLine="0"/>
        <w:jc w:val="left"/>
        <w:rPr>
          <w:sz w:val="20"/>
        </w:rPr>
      </w:pPr>
      <w:r>
        <w:rPr/>
        <w:br w:type="column"/>
      </w:r>
      <w:r>
        <w:rPr>
          <w:sz w:val="20"/>
        </w:rPr>
        <w:t>2005</w:t>
      </w:r>
    </w:p>
    <w:p>
      <w:pPr>
        <w:spacing w:after="0"/>
        <w:jc w:val="left"/>
        <w:rPr>
          <w:sz w:val="20"/>
        </w:rPr>
        <w:sectPr>
          <w:type w:val="continuous"/>
          <w:pgSz w:w="12240" w:h="15840"/>
          <w:pgMar w:top="1500" w:bottom="280" w:left="1720" w:right="1420"/>
          <w:cols w:num="4" w:equalWidth="0">
            <w:col w:w="2812" w:space="40"/>
            <w:col w:w="1084" w:space="40"/>
            <w:col w:w="1019" w:space="104"/>
            <w:col w:w="4001"/>
          </w:cols>
        </w:sectPr>
      </w:pPr>
    </w:p>
    <w:p>
      <w:pPr>
        <w:pStyle w:val="BodyText"/>
        <w:spacing w:before="10"/>
        <w:rPr>
          <w:sz w:val="19"/>
        </w:rPr>
      </w:pPr>
    </w:p>
    <w:p>
      <w:pPr>
        <w:pStyle w:val="BodyText"/>
        <w:spacing w:line="20" w:lineRule="exact"/>
        <w:ind w:left="147"/>
        <w:rPr>
          <w:sz w:val="2"/>
        </w:rPr>
      </w:pPr>
      <w:r>
        <w:rPr>
          <w:sz w:val="2"/>
        </w:rPr>
        <w:pict>
          <v:group style="width:442.55pt;height:.5pt;mso-position-horizontal-relative:char;mso-position-vertical-relative:line" coordorigin="0,0" coordsize="8851,10">
            <v:line style="position:absolute" from="5,5" to="823,5" stroked="true" strokeweight=".48001pt" strokecolor="#000000"/>
            <v:line style="position:absolute" from="823,5" to="833,5" stroked="true" strokeweight=".48001pt" strokecolor="#000000"/>
            <v:line style="position:absolute" from="833,5" to="1807,5" stroked="true" strokeweight=".48001pt" strokecolor="#000000"/>
            <v:line style="position:absolute" from="1807,5" to="1817,5" stroked="true" strokeweight=".48001pt" strokecolor="#000000"/>
            <v:line style="position:absolute" from="1817,5" to="2739,5" stroked="true" strokeweight=".48001pt" strokecolor="#000000"/>
            <v:line style="position:absolute" from="2739,5" to="2749,5" stroked="true" strokeweight=".48001pt" strokecolor="#000000"/>
            <v:line style="position:absolute" from="2749,5" to="3901,5" stroked="true" strokeweight=".48001pt" strokecolor="#000000"/>
            <v:line style="position:absolute" from="3901,5" to="3910,5" stroked="true" strokeweight=".48001pt" strokecolor="#000000"/>
            <v:line style="position:absolute" from="3910,5" to="4921,5" stroked="true" strokeweight=".48001pt" strokecolor="#000000"/>
            <v:line style="position:absolute" from="4921,5" to="4930,5" stroked="true" strokeweight=".48001pt" strokecolor="#000000"/>
            <v:line style="position:absolute" from="4930,5" to="5872,5" stroked="true" strokeweight=".48001pt" strokecolor="#000000"/>
            <v:line style="position:absolute" from="5872,5" to="5881,5" stroked="true" strokeweight=".48001pt" strokecolor="#000000"/>
            <v:line style="position:absolute" from="5881,5" to="6455,5" stroked="true" strokeweight=".48001pt" strokecolor="#000000"/>
            <v:line style="position:absolute" from="6455,5" to="6464,5" stroked="true" strokeweight=".48001pt" strokecolor="#000000"/>
            <v:line style="position:absolute" from="6464,5" to="7036,5" stroked="true" strokeweight=".48001pt" strokecolor="#000000"/>
            <v:line style="position:absolute" from="7036,5" to="7045,5" stroked="true" strokeweight=".48001pt" strokecolor="#000000"/>
            <v:line style="position:absolute" from="7045,5" to="8846,5" stroked="true" strokeweight=".48001pt" strokecolor="#000000"/>
          </v:group>
        </w:pict>
      </w:r>
      <w:r>
        <w:rPr>
          <w:sz w:val="2"/>
        </w:rPr>
      </w:r>
    </w:p>
    <w:p>
      <w:pPr>
        <w:pStyle w:val="BodyText"/>
        <w:spacing w:before="1"/>
        <w:rPr>
          <w:sz w:val="6"/>
        </w:rPr>
      </w:pPr>
    </w:p>
    <w:p>
      <w:pPr>
        <w:spacing w:after="0"/>
        <w:rPr>
          <w:sz w:val="6"/>
        </w:rPr>
        <w:sectPr>
          <w:type w:val="continuous"/>
          <w:pgSz w:w="12240" w:h="15840"/>
          <w:pgMar w:top="1500" w:bottom="280" w:left="1720" w:right="1420"/>
        </w:sectPr>
      </w:pPr>
    </w:p>
    <w:p>
      <w:pPr>
        <w:pStyle w:val="BodyText"/>
        <w:rPr>
          <w:sz w:val="20"/>
        </w:rPr>
      </w:pPr>
    </w:p>
    <w:p>
      <w:pPr>
        <w:tabs>
          <w:tab w:pos="1261" w:val="left" w:leader="none"/>
        </w:tabs>
        <w:spacing w:before="138"/>
        <w:ind w:left="358" w:right="0" w:firstLine="0"/>
        <w:jc w:val="left"/>
        <w:rPr>
          <w:sz w:val="20"/>
        </w:rPr>
      </w:pPr>
      <w:r>
        <w:rPr>
          <w:sz w:val="20"/>
        </w:rPr>
        <w:t>63%</w:t>
        <w:tab/>
      </w:r>
      <w:r>
        <w:rPr>
          <w:spacing w:val="-1"/>
          <w:w w:val="95"/>
          <w:sz w:val="20"/>
        </w:rPr>
        <w:t>37%</w:t>
      </w:r>
    </w:p>
    <w:p>
      <w:pPr>
        <w:pStyle w:val="BodyText"/>
        <w:spacing w:before="7"/>
        <w:rPr>
          <w:sz w:val="27"/>
        </w:rPr>
      </w:pPr>
      <w:r>
        <w:rPr/>
        <w:br w:type="column"/>
      </w:r>
      <w:r>
        <w:rPr>
          <w:sz w:val="27"/>
        </w:rPr>
      </w:r>
    </w:p>
    <w:p>
      <w:pPr>
        <w:tabs>
          <w:tab w:pos="1403" w:val="left" w:leader="none"/>
          <w:tab w:pos="2456" w:val="left" w:leader="none"/>
          <w:tab w:pos="3443" w:val="left" w:leader="none"/>
          <w:tab w:pos="4209" w:val="left" w:leader="none"/>
          <w:tab w:pos="4790" w:val="left" w:leader="none"/>
        </w:tabs>
        <w:spacing w:before="0"/>
        <w:ind w:left="358" w:right="0" w:firstLine="0"/>
        <w:jc w:val="left"/>
        <w:rPr>
          <w:sz w:val="20"/>
        </w:rPr>
      </w:pPr>
      <w:r>
        <w:rPr>
          <w:sz w:val="20"/>
        </w:rPr>
        <w:t>15</w:t>
        <w:tab/>
        <w:t>15</w:t>
        <w:tab/>
        <w:t>NO</w:t>
        <w:tab/>
        <w:t>NO</w:t>
        <w:tab/>
        <w:t>NO</w:t>
        <w:tab/>
      </w:r>
      <w:r>
        <w:rPr>
          <w:w w:val="95"/>
          <w:sz w:val="20"/>
        </w:rPr>
        <w:t>NO</w:t>
      </w:r>
    </w:p>
    <w:p>
      <w:pPr>
        <w:spacing w:before="8"/>
        <w:ind w:left="187" w:right="194" w:firstLine="0"/>
        <w:jc w:val="center"/>
        <w:rPr>
          <w:sz w:val="20"/>
        </w:rPr>
      </w:pPr>
      <w:r>
        <w:rPr/>
        <w:br w:type="column"/>
      </w:r>
      <w:r>
        <w:rPr>
          <w:sz w:val="20"/>
        </w:rPr>
        <w:t>Dermicas</w:t>
      </w:r>
    </w:p>
    <w:p>
      <w:pPr>
        <w:spacing w:line="324" w:lineRule="auto" w:before="130"/>
        <w:ind w:left="187" w:right="194" w:firstLine="0"/>
        <w:jc w:val="center"/>
        <w:rPr>
          <w:sz w:val="20"/>
        </w:rPr>
      </w:pPr>
      <w:r>
        <w:rPr/>
        <w:pict>
          <v:group style="position:absolute;margin-left:92.653999pt;margin-top:51.179893pt;width:443.25pt;height:.5pt;mso-position-horizontal-relative:page;mso-position-vertical-relative:paragraph;z-index:-112840" coordorigin="1853,1024" coordsize="8865,10">
            <v:line style="position:absolute" from="1858,1029" to="2691,1029" stroked="true" strokeweight=".48001pt" strokecolor="#000000"/>
            <v:line style="position:absolute" from="2676,1029" to="2686,1029" stroked="true" strokeweight=".48001pt" strokecolor="#000000"/>
            <v:line style="position:absolute" from="2686,1029" to="3675,1029" stroked="true" strokeweight=".48001pt" strokecolor="#000000"/>
            <v:line style="position:absolute" from="3660,1029" to="3670,1029" stroked="true" strokeweight=".48001pt" strokecolor="#000000"/>
            <v:line style="position:absolute" from="3670,1029" to="4606,1029" stroked="true" strokeweight=".48001pt" strokecolor="#000000"/>
            <v:line style="position:absolute" from="4592,1029" to="4602,1029" stroked="true" strokeweight=".48001pt" strokecolor="#000000"/>
            <v:line style="position:absolute" from="4602,1029" to="5768,1029" stroked="true" strokeweight=".48001pt" strokecolor="#000000"/>
            <v:line style="position:absolute" from="5754,1029" to="5763,1029" stroked="true" strokeweight=".48001pt" strokecolor="#000000"/>
            <v:line style="position:absolute" from="5763,1029" to="6788,1029" stroked="true" strokeweight=".48001pt" strokecolor="#000000"/>
            <v:line style="position:absolute" from="6774,1029" to="6783,1029" stroked="true" strokeweight=".48001pt" strokecolor="#000000"/>
            <v:line style="position:absolute" from="6783,1029" to="7739,1029" stroked="true" strokeweight=".48001pt" strokecolor="#000000"/>
            <v:line style="position:absolute" from="7725,1029" to="7734,1029" stroked="true" strokeweight=".48001pt" strokecolor="#000000"/>
            <v:line style="position:absolute" from="7734,1029" to="8322,1029" stroked="true" strokeweight=".48001pt" strokecolor="#000000"/>
            <v:line style="position:absolute" from="8308,1029" to="8317,1029" stroked="true" strokeweight=".48001pt" strokecolor="#000000"/>
            <v:line style="position:absolute" from="8317,1029" to="8903,1029" stroked="true" strokeweight=".48001pt" strokecolor="#000000"/>
            <v:line style="position:absolute" from="8889,1029" to="8898,1029" stroked="true" strokeweight=".48001pt" strokecolor="#000000"/>
            <v:line style="position:absolute" from="8898,1029" to="10713,1029" stroked="true" strokeweight=".48001pt" strokecolor="#000000"/>
            <w10:wrap type="none"/>
          </v:group>
        </w:pict>
      </w:r>
      <w:r>
        <w:rPr>
          <w:sz w:val="20"/>
        </w:rPr>
        <w:t>Gastrointestinales Respiratorias, Mastitis</w:t>
      </w:r>
    </w:p>
    <w:p>
      <w:pPr>
        <w:spacing w:after="0" w:line="324" w:lineRule="auto"/>
        <w:jc w:val="center"/>
        <w:rPr>
          <w:sz w:val="20"/>
        </w:rPr>
        <w:sectPr>
          <w:type w:val="continuous"/>
          <w:pgSz w:w="12240" w:h="15840"/>
          <w:pgMar w:top="1500" w:bottom="280" w:left="1720" w:right="1420"/>
          <w:cols w:num="3" w:equalWidth="0">
            <w:col w:w="1659" w:space="290"/>
            <w:col w:w="5090" w:space="40"/>
            <w:col w:w="2021"/>
          </w:cols>
        </w:sectPr>
      </w:pPr>
    </w:p>
    <w:p>
      <w:pPr>
        <w:pStyle w:val="BodyText"/>
        <w:rPr>
          <w:sz w:val="20"/>
        </w:rPr>
      </w:pPr>
    </w:p>
    <w:p>
      <w:pPr>
        <w:pStyle w:val="BodyText"/>
        <w:spacing w:before="6"/>
        <w:rPr>
          <w:sz w:val="16"/>
        </w:rPr>
      </w:pPr>
    </w:p>
    <w:p>
      <w:pPr>
        <w:spacing w:line="276" w:lineRule="auto" w:before="69"/>
        <w:ind w:left="3664" w:right="231" w:hanging="3378"/>
        <w:jc w:val="left"/>
        <w:rPr>
          <w:b/>
          <w:sz w:val="24"/>
        </w:rPr>
      </w:pPr>
      <w:r>
        <w:rPr>
          <w:b/>
          <w:sz w:val="24"/>
        </w:rPr>
        <w:t>Resultados de la contamiancion microbiológica de la carne de conejo en el Valle de Toluca.</w:t>
      </w:r>
    </w:p>
    <w:p>
      <w:pPr>
        <w:spacing w:line="276" w:lineRule="auto" w:before="202"/>
        <w:ind w:left="152" w:right="0" w:firstLine="0"/>
        <w:jc w:val="left"/>
        <w:rPr>
          <w:b/>
          <w:sz w:val="24"/>
        </w:rPr>
      </w:pPr>
      <w:r>
        <w:rPr>
          <w:b/>
          <w:sz w:val="24"/>
        </w:rPr>
        <w:t>Evaluacion de los métodos de lavado y muestreo en superfie de la canal de conejo.</w:t>
      </w:r>
    </w:p>
    <w:p>
      <w:pPr>
        <w:pStyle w:val="BodyText"/>
        <w:spacing w:line="357" w:lineRule="auto" w:before="202"/>
        <w:ind w:left="152" w:right="104"/>
        <w:jc w:val="both"/>
      </w:pPr>
      <w:r>
        <w:rPr/>
        <w:t>Los</w:t>
      </w:r>
      <w:r>
        <w:rPr>
          <w:spacing w:val="-4"/>
        </w:rPr>
        <w:t> </w:t>
      </w:r>
      <w:r>
        <w:rPr/>
        <w:t>resultados</w:t>
      </w:r>
      <w:r>
        <w:rPr>
          <w:spacing w:val="-5"/>
        </w:rPr>
        <w:t> </w:t>
      </w:r>
      <w:r>
        <w:rPr/>
        <w:t>obtenidos</w:t>
      </w:r>
      <w:r>
        <w:rPr>
          <w:spacing w:val="-3"/>
        </w:rPr>
        <w:t> </w:t>
      </w:r>
      <w:r>
        <w:rPr/>
        <w:t>en</w:t>
      </w:r>
      <w:r>
        <w:rPr>
          <w:spacing w:val="-4"/>
        </w:rPr>
        <w:t> </w:t>
      </w:r>
      <w:r>
        <w:rPr/>
        <w:t>la</w:t>
      </w:r>
      <w:r>
        <w:rPr>
          <w:spacing w:val="-4"/>
        </w:rPr>
        <w:t> </w:t>
      </w:r>
      <w:r>
        <w:rPr/>
        <w:t>comparación</w:t>
      </w:r>
      <w:r>
        <w:rPr>
          <w:spacing w:val="-5"/>
        </w:rPr>
        <w:t> </w:t>
      </w:r>
      <w:r>
        <w:rPr/>
        <w:t>de</w:t>
      </w:r>
      <w:r>
        <w:rPr>
          <w:spacing w:val="-4"/>
        </w:rPr>
        <w:t> </w:t>
      </w:r>
      <w:r>
        <w:rPr/>
        <w:t>los</w:t>
      </w:r>
      <w:r>
        <w:rPr>
          <w:spacing w:val="-6"/>
        </w:rPr>
        <w:t> </w:t>
      </w:r>
      <w:r>
        <w:rPr/>
        <w:t>métodos</w:t>
      </w:r>
      <w:r>
        <w:rPr>
          <w:spacing w:val="-7"/>
        </w:rPr>
        <w:t> </w:t>
      </w:r>
      <w:r>
        <w:rPr/>
        <w:t>de</w:t>
      </w:r>
      <w:r>
        <w:rPr>
          <w:spacing w:val="-6"/>
        </w:rPr>
        <w:t> </w:t>
      </w:r>
      <w:r>
        <w:rPr/>
        <w:t>muestreo</w:t>
      </w:r>
      <w:r>
        <w:rPr>
          <w:spacing w:val="-4"/>
        </w:rPr>
        <w:t> </w:t>
      </w:r>
      <w:r>
        <w:rPr/>
        <w:t>utilizados para determinar la contaminación microbiológica en UFC en la canal de conejo en unidades de producción cunicula en el Valle de Toluca fueron: MSC 2.6 log10</w:t>
      </w:r>
      <w:r>
        <w:rPr>
          <w:position w:val="8"/>
          <w:sz w:val="16"/>
        </w:rPr>
        <w:t>4</w:t>
      </w:r>
      <w:r>
        <w:rPr/>
        <w:t>/cm</w:t>
      </w:r>
      <w:r>
        <w:rPr>
          <w:position w:val="8"/>
          <w:sz w:val="16"/>
        </w:rPr>
        <w:t>2 </w:t>
      </w:r>
      <w:r>
        <w:rPr>
          <w:sz w:val="22"/>
        </w:rPr>
        <w:t>(NOM-110-SSA1-1994) </w:t>
      </w:r>
      <w:r>
        <w:rPr/>
        <w:t>y LC 2.4 log10</w:t>
      </w:r>
      <w:r>
        <w:rPr>
          <w:position w:val="8"/>
          <w:sz w:val="16"/>
        </w:rPr>
        <w:t>4</w:t>
      </w:r>
      <w:r>
        <w:rPr/>
        <w:t>/mL (</w:t>
      </w:r>
      <w:r>
        <w:rPr>
          <w:sz w:val="22"/>
        </w:rPr>
        <w:t>Manual de procedimientos 2004)</w:t>
      </w:r>
      <w:r>
        <w:rPr/>
        <w:t>. El analisis estadístico utilizado para la evaluacio de ambos métodos no muestra una diferencia significativa (p&gt;0.05) con un nivel de confianza del 95 % (Cuadro</w:t>
      </w:r>
      <w:r>
        <w:rPr>
          <w:spacing w:val="-22"/>
        </w:rPr>
        <w:t> </w:t>
      </w:r>
      <w:r>
        <w:rPr/>
        <w:t>20).</w:t>
      </w:r>
    </w:p>
    <w:p>
      <w:pPr>
        <w:pStyle w:val="BodyText"/>
        <w:spacing w:before="5" w:after="1"/>
        <w:rPr>
          <w:sz w:val="21"/>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3"/>
        <w:gridCol w:w="3932"/>
      </w:tblGrid>
      <w:tr>
        <w:trPr>
          <w:trHeight w:val="266" w:hRule="exact"/>
        </w:trPr>
        <w:tc>
          <w:tcPr>
            <w:tcW w:w="8855" w:type="dxa"/>
            <w:gridSpan w:val="2"/>
            <w:tcBorders>
              <w:bottom w:val="single" w:sz="4" w:space="0" w:color="000000"/>
            </w:tcBorders>
          </w:tcPr>
          <w:p>
            <w:pPr>
              <w:pStyle w:val="TableParagraph"/>
              <w:spacing w:line="245" w:lineRule="exact"/>
              <w:ind w:left="1243"/>
              <w:jc w:val="left"/>
              <w:rPr>
                <w:sz w:val="24"/>
              </w:rPr>
            </w:pPr>
            <w:r>
              <w:rPr>
                <w:sz w:val="24"/>
              </w:rPr>
              <w:t>Cuadro 20. Determinacion de UFC por metodo de muestreo</w:t>
            </w:r>
          </w:p>
        </w:tc>
      </w:tr>
      <w:tr>
        <w:trPr>
          <w:trHeight w:val="313" w:hRule="exact"/>
        </w:trPr>
        <w:tc>
          <w:tcPr>
            <w:tcW w:w="4923" w:type="dxa"/>
            <w:tcBorders>
              <w:top w:val="single" w:sz="4" w:space="0" w:color="000000"/>
            </w:tcBorders>
          </w:tcPr>
          <w:p>
            <w:pPr>
              <w:pStyle w:val="TableParagraph"/>
              <w:spacing w:before="7"/>
              <w:ind w:left="1782" w:right="871"/>
              <w:rPr>
                <w:sz w:val="24"/>
              </w:rPr>
            </w:pPr>
            <w:r>
              <w:rPr>
                <w:sz w:val="24"/>
              </w:rPr>
              <w:t>Muestreo con hisopo</w:t>
            </w:r>
          </w:p>
        </w:tc>
        <w:tc>
          <w:tcPr>
            <w:tcW w:w="3932" w:type="dxa"/>
            <w:tcBorders>
              <w:top w:val="single" w:sz="4" w:space="0" w:color="000000"/>
            </w:tcBorders>
          </w:tcPr>
          <w:p>
            <w:pPr>
              <w:pStyle w:val="TableParagraph"/>
              <w:spacing w:before="7"/>
              <w:ind w:left="870" w:right="794"/>
              <w:rPr>
                <w:sz w:val="24"/>
              </w:rPr>
            </w:pPr>
            <w:r>
              <w:rPr>
                <w:sz w:val="24"/>
              </w:rPr>
              <w:t>Muestreo con lavado</w:t>
            </w:r>
          </w:p>
        </w:tc>
      </w:tr>
      <w:tr>
        <w:trPr>
          <w:trHeight w:val="296" w:hRule="exact"/>
        </w:trPr>
        <w:tc>
          <w:tcPr>
            <w:tcW w:w="4923" w:type="dxa"/>
            <w:tcBorders>
              <w:bottom w:val="single" w:sz="4" w:space="0" w:color="000000"/>
            </w:tcBorders>
          </w:tcPr>
          <w:p>
            <w:pPr>
              <w:pStyle w:val="TableParagraph"/>
              <w:spacing w:line="275" w:lineRule="exact"/>
              <w:ind w:left="1782" w:right="869"/>
              <w:rPr>
                <w:sz w:val="24"/>
              </w:rPr>
            </w:pPr>
            <w:r>
              <w:rPr>
                <w:sz w:val="24"/>
              </w:rPr>
              <w:t>2.60E+04</w:t>
            </w:r>
          </w:p>
        </w:tc>
        <w:tc>
          <w:tcPr>
            <w:tcW w:w="3932" w:type="dxa"/>
            <w:tcBorders>
              <w:bottom w:val="single" w:sz="4" w:space="0" w:color="000000"/>
            </w:tcBorders>
          </w:tcPr>
          <w:p>
            <w:pPr>
              <w:pStyle w:val="TableParagraph"/>
              <w:spacing w:line="275" w:lineRule="exact"/>
              <w:ind w:left="869" w:right="794"/>
              <w:rPr>
                <w:sz w:val="24"/>
              </w:rPr>
            </w:pPr>
            <w:r>
              <w:rPr>
                <w:sz w:val="24"/>
              </w:rPr>
              <w:t>2.40E+04</w:t>
            </w:r>
          </w:p>
        </w:tc>
      </w:tr>
    </w:tbl>
    <w:p>
      <w:pPr>
        <w:pStyle w:val="BodyText"/>
        <w:spacing w:before="11"/>
        <w:rPr>
          <w:sz w:val="29"/>
        </w:rPr>
      </w:pPr>
    </w:p>
    <w:p>
      <w:pPr>
        <w:spacing w:line="360" w:lineRule="auto" w:before="69"/>
        <w:ind w:left="152" w:right="112" w:firstLine="0"/>
        <w:jc w:val="both"/>
        <w:rPr>
          <w:b/>
          <w:sz w:val="24"/>
        </w:rPr>
      </w:pPr>
      <w:r>
        <w:rPr>
          <w:b/>
          <w:sz w:val="24"/>
        </w:rPr>
        <w:t>Determinación de las unidades formadoras de colonias en unidades de produccion cunicula familiar</w:t>
      </w:r>
    </w:p>
    <w:p>
      <w:pPr>
        <w:pStyle w:val="BodyText"/>
        <w:spacing w:line="360" w:lineRule="auto" w:before="204"/>
        <w:ind w:left="152" w:right="104"/>
        <w:jc w:val="both"/>
      </w:pPr>
      <w:r>
        <w:rPr/>
        <w:t>Los resultados de las UFC que se determinaron en las unidades de produccion familiar.</w:t>
      </w:r>
      <w:r>
        <w:rPr>
          <w:spacing w:val="-16"/>
        </w:rPr>
        <w:t> </w:t>
      </w:r>
      <w:r>
        <w:rPr/>
        <w:t>en</w:t>
      </w:r>
      <w:r>
        <w:rPr>
          <w:spacing w:val="-15"/>
        </w:rPr>
        <w:t> </w:t>
      </w:r>
      <w:r>
        <w:rPr/>
        <w:t>donde</w:t>
      </w:r>
      <w:r>
        <w:rPr>
          <w:spacing w:val="-13"/>
        </w:rPr>
        <w:t> </w:t>
      </w:r>
      <w:r>
        <w:rPr/>
        <w:t>se</w:t>
      </w:r>
      <w:r>
        <w:rPr>
          <w:spacing w:val="-16"/>
        </w:rPr>
        <w:t> </w:t>
      </w:r>
      <w:r>
        <w:rPr/>
        <w:t>utilizó</w:t>
      </w:r>
      <w:r>
        <w:rPr>
          <w:spacing w:val="-13"/>
        </w:rPr>
        <w:t> </w:t>
      </w:r>
      <w:r>
        <w:rPr/>
        <w:t>la</w:t>
      </w:r>
      <w:r>
        <w:rPr>
          <w:spacing w:val="-13"/>
        </w:rPr>
        <w:t> </w:t>
      </w:r>
      <w:r>
        <w:rPr/>
        <w:t>plantilla</w:t>
      </w:r>
      <w:r>
        <w:rPr>
          <w:spacing w:val="-15"/>
        </w:rPr>
        <w:t> </w:t>
      </w:r>
      <w:r>
        <w:rPr/>
        <w:t>de</w:t>
      </w:r>
      <w:r>
        <w:rPr>
          <w:spacing w:val="-15"/>
        </w:rPr>
        <w:t> </w:t>
      </w:r>
      <w:r>
        <w:rPr/>
        <w:t>2.5</w:t>
      </w:r>
      <w:r>
        <w:rPr>
          <w:spacing w:val="-13"/>
        </w:rPr>
        <w:t> </w:t>
      </w:r>
      <w:r>
        <w:rPr/>
        <w:t>x</w:t>
      </w:r>
      <w:r>
        <w:rPr>
          <w:spacing w:val="-16"/>
        </w:rPr>
        <w:t> </w:t>
      </w:r>
      <w:r>
        <w:rPr/>
        <w:t>2.5</w:t>
      </w:r>
      <w:r>
        <w:rPr>
          <w:spacing w:val="-13"/>
        </w:rPr>
        <w:t> </w:t>
      </w:r>
      <w:r>
        <w:rPr/>
        <w:t>cm</w:t>
      </w:r>
      <w:r>
        <w:rPr>
          <w:spacing w:val="-15"/>
        </w:rPr>
        <w:t> </w:t>
      </w:r>
      <w:r>
        <w:rPr/>
        <w:t>para</w:t>
      </w:r>
      <w:r>
        <w:rPr>
          <w:spacing w:val="-16"/>
        </w:rPr>
        <w:t> </w:t>
      </w:r>
      <w:r>
        <w:rPr/>
        <w:t>el</w:t>
      </w:r>
      <w:r>
        <w:rPr>
          <w:spacing w:val="-17"/>
        </w:rPr>
        <w:t> </w:t>
      </w:r>
      <w:r>
        <w:rPr/>
        <w:t>muestreo</w:t>
      </w:r>
      <w:r>
        <w:rPr>
          <w:spacing w:val="-16"/>
        </w:rPr>
        <w:t> </w:t>
      </w:r>
      <w:r>
        <w:rPr/>
        <w:t>en</w:t>
      </w:r>
      <w:r>
        <w:rPr>
          <w:spacing w:val="-15"/>
        </w:rPr>
        <w:t> </w:t>
      </w:r>
      <w:r>
        <w:rPr/>
        <w:t>superficie de la canal de conejo se muestran en el cuadro 21 y 22. Donde se observa que entre las regiones no hay diferencias significativas (p&gt;0.05). Sin embargo  en   </w:t>
      </w:r>
      <w:r>
        <w:rPr>
          <w:spacing w:val="33"/>
        </w:rPr>
        <w:t> </w:t>
      </w:r>
      <w:r>
        <w:rPr/>
        <w:t>las</w:t>
      </w:r>
    </w:p>
    <w:p>
      <w:pPr>
        <w:spacing w:after="0" w:line="360" w:lineRule="auto"/>
        <w:jc w:val="both"/>
        <w:sectPr>
          <w:type w:val="continuous"/>
          <w:pgSz w:w="12240" w:h="15840"/>
          <w:pgMar w:top="1500" w:bottom="280" w:left="1720" w:right="1420"/>
        </w:sectPr>
      </w:pPr>
    </w:p>
    <w:p>
      <w:pPr>
        <w:pStyle w:val="BodyText"/>
        <w:spacing w:before="2"/>
        <w:rPr>
          <w:sz w:val="21"/>
        </w:rPr>
      </w:pPr>
    </w:p>
    <w:p>
      <w:pPr>
        <w:pStyle w:val="BodyText"/>
        <w:spacing w:line="360" w:lineRule="auto" w:before="69"/>
        <w:ind w:left="152"/>
      </w:pPr>
      <w:r>
        <w:rPr/>
        <w:t>localidades Toluca, Almoloya de Juarez y Metepec si se encontraron diferencias significativas (p&lt;0.05)</w:t>
      </w:r>
    </w:p>
    <w:p>
      <w:pPr>
        <w:pStyle w:val="BodyText"/>
        <w:spacing w:line="360" w:lineRule="auto" w:before="204" w:after="11"/>
        <w:ind w:left="4050" w:right="179" w:hanging="3812"/>
      </w:pPr>
      <w:r>
        <w:rPr/>
        <w:t>Figura 5. Muestreo de superficie de la canal conplantilla de 2.5. X 2.5 en la canal de conejo</w:t>
      </w:r>
    </w:p>
    <w:p>
      <w:pPr>
        <w:tabs>
          <w:tab w:pos="2252" w:val="left" w:leader="none"/>
          <w:tab w:pos="4234" w:val="left" w:leader="none"/>
          <w:tab w:pos="6219" w:val="left" w:leader="none"/>
        </w:tabs>
        <w:spacing w:line="240" w:lineRule="auto"/>
        <w:ind w:left="152" w:right="0" w:firstLine="0"/>
        <w:rPr>
          <w:sz w:val="20"/>
        </w:rPr>
      </w:pPr>
      <w:r>
        <w:rPr>
          <w:position w:val="6"/>
          <w:sz w:val="20"/>
        </w:rPr>
        <w:pict>
          <v:group style="width:90.5pt;height:103.35pt;mso-position-horizontal-relative:char;mso-position-vertical-relative:line" coordorigin="0,0" coordsize="1810,2067">
            <v:shape style="position:absolute;left:0;top:0;width:1810;height:2066" type="#_x0000_t75" stroked="false">
              <v:imagedata r:id="rId24" o:title=""/>
            </v:shape>
            <v:shape style="position:absolute;left:254;top:389;width:682;height:482" type="#_x0000_t75" stroked="false">
              <v:imagedata r:id="rId25" o:title=""/>
            </v:shape>
            <v:rect style="position:absolute;left:348;top:403;width:494;height:295" filled="false" stroked="true" strokeweight=".96pt" strokecolor="#ff0000"/>
          </v:group>
        </w:pict>
      </w:r>
      <w:r>
        <w:rPr>
          <w:position w:val="6"/>
          <w:sz w:val="20"/>
        </w:rPr>
      </w:r>
      <w:r>
        <w:rPr>
          <w:position w:val="6"/>
          <w:sz w:val="20"/>
        </w:rPr>
        <w:tab/>
      </w:r>
      <w:r>
        <w:rPr>
          <w:position w:val="6"/>
          <w:sz w:val="20"/>
        </w:rPr>
        <w:pict>
          <v:group style="width:85.6pt;height:103.35pt;mso-position-horizontal-relative:char;mso-position-vertical-relative:line" coordorigin="0,0" coordsize="1712,2067">
            <v:shape style="position:absolute;left:0;top:0;width:1711;height:2066" type="#_x0000_t75" stroked="false">
              <v:imagedata r:id="rId26" o:title=""/>
            </v:shape>
            <v:shape style="position:absolute;left:139;top:617;width:682;height:482" type="#_x0000_t75" stroked="false">
              <v:imagedata r:id="rId25" o:title=""/>
            </v:shape>
            <v:rect style="position:absolute;left:233;top:631;width:494;height:295" filled="false" stroked="true" strokeweight=".96pt" strokecolor="#ff0000"/>
          </v:group>
        </w:pict>
      </w:r>
      <w:r>
        <w:rPr>
          <w:position w:val="6"/>
          <w:sz w:val="20"/>
        </w:rPr>
      </w:r>
      <w:r>
        <w:rPr>
          <w:position w:val="6"/>
          <w:sz w:val="20"/>
        </w:rPr>
        <w:tab/>
      </w:r>
      <w:r>
        <w:rPr>
          <w:position w:val="6"/>
          <w:sz w:val="20"/>
        </w:rPr>
        <w:pict>
          <v:group style="width:85.6pt;height:103.35pt;mso-position-horizontal-relative:char;mso-position-vertical-relative:line" coordorigin="0,0" coordsize="1712,2067">
            <v:shape style="position:absolute;left:0;top:0;width:1711;height:2066" type="#_x0000_t75" stroked="false">
              <v:imagedata r:id="rId27" o:title=""/>
            </v:shape>
            <v:shape style="position:absolute;left:374;top:617;width:682;height:482" type="#_x0000_t75" stroked="false">
              <v:imagedata r:id="rId25" o:title=""/>
            </v:shape>
            <v:rect style="position:absolute;left:468;top:631;width:494;height:295" filled="false" stroked="true" strokeweight=".96pt" strokecolor="#ff0000"/>
          </v:group>
        </w:pict>
      </w:r>
      <w:r>
        <w:rPr>
          <w:position w:val="6"/>
          <w:sz w:val="20"/>
        </w:rPr>
      </w:r>
      <w:r>
        <w:rPr>
          <w:position w:val="6"/>
          <w:sz w:val="20"/>
        </w:rPr>
        <w:tab/>
      </w:r>
      <w:r>
        <w:rPr>
          <w:sz w:val="20"/>
        </w:rPr>
        <w:pict>
          <v:group style="width:85.6pt;height:105.75pt;mso-position-horizontal-relative:char;mso-position-vertical-relative:line" coordorigin="0,0" coordsize="1712,2115">
            <v:shape style="position:absolute;left:0;top:0;width:1711;height:2114" type="#_x0000_t75" stroked="false">
              <v:imagedata r:id="rId28" o:title=""/>
            </v:shape>
            <v:shape style="position:absolute;left:374;top:778;width:679;height:482" type="#_x0000_t75" stroked="false">
              <v:imagedata r:id="rId29" o:title=""/>
            </v:shape>
            <v:rect style="position:absolute;left:468;top:792;width:492;height:295" filled="false" stroked="true" strokeweight=".96pt" strokecolor="#ff0000"/>
          </v:group>
        </w:pict>
      </w:r>
      <w:r>
        <w:rPr>
          <w:sz w:val="20"/>
        </w:rPr>
      </w:r>
    </w:p>
    <w:p>
      <w:pPr>
        <w:pStyle w:val="BodyText"/>
        <w:rPr>
          <w:sz w:val="20"/>
        </w:rPr>
      </w:pPr>
    </w:p>
    <w:p>
      <w:pPr>
        <w:pStyle w:val="BodyText"/>
        <w:rPr>
          <w:sz w:val="20"/>
        </w:rPr>
      </w:pPr>
    </w:p>
    <w:p>
      <w:pPr>
        <w:pStyle w:val="BodyText"/>
        <w:spacing w:before="1"/>
        <w:rPr>
          <w:sz w:val="29"/>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3"/>
        <w:gridCol w:w="2393"/>
        <w:gridCol w:w="1746"/>
        <w:gridCol w:w="1387"/>
        <w:gridCol w:w="1176"/>
      </w:tblGrid>
      <w:tr>
        <w:trPr>
          <w:trHeight w:val="281" w:hRule="exact"/>
        </w:trPr>
        <w:tc>
          <w:tcPr>
            <w:tcW w:w="8855" w:type="dxa"/>
            <w:gridSpan w:val="5"/>
          </w:tcPr>
          <w:p>
            <w:pPr>
              <w:pStyle w:val="TableParagraph"/>
              <w:tabs>
                <w:tab w:pos="535" w:val="left" w:leader="none"/>
                <w:tab w:pos="8854" w:val="left" w:leader="none"/>
              </w:tabs>
              <w:spacing w:line="245" w:lineRule="exact"/>
              <w:ind w:left="14"/>
              <w:jc w:val="left"/>
              <w:rPr>
                <w:sz w:val="24"/>
              </w:rPr>
            </w:pPr>
            <w:r>
              <w:rPr>
                <w:w w:val="100"/>
                <w:sz w:val="24"/>
                <w:u w:val="single"/>
              </w:rPr>
              <w:t> </w:t>
            </w:r>
            <w:r>
              <w:rPr>
                <w:sz w:val="24"/>
                <w:u w:val="single"/>
              </w:rPr>
              <w:tab/>
              <w:t>Cuadro 21. Efecto de la región en la contaminación de la canal de</w:t>
            </w:r>
            <w:r>
              <w:rPr>
                <w:spacing w:val="-26"/>
                <w:sz w:val="24"/>
                <w:u w:val="single"/>
              </w:rPr>
              <w:t> </w:t>
            </w:r>
            <w:r>
              <w:rPr>
                <w:sz w:val="24"/>
                <w:u w:val="single"/>
              </w:rPr>
              <w:t>conejo</w:t>
              <w:tab/>
            </w:r>
          </w:p>
        </w:tc>
      </w:tr>
      <w:tr>
        <w:trPr>
          <w:trHeight w:val="316" w:hRule="exact"/>
        </w:trPr>
        <w:tc>
          <w:tcPr>
            <w:tcW w:w="8855" w:type="dxa"/>
            <w:gridSpan w:val="5"/>
          </w:tcPr>
          <w:p>
            <w:pPr>
              <w:pStyle w:val="TableParagraph"/>
              <w:spacing w:before="10"/>
              <w:ind w:left="2342" w:right="2834"/>
              <w:rPr>
                <w:sz w:val="24"/>
              </w:rPr>
            </w:pPr>
            <w:r>
              <w:rPr>
                <w:sz w:val="24"/>
              </w:rPr>
              <w:t>REGION</w:t>
            </w:r>
          </w:p>
        </w:tc>
      </w:tr>
      <w:tr>
        <w:trPr>
          <w:trHeight w:val="472" w:hRule="exact"/>
        </w:trPr>
        <w:tc>
          <w:tcPr>
            <w:tcW w:w="2153" w:type="dxa"/>
          </w:tcPr>
          <w:p>
            <w:pPr>
              <w:pStyle w:val="TableParagraph"/>
              <w:spacing w:before="4"/>
              <w:ind w:left="84"/>
              <w:jc w:val="left"/>
              <w:rPr>
                <w:sz w:val="24"/>
              </w:rPr>
            </w:pPr>
            <w:r>
              <w:rPr>
                <w:sz w:val="24"/>
              </w:rPr>
              <w:t>VARIABLE</w:t>
            </w:r>
          </w:p>
        </w:tc>
        <w:tc>
          <w:tcPr>
            <w:tcW w:w="2393" w:type="dxa"/>
          </w:tcPr>
          <w:p>
            <w:pPr>
              <w:pStyle w:val="TableParagraph"/>
              <w:tabs>
                <w:tab w:pos="894" w:val="left" w:leader="none"/>
                <w:tab w:pos="2829" w:val="left" w:leader="none"/>
              </w:tabs>
              <w:spacing w:before="4"/>
              <w:ind w:left="59" w:right="-437"/>
              <w:rPr>
                <w:b/>
                <w:sz w:val="24"/>
              </w:rPr>
            </w:pPr>
            <w:r>
              <w:rPr>
                <w:b/>
                <w:sz w:val="24"/>
                <w:u w:val="single"/>
              </w:rPr>
              <w:t> </w:t>
              <w:tab/>
              <w:t>VII</w:t>
              <w:tab/>
            </w:r>
          </w:p>
        </w:tc>
        <w:tc>
          <w:tcPr>
            <w:tcW w:w="1746" w:type="dxa"/>
          </w:tcPr>
          <w:p>
            <w:pPr>
              <w:pStyle w:val="TableParagraph"/>
              <w:tabs>
                <w:tab w:pos="1600" w:val="left" w:leader="none"/>
              </w:tabs>
              <w:spacing w:before="4"/>
              <w:ind w:left="436"/>
              <w:jc w:val="left"/>
              <w:rPr>
                <w:b/>
                <w:sz w:val="24"/>
              </w:rPr>
            </w:pPr>
            <w:r>
              <w:rPr>
                <w:b/>
                <w:sz w:val="24"/>
                <w:u w:val="single"/>
              </w:rPr>
              <w:t>XIII</w:t>
              <w:tab/>
            </w:r>
          </w:p>
        </w:tc>
        <w:tc>
          <w:tcPr>
            <w:tcW w:w="1387" w:type="dxa"/>
          </w:tcPr>
          <w:p>
            <w:pPr>
              <w:pStyle w:val="TableParagraph"/>
              <w:spacing w:before="4"/>
              <w:ind w:left="214"/>
              <w:jc w:val="left"/>
              <w:rPr>
                <w:b/>
                <w:sz w:val="24"/>
              </w:rPr>
            </w:pPr>
            <w:r>
              <w:rPr>
                <w:b/>
                <w:sz w:val="24"/>
              </w:rPr>
              <w:t>EEM</w:t>
            </w:r>
          </w:p>
        </w:tc>
        <w:tc>
          <w:tcPr>
            <w:tcW w:w="1176" w:type="dxa"/>
          </w:tcPr>
          <w:p>
            <w:pPr>
              <w:pStyle w:val="TableParagraph"/>
              <w:spacing w:before="4"/>
              <w:ind w:left="359"/>
              <w:jc w:val="left"/>
              <w:rPr>
                <w:b/>
                <w:sz w:val="24"/>
              </w:rPr>
            </w:pPr>
            <w:r>
              <w:rPr>
                <w:b/>
                <w:sz w:val="24"/>
              </w:rPr>
              <w:t>P</w:t>
            </w:r>
          </w:p>
        </w:tc>
      </w:tr>
      <w:tr>
        <w:trPr>
          <w:trHeight w:val="451" w:hRule="exact"/>
        </w:trPr>
        <w:tc>
          <w:tcPr>
            <w:tcW w:w="2153" w:type="dxa"/>
            <w:tcBorders>
              <w:bottom w:val="single" w:sz="4" w:space="0" w:color="000000"/>
            </w:tcBorders>
          </w:tcPr>
          <w:p>
            <w:pPr>
              <w:pStyle w:val="TableParagraph"/>
              <w:spacing w:before="166"/>
              <w:ind w:left="84"/>
              <w:jc w:val="left"/>
              <w:rPr>
                <w:sz w:val="24"/>
              </w:rPr>
            </w:pPr>
            <w:r>
              <w:rPr>
                <w:sz w:val="24"/>
              </w:rPr>
              <w:t>UFC</w:t>
            </w:r>
          </w:p>
        </w:tc>
        <w:tc>
          <w:tcPr>
            <w:tcW w:w="2393" w:type="dxa"/>
            <w:tcBorders>
              <w:bottom w:val="single" w:sz="4" w:space="0" w:color="000000"/>
            </w:tcBorders>
          </w:tcPr>
          <w:p>
            <w:pPr>
              <w:pStyle w:val="TableParagraph"/>
              <w:spacing w:before="166"/>
              <w:ind w:left="901" w:right="417"/>
              <w:rPr>
                <w:sz w:val="24"/>
              </w:rPr>
            </w:pPr>
            <w:r>
              <w:rPr>
                <w:sz w:val="24"/>
              </w:rPr>
              <w:t>5.51E+03</w:t>
            </w:r>
          </w:p>
        </w:tc>
        <w:tc>
          <w:tcPr>
            <w:tcW w:w="1746" w:type="dxa"/>
            <w:tcBorders>
              <w:bottom w:val="single" w:sz="4" w:space="0" w:color="000000"/>
            </w:tcBorders>
          </w:tcPr>
          <w:p>
            <w:pPr>
              <w:pStyle w:val="TableParagraph"/>
              <w:spacing w:before="166"/>
              <w:ind w:left="496"/>
              <w:jc w:val="left"/>
              <w:rPr>
                <w:sz w:val="24"/>
              </w:rPr>
            </w:pPr>
            <w:r>
              <w:rPr>
                <w:sz w:val="24"/>
              </w:rPr>
              <w:t>8.36E+04</w:t>
            </w:r>
          </w:p>
        </w:tc>
        <w:tc>
          <w:tcPr>
            <w:tcW w:w="1387" w:type="dxa"/>
            <w:tcBorders>
              <w:bottom w:val="single" w:sz="4" w:space="0" w:color="000000"/>
            </w:tcBorders>
          </w:tcPr>
          <w:p>
            <w:pPr>
              <w:pStyle w:val="TableParagraph"/>
              <w:spacing w:before="166"/>
              <w:ind w:left="425"/>
              <w:jc w:val="left"/>
              <w:rPr>
                <w:sz w:val="24"/>
              </w:rPr>
            </w:pPr>
            <w:r>
              <w:rPr>
                <w:sz w:val="24"/>
              </w:rPr>
              <w:t>0.067</w:t>
            </w:r>
          </w:p>
        </w:tc>
        <w:tc>
          <w:tcPr>
            <w:tcW w:w="1176" w:type="dxa"/>
            <w:tcBorders>
              <w:bottom w:val="single" w:sz="4" w:space="0" w:color="000000"/>
            </w:tcBorders>
          </w:tcPr>
          <w:p>
            <w:pPr>
              <w:pStyle w:val="TableParagraph"/>
              <w:spacing w:before="166"/>
              <w:ind w:left="369"/>
              <w:jc w:val="left"/>
              <w:rPr>
                <w:sz w:val="24"/>
              </w:rPr>
            </w:pPr>
            <w:r>
              <w:rPr>
                <w:sz w:val="24"/>
              </w:rPr>
              <w:t>0.4739</w:t>
            </w:r>
          </w:p>
        </w:tc>
      </w:tr>
    </w:tbl>
    <w:p>
      <w:pPr>
        <w:pStyle w:val="BodyText"/>
        <w:rPr>
          <w:sz w:val="20"/>
        </w:rPr>
      </w:pPr>
    </w:p>
    <w:p>
      <w:pPr>
        <w:pStyle w:val="BodyText"/>
        <w:rPr>
          <w:sz w:val="20"/>
        </w:rPr>
      </w:pPr>
    </w:p>
    <w:p>
      <w:pPr>
        <w:pStyle w:val="BodyText"/>
        <w:spacing w:before="4"/>
        <w:rPr>
          <w:sz w:val="28"/>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1"/>
        <w:gridCol w:w="926"/>
        <w:gridCol w:w="930"/>
        <w:gridCol w:w="929"/>
        <w:gridCol w:w="929"/>
        <w:gridCol w:w="929"/>
        <w:gridCol w:w="929"/>
        <w:gridCol w:w="930"/>
        <w:gridCol w:w="701"/>
        <w:gridCol w:w="600"/>
      </w:tblGrid>
      <w:tr>
        <w:trPr>
          <w:trHeight w:val="294" w:hRule="exact"/>
        </w:trPr>
        <w:tc>
          <w:tcPr>
            <w:tcW w:w="8855" w:type="dxa"/>
            <w:gridSpan w:val="10"/>
          </w:tcPr>
          <w:p>
            <w:pPr>
              <w:pStyle w:val="TableParagraph"/>
              <w:tabs>
                <w:tab w:pos="770" w:val="left" w:leader="none"/>
                <w:tab w:pos="8855" w:val="left" w:leader="none"/>
              </w:tabs>
              <w:spacing w:line="204" w:lineRule="exact"/>
              <w:ind w:left="14"/>
              <w:jc w:val="left"/>
              <w:rPr>
                <w:sz w:val="20"/>
              </w:rPr>
            </w:pPr>
            <w:r>
              <w:rPr>
                <w:w w:val="99"/>
                <w:sz w:val="20"/>
                <w:u w:val="single"/>
              </w:rPr>
              <w:t> </w:t>
            </w:r>
            <w:r>
              <w:rPr>
                <w:sz w:val="20"/>
                <w:u w:val="single"/>
              </w:rPr>
              <w:tab/>
              <w:t>Cuadro 22. Efecto de la localidad en la contaminación de la canal de</w:t>
            </w:r>
            <w:r>
              <w:rPr>
                <w:spacing w:val="-23"/>
                <w:sz w:val="20"/>
                <w:u w:val="single"/>
              </w:rPr>
              <w:t> </w:t>
            </w:r>
            <w:r>
              <w:rPr>
                <w:sz w:val="20"/>
                <w:u w:val="single"/>
              </w:rPr>
              <w:t>conejo</w:t>
              <w:tab/>
            </w:r>
          </w:p>
        </w:tc>
      </w:tr>
      <w:tr>
        <w:trPr>
          <w:trHeight w:val="307" w:hRule="exact"/>
        </w:trPr>
        <w:tc>
          <w:tcPr>
            <w:tcW w:w="8855" w:type="dxa"/>
            <w:gridSpan w:val="10"/>
          </w:tcPr>
          <w:p>
            <w:pPr>
              <w:pStyle w:val="TableParagraph"/>
              <w:spacing w:before="68"/>
              <w:ind w:left="2319" w:right="3503"/>
              <w:rPr>
                <w:sz w:val="20"/>
              </w:rPr>
            </w:pPr>
            <w:r>
              <w:rPr>
                <w:sz w:val="20"/>
              </w:rPr>
              <w:t>LOCALIDAD</w:t>
            </w:r>
          </w:p>
        </w:tc>
      </w:tr>
      <w:tr>
        <w:trPr>
          <w:trHeight w:val="663" w:hRule="exact"/>
        </w:trPr>
        <w:tc>
          <w:tcPr>
            <w:tcW w:w="1051" w:type="dxa"/>
          </w:tcPr>
          <w:p>
            <w:pPr>
              <w:pStyle w:val="TableParagraph"/>
              <w:spacing w:before="2"/>
              <w:ind w:left="84" w:right="51"/>
              <w:jc w:val="left"/>
              <w:rPr>
                <w:sz w:val="20"/>
              </w:rPr>
            </w:pPr>
            <w:r>
              <w:rPr>
                <w:w w:val="95"/>
                <w:sz w:val="20"/>
              </w:rPr>
              <w:t>VARIABL </w:t>
            </w:r>
            <w:r>
              <w:rPr>
                <w:sz w:val="20"/>
              </w:rPr>
              <w:t>E</w:t>
            </w:r>
          </w:p>
        </w:tc>
        <w:tc>
          <w:tcPr>
            <w:tcW w:w="926" w:type="dxa"/>
            <w:tcBorders>
              <w:top w:val="single" w:sz="4" w:space="0" w:color="000000"/>
            </w:tcBorders>
          </w:tcPr>
          <w:p>
            <w:pPr>
              <w:pStyle w:val="TableParagraph"/>
              <w:spacing w:before="6"/>
              <w:jc w:val="left"/>
              <w:rPr>
                <w:sz w:val="19"/>
              </w:rPr>
            </w:pPr>
          </w:p>
          <w:p>
            <w:pPr>
              <w:pStyle w:val="TableParagraph"/>
              <w:ind w:right="2"/>
              <w:rPr>
                <w:b/>
                <w:sz w:val="20"/>
              </w:rPr>
            </w:pPr>
            <w:r>
              <w:rPr>
                <w:b/>
                <w:w w:val="99"/>
                <w:sz w:val="20"/>
              </w:rPr>
              <w:t>1</w:t>
            </w:r>
          </w:p>
        </w:tc>
        <w:tc>
          <w:tcPr>
            <w:tcW w:w="930" w:type="dxa"/>
            <w:tcBorders>
              <w:top w:val="single" w:sz="4" w:space="0" w:color="000000"/>
            </w:tcBorders>
          </w:tcPr>
          <w:p>
            <w:pPr>
              <w:pStyle w:val="TableParagraph"/>
              <w:spacing w:before="6"/>
              <w:jc w:val="left"/>
              <w:rPr>
                <w:sz w:val="19"/>
              </w:rPr>
            </w:pPr>
          </w:p>
          <w:p>
            <w:pPr>
              <w:pStyle w:val="TableParagraph"/>
              <w:ind w:left="2"/>
              <w:rPr>
                <w:b/>
                <w:sz w:val="20"/>
              </w:rPr>
            </w:pPr>
            <w:r>
              <w:rPr>
                <w:b/>
                <w:w w:val="99"/>
                <w:sz w:val="20"/>
              </w:rPr>
              <w:t>2</w:t>
            </w:r>
          </w:p>
        </w:tc>
        <w:tc>
          <w:tcPr>
            <w:tcW w:w="929" w:type="dxa"/>
            <w:tcBorders>
              <w:top w:val="single" w:sz="4" w:space="0" w:color="000000"/>
            </w:tcBorders>
          </w:tcPr>
          <w:p>
            <w:pPr>
              <w:pStyle w:val="TableParagraph"/>
              <w:spacing w:before="6"/>
              <w:jc w:val="left"/>
              <w:rPr>
                <w:sz w:val="19"/>
              </w:rPr>
            </w:pPr>
          </w:p>
          <w:p>
            <w:pPr>
              <w:pStyle w:val="TableParagraph"/>
              <w:rPr>
                <w:b/>
                <w:sz w:val="20"/>
              </w:rPr>
            </w:pPr>
            <w:r>
              <w:rPr>
                <w:b/>
                <w:w w:val="99"/>
                <w:sz w:val="20"/>
              </w:rPr>
              <w:t>3</w:t>
            </w:r>
          </w:p>
        </w:tc>
        <w:tc>
          <w:tcPr>
            <w:tcW w:w="929" w:type="dxa"/>
            <w:tcBorders>
              <w:top w:val="single" w:sz="4" w:space="0" w:color="000000"/>
            </w:tcBorders>
          </w:tcPr>
          <w:p>
            <w:pPr>
              <w:pStyle w:val="TableParagraph"/>
              <w:spacing w:before="6"/>
              <w:jc w:val="left"/>
              <w:rPr>
                <w:sz w:val="19"/>
              </w:rPr>
            </w:pPr>
          </w:p>
          <w:p>
            <w:pPr>
              <w:pStyle w:val="TableParagraph"/>
              <w:rPr>
                <w:b/>
                <w:sz w:val="20"/>
              </w:rPr>
            </w:pPr>
            <w:r>
              <w:rPr>
                <w:b/>
                <w:w w:val="99"/>
                <w:sz w:val="20"/>
              </w:rPr>
              <w:t>4</w:t>
            </w:r>
          </w:p>
        </w:tc>
        <w:tc>
          <w:tcPr>
            <w:tcW w:w="929" w:type="dxa"/>
            <w:tcBorders>
              <w:top w:val="single" w:sz="4" w:space="0" w:color="000000"/>
            </w:tcBorders>
          </w:tcPr>
          <w:p>
            <w:pPr>
              <w:pStyle w:val="TableParagraph"/>
              <w:spacing w:before="6"/>
              <w:jc w:val="left"/>
              <w:rPr>
                <w:sz w:val="19"/>
              </w:rPr>
            </w:pPr>
          </w:p>
          <w:p>
            <w:pPr>
              <w:pStyle w:val="TableParagraph"/>
              <w:rPr>
                <w:b/>
                <w:sz w:val="20"/>
              </w:rPr>
            </w:pPr>
            <w:r>
              <w:rPr>
                <w:b/>
                <w:w w:val="99"/>
                <w:sz w:val="20"/>
              </w:rPr>
              <w:t>5</w:t>
            </w:r>
          </w:p>
        </w:tc>
        <w:tc>
          <w:tcPr>
            <w:tcW w:w="929" w:type="dxa"/>
            <w:tcBorders>
              <w:top w:val="single" w:sz="4" w:space="0" w:color="000000"/>
            </w:tcBorders>
          </w:tcPr>
          <w:p>
            <w:pPr>
              <w:pStyle w:val="TableParagraph"/>
              <w:spacing w:before="6"/>
              <w:jc w:val="left"/>
              <w:rPr>
                <w:sz w:val="19"/>
              </w:rPr>
            </w:pPr>
          </w:p>
          <w:p>
            <w:pPr>
              <w:pStyle w:val="TableParagraph"/>
              <w:rPr>
                <w:b/>
                <w:sz w:val="20"/>
              </w:rPr>
            </w:pPr>
            <w:r>
              <w:rPr>
                <w:b/>
                <w:w w:val="99"/>
                <w:sz w:val="20"/>
              </w:rPr>
              <w:t>6</w:t>
            </w:r>
          </w:p>
        </w:tc>
        <w:tc>
          <w:tcPr>
            <w:tcW w:w="930" w:type="dxa"/>
            <w:tcBorders>
              <w:top w:val="single" w:sz="4" w:space="0" w:color="000000"/>
            </w:tcBorders>
          </w:tcPr>
          <w:p>
            <w:pPr>
              <w:pStyle w:val="TableParagraph"/>
              <w:spacing w:before="6"/>
              <w:jc w:val="left"/>
              <w:rPr>
                <w:sz w:val="19"/>
              </w:rPr>
            </w:pPr>
          </w:p>
          <w:p>
            <w:pPr>
              <w:pStyle w:val="TableParagraph"/>
              <w:rPr>
                <w:b/>
                <w:sz w:val="20"/>
              </w:rPr>
            </w:pPr>
            <w:r>
              <w:rPr>
                <w:b/>
                <w:w w:val="99"/>
                <w:sz w:val="20"/>
              </w:rPr>
              <w:t>7</w:t>
            </w:r>
          </w:p>
        </w:tc>
        <w:tc>
          <w:tcPr>
            <w:tcW w:w="701" w:type="dxa"/>
          </w:tcPr>
          <w:p>
            <w:pPr>
              <w:pStyle w:val="TableParagraph"/>
              <w:jc w:val="left"/>
              <w:rPr>
                <w:sz w:val="20"/>
              </w:rPr>
            </w:pPr>
          </w:p>
          <w:p>
            <w:pPr>
              <w:pStyle w:val="TableParagraph"/>
              <w:ind w:left="132"/>
              <w:jc w:val="left"/>
              <w:rPr>
                <w:b/>
                <w:sz w:val="20"/>
              </w:rPr>
            </w:pPr>
            <w:r>
              <w:rPr>
                <w:b/>
                <w:sz w:val="20"/>
              </w:rPr>
              <w:t>EEM</w:t>
            </w:r>
          </w:p>
        </w:tc>
        <w:tc>
          <w:tcPr>
            <w:tcW w:w="600" w:type="dxa"/>
          </w:tcPr>
          <w:p>
            <w:pPr>
              <w:pStyle w:val="TableParagraph"/>
              <w:jc w:val="left"/>
              <w:rPr>
                <w:sz w:val="20"/>
              </w:rPr>
            </w:pPr>
          </w:p>
          <w:p>
            <w:pPr>
              <w:pStyle w:val="TableParagraph"/>
              <w:ind w:right="4"/>
              <w:rPr>
                <w:b/>
                <w:sz w:val="20"/>
              </w:rPr>
            </w:pPr>
            <w:r>
              <w:rPr>
                <w:b/>
                <w:w w:val="99"/>
                <w:sz w:val="20"/>
              </w:rPr>
              <w:t>P</w:t>
            </w:r>
          </w:p>
        </w:tc>
      </w:tr>
      <w:tr>
        <w:trPr>
          <w:trHeight w:val="645" w:hRule="exact"/>
        </w:trPr>
        <w:tc>
          <w:tcPr>
            <w:tcW w:w="1051" w:type="dxa"/>
            <w:tcBorders>
              <w:bottom w:val="single" w:sz="4" w:space="0" w:color="000000"/>
            </w:tcBorders>
          </w:tcPr>
          <w:p>
            <w:pPr>
              <w:pStyle w:val="TableParagraph"/>
              <w:spacing w:before="179"/>
              <w:ind w:left="326" w:right="51"/>
              <w:jc w:val="left"/>
              <w:rPr>
                <w:sz w:val="20"/>
              </w:rPr>
            </w:pPr>
            <w:r>
              <w:rPr>
                <w:sz w:val="20"/>
              </w:rPr>
              <w:t>UFC</w:t>
            </w:r>
          </w:p>
        </w:tc>
        <w:tc>
          <w:tcPr>
            <w:tcW w:w="926" w:type="dxa"/>
            <w:tcBorders>
              <w:bottom w:val="single" w:sz="4" w:space="0" w:color="000000"/>
            </w:tcBorders>
          </w:tcPr>
          <w:p>
            <w:pPr>
              <w:pStyle w:val="TableParagraph"/>
              <w:spacing w:line="229" w:lineRule="exact" w:before="179"/>
              <w:ind w:left="66" w:right="68"/>
              <w:rPr>
                <w:sz w:val="20"/>
              </w:rPr>
            </w:pPr>
            <w:r>
              <w:rPr>
                <w:sz w:val="20"/>
              </w:rPr>
              <w:t>5.12E+0</w:t>
            </w:r>
          </w:p>
          <w:p>
            <w:pPr>
              <w:pStyle w:val="TableParagraph"/>
              <w:spacing w:line="229" w:lineRule="exact"/>
              <w:ind w:right="2"/>
              <w:rPr>
                <w:sz w:val="20"/>
              </w:rPr>
            </w:pPr>
            <w:r>
              <w:rPr>
                <w:w w:val="99"/>
                <w:sz w:val="20"/>
              </w:rPr>
              <w:t>4</w:t>
            </w:r>
          </w:p>
        </w:tc>
        <w:tc>
          <w:tcPr>
            <w:tcW w:w="930" w:type="dxa"/>
            <w:tcBorders>
              <w:bottom w:val="single" w:sz="4" w:space="0" w:color="000000"/>
            </w:tcBorders>
          </w:tcPr>
          <w:p>
            <w:pPr>
              <w:pStyle w:val="TableParagraph"/>
              <w:spacing w:line="229" w:lineRule="exact" w:before="179"/>
              <w:ind w:left="69" w:right="69"/>
              <w:rPr>
                <w:sz w:val="20"/>
              </w:rPr>
            </w:pPr>
            <w:r>
              <w:rPr>
                <w:sz w:val="20"/>
              </w:rPr>
              <w:t>5.89E+0</w:t>
            </w:r>
          </w:p>
          <w:p>
            <w:pPr>
              <w:pStyle w:val="TableParagraph"/>
              <w:spacing w:line="229" w:lineRule="exact"/>
              <w:ind w:left="2"/>
              <w:rPr>
                <w:sz w:val="20"/>
              </w:rPr>
            </w:pPr>
            <w:r>
              <w:rPr>
                <w:w w:val="99"/>
                <w:sz w:val="20"/>
              </w:rPr>
              <w:t>3</w:t>
            </w:r>
          </w:p>
        </w:tc>
        <w:tc>
          <w:tcPr>
            <w:tcW w:w="929" w:type="dxa"/>
            <w:tcBorders>
              <w:bottom w:val="single" w:sz="4" w:space="0" w:color="000000"/>
            </w:tcBorders>
          </w:tcPr>
          <w:p>
            <w:pPr>
              <w:pStyle w:val="TableParagraph"/>
              <w:spacing w:line="229" w:lineRule="exact" w:before="179"/>
              <w:ind w:left="69" w:right="69"/>
              <w:rPr>
                <w:sz w:val="20"/>
              </w:rPr>
            </w:pPr>
            <w:r>
              <w:rPr>
                <w:sz w:val="20"/>
              </w:rPr>
              <w:t>8.01E+0</w:t>
            </w:r>
          </w:p>
          <w:p>
            <w:pPr>
              <w:pStyle w:val="TableParagraph"/>
              <w:spacing w:line="229" w:lineRule="exact"/>
              <w:rPr>
                <w:sz w:val="20"/>
              </w:rPr>
            </w:pPr>
            <w:r>
              <w:rPr>
                <w:w w:val="99"/>
                <w:sz w:val="20"/>
              </w:rPr>
              <w:t>4</w:t>
            </w:r>
          </w:p>
        </w:tc>
        <w:tc>
          <w:tcPr>
            <w:tcW w:w="929" w:type="dxa"/>
            <w:tcBorders>
              <w:bottom w:val="single" w:sz="4" w:space="0" w:color="000000"/>
            </w:tcBorders>
          </w:tcPr>
          <w:p>
            <w:pPr>
              <w:pStyle w:val="TableParagraph"/>
              <w:spacing w:line="229" w:lineRule="exact" w:before="179"/>
              <w:ind w:left="69" w:right="69"/>
              <w:rPr>
                <w:sz w:val="20"/>
              </w:rPr>
            </w:pPr>
            <w:r>
              <w:rPr>
                <w:sz w:val="20"/>
              </w:rPr>
              <w:t>8.97E+0</w:t>
            </w:r>
          </w:p>
          <w:p>
            <w:pPr>
              <w:pStyle w:val="TableParagraph"/>
              <w:spacing w:line="229" w:lineRule="exact"/>
              <w:rPr>
                <w:sz w:val="20"/>
              </w:rPr>
            </w:pPr>
            <w:r>
              <w:rPr>
                <w:w w:val="99"/>
                <w:sz w:val="20"/>
              </w:rPr>
              <w:t>4</w:t>
            </w:r>
          </w:p>
        </w:tc>
        <w:tc>
          <w:tcPr>
            <w:tcW w:w="929" w:type="dxa"/>
            <w:tcBorders>
              <w:bottom w:val="single" w:sz="4" w:space="0" w:color="000000"/>
            </w:tcBorders>
          </w:tcPr>
          <w:p>
            <w:pPr>
              <w:pStyle w:val="TableParagraph"/>
              <w:spacing w:line="229" w:lineRule="exact" w:before="179"/>
              <w:ind w:left="69" w:right="69"/>
              <w:rPr>
                <w:sz w:val="20"/>
              </w:rPr>
            </w:pPr>
            <w:r>
              <w:rPr>
                <w:sz w:val="20"/>
              </w:rPr>
              <w:t>2.39E+0</w:t>
            </w:r>
          </w:p>
          <w:p>
            <w:pPr>
              <w:pStyle w:val="TableParagraph"/>
              <w:spacing w:line="229" w:lineRule="exact"/>
              <w:rPr>
                <w:sz w:val="20"/>
              </w:rPr>
            </w:pPr>
            <w:r>
              <w:rPr>
                <w:w w:val="99"/>
                <w:sz w:val="20"/>
              </w:rPr>
              <w:t>4</w:t>
            </w:r>
          </w:p>
        </w:tc>
        <w:tc>
          <w:tcPr>
            <w:tcW w:w="929" w:type="dxa"/>
            <w:tcBorders>
              <w:bottom w:val="single" w:sz="4" w:space="0" w:color="000000"/>
            </w:tcBorders>
          </w:tcPr>
          <w:p>
            <w:pPr>
              <w:pStyle w:val="TableParagraph"/>
              <w:spacing w:line="229" w:lineRule="exact" w:before="179"/>
              <w:ind w:left="69" w:right="69"/>
              <w:rPr>
                <w:sz w:val="20"/>
              </w:rPr>
            </w:pPr>
            <w:r>
              <w:rPr>
                <w:sz w:val="20"/>
              </w:rPr>
              <w:t>9.28E+0</w:t>
            </w:r>
          </w:p>
          <w:p>
            <w:pPr>
              <w:pStyle w:val="TableParagraph"/>
              <w:spacing w:line="229" w:lineRule="exact"/>
              <w:rPr>
                <w:sz w:val="20"/>
              </w:rPr>
            </w:pPr>
            <w:r>
              <w:rPr>
                <w:w w:val="99"/>
                <w:sz w:val="20"/>
              </w:rPr>
              <w:t>4</w:t>
            </w:r>
          </w:p>
        </w:tc>
        <w:tc>
          <w:tcPr>
            <w:tcW w:w="930" w:type="dxa"/>
            <w:tcBorders>
              <w:bottom w:val="single" w:sz="4" w:space="0" w:color="000000"/>
            </w:tcBorders>
          </w:tcPr>
          <w:p>
            <w:pPr>
              <w:pStyle w:val="TableParagraph"/>
              <w:spacing w:line="229" w:lineRule="exact" w:before="179"/>
              <w:ind w:left="69" w:right="70"/>
              <w:rPr>
                <w:sz w:val="20"/>
              </w:rPr>
            </w:pPr>
            <w:r>
              <w:rPr>
                <w:sz w:val="20"/>
              </w:rPr>
              <w:t>4.80E+0</w:t>
            </w:r>
          </w:p>
          <w:p>
            <w:pPr>
              <w:pStyle w:val="TableParagraph"/>
              <w:spacing w:line="229" w:lineRule="exact"/>
              <w:rPr>
                <w:sz w:val="20"/>
              </w:rPr>
            </w:pPr>
            <w:r>
              <w:rPr>
                <w:w w:val="99"/>
                <w:sz w:val="20"/>
              </w:rPr>
              <w:t>4</w:t>
            </w:r>
          </w:p>
        </w:tc>
        <w:tc>
          <w:tcPr>
            <w:tcW w:w="701" w:type="dxa"/>
            <w:tcBorders>
              <w:bottom w:val="single" w:sz="4" w:space="0" w:color="000000"/>
            </w:tcBorders>
          </w:tcPr>
          <w:p>
            <w:pPr>
              <w:pStyle w:val="TableParagraph"/>
              <w:spacing w:line="229" w:lineRule="exact" w:before="179"/>
              <w:ind w:left="78" w:right="81"/>
              <w:rPr>
                <w:sz w:val="20"/>
              </w:rPr>
            </w:pPr>
            <w:r>
              <w:rPr>
                <w:sz w:val="20"/>
              </w:rPr>
              <w:t>0.094</w:t>
            </w:r>
          </w:p>
          <w:p>
            <w:pPr>
              <w:pStyle w:val="TableParagraph"/>
              <w:spacing w:line="229" w:lineRule="exact"/>
              <w:ind w:right="1"/>
              <w:rPr>
                <w:sz w:val="20"/>
              </w:rPr>
            </w:pPr>
            <w:r>
              <w:rPr>
                <w:w w:val="99"/>
                <w:sz w:val="20"/>
              </w:rPr>
              <w:t>8</w:t>
            </w:r>
          </w:p>
        </w:tc>
        <w:tc>
          <w:tcPr>
            <w:tcW w:w="600" w:type="dxa"/>
            <w:tcBorders>
              <w:bottom w:val="single" w:sz="4" w:space="0" w:color="000000"/>
            </w:tcBorders>
          </w:tcPr>
          <w:p>
            <w:pPr>
              <w:pStyle w:val="TableParagraph"/>
              <w:spacing w:line="229" w:lineRule="exact" w:before="179"/>
              <w:ind w:left="82" w:right="87"/>
              <w:rPr>
                <w:sz w:val="20"/>
              </w:rPr>
            </w:pPr>
            <w:r>
              <w:rPr>
                <w:sz w:val="20"/>
              </w:rPr>
              <w:t>0.02</w:t>
            </w:r>
          </w:p>
          <w:p>
            <w:pPr>
              <w:pStyle w:val="TableParagraph"/>
              <w:spacing w:line="229" w:lineRule="exact"/>
              <w:ind w:right="2"/>
              <w:rPr>
                <w:sz w:val="20"/>
              </w:rPr>
            </w:pPr>
            <w:r>
              <w:rPr>
                <w:w w:val="99"/>
                <w:sz w:val="20"/>
              </w:rPr>
              <w:t>5</w:t>
            </w:r>
          </w:p>
        </w:tc>
      </w:tr>
    </w:tbl>
    <w:p>
      <w:pPr>
        <w:pStyle w:val="BodyText"/>
        <w:rPr>
          <w:sz w:val="20"/>
        </w:rPr>
      </w:pPr>
    </w:p>
    <w:p>
      <w:pPr>
        <w:pStyle w:val="BodyText"/>
        <w:spacing w:before="3"/>
        <w:rPr>
          <w:sz w:val="27"/>
        </w:rPr>
      </w:pPr>
    </w:p>
    <w:p>
      <w:pPr>
        <w:spacing w:before="69"/>
        <w:ind w:left="152" w:right="0" w:firstLine="0"/>
        <w:jc w:val="both"/>
        <w:rPr>
          <w:b/>
          <w:i/>
          <w:sz w:val="24"/>
        </w:rPr>
      </w:pPr>
      <w:r>
        <w:rPr>
          <w:b/>
          <w:sz w:val="24"/>
        </w:rPr>
        <w:t>Identificación fenotípica de </w:t>
      </w:r>
      <w:r>
        <w:rPr>
          <w:b/>
          <w:i/>
          <w:sz w:val="24"/>
        </w:rPr>
        <w:t>Staphylococcus aureus</w:t>
      </w:r>
    </w:p>
    <w:p>
      <w:pPr>
        <w:pStyle w:val="BodyText"/>
        <w:spacing w:before="4"/>
        <w:rPr>
          <w:b/>
          <w:i/>
          <w:sz w:val="29"/>
        </w:rPr>
      </w:pPr>
    </w:p>
    <w:p>
      <w:pPr>
        <w:pStyle w:val="BodyText"/>
        <w:spacing w:line="360" w:lineRule="auto" w:before="1"/>
        <w:ind w:left="152" w:right="101"/>
        <w:jc w:val="both"/>
      </w:pPr>
      <w:r>
        <w:rPr/>
        <w:t>El resultado de los aislamientos de las 210 muestra que se obtuvieron en las 30 unidades de producción cunicula distribuidas en el Valle de Toluca de </w:t>
      </w:r>
      <w:r>
        <w:rPr>
          <w:i/>
        </w:rPr>
        <w:t>Staphylococcus</w:t>
      </w:r>
      <w:r>
        <w:rPr>
          <w:i/>
          <w:spacing w:val="-8"/>
        </w:rPr>
        <w:t> </w:t>
      </w:r>
      <w:r>
        <w:rPr>
          <w:i/>
        </w:rPr>
        <w:t>aureus</w:t>
      </w:r>
      <w:r>
        <w:rPr>
          <w:i/>
          <w:spacing w:val="-8"/>
        </w:rPr>
        <w:t> </w:t>
      </w:r>
      <w:r>
        <w:rPr/>
        <w:t>fue</w:t>
      </w:r>
      <w:r>
        <w:rPr>
          <w:spacing w:val="-10"/>
        </w:rPr>
        <w:t> </w:t>
      </w:r>
      <w:r>
        <w:rPr/>
        <w:t>de</w:t>
      </w:r>
      <w:r>
        <w:rPr>
          <w:spacing w:val="-11"/>
        </w:rPr>
        <w:t> </w:t>
      </w:r>
      <w:r>
        <w:rPr/>
        <w:t>0.95%</w:t>
      </w:r>
      <w:r>
        <w:rPr>
          <w:spacing w:val="-11"/>
        </w:rPr>
        <w:t> </w:t>
      </w:r>
      <w:r>
        <w:rPr/>
        <w:t>por</w:t>
      </w:r>
      <w:r>
        <w:rPr>
          <w:spacing w:val="-10"/>
        </w:rPr>
        <w:t> </w:t>
      </w:r>
      <w:r>
        <w:rPr/>
        <w:t>pruebas</w:t>
      </w:r>
      <w:r>
        <w:rPr>
          <w:spacing w:val="-12"/>
        </w:rPr>
        <w:t> </w:t>
      </w:r>
      <w:r>
        <w:rPr/>
        <w:t>bioquimicas</w:t>
      </w:r>
      <w:r>
        <w:rPr>
          <w:spacing w:val="-11"/>
        </w:rPr>
        <w:t> </w:t>
      </w:r>
      <w:r>
        <w:rPr/>
        <w:t>de</w:t>
      </w:r>
      <w:r>
        <w:rPr>
          <w:spacing w:val="-11"/>
        </w:rPr>
        <w:t> </w:t>
      </w:r>
      <w:r>
        <w:rPr/>
        <w:t>rutina</w:t>
      </w:r>
      <w:r>
        <w:rPr>
          <w:spacing w:val="-8"/>
        </w:rPr>
        <w:t> </w:t>
      </w:r>
      <w:r>
        <w:rPr/>
        <w:t>(NOM-115- SSA1-1994).  Sin  embargo,  el  resultado  de  </w:t>
      </w:r>
      <w:r>
        <w:rPr>
          <w:i/>
        </w:rPr>
        <w:t>Staphylococcus  </w:t>
      </w:r>
      <w:r>
        <w:rPr/>
        <w:t>cuaguala </w:t>
      </w:r>
      <w:r>
        <w:rPr>
          <w:spacing w:val="2"/>
        </w:rPr>
        <w:t> </w:t>
      </w:r>
      <w:r>
        <w:rPr/>
        <w:t>negativo</w:t>
      </w:r>
    </w:p>
    <w:p>
      <w:pPr>
        <w:spacing w:after="0" w:line="360" w:lineRule="auto"/>
        <w:jc w:val="both"/>
        <w:sectPr>
          <w:pgSz w:w="12240" w:h="15840"/>
          <w:pgMar w:header="0" w:footer="1386" w:top="1500" w:bottom="1580" w:left="1720" w:right="1420"/>
        </w:sectPr>
      </w:pPr>
    </w:p>
    <w:p>
      <w:pPr>
        <w:pStyle w:val="BodyText"/>
        <w:spacing w:before="2"/>
        <w:rPr>
          <w:sz w:val="21"/>
        </w:rPr>
      </w:pPr>
    </w:p>
    <w:p>
      <w:pPr>
        <w:spacing w:line="360" w:lineRule="auto" w:before="69"/>
        <w:ind w:left="152" w:right="105" w:firstLine="0"/>
        <w:jc w:val="both"/>
        <w:rPr>
          <w:sz w:val="24"/>
        </w:rPr>
      </w:pPr>
      <w:r>
        <w:rPr>
          <w:sz w:val="24"/>
        </w:rPr>
        <w:t>(SCN) que se identificaron presentan una prevalencia de 99.05% del total de los aislamientos, en donde se idenficaron los siguientes especies </w:t>
      </w:r>
      <w:r>
        <w:rPr>
          <w:i/>
          <w:sz w:val="24"/>
        </w:rPr>
        <w:t>Staphylococcus</w:t>
      </w:r>
      <w:r>
        <w:rPr>
          <w:sz w:val="24"/>
        </w:rPr>
        <w:t>: </w:t>
      </w:r>
      <w:r>
        <w:rPr>
          <w:i/>
          <w:sz w:val="24"/>
        </w:rPr>
        <w:t>Staphylococcus</w:t>
      </w:r>
      <w:r>
        <w:rPr>
          <w:i/>
          <w:spacing w:val="-14"/>
          <w:sz w:val="24"/>
        </w:rPr>
        <w:t> </w:t>
      </w:r>
      <w:r>
        <w:rPr>
          <w:i/>
          <w:sz w:val="24"/>
        </w:rPr>
        <w:t>xilosus</w:t>
      </w:r>
      <w:r>
        <w:rPr>
          <w:i/>
          <w:spacing w:val="-12"/>
          <w:sz w:val="24"/>
        </w:rPr>
        <w:t> </w:t>
      </w:r>
      <w:r>
        <w:rPr>
          <w:sz w:val="24"/>
        </w:rPr>
        <w:t>9.05%,</w:t>
      </w:r>
      <w:r>
        <w:rPr>
          <w:spacing w:val="-15"/>
          <w:sz w:val="24"/>
        </w:rPr>
        <w:t> </w:t>
      </w:r>
      <w:r>
        <w:rPr>
          <w:i/>
          <w:sz w:val="24"/>
        </w:rPr>
        <w:t>Staphylococcus</w:t>
      </w:r>
      <w:r>
        <w:rPr>
          <w:i/>
          <w:spacing w:val="-14"/>
          <w:sz w:val="24"/>
        </w:rPr>
        <w:t> </w:t>
      </w:r>
      <w:r>
        <w:rPr>
          <w:i/>
          <w:sz w:val="24"/>
        </w:rPr>
        <w:t>scuiri</w:t>
      </w:r>
      <w:r>
        <w:rPr>
          <w:i/>
          <w:spacing w:val="-14"/>
          <w:sz w:val="24"/>
        </w:rPr>
        <w:t> </w:t>
      </w:r>
      <w:r>
        <w:rPr>
          <w:sz w:val="24"/>
        </w:rPr>
        <w:t>0.48,</w:t>
      </w:r>
      <w:r>
        <w:rPr>
          <w:spacing w:val="-15"/>
          <w:sz w:val="24"/>
        </w:rPr>
        <w:t> </w:t>
      </w:r>
      <w:r>
        <w:rPr>
          <w:i/>
          <w:sz w:val="24"/>
        </w:rPr>
        <w:t>Staphylococcus</w:t>
      </w:r>
      <w:r>
        <w:rPr>
          <w:i/>
          <w:spacing w:val="-16"/>
          <w:sz w:val="24"/>
        </w:rPr>
        <w:t> </w:t>
      </w:r>
      <w:r>
        <w:rPr>
          <w:i/>
          <w:sz w:val="24"/>
        </w:rPr>
        <w:t>hominis </w:t>
      </w:r>
      <w:r>
        <w:rPr>
          <w:sz w:val="24"/>
        </w:rPr>
        <w:t>0.48, </w:t>
      </w:r>
      <w:r>
        <w:rPr>
          <w:i/>
          <w:sz w:val="24"/>
        </w:rPr>
        <w:t>Staphylococcus lentus </w:t>
      </w:r>
      <w:r>
        <w:rPr>
          <w:sz w:val="24"/>
        </w:rPr>
        <w:t>0.48, </w:t>
      </w:r>
      <w:r>
        <w:rPr>
          <w:i/>
          <w:sz w:val="24"/>
        </w:rPr>
        <w:t>Staphylococcus cohnii </w:t>
      </w:r>
      <w:r>
        <w:rPr>
          <w:sz w:val="24"/>
        </w:rPr>
        <w:t>0.48 y </w:t>
      </w:r>
      <w:r>
        <w:rPr>
          <w:i/>
          <w:sz w:val="24"/>
        </w:rPr>
        <w:t>Staphylococcus </w:t>
      </w:r>
      <w:r>
        <w:rPr>
          <w:i/>
          <w:sz w:val="24"/>
        </w:rPr>
        <w:t>epidermidis </w:t>
      </w:r>
      <w:r>
        <w:rPr>
          <w:sz w:val="24"/>
        </w:rPr>
        <w:t>88.10% por medio del  kit Api Staph, Biomerieux (Cuadro</w:t>
      </w:r>
      <w:r>
        <w:rPr>
          <w:spacing w:val="-17"/>
          <w:sz w:val="24"/>
        </w:rPr>
        <w:t> </w:t>
      </w:r>
      <w:r>
        <w:rPr>
          <w:sz w:val="24"/>
        </w:rPr>
        <w:t>23).</w:t>
      </w:r>
    </w:p>
    <w:p>
      <w:pPr>
        <w:pStyle w:val="BodyText"/>
        <w:rPr>
          <w:sz w:val="20"/>
        </w:rPr>
      </w:pPr>
    </w:p>
    <w:p>
      <w:pPr>
        <w:pStyle w:val="BodyText"/>
        <w:rPr>
          <w:sz w:val="20"/>
        </w:rPr>
      </w:pPr>
    </w:p>
    <w:p>
      <w:pPr>
        <w:pStyle w:val="BodyText"/>
        <w:spacing w:before="8" w:after="1"/>
        <w:rPr>
          <w:sz w:val="25"/>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03"/>
        <w:gridCol w:w="3204"/>
        <w:gridCol w:w="1948"/>
      </w:tblGrid>
      <w:tr>
        <w:trPr>
          <w:trHeight w:val="811" w:hRule="exact"/>
        </w:trPr>
        <w:tc>
          <w:tcPr>
            <w:tcW w:w="8855" w:type="dxa"/>
            <w:gridSpan w:val="3"/>
            <w:tcBorders>
              <w:bottom w:val="single" w:sz="4" w:space="0" w:color="000000"/>
            </w:tcBorders>
          </w:tcPr>
          <w:p>
            <w:pPr>
              <w:pStyle w:val="TableParagraph"/>
              <w:spacing w:line="245" w:lineRule="exact"/>
              <w:ind w:left="394" w:right="388"/>
              <w:rPr>
                <w:sz w:val="24"/>
              </w:rPr>
            </w:pPr>
            <w:r>
              <w:rPr>
                <w:sz w:val="24"/>
              </w:rPr>
              <w:t>Cuadro 23.Identificación fenotípica de </w:t>
            </w:r>
            <w:r>
              <w:rPr>
                <w:i/>
                <w:sz w:val="24"/>
              </w:rPr>
              <w:t>Staphyloccus </w:t>
            </w:r>
            <w:r>
              <w:rPr>
                <w:sz w:val="24"/>
              </w:rPr>
              <w:t>aislados en canales de</w:t>
            </w:r>
          </w:p>
          <w:p>
            <w:pPr>
              <w:pStyle w:val="TableParagraph"/>
              <w:spacing w:before="141"/>
              <w:ind w:left="2844" w:right="2834"/>
              <w:rPr>
                <w:sz w:val="24"/>
              </w:rPr>
            </w:pPr>
            <w:r>
              <w:rPr>
                <w:sz w:val="24"/>
              </w:rPr>
              <w:t>conejos en el Valle de Toluca</w:t>
            </w:r>
          </w:p>
        </w:tc>
      </w:tr>
      <w:tr>
        <w:trPr>
          <w:trHeight w:val="451" w:hRule="exact"/>
        </w:trPr>
        <w:tc>
          <w:tcPr>
            <w:tcW w:w="3703" w:type="dxa"/>
            <w:tcBorders>
              <w:top w:val="single" w:sz="4" w:space="0" w:color="000000"/>
              <w:bottom w:val="single" w:sz="4" w:space="0" w:color="000000"/>
            </w:tcBorders>
          </w:tcPr>
          <w:p>
            <w:pPr>
              <w:pStyle w:val="TableParagraph"/>
              <w:spacing w:before="10"/>
              <w:ind w:left="919" w:right="1061"/>
              <w:rPr>
                <w:i/>
                <w:sz w:val="24"/>
              </w:rPr>
            </w:pPr>
            <w:r>
              <w:rPr>
                <w:i/>
                <w:sz w:val="24"/>
              </w:rPr>
              <w:t>Staphylococcus</w:t>
            </w:r>
          </w:p>
        </w:tc>
        <w:tc>
          <w:tcPr>
            <w:tcW w:w="3204" w:type="dxa"/>
            <w:tcBorders>
              <w:top w:val="single" w:sz="4" w:space="0" w:color="000000"/>
              <w:bottom w:val="single" w:sz="4" w:space="0" w:color="000000"/>
            </w:tcBorders>
          </w:tcPr>
          <w:p>
            <w:pPr>
              <w:pStyle w:val="TableParagraph"/>
              <w:spacing w:line="292" w:lineRule="exact"/>
              <w:ind w:left="1063" w:right="478"/>
              <w:rPr>
                <w:rFonts w:ascii="Calibri"/>
                <w:sz w:val="24"/>
              </w:rPr>
            </w:pPr>
            <w:r>
              <w:rPr>
                <w:rFonts w:ascii="Calibri"/>
                <w:sz w:val="24"/>
              </w:rPr>
              <w:t>No. aislamientos</w:t>
            </w:r>
          </w:p>
        </w:tc>
        <w:tc>
          <w:tcPr>
            <w:tcW w:w="1948" w:type="dxa"/>
            <w:tcBorders>
              <w:top w:val="single" w:sz="4" w:space="0" w:color="000000"/>
              <w:bottom w:val="single" w:sz="4" w:space="0" w:color="000000"/>
            </w:tcBorders>
          </w:tcPr>
          <w:p>
            <w:pPr>
              <w:pStyle w:val="TableParagraph"/>
              <w:spacing w:line="292" w:lineRule="exact"/>
              <w:ind w:left="478" w:right="376"/>
              <w:rPr>
                <w:rFonts w:ascii="Calibri"/>
                <w:sz w:val="24"/>
              </w:rPr>
            </w:pPr>
            <w:r>
              <w:rPr>
                <w:rFonts w:ascii="Calibri"/>
                <w:sz w:val="24"/>
              </w:rPr>
              <w:t>Porcentaje</w:t>
            </w:r>
          </w:p>
        </w:tc>
      </w:tr>
      <w:tr>
        <w:trPr>
          <w:trHeight w:val="388" w:hRule="exact"/>
        </w:trPr>
        <w:tc>
          <w:tcPr>
            <w:tcW w:w="3703" w:type="dxa"/>
            <w:tcBorders>
              <w:top w:val="single" w:sz="4" w:space="0" w:color="000000"/>
            </w:tcBorders>
          </w:tcPr>
          <w:p>
            <w:pPr>
              <w:pStyle w:val="TableParagraph"/>
              <w:spacing w:before="7"/>
              <w:ind w:left="1231"/>
              <w:jc w:val="left"/>
              <w:rPr>
                <w:i/>
                <w:sz w:val="24"/>
              </w:rPr>
            </w:pPr>
            <w:r>
              <w:rPr>
                <w:i/>
                <w:sz w:val="24"/>
              </w:rPr>
              <w:t>S. xylosus</w:t>
            </w:r>
          </w:p>
        </w:tc>
        <w:tc>
          <w:tcPr>
            <w:tcW w:w="3204" w:type="dxa"/>
            <w:tcBorders>
              <w:top w:val="single" w:sz="4" w:space="0" w:color="000000"/>
            </w:tcBorders>
          </w:tcPr>
          <w:p>
            <w:pPr>
              <w:pStyle w:val="TableParagraph"/>
              <w:spacing w:line="292" w:lineRule="exact"/>
              <w:ind w:left="1063" w:right="478"/>
              <w:rPr>
                <w:rFonts w:ascii="Calibri"/>
                <w:sz w:val="24"/>
              </w:rPr>
            </w:pPr>
            <w:r>
              <w:rPr>
                <w:rFonts w:ascii="Calibri"/>
                <w:sz w:val="24"/>
              </w:rPr>
              <w:t>19</w:t>
            </w:r>
          </w:p>
        </w:tc>
        <w:tc>
          <w:tcPr>
            <w:tcW w:w="1948" w:type="dxa"/>
            <w:tcBorders>
              <w:top w:val="single" w:sz="4" w:space="0" w:color="000000"/>
            </w:tcBorders>
          </w:tcPr>
          <w:p>
            <w:pPr>
              <w:pStyle w:val="TableParagraph"/>
              <w:spacing w:line="292" w:lineRule="exact"/>
              <w:ind w:left="478" w:right="375"/>
              <w:rPr>
                <w:rFonts w:ascii="Calibri"/>
                <w:sz w:val="24"/>
              </w:rPr>
            </w:pPr>
            <w:r>
              <w:rPr>
                <w:rFonts w:ascii="Calibri"/>
                <w:sz w:val="24"/>
              </w:rPr>
              <w:t>9.05</w:t>
            </w:r>
          </w:p>
        </w:tc>
      </w:tr>
      <w:tr>
        <w:trPr>
          <w:trHeight w:val="439" w:hRule="exact"/>
        </w:trPr>
        <w:tc>
          <w:tcPr>
            <w:tcW w:w="3703" w:type="dxa"/>
          </w:tcPr>
          <w:p>
            <w:pPr>
              <w:pStyle w:val="TableParagraph"/>
              <w:spacing w:before="64"/>
              <w:ind w:left="1351"/>
              <w:jc w:val="left"/>
              <w:rPr>
                <w:i/>
                <w:sz w:val="24"/>
              </w:rPr>
            </w:pPr>
            <w:r>
              <w:rPr>
                <w:i/>
                <w:sz w:val="24"/>
              </w:rPr>
              <w:t>S. sciuri</w:t>
            </w:r>
          </w:p>
        </w:tc>
        <w:tc>
          <w:tcPr>
            <w:tcW w:w="3204" w:type="dxa"/>
          </w:tcPr>
          <w:p>
            <w:pPr>
              <w:pStyle w:val="TableParagraph"/>
              <w:spacing w:before="56"/>
              <w:ind w:left="582"/>
              <w:rPr>
                <w:rFonts w:ascii="Calibri"/>
                <w:sz w:val="24"/>
              </w:rPr>
            </w:pPr>
            <w:r>
              <w:rPr>
                <w:rFonts w:ascii="Calibri"/>
                <w:sz w:val="24"/>
              </w:rPr>
              <w:t>1</w:t>
            </w:r>
          </w:p>
        </w:tc>
        <w:tc>
          <w:tcPr>
            <w:tcW w:w="1948" w:type="dxa"/>
          </w:tcPr>
          <w:p>
            <w:pPr>
              <w:pStyle w:val="TableParagraph"/>
              <w:spacing w:before="56"/>
              <w:ind w:left="478" w:right="375"/>
              <w:rPr>
                <w:rFonts w:ascii="Calibri"/>
                <w:sz w:val="24"/>
              </w:rPr>
            </w:pPr>
            <w:r>
              <w:rPr>
                <w:rFonts w:ascii="Calibri"/>
                <w:sz w:val="24"/>
              </w:rPr>
              <w:t>0.48</w:t>
            </w:r>
          </w:p>
        </w:tc>
      </w:tr>
      <w:tr>
        <w:trPr>
          <w:trHeight w:val="439" w:hRule="exact"/>
        </w:trPr>
        <w:tc>
          <w:tcPr>
            <w:tcW w:w="3703" w:type="dxa"/>
          </w:tcPr>
          <w:p>
            <w:pPr>
              <w:pStyle w:val="TableParagraph"/>
              <w:spacing w:before="64"/>
              <w:ind w:left="1216"/>
              <w:jc w:val="left"/>
              <w:rPr>
                <w:i/>
                <w:sz w:val="24"/>
              </w:rPr>
            </w:pPr>
            <w:r>
              <w:rPr>
                <w:i/>
                <w:sz w:val="24"/>
              </w:rPr>
              <w:t>S. hominis</w:t>
            </w:r>
          </w:p>
        </w:tc>
        <w:tc>
          <w:tcPr>
            <w:tcW w:w="3204" w:type="dxa"/>
          </w:tcPr>
          <w:p>
            <w:pPr>
              <w:pStyle w:val="TableParagraph"/>
              <w:spacing w:before="56"/>
              <w:ind w:left="582"/>
              <w:rPr>
                <w:rFonts w:ascii="Calibri"/>
                <w:sz w:val="24"/>
              </w:rPr>
            </w:pPr>
            <w:r>
              <w:rPr>
                <w:rFonts w:ascii="Calibri"/>
                <w:sz w:val="24"/>
              </w:rPr>
              <w:t>1</w:t>
            </w:r>
          </w:p>
        </w:tc>
        <w:tc>
          <w:tcPr>
            <w:tcW w:w="1948" w:type="dxa"/>
          </w:tcPr>
          <w:p>
            <w:pPr>
              <w:pStyle w:val="TableParagraph"/>
              <w:spacing w:before="56"/>
              <w:ind w:left="478" w:right="375"/>
              <w:rPr>
                <w:rFonts w:ascii="Calibri"/>
                <w:sz w:val="24"/>
              </w:rPr>
            </w:pPr>
            <w:r>
              <w:rPr>
                <w:rFonts w:ascii="Calibri"/>
                <w:sz w:val="24"/>
              </w:rPr>
              <w:t>0.48</w:t>
            </w:r>
          </w:p>
        </w:tc>
      </w:tr>
      <w:tr>
        <w:trPr>
          <w:trHeight w:val="444" w:hRule="exact"/>
        </w:trPr>
        <w:tc>
          <w:tcPr>
            <w:tcW w:w="3703" w:type="dxa"/>
          </w:tcPr>
          <w:p>
            <w:pPr>
              <w:pStyle w:val="TableParagraph"/>
              <w:spacing w:before="64"/>
              <w:ind w:left="1310"/>
              <w:jc w:val="left"/>
              <w:rPr>
                <w:i/>
                <w:sz w:val="24"/>
              </w:rPr>
            </w:pPr>
            <w:r>
              <w:rPr>
                <w:i/>
                <w:sz w:val="24"/>
              </w:rPr>
              <w:t>S. lentus</w:t>
            </w:r>
          </w:p>
        </w:tc>
        <w:tc>
          <w:tcPr>
            <w:tcW w:w="3204" w:type="dxa"/>
          </w:tcPr>
          <w:p>
            <w:pPr>
              <w:pStyle w:val="TableParagraph"/>
              <w:spacing w:before="56"/>
              <w:ind w:left="582"/>
              <w:rPr>
                <w:rFonts w:ascii="Calibri"/>
                <w:sz w:val="24"/>
              </w:rPr>
            </w:pPr>
            <w:r>
              <w:rPr>
                <w:rFonts w:ascii="Calibri"/>
                <w:sz w:val="24"/>
              </w:rPr>
              <w:t>1</w:t>
            </w:r>
          </w:p>
        </w:tc>
        <w:tc>
          <w:tcPr>
            <w:tcW w:w="1948" w:type="dxa"/>
          </w:tcPr>
          <w:p>
            <w:pPr>
              <w:pStyle w:val="TableParagraph"/>
              <w:spacing w:before="56"/>
              <w:ind w:left="478" w:right="375"/>
              <w:rPr>
                <w:rFonts w:ascii="Calibri"/>
                <w:sz w:val="24"/>
              </w:rPr>
            </w:pPr>
            <w:r>
              <w:rPr>
                <w:rFonts w:ascii="Calibri"/>
                <w:sz w:val="24"/>
              </w:rPr>
              <w:t>0.48</w:t>
            </w:r>
          </w:p>
        </w:tc>
      </w:tr>
      <w:tr>
        <w:trPr>
          <w:trHeight w:val="442" w:hRule="exact"/>
        </w:trPr>
        <w:tc>
          <w:tcPr>
            <w:tcW w:w="3703" w:type="dxa"/>
          </w:tcPr>
          <w:p>
            <w:pPr>
              <w:pStyle w:val="TableParagraph"/>
              <w:spacing w:before="73"/>
              <w:ind w:left="1317"/>
              <w:jc w:val="left"/>
              <w:rPr>
                <w:i/>
                <w:sz w:val="24"/>
              </w:rPr>
            </w:pPr>
            <w:r>
              <w:rPr>
                <w:i/>
                <w:sz w:val="24"/>
              </w:rPr>
              <w:t>S. cohnii</w:t>
            </w:r>
          </w:p>
        </w:tc>
        <w:tc>
          <w:tcPr>
            <w:tcW w:w="3204" w:type="dxa"/>
          </w:tcPr>
          <w:p>
            <w:pPr>
              <w:pStyle w:val="TableParagraph"/>
              <w:spacing w:before="51"/>
              <w:ind w:left="582"/>
              <w:rPr>
                <w:rFonts w:ascii="Calibri"/>
                <w:sz w:val="24"/>
              </w:rPr>
            </w:pPr>
            <w:r>
              <w:rPr>
                <w:rFonts w:ascii="Calibri"/>
                <w:sz w:val="24"/>
              </w:rPr>
              <w:t>1</w:t>
            </w:r>
          </w:p>
        </w:tc>
        <w:tc>
          <w:tcPr>
            <w:tcW w:w="1948" w:type="dxa"/>
          </w:tcPr>
          <w:p>
            <w:pPr>
              <w:pStyle w:val="TableParagraph"/>
              <w:spacing w:before="51"/>
              <w:ind w:left="478" w:right="375"/>
              <w:rPr>
                <w:rFonts w:ascii="Calibri"/>
                <w:sz w:val="24"/>
              </w:rPr>
            </w:pPr>
            <w:r>
              <w:rPr>
                <w:rFonts w:ascii="Calibri"/>
                <w:sz w:val="24"/>
              </w:rPr>
              <w:t>0.48</w:t>
            </w:r>
          </w:p>
        </w:tc>
      </w:tr>
      <w:tr>
        <w:trPr>
          <w:trHeight w:val="496" w:hRule="exact"/>
        </w:trPr>
        <w:tc>
          <w:tcPr>
            <w:tcW w:w="3703" w:type="dxa"/>
            <w:tcBorders>
              <w:bottom w:val="single" w:sz="4" w:space="0" w:color="000000"/>
            </w:tcBorders>
          </w:tcPr>
          <w:p>
            <w:pPr>
              <w:pStyle w:val="TableParagraph"/>
              <w:spacing w:before="71"/>
              <w:ind w:left="1017"/>
              <w:jc w:val="left"/>
              <w:rPr>
                <w:i/>
                <w:sz w:val="24"/>
              </w:rPr>
            </w:pPr>
            <w:r>
              <w:rPr>
                <w:i/>
                <w:sz w:val="24"/>
              </w:rPr>
              <w:t>S. epidermidis</w:t>
            </w:r>
          </w:p>
        </w:tc>
        <w:tc>
          <w:tcPr>
            <w:tcW w:w="3204" w:type="dxa"/>
            <w:tcBorders>
              <w:bottom w:val="single" w:sz="4" w:space="0" w:color="000000"/>
            </w:tcBorders>
          </w:tcPr>
          <w:p>
            <w:pPr>
              <w:pStyle w:val="TableParagraph"/>
              <w:spacing w:before="49"/>
              <w:ind w:left="1063" w:right="476"/>
              <w:rPr>
                <w:rFonts w:ascii="Calibri"/>
                <w:sz w:val="24"/>
              </w:rPr>
            </w:pPr>
            <w:r>
              <w:rPr>
                <w:rFonts w:ascii="Calibri"/>
                <w:sz w:val="24"/>
              </w:rPr>
              <w:t>185</w:t>
            </w:r>
          </w:p>
        </w:tc>
        <w:tc>
          <w:tcPr>
            <w:tcW w:w="1948" w:type="dxa"/>
            <w:tcBorders>
              <w:bottom w:val="single" w:sz="4" w:space="0" w:color="000000"/>
            </w:tcBorders>
          </w:tcPr>
          <w:p>
            <w:pPr>
              <w:pStyle w:val="TableParagraph"/>
              <w:spacing w:before="49"/>
              <w:ind w:left="475" w:right="376"/>
              <w:rPr>
                <w:rFonts w:ascii="Calibri"/>
                <w:sz w:val="24"/>
              </w:rPr>
            </w:pPr>
            <w:r>
              <w:rPr>
                <w:rFonts w:ascii="Calibri"/>
                <w:sz w:val="24"/>
              </w:rPr>
              <w:t>88.10</w:t>
            </w:r>
          </w:p>
        </w:tc>
      </w:tr>
    </w:tbl>
    <w:p>
      <w:pPr>
        <w:spacing w:after="0"/>
        <w:rPr>
          <w:rFonts w:ascii="Calibri"/>
          <w:sz w:val="24"/>
        </w:rPr>
        <w:sectPr>
          <w:pgSz w:w="12240" w:h="15840"/>
          <w:pgMar w:header="0" w:footer="1386" w:top="1500" w:bottom="1580" w:left="1720" w:right="1420"/>
        </w:sectPr>
      </w:pPr>
    </w:p>
    <w:p>
      <w:pPr>
        <w:pStyle w:val="BodyText"/>
        <w:spacing w:before="3" w:after="1"/>
        <w:rPr>
          <w:sz w:val="27"/>
        </w:rPr>
      </w:pPr>
    </w:p>
    <w:p>
      <w:pPr>
        <w:pStyle w:val="BodyText"/>
        <w:ind w:left="1491"/>
        <w:rPr>
          <w:sz w:val="20"/>
        </w:rPr>
      </w:pPr>
      <w:r>
        <w:rPr>
          <w:sz w:val="20"/>
        </w:rPr>
        <w:drawing>
          <wp:inline distT="0" distB="0" distL="0" distR="0">
            <wp:extent cx="3947977" cy="1043558"/>
            <wp:effectExtent l="0" t="0" r="0" b="0"/>
            <wp:docPr id="7" name="image14.jpeg" descr=""/>
            <wp:cNvGraphicFramePr>
              <a:graphicFrameLocks noChangeAspect="1"/>
            </wp:cNvGraphicFramePr>
            <a:graphic>
              <a:graphicData uri="http://schemas.openxmlformats.org/drawingml/2006/picture">
                <pic:pic>
                  <pic:nvPicPr>
                    <pic:cNvPr id="8" name="image14.jpeg"/>
                    <pic:cNvPicPr/>
                  </pic:nvPicPr>
                  <pic:blipFill>
                    <a:blip r:embed="rId31" cstate="print"/>
                    <a:stretch>
                      <a:fillRect/>
                    </a:stretch>
                  </pic:blipFill>
                  <pic:spPr>
                    <a:xfrm>
                      <a:off x="0" y="0"/>
                      <a:ext cx="3947977" cy="1043558"/>
                    </a:xfrm>
                    <a:prstGeom prst="rect">
                      <a:avLst/>
                    </a:prstGeom>
                  </pic:spPr>
                </pic:pic>
              </a:graphicData>
            </a:graphic>
          </wp:inline>
        </w:drawing>
      </w:r>
      <w:r>
        <w:rPr>
          <w:sz w:val="20"/>
        </w:rPr>
      </w:r>
    </w:p>
    <w:p>
      <w:pPr>
        <w:pStyle w:val="BodyText"/>
        <w:spacing w:before="11"/>
        <w:rPr>
          <w:sz w:val="12"/>
        </w:rPr>
      </w:pPr>
    </w:p>
    <w:p>
      <w:pPr>
        <w:spacing w:before="74"/>
        <w:ind w:left="1657" w:right="0" w:firstLine="199"/>
        <w:jc w:val="left"/>
        <w:rPr>
          <w:sz w:val="20"/>
        </w:rPr>
      </w:pPr>
      <w:r>
        <w:rPr>
          <w:sz w:val="20"/>
        </w:rPr>
        <w:t>Figura 6. Prueba de Api Staph control positivo (ATCC 43300)</w:t>
      </w:r>
    </w:p>
    <w:p>
      <w:pPr>
        <w:pStyle w:val="BodyText"/>
        <w:spacing w:before="11"/>
        <w:rPr>
          <w:sz w:val="23"/>
        </w:rPr>
      </w:pPr>
      <w:r>
        <w:rPr/>
        <w:drawing>
          <wp:anchor distT="0" distB="0" distL="0" distR="0" allowOverlap="1" layoutInCell="1" locked="0" behindDoc="0" simplePos="0" relativeHeight="1720">
            <wp:simplePos x="0" y="0"/>
            <wp:positionH relativeFrom="page">
              <wp:posOffset>2039111</wp:posOffset>
            </wp:positionH>
            <wp:positionV relativeFrom="paragraph">
              <wp:posOffset>199908</wp:posOffset>
            </wp:positionV>
            <wp:extent cx="3947977" cy="1043559"/>
            <wp:effectExtent l="0" t="0" r="0" b="0"/>
            <wp:wrapTopAndBottom/>
            <wp:docPr id="9" name="image15.jpeg" descr=""/>
            <wp:cNvGraphicFramePr>
              <a:graphicFrameLocks noChangeAspect="1"/>
            </wp:cNvGraphicFramePr>
            <a:graphic>
              <a:graphicData uri="http://schemas.openxmlformats.org/drawingml/2006/picture">
                <pic:pic>
                  <pic:nvPicPr>
                    <pic:cNvPr id="10" name="image15.jpeg"/>
                    <pic:cNvPicPr/>
                  </pic:nvPicPr>
                  <pic:blipFill>
                    <a:blip r:embed="rId32" cstate="print"/>
                    <a:stretch>
                      <a:fillRect/>
                    </a:stretch>
                  </pic:blipFill>
                  <pic:spPr>
                    <a:xfrm>
                      <a:off x="0" y="0"/>
                      <a:ext cx="3947977" cy="1043559"/>
                    </a:xfrm>
                    <a:prstGeom prst="rect">
                      <a:avLst/>
                    </a:prstGeom>
                  </pic:spPr>
                </pic:pic>
              </a:graphicData>
            </a:graphic>
          </wp:anchor>
        </w:drawing>
      </w:r>
    </w:p>
    <w:p>
      <w:pPr>
        <w:pStyle w:val="BodyText"/>
        <w:spacing w:before="5"/>
        <w:rPr>
          <w:sz w:val="23"/>
        </w:rPr>
      </w:pPr>
    </w:p>
    <w:p>
      <w:pPr>
        <w:spacing w:before="0"/>
        <w:ind w:left="1657" w:right="0" w:firstLine="0"/>
        <w:jc w:val="left"/>
        <w:rPr>
          <w:sz w:val="20"/>
        </w:rPr>
      </w:pPr>
      <w:r>
        <w:rPr>
          <w:sz w:val="20"/>
        </w:rPr>
        <w:t>Figura 7. Identificación de </w:t>
      </w:r>
      <w:r>
        <w:rPr>
          <w:i/>
          <w:sz w:val="20"/>
        </w:rPr>
        <w:t>Staphylococcus  Xylosus </w:t>
      </w:r>
      <w:r>
        <w:rPr>
          <w:sz w:val="20"/>
        </w:rPr>
        <w:t>por Api Staph</w:t>
      </w:r>
    </w:p>
    <w:p>
      <w:pPr>
        <w:pStyle w:val="BodyText"/>
        <w:spacing w:before="5"/>
        <w:rPr>
          <w:sz w:val="27"/>
        </w:rPr>
      </w:pPr>
    </w:p>
    <w:p>
      <w:pPr>
        <w:spacing w:line="276" w:lineRule="auto" w:before="0"/>
        <w:ind w:left="152" w:right="698" w:firstLine="0"/>
        <w:jc w:val="left"/>
        <w:rPr>
          <w:b/>
          <w:sz w:val="24"/>
        </w:rPr>
      </w:pPr>
      <w:r>
        <w:rPr>
          <w:b/>
          <w:sz w:val="24"/>
        </w:rPr>
        <w:t>Identificación fenotípica de </w:t>
      </w:r>
      <w:r>
        <w:rPr>
          <w:b/>
          <w:i/>
          <w:sz w:val="24"/>
        </w:rPr>
        <w:t>Staphylococcus aureus </w:t>
      </w:r>
      <w:r>
        <w:rPr>
          <w:b/>
          <w:sz w:val="24"/>
        </w:rPr>
        <w:t>meticina resistentes (MRSA)</w:t>
      </w:r>
    </w:p>
    <w:p>
      <w:pPr>
        <w:pStyle w:val="BodyText"/>
        <w:spacing w:line="360" w:lineRule="auto" w:before="200"/>
        <w:ind w:left="152" w:right="105"/>
        <w:jc w:val="both"/>
      </w:pPr>
      <w:r>
        <w:rPr/>
        <w:t>Los</w:t>
      </w:r>
      <w:r>
        <w:rPr>
          <w:spacing w:val="-9"/>
        </w:rPr>
        <w:t> </w:t>
      </w:r>
      <w:r>
        <w:rPr/>
        <w:t>resultado</w:t>
      </w:r>
      <w:r>
        <w:rPr>
          <w:spacing w:val="-11"/>
        </w:rPr>
        <w:t> </w:t>
      </w:r>
      <w:r>
        <w:rPr/>
        <w:t>del</w:t>
      </w:r>
      <w:r>
        <w:rPr>
          <w:spacing w:val="-12"/>
        </w:rPr>
        <w:t> </w:t>
      </w:r>
      <w:r>
        <w:rPr/>
        <w:t>muestreo</w:t>
      </w:r>
      <w:r>
        <w:rPr>
          <w:spacing w:val="-8"/>
        </w:rPr>
        <w:t> </w:t>
      </w:r>
      <w:r>
        <w:rPr/>
        <w:t>de</w:t>
      </w:r>
      <w:r>
        <w:rPr>
          <w:spacing w:val="-8"/>
        </w:rPr>
        <w:t> </w:t>
      </w:r>
      <w:r>
        <w:rPr/>
        <w:t>las</w:t>
      </w:r>
      <w:r>
        <w:rPr>
          <w:spacing w:val="-9"/>
        </w:rPr>
        <w:t> </w:t>
      </w:r>
      <w:r>
        <w:rPr/>
        <w:t>canales</w:t>
      </w:r>
      <w:r>
        <w:rPr>
          <w:spacing w:val="-9"/>
        </w:rPr>
        <w:t> </w:t>
      </w:r>
      <w:r>
        <w:rPr/>
        <w:t>de</w:t>
      </w:r>
      <w:r>
        <w:rPr>
          <w:spacing w:val="-11"/>
        </w:rPr>
        <w:t> </w:t>
      </w:r>
      <w:r>
        <w:rPr/>
        <w:t>conejo</w:t>
      </w:r>
      <w:r>
        <w:rPr>
          <w:spacing w:val="-11"/>
        </w:rPr>
        <w:t> </w:t>
      </w:r>
      <w:r>
        <w:rPr/>
        <w:t>en</w:t>
      </w:r>
      <w:r>
        <w:rPr>
          <w:spacing w:val="-8"/>
        </w:rPr>
        <w:t> </w:t>
      </w:r>
      <w:r>
        <w:rPr/>
        <w:t>las</w:t>
      </w:r>
      <w:r>
        <w:rPr>
          <w:spacing w:val="-11"/>
        </w:rPr>
        <w:t> </w:t>
      </w:r>
      <w:r>
        <w:rPr/>
        <w:t>unidades</w:t>
      </w:r>
      <w:r>
        <w:rPr>
          <w:spacing w:val="-9"/>
        </w:rPr>
        <w:t> </w:t>
      </w:r>
      <w:r>
        <w:rPr/>
        <w:t>de</w:t>
      </w:r>
      <w:r>
        <w:rPr>
          <w:spacing w:val="-8"/>
        </w:rPr>
        <w:t> </w:t>
      </w:r>
      <w:r>
        <w:rPr/>
        <w:t>produccion cunicula familiar en el Valle de Toluca, identificaron como </w:t>
      </w:r>
      <w:r>
        <w:rPr>
          <w:i/>
        </w:rPr>
        <w:t>Staphylococcus aureus </w:t>
      </w:r>
      <w:r>
        <w:rPr/>
        <w:t>(0.95%)</w:t>
      </w:r>
      <w:r>
        <w:rPr>
          <w:spacing w:val="-11"/>
        </w:rPr>
        <w:t> </w:t>
      </w:r>
      <w:r>
        <w:rPr/>
        <w:t>son</w:t>
      </w:r>
      <w:r>
        <w:rPr>
          <w:spacing w:val="-10"/>
        </w:rPr>
        <w:t> </w:t>
      </w:r>
      <w:r>
        <w:rPr/>
        <w:t>resistentes</w:t>
      </w:r>
      <w:r>
        <w:rPr>
          <w:spacing w:val="-11"/>
        </w:rPr>
        <w:t> </w:t>
      </w:r>
      <w:r>
        <w:rPr/>
        <w:t>a</w:t>
      </w:r>
      <w:r>
        <w:rPr>
          <w:spacing w:val="-10"/>
        </w:rPr>
        <w:t> </w:t>
      </w:r>
      <w:r>
        <w:rPr/>
        <w:t>los</w:t>
      </w:r>
      <w:r>
        <w:rPr>
          <w:spacing w:val="-10"/>
        </w:rPr>
        <w:t> </w:t>
      </w:r>
      <w:r>
        <w:rPr/>
        <w:t>antibiticos</w:t>
      </w:r>
      <w:r>
        <w:rPr>
          <w:spacing w:val="-10"/>
        </w:rPr>
        <w:t> </w:t>
      </w:r>
      <w:r>
        <w:rPr/>
        <w:t>β</w:t>
      </w:r>
      <w:r>
        <w:rPr>
          <w:spacing w:val="-10"/>
        </w:rPr>
        <w:t> </w:t>
      </w:r>
      <w:r>
        <w:rPr/>
        <w:t>lactamicos</w:t>
      </w:r>
      <w:r>
        <w:rPr>
          <w:spacing w:val="-10"/>
        </w:rPr>
        <w:t> </w:t>
      </w:r>
      <w:r>
        <w:rPr/>
        <w:t>con</w:t>
      </w:r>
      <w:r>
        <w:rPr>
          <w:spacing w:val="-10"/>
        </w:rPr>
        <w:t> </w:t>
      </w:r>
      <w:r>
        <w:rPr/>
        <w:t>base</w:t>
      </w:r>
      <w:r>
        <w:rPr>
          <w:spacing w:val="-10"/>
        </w:rPr>
        <w:t> </w:t>
      </w:r>
      <w:r>
        <w:rPr/>
        <w:t>en</w:t>
      </w:r>
      <w:r>
        <w:rPr>
          <w:spacing w:val="-10"/>
        </w:rPr>
        <w:t> </w:t>
      </w:r>
      <w:r>
        <w:rPr/>
        <w:t>el</w:t>
      </w:r>
      <w:r>
        <w:rPr>
          <w:spacing w:val="-8"/>
        </w:rPr>
        <w:t> </w:t>
      </w:r>
      <w:r>
        <w:rPr/>
        <w:t>CLSI,</w:t>
      </w:r>
      <w:r>
        <w:rPr>
          <w:spacing w:val="-9"/>
        </w:rPr>
        <w:t> </w:t>
      </w:r>
      <w:r>
        <w:rPr/>
        <w:t>2012.</w:t>
      </w:r>
      <w:r>
        <w:rPr>
          <w:spacing w:val="-12"/>
        </w:rPr>
        <w:t> </w:t>
      </w:r>
      <w:r>
        <w:rPr/>
        <w:t>En donde, las dos regiones en las que se realizaron los muestreos presentan una prevalencia de 0.425</w:t>
      </w:r>
      <w:r>
        <w:rPr>
          <w:spacing w:val="-10"/>
        </w:rPr>
        <w:t> </w:t>
      </w:r>
      <w:r>
        <w:rPr/>
        <w:t>%</w:t>
      </w:r>
    </w:p>
    <w:p>
      <w:pPr>
        <w:spacing w:line="360" w:lineRule="auto" w:before="204"/>
        <w:ind w:left="152" w:right="106" w:firstLine="0"/>
        <w:jc w:val="both"/>
        <w:rPr>
          <w:b/>
          <w:sz w:val="24"/>
        </w:rPr>
      </w:pPr>
      <w:r>
        <w:rPr>
          <w:b/>
          <w:sz w:val="24"/>
        </w:rPr>
        <w:t>Identificación genotípica de </w:t>
      </w:r>
      <w:r>
        <w:rPr>
          <w:b/>
          <w:i/>
          <w:sz w:val="24"/>
        </w:rPr>
        <w:t>Staphylococcus aureus </w:t>
      </w:r>
      <w:r>
        <w:rPr>
          <w:b/>
          <w:sz w:val="24"/>
        </w:rPr>
        <w:t>por la reacción de la Cadena de Polimera Multiplex, PCR Multiplex</w:t>
      </w:r>
    </w:p>
    <w:p>
      <w:pPr>
        <w:pStyle w:val="BodyText"/>
        <w:spacing w:line="276" w:lineRule="auto" w:before="204"/>
        <w:ind w:left="152" w:right="107"/>
        <w:jc w:val="both"/>
      </w:pPr>
      <w:r>
        <w:rPr/>
        <w:t>Los aislamientos que se identificaron (0.95%) fenotípicamente por pruebas bioquímicas que resultaron positivas a </w:t>
      </w:r>
      <w:r>
        <w:rPr>
          <w:i/>
        </w:rPr>
        <w:t>Staphylococcus aureus </w:t>
      </w:r>
      <w:r>
        <w:rPr/>
        <w:t>se les realizó la prueba de la Reaccion de la Cadena de Polimerasa PCR para identificar los genes mecA y femB. El resultado del analisis de PCR fueron positivos en los dos aislamientos.</w:t>
      </w:r>
    </w:p>
    <w:p>
      <w:pPr>
        <w:spacing w:after="0" w:line="276" w:lineRule="auto"/>
        <w:jc w:val="both"/>
        <w:sectPr>
          <w:footerReference w:type="default" r:id="rId30"/>
          <w:pgSz w:w="12240" w:h="15840"/>
          <w:pgMar w:footer="1386" w:header="0" w:top="1500" w:bottom="1580" w:left="1720" w:right="1420"/>
        </w:sectPr>
      </w:pPr>
    </w:p>
    <w:p>
      <w:pPr>
        <w:pStyle w:val="BodyText"/>
        <w:rPr>
          <w:sz w:val="20"/>
        </w:rPr>
      </w:pPr>
    </w:p>
    <w:p>
      <w:pPr>
        <w:pStyle w:val="BodyText"/>
        <w:rPr>
          <w:sz w:val="20"/>
        </w:rPr>
      </w:pPr>
    </w:p>
    <w:p>
      <w:pPr>
        <w:pStyle w:val="BodyText"/>
        <w:spacing w:before="8"/>
        <w:rPr>
          <w:sz w:val="10"/>
        </w:rPr>
      </w:pPr>
    </w:p>
    <w:p>
      <w:pPr>
        <w:pStyle w:val="BodyText"/>
        <w:ind w:left="1085"/>
        <w:rPr>
          <w:sz w:val="20"/>
        </w:rPr>
      </w:pPr>
      <w:r>
        <w:rPr>
          <w:sz w:val="20"/>
        </w:rPr>
        <w:pict>
          <v:group style="width:391.45pt;height:264.850pt;mso-position-horizontal-relative:char;mso-position-vertical-relative:line" coordorigin="0,0" coordsize="7829,5297">
            <v:shape style="position:absolute;left:118;top:0;width:7706;height:5297" type="#_x0000_t75" stroked="false">
              <v:imagedata r:id="rId34" o:title=""/>
            </v:shape>
            <v:shape style="position:absolute;left:122;top:1092;width:7706;height:4205" type="#_x0000_t75" stroked="false">
              <v:imagedata r:id="rId35" o:title=""/>
            </v:shape>
            <v:shape style="position:absolute;left:420;top:216;width:516;height:240" type="#_x0000_t75" stroked="false">
              <v:imagedata r:id="rId36" o:title=""/>
            </v:shape>
            <v:shape style="position:absolute;left:1150;top:216;width:552;height:240" type="#_x0000_t75" stroked="false">
              <v:imagedata r:id="rId37" o:title=""/>
            </v:shape>
            <v:shape style="position:absolute;left:1886;top:216;width:504;height:240" type="#_x0000_t75" stroked="false">
              <v:imagedata r:id="rId38" o:title=""/>
            </v:shape>
            <v:shape style="position:absolute;left:2573;top:216;width:634;height:240" type="#_x0000_t75" stroked="false">
              <v:imagedata r:id="rId39" o:title=""/>
            </v:shape>
            <v:shape style="position:absolute;left:3343;top:216;width:502;height:240" type="#_x0000_t75" stroked="false">
              <v:imagedata r:id="rId40" o:title=""/>
            </v:shape>
            <v:shape style="position:absolute;left:3998;top:216;width:516;height:240" type="#_x0000_t75" stroked="false">
              <v:imagedata r:id="rId36" o:title=""/>
            </v:shape>
            <v:shape style="position:absolute;left:4634;top:216;width:552;height:240" type="#_x0000_t75" stroked="false">
              <v:imagedata r:id="rId37" o:title=""/>
            </v:shape>
            <v:shape style="position:absolute;left:5398;top:216;width:504;height:240" type="#_x0000_t75" stroked="false">
              <v:imagedata r:id="rId38" o:title=""/>
            </v:shape>
            <v:shape style="position:absolute;left:6062;top:216;width:636;height:240" type="#_x0000_t75" stroked="false">
              <v:imagedata r:id="rId39" o:title=""/>
            </v:shape>
            <v:shape style="position:absolute;left:6828;top:216;width:634;height:240" type="#_x0000_t75" stroked="false">
              <v:imagedata r:id="rId39" o:title=""/>
            </v:shape>
            <v:shape style="position:absolute;left:5040;top:792;width:2078;height:240" type="#_x0000_t75" stroked="false">
              <v:imagedata r:id="rId41" o:title=""/>
            </v:shape>
            <v:shape style="position:absolute;left:190;top:859;width:1985;height:242" type="#_x0000_t75" stroked="false">
              <v:imagedata r:id="rId42" o:title=""/>
            </v:shape>
            <v:shape style="position:absolute;left:7;top:3943;width:482;height:173" type="#_x0000_t75" stroked="false">
              <v:imagedata r:id="rId43" o:title=""/>
            </v:shape>
            <v:shape style="position:absolute;left:0;top:3425;width:569;height:175" type="#_x0000_t75" stroked="false">
              <v:imagedata r:id="rId44" o:title=""/>
            </v:shape>
            <v:shape style="position:absolute;left:0;top:3130;width:569;height:173" type="#_x0000_t75" stroked="false">
              <v:imagedata r:id="rId44" o:title=""/>
            </v:shape>
            <v:shape style="position:absolute;left:5;top:2858;width:571;height:173" type="#_x0000_t75" stroked="false">
              <v:imagedata r:id="rId45" o:title=""/>
            </v:shape>
            <v:shape style="position:absolute;left:7;top:2657;width:569;height:170" type="#_x0000_t75" stroked="false">
              <v:imagedata r:id="rId45" o:title=""/>
            </v:shape>
            <v:shape style="position:absolute;left:7;top:1910;width:569;height:715" type="#_x0000_t75" stroked="false">
              <v:imagedata r:id="rId46" o:title=""/>
            </v:shape>
            <v:shape style="position:absolute;left:7;top:1800;width:569;height:173" type="#_x0000_t75" stroked="false">
              <v:imagedata r:id="rId45" o:title=""/>
            </v:shape>
            <v:shape style="position:absolute;left:7;top:1459;width:569;height:420" type="#_x0000_t75" stroked="false">
              <v:imagedata r:id="rId47" o:title=""/>
            </v:shape>
            <v:shape style="position:absolute;left:7;top:1231;width:492;height:173" type="#_x0000_t75" stroked="false">
              <v:imagedata r:id="rId48" o:title=""/>
            </v:shape>
            <v:shape style="position:absolute;left:564;top:255;width:134;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A</w:t>
                    </w:r>
                  </w:p>
                </w:txbxContent>
              </v:textbox>
              <w10:wrap type="none"/>
            </v:shape>
            <v:shape style="position:absolute;left:1295;top:255;width:124;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B</w:t>
                    </w:r>
                  </w:p>
                </w:txbxContent>
              </v:textbox>
              <w10:wrap type="none"/>
            </v:shape>
            <v:shape style="position:absolute;left:2031;top:255;width:117;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C</w:t>
                    </w:r>
                  </w:p>
                </w:txbxContent>
              </v:textbox>
              <w10:wrap type="none"/>
            </v:shape>
            <v:shape style="position:absolute;left:2718;top:255;width:140;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D</w:t>
                    </w:r>
                  </w:p>
                </w:txbxContent>
              </v:textbox>
              <w10:wrap type="none"/>
            </v:shape>
            <v:shape style="position:absolute;left:3488;top:255;width:108;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E</w:t>
                    </w:r>
                  </w:p>
                </w:txbxContent>
              </v:textbox>
              <w10:wrap type="none"/>
            </v:shape>
            <v:shape style="position:absolute;left:4144;top:255;width:102;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F</w:t>
                    </w:r>
                  </w:p>
                </w:txbxContent>
              </v:textbox>
              <w10:wrap type="none"/>
            </v:shape>
            <v:shape style="position:absolute;left:4780;top:255;width:141;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G</w:t>
                    </w:r>
                  </w:p>
                </w:txbxContent>
              </v:textbox>
              <w10:wrap type="none"/>
            </v:shape>
            <v:shape style="position:absolute;left:5543;top:255;width:140;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H</w:t>
                    </w:r>
                  </w:p>
                </w:txbxContent>
              </v:textbox>
              <w10:wrap type="none"/>
            </v:shape>
            <v:shape style="position:absolute;left:6208;top:255;width:59;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I</w:t>
                    </w:r>
                  </w:p>
                </w:txbxContent>
              </v:textbox>
              <w10:wrap type="none"/>
            </v:shape>
            <v:shape style="position:absolute;left:6974;top:255;width:74;height:221" type="#_x0000_t202" filled="false" stroked="false">
              <v:textbox inset="0,0,0,0">
                <w:txbxContent>
                  <w:p>
                    <w:pPr>
                      <w:spacing w:line="221" w:lineRule="exact" w:before="0"/>
                      <w:ind w:left="0" w:right="0" w:firstLine="0"/>
                      <w:jc w:val="left"/>
                      <w:rPr>
                        <w:rFonts w:ascii="Calibri"/>
                        <w:b/>
                        <w:sz w:val="22"/>
                      </w:rPr>
                    </w:pPr>
                    <w:r>
                      <w:rPr>
                        <w:rFonts w:ascii="Calibri"/>
                        <w:b/>
                        <w:color w:val="FFFFFF"/>
                        <w:w w:val="100"/>
                        <w:sz w:val="22"/>
                      </w:rPr>
                      <w:t>J</w:t>
                    </w:r>
                  </w:p>
                </w:txbxContent>
              </v:textbox>
              <w10:wrap type="none"/>
            </v:shape>
            <v:shape style="position:absolute;left:332;top:884;width:1623;height:180" type="#_x0000_t202" filled="false" stroked="false">
              <v:textbox inset="0,0,0,0">
                <w:txbxContent>
                  <w:p>
                    <w:pPr>
                      <w:spacing w:line="180" w:lineRule="exact" w:before="0"/>
                      <w:ind w:left="0" w:right="-18" w:firstLine="0"/>
                      <w:jc w:val="left"/>
                      <w:rPr>
                        <w:b/>
                        <w:sz w:val="18"/>
                      </w:rPr>
                    </w:pPr>
                    <w:r>
                      <w:rPr>
                        <w:b/>
                        <w:color w:val="FFFFFF"/>
                        <w:sz w:val="18"/>
                      </w:rPr>
                      <w:t>Gen </w:t>
                    </w:r>
                    <w:r>
                      <w:rPr>
                        <w:b/>
                        <w:i/>
                        <w:color w:val="FFFFFF"/>
                        <w:sz w:val="18"/>
                      </w:rPr>
                      <w:t>Femb </w:t>
                    </w:r>
                    <w:r>
                      <w:rPr>
                        <w:b/>
                        <w:color w:val="FFFFFF"/>
                        <w:sz w:val="18"/>
                      </w:rPr>
                      <w:t>(651 pb)</w:t>
                    </w:r>
                  </w:p>
                </w:txbxContent>
              </v:textbox>
              <w10:wrap type="none"/>
            </v:shape>
            <v:shape style="position:absolute;left:5185;top:815;width:1632;height:180" type="#_x0000_t202" filled="false" stroked="false">
              <v:textbox inset="0,0,0,0">
                <w:txbxContent>
                  <w:p>
                    <w:pPr>
                      <w:spacing w:line="180" w:lineRule="exact" w:before="0"/>
                      <w:ind w:left="0" w:right="-19" w:firstLine="0"/>
                      <w:jc w:val="left"/>
                      <w:rPr>
                        <w:b/>
                        <w:sz w:val="18"/>
                      </w:rPr>
                    </w:pPr>
                    <w:r>
                      <w:rPr>
                        <w:b/>
                        <w:color w:val="FFFFFF"/>
                        <w:sz w:val="18"/>
                      </w:rPr>
                      <w:t>Gen </w:t>
                    </w:r>
                    <w:r>
                      <w:rPr>
                        <w:b/>
                        <w:i/>
                        <w:color w:val="FFFFFF"/>
                        <w:sz w:val="18"/>
                      </w:rPr>
                      <w:t>mecA </w:t>
                    </w:r>
                    <w:r>
                      <w:rPr>
                        <w:b/>
                        <w:color w:val="FFFFFF"/>
                        <w:sz w:val="18"/>
                      </w:rPr>
                      <w:t>(533 pb)</w:t>
                    </w:r>
                  </w:p>
                </w:txbxContent>
              </v:textbox>
              <w10:wrap type="none"/>
            </v:shape>
            <v:shape style="position:absolute;left:152;top:1262;width:173;height:161" type="#_x0000_t202" filled="false" stroked="false">
              <v:textbox inset="0,0,0,0">
                <w:txbxContent>
                  <w:p>
                    <w:pPr>
                      <w:spacing w:line="161" w:lineRule="exact" w:before="0"/>
                      <w:ind w:left="0" w:right="-19" w:firstLine="0"/>
                      <w:jc w:val="left"/>
                      <w:rPr>
                        <w:rFonts w:ascii="Calibri"/>
                        <w:b/>
                        <w:sz w:val="16"/>
                      </w:rPr>
                    </w:pPr>
                    <w:r>
                      <w:rPr>
                        <w:rFonts w:ascii="Calibri"/>
                        <w:b/>
                        <w:color w:val="FFFFFF"/>
                        <w:sz w:val="16"/>
                      </w:rPr>
                      <w:t>pb</w:t>
                    </w:r>
                  </w:p>
                </w:txbxContent>
              </v:textbox>
              <w10:wrap type="none"/>
            </v:shape>
            <v:shape style="position:absolute;left:152;top:1490;width:245;height:161" type="#_x0000_t202" filled="false" stroked="false">
              <v:textbox inset="0,0,0,0">
                <w:txbxContent>
                  <w:p>
                    <w:pPr>
                      <w:spacing w:line="161" w:lineRule="exact" w:before="0"/>
                      <w:ind w:left="0" w:right="-19" w:firstLine="0"/>
                      <w:jc w:val="left"/>
                      <w:rPr>
                        <w:rFonts w:ascii="Calibri"/>
                        <w:b/>
                        <w:sz w:val="16"/>
                      </w:rPr>
                    </w:pPr>
                    <w:r>
                      <w:rPr>
                        <w:rFonts w:ascii="Calibri"/>
                        <w:b/>
                        <w:color w:val="FFFFFF"/>
                        <w:sz w:val="16"/>
                      </w:rPr>
                      <w:t>700</w:t>
                    </w:r>
                  </w:p>
                </w:txbxContent>
              </v:textbox>
              <w10:wrap type="none"/>
            </v:shape>
            <v:shape style="position:absolute;left:152;top:1601;width:245;height:298" type="#_x0000_t202" filled="false" stroked="false">
              <v:textbox inset="0,0,0,0">
                <w:txbxContent>
                  <w:p>
                    <w:pPr>
                      <w:spacing w:line="134" w:lineRule="exact" w:before="0"/>
                      <w:ind w:left="0" w:right="-19" w:firstLine="0"/>
                      <w:jc w:val="left"/>
                      <w:rPr>
                        <w:rFonts w:ascii="Calibri"/>
                        <w:b/>
                        <w:sz w:val="16"/>
                      </w:rPr>
                    </w:pPr>
                    <w:r>
                      <w:rPr>
                        <w:rFonts w:ascii="Calibri"/>
                        <w:b/>
                        <w:color w:val="FFFFFF"/>
                        <w:sz w:val="16"/>
                      </w:rPr>
                      <w:t>650</w:t>
                    </w:r>
                  </w:p>
                  <w:p>
                    <w:pPr>
                      <w:spacing w:line="163" w:lineRule="exact" w:before="0"/>
                      <w:ind w:left="0" w:right="-19" w:firstLine="0"/>
                      <w:jc w:val="left"/>
                      <w:rPr>
                        <w:rFonts w:ascii="Calibri"/>
                        <w:b/>
                        <w:sz w:val="16"/>
                      </w:rPr>
                    </w:pPr>
                    <w:r>
                      <w:rPr>
                        <w:rFonts w:ascii="Calibri"/>
                        <w:b/>
                        <w:color w:val="FFFFFF"/>
                        <w:sz w:val="16"/>
                      </w:rPr>
                      <w:t>600</w:t>
                    </w:r>
                  </w:p>
                </w:txbxContent>
              </v:textbox>
              <w10:wrap type="none"/>
            </v:shape>
            <v:shape style="position:absolute;left:144;top:1941;width:252;height:1676" type="#_x0000_t202" filled="false" stroked="false">
              <v:textbox inset="0,0,0,0">
                <w:txbxContent>
                  <w:p>
                    <w:pPr>
                      <w:spacing w:line="133" w:lineRule="exact" w:before="0"/>
                      <w:ind w:left="7" w:right="-19" w:firstLine="0"/>
                      <w:jc w:val="left"/>
                      <w:rPr>
                        <w:rFonts w:ascii="Calibri"/>
                        <w:b/>
                        <w:sz w:val="16"/>
                      </w:rPr>
                    </w:pPr>
                    <w:r>
                      <w:rPr>
                        <w:rFonts w:ascii="Calibri"/>
                        <w:b/>
                        <w:color w:val="FFFFFF"/>
                        <w:sz w:val="16"/>
                      </w:rPr>
                      <w:t>500</w:t>
                    </w:r>
                  </w:p>
                  <w:p>
                    <w:pPr>
                      <w:spacing w:line="136" w:lineRule="exact" w:before="0"/>
                      <w:ind w:left="7" w:right="-19" w:firstLine="0"/>
                      <w:jc w:val="left"/>
                      <w:rPr>
                        <w:rFonts w:ascii="Calibri"/>
                        <w:b/>
                        <w:sz w:val="16"/>
                      </w:rPr>
                    </w:pPr>
                    <w:r>
                      <w:rPr>
                        <w:rFonts w:ascii="Calibri"/>
                        <w:b/>
                        <w:color w:val="FFFFFF"/>
                        <w:sz w:val="16"/>
                      </w:rPr>
                      <w:t>450</w:t>
                    </w:r>
                  </w:p>
                  <w:p>
                    <w:pPr>
                      <w:spacing w:line="136" w:lineRule="exact" w:before="0"/>
                      <w:ind w:left="7" w:right="-19" w:firstLine="0"/>
                      <w:jc w:val="left"/>
                      <w:rPr>
                        <w:rFonts w:ascii="Calibri"/>
                        <w:b/>
                        <w:sz w:val="16"/>
                      </w:rPr>
                    </w:pPr>
                    <w:r>
                      <w:rPr>
                        <w:rFonts w:ascii="Calibri"/>
                        <w:b/>
                        <w:color w:val="FFFFFF"/>
                        <w:sz w:val="16"/>
                      </w:rPr>
                      <w:t>400</w:t>
                    </w:r>
                  </w:p>
                  <w:p>
                    <w:pPr>
                      <w:spacing w:line="136" w:lineRule="exact" w:before="0"/>
                      <w:ind w:left="7" w:right="-19" w:firstLine="0"/>
                      <w:jc w:val="left"/>
                      <w:rPr>
                        <w:rFonts w:ascii="Calibri"/>
                        <w:b/>
                        <w:sz w:val="16"/>
                      </w:rPr>
                    </w:pPr>
                    <w:r>
                      <w:rPr>
                        <w:rFonts w:ascii="Calibri"/>
                        <w:b/>
                        <w:color w:val="FFFFFF"/>
                        <w:sz w:val="16"/>
                      </w:rPr>
                      <w:t>350</w:t>
                    </w:r>
                  </w:p>
                  <w:p>
                    <w:pPr>
                      <w:spacing w:line="166" w:lineRule="exact" w:before="0"/>
                      <w:ind w:left="7" w:right="-19" w:firstLine="0"/>
                      <w:jc w:val="left"/>
                      <w:rPr>
                        <w:rFonts w:ascii="Calibri"/>
                        <w:b/>
                        <w:sz w:val="16"/>
                      </w:rPr>
                    </w:pPr>
                    <w:r>
                      <w:rPr>
                        <w:rFonts w:ascii="Calibri"/>
                        <w:b/>
                        <w:color w:val="FFFFFF"/>
                        <w:sz w:val="16"/>
                      </w:rPr>
                      <w:t>300</w:t>
                    </w:r>
                  </w:p>
                  <w:p>
                    <w:pPr>
                      <w:spacing w:before="9"/>
                      <w:ind w:left="7" w:right="-19" w:firstLine="0"/>
                      <w:jc w:val="left"/>
                      <w:rPr>
                        <w:rFonts w:ascii="Calibri"/>
                        <w:b/>
                        <w:sz w:val="16"/>
                      </w:rPr>
                    </w:pPr>
                    <w:r>
                      <w:rPr>
                        <w:rFonts w:ascii="Calibri"/>
                        <w:b/>
                        <w:color w:val="FFFFFF"/>
                        <w:sz w:val="16"/>
                      </w:rPr>
                      <w:t>250</w:t>
                    </w:r>
                  </w:p>
                  <w:p>
                    <w:pPr>
                      <w:spacing w:before="6"/>
                      <w:ind w:left="4" w:right="-16" w:firstLine="0"/>
                      <w:jc w:val="left"/>
                      <w:rPr>
                        <w:rFonts w:ascii="Calibri"/>
                        <w:b/>
                        <w:sz w:val="16"/>
                      </w:rPr>
                    </w:pPr>
                    <w:r>
                      <w:rPr>
                        <w:rFonts w:ascii="Calibri"/>
                        <w:b/>
                        <w:color w:val="FFFFFF"/>
                        <w:sz w:val="16"/>
                      </w:rPr>
                      <w:t>200</w:t>
                    </w:r>
                  </w:p>
                  <w:p>
                    <w:pPr>
                      <w:spacing w:before="76"/>
                      <w:ind w:left="0" w:right="-12" w:firstLine="0"/>
                      <w:jc w:val="left"/>
                      <w:rPr>
                        <w:rFonts w:ascii="Calibri"/>
                        <w:b/>
                        <w:sz w:val="16"/>
                      </w:rPr>
                    </w:pPr>
                    <w:r>
                      <w:rPr>
                        <w:rFonts w:ascii="Calibri"/>
                        <w:b/>
                        <w:color w:val="FFFFFF"/>
                        <w:sz w:val="16"/>
                      </w:rPr>
                      <w:t>150</w:t>
                    </w:r>
                  </w:p>
                  <w:p>
                    <w:pPr>
                      <w:spacing w:line="193" w:lineRule="exact" w:before="100"/>
                      <w:ind w:left="0" w:right="-12" w:firstLine="0"/>
                      <w:jc w:val="left"/>
                      <w:rPr>
                        <w:rFonts w:ascii="Calibri"/>
                        <w:b/>
                        <w:sz w:val="16"/>
                      </w:rPr>
                    </w:pPr>
                    <w:r>
                      <w:rPr>
                        <w:rFonts w:ascii="Calibri"/>
                        <w:b/>
                        <w:color w:val="FFFFFF"/>
                        <w:sz w:val="16"/>
                      </w:rPr>
                      <w:t>100</w:t>
                    </w:r>
                  </w:p>
                </w:txbxContent>
              </v:textbox>
              <w10:wrap type="none"/>
            </v:shape>
            <v:shape style="position:absolute;left:152;top:1831;width:245;height:161" type="#_x0000_t202" filled="false" stroked="false">
              <v:textbox inset="0,0,0,0">
                <w:txbxContent>
                  <w:p>
                    <w:pPr>
                      <w:spacing w:line="161" w:lineRule="exact" w:before="0"/>
                      <w:ind w:left="0" w:right="-19" w:firstLine="0"/>
                      <w:jc w:val="left"/>
                      <w:rPr>
                        <w:rFonts w:ascii="Calibri"/>
                        <w:b/>
                        <w:sz w:val="16"/>
                      </w:rPr>
                    </w:pPr>
                    <w:r>
                      <w:rPr>
                        <w:rFonts w:ascii="Calibri"/>
                        <w:b/>
                        <w:color w:val="FFFFFF"/>
                        <w:sz w:val="16"/>
                      </w:rPr>
                      <w:t>550</w:t>
                    </w:r>
                  </w:p>
                </w:txbxContent>
              </v:textbox>
              <w10:wrap type="none"/>
            </v:shape>
            <v:shape style="position:absolute;left:152;top:3975;width:164;height:161" type="#_x0000_t202" filled="false" stroked="false">
              <v:textbox inset="0,0,0,0">
                <w:txbxContent>
                  <w:p>
                    <w:pPr>
                      <w:spacing w:line="161" w:lineRule="exact" w:before="0"/>
                      <w:ind w:left="0" w:right="-19" w:firstLine="0"/>
                      <w:jc w:val="left"/>
                      <w:rPr>
                        <w:rFonts w:ascii="Calibri"/>
                        <w:b/>
                        <w:sz w:val="16"/>
                      </w:rPr>
                    </w:pPr>
                    <w:r>
                      <w:rPr>
                        <w:rFonts w:ascii="Calibri"/>
                        <w:b/>
                        <w:color w:val="FFFFFF"/>
                        <w:sz w:val="16"/>
                      </w:rPr>
                      <w:t>50</w:t>
                    </w:r>
                  </w:p>
                </w:txbxContent>
              </v:textbox>
              <w10:wrap type="none"/>
            </v:shape>
          </v:group>
        </w:pict>
      </w:r>
      <w:r>
        <w:rPr>
          <w:sz w:val="20"/>
        </w:rPr>
      </w:r>
    </w:p>
    <w:p>
      <w:pPr>
        <w:spacing w:line="276" w:lineRule="auto" w:before="113"/>
        <w:ind w:left="2149" w:right="442" w:hanging="1647"/>
        <w:jc w:val="left"/>
        <w:rPr>
          <w:b/>
          <w:i/>
          <w:sz w:val="24"/>
        </w:rPr>
      </w:pPr>
      <w:r>
        <w:rPr>
          <w:b/>
          <w:sz w:val="24"/>
        </w:rPr>
        <w:t>Figura 8. Identificaion de </w:t>
      </w:r>
      <w:r>
        <w:rPr>
          <w:b/>
          <w:i/>
          <w:sz w:val="24"/>
        </w:rPr>
        <w:t>Staphylococcus aureus </w:t>
      </w:r>
      <w:r>
        <w:rPr>
          <w:b/>
          <w:sz w:val="24"/>
        </w:rPr>
        <w:t>en gel de agarosa por amplificación de los genes </w:t>
      </w:r>
      <w:r>
        <w:rPr>
          <w:b/>
          <w:i/>
          <w:sz w:val="24"/>
        </w:rPr>
        <w:t>mec A </w:t>
      </w:r>
      <w:r>
        <w:rPr>
          <w:b/>
          <w:sz w:val="24"/>
        </w:rPr>
        <w:t>y </w:t>
      </w:r>
      <w:r>
        <w:rPr>
          <w:b/>
          <w:i/>
          <w:sz w:val="24"/>
        </w:rPr>
        <w:t>fem B.</w:t>
      </w:r>
    </w:p>
    <w:p>
      <w:pPr>
        <w:spacing w:line="276" w:lineRule="auto" w:before="203"/>
        <w:ind w:left="152" w:right="0" w:firstLine="0"/>
        <w:jc w:val="left"/>
        <w:rPr>
          <w:sz w:val="18"/>
        </w:rPr>
      </w:pPr>
      <w:r>
        <w:rPr>
          <w:sz w:val="18"/>
        </w:rPr>
        <w:t>Linea A y B Maracdor de peso Moleculae; B y G Control positivo ATCC43300; C y H Control negativoATCC 12228; D e I Muestra 1; E y J Muestra 2.</w:t>
      </w:r>
    </w:p>
    <w:p>
      <w:pPr>
        <w:spacing w:after="0" w:line="276" w:lineRule="auto"/>
        <w:jc w:val="left"/>
        <w:rPr>
          <w:sz w:val="18"/>
        </w:rPr>
        <w:sectPr>
          <w:footerReference w:type="default" r:id="rId33"/>
          <w:pgSz w:w="12240" w:h="15840"/>
          <w:pgMar w:footer="1386" w:header="0" w:top="1500" w:bottom="1580" w:left="1720" w:right="1420"/>
          <w:pgNumType w:start="61"/>
        </w:sectPr>
      </w:pPr>
    </w:p>
    <w:p>
      <w:pPr>
        <w:pStyle w:val="BodyText"/>
        <w:spacing w:before="11"/>
        <w:rPr>
          <w:sz w:val="20"/>
        </w:rPr>
      </w:pPr>
    </w:p>
    <w:p>
      <w:pPr>
        <w:spacing w:before="69"/>
        <w:ind w:left="291" w:right="250" w:firstLine="0"/>
        <w:jc w:val="center"/>
        <w:rPr>
          <w:b/>
          <w:sz w:val="24"/>
        </w:rPr>
      </w:pPr>
      <w:bookmarkStart w:name="_bookmark13" w:id="14"/>
      <w:bookmarkEnd w:id="14"/>
      <w:r>
        <w:rPr/>
      </w:r>
      <w:r>
        <w:rPr>
          <w:b/>
          <w:sz w:val="24"/>
        </w:rPr>
        <w:t>PRODUCTOS DE INVESTIGACION</w:t>
      </w:r>
    </w:p>
    <w:p>
      <w:pPr>
        <w:pStyle w:val="BodyText"/>
        <w:rPr>
          <w:b/>
        </w:rPr>
      </w:pPr>
    </w:p>
    <w:p>
      <w:pPr>
        <w:spacing w:line="360" w:lineRule="auto" w:before="143"/>
        <w:ind w:left="291" w:right="247" w:firstLine="0"/>
        <w:jc w:val="center"/>
        <w:rPr>
          <w:b/>
          <w:sz w:val="22"/>
        </w:rPr>
      </w:pPr>
      <w:r>
        <w:rPr>
          <w:b/>
          <w:sz w:val="22"/>
        </w:rPr>
        <w:t>Clasificación de la canal y calidad de la carne de conejos (</w:t>
      </w:r>
      <w:r>
        <w:rPr>
          <w:b/>
          <w:i/>
          <w:sz w:val="22"/>
        </w:rPr>
        <w:t>Oryctolagus cuniculus</w:t>
      </w:r>
      <w:r>
        <w:rPr>
          <w:b/>
          <w:sz w:val="22"/>
        </w:rPr>
        <w:t>) en sistemas de producción familiar en el Valle de Toluca, Estado de México</w:t>
      </w:r>
    </w:p>
    <w:p>
      <w:pPr>
        <w:pStyle w:val="BodyText"/>
        <w:rPr>
          <w:b/>
          <w:sz w:val="22"/>
        </w:rPr>
      </w:pPr>
    </w:p>
    <w:p>
      <w:pPr>
        <w:spacing w:line="360" w:lineRule="auto" w:before="132"/>
        <w:ind w:left="137" w:right="94" w:firstLine="0"/>
        <w:jc w:val="center"/>
        <w:rPr>
          <w:b/>
          <w:sz w:val="22"/>
        </w:rPr>
      </w:pPr>
      <w:r>
        <w:rPr>
          <w:b/>
          <w:sz w:val="22"/>
        </w:rPr>
        <w:t>Carcass classification and meat quality of rabbits (</w:t>
      </w:r>
      <w:r>
        <w:rPr>
          <w:b/>
          <w:i/>
          <w:sz w:val="22"/>
        </w:rPr>
        <w:t>Oryctolagus cuniculus</w:t>
      </w:r>
      <w:r>
        <w:rPr>
          <w:b/>
          <w:sz w:val="22"/>
        </w:rPr>
        <w:t>) in a small holder system in Toluca Valley of Mexico State</w:t>
      </w:r>
    </w:p>
    <w:p>
      <w:pPr>
        <w:pStyle w:val="BodyText"/>
        <w:rPr>
          <w:b/>
          <w:sz w:val="22"/>
        </w:rPr>
      </w:pPr>
    </w:p>
    <w:p>
      <w:pPr>
        <w:spacing w:line="355" w:lineRule="auto" w:before="127"/>
        <w:ind w:left="291" w:right="250" w:firstLine="0"/>
        <w:jc w:val="center"/>
        <w:rPr>
          <w:sz w:val="22"/>
        </w:rPr>
      </w:pPr>
      <w:r>
        <w:rPr>
          <w:sz w:val="22"/>
        </w:rPr>
        <w:t>Juan Luis Rodríguez Correa</w:t>
      </w:r>
      <w:r>
        <w:rPr>
          <w:position w:val="8"/>
          <w:sz w:val="14"/>
        </w:rPr>
        <w:t>a</w:t>
      </w:r>
      <w:r>
        <w:rPr>
          <w:sz w:val="22"/>
        </w:rPr>
        <w:t>, Benjamín Valladares Carranza</w:t>
      </w:r>
      <w:r>
        <w:rPr>
          <w:position w:val="8"/>
          <w:sz w:val="14"/>
        </w:rPr>
        <w:t>b</w:t>
      </w:r>
      <w:r>
        <w:rPr>
          <w:sz w:val="22"/>
        </w:rPr>
        <w:t>, Martin Talavera Rojas</w:t>
      </w:r>
      <w:r>
        <w:rPr>
          <w:position w:val="8"/>
          <w:sz w:val="14"/>
        </w:rPr>
        <w:t>b</w:t>
      </w:r>
      <w:r>
        <w:rPr>
          <w:sz w:val="22"/>
        </w:rPr>
        <w:t>, Ernesto Morales Almaraz </w:t>
      </w:r>
      <w:r>
        <w:rPr>
          <w:position w:val="8"/>
          <w:sz w:val="14"/>
        </w:rPr>
        <w:t>c</w:t>
      </w:r>
      <w:r>
        <w:rPr>
          <w:sz w:val="22"/>
        </w:rPr>
        <w:t>, Ignacio Arturo Domínguez Vara</w:t>
      </w:r>
      <w:r>
        <w:rPr>
          <w:position w:val="8"/>
          <w:sz w:val="14"/>
        </w:rPr>
        <w:t>c</w:t>
      </w:r>
      <w:r>
        <w:rPr>
          <w:sz w:val="22"/>
        </w:rPr>
        <w:t>, Valente,</w:t>
      </w:r>
    </w:p>
    <w:p>
      <w:pPr>
        <w:spacing w:line="258" w:lineRule="exact" w:before="0"/>
        <w:ind w:left="291" w:right="250" w:firstLine="0"/>
        <w:jc w:val="center"/>
        <w:rPr>
          <w:sz w:val="14"/>
        </w:rPr>
      </w:pPr>
      <w:r>
        <w:rPr>
          <w:sz w:val="22"/>
        </w:rPr>
        <w:t>Velázquez Ordoñez</w:t>
      </w:r>
      <w:r>
        <w:rPr>
          <w:position w:val="8"/>
          <w:sz w:val="14"/>
        </w:rPr>
        <w:t>b</w:t>
      </w:r>
    </w:p>
    <w:p>
      <w:pPr>
        <w:spacing w:line="360" w:lineRule="auto" w:before="126"/>
        <w:ind w:left="382" w:right="336" w:hanging="8"/>
        <w:jc w:val="center"/>
        <w:rPr>
          <w:sz w:val="22"/>
        </w:rPr>
      </w:pPr>
      <w:r>
        <w:rPr>
          <w:sz w:val="22"/>
        </w:rPr>
        <w:t>Programa de Maestría en Ciencias Agropecuarias y Recursos Naturales. Universidad Autónoma del Estado de México (PCARN – UAEMex). Consejo Nacional de Ciencia y Tecnología (CONACYT).</w:t>
      </w:r>
    </w:p>
    <w:p>
      <w:pPr>
        <w:spacing w:before="0"/>
        <w:ind w:left="1114" w:right="0" w:firstLine="0"/>
        <w:jc w:val="left"/>
        <w:rPr>
          <w:sz w:val="22"/>
        </w:rPr>
      </w:pPr>
      <w:r>
        <w:rPr>
          <w:position w:val="8"/>
          <w:sz w:val="14"/>
        </w:rPr>
        <w:t>a  </w:t>
      </w:r>
      <w:r>
        <w:rPr>
          <w:sz w:val="22"/>
        </w:rPr>
        <w:t>Centro de Investigación y Estudios Avanzados en Salud Animal (CIESA).</w:t>
      </w:r>
    </w:p>
    <w:p>
      <w:pPr>
        <w:spacing w:line="360" w:lineRule="auto" w:before="121"/>
        <w:ind w:left="452" w:right="52" w:firstLine="0"/>
        <w:jc w:val="center"/>
        <w:rPr>
          <w:sz w:val="22"/>
        </w:rPr>
      </w:pPr>
      <w:r>
        <w:rPr>
          <w:position w:val="8"/>
          <w:sz w:val="14"/>
        </w:rPr>
        <w:t>b </w:t>
      </w:r>
      <w:r>
        <w:rPr>
          <w:sz w:val="22"/>
        </w:rPr>
        <w:t>Facultad de Medicina Veterinaria y Zootecnia (FMVZ). Universidad Autónoma del Estado de México (UAEMex).</w:t>
      </w:r>
    </w:p>
    <w:p>
      <w:pPr>
        <w:spacing w:before="3"/>
        <w:ind w:left="291" w:right="247" w:firstLine="0"/>
        <w:jc w:val="center"/>
        <w:rPr>
          <w:i/>
          <w:sz w:val="22"/>
        </w:rPr>
      </w:pPr>
      <w:r>
        <w:rPr>
          <w:sz w:val="22"/>
        </w:rPr>
        <w:t>Autor correspondiente. **Valente Velázquez Ordoñez. </w:t>
      </w:r>
      <w:hyperlink r:id="rId49">
        <w:r>
          <w:rPr>
            <w:i/>
            <w:sz w:val="22"/>
          </w:rPr>
          <w:t>vvo@uaemex.mx</w:t>
        </w:r>
      </w:hyperlink>
    </w:p>
    <w:p>
      <w:pPr>
        <w:pStyle w:val="BodyText"/>
        <w:rPr>
          <w:i/>
          <w:sz w:val="22"/>
        </w:rPr>
      </w:pPr>
    </w:p>
    <w:p>
      <w:pPr>
        <w:pStyle w:val="BodyText"/>
        <w:rPr>
          <w:i/>
          <w:sz w:val="22"/>
        </w:rPr>
      </w:pPr>
    </w:p>
    <w:p>
      <w:pPr>
        <w:pStyle w:val="BodyText"/>
        <w:spacing w:before="3"/>
        <w:rPr>
          <w:i/>
          <w:sz w:val="17"/>
        </w:rPr>
      </w:pPr>
    </w:p>
    <w:p>
      <w:pPr>
        <w:spacing w:before="0"/>
        <w:ind w:left="291" w:right="251" w:firstLine="0"/>
        <w:jc w:val="center"/>
        <w:rPr>
          <w:sz w:val="22"/>
        </w:rPr>
      </w:pPr>
      <w:r>
        <w:rPr>
          <w:sz w:val="22"/>
        </w:rPr>
        <w:t>RESUMEN</w:t>
      </w:r>
    </w:p>
    <w:p>
      <w:pPr>
        <w:spacing w:line="360" w:lineRule="auto" w:before="128"/>
        <w:ind w:left="152" w:right="104" w:firstLine="0"/>
        <w:jc w:val="both"/>
        <w:rPr>
          <w:sz w:val="22"/>
        </w:rPr>
      </w:pPr>
      <w:r>
        <w:rPr>
          <w:sz w:val="22"/>
        </w:rPr>
        <w:t>La producción cunícola familiar contribuye de manera importante a mejorar la dieta</w:t>
      </w:r>
      <w:r>
        <w:rPr>
          <w:spacing w:val="-43"/>
          <w:sz w:val="22"/>
        </w:rPr>
        <w:t> </w:t>
      </w:r>
      <w:r>
        <w:rPr>
          <w:sz w:val="22"/>
        </w:rPr>
        <w:t>familiar y al abasto local de carne. El estudio comprende 30 granjas distribuidas en los municipios: Almoloya de Juárez, Lerma, Metepec, Ocoyoacac, San Mateo Atenco, Toluca y Zinacantepec</w:t>
      </w:r>
      <w:r>
        <w:rPr>
          <w:spacing w:val="-13"/>
          <w:sz w:val="22"/>
        </w:rPr>
        <w:t> </w:t>
      </w:r>
      <w:r>
        <w:rPr>
          <w:sz w:val="22"/>
        </w:rPr>
        <w:t>localizadas</w:t>
      </w:r>
      <w:r>
        <w:rPr>
          <w:spacing w:val="-13"/>
          <w:sz w:val="22"/>
        </w:rPr>
        <w:t> </w:t>
      </w:r>
      <w:r>
        <w:rPr>
          <w:sz w:val="22"/>
        </w:rPr>
        <w:t>en</w:t>
      </w:r>
      <w:r>
        <w:rPr>
          <w:spacing w:val="-14"/>
          <w:sz w:val="22"/>
        </w:rPr>
        <w:t> </w:t>
      </w:r>
      <w:r>
        <w:rPr>
          <w:sz w:val="22"/>
        </w:rPr>
        <w:t>las</w:t>
      </w:r>
      <w:r>
        <w:rPr>
          <w:spacing w:val="-13"/>
          <w:sz w:val="22"/>
        </w:rPr>
        <w:t> </w:t>
      </w:r>
      <w:r>
        <w:rPr>
          <w:sz w:val="22"/>
        </w:rPr>
        <w:t>regiones</w:t>
      </w:r>
      <w:r>
        <w:rPr>
          <w:spacing w:val="-13"/>
          <w:sz w:val="22"/>
        </w:rPr>
        <w:t> </w:t>
      </w:r>
      <w:r>
        <w:rPr>
          <w:sz w:val="22"/>
        </w:rPr>
        <w:t>económicas</w:t>
      </w:r>
      <w:r>
        <w:rPr>
          <w:spacing w:val="-13"/>
          <w:sz w:val="22"/>
        </w:rPr>
        <w:t> </w:t>
      </w:r>
      <w:r>
        <w:rPr>
          <w:sz w:val="22"/>
        </w:rPr>
        <w:t>VII</w:t>
      </w:r>
      <w:r>
        <w:rPr>
          <w:spacing w:val="-12"/>
          <w:sz w:val="22"/>
        </w:rPr>
        <w:t> </w:t>
      </w:r>
      <w:r>
        <w:rPr>
          <w:sz w:val="22"/>
        </w:rPr>
        <w:t>Lerma</w:t>
      </w:r>
      <w:r>
        <w:rPr>
          <w:spacing w:val="-16"/>
          <w:sz w:val="22"/>
        </w:rPr>
        <w:t> </w:t>
      </w:r>
      <w:r>
        <w:rPr>
          <w:sz w:val="22"/>
        </w:rPr>
        <w:t>y</w:t>
      </w:r>
      <w:r>
        <w:rPr>
          <w:spacing w:val="-16"/>
          <w:sz w:val="22"/>
        </w:rPr>
        <w:t> </w:t>
      </w:r>
      <w:r>
        <w:rPr>
          <w:sz w:val="22"/>
        </w:rPr>
        <w:t>XIII</w:t>
      </w:r>
      <w:r>
        <w:rPr>
          <w:spacing w:val="-15"/>
          <w:sz w:val="22"/>
        </w:rPr>
        <w:t> </w:t>
      </w:r>
      <w:r>
        <w:rPr>
          <w:sz w:val="22"/>
        </w:rPr>
        <w:t>Toluca.</w:t>
      </w:r>
      <w:r>
        <w:rPr>
          <w:spacing w:val="-12"/>
          <w:sz w:val="22"/>
        </w:rPr>
        <w:t> </w:t>
      </w:r>
      <w:r>
        <w:rPr>
          <w:sz w:val="22"/>
        </w:rPr>
        <w:t>En</w:t>
      </w:r>
      <w:r>
        <w:rPr>
          <w:spacing w:val="-13"/>
          <w:sz w:val="22"/>
        </w:rPr>
        <w:t> </w:t>
      </w:r>
      <w:r>
        <w:rPr>
          <w:sz w:val="22"/>
        </w:rPr>
        <w:t>las</w:t>
      </w:r>
      <w:r>
        <w:rPr>
          <w:spacing w:val="-13"/>
          <w:sz w:val="22"/>
        </w:rPr>
        <w:t> </w:t>
      </w:r>
      <w:r>
        <w:rPr>
          <w:sz w:val="22"/>
        </w:rPr>
        <w:t>cuales se aplicó una encuesta cerrada a los productores cuniculas conteniendo los indicadores: Sistema de producción, parámetros reproductivos, edad, sexo, peso al sacrificio y peso en canal.</w:t>
      </w:r>
      <w:r>
        <w:rPr>
          <w:spacing w:val="-10"/>
          <w:sz w:val="22"/>
        </w:rPr>
        <w:t> </w:t>
      </w:r>
      <w:r>
        <w:rPr>
          <w:sz w:val="22"/>
        </w:rPr>
        <w:t>De</w:t>
      </w:r>
      <w:r>
        <w:rPr>
          <w:spacing w:val="-11"/>
          <w:sz w:val="22"/>
        </w:rPr>
        <w:t> </w:t>
      </w:r>
      <w:r>
        <w:rPr>
          <w:sz w:val="22"/>
        </w:rPr>
        <w:t>las</w:t>
      </w:r>
      <w:r>
        <w:rPr>
          <w:spacing w:val="-14"/>
          <w:sz w:val="22"/>
        </w:rPr>
        <w:t> </w:t>
      </w:r>
      <w:r>
        <w:rPr>
          <w:sz w:val="22"/>
        </w:rPr>
        <w:t>canales</w:t>
      </w:r>
      <w:r>
        <w:rPr>
          <w:spacing w:val="-14"/>
          <w:sz w:val="22"/>
        </w:rPr>
        <w:t> </w:t>
      </w:r>
      <w:r>
        <w:rPr>
          <w:sz w:val="22"/>
        </w:rPr>
        <w:t>destinadas</w:t>
      </w:r>
      <w:r>
        <w:rPr>
          <w:spacing w:val="-11"/>
          <w:sz w:val="22"/>
        </w:rPr>
        <w:t> </w:t>
      </w:r>
      <w:r>
        <w:rPr>
          <w:sz w:val="22"/>
        </w:rPr>
        <w:t>para</w:t>
      </w:r>
      <w:r>
        <w:rPr>
          <w:spacing w:val="-11"/>
          <w:sz w:val="22"/>
        </w:rPr>
        <w:t> </w:t>
      </w:r>
      <w:r>
        <w:rPr>
          <w:sz w:val="22"/>
        </w:rPr>
        <w:t>el</w:t>
      </w:r>
      <w:r>
        <w:rPr>
          <w:spacing w:val="-15"/>
          <w:sz w:val="22"/>
        </w:rPr>
        <w:t> </w:t>
      </w:r>
      <w:r>
        <w:rPr>
          <w:sz w:val="22"/>
        </w:rPr>
        <w:t>abasto</w:t>
      </w:r>
      <w:r>
        <w:rPr>
          <w:spacing w:val="-13"/>
          <w:sz w:val="22"/>
        </w:rPr>
        <w:t> </w:t>
      </w:r>
      <w:r>
        <w:rPr>
          <w:sz w:val="22"/>
        </w:rPr>
        <w:t>comercial</w:t>
      </w:r>
      <w:r>
        <w:rPr>
          <w:spacing w:val="-12"/>
          <w:sz w:val="22"/>
        </w:rPr>
        <w:t> </w:t>
      </w:r>
      <w:r>
        <w:rPr>
          <w:sz w:val="22"/>
        </w:rPr>
        <w:t>se</w:t>
      </w:r>
      <w:r>
        <w:rPr>
          <w:spacing w:val="-14"/>
          <w:sz w:val="22"/>
        </w:rPr>
        <w:t> </w:t>
      </w:r>
      <w:r>
        <w:rPr>
          <w:sz w:val="22"/>
        </w:rPr>
        <w:t>obtuvieron</w:t>
      </w:r>
      <w:r>
        <w:rPr>
          <w:spacing w:val="38"/>
          <w:sz w:val="22"/>
        </w:rPr>
        <w:t> </w:t>
      </w:r>
      <w:r>
        <w:rPr>
          <w:sz w:val="22"/>
        </w:rPr>
        <w:t>muestras</w:t>
      </w:r>
      <w:r>
        <w:rPr>
          <w:spacing w:val="-14"/>
          <w:sz w:val="22"/>
        </w:rPr>
        <w:t> </w:t>
      </w:r>
      <w:r>
        <w:rPr>
          <w:sz w:val="22"/>
        </w:rPr>
        <w:t>del</w:t>
      </w:r>
      <w:r>
        <w:rPr>
          <w:spacing w:val="-12"/>
          <w:sz w:val="22"/>
        </w:rPr>
        <w:t> </w:t>
      </w:r>
      <w:r>
        <w:rPr>
          <w:sz w:val="22"/>
        </w:rPr>
        <w:t>lomo entre las vértebras lumbares L1 a L7 para realizar el análisis químico del musculo </w:t>
      </w:r>
      <w:r>
        <w:rPr>
          <w:i/>
          <w:sz w:val="22"/>
        </w:rPr>
        <w:t>Longissimus dorsis</w:t>
      </w:r>
      <w:r>
        <w:rPr>
          <w:sz w:val="22"/>
        </w:rPr>
        <w:t>. La evaluación de la calidad de la canal se realizó bajo la norma MX- FF-105-SCFI-2005.</w:t>
      </w:r>
      <w:r>
        <w:rPr>
          <w:spacing w:val="-17"/>
          <w:sz w:val="22"/>
        </w:rPr>
        <w:t> </w:t>
      </w:r>
      <w:r>
        <w:rPr>
          <w:sz w:val="22"/>
        </w:rPr>
        <w:t>Los</w:t>
      </w:r>
      <w:r>
        <w:rPr>
          <w:spacing w:val="-18"/>
          <w:sz w:val="22"/>
        </w:rPr>
        <w:t> </w:t>
      </w:r>
      <w:r>
        <w:rPr>
          <w:sz w:val="22"/>
        </w:rPr>
        <w:t>resultados</w:t>
      </w:r>
      <w:r>
        <w:rPr>
          <w:spacing w:val="-18"/>
          <w:sz w:val="22"/>
        </w:rPr>
        <w:t> </w:t>
      </w:r>
      <w:r>
        <w:rPr>
          <w:sz w:val="22"/>
        </w:rPr>
        <w:t>se</w:t>
      </w:r>
      <w:r>
        <w:rPr>
          <w:spacing w:val="-16"/>
          <w:sz w:val="22"/>
        </w:rPr>
        <w:t> </w:t>
      </w:r>
      <w:r>
        <w:rPr>
          <w:sz w:val="22"/>
        </w:rPr>
        <w:t>evaluaron</w:t>
      </w:r>
      <w:r>
        <w:rPr>
          <w:spacing w:val="-19"/>
          <w:sz w:val="22"/>
        </w:rPr>
        <w:t> </w:t>
      </w:r>
      <w:r>
        <w:rPr>
          <w:sz w:val="22"/>
        </w:rPr>
        <w:t>mediante</w:t>
      </w:r>
      <w:r>
        <w:rPr>
          <w:spacing w:val="-19"/>
          <w:sz w:val="22"/>
        </w:rPr>
        <w:t> </w:t>
      </w:r>
      <w:r>
        <w:rPr>
          <w:sz w:val="22"/>
        </w:rPr>
        <w:t>un</w:t>
      </w:r>
      <w:r>
        <w:rPr>
          <w:spacing w:val="-16"/>
          <w:sz w:val="22"/>
        </w:rPr>
        <w:t> </w:t>
      </w:r>
      <w:r>
        <w:rPr>
          <w:sz w:val="22"/>
        </w:rPr>
        <w:t>diseño</w:t>
      </w:r>
      <w:r>
        <w:rPr>
          <w:spacing w:val="-19"/>
          <w:sz w:val="22"/>
        </w:rPr>
        <w:t> </w:t>
      </w:r>
      <w:r>
        <w:rPr>
          <w:sz w:val="22"/>
        </w:rPr>
        <w:t>completamente</w:t>
      </w:r>
      <w:r>
        <w:rPr>
          <w:spacing w:val="-19"/>
          <w:sz w:val="22"/>
        </w:rPr>
        <w:t> </w:t>
      </w:r>
      <w:r>
        <w:rPr>
          <w:sz w:val="22"/>
        </w:rPr>
        <w:t>al</w:t>
      </w:r>
      <w:r>
        <w:rPr>
          <w:spacing w:val="-19"/>
          <w:sz w:val="22"/>
        </w:rPr>
        <w:t> </w:t>
      </w:r>
      <w:r>
        <w:rPr>
          <w:sz w:val="22"/>
        </w:rPr>
        <w:t>azar con arreglo factorial (p&lt;0.05). Los parámetros productivos de las unidades cunicolas evaluadas fueron: edad al sacrificio, peso al sacrificio y peso canal. El análisis químico </w:t>
      </w:r>
      <w:r>
        <w:rPr>
          <w:spacing w:val="7"/>
          <w:sz w:val="22"/>
        </w:rPr>
        <w:t> </w:t>
      </w:r>
      <w:r>
        <w:rPr>
          <w:sz w:val="22"/>
        </w:rPr>
        <w:t>de</w:t>
      </w:r>
    </w:p>
    <w:p>
      <w:pPr>
        <w:spacing w:after="0" w:line="360" w:lineRule="auto"/>
        <w:jc w:val="both"/>
        <w:rPr>
          <w:sz w:val="22"/>
        </w:rPr>
        <w:sectPr>
          <w:pgSz w:w="12240" w:h="15840"/>
          <w:pgMar w:header="0" w:footer="1386" w:top="1500" w:bottom="1580" w:left="1720" w:right="1420"/>
        </w:sectPr>
      </w:pPr>
    </w:p>
    <w:p>
      <w:pPr>
        <w:pStyle w:val="BodyText"/>
        <w:spacing w:before="9"/>
        <w:rPr>
          <w:sz w:val="20"/>
        </w:rPr>
      </w:pPr>
    </w:p>
    <w:p>
      <w:pPr>
        <w:spacing w:line="360" w:lineRule="auto" w:before="73"/>
        <w:ind w:left="152" w:right="102" w:firstLine="0"/>
        <w:jc w:val="both"/>
        <w:rPr>
          <w:sz w:val="22"/>
        </w:rPr>
      </w:pPr>
      <w:r>
        <w:rPr>
          <w:sz w:val="22"/>
        </w:rPr>
        <w:t>la carne fue Materia Seca, Humedad, Proteína, Grasa y Cenizas. No se observaron diferencia entre los parámetros ente los parámetros evaluados en las granjas de los municipios y las regiones económicas estudiadas (p&lt;0.05). Los resultados de la clasificación de la canal en la Región VII Lerma fueron: 66%México Extra, 22% México1 y 11% México 2. En la Región XIII Toluca fueron: 33%, México Extra, 50% Mexico1 16% y México 2. Se concluye que los parámetros productivos identificados en las unidades cunículas favorecen la producción adecuada de canales destinados al abasto regional de carne</w:t>
      </w:r>
      <w:r>
        <w:rPr>
          <w:spacing w:val="-10"/>
          <w:sz w:val="22"/>
        </w:rPr>
        <w:t> </w:t>
      </w:r>
      <w:r>
        <w:rPr>
          <w:sz w:val="22"/>
        </w:rPr>
        <w:t>de</w:t>
      </w:r>
      <w:r>
        <w:rPr>
          <w:spacing w:val="-10"/>
          <w:sz w:val="22"/>
        </w:rPr>
        <w:t> </w:t>
      </w:r>
      <w:r>
        <w:rPr>
          <w:sz w:val="22"/>
        </w:rPr>
        <w:t>conejo</w:t>
      </w:r>
      <w:r>
        <w:rPr>
          <w:spacing w:val="-10"/>
          <w:sz w:val="22"/>
        </w:rPr>
        <w:t> </w:t>
      </w:r>
      <w:r>
        <w:rPr>
          <w:sz w:val="22"/>
        </w:rPr>
        <w:t>cumpliendo</w:t>
      </w:r>
      <w:r>
        <w:rPr>
          <w:spacing w:val="-10"/>
          <w:sz w:val="22"/>
        </w:rPr>
        <w:t> </w:t>
      </w:r>
      <w:r>
        <w:rPr>
          <w:sz w:val="22"/>
        </w:rPr>
        <w:t>en</w:t>
      </w:r>
      <w:r>
        <w:rPr>
          <w:spacing w:val="-10"/>
          <w:sz w:val="22"/>
        </w:rPr>
        <w:t> </w:t>
      </w:r>
      <w:r>
        <w:rPr>
          <w:sz w:val="22"/>
        </w:rPr>
        <w:t>las</w:t>
      </w:r>
      <w:r>
        <w:rPr>
          <w:spacing w:val="-10"/>
          <w:sz w:val="22"/>
        </w:rPr>
        <w:t> </w:t>
      </w:r>
      <w:r>
        <w:rPr>
          <w:sz w:val="22"/>
        </w:rPr>
        <w:t>especificaciones</w:t>
      </w:r>
      <w:r>
        <w:rPr>
          <w:spacing w:val="-10"/>
          <w:sz w:val="22"/>
        </w:rPr>
        <w:t> </w:t>
      </w:r>
      <w:r>
        <w:rPr>
          <w:sz w:val="22"/>
        </w:rPr>
        <w:t>en</w:t>
      </w:r>
      <w:r>
        <w:rPr>
          <w:spacing w:val="-10"/>
          <w:sz w:val="22"/>
        </w:rPr>
        <w:t> </w:t>
      </w:r>
      <w:r>
        <w:rPr>
          <w:sz w:val="22"/>
        </w:rPr>
        <w:t>su</w:t>
      </w:r>
      <w:r>
        <w:rPr>
          <w:spacing w:val="-10"/>
          <w:sz w:val="22"/>
        </w:rPr>
        <w:t> </w:t>
      </w:r>
      <w:r>
        <w:rPr>
          <w:sz w:val="22"/>
        </w:rPr>
        <w:t>composición</w:t>
      </w:r>
      <w:r>
        <w:rPr>
          <w:spacing w:val="-13"/>
          <w:sz w:val="22"/>
        </w:rPr>
        <w:t> </w:t>
      </w:r>
      <w:r>
        <w:rPr>
          <w:sz w:val="22"/>
        </w:rPr>
        <w:t>química</w:t>
      </w:r>
      <w:r>
        <w:rPr>
          <w:spacing w:val="-7"/>
          <w:sz w:val="22"/>
        </w:rPr>
        <w:t> </w:t>
      </w:r>
      <w:r>
        <w:rPr>
          <w:sz w:val="22"/>
        </w:rPr>
        <w:t>y</w:t>
      </w:r>
      <w:r>
        <w:rPr>
          <w:spacing w:val="-12"/>
          <w:sz w:val="22"/>
        </w:rPr>
        <w:t> </w:t>
      </w:r>
      <w:r>
        <w:rPr>
          <w:sz w:val="22"/>
        </w:rPr>
        <w:t>la</w:t>
      </w:r>
      <w:r>
        <w:rPr>
          <w:spacing w:val="-10"/>
          <w:sz w:val="22"/>
        </w:rPr>
        <w:t> </w:t>
      </w:r>
      <w:r>
        <w:rPr>
          <w:sz w:val="22"/>
        </w:rPr>
        <w:t>calidad de</w:t>
      </w:r>
      <w:r>
        <w:rPr>
          <w:spacing w:val="-8"/>
          <w:sz w:val="22"/>
        </w:rPr>
        <w:t> </w:t>
      </w:r>
      <w:r>
        <w:rPr>
          <w:sz w:val="22"/>
        </w:rPr>
        <w:t>la</w:t>
      </w:r>
      <w:r>
        <w:rPr>
          <w:spacing w:val="-8"/>
          <w:sz w:val="22"/>
        </w:rPr>
        <w:t> </w:t>
      </w:r>
      <w:r>
        <w:rPr>
          <w:sz w:val="22"/>
        </w:rPr>
        <w:t>canal</w:t>
      </w:r>
      <w:r>
        <w:rPr>
          <w:spacing w:val="-9"/>
          <w:sz w:val="22"/>
        </w:rPr>
        <w:t> </w:t>
      </w:r>
      <w:r>
        <w:rPr>
          <w:sz w:val="22"/>
        </w:rPr>
        <w:t>producida</w:t>
      </w:r>
      <w:r>
        <w:rPr>
          <w:spacing w:val="-8"/>
          <w:sz w:val="22"/>
        </w:rPr>
        <w:t> </w:t>
      </w:r>
      <w:r>
        <w:rPr>
          <w:sz w:val="22"/>
        </w:rPr>
        <w:t>en</w:t>
      </w:r>
      <w:r>
        <w:rPr>
          <w:spacing w:val="-10"/>
          <w:sz w:val="22"/>
        </w:rPr>
        <w:t> </w:t>
      </w:r>
      <w:r>
        <w:rPr>
          <w:sz w:val="22"/>
        </w:rPr>
        <w:t>las</w:t>
      </w:r>
      <w:r>
        <w:rPr>
          <w:spacing w:val="-8"/>
          <w:sz w:val="22"/>
        </w:rPr>
        <w:t> </w:t>
      </w:r>
      <w:r>
        <w:rPr>
          <w:sz w:val="22"/>
        </w:rPr>
        <w:t>unidades</w:t>
      </w:r>
      <w:r>
        <w:rPr>
          <w:spacing w:val="-7"/>
          <w:sz w:val="22"/>
        </w:rPr>
        <w:t> </w:t>
      </w:r>
      <w:r>
        <w:rPr>
          <w:sz w:val="22"/>
        </w:rPr>
        <w:t>de</w:t>
      </w:r>
      <w:r>
        <w:rPr>
          <w:spacing w:val="-8"/>
          <w:sz w:val="22"/>
        </w:rPr>
        <w:t> </w:t>
      </w:r>
      <w:r>
        <w:rPr>
          <w:sz w:val="22"/>
        </w:rPr>
        <w:t>producción</w:t>
      </w:r>
      <w:r>
        <w:rPr>
          <w:spacing w:val="-8"/>
          <w:sz w:val="22"/>
        </w:rPr>
        <w:t> </w:t>
      </w:r>
      <w:r>
        <w:rPr>
          <w:sz w:val="22"/>
        </w:rPr>
        <w:t>cuniciola</w:t>
      </w:r>
      <w:r>
        <w:rPr>
          <w:spacing w:val="-8"/>
          <w:sz w:val="22"/>
        </w:rPr>
        <w:t> </w:t>
      </w:r>
      <w:r>
        <w:rPr>
          <w:sz w:val="22"/>
        </w:rPr>
        <w:t>de</w:t>
      </w:r>
      <w:r>
        <w:rPr>
          <w:spacing w:val="-8"/>
          <w:sz w:val="22"/>
        </w:rPr>
        <w:t> </w:t>
      </w:r>
      <w:r>
        <w:rPr>
          <w:sz w:val="22"/>
        </w:rPr>
        <w:t>tipo</w:t>
      </w:r>
      <w:r>
        <w:rPr>
          <w:spacing w:val="-10"/>
          <w:sz w:val="22"/>
        </w:rPr>
        <w:t> </w:t>
      </w:r>
      <w:r>
        <w:rPr>
          <w:sz w:val="22"/>
        </w:rPr>
        <w:t>familiar</w:t>
      </w:r>
      <w:r>
        <w:rPr>
          <w:spacing w:val="-7"/>
          <w:sz w:val="22"/>
        </w:rPr>
        <w:t> </w:t>
      </w:r>
      <w:r>
        <w:rPr>
          <w:sz w:val="22"/>
        </w:rPr>
        <w:t>en</w:t>
      </w:r>
      <w:r>
        <w:rPr>
          <w:spacing w:val="-8"/>
          <w:sz w:val="22"/>
        </w:rPr>
        <w:t> </w:t>
      </w:r>
      <w:r>
        <w:rPr>
          <w:sz w:val="22"/>
        </w:rPr>
        <w:t>el</w:t>
      </w:r>
      <w:r>
        <w:rPr>
          <w:spacing w:val="-9"/>
          <w:sz w:val="22"/>
        </w:rPr>
        <w:t> </w:t>
      </w:r>
      <w:r>
        <w:rPr>
          <w:sz w:val="22"/>
        </w:rPr>
        <w:t>Valle</w:t>
      </w:r>
      <w:r>
        <w:rPr>
          <w:spacing w:val="-8"/>
          <w:sz w:val="22"/>
        </w:rPr>
        <w:t> </w:t>
      </w:r>
      <w:r>
        <w:rPr>
          <w:sz w:val="22"/>
        </w:rPr>
        <w:t>de Toluca,</w:t>
      </w:r>
      <w:r>
        <w:rPr>
          <w:spacing w:val="-4"/>
          <w:sz w:val="22"/>
        </w:rPr>
        <w:t> </w:t>
      </w:r>
      <w:r>
        <w:rPr>
          <w:sz w:val="22"/>
        </w:rPr>
        <w:t>México.</w:t>
      </w:r>
    </w:p>
    <w:p>
      <w:pPr>
        <w:spacing w:before="1"/>
        <w:ind w:left="152" w:right="0" w:firstLine="0"/>
        <w:jc w:val="both"/>
        <w:rPr>
          <w:sz w:val="22"/>
        </w:rPr>
      </w:pPr>
      <w:r>
        <w:rPr>
          <w:b/>
          <w:sz w:val="22"/>
        </w:rPr>
        <w:t>Palabras clave: </w:t>
      </w:r>
      <w:r>
        <w:rPr>
          <w:sz w:val="22"/>
        </w:rPr>
        <w:t>clasificación de la canal, calidad de la carne, conejo</w:t>
      </w:r>
    </w:p>
    <w:p>
      <w:pPr>
        <w:spacing w:after="0"/>
        <w:jc w:val="both"/>
        <w:rPr>
          <w:sz w:val="22"/>
        </w:rPr>
        <w:sectPr>
          <w:pgSz w:w="12240" w:h="15840"/>
          <w:pgMar w:header="0" w:footer="1386" w:top="1500" w:bottom="1580" w:left="1720" w:right="1420"/>
        </w:sectPr>
      </w:pPr>
    </w:p>
    <w:p>
      <w:pPr>
        <w:pStyle w:val="BodyText"/>
        <w:spacing w:before="7"/>
        <w:rPr>
          <w:sz w:val="20"/>
        </w:rPr>
      </w:pPr>
    </w:p>
    <w:p>
      <w:pPr>
        <w:spacing w:before="73"/>
        <w:ind w:left="291" w:right="250" w:firstLine="0"/>
        <w:jc w:val="center"/>
        <w:rPr>
          <w:b/>
          <w:sz w:val="22"/>
        </w:rPr>
      </w:pPr>
      <w:r>
        <w:rPr>
          <w:b/>
          <w:sz w:val="22"/>
        </w:rPr>
        <w:t>Abstract</w:t>
      </w:r>
    </w:p>
    <w:p>
      <w:pPr>
        <w:pStyle w:val="BodyText"/>
        <w:spacing w:before="5"/>
        <w:rPr>
          <w:b/>
          <w:sz w:val="28"/>
        </w:rPr>
      </w:pPr>
    </w:p>
    <w:p>
      <w:pPr>
        <w:spacing w:line="360" w:lineRule="auto" w:before="1"/>
        <w:ind w:left="152" w:right="104" w:firstLine="0"/>
        <w:jc w:val="both"/>
        <w:rPr>
          <w:sz w:val="22"/>
        </w:rPr>
      </w:pPr>
      <w:r>
        <w:rPr>
          <w:sz w:val="22"/>
        </w:rPr>
        <w:t>The family rabbit breeding production contributes in an important way to improve the family diet and the local slaughter of meat. The study includes 30 farms distributed in the municipalities: Almoloya de Juárez, Lerma, Metepec, Ocoyoacac, San Mateo Atenco, Toluca and Zinacantepec located in economic regions VII Lerma and XIII Toluca. In which a survey was administered closed to rabbit producers containing the following indicators: production</w:t>
      </w:r>
      <w:r>
        <w:rPr>
          <w:spacing w:val="-11"/>
          <w:sz w:val="22"/>
        </w:rPr>
        <w:t> </w:t>
      </w:r>
      <w:r>
        <w:rPr>
          <w:sz w:val="22"/>
        </w:rPr>
        <w:t>system,</w:t>
      </w:r>
      <w:r>
        <w:rPr>
          <w:spacing w:val="-12"/>
          <w:sz w:val="22"/>
        </w:rPr>
        <w:t> </w:t>
      </w:r>
      <w:r>
        <w:rPr>
          <w:sz w:val="22"/>
        </w:rPr>
        <w:t>reproductive</w:t>
      </w:r>
      <w:r>
        <w:rPr>
          <w:spacing w:val="-11"/>
          <w:sz w:val="22"/>
        </w:rPr>
        <w:t> </w:t>
      </w:r>
      <w:r>
        <w:rPr>
          <w:sz w:val="22"/>
        </w:rPr>
        <w:t>parameters,</w:t>
      </w:r>
      <w:r>
        <w:rPr>
          <w:spacing w:val="-10"/>
          <w:sz w:val="22"/>
        </w:rPr>
        <w:t> </w:t>
      </w:r>
      <w:r>
        <w:rPr>
          <w:sz w:val="22"/>
        </w:rPr>
        <w:t>age,</w:t>
      </w:r>
      <w:r>
        <w:rPr>
          <w:spacing w:val="-12"/>
          <w:sz w:val="22"/>
        </w:rPr>
        <w:t> </w:t>
      </w:r>
      <w:r>
        <w:rPr>
          <w:sz w:val="22"/>
        </w:rPr>
        <w:t>sex,</w:t>
      </w:r>
      <w:r>
        <w:rPr>
          <w:spacing w:val="-10"/>
          <w:sz w:val="22"/>
        </w:rPr>
        <w:t> </w:t>
      </w:r>
      <w:r>
        <w:rPr>
          <w:sz w:val="22"/>
        </w:rPr>
        <w:t>weight</w:t>
      </w:r>
      <w:r>
        <w:rPr>
          <w:spacing w:val="-10"/>
          <w:sz w:val="22"/>
        </w:rPr>
        <w:t> </w:t>
      </w:r>
      <w:r>
        <w:rPr>
          <w:sz w:val="22"/>
        </w:rPr>
        <w:t>at</w:t>
      </w:r>
      <w:r>
        <w:rPr>
          <w:spacing w:val="-13"/>
          <w:sz w:val="22"/>
        </w:rPr>
        <w:t> </w:t>
      </w:r>
      <w:r>
        <w:rPr>
          <w:sz w:val="22"/>
        </w:rPr>
        <w:t>slaughter</w:t>
      </w:r>
      <w:r>
        <w:rPr>
          <w:spacing w:val="-13"/>
          <w:sz w:val="22"/>
        </w:rPr>
        <w:t> </w:t>
      </w:r>
      <w:r>
        <w:rPr>
          <w:sz w:val="22"/>
        </w:rPr>
        <w:t>time</w:t>
      </w:r>
      <w:r>
        <w:rPr>
          <w:spacing w:val="-11"/>
          <w:sz w:val="22"/>
        </w:rPr>
        <w:t> </w:t>
      </w:r>
      <w:r>
        <w:rPr>
          <w:sz w:val="22"/>
        </w:rPr>
        <w:t>and</w:t>
      </w:r>
      <w:r>
        <w:rPr>
          <w:spacing w:val="-13"/>
          <w:sz w:val="22"/>
        </w:rPr>
        <w:t> </w:t>
      </w:r>
      <w:r>
        <w:rPr>
          <w:sz w:val="22"/>
        </w:rPr>
        <w:t>carcass weight. Of the determined carcasses of the commercial slaughterhouses, samples were obtained of the spine between the lumbar vertebrae L1 to L7 to perform chemical analysis of the </w:t>
      </w:r>
      <w:r>
        <w:rPr>
          <w:i/>
          <w:sz w:val="22"/>
        </w:rPr>
        <w:t>Longissimus dorsis </w:t>
      </w:r>
      <w:r>
        <w:rPr>
          <w:sz w:val="22"/>
        </w:rPr>
        <w:t>Muscle. The carcass quality evaluation is conducted under the standard</w:t>
      </w:r>
      <w:r>
        <w:rPr>
          <w:spacing w:val="-10"/>
          <w:sz w:val="22"/>
        </w:rPr>
        <w:t> </w:t>
      </w:r>
      <w:r>
        <w:rPr>
          <w:sz w:val="22"/>
        </w:rPr>
        <w:t>MX-FF-105-SCFI-2005.</w:t>
      </w:r>
      <w:r>
        <w:rPr>
          <w:spacing w:val="-11"/>
          <w:sz w:val="22"/>
        </w:rPr>
        <w:t> </w:t>
      </w:r>
      <w:r>
        <w:rPr>
          <w:sz w:val="22"/>
        </w:rPr>
        <w:t>The</w:t>
      </w:r>
      <w:r>
        <w:rPr>
          <w:spacing w:val="-10"/>
          <w:sz w:val="22"/>
        </w:rPr>
        <w:t> </w:t>
      </w:r>
      <w:r>
        <w:rPr>
          <w:sz w:val="22"/>
        </w:rPr>
        <w:t>results</w:t>
      </w:r>
      <w:r>
        <w:rPr>
          <w:spacing w:val="-9"/>
          <w:sz w:val="22"/>
        </w:rPr>
        <w:t> </w:t>
      </w:r>
      <w:r>
        <w:rPr>
          <w:sz w:val="22"/>
        </w:rPr>
        <w:t>were</w:t>
      </w:r>
      <w:r>
        <w:rPr>
          <w:spacing w:val="-7"/>
          <w:sz w:val="22"/>
        </w:rPr>
        <w:t> </w:t>
      </w:r>
      <w:r>
        <w:rPr>
          <w:sz w:val="22"/>
        </w:rPr>
        <w:t>evaluated</w:t>
      </w:r>
      <w:r>
        <w:rPr>
          <w:spacing w:val="-8"/>
          <w:sz w:val="22"/>
        </w:rPr>
        <w:t> </w:t>
      </w:r>
      <w:r>
        <w:rPr>
          <w:sz w:val="22"/>
        </w:rPr>
        <w:t>with</w:t>
      </w:r>
      <w:r>
        <w:rPr>
          <w:spacing w:val="-7"/>
          <w:sz w:val="22"/>
        </w:rPr>
        <w:t> </w:t>
      </w:r>
      <w:r>
        <w:rPr>
          <w:sz w:val="22"/>
        </w:rPr>
        <w:t>a</w:t>
      </w:r>
      <w:r>
        <w:rPr>
          <w:spacing w:val="-10"/>
          <w:sz w:val="22"/>
        </w:rPr>
        <w:t> </w:t>
      </w:r>
      <w:r>
        <w:rPr>
          <w:sz w:val="22"/>
        </w:rPr>
        <w:t>completely</w:t>
      </w:r>
      <w:r>
        <w:rPr>
          <w:spacing w:val="-9"/>
          <w:sz w:val="22"/>
        </w:rPr>
        <w:t> </w:t>
      </w:r>
      <w:r>
        <w:rPr>
          <w:sz w:val="22"/>
        </w:rPr>
        <w:t>randomized statistical analysis with factorial arrangement (p&lt;0.05). The productive parameters of the rabbit units was evaluated: age at slaughter time, slaughter time and carcass weight. The chemical analysis of the meat obtained from the rabbit units were: dry matter, moisture, protein, fat and ash. No significant difference was observed (p&lt;0.05), among the surveyed units in economic regions and their localities. The results of the carcass classification in</w:t>
      </w:r>
      <w:r>
        <w:rPr>
          <w:spacing w:val="-41"/>
          <w:sz w:val="22"/>
        </w:rPr>
        <w:t> </w:t>
      </w:r>
      <w:r>
        <w:rPr>
          <w:sz w:val="22"/>
        </w:rPr>
        <w:t>the VII</w:t>
      </w:r>
      <w:r>
        <w:rPr>
          <w:spacing w:val="-11"/>
          <w:sz w:val="22"/>
        </w:rPr>
        <w:t> </w:t>
      </w:r>
      <w:r>
        <w:rPr>
          <w:sz w:val="22"/>
        </w:rPr>
        <w:t>Lerma</w:t>
      </w:r>
      <w:r>
        <w:rPr>
          <w:spacing w:val="-13"/>
          <w:sz w:val="22"/>
        </w:rPr>
        <w:t> </w:t>
      </w:r>
      <w:r>
        <w:rPr>
          <w:sz w:val="22"/>
        </w:rPr>
        <w:t>region</w:t>
      </w:r>
      <w:r>
        <w:rPr>
          <w:spacing w:val="-12"/>
          <w:sz w:val="22"/>
        </w:rPr>
        <w:t> </w:t>
      </w:r>
      <w:r>
        <w:rPr>
          <w:sz w:val="22"/>
        </w:rPr>
        <w:t>were:</w:t>
      </w:r>
      <w:r>
        <w:rPr>
          <w:spacing w:val="-11"/>
          <w:sz w:val="22"/>
        </w:rPr>
        <w:t> </w:t>
      </w:r>
      <w:r>
        <w:rPr>
          <w:sz w:val="22"/>
        </w:rPr>
        <w:t>66%</w:t>
      </w:r>
      <w:r>
        <w:rPr>
          <w:spacing w:val="-12"/>
          <w:sz w:val="22"/>
        </w:rPr>
        <w:t> </w:t>
      </w:r>
      <w:r>
        <w:rPr>
          <w:sz w:val="22"/>
        </w:rPr>
        <w:t>Mexico</w:t>
      </w:r>
      <w:r>
        <w:rPr>
          <w:spacing w:val="-12"/>
          <w:sz w:val="22"/>
        </w:rPr>
        <w:t> </w:t>
      </w:r>
      <w:r>
        <w:rPr>
          <w:sz w:val="22"/>
        </w:rPr>
        <w:t>Extra,</w:t>
      </w:r>
      <w:r>
        <w:rPr>
          <w:spacing w:val="-11"/>
          <w:sz w:val="22"/>
        </w:rPr>
        <w:t> </w:t>
      </w:r>
      <w:r>
        <w:rPr>
          <w:sz w:val="22"/>
        </w:rPr>
        <w:t>22%Mexico1,</w:t>
      </w:r>
      <w:r>
        <w:rPr>
          <w:spacing w:val="-11"/>
          <w:sz w:val="22"/>
        </w:rPr>
        <w:t> </w:t>
      </w:r>
      <w:r>
        <w:rPr>
          <w:sz w:val="22"/>
        </w:rPr>
        <w:t>11%Mexico2</w:t>
      </w:r>
      <w:r>
        <w:rPr>
          <w:spacing w:val="-9"/>
          <w:sz w:val="22"/>
        </w:rPr>
        <w:t> </w:t>
      </w:r>
      <w:r>
        <w:rPr>
          <w:sz w:val="22"/>
        </w:rPr>
        <w:t>and</w:t>
      </w:r>
      <w:r>
        <w:rPr>
          <w:spacing w:val="-12"/>
          <w:sz w:val="22"/>
        </w:rPr>
        <w:t> </w:t>
      </w:r>
      <w:r>
        <w:rPr>
          <w:sz w:val="22"/>
        </w:rPr>
        <w:t>in</w:t>
      </w:r>
      <w:r>
        <w:rPr>
          <w:spacing w:val="-12"/>
          <w:sz w:val="22"/>
        </w:rPr>
        <w:t> </w:t>
      </w:r>
      <w:r>
        <w:rPr>
          <w:sz w:val="22"/>
        </w:rPr>
        <w:t>the</w:t>
      </w:r>
      <w:r>
        <w:rPr>
          <w:spacing w:val="-16"/>
          <w:sz w:val="22"/>
        </w:rPr>
        <w:t> </w:t>
      </w:r>
      <w:r>
        <w:rPr>
          <w:sz w:val="22"/>
        </w:rPr>
        <w:t>XIII</w:t>
      </w:r>
      <w:r>
        <w:rPr>
          <w:spacing w:val="-15"/>
          <w:sz w:val="22"/>
        </w:rPr>
        <w:t> </w:t>
      </w:r>
      <w:r>
        <w:rPr>
          <w:sz w:val="22"/>
        </w:rPr>
        <w:t>Toluca region: 33%Mexico Extra, 50%Mexico1 and 16%Mexico2. It is concluded that the productive parameters identified in the rabbit units favors the production of adequate carcass intended for regional slaughter of rabbit meat complying with the established meat quality chemical composition for the rabbit meat and the carcass quality produced in the rabbit production units family type in the Valley of Toluca,</w:t>
      </w:r>
      <w:r>
        <w:rPr>
          <w:spacing w:val="-22"/>
          <w:sz w:val="22"/>
        </w:rPr>
        <w:t> </w:t>
      </w:r>
      <w:r>
        <w:rPr>
          <w:sz w:val="22"/>
        </w:rPr>
        <w:t>Mexico.</w:t>
      </w:r>
    </w:p>
    <w:p>
      <w:pPr>
        <w:pStyle w:val="BodyText"/>
        <w:spacing w:before="7"/>
        <w:rPr>
          <w:sz w:val="17"/>
        </w:rPr>
      </w:pPr>
    </w:p>
    <w:p>
      <w:pPr>
        <w:spacing w:before="0"/>
        <w:ind w:left="152" w:right="0" w:firstLine="0"/>
        <w:jc w:val="both"/>
        <w:rPr>
          <w:sz w:val="22"/>
        </w:rPr>
      </w:pPr>
      <w:r>
        <w:rPr>
          <w:sz w:val="22"/>
        </w:rPr>
        <w:t>Key words: classification of the carcass, meat quality, rabbit</w:t>
      </w:r>
    </w:p>
    <w:p>
      <w:pPr>
        <w:spacing w:after="0"/>
        <w:jc w:val="both"/>
        <w:rPr>
          <w:sz w:val="22"/>
        </w:rPr>
        <w:sectPr>
          <w:pgSz w:w="12240" w:h="15840"/>
          <w:pgMar w:header="0" w:footer="1386" w:top="1500" w:bottom="1580" w:left="1720" w:right="1420"/>
        </w:sectPr>
      </w:pPr>
    </w:p>
    <w:p>
      <w:pPr>
        <w:pStyle w:val="BodyText"/>
        <w:spacing w:before="7"/>
        <w:rPr>
          <w:sz w:val="20"/>
        </w:rPr>
      </w:pPr>
    </w:p>
    <w:p>
      <w:pPr>
        <w:spacing w:before="73"/>
        <w:ind w:left="152" w:right="0" w:firstLine="0"/>
        <w:jc w:val="both"/>
        <w:rPr>
          <w:b/>
          <w:sz w:val="22"/>
        </w:rPr>
      </w:pPr>
      <w:r>
        <w:rPr>
          <w:b/>
          <w:sz w:val="22"/>
        </w:rPr>
        <w:t>INTRODUCCIÓN.</w:t>
      </w:r>
    </w:p>
    <w:p>
      <w:pPr>
        <w:pStyle w:val="BodyText"/>
        <w:spacing w:before="5"/>
        <w:rPr>
          <w:b/>
          <w:sz w:val="28"/>
        </w:rPr>
      </w:pPr>
    </w:p>
    <w:p>
      <w:pPr>
        <w:spacing w:line="357" w:lineRule="auto" w:before="1"/>
        <w:ind w:left="152" w:right="103" w:firstLine="0"/>
        <w:jc w:val="both"/>
        <w:rPr>
          <w:sz w:val="22"/>
        </w:rPr>
      </w:pPr>
      <w:r>
        <w:rPr>
          <w:sz w:val="22"/>
        </w:rPr>
        <w:t>La cunicultura en México, incorpora a los pequeños y medianos productores del sistema- producto, de carne de conejo destinada al autoconsumo y el abasto regional en el medio rural</w:t>
      </w:r>
      <w:r>
        <w:rPr>
          <w:spacing w:val="-12"/>
          <w:sz w:val="22"/>
        </w:rPr>
        <w:t> </w:t>
      </w:r>
      <w:r>
        <w:rPr>
          <w:sz w:val="22"/>
        </w:rPr>
        <w:t>y</w:t>
      </w:r>
      <w:r>
        <w:rPr>
          <w:spacing w:val="-13"/>
          <w:sz w:val="22"/>
        </w:rPr>
        <w:t> </w:t>
      </w:r>
      <w:r>
        <w:rPr>
          <w:sz w:val="22"/>
        </w:rPr>
        <w:t>suburbano</w:t>
      </w:r>
      <w:r>
        <w:rPr>
          <w:spacing w:val="-11"/>
          <w:sz w:val="22"/>
        </w:rPr>
        <w:t> </w:t>
      </w:r>
      <w:r>
        <w:rPr>
          <w:position w:val="8"/>
          <w:sz w:val="14"/>
        </w:rPr>
        <w:t>(1)</w:t>
      </w:r>
      <w:r>
        <w:rPr>
          <w:sz w:val="22"/>
        </w:rPr>
        <w:t>.</w:t>
      </w:r>
      <w:r>
        <w:rPr>
          <w:spacing w:val="-10"/>
          <w:sz w:val="22"/>
        </w:rPr>
        <w:t> </w:t>
      </w:r>
      <w:r>
        <w:rPr>
          <w:sz w:val="22"/>
        </w:rPr>
        <w:t>La</w:t>
      </w:r>
      <w:r>
        <w:rPr>
          <w:spacing w:val="-14"/>
          <w:sz w:val="22"/>
        </w:rPr>
        <w:t> </w:t>
      </w:r>
      <w:r>
        <w:rPr>
          <w:sz w:val="22"/>
        </w:rPr>
        <w:t>prolificidad</w:t>
      </w:r>
      <w:r>
        <w:rPr>
          <w:spacing w:val="-11"/>
          <w:sz w:val="22"/>
        </w:rPr>
        <w:t> </w:t>
      </w:r>
      <w:r>
        <w:rPr>
          <w:sz w:val="22"/>
        </w:rPr>
        <w:t>y</w:t>
      </w:r>
      <w:r>
        <w:rPr>
          <w:spacing w:val="-13"/>
          <w:sz w:val="22"/>
        </w:rPr>
        <w:t> </w:t>
      </w:r>
      <w:r>
        <w:rPr>
          <w:sz w:val="22"/>
        </w:rPr>
        <w:t>los</w:t>
      </w:r>
      <w:r>
        <w:rPr>
          <w:spacing w:val="-14"/>
          <w:sz w:val="22"/>
        </w:rPr>
        <w:t> </w:t>
      </w:r>
      <w:r>
        <w:rPr>
          <w:sz w:val="22"/>
        </w:rPr>
        <w:t>ciclos</w:t>
      </w:r>
      <w:r>
        <w:rPr>
          <w:spacing w:val="-11"/>
          <w:sz w:val="22"/>
        </w:rPr>
        <w:t> </w:t>
      </w:r>
      <w:r>
        <w:rPr>
          <w:sz w:val="22"/>
        </w:rPr>
        <w:t>de</w:t>
      </w:r>
      <w:r>
        <w:rPr>
          <w:spacing w:val="-16"/>
          <w:sz w:val="22"/>
        </w:rPr>
        <w:t> </w:t>
      </w:r>
      <w:r>
        <w:rPr>
          <w:sz w:val="22"/>
        </w:rPr>
        <w:t>producción</w:t>
      </w:r>
      <w:r>
        <w:rPr>
          <w:spacing w:val="-11"/>
          <w:sz w:val="22"/>
        </w:rPr>
        <w:t> </w:t>
      </w:r>
      <w:r>
        <w:rPr>
          <w:sz w:val="22"/>
        </w:rPr>
        <w:t>cortos</w:t>
      </w:r>
      <w:r>
        <w:rPr>
          <w:spacing w:val="-11"/>
          <w:sz w:val="22"/>
        </w:rPr>
        <w:t> </w:t>
      </w:r>
      <w:r>
        <w:rPr>
          <w:sz w:val="22"/>
        </w:rPr>
        <w:t>del</w:t>
      </w:r>
      <w:r>
        <w:rPr>
          <w:spacing w:val="-14"/>
          <w:sz w:val="22"/>
        </w:rPr>
        <w:t> </w:t>
      </w:r>
      <w:r>
        <w:rPr>
          <w:sz w:val="22"/>
        </w:rPr>
        <w:t>conejo,</w:t>
      </w:r>
      <w:r>
        <w:rPr>
          <w:spacing w:val="-13"/>
          <w:sz w:val="22"/>
        </w:rPr>
        <w:t> </w:t>
      </w:r>
      <w:r>
        <w:rPr>
          <w:sz w:val="22"/>
        </w:rPr>
        <w:t>contribuyen a la rentabilidad y productividad de la pequeña empresa cunícula </w:t>
      </w:r>
      <w:r>
        <w:rPr>
          <w:position w:val="8"/>
          <w:sz w:val="14"/>
        </w:rPr>
        <w:t>(2)</w:t>
      </w:r>
      <w:r>
        <w:rPr>
          <w:sz w:val="22"/>
        </w:rPr>
        <w:t>. La cunicultura familiar es una alternativa para el suministro de carne, para combatir la desnutrición en las</w:t>
      </w:r>
      <w:r>
        <w:rPr>
          <w:spacing w:val="-40"/>
          <w:sz w:val="22"/>
        </w:rPr>
        <w:t> </w:t>
      </w:r>
      <w:r>
        <w:rPr>
          <w:sz w:val="22"/>
        </w:rPr>
        <w:t>familias con vulnerabilidad social y alimentaria </w:t>
      </w:r>
      <w:r>
        <w:rPr>
          <w:position w:val="8"/>
          <w:sz w:val="14"/>
        </w:rPr>
        <w:t>(3)</w:t>
      </w:r>
      <w:r>
        <w:rPr>
          <w:sz w:val="22"/>
        </w:rPr>
        <w:t>. La producción cunícola de traspatio contribuye al bienestar, al brindar empleo familiar, el disponer de carne para autoconsumo y venta mejorando el ingreso de la familiar </w:t>
      </w:r>
      <w:r>
        <w:rPr>
          <w:position w:val="8"/>
          <w:sz w:val="14"/>
        </w:rPr>
        <w:t>(4)</w:t>
      </w:r>
      <w:r>
        <w:rPr>
          <w:sz w:val="22"/>
        </w:rPr>
        <w:t>. El sistema de producción predominante en la cunicultura nacional es de tipo familiar en comparación con los sistemas semitecnificado y tecnificado que representan el 5 y 15 % del inventario nacional </w:t>
      </w:r>
      <w:r>
        <w:rPr>
          <w:position w:val="8"/>
          <w:sz w:val="14"/>
        </w:rPr>
        <w:t>(5)</w:t>
      </w:r>
      <w:r>
        <w:rPr>
          <w:sz w:val="22"/>
        </w:rPr>
        <w:t>. En el año de 2014 la población cunícola del país fue de 362 mil 753 vientres productivos y un volumen de producción de 1087 ts de carne de conejo </w:t>
      </w:r>
      <w:r>
        <w:rPr>
          <w:position w:val="8"/>
          <w:sz w:val="14"/>
        </w:rPr>
        <w:t>(6)</w:t>
      </w:r>
      <w:r>
        <w:rPr>
          <w:sz w:val="22"/>
        </w:rPr>
        <w:t>, ocupando el décimo cuarto lugar en producción</w:t>
      </w:r>
      <w:r>
        <w:rPr>
          <w:spacing w:val="-7"/>
          <w:sz w:val="22"/>
        </w:rPr>
        <w:t> </w:t>
      </w:r>
      <w:r>
        <w:rPr>
          <w:sz w:val="22"/>
        </w:rPr>
        <w:t>a</w:t>
      </w:r>
      <w:r>
        <w:rPr>
          <w:spacing w:val="-6"/>
          <w:sz w:val="22"/>
        </w:rPr>
        <w:t> </w:t>
      </w:r>
      <w:r>
        <w:rPr>
          <w:sz w:val="22"/>
        </w:rPr>
        <w:t>nivel</w:t>
      </w:r>
      <w:r>
        <w:rPr>
          <w:spacing w:val="-5"/>
          <w:sz w:val="22"/>
        </w:rPr>
        <w:t> </w:t>
      </w:r>
      <w:r>
        <w:rPr>
          <w:sz w:val="22"/>
        </w:rPr>
        <w:t>mundial</w:t>
      </w:r>
      <w:r>
        <w:rPr>
          <w:spacing w:val="-5"/>
          <w:sz w:val="22"/>
        </w:rPr>
        <w:t> </w:t>
      </w:r>
      <w:r>
        <w:rPr>
          <w:position w:val="8"/>
          <w:sz w:val="14"/>
        </w:rPr>
        <w:t>(7)</w:t>
      </w:r>
      <w:r>
        <w:rPr>
          <w:sz w:val="22"/>
        </w:rPr>
        <w:t>.</w:t>
      </w:r>
      <w:r>
        <w:rPr>
          <w:spacing w:val="-3"/>
          <w:sz w:val="22"/>
        </w:rPr>
        <w:t> </w:t>
      </w:r>
      <w:r>
        <w:rPr>
          <w:sz w:val="22"/>
        </w:rPr>
        <w:t>La</w:t>
      </w:r>
      <w:r>
        <w:rPr>
          <w:spacing w:val="-7"/>
          <w:sz w:val="22"/>
        </w:rPr>
        <w:t> </w:t>
      </w:r>
      <w:r>
        <w:rPr>
          <w:sz w:val="22"/>
        </w:rPr>
        <w:t>producción</w:t>
      </w:r>
      <w:r>
        <w:rPr>
          <w:spacing w:val="-7"/>
          <w:sz w:val="22"/>
        </w:rPr>
        <w:t> </w:t>
      </w:r>
      <w:r>
        <w:rPr>
          <w:sz w:val="22"/>
        </w:rPr>
        <w:t>cunícula</w:t>
      </w:r>
      <w:r>
        <w:rPr>
          <w:spacing w:val="-4"/>
          <w:sz w:val="22"/>
        </w:rPr>
        <w:t> </w:t>
      </w:r>
      <w:r>
        <w:rPr>
          <w:sz w:val="22"/>
        </w:rPr>
        <w:t>se</w:t>
      </w:r>
      <w:r>
        <w:rPr>
          <w:spacing w:val="-6"/>
          <w:sz w:val="22"/>
        </w:rPr>
        <w:t> </w:t>
      </w:r>
      <w:r>
        <w:rPr>
          <w:sz w:val="22"/>
        </w:rPr>
        <w:t>concentra</w:t>
      </w:r>
      <w:r>
        <w:rPr>
          <w:spacing w:val="-6"/>
          <w:sz w:val="22"/>
        </w:rPr>
        <w:t> </w:t>
      </w:r>
      <w:r>
        <w:rPr>
          <w:sz w:val="22"/>
        </w:rPr>
        <w:t>en</w:t>
      </w:r>
      <w:r>
        <w:rPr>
          <w:spacing w:val="-7"/>
          <w:sz w:val="22"/>
        </w:rPr>
        <w:t> </w:t>
      </w:r>
      <w:r>
        <w:rPr>
          <w:sz w:val="22"/>
        </w:rPr>
        <w:t>el</w:t>
      </w:r>
      <w:r>
        <w:rPr>
          <w:spacing w:val="-7"/>
          <w:sz w:val="22"/>
        </w:rPr>
        <w:t> </w:t>
      </w:r>
      <w:r>
        <w:rPr>
          <w:sz w:val="22"/>
        </w:rPr>
        <w:t>centro</w:t>
      </w:r>
      <w:r>
        <w:rPr>
          <w:spacing w:val="-6"/>
          <w:sz w:val="22"/>
        </w:rPr>
        <w:t> </w:t>
      </w:r>
      <w:r>
        <w:rPr>
          <w:sz w:val="22"/>
        </w:rPr>
        <w:t>del</w:t>
      </w:r>
      <w:r>
        <w:rPr>
          <w:spacing w:val="-7"/>
          <w:sz w:val="22"/>
        </w:rPr>
        <w:t> </w:t>
      </w:r>
      <w:r>
        <w:rPr>
          <w:sz w:val="22"/>
        </w:rPr>
        <w:t>país</w:t>
      </w:r>
      <w:r>
        <w:rPr>
          <w:spacing w:val="-4"/>
          <w:sz w:val="22"/>
        </w:rPr>
        <w:t> </w:t>
      </w:r>
      <w:r>
        <w:rPr>
          <w:sz w:val="22"/>
        </w:rPr>
        <w:t>en los estados de: México, Puebla, Tlaxcala, Morelos, Distrito Federal, Michoacán, Guanajuato, Querétaro, Hidalgo y Jalisco </w:t>
      </w:r>
      <w:r>
        <w:rPr>
          <w:position w:val="8"/>
          <w:sz w:val="14"/>
        </w:rPr>
        <w:t>(8)</w:t>
      </w:r>
      <w:r>
        <w:rPr>
          <w:sz w:val="22"/>
        </w:rPr>
        <w:t>. El Estado de México es considerado el principal</w:t>
      </w:r>
      <w:r>
        <w:rPr>
          <w:spacing w:val="-13"/>
          <w:sz w:val="22"/>
        </w:rPr>
        <w:t> </w:t>
      </w:r>
      <w:r>
        <w:rPr>
          <w:sz w:val="22"/>
        </w:rPr>
        <w:t>productor</w:t>
      </w:r>
      <w:r>
        <w:rPr>
          <w:spacing w:val="-12"/>
          <w:sz w:val="22"/>
        </w:rPr>
        <w:t> </w:t>
      </w:r>
      <w:r>
        <w:rPr>
          <w:sz w:val="22"/>
        </w:rPr>
        <w:t>de</w:t>
      </w:r>
      <w:r>
        <w:rPr>
          <w:spacing w:val="-15"/>
          <w:sz w:val="22"/>
        </w:rPr>
        <w:t> </w:t>
      </w:r>
      <w:r>
        <w:rPr>
          <w:sz w:val="22"/>
        </w:rPr>
        <w:t>conejos</w:t>
      </w:r>
      <w:r>
        <w:rPr>
          <w:spacing w:val="-12"/>
          <w:sz w:val="22"/>
        </w:rPr>
        <w:t> </w:t>
      </w:r>
      <w:r>
        <w:rPr>
          <w:sz w:val="22"/>
        </w:rPr>
        <w:t>del</w:t>
      </w:r>
      <w:r>
        <w:rPr>
          <w:spacing w:val="-13"/>
          <w:sz w:val="22"/>
        </w:rPr>
        <w:t> </w:t>
      </w:r>
      <w:r>
        <w:rPr>
          <w:sz w:val="22"/>
        </w:rPr>
        <w:t>país</w:t>
      </w:r>
      <w:r>
        <w:rPr>
          <w:spacing w:val="-12"/>
          <w:sz w:val="22"/>
        </w:rPr>
        <w:t> </w:t>
      </w:r>
      <w:r>
        <w:rPr>
          <w:sz w:val="22"/>
        </w:rPr>
        <w:t>con</w:t>
      </w:r>
      <w:r>
        <w:rPr>
          <w:spacing w:val="-13"/>
          <w:sz w:val="22"/>
        </w:rPr>
        <w:t> </w:t>
      </w:r>
      <w:r>
        <w:rPr>
          <w:sz w:val="22"/>
        </w:rPr>
        <w:t>64</w:t>
      </w:r>
      <w:r>
        <w:rPr>
          <w:spacing w:val="-15"/>
          <w:sz w:val="22"/>
        </w:rPr>
        <w:t> </w:t>
      </w:r>
      <w:r>
        <w:rPr>
          <w:sz w:val="22"/>
        </w:rPr>
        <w:t>mil</w:t>
      </w:r>
      <w:r>
        <w:rPr>
          <w:spacing w:val="-16"/>
          <w:sz w:val="22"/>
        </w:rPr>
        <w:t> </w:t>
      </w:r>
      <w:r>
        <w:rPr>
          <w:sz w:val="22"/>
        </w:rPr>
        <w:t>vientres</w:t>
      </w:r>
      <w:r>
        <w:rPr>
          <w:spacing w:val="38"/>
          <w:sz w:val="22"/>
        </w:rPr>
        <w:t> </w:t>
      </w:r>
      <w:r>
        <w:rPr>
          <w:sz w:val="22"/>
        </w:rPr>
        <w:t>y</w:t>
      </w:r>
      <w:r>
        <w:rPr>
          <w:spacing w:val="-15"/>
          <w:sz w:val="22"/>
        </w:rPr>
        <w:t> </w:t>
      </w:r>
      <w:r>
        <w:rPr>
          <w:sz w:val="22"/>
        </w:rPr>
        <w:t>una</w:t>
      </w:r>
      <w:r>
        <w:rPr>
          <w:spacing w:val="-12"/>
          <w:sz w:val="22"/>
        </w:rPr>
        <w:t> </w:t>
      </w:r>
      <w:r>
        <w:rPr>
          <w:sz w:val="22"/>
        </w:rPr>
        <w:t>producción</w:t>
      </w:r>
      <w:r>
        <w:rPr>
          <w:spacing w:val="-13"/>
          <w:sz w:val="22"/>
        </w:rPr>
        <w:t> </w:t>
      </w:r>
      <w:r>
        <w:rPr>
          <w:sz w:val="22"/>
        </w:rPr>
        <w:t>anual</w:t>
      </w:r>
      <w:r>
        <w:rPr>
          <w:spacing w:val="-13"/>
          <w:sz w:val="22"/>
        </w:rPr>
        <w:t> </w:t>
      </w:r>
      <w:r>
        <w:rPr>
          <w:sz w:val="22"/>
        </w:rPr>
        <w:t>estimada de 54 mil 600 toneladas destinadas al abasto nacional </w:t>
      </w:r>
      <w:r>
        <w:rPr>
          <w:position w:val="8"/>
          <w:sz w:val="14"/>
        </w:rPr>
        <w:t>(8)</w:t>
      </w:r>
      <w:r>
        <w:rPr>
          <w:sz w:val="22"/>
        </w:rPr>
        <w:t>. El consumo </w:t>
      </w:r>
      <w:r>
        <w:rPr>
          <w:i/>
          <w:sz w:val="22"/>
        </w:rPr>
        <w:t>per capita </w:t>
      </w:r>
      <w:r>
        <w:rPr>
          <w:sz w:val="22"/>
        </w:rPr>
        <w:t>de carne de conejo a nivel mundial se estima en 300g, en  México el consumo estimado es de 100  a</w:t>
      </w:r>
      <w:r>
        <w:rPr>
          <w:spacing w:val="-3"/>
          <w:sz w:val="22"/>
        </w:rPr>
        <w:t> </w:t>
      </w:r>
      <w:r>
        <w:rPr>
          <w:sz w:val="22"/>
        </w:rPr>
        <w:t>120g</w:t>
      </w:r>
      <w:r>
        <w:rPr>
          <w:spacing w:val="-3"/>
          <w:sz w:val="22"/>
        </w:rPr>
        <w:t> </w:t>
      </w:r>
      <w:r>
        <w:rPr>
          <w:position w:val="8"/>
          <w:sz w:val="14"/>
        </w:rPr>
        <w:t>(9)</w:t>
      </w:r>
      <w:r>
        <w:rPr>
          <w:sz w:val="22"/>
        </w:rPr>
        <w:t>.</w:t>
      </w:r>
      <w:r>
        <w:rPr>
          <w:spacing w:val="-2"/>
          <w:sz w:val="22"/>
        </w:rPr>
        <w:t> </w:t>
      </w:r>
      <w:r>
        <w:rPr>
          <w:sz w:val="22"/>
        </w:rPr>
        <w:t>Sin</w:t>
      </w:r>
      <w:r>
        <w:rPr>
          <w:spacing w:val="-3"/>
          <w:sz w:val="22"/>
        </w:rPr>
        <w:t> </w:t>
      </w:r>
      <w:r>
        <w:rPr>
          <w:sz w:val="22"/>
        </w:rPr>
        <w:t>embargo</w:t>
      </w:r>
      <w:r>
        <w:rPr>
          <w:spacing w:val="-5"/>
          <w:sz w:val="22"/>
        </w:rPr>
        <w:t> </w:t>
      </w:r>
      <w:r>
        <w:rPr>
          <w:sz w:val="22"/>
        </w:rPr>
        <w:t>se</w:t>
      </w:r>
      <w:r>
        <w:rPr>
          <w:spacing w:val="-3"/>
          <w:sz w:val="22"/>
        </w:rPr>
        <w:t> </w:t>
      </w:r>
      <w:r>
        <w:rPr>
          <w:sz w:val="22"/>
        </w:rPr>
        <w:t>observa</w:t>
      </w:r>
      <w:r>
        <w:rPr>
          <w:spacing w:val="-3"/>
          <w:sz w:val="22"/>
        </w:rPr>
        <w:t> </w:t>
      </w:r>
      <w:r>
        <w:rPr>
          <w:sz w:val="22"/>
        </w:rPr>
        <w:t>una</w:t>
      </w:r>
      <w:r>
        <w:rPr>
          <w:spacing w:val="-3"/>
          <w:sz w:val="22"/>
        </w:rPr>
        <w:t> </w:t>
      </w:r>
      <w:r>
        <w:rPr>
          <w:sz w:val="22"/>
        </w:rPr>
        <w:t>tendencia</w:t>
      </w:r>
      <w:r>
        <w:rPr>
          <w:spacing w:val="-3"/>
          <w:sz w:val="22"/>
        </w:rPr>
        <w:t> </w:t>
      </w:r>
      <w:r>
        <w:rPr>
          <w:sz w:val="22"/>
        </w:rPr>
        <w:t>global</w:t>
      </w:r>
      <w:r>
        <w:rPr>
          <w:spacing w:val="-4"/>
          <w:sz w:val="22"/>
        </w:rPr>
        <w:t> </w:t>
      </w:r>
      <w:r>
        <w:rPr>
          <w:sz w:val="22"/>
        </w:rPr>
        <w:t>de</w:t>
      </w:r>
      <w:r>
        <w:rPr>
          <w:spacing w:val="-3"/>
          <w:sz w:val="22"/>
        </w:rPr>
        <w:t> </w:t>
      </w:r>
      <w:r>
        <w:rPr>
          <w:sz w:val="22"/>
        </w:rPr>
        <w:t>una</w:t>
      </w:r>
      <w:r>
        <w:rPr>
          <w:spacing w:val="-5"/>
          <w:sz w:val="22"/>
        </w:rPr>
        <w:t> </w:t>
      </w:r>
      <w:r>
        <w:rPr>
          <w:sz w:val="22"/>
        </w:rPr>
        <w:t>mayor</w:t>
      </w:r>
      <w:r>
        <w:rPr>
          <w:spacing w:val="-2"/>
          <w:sz w:val="22"/>
        </w:rPr>
        <w:t> </w:t>
      </w:r>
      <w:r>
        <w:rPr>
          <w:sz w:val="22"/>
        </w:rPr>
        <w:t>de</w:t>
      </w:r>
      <w:r>
        <w:rPr>
          <w:spacing w:val="-6"/>
          <w:sz w:val="22"/>
        </w:rPr>
        <w:t> </w:t>
      </w:r>
      <w:r>
        <w:rPr>
          <w:sz w:val="22"/>
        </w:rPr>
        <w:t>manda</w:t>
      </w:r>
      <w:r>
        <w:rPr>
          <w:spacing w:val="-3"/>
          <w:sz w:val="22"/>
        </w:rPr>
        <w:t> </w:t>
      </w:r>
      <w:r>
        <w:rPr>
          <w:sz w:val="22"/>
        </w:rPr>
        <w:t>de</w:t>
      </w:r>
      <w:r>
        <w:rPr>
          <w:spacing w:val="-3"/>
          <w:sz w:val="22"/>
        </w:rPr>
        <w:t> </w:t>
      </w:r>
      <w:r>
        <w:rPr>
          <w:sz w:val="22"/>
        </w:rPr>
        <w:t>carne de conejo por su propiedades nutricionales y dietéticas que influyen en los hábitos alimentarios de los consumidores que opta por estilos de vida saludable </w:t>
      </w:r>
      <w:r>
        <w:rPr>
          <w:position w:val="8"/>
          <w:sz w:val="14"/>
        </w:rPr>
        <w:t>(10,01)</w:t>
      </w:r>
      <w:r>
        <w:rPr>
          <w:sz w:val="22"/>
        </w:rPr>
        <w:t>. En la comercialización de la carne los atributos relacionados con la conformación y composición de la canal determinan la apariencia, textura, aroma y sabor de la carne </w:t>
      </w:r>
      <w:r>
        <w:rPr>
          <w:position w:val="8"/>
          <w:sz w:val="14"/>
        </w:rPr>
        <w:t>(11)</w:t>
      </w:r>
      <w:r>
        <w:rPr>
          <w:sz w:val="22"/>
        </w:rPr>
        <w:t>. En la relación entre la dieta y la salud, son primordiales las buenas prácticas de producción para reducir los riesgos de contaminación de la carne </w:t>
      </w:r>
      <w:r>
        <w:rPr>
          <w:position w:val="8"/>
          <w:sz w:val="14"/>
        </w:rPr>
        <w:t>(12)</w:t>
      </w:r>
      <w:r>
        <w:rPr>
          <w:sz w:val="22"/>
        </w:rPr>
        <w:t>. La calidad de la carne definida por la</w:t>
      </w:r>
      <w:r>
        <w:rPr>
          <w:spacing w:val="-35"/>
          <w:sz w:val="22"/>
        </w:rPr>
        <w:t> </w:t>
      </w:r>
      <w:r>
        <w:rPr>
          <w:sz w:val="22"/>
        </w:rPr>
        <w:t>relación del coeficiente magro-graso y su aspecto. A su vez el olor, firmeza, jugosidad, ternura y su sabor se asocian con la palatabilidad. En contraste la percepción del consumidor con la calidad nutritiva de la carne es objetiva y como producto comestible su percepción es subjetiva </w:t>
      </w:r>
      <w:r>
        <w:rPr>
          <w:position w:val="8"/>
          <w:sz w:val="14"/>
        </w:rPr>
        <w:t>(13)</w:t>
      </w:r>
      <w:r>
        <w:rPr>
          <w:sz w:val="22"/>
        </w:rPr>
        <w:t>. En México la clasificación de las canales de conejo considera como criterios de calidad: la edad, el peso al sacrificio y el color de la masa muscular </w:t>
      </w:r>
      <w:r>
        <w:rPr>
          <w:position w:val="8"/>
          <w:sz w:val="14"/>
        </w:rPr>
        <w:t>(14)</w:t>
      </w:r>
      <w:r>
        <w:rPr>
          <w:sz w:val="22"/>
        </w:rPr>
        <w:t>. El objetivo  </w:t>
      </w:r>
      <w:r>
        <w:rPr>
          <w:spacing w:val="33"/>
          <w:sz w:val="22"/>
        </w:rPr>
        <w:t> </w:t>
      </w:r>
      <w:r>
        <w:rPr>
          <w:sz w:val="22"/>
        </w:rPr>
        <w:t>del</w:t>
      </w:r>
    </w:p>
    <w:p>
      <w:pPr>
        <w:spacing w:after="0" w:line="357" w:lineRule="auto"/>
        <w:jc w:val="both"/>
        <w:rPr>
          <w:sz w:val="22"/>
        </w:rPr>
        <w:sectPr>
          <w:pgSz w:w="12240" w:h="15840"/>
          <w:pgMar w:header="0" w:footer="1386" w:top="1500" w:bottom="1580" w:left="1720" w:right="1420"/>
        </w:sectPr>
      </w:pPr>
    </w:p>
    <w:p>
      <w:pPr>
        <w:pStyle w:val="BodyText"/>
        <w:spacing w:before="9"/>
        <w:rPr>
          <w:sz w:val="20"/>
        </w:rPr>
      </w:pPr>
    </w:p>
    <w:p>
      <w:pPr>
        <w:spacing w:line="360" w:lineRule="auto" w:before="73"/>
        <w:ind w:left="152" w:right="106" w:firstLine="0"/>
        <w:jc w:val="both"/>
        <w:rPr>
          <w:sz w:val="22"/>
        </w:rPr>
      </w:pPr>
      <w:r>
        <w:rPr>
          <w:sz w:val="22"/>
        </w:rPr>
        <w:t>trabajo fue estimar los parámetros productivos de los conejos destinados al abasto, para determinar la composición química de la carne y la calidad de la canal en unidades de producción cunícula de tipo familiar en el Valle de Toluca, México.</w:t>
      </w:r>
    </w:p>
    <w:p>
      <w:pPr>
        <w:spacing w:before="1"/>
        <w:ind w:left="152" w:right="0" w:firstLine="0"/>
        <w:jc w:val="both"/>
        <w:rPr>
          <w:b/>
          <w:sz w:val="22"/>
        </w:rPr>
      </w:pPr>
      <w:r>
        <w:rPr>
          <w:b/>
          <w:sz w:val="22"/>
        </w:rPr>
        <w:t>METODOLOGIA</w:t>
      </w:r>
    </w:p>
    <w:p>
      <w:pPr>
        <w:spacing w:line="360" w:lineRule="auto" w:before="128"/>
        <w:ind w:left="152" w:right="105" w:firstLine="0"/>
        <w:jc w:val="both"/>
        <w:rPr>
          <w:sz w:val="22"/>
        </w:rPr>
      </w:pPr>
      <w:r>
        <w:rPr>
          <w:sz w:val="22"/>
        </w:rPr>
        <w:t>Se realizó un estudio de tipo observacional, mediante un muestreo no probabilístico en unidades de producción familiar mediante la participación voluntaria de productores mediante la aceptación verbal de propietarios de las Unidades de Producción cunícula familiar (UPCF), se aplicó una encuesta cerrada conteniendo información sobre: tipo de granja, manejo productivo, edad y peso al sacrificio, peso de la canal, animales de abasto, características</w:t>
      </w:r>
      <w:r>
        <w:rPr>
          <w:spacing w:val="-4"/>
          <w:sz w:val="22"/>
        </w:rPr>
        <w:t> </w:t>
      </w:r>
      <w:r>
        <w:rPr>
          <w:sz w:val="22"/>
        </w:rPr>
        <w:t>de</w:t>
      </w:r>
      <w:r>
        <w:rPr>
          <w:spacing w:val="-4"/>
          <w:sz w:val="22"/>
        </w:rPr>
        <w:t> </w:t>
      </w:r>
      <w:r>
        <w:rPr>
          <w:sz w:val="22"/>
        </w:rPr>
        <w:t>comercialización</w:t>
      </w:r>
      <w:r>
        <w:rPr>
          <w:spacing w:val="-4"/>
          <w:sz w:val="22"/>
        </w:rPr>
        <w:t> </w:t>
      </w:r>
      <w:r>
        <w:rPr>
          <w:sz w:val="22"/>
        </w:rPr>
        <w:t>de</w:t>
      </w:r>
      <w:r>
        <w:rPr>
          <w:spacing w:val="-4"/>
          <w:sz w:val="22"/>
        </w:rPr>
        <w:t> </w:t>
      </w:r>
      <w:r>
        <w:rPr>
          <w:sz w:val="22"/>
        </w:rPr>
        <w:t>la</w:t>
      </w:r>
      <w:r>
        <w:rPr>
          <w:spacing w:val="-4"/>
          <w:sz w:val="22"/>
        </w:rPr>
        <w:t> </w:t>
      </w:r>
      <w:r>
        <w:rPr>
          <w:sz w:val="22"/>
        </w:rPr>
        <w:t>canal</w:t>
      </w:r>
      <w:r>
        <w:rPr>
          <w:spacing w:val="-5"/>
          <w:sz w:val="22"/>
        </w:rPr>
        <w:t> </w:t>
      </w:r>
      <w:r>
        <w:rPr>
          <w:sz w:val="22"/>
        </w:rPr>
        <w:t>y</w:t>
      </w:r>
      <w:r>
        <w:rPr>
          <w:spacing w:val="-6"/>
          <w:sz w:val="22"/>
        </w:rPr>
        <w:t> </w:t>
      </w:r>
      <w:r>
        <w:rPr>
          <w:sz w:val="22"/>
        </w:rPr>
        <w:t>el</w:t>
      </w:r>
      <w:r>
        <w:rPr>
          <w:spacing w:val="-5"/>
          <w:sz w:val="22"/>
        </w:rPr>
        <w:t> </w:t>
      </w:r>
      <w:r>
        <w:rPr>
          <w:sz w:val="22"/>
        </w:rPr>
        <w:t>registro</w:t>
      </w:r>
      <w:r>
        <w:rPr>
          <w:spacing w:val="-6"/>
          <w:sz w:val="22"/>
        </w:rPr>
        <w:t> </w:t>
      </w:r>
      <w:r>
        <w:rPr>
          <w:sz w:val="22"/>
        </w:rPr>
        <w:t>de</w:t>
      </w:r>
      <w:r>
        <w:rPr>
          <w:spacing w:val="-4"/>
          <w:sz w:val="22"/>
        </w:rPr>
        <w:t> </w:t>
      </w:r>
      <w:r>
        <w:rPr>
          <w:sz w:val="22"/>
        </w:rPr>
        <w:t>la</w:t>
      </w:r>
      <w:r>
        <w:rPr>
          <w:spacing w:val="-4"/>
          <w:sz w:val="22"/>
        </w:rPr>
        <w:t> </w:t>
      </w:r>
      <w:r>
        <w:rPr>
          <w:sz w:val="22"/>
        </w:rPr>
        <w:t>obtención</w:t>
      </w:r>
      <w:r>
        <w:rPr>
          <w:spacing w:val="-4"/>
          <w:sz w:val="22"/>
        </w:rPr>
        <w:t> </w:t>
      </w:r>
      <w:r>
        <w:rPr>
          <w:sz w:val="22"/>
        </w:rPr>
        <w:t>de</w:t>
      </w:r>
      <w:r>
        <w:rPr>
          <w:spacing w:val="-4"/>
          <w:sz w:val="22"/>
        </w:rPr>
        <w:t> </w:t>
      </w:r>
      <w:r>
        <w:rPr>
          <w:sz w:val="22"/>
        </w:rPr>
        <w:t>muestras</w:t>
      </w:r>
      <w:r>
        <w:rPr>
          <w:spacing w:val="-4"/>
          <w:sz w:val="22"/>
        </w:rPr>
        <w:t> </w:t>
      </w:r>
      <w:r>
        <w:rPr>
          <w:sz w:val="22"/>
        </w:rPr>
        <w:t>de carne de la canal al sacrificio en la UPCF destinadas a la comercialización para evaluar la calidad</w:t>
      </w:r>
      <w:r>
        <w:rPr>
          <w:spacing w:val="-13"/>
          <w:sz w:val="22"/>
        </w:rPr>
        <w:t> </w:t>
      </w:r>
      <w:r>
        <w:rPr>
          <w:sz w:val="22"/>
        </w:rPr>
        <w:t>de</w:t>
      </w:r>
      <w:r>
        <w:rPr>
          <w:spacing w:val="-14"/>
          <w:sz w:val="22"/>
        </w:rPr>
        <w:t> </w:t>
      </w:r>
      <w:r>
        <w:rPr>
          <w:sz w:val="22"/>
        </w:rPr>
        <w:t>la</w:t>
      </w:r>
      <w:r>
        <w:rPr>
          <w:spacing w:val="-13"/>
          <w:sz w:val="22"/>
        </w:rPr>
        <w:t> </w:t>
      </w:r>
      <w:r>
        <w:rPr>
          <w:sz w:val="22"/>
        </w:rPr>
        <w:t>canal</w:t>
      </w:r>
      <w:r>
        <w:rPr>
          <w:spacing w:val="-15"/>
          <w:sz w:val="22"/>
        </w:rPr>
        <w:t> </w:t>
      </w:r>
      <w:r>
        <w:rPr>
          <w:sz w:val="22"/>
        </w:rPr>
        <w:t>y</w:t>
      </w:r>
      <w:r>
        <w:rPr>
          <w:spacing w:val="-16"/>
          <w:sz w:val="22"/>
        </w:rPr>
        <w:t> </w:t>
      </w:r>
      <w:r>
        <w:rPr>
          <w:sz w:val="22"/>
        </w:rPr>
        <w:t>obtener</w:t>
      </w:r>
      <w:r>
        <w:rPr>
          <w:spacing w:val="-13"/>
          <w:sz w:val="22"/>
        </w:rPr>
        <w:t> </w:t>
      </w:r>
      <w:r>
        <w:rPr>
          <w:sz w:val="22"/>
        </w:rPr>
        <w:t>las</w:t>
      </w:r>
      <w:r>
        <w:rPr>
          <w:spacing w:val="-13"/>
          <w:sz w:val="22"/>
        </w:rPr>
        <w:t> </w:t>
      </w:r>
      <w:r>
        <w:rPr>
          <w:sz w:val="22"/>
        </w:rPr>
        <w:t>muestras</w:t>
      </w:r>
      <w:r>
        <w:rPr>
          <w:spacing w:val="-13"/>
          <w:sz w:val="22"/>
        </w:rPr>
        <w:t> </w:t>
      </w:r>
      <w:r>
        <w:rPr>
          <w:sz w:val="22"/>
        </w:rPr>
        <w:t>para</w:t>
      </w:r>
      <w:r>
        <w:rPr>
          <w:spacing w:val="-16"/>
          <w:sz w:val="22"/>
        </w:rPr>
        <w:t> </w:t>
      </w:r>
      <w:r>
        <w:rPr>
          <w:sz w:val="22"/>
        </w:rPr>
        <w:t>realizar</w:t>
      </w:r>
      <w:r>
        <w:rPr>
          <w:spacing w:val="-13"/>
          <w:sz w:val="22"/>
        </w:rPr>
        <w:t> </w:t>
      </w:r>
      <w:r>
        <w:rPr>
          <w:sz w:val="22"/>
        </w:rPr>
        <w:t>el</w:t>
      </w:r>
      <w:r>
        <w:rPr>
          <w:spacing w:val="-15"/>
          <w:sz w:val="22"/>
        </w:rPr>
        <w:t> </w:t>
      </w:r>
      <w:r>
        <w:rPr>
          <w:sz w:val="22"/>
        </w:rPr>
        <w:t>análisis</w:t>
      </w:r>
      <w:r>
        <w:rPr>
          <w:spacing w:val="-13"/>
          <w:sz w:val="22"/>
        </w:rPr>
        <w:t> </w:t>
      </w:r>
      <w:r>
        <w:rPr>
          <w:sz w:val="22"/>
        </w:rPr>
        <w:t>químico</w:t>
      </w:r>
      <w:r>
        <w:rPr>
          <w:spacing w:val="-11"/>
          <w:sz w:val="22"/>
        </w:rPr>
        <w:t> </w:t>
      </w:r>
      <w:r>
        <w:rPr>
          <w:sz w:val="22"/>
        </w:rPr>
        <w:t>en</w:t>
      </w:r>
      <w:r>
        <w:rPr>
          <w:spacing w:val="-14"/>
          <w:sz w:val="22"/>
        </w:rPr>
        <w:t> </w:t>
      </w:r>
      <w:r>
        <w:rPr>
          <w:sz w:val="22"/>
        </w:rPr>
        <w:t>la</w:t>
      </w:r>
      <w:r>
        <w:rPr>
          <w:spacing w:val="24"/>
          <w:sz w:val="22"/>
        </w:rPr>
        <w:t> </w:t>
      </w:r>
      <w:r>
        <w:rPr>
          <w:sz w:val="22"/>
        </w:rPr>
        <w:t>evaluación de  la calidad nutrimental de la</w:t>
      </w:r>
      <w:r>
        <w:rPr>
          <w:spacing w:val="-11"/>
          <w:sz w:val="22"/>
        </w:rPr>
        <w:t> </w:t>
      </w:r>
      <w:r>
        <w:rPr>
          <w:sz w:val="22"/>
        </w:rPr>
        <w:t>carne.</w:t>
      </w:r>
    </w:p>
    <w:p>
      <w:pPr>
        <w:spacing w:before="1"/>
        <w:ind w:left="152" w:right="0" w:firstLine="0"/>
        <w:jc w:val="both"/>
        <w:rPr>
          <w:b/>
          <w:sz w:val="22"/>
        </w:rPr>
      </w:pPr>
      <w:r>
        <w:rPr>
          <w:b/>
          <w:sz w:val="22"/>
        </w:rPr>
        <w:t>UNIVERSO DE ESTUDIO</w:t>
      </w:r>
    </w:p>
    <w:p>
      <w:pPr>
        <w:spacing w:line="360" w:lineRule="auto" w:before="128"/>
        <w:ind w:left="152" w:right="105" w:firstLine="0"/>
        <w:jc w:val="both"/>
        <w:rPr>
          <w:sz w:val="22"/>
        </w:rPr>
      </w:pPr>
      <w:r>
        <w:rPr>
          <w:sz w:val="22"/>
        </w:rPr>
        <w:t>Se estudiaron 30 granjas cunículas de ciclo completo de tipo familiar distribuidas en dos regiones económicas VII Lerma y XIII Toluca del Estado de México  en el Valle de Toluca y siete municipios, en los que se distribuyeron las granjas en estudio(n): Toluca (5), San Mateo Atenco (3), Ocoyoacac (7), Almoloya de Juárez (2), Metepec (3) y Zinacantepec(2). De las cuales se obtuvieron 210 canales de conejos para evaluar las condiciones de producción del abasto de conejos relacionadas con: el sistema de producción [tamaño de la camada, edad y peso al destete], composición química de la carne [composición nutrimental], y la calidad de canal [edad al sacrificio y peso de la canal</w:t>
      </w:r>
      <w:r>
        <w:rPr>
          <w:spacing w:val="-26"/>
          <w:sz w:val="22"/>
        </w:rPr>
        <w:t> </w:t>
      </w:r>
      <w:r>
        <w:rPr>
          <w:sz w:val="22"/>
        </w:rPr>
        <w:t>].</w:t>
      </w:r>
    </w:p>
    <w:p>
      <w:pPr>
        <w:spacing w:before="1"/>
        <w:ind w:left="152" w:right="0" w:firstLine="0"/>
        <w:jc w:val="both"/>
        <w:rPr>
          <w:b/>
          <w:sz w:val="22"/>
        </w:rPr>
      </w:pPr>
      <w:r>
        <w:rPr>
          <w:b/>
          <w:sz w:val="22"/>
        </w:rPr>
        <w:t>ANÁLISIS QUÍMICO DE LA CARNE Y CLASIFICACIÓN DE LA CANAL</w:t>
      </w:r>
    </w:p>
    <w:p>
      <w:pPr>
        <w:spacing w:line="360" w:lineRule="auto" w:before="128"/>
        <w:ind w:left="152" w:right="104" w:firstLine="0"/>
        <w:jc w:val="both"/>
        <w:rPr>
          <w:sz w:val="22"/>
        </w:rPr>
      </w:pPr>
      <w:r>
        <w:rPr>
          <w:sz w:val="22"/>
        </w:rPr>
        <w:t>Los conejos obtenidos de las granjas evaluadas, destinados al abasto de canales en la comercialización de la carne de conejo. Los animales de estudio fueron sometidos a la eutanasia bajo el procedimiento establecido en la NOM-033-SAG/ZOO-2014 </w:t>
      </w:r>
      <w:r>
        <w:rPr>
          <w:position w:val="8"/>
          <w:sz w:val="14"/>
        </w:rPr>
        <w:t>(15)</w:t>
      </w:r>
      <w:r>
        <w:rPr>
          <w:sz w:val="22"/>
        </w:rPr>
        <w:t>. Las canales de conejos se obtuvieron al azar de la línea de sacrificio de la granja, de cada uno de los canales se realizó un corte del lomo, para separar el musculo </w:t>
      </w:r>
      <w:r>
        <w:rPr>
          <w:i/>
          <w:sz w:val="22"/>
        </w:rPr>
        <w:t>Longissimus dorsis </w:t>
      </w:r>
      <w:r>
        <w:rPr>
          <w:position w:val="8"/>
          <w:sz w:val="14"/>
        </w:rPr>
        <w:t>(4,16)</w:t>
      </w:r>
      <w:r>
        <w:rPr>
          <w:sz w:val="22"/>
        </w:rPr>
        <w:t>, las muestras de carne se trasportaron en un recipiente a 4</w:t>
      </w:r>
      <w:r>
        <w:rPr>
          <w:position w:val="8"/>
          <w:sz w:val="14"/>
        </w:rPr>
        <w:t>o</w:t>
      </w:r>
      <w:r>
        <w:rPr>
          <w:sz w:val="22"/>
        </w:rPr>
        <w:t>C </w:t>
      </w:r>
      <w:r>
        <w:rPr>
          <w:position w:val="8"/>
          <w:sz w:val="14"/>
        </w:rPr>
        <w:t>(17)</w:t>
      </w:r>
      <w:r>
        <w:rPr>
          <w:sz w:val="22"/>
        </w:rPr>
        <w:t>. Para realizar el estudio comparativo de la composición química de las carne de conejo de las diferentes regiones económicas. Como control de la determinación composición química nutrimental de</w:t>
      </w:r>
      <w:r>
        <w:rPr>
          <w:spacing w:val="-6"/>
          <w:sz w:val="22"/>
        </w:rPr>
        <w:t> </w:t>
      </w:r>
      <w:r>
        <w:rPr>
          <w:sz w:val="22"/>
        </w:rPr>
        <w:t>la</w:t>
      </w:r>
      <w:r>
        <w:rPr>
          <w:spacing w:val="-5"/>
          <w:sz w:val="22"/>
        </w:rPr>
        <w:t> </w:t>
      </w:r>
      <w:r>
        <w:rPr>
          <w:sz w:val="22"/>
        </w:rPr>
        <w:t>carne</w:t>
      </w:r>
      <w:r>
        <w:rPr>
          <w:spacing w:val="-5"/>
          <w:sz w:val="22"/>
        </w:rPr>
        <w:t> </w:t>
      </w:r>
      <w:r>
        <w:rPr>
          <w:sz w:val="22"/>
        </w:rPr>
        <w:t>conejo,</w:t>
      </w:r>
      <w:r>
        <w:rPr>
          <w:spacing w:val="-7"/>
          <w:sz w:val="22"/>
        </w:rPr>
        <w:t> </w:t>
      </w:r>
      <w:r>
        <w:rPr>
          <w:sz w:val="22"/>
        </w:rPr>
        <w:t>de</w:t>
      </w:r>
      <w:r>
        <w:rPr>
          <w:spacing w:val="-6"/>
          <w:sz w:val="22"/>
        </w:rPr>
        <w:t> </w:t>
      </w:r>
      <w:r>
        <w:rPr>
          <w:sz w:val="22"/>
        </w:rPr>
        <w:t>una</w:t>
      </w:r>
      <w:r>
        <w:rPr>
          <w:spacing w:val="-5"/>
          <w:sz w:val="22"/>
        </w:rPr>
        <w:t> </w:t>
      </w:r>
      <w:r>
        <w:rPr>
          <w:sz w:val="22"/>
        </w:rPr>
        <w:t>UPCF</w:t>
      </w:r>
      <w:r>
        <w:rPr>
          <w:spacing w:val="-5"/>
          <w:sz w:val="22"/>
        </w:rPr>
        <w:t> </w:t>
      </w:r>
      <w:r>
        <w:rPr>
          <w:sz w:val="22"/>
        </w:rPr>
        <w:t>especializada</w:t>
      </w:r>
      <w:r>
        <w:rPr>
          <w:spacing w:val="-5"/>
          <w:sz w:val="22"/>
        </w:rPr>
        <w:t> </w:t>
      </w:r>
      <w:r>
        <w:rPr>
          <w:sz w:val="22"/>
        </w:rPr>
        <w:t>en</w:t>
      </w:r>
      <w:r>
        <w:rPr>
          <w:spacing w:val="-6"/>
          <w:sz w:val="22"/>
        </w:rPr>
        <w:t> </w:t>
      </w:r>
      <w:r>
        <w:rPr>
          <w:sz w:val="22"/>
        </w:rPr>
        <w:t>la</w:t>
      </w:r>
      <w:r>
        <w:rPr>
          <w:spacing w:val="-5"/>
          <w:sz w:val="22"/>
        </w:rPr>
        <w:t> </w:t>
      </w:r>
      <w:r>
        <w:rPr>
          <w:sz w:val="22"/>
        </w:rPr>
        <w:t>producción</w:t>
      </w:r>
      <w:r>
        <w:rPr>
          <w:spacing w:val="-6"/>
          <w:sz w:val="22"/>
        </w:rPr>
        <w:t> </w:t>
      </w:r>
      <w:r>
        <w:rPr>
          <w:sz w:val="22"/>
        </w:rPr>
        <w:t>de</w:t>
      </w:r>
      <w:r>
        <w:rPr>
          <w:spacing w:val="-6"/>
          <w:sz w:val="22"/>
        </w:rPr>
        <w:t> </w:t>
      </w:r>
      <w:r>
        <w:rPr>
          <w:sz w:val="22"/>
        </w:rPr>
        <w:t>carne</w:t>
      </w:r>
      <w:r>
        <w:rPr>
          <w:spacing w:val="-8"/>
          <w:sz w:val="22"/>
        </w:rPr>
        <w:t> </w:t>
      </w:r>
      <w:r>
        <w:rPr>
          <w:sz w:val="22"/>
        </w:rPr>
        <w:t>de</w:t>
      </w:r>
      <w:r>
        <w:rPr>
          <w:spacing w:val="-6"/>
          <w:sz w:val="22"/>
        </w:rPr>
        <w:t> </w:t>
      </w:r>
      <w:r>
        <w:rPr>
          <w:sz w:val="22"/>
        </w:rPr>
        <w:t>conejos</w:t>
      </w:r>
      <w:r>
        <w:rPr>
          <w:spacing w:val="-8"/>
          <w:sz w:val="22"/>
        </w:rPr>
        <w:t> </w:t>
      </w:r>
      <w:r>
        <w:rPr>
          <w:sz w:val="22"/>
        </w:rPr>
        <w:t>de</w:t>
      </w:r>
      <w:r>
        <w:rPr>
          <w:spacing w:val="-6"/>
          <w:sz w:val="22"/>
        </w:rPr>
        <w:t> </w:t>
      </w:r>
      <w:r>
        <w:rPr>
          <w:sz w:val="22"/>
        </w:rPr>
        <w:t>la</w:t>
      </w:r>
    </w:p>
    <w:p>
      <w:pPr>
        <w:spacing w:after="0" w:line="360" w:lineRule="auto"/>
        <w:jc w:val="both"/>
        <w:rPr>
          <w:sz w:val="22"/>
        </w:rPr>
        <w:sectPr>
          <w:pgSz w:w="12240" w:h="15840"/>
          <w:pgMar w:header="0" w:footer="1386" w:top="1500" w:bottom="1580" w:left="1720" w:right="1420"/>
        </w:sectPr>
      </w:pPr>
    </w:p>
    <w:p>
      <w:pPr>
        <w:pStyle w:val="BodyText"/>
        <w:spacing w:before="9"/>
        <w:rPr>
          <w:sz w:val="20"/>
        </w:rPr>
      </w:pPr>
    </w:p>
    <w:p>
      <w:pPr>
        <w:spacing w:line="360" w:lineRule="auto" w:before="73"/>
        <w:ind w:left="152" w:right="96" w:firstLine="0"/>
        <w:jc w:val="left"/>
        <w:rPr>
          <w:sz w:val="14"/>
        </w:rPr>
      </w:pPr>
      <w:r>
        <w:rPr>
          <w:sz w:val="22"/>
        </w:rPr>
        <w:t>raza Nueva Zelanda, de la cual se obtuvieron al azar 30 conejos machos de 75 días de edad y un peso al sacrificio de 2.250 ± 0.124 kg. Los conejos de abasto fueron sometidos al aturdimiento para realizar el procesamiento de la canal destinada al consumo NOM033SAG/ZOO2014</w:t>
      </w:r>
      <w:r>
        <w:rPr>
          <w:spacing w:val="-14"/>
          <w:sz w:val="22"/>
        </w:rPr>
        <w:t> </w:t>
      </w:r>
      <w:r>
        <w:rPr>
          <w:position w:val="8"/>
          <w:sz w:val="14"/>
        </w:rPr>
        <w:t>(15)</w:t>
      </w:r>
      <w:r>
        <w:rPr>
          <w:sz w:val="22"/>
        </w:rPr>
        <w:t>.</w:t>
      </w:r>
      <w:r>
        <w:rPr>
          <w:spacing w:val="-11"/>
          <w:sz w:val="22"/>
        </w:rPr>
        <w:t> </w:t>
      </w:r>
      <w:r>
        <w:rPr>
          <w:sz w:val="22"/>
        </w:rPr>
        <w:t>En</w:t>
      </w:r>
      <w:r>
        <w:rPr>
          <w:spacing w:val="-12"/>
          <w:sz w:val="22"/>
        </w:rPr>
        <w:t> </w:t>
      </w:r>
      <w:r>
        <w:rPr>
          <w:sz w:val="22"/>
        </w:rPr>
        <w:t>la</w:t>
      </w:r>
      <w:r>
        <w:rPr>
          <w:spacing w:val="-12"/>
          <w:sz w:val="22"/>
        </w:rPr>
        <w:t> </w:t>
      </w:r>
      <w:r>
        <w:rPr>
          <w:sz w:val="22"/>
        </w:rPr>
        <w:t>línea</w:t>
      </w:r>
      <w:r>
        <w:rPr>
          <w:spacing w:val="-12"/>
          <w:sz w:val="22"/>
        </w:rPr>
        <w:t> </w:t>
      </w:r>
      <w:r>
        <w:rPr>
          <w:sz w:val="22"/>
        </w:rPr>
        <w:t>de</w:t>
      </w:r>
      <w:r>
        <w:rPr>
          <w:spacing w:val="-12"/>
          <w:sz w:val="22"/>
        </w:rPr>
        <w:t> </w:t>
      </w:r>
      <w:r>
        <w:rPr>
          <w:sz w:val="22"/>
        </w:rPr>
        <w:t>sacrificio,</w:t>
      </w:r>
      <w:r>
        <w:rPr>
          <w:spacing w:val="-9"/>
          <w:sz w:val="22"/>
        </w:rPr>
        <w:t> </w:t>
      </w:r>
      <w:r>
        <w:rPr>
          <w:sz w:val="22"/>
        </w:rPr>
        <w:t>de</w:t>
      </w:r>
      <w:r>
        <w:rPr>
          <w:spacing w:val="-15"/>
          <w:sz w:val="22"/>
        </w:rPr>
        <w:t> </w:t>
      </w:r>
      <w:r>
        <w:rPr>
          <w:sz w:val="22"/>
        </w:rPr>
        <w:t>las</w:t>
      </w:r>
      <w:r>
        <w:rPr>
          <w:spacing w:val="-12"/>
          <w:sz w:val="22"/>
        </w:rPr>
        <w:t> </w:t>
      </w:r>
      <w:r>
        <w:rPr>
          <w:sz w:val="22"/>
        </w:rPr>
        <w:t>canales</w:t>
      </w:r>
      <w:r>
        <w:rPr>
          <w:spacing w:val="-15"/>
          <w:sz w:val="22"/>
        </w:rPr>
        <w:t> </w:t>
      </w:r>
      <w:r>
        <w:rPr>
          <w:sz w:val="22"/>
        </w:rPr>
        <w:t>se</w:t>
      </w:r>
      <w:r>
        <w:rPr>
          <w:spacing w:val="-15"/>
          <w:sz w:val="22"/>
        </w:rPr>
        <w:t> </w:t>
      </w:r>
      <w:r>
        <w:rPr>
          <w:sz w:val="22"/>
        </w:rPr>
        <w:t>obtuvieron</w:t>
      </w:r>
      <w:r>
        <w:rPr>
          <w:spacing w:val="-12"/>
          <w:sz w:val="22"/>
        </w:rPr>
        <w:t> </w:t>
      </w:r>
      <w:r>
        <w:rPr>
          <w:sz w:val="22"/>
        </w:rPr>
        <w:t>los</w:t>
      </w:r>
      <w:r>
        <w:rPr>
          <w:spacing w:val="-12"/>
          <w:sz w:val="22"/>
        </w:rPr>
        <w:t> </w:t>
      </w:r>
      <w:r>
        <w:rPr>
          <w:sz w:val="22"/>
        </w:rPr>
        <w:t>lomos y se depositaron en la caja de trasporte a 4°C. En el laboratorio se procedió a la disección del</w:t>
      </w:r>
      <w:r>
        <w:rPr>
          <w:spacing w:val="-10"/>
          <w:sz w:val="22"/>
        </w:rPr>
        <w:t> </w:t>
      </w:r>
      <w:r>
        <w:rPr>
          <w:sz w:val="22"/>
        </w:rPr>
        <w:t>musculo</w:t>
      </w:r>
      <w:r>
        <w:rPr>
          <w:spacing w:val="-11"/>
          <w:sz w:val="22"/>
        </w:rPr>
        <w:t> </w:t>
      </w:r>
      <w:r>
        <w:rPr>
          <w:i/>
          <w:sz w:val="22"/>
        </w:rPr>
        <w:t>Longissimus</w:t>
      </w:r>
      <w:r>
        <w:rPr>
          <w:i/>
          <w:spacing w:val="-11"/>
          <w:sz w:val="22"/>
        </w:rPr>
        <w:t> </w:t>
      </w:r>
      <w:r>
        <w:rPr>
          <w:i/>
          <w:sz w:val="22"/>
        </w:rPr>
        <w:t>dorsis</w:t>
      </w:r>
      <w:r>
        <w:rPr>
          <w:i/>
          <w:spacing w:val="-10"/>
          <w:sz w:val="22"/>
        </w:rPr>
        <w:t> </w:t>
      </w:r>
      <w:r>
        <w:rPr>
          <w:sz w:val="22"/>
        </w:rPr>
        <w:t>para</w:t>
      </w:r>
      <w:r>
        <w:rPr>
          <w:spacing w:val="-11"/>
          <w:sz w:val="22"/>
        </w:rPr>
        <w:t> </w:t>
      </w:r>
      <w:r>
        <w:rPr>
          <w:sz w:val="22"/>
        </w:rPr>
        <w:t>efectuar</w:t>
      </w:r>
      <w:r>
        <w:rPr>
          <w:spacing w:val="-8"/>
          <w:sz w:val="22"/>
        </w:rPr>
        <w:t> </w:t>
      </w:r>
      <w:r>
        <w:rPr>
          <w:sz w:val="22"/>
        </w:rPr>
        <w:t>el</w:t>
      </w:r>
      <w:r>
        <w:rPr>
          <w:spacing w:val="-10"/>
          <w:sz w:val="22"/>
        </w:rPr>
        <w:t> </w:t>
      </w:r>
      <w:r>
        <w:rPr>
          <w:sz w:val="22"/>
        </w:rPr>
        <w:t>análisis</w:t>
      </w:r>
      <w:r>
        <w:rPr>
          <w:spacing w:val="-8"/>
          <w:sz w:val="22"/>
        </w:rPr>
        <w:t> </w:t>
      </w:r>
      <w:r>
        <w:rPr>
          <w:sz w:val="22"/>
        </w:rPr>
        <w:t>químico</w:t>
      </w:r>
      <w:r>
        <w:rPr>
          <w:spacing w:val="-9"/>
          <w:sz w:val="22"/>
        </w:rPr>
        <w:t> </w:t>
      </w:r>
      <w:r>
        <w:rPr>
          <w:sz w:val="22"/>
        </w:rPr>
        <w:t>y</w:t>
      </w:r>
      <w:r>
        <w:rPr>
          <w:spacing w:val="-11"/>
          <w:sz w:val="22"/>
        </w:rPr>
        <w:t> </w:t>
      </w:r>
      <w:r>
        <w:rPr>
          <w:sz w:val="22"/>
        </w:rPr>
        <w:t>determinar</w:t>
      </w:r>
      <w:r>
        <w:rPr>
          <w:spacing w:val="-8"/>
          <w:sz w:val="22"/>
        </w:rPr>
        <w:t> </w:t>
      </w:r>
      <w:r>
        <w:rPr>
          <w:sz w:val="22"/>
        </w:rPr>
        <w:t>en</w:t>
      </w:r>
      <w:r>
        <w:rPr>
          <w:spacing w:val="-11"/>
          <w:sz w:val="22"/>
        </w:rPr>
        <w:t> </w:t>
      </w:r>
      <w:r>
        <w:rPr>
          <w:sz w:val="22"/>
        </w:rPr>
        <w:t>contenido nutrimental</w:t>
      </w:r>
      <w:r>
        <w:rPr>
          <w:spacing w:val="-15"/>
          <w:sz w:val="22"/>
        </w:rPr>
        <w:t> </w:t>
      </w:r>
      <w:r>
        <w:rPr>
          <w:sz w:val="22"/>
        </w:rPr>
        <w:t>de</w:t>
      </w:r>
      <w:r>
        <w:rPr>
          <w:spacing w:val="-14"/>
          <w:sz w:val="22"/>
        </w:rPr>
        <w:t> </w:t>
      </w:r>
      <w:r>
        <w:rPr>
          <w:sz w:val="22"/>
        </w:rPr>
        <w:t>la</w:t>
      </w:r>
      <w:r>
        <w:rPr>
          <w:spacing w:val="-13"/>
          <w:sz w:val="22"/>
        </w:rPr>
        <w:t> </w:t>
      </w:r>
      <w:r>
        <w:rPr>
          <w:sz w:val="22"/>
        </w:rPr>
        <w:t>carne</w:t>
      </w:r>
      <w:r>
        <w:rPr>
          <w:spacing w:val="-14"/>
          <w:sz w:val="22"/>
        </w:rPr>
        <w:t> </w:t>
      </w:r>
      <w:r>
        <w:rPr>
          <w:sz w:val="22"/>
        </w:rPr>
        <w:t>expresado</w:t>
      </w:r>
      <w:r>
        <w:rPr>
          <w:spacing w:val="-13"/>
          <w:sz w:val="22"/>
        </w:rPr>
        <w:t> </w:t>
      </w:r>
      <w:r>
        <w:rPr>
          <w:sz w:val="22"/>
        </w:rPr>
        <w:t>en</w:t>
      </w:r>
      <w:r>
        <w:rPr>
          <w:spacing w:val="-14"/>
          <w:sz w:val="22"/>
        </w:rPr>
        <w:t> </w:t>
      </w:r>
      <w:r>
        <w:rPr>
          <w:sz w:val="22"/>
        </w:rPr>
        <w:t>porcentaje</w:t>
      </w:r>
      <w:r>
        <w:rPr>
          <w:spacing w:val="-13"/>
          <w:sz w:val="22"/>
        </w:rPr>
        <w:t> </w:t>
      </w:r>
      <w:r>
        <w:rPr>
          <w:sz w:val="22"/>
        </w:rPr>
        <w:t>de:</w:t>
      </w:r>
      <w:r>
        <w:rPr>
          <w:spacing w:val="-12"/>
          <w:sz w:val="22"/>
        </w:rPr>
        <w:t> </w:t>
      </w:r>
      <w:r>
        <w:rPr>
          <w:sz w:val="22"/>
        </w:rPr>
        <w:t>proteína,</w:t>
      </w:r>
      <w:r>
        <w:rPr>
          <w:spacing w:val="-12"/>
          <w:sz w:val="22"/>
        </w:rPr>
        <w:t> </w:t>
      </w:r>
      <w:r>
        <w:rPr>
          <w:sz w:val="22"/>
        </w:rPr>
        <w:t>materia</w:t>
      </w:r>
      <w:r>
        <w:rPr>
          <w:spacing w:val="-14"/>
          <w:sz w:val="22"/>
        </w:rPr>
        <w:t> </w:t>
      </w:r>
      <w:r>
        <w:rPr>
          <w:sz w:val="22"/>
        </w:rPr>
        <w:t>seca,</w:t>
      </w:r>
      <w:r>
        <w:rPr>
          <w:spacing w:val="-14"/>
          <w:sz w:val="22"/>
        </w:rPr>
        <w:t> </w:t>
      </w:r>
      <w:r>
        <w:rPr>
          <w:sz w:val="22"/>
        </w:rPr>
        <w:t>grasa</w:t>
      </w:r>
      <w:r>
        <w:rPr>
          <w:spacing w:val="-13"/>
          <w:sz w:val="22"/>
        </w:rPr>
        <w:t> </w:t>
      </w:r>
      <w:r>
        <w:rPr>
          <w:sz w:val="22"/>
        </w:rPr>
        <w:t>y</w:t>
      </w:r>
      <w:r>
        <w:rPr>
          <w:spacing w:val="-16"/>
          <w:sz w:val="22"/>
        </w:rPr>
        <w:t> </w:t>
      </w:r>
      <w:r>
        <w:rPr>
          <w:sz w:val="22"/>
        </w:rPr>
        <w:t>cenizas siguiendo los procedimientos descritos por el Association of Official Analytical Chemist </w:t>
      </w:r>
      <w:r>
        <w:rPr>
          <w:position w:val="8"/>
          <w:sz w:val="14"/>
        </w:rPr>
        <w:t>(18) </w:t>
      </w:r>
      <w:r>
        <w:rPr>
          <w:sz w:val="22"/>
        </w:rPr>
        <w:t>En</w:t>
      </w:r>
      <w:r>
        <w:rPr>
          <w:spacing w:val="-11"/>
          <w:sz w:val="22"/>
        </w:rPr>
        <w:t> </w:t>
      </w:r>
      <w:r>
        <w:rPr>
          <w:sz w:val="22"/>
        </w:rPr>
        <w:t>las</w:t>
      </w:r>
      <w:r>
        <w:rPr>
          <w:spacing w:val="-11"/>
          <w:sz w:val="22"/>
        </w:rPr>
        <w:t> </w:t>
      </w:r>
      <w:r>
        <w:rPr>
          <w:sz w:val="22"/>
        </w:rPr>
        <w:t>UPCF</w:t>
      </w:r>
      <w:r>
        <w:rPr>
          <w:spacing w:val="-11"/>
          <w:sz w:val="22"/>
        </w:rPr>
        <w:t> </w:t>
      </w:r>
      <w:r>
        <w:rPr>
          <w:sz w:val="22"/>
        </w:rPr>
        <w:t>de</w:t>
      </w:r>
      <w:r>
        <w:rPr>
          <w:spacing w:val="-13"/>
          <w:sz w:val="22"/>
        </w:rPr>
        <w:t> </w:t>
      </w:r>
      <w:r>
        <w:rPr>
          <w:sz w:val="22"/>
        </w:rPr>
        <w:t>las</w:t>
      </w:r>
      <w:r>
        <w:rPr>
          <w:spacing w:val="-12"/>
          <w:sz w:val="22"/>
        </w:rPr>
        <w:t> </w:t>
      </w:r>
      <w:r>
        <w:rPr>
          <w:sz w:val="22"/>
        </w:rPr>
        <w:t>regiones</w:t>
      </w:r>
      <w:r>
        <w:rPr>
          <w:spacing w:val="-11"/>
          <w:sz w:val="22"/>
        </w:rPr>
        <w:t> </w:t>
      </w:r>
      <w:r>
        <w:rPr>
          <w:sz w:val="22"/>
        </w:rPr>
        <w:t>económicas</w:t>
      </w:r>
      <w:r>
        <w:rPr>
          <w:spacing w:val="-11"/>
          <w:sz w:val="22"/>
        </w:rPr>
        <w:t> </w:t>
      </w:r>
      <w:r>
        <w:rPr>
          <w:sz w:val="22"/>
        </w:rPr>
        <w:t>en</w:t>
      </w:r>
      <w:r>
        <w:rPr>
          <w:spacing w:val="-13"/>
          <w:sz w:val="22"/>
        </w:rPr>
        <w:t> </w:t>
      </w:r>
      <w:r>
        <w:rPr>
          <w:sz w:val="22"/>
        </w:rPr>
        <w:t>estudio,</w:t>
      </w:r>
      <w:r>
        <w:rPr>
          <w:spacing w:val="-10"/>
          <w:sz w:val="22"/>
        </w:rPr>
        <w:t> </w:t>
      </w:r>
      <w:r>
        <w:rPr>
          <w:sz w:val="22"/>
        </w:rPr>
        <w:t>se</w:t>
      </w:r>
      <w:r>
        <w:rPr>
          <w:spacing w:val="-13"/>
          <w:sz w:val="22"/>
        </w:rPr>
        <w:t> </w:t>
      </w:r>
      <w:r>
        <w:rPr>
          <w:sz w:val="22"/>
        </w:rPr>
        <w:t>obtuvieron</w:t>
      </w:r>
      <w:r>
        <w:rPr>
          <w:spacing w:val="-11"/>
          <w:sz w:val="22"/>
        </w:rPr>
        <w:t> </w:t>
      </w:r>
      <w:r>
        <w:rPr>
          <w:sz w:val="22"/>
        </w:rPr>
        <w:t>30</w:t>
      </w:r>
      <w:r>
        <w:rPr>
          <w:spacing w:val="-13"/>
          <w:sz w:val="22"/>
        </w:rPr>
        <w:t> </w:t>
      </w:r>
      <w:r>
        <w:rPr>
          <w:sz w:val="22"/>
        </w:rPr>
        <w:t>muestras</w:t>
      </w:r>
      <w:r>
        <w:rPr>
          <w:spacing w:val="-10"/>
          <w:sz w:val="22"/>
        </w:rPr>
        <w:t> </w:t>
      </w:r>
      <w:r>
        <w:rPr>
          <w:sz w:val="22"/>
        </w:rPr>
        <w:t>de</w:t>
      </w:r>
      <w:r>
        <w:rPr>
          <w:spacing w:val="-13"/>
          <w:sz w:val="22"/>
        </w:rPr>
        <w:t> </w:t>
      </w:r>
      <w:r>
        <w:rPr>
          <w:sz w:val="22"/>
        </w:rPr>
        <w:t>canales de conejo de la línea de sacrifico para extraer los lomos y diseccionar el musculo </w:t>
      </w:r>
      <w:r>
        <w:rPr>
          <w:i/>
          <w:sz w:val="22"/>
        </w:rPr>
        <w:t>Longissimus dorsis </w:t>
      </w:r>
      <w:r>
        <w:rPr>
          <w:sz w:val="22"/>
        </w:rPr>
        <w:t>bajo el procedimiento descrito anteriormente. Para efectuar la clasificación de las canales de conejo se obtuvieron un total de 210 muestras de canales de</w:t>
      </w:r>
      <w:r>
        <w:rPr>
          <w:spacing w:val="-10"/>
          <w:sz w:val="22"/>
        </w:rPr>
        <w:t> </w:t>
      </w:r>
      <w:r>
        <w:rPr>
          <w:sz w:val="22"/>
        </w:rPr>
        <w:t>las</w:t>
      </w:r>
      <w:r>
        <w:rPr>
          <w:spacing w:val="-10"/>
          <w:sz w:val="22"/>
        </w:rPr>
        <w:t> </w:t>
      </w:r>
      <w:r>
        <w:rPr>
          <w:sz w:val="22"/>
        </w:rPr>
        <w:t>diferentes</w:t>
      </w:r>
      <w:r>
        <w:rPr>
          <w:spacing w:val="-12"/>
          <w:sz w:val="22"/>
        </w:rPr>
        <w:t> </w:t>
      </w:r>
      <w:r>
        <w:rPr>
          <w:sz w:val="22"/>
        </w:rPr>
        <w:t>UPCF,</w:t>
      </w:r>
      <w:r>
        <w:rPr>
          <w:spacing w:val="-12"/>
          <w:sz w:val="22"/>
        </w:rPr>
        <w:t> </w:t>
      </w:r>
      <w:r>
        <w:rPr>
          <w:sz w:val="22"/>
        </w:rPr>
        <w:t>considerando</w:t>
      </w:r>
      <w:r>
        <w:rPr>
          <w:spacing w:val="-10"/>
          <w:sz w:val="22"/>
        </w:rPr>
        <w:t> </w:t>
      </w:r>
      <w:r>
        <w:rPr>
          <w:sz w:val="22"/>
        </w:rPr>
        <w:t>la</w:t>
      </w:r>
      <w:r>
        <w:rPr>
          <w:spacing w:val="-10"/>
          <w:sz w:val="22"/>
        </w:rPr>
        <w:t> </w:t>
      </w:r>
      <w:r>
        <w:rPr>
          <w:sz w:val="22"/>
        </w:rPr>
        <w:t>edad</w:t>
      </w:r>
      <w:r>
        <w:rPr>
          <w:spacing w:val="-13"/>
          <w:sz w:val="22"/>
        </w:rPr>
        <w:t> </w:t>
      </w:r>
      <w:r>
        <w:rPr>
          <w:sz w:val="22"/>
        </w:rPr>
        <w:t>al</w:t>
      </w:r>
      <w:r>
        <w:rPr>
          <w:spacing w:val="-14"/>
          <w:sz w:val="22"/>
        </w:rPr>
        <w:t> </w:t>
      </w:r>
      <w:r>
        <w:rPr>
          <w:sz w:val="22"/>
        </w:rPr>
        <w:t>sacrificio,</w:t>
      </w:r>
      <w:r>
        <w:rPr>
          <w:spacing w:val="-9"/>
          <w:sz w:val="22"/>
        </w:rPr>
        <w:t> </w:t>
      </w:r>
      <w:r>
        <w:rPr>
          <w:sz w:val="22"/>
        </w:rPr>
        <w:t>el</w:t>
      </w:r>
      <w:r>
        <w:rPr>
          <w:spacing w:val="-14"/>
          <w:sz w:val="22"/>
        </w:rPr>
        <w:t> </w:t>
      </w:r>
      <w:r>
        <w:rPr>
          <w:sz w:val="22"/>
        </w:rPr>
        <w:t>peso</w:t>
      </w:r>
      <w:r>
        <w:rPr>
          <w:spacing w:val="-10"/>
          <w:sz w:val="22"/>
        </w:rPr>
        <w:t> </w:t>
      </w:r>
      <w:r>
        <w:rPr>
          <w:sz w:val="22"/>
        </w:rPr>
        <w:t>vivo</w:t>
      </w:r>
      <w:r>
        <w:rPr>
          <w:spacing w:val="-10"/>
          <w:sz w:val="22"/>
        </w:rPr>
        <w:t> </w:t>
      </w:r>
      <w:r>
        <w:rPr>
          <w:sz w:val="22"/>
        </w:rPr>
        <w:t>y</w:t>
      </w:r>
      <w:r>
        <w:rPr>
          <w:spacing w:val="-12"/>
          <w:sz w:val="22"/>
        </w:rPr>
        <w:t> </w:t>
      </w:r>
      <w:r>
        <w:rPr>
          <w:sz w:val="22"/>
        </w:rPr>
        <w:t>el</w:t>
      </w:r>
      <w:r>
        <w:rPr>
          <w:spacing w:val="-11"/>
          <w:sz w:val="22"/>
        </w:rPr>
        <w:t> </w:t>
      </w:r>
      <w:r>
        <w:rPr>
          <w:sz w:val="22"/>
        </w:rPr>
        <w:t>peso</w:t>
      </w:r>
      <w:r>
        <w:rPr>
          <w:spacing w:val="-10"/>
          <w:sz w:val="22"/>
        </w:rPr>
        <w:t> </w:t>
      </w:r>
      <w:r>
        <w:rPr>
          <w:sz w:val="22"/>
        </w:rPr>
        <w:t>de</w:t>
      </w:r>
      <w:r>
        <w:rPr>
          <w:spacing w:val="-10"/>
          <w:sz w:val="22"/>
        </w:rPr>
        <w:t> </w:t>
      </w:r>
      <w:r>
        <w:rPr>
          <w:sz w:val="22"/>
        </w:rPr>
        <w:t>la</w:t>
      </w:r>
      <w:r>
        <w:rPr>
          <w:spacing w:val="-13"/>
          <w:sz w:val="22"/>
        </w:rPr>
        <w:t> </w:t>
      </w:r>
      <w:r>
        <w:rPr>
          <w:sz w:val="22"/>
        </w:rPr>
        <w:t>canal establecidos en la NMX-FF-105-SCFI-2005</w:t>
      </w:r>
      <w:r>
        <w:rPr>
          <w:spacing w:val="-17"/>
          <w:sz w:val="22"/>
        </w:rPr>
        <w:t> </w:t>
      </w:r>
      <w:r>
        <w:rPr>
          <w:position w:val="8"/>
          <w:sz w:val="14"/>
        </w:rPr>
        <w:t>(14)</w:t>
      </w:r>
    </w:p>
    <w:p>
      <w:pPr>
        <w:pStyle w:val="BodyText"/>
        <w:rPr>
          <w:sz w:val="22"/>
        </w:rPr>
      </w:pPr>
    </w:p>
    <w:p>
      <w:pPr>
        <w:spacing w:before="128"/>
        <w:ind w:left="152" w:right="0" w:firstLine="0"/>
        <w:jc w:val="both"/>
        <w:rPr>
          <w:sz w:val="22"/>
        </w:rPr>
      </w:pPr>
      <w:r>
        <w:rPr>
          <w:sz w:val="22"/>
        </w:rPr>
        <w:t>EVALUACION DE RESULTADOS</w:t>
      </w:r>
    </w:p>
    <w:p>
      <w:pPr>
        <w:spacing w:line="360" w:lineRule="auto" w:before="126"/>
        <w:ind w:left="152" w:right="107" w:firstLine="0"/>
        <w:jc w:val="both"/>
        <w:rPr>
          <w:sz w:val="22"/>
        </w:rPr>
      </w:pPr>
      <w:r>
        <w:rPr>
          <w:sz w:val="22"/>
        </w:rPr>
        <w:t>Los</w:t>
      </w:r>
      <w:r>
        <w:rPr>
          <w:spacing w:val="-16"/>
          <w:sz w:val="22"/>
        </w:rPr>
        <w:t> </w:t>
      </w:r>
      <w:r>
        <w:rPr>
          <w:sz w:val="22"/>
        </w:rPr>
        <w:t>resultados</w:t>
      </w:r>
      <w:r>
        <w:rPr>
          <w:spacing w:val="-18"/>
          <w:sz w:val="22"/>
        </w:rPr>
        <w:t> </w:t>
      </w:r>
      <w:r>
        <w:rPr>
          <w:sz w:val="22"/>
        </w:rPr>
        <w:t>se</w:t>
      </w:r>
      <w:r>
        <w:rPr>
          <w:spacing w:val="-16"/>
          <w:sz w:val="22"/>
        </w:rPr>
        <w:t> </w:t>
      </w:r>
      <w:r>
        <w:rPr>
          <w:sz w:val="22"/>
        </w:rPr>
        <w:t>evaluaron</w:t>
      </w:r>
      <w:r>
        <w:rPr>
          <w:spacing w:val="-19"/>
          <w:sz w:val="22"/>
        </w:rPr>
        <w:t> </w:t>
      </w:r>
      <w:r>
        <w:rPr>
          <w:sz w:val="22"/>
        </w:rPr>
        <w:t>mediante</w:t>
      </w:r>
      <w:r>
        <w:rPr>
          <w:spacing w:val="-19"/>
          <w:sz w:val="22"/>
        </w:rPr>
        <w:t> </w:t>
      </w:r>
      <w:r>
        <w:rPr>
          <w:sz w:val="22"/>
        </w:rPr>
        <w:t>un</w:t>
      </w:r>
      <w:r>
        <w:rPr>
          <w:spacing w:val="-16"/>
          <w:sz w:val="22"/>
        </w:rPr>
        <w:t> </w:t>
      </w:r>
      <w:r>
        <w:rPr>
          <w:sz w:val="22"/>
        </w:rPr>
        <w:t>diseño</w:t>
      </w:r>
      <w:r>
        <w:rPr>
          <w:spacing w:val="-19"/>
          <w:sz w:val="22"/>
        </w:rPr>
        <w:t> </w:t>
      </w:r>
      <w:r>
        <w:rPr>
          <w:sz w:val="22"/>
        </w:rPr>
        <w:t>completamente</w:t>
      </w:r>
      <w:r>
        <w:rPr>
          <w:spacing w:val="-19"/>
          <w:sz w:val="22"/>
        </w:rPr>
        <w:t> </w:t>
      </w:r>
      <w:r>
        <w:rPr>
          <w:sz w:val="22"/>
        </w:rPr>
        <w:t>al</w:t>
      </w:r>
      <w:r>
        <w:rPr>
          <w:spacing w:val="-17"/>
          <w:sz w:val="22"/>
        </w:rPr>
        <w:t> </w:t>
      </w:r>
      <w:r>
        <w:rPr>
          <w:sz w:val="22"/>
        </w:rPr>
        <w:t>azar</w:t>
      </w:r>
      <w:r>
        <w:rPr>
          <w:spacing w:val="-15"/>
          <w:sz w:val="22"/>
        </w:rPr>
        <w:t> </w:t>
      </w:r>
      <w:r>
        <w:rPr>
          <w:sz w:val="22"/>
        </w:rPr>
        <w:t>con</w:t>
      </w:r>
      <w:r>
        <w:rPr>
          <w:spacing w:val="-16"/>
          <w:sz w:val="22"/>
        </w:rPr>
        <w:t> </w:t>
      </w:r>
      <w:r>
        <w:rPr>
          <w:sz w:val="22"/>
        </w:rPr>
        <w:t>arreglo</w:t>
      </w:r>
      <w:r>
        <w:rPr>
          <w:spacing w:val="-18"/>
          <w:sz w:val="22"/>
        </w:rPr>
        <w:t> </w:t>
      </w:r>
      <w:r>
        <w:rPr>
          <w:sz w:val="22"/>
        </w:rPr>
        <w:t>factorial (p&lt;0.05), mediante el análisis de varianza correspondiente al diseño. Considerando a </w:t>
      </w:r>
      <w:r>
        <w:rPr>
          <w:spacing w:val="-3"/>
          <w:sz w:val="22"/>
        </w:rPr>
        <w:t>las </w:t>
      </w:r>
      <w:r>
        <w:rPr>
          <w:sz w:val="22"/>
        </w:rPr>
        <w:t>dos regiones y los siete municipios del valle de Toluca, México, con apoyo del programa estadístico SAS, versión 9.4 para Windows. Para comparar las medias donde los efectos principales o su interacción fueron significativos se usó una </w:t>
      </w:r>
      <w:r>
        <w:rPr>
          <w:i/>
          <w:sz w:val="22"/>
        </w:rPr>
        <w:t>P</w:t>
      </w:r>
      <w:r>
        <w:rPr>
          <w:sz w:val="22"/>
        </w:rPr>
        <w:t>≤0.05 </w:t>
      </w:r>
      <w:r>
        <w:rPr>
          <w:position w:val="8"/>
          <w:sz w:val="14"/>
        </w:rPr>
        <w:t>(19)</w:t>
      </w:r>
      <w:r>
        <w:rPr>
          <w:sz w:val="22"/>
        </w:rPr>
        <w:t>. La composición química</w:t>
      </w:r>
      <w:r>
        <w:rPr>
          <w:spacing w:val="-6"/>
          <w:sz w:val="22"/>
        </w:rPr>
        <w:t> </w:t>
      </w:r>
      <w:r>
        <w:rPr>
          <w:sz w:val="22"/>
        </w:rPr>
        <w:t>nutrimental</w:t>
      </w:r>
      <w:r>
        <w:rPr>
          <w:spacing w:val="-7"/>
          <w:sz w:val="22"/>
        </w:rPr>
        <w:t> </w:t>
      </w:r>
      <w:r>
        <w:rPr>
          <w:sz w:val="22"/>
        </w:rPr>
        <w:t>de</w:t>
      </w:r>
      <w:r>
        <w:rPr>
          <w:spacing w:val="-9"/>
          <w:sz w:val="22"/>
        </w:rPr>
        <w:t> </w:t>
      </w:r>
      <w:r>
        <w:rPr>
          <w:sz w:val="22"/>
        </w:rPr>
        <w:t>la</w:t>
      </w:r>
      <w:r>
        <w:rPr>
          <w:spacing w:val="-6"/>
          <w:sz w:val="22"/>
        </w:rPr>
        <w:t> </w:t>
      </w:r>
      <w:r>
        <w:rPr>
          <w:sz w:val="22"/>
        </w:rPr>
        <w:t>carne</w:t>
      </w:r>
      <w:r>
        <w:rPr>
          <w:spacing w:val="-6"/>
          <w:sz w:val="22"/>
        </w:rPr>
        <w:t> </w:t>
      </w:r>
      <w:r>
        <w:rPr>
          <w:sz w:val="22"/>
        </w:rPr>
        <w:t>y</w:t>
      </w:r>
      <w:r>
        <w:rPr>
          <w:spacing w:val="-8"/>
          <w:sz w:val="22"/>
        </w:rPr>
        <w:t> </w:t>
      </w:r>
      <w:r>
        <w:rPr>
          <w:sz w:val="22"/>
        </w:rPr>
        <w:t>la</w:t>
      </w:r>
      <w:r>
        <w:rPr>
          <w:spacing w:val="-6"/>
          <w:sz w:val="22"/>
        </w:rPr>
        <w:t> </w:t>
      </w:r>
      <w:r>
        <w:rPr>
          <w:sz w:val="22"/>
        </w:rPr>
        <w:t>clasificación</w:t>
      </w:r>
      <w:r>
        <w:rPr>
          <w:spacing w:val="-7"/>
          <w:sz w:val="22"/>
        </w:rPr>
        <w:t> </w:t>
      </w:r>
      <w:r>
        <w:rPr>
          <w:sz w:val="22"/>
        </w:rPr>
        <w:t>de</w:t>
      </w:r>
      <w:r>
        <w:rPr>
          <w:spacing w:val="-6"/>
          <w:sz w:val="22"/>
        </w:rPr>
        <w:t> </w:t>
      </w:r>
      <w:r>
        <w:rPr>
          <w:sz w:val="22"/>
        </w:rPr>
        <w:t>la</w:t>
      </w:r>
      <w:r>
        <w:rPr>
          <w:spacing w:val="-6"/>
          <w:sz w:val="22"/>
        </w:rPr>
        <w:t> </w:t>
      </w:r>
      <w:r>
        <w:rPr>
          <w:sz w:val="22"/>
        </w:rPr>
        <w:t>canal</w:t>
      </w:r>
      <w:r>
        <w:rPr>
          <w:spacing w:val="-7"/>
          <w:sz w:val="22"/>
        </w:rPr>
        <w:t> </w:t>
      </w:r>
      <w:r>
        <w:rPr>
          <w:sz w:val="22"/>
        </w:rPr>
        <w:t>sólo</w:t>
      </w:r>
      <w:r>
        <w:rPr>
          <w:spacing w:val="-6"/>
          <w:sz w:val="22"/>
        </w:rPr>
        <w:t> </w:t>
      </w:r>
      <w:r>
        <w:rPr>
          <w:sz w:val="22"/>
        </w:rPr>
        <w:t>se</w:t>
      </w:r>
      <w:r>
        <w:rPr>
          <w:spacing w:val="-6"/>
          <w:sz w:val="22"/>
        </w:rPr>
        <w:t> </w:t>
      </w:r>
      <w:r>
        <w:rPr>
          <w:sz w:val="22"/>
        </w:rPr>
        <w:t>evaluaron</w:t>
      </w:r>
      <w:r>
        <w:rPr>
          <w:spacing w:val="-7"/>
          <w:sz w:val="22"/>
        </w:rPr>
        <w:t> </w:t>
      </w:r>
      <w:r>
        <w:rPr>
          <w:sz w:val="22"/>
        </w:rPr>
        <w:t>mediante</w:t>
      </w:r>
      <w:r>
        <w:rPr>
          <w:spacing w:val="-6"/>
          <w:sz w:val="22"/>
        </w:rPr>
        <w:t> </w:t>
      </w:r>
      <w:r>
        <w:rPr>
          <w:sz w:val="22"/>
        </w:rPr>
        <w:t>un análisis con estadística</w:t>
      </w:r>
      <w:r>
        <w:rPr>
          <w:spacing w:val="-10"/>
          <w:sz w:val="22"/>
        </w:rPr>
        <w:t> </w:t>
      </w:r>
      <w:r>
        <w:rPr>
          <w:sz w:val="22"/>
        </w:rPr>
        <w:t>descriptiva.</w:t>
      </w:r>
    </w:p>
    <w:p>
      <w:pPr>
        <w:spacing w:before="1"/>
        <w:ind w:left="152" w:right="0" w:firstLine="0"/>
        <w:jc w:val="both"/>
        <w:rPr>
          <w:b/>
          <w:sz w:val="22"/>
        </w:rPr>
      </w:pPr>
      <w:r>
        <w:rPr>
          <w:b/>
          <w:sz w:val="22"/>
        </w:rPr>
        <w:t>RESULTADOS</w:t>
      </w:r>
    </w:p>
    <w:p>
      <w:pPr>
        <w:pStyle w:val="BodyText"/>
        <w:spacing w:before="8"/>
        <w:rPr>
          <w:b/>
          <w:sz w:val="28"/>
        </w:rPr>
      </w:pPr>
    </w:p>
    <w:p>
      <w:pPr>
        <w:spacing w:line="360" w:lineRule="auto" w:before="1"/>
        <w:ind w:left="152" w:right="108" w:firstLine="0"/>
        <w:jc w:val="both"/>
        <w:rPr>
          <w:sz w:val="22"/>
        </w:rPr>
      </w:pPr>
      <w:r>
        <w:rPr>
          <w:sz w:val="22"/>
        </w:rPr>
        <w:t>Las unidades de producción cunícola (UPCF), estudiadas en el Valle de Toluca, correspondieron principalmente al tipo familiar de traspatio 63.33% y en menor proporción al sistema semitecnificado 36.67%. En las unidades evaluadas se apreció una barda perimetral, instalaciones para el alojamiento de los conejos en jaulas de cría y engorda, módulos de gestación y lactancia, para una producción de ciclo completo basado en un esquema de alimentación comercial y esporádicamente el uso de forraje seco de avena (</w:t>
      </w:r>
      <w:r>
        <w:rPr>
          <w:i/>
          <w:sz w:val="22"/>
        </w:rPr>
        <w:t>Avena sativa</w:t>
      </w:r>
      <w:r>
        <w:rPr>
          <w:sz w:val="22"/>
        </w:rPr>
        <w:t>). Las  principales  razas identificadas en las UPCF fueron: Nueva    Zelanda</w:t>
      </w:r>
    </w:p>
    <w:p>
      <w:pPr>
        <w:spacing w:after="0" w:line="360" w:lineRule="auto"/>
        <w:jc w:val="both"/>
        <w:rPr>
          <w:sz w:val="22"/>
        </w:rPr>
        <w:sectPr>
          <w:pgSz w:w="12240" w:h="15840"/>
          <w:pgMar w:header="0" w:footer="1386" w:top="1500" w:bottom="1580" w:left="1720" w:right="1420"/>
        </w:sectPr>
      </w:pPr>
    </w:p>
    <w:p>
      <w:pPr>
        <w:pStyle w:val="BodyText"/>
        <w:spacing w:before="9"/>
        <w:rPr>
          <w:sz w:val="20"/>
        </w:rPr>
      </w:pPr>
    </w:p>
    <w:p>
      <w:pPr>
        <w:spacing w:line="360" w:lineRule="auto" w:before="73"/>
        <w:ind w:left="152" w:right="104" w:firstLine="0"/>
        <w:jc w:val="both"/>
        <w:rPr>
          <w:sz w:val="22"/>
        </w:rPr>
      </w:pPr>
      <w:r>
        <w:rPr>
          <w:sz w:val="22"/>
        </w:rPr>
        <w:t>20%, California 17%, Chinchilla15%, Rex 5% e híbridos 43%. El tamaño de unidad de reproducción fue de 2 a 40 vientres; el promedio de gazapos nacidos fue 9 ± 2 y gazapos destetados</w:t>
      </w:r>
      <w:r>
        <w:rPr>
          <w:spacing w:val="-4"/>
          <w:sz w:val="22"/>
        </w:rPr>
        <w:t> </w:t>
      </w:r>
      <w:r>
        <w:rPr>
          <w:sz w:val="22"/>
        </w:rPr>
        <w:t>de</w:t>
      </w:r>
      <w:r>
        <w:rPr>
          <w:spacing w:val="-6"/>
          <w:sz w:val="22"/>
        </w:rPr>
        <w:t> </w:t>
      </w:r>
      <w:r>
        <w:rPr>
          <w:sz w:val="22"/>
        </w:rPr>
        <w:t>8</w:t>
      </w:r>
      <w:r>
        <w:rPr>
          <w:spacing w:val="-7"/>
          <w:sz w:val="22"/>
        </w:rPr>
        <w:t> </w:t>
      </w:r>
      <w:r>
        <w:rPr>
          <w:sz w:val="22"/>
        </w:rPr>
        <w:t>±</w:t>
      </w:r>
      <w:r>
        <w:rPr>
          <w:spacing w:val="-11"/>
          <w:sz w:val="22"/>
        </w:rPr>
        <w:t> </w:t>
      </w:r>
      <w:r>
        <w:rPr>
          <w:sz w:val="22"/>
        </w:rPr>
        <w:t>2.</w:t>
      </w:r>
      <w:r>
        <w:rPr>
          <w:spacing w:val="-1"/>
          <w:sz w:val="22"/>
        </w:rPr>
        <w:t> </w:t>
      </w:r>
      <w:r>
        <w:rPr>
          <w:sz w:val="22"/>
        </w:rPr>
        <w:t>El</w:t>
      </w:r>
      <w:r>
        <w:rPr>
          <w:spacing w:val="-6"/>
          <w:sz w:val="22"/>
        </w:rPr>
        <w:t> </w:t>
      </w:r>
      <w:r>
        <w:rPr>
          <w:sz w:val="22"/>
        </w:rPr>
        <w:t>periodo</w:t>
      </w:r>
      <w:r>
        <w:rPr>
          <w:spacing w:val="-2"/>
          <w:sz w:val="22"/>
        </w:rPr>
        <w:t> </w:t>
      </w:r>
      <w:r>
        <w:rPr>
          <w:sz w:val="22"/>
        </w:rPr>
        <w:t>de</w:t>
      </w:r>
      <w:r>
        <w:rPr>
          <w:spacing w:val="-6"/>
          <w:sz w:val="22"/>
        </w:rPr>
        <w:t> </w:t>
      </w:r>
      <w:r>
        <w:rPr>
          <w:sz w:val="22"/>
        </w:rPr>
        <w:t>lactancia</w:t>
      </w:r>
      <w:r>
        <w:rPr>
          <w:spacing w:val="-2"/>
          <w:sz w:val="22"/>
        </w:rPr>
        <w:t> </w:t>
      </w:r>
      <w:r>
        <w:rPr>
          <w:sz w:val="22"/>
        </w:rPr>
        <w:t>de</w:t>
      </w:r>
      <w:r>
        <w:rPr>
          <w:spacing w:val="-6"/>
          <w:sz w:val="22"/>
        </w:rPr>
        <w:t> </w:t>
      </w:r>
      <w:r>
        <w:rPr>
          <w:sz w:val="22"/>
        </w:rPr>
        <w:t>los</w:t>
      </w:r>
      <w:r>
        <w:rPr>
          <w:spacing w:val="-4"/>
          <w:sz w:val="22"/>
        </w:rPr>
        <w:t> </w:t>
      </w:r>
      <w:r>
        <w:rPr>
          <w:sz w:val="22"/>
        </w:rPr>
        <w:t>gazapos</w:t>
      </w:r>
      <w:r>
        <w:rPr>
          <w:spacing w:val="-2"/>
          <w:sz w:val="22"/>
        </w:rPr>
        <w:t> </w:t>
      </w:r>
      <w:r>
        <w:rPr>
          <w:sz w:val="22"/>
        </w:rPr>
        <w:t>hasta</w:t>
      </w:r>
      <w:r>
        <w:rPr>
          <w:spacing w:val="-4"/>
          <w:sz w:val="22"/>
        </w:rPr>
        <w:t> </w:t>
      </w:r>
      <w:r>
        <w:rPr>
          <w:sz w:val="22"/>
        </w:rPr>
        <w:t>el</w:t>
      </w:r>
      <w:r>
        <w:rPr>
          <w:spacing w:val="-6"/>
          <w:sz w:val="22"/>
        </w:rPr>
        <w:t> </w:t>
      </w:r>
      <w:r>
        <w:rPr>
          <w:sz w:val="22"/>
        </w:rPr>
        <w:t>destete</w:t>
      </w:r>
      <w:r>
        <w:rPr>
          <w:spacing w:val="-4"/>
          <w:sz w:val="22"/>
        </w:rPr>
        <w:t> </w:t>
      </w:r>
      <w:r>
        <w:rPr>
          <w:sz w:val="22"/>
        </w:rPr>
        <w:t>fue</w:t>
      </w:r>
      <w:r>
        <w:rPr>
          <w:spacing w:val="-6"/>
          <w:sz w:val="22"/>
        </w:rPr>
        <w:t> </w:t>
      </w:r>
      <w:r>
        <w:rPr>
          <w:sz w:val="22"/>
        </w:rPr>
        <w:t>de</w:t>
      </w:r>
      <w:r>
        <w:rPr>
          <w:spacing w:val="-6"/>
          <w:sz w:val="22"/>
        </w:rPr>
        <w:t> </w:t>
      </w:r>
      <w:r>
        <w:rPr>
          <w:sz w:val="22"/>
        </w:rPr>
        <w:t>30</w:t>
      </w:r>
      <w:r>
        <w:rPr>
          <w:spacing w:val="-6"/>
          <w:sz w:val="22"/>
        </w:rPr>
        <w:t> </w:t>
      </w:r>
      <w:r>
        <w:rPr>
          <w:sz w:val="22"/>
        </w:rPr>
        <w:t>a</w:t>
      </w:r>
      <w:r>
        <w:rPr>
          <w:spacing w:val="-4"/>
          <w:sz w:val="22"/>
        </w:rPr>
        <w:t> </w:t>
      </w:r>
      <w:r>
        <w:rPr>
          <w:sz w:val="22"/>
        </w:rPr>
        <w:t>35 días. El tiempo de engorda dependió del tipo de sistema de producción en cada granja y</w:t>
      </w:r>
      <w:r>
        <w:rPr>
          <w:spacing w:val="-38"/>
          <w:sz w:val="22"/>
        </w:rPr>
        <w:t> </w:t>
      </w:r>
      <w:r>
        <w:rPr>
          <w:sz w:val="22"/>
        </w:rPr>
        <w:t>el peso en canal al momento de su comercialización. Los días al sacrificio se estimaron</w:t>
      </w:r>
      <w:r>
        <w:rPr>
          <w:spacing w:val="-40"/>
          <w:sz w:val="22"/>
        </w:rPr>
        <w:t> </w:t>
      </w:r>
      <w:r>
        <w:rPr>
          <w:sz w:val="22"/>
        </w:rPr>
        <w:t>entre 60 a 120 días, con un peso al sacrificio y un peso del canal entre 1.050 a 1.700 kg. En el </w:t>
      </w:r>
      <w:r>
        <w:rPr>
          <w:color w:val="C00000"/>
          <w:sz w:val="22"/>
        </w:rPr>
        <w:t>cuadro 1, </w:t>
      </w:r>
      <w:r>
        <w:rPr>
          <w:sz w:val="22"/>
        </w:rPr>
        <w:t>se muestran los resultados comparativos del análisis químico de la carne de conejo, procedente de las unidades de producción localizadas en las regiones</w:t>
      </w:r>
      <w:r>
        <w:rPr>
          <w:spacing w:val="-36"/>
          <w:sz w:val="22"/>
        </w:rPr>
        <w:t> </w:t>
      </w:r>
      <w:r>
        <w:rPr>
          <w:sz w:val="22"/>
        </w:rPr>
        <w:t>económicas estudiadas y el grupo control entre las que se observaron diferencias en el contenido de materia seca, humedad, proteína (P&lt;0.05). La interacción entre la composición química</w:t>
      </w:r>
      <w:r>
        <w:rPr>
          <w:spacing w:val="-38"/>
          <w:sz w:val="22"/>
        </w:rPr>
        <w:t> </w:t>
      </w:r>
      <w:r>
        <w:rPr>
          <w:sz w:val="22"/>
        </w:rPr>
        <w:t>de la</w:t>
      </w:r>
      <w:r>
        <w:rPr>
          <w:spacing w:val="-8"/>
          <w:sz w:val="22"/>
        </w:rPr>
        <w:t> </w:t>
      </w:r>
      <w:r>
        <w:rPr>
          <w:sz w:val="22"/>
        </w:rPr>
        <w:t>carne</w:t>
      </w:r>
      <w:r>
        <w:rPr>
          <w:spacing w:val="-8"/>
          <w:sz w:val="22"/>
        </w:rPr>
        <w:t> </w:t>
      </w:r>
      <w:r>
        <w:rPr>
          <w:sz w:val="22"/>
        </w:rPr>
        <w:t>de</w:t>
      </w:r>
      <w:r>
        <w:rPr>
          <w:spacing w:val="-8"/>
          <w:sz w:val="22"/>
        </w:rPr>
        <w:t> </w:t>
      </w:r>
      <w:r>
        <w:rPr>
          <w:sz w:val="22"/>
        </w:rPr>
        <w:t>conejo</w:t>
      </w:r>
      <w:r>
        <w:rPr>
          <w:spacing w:val="-8"/>
          <w:sz w:val="22"/>
        </w:rPr>
        <w:t> </w:t>
      </w:r>
      <w:r>
        <w:rPr>
          <w:sz w:val="22"/>
        </w:rPr>
        <w:t>y</w:t>
      </w:r>
      <w:r>
        <w:rPr>
          <w:spacing w:val="-10"/>
          <w:sz w:val="22"/>
        </w:rPr>
        <w:t> </w:t>
      </w:r>
      <w:r>
        <w:rPr>
          <w:sz w:val="22"/>
        </w:rPr>
        <w:t>la</w:t>
      </w:r>
      <w:r>
        <w:rPr>
          <w:spacing w:val="-8"/>
          <w:sz w:val="22"/>
        </w:rPr>
        <w:t> </w:t>
      </w:r>
      <w:r>
        <w:rPr>
          <w:sz w:val="22"/>
        </w:rPr>
        <w:t>edad</w:t>
      </w:r>
      <w:r>
        <w:rPr>
          <w:spacing w:val="-8"/>
          <w:sz w:val="22"/>
        </w:rPr>
        <w:t> </w:t>
      </w:r>
      <w:r>
        <w:rPr>
          <w:sz w:val="22"/>
        </w:rPr>
        <w:t>al</w:t>
      </w:r>
      <w:r>
        <w:rPr>
          <w:spacing w:val="-9"/>
          <w:sz w:val="22"/>
        </w:rPr>
        <w:t> </w:t>
      </w:r>
      <w:r>
        <w:rPr>
          <w:sz w:val="22"/>
        </w:rPr>
        <w:t>sacrificio</w:t>
      </w:r>
      <w:r>
        <w:rPr>
          <w:spacing w:val="-8"/>
          <w:sz w:val="22"/>
        </w:rPr>
        <w:t> </w:t>
      </w:r>
      <w:r>
        <w:rPr>
          <w:sz w:val="22"/>
        </w:rPr>
        <w:t>y</w:t>
      </w:r>
      <w:r>
        <w:rPr>
          <w:spacing w:val="-10"/>
          <w:sz w:val="22"/>
        </w:rPr>
        <w:t> </w:t>
      </w:r>
      <w:r>
        <w:rPr>
          <w:sz w:val="22"/>
        </w:rPr>
        <w:t>el</w:t>
      </w:r>
      <w:r>
        <w:rPr>
          <w:spacing w:val="-9"/>
          <w:sz w:val="22"/>
        </w:rPr>
        <w:t> </w:t>
      </w:r>
      <w:r>
        <w:rPr>
          <w:sz w:val="22"/>
        </w:rPr>
        <w:t>sexo</w:t>
      </w:r>
      <w:r>
        <w:rPr>
          <w:spacing w:val="-8"/>
          <w:sz w:val="22"/>
        </w:rPr>
        <w:t> </w:t>
      </w:r>
      <w:r>
        <w:rPr>
          <w:sz w:val="22"/>
        </w:rPr>
        <w:t>de</w:t>
      </w:r>
      <w:r>
        <w:rPr>
          <w:spacing w:val="-8"/>
          <w:sz w:val="22"/>
        </w:rPr>
        <w:t> </w:t>
      </w:r>
      <w:r>
        <w:rPr>
          <w:sz w:val="22"/>
        </w:rPr>
        <w:t>los</w:t>
      </w:r>
      <w:r>
        <w:rPr>
          <w:spacing w:val="-8"/>
          <w:sz w:val="22"/>
        </w:rPr>
        <w:t> </w:t>
      </w:r>
      <w:r>
        <w:rPr>
          <w:sz w:val="22"/>
        </w:rPr>
        <w:t>animales</w:t>
      </w:r>
      <w:r>
        <w:rPr>
          <w:spacing w:val="-8"/>
          <w:sz w:val="22"/>
        </w:rPr>
        <w:t> </w:t>
      </w:r>
      <w:r>
        <w:rPr>
          <w:sz w:val="22"/>
        </w:rPr>
        <w:t>al</w:t>
      </w:r>
      <w:r>
        <w:rPr>
          <w:spacing w:val="-9"/>
          <w:sz w:val="22"/>
        </w:rPr>
        <w:t> </w:t>
      </w:r>
      <w:r>
        <w:rPr>
          <w:sz w:val="22"/>
        </w:rPr>
        <w:t>abasto</w:t>
      </w:r>
      <w:r>
        <w:rPr>
          <w:spacing w:val="-8"/>
          <w:sz w:val="22"/>
        </w:rPr>
        <w:t> </w:t>
      </w:r>
      <w:r>
        <w:rPr>
          <w:sz w:val="22"/>
        </w:rPr>
        <w:t>no</w:t>
      </w:r>
      <w:r>
        <w:rPr>
          <w:spacing w:val="-8"/>
          <w:sz w:val="22"/>
        </w:rPr>
        <w:t> </w:t>
      </w:r>
      <w:r>
        <w:rPr>
          <w:sz w:val="22"/>
        </w:rPr>
        <w:t>fue</w:t>
      </w:r>
      <w:r>
        <w:rPr>
          <w:spacing w:val="-10"/>
          <w:sz w:val="22"/>
        </w:rPr>
        <w:t> </w:t>
      </w:r>
      <w:r>
        <w:rPr>
          <w:sz w:val="22"/>
        </w:rPr>
        <w:t>diferente (p&gt;0.05).</w:t>
      </w:r>
    </w:p>
    <w:p>
      <w:pPr>
        <w:pStyle w:val="BodyText"/>
        <w:spacing w:before="9"/>
        <w:rPr>
          <w:sz w:val="17"/>
        </w:rPr>
      </w:pPr>
    </w:p>
    <w:p>
      <w:pPr>
        <w:spacing w:line="360" w:lineRule="auto" w:before="0"/>
        <w:ind w:left="152" w:right="104" w:firstLine="0"/>
        <w:jc w:val="both"/>
        <w:rPr>
          <w:sz w:val="22"/>
        </w:rPr>
      </w:pPr>
      <w:r>
        <w:rPr>
          <w:sz w:val="22"/>
        </w:rPr>
        <w:t>La distribución de los valores obtenidos de los parámetros del análisis químico de la carne de conejo en las regiones económicas se aprecia en el </w:t>
      </w:r>
      <w:r>
        <w:rPr>
          <w:color w:val="92D050"/>
          <w:sz w:val="22"/>
        </w:rPr>
        <w:t>cuadro 2.</w:t>
      </w:r>
      <w:r>
        <w:rPr>
          <w:sz w:val="22"/>
        </w:rPr>
        <w:t>Entre los parámetros químicos de la carne evaluados no se encontraron diferencias relacionadas con las regiones económicas y las unidades de producción localizadas en los municipios (p&gt;0.05). Los resultados obtenidos de la clasificación de canales se aprecia en el </w:t>
      </w:r>
      <w:r>
        <w:rPr>
          <w:color w:val="00AFEF"/>
          <w:sz w:val="22"/>
        </w:rPr>
        <w:t>cuadro 3, </w:t>
      </w:r>
      <w:r>
        <w:rPr>
          <w:sz w:val="22"/>
        </w:rPr>
        <w:t>la distribución en la clasificación de canales evaluadas en las regiones económicas; en la región VII correspondió a México Extra 66% en comparación con la menor proporción mostrada de las categorías de México 1 y México 2 (p&lt;0.05). En la región XIII predomino la</w:t>
      </w:r>
      <w:r>
        <w:rPr>
          <w:spacing w:val="-9"/>
          <w:sz w:val="22"/>
        </w:rPr>
        <w:t> </w:t>
      </w:r>
      <w:r>
        <w:rPr>
          <w:sz w:val="22"/>
        </w:rPr>
        <w:t>categoría</w:t>
      </w:r>
      <w:r>
        <w:rPr>
          <w:spacing w:val="-9"/>
          <w:sz w:val="22"/>
        </w:rPr>
        <w:t> </w:t>
      </w:r>
      <w:r>
        <w:rPr>
          <w:sz w:val="22"/>
        </w:rPr>
        <w:t>considerada</w:t>
      </w:r>
      <w:r>
        <w:rPr>
          <w:spacing w:val="-11"/>
          <w:sz w:val="22"/>
        </w:rPr>
        <w:t> </w:t>
      </w:r>
      <w:r>
        <w:rPr>
          <w:sz w:val="22"/>
        </w:rPr>
        <w:t>como</w:t>
      </w:r>
      <w:r>
        <w:rPr>
          <w:spacing w:val="-11"/>
          <w:sz w:val="22"/>
        </w:rPr>
        <w:t> </w:t>
      </w:r>
      <w:r>
        <w:rPr>
          <w:sz w:val="22"/>
        </w:rPr>
        <w:t>México</w:t>
      </w:r>
      <w:r>
        <w:rPr>
          <w:spacing w:val="-9"/>
          <w:sz w:val="22"/>
        </w:rPr>
        <w:t> </w:t>
      </w:r>
      <w:r>
        <w:rPr>
          <w:sz w:val="22"/>
        </w:rPr>
        <w:t>1,</w:t>
      </w:r>
      <w:r>
        <w:rPr>
          <w:spacing w:val="-8"/>
          <w:sz w:val="22"/>
        </w:rPr>
        <w:t> </w:t>
      </w:r>
      <w:r>
        <w:rPr>
          <w:sz w:val="22"/>
        </w:rPr>
        <w:t>50%</w:t>
      </w:r>
      <w:r>
        <w:rPr>
          <w:spacing w:val="-10"/>
          <w:sz w:val="22"/>
        </w:rPr>
        <w:t> </w:t>
      </w:r>
      <w:r>
        <w:rPr>
          <w:sz w:val="22"/>
        </w:rPr>
        <w:t>comparada</w:t>
      </w:r>
      <w:r>
        <w:rPr>
          <w:spacing w:val="-11"/>
          <w:sz w:val="22"/>
        </w:rPr>
        <w:t> </w:t>
      </w:r>
      <w:r>
        <w:rPr>
          <w:sz w:val="22"/>
        </w:rPr>
        <w:t>con</w:t>
      </w:r>
      <w:r>
        <w:rPr>
          <w:spacing w:val="-11"/>
          <w:sz w:val="22"/>
        </w:rPr>
        <w:t> </w:t>
      </w:r>
      <w:r>
        <w:rPr>
          <w:sz w:val="22"/>
        </w:rPr>
        <w:t>el</w:t>
      </w:r>
      <w:r>
        <w:rPr>
          <w:spacing w:val="-12"/>
          <w:sz w:val="22"/>
        </w:rPr>
        <w:t> </w:t>
      </w:r>
      <w:r>
        <w:rPr>
          <w:sz w:val="22"/>
        </w:rPr>
        <w:t>menor</w:t>
      </w:r>
      <w:r>
        <w:rPr>
          <w:spacing w:val="-8"/>
          <w:sz w:val="22"/>
        </w:rPr>
        <w:t> </w:t>
      </w:r>
      <w:r>
        <w:rPr>
          <w:sz w:val="22"/>
        </w:rPr>
        <w:t>número</w:t>
      </w:r>
      <w:r>
        <w:rPr>
          <w:spacing w:val="-11"/>
          <w:sz w:val="22"/>
        </w:rPr>
        <w:t> </w:t>
      </w:r>
      <w:r>
        <w:rPr>
          <w:sz w:val="22"/>
        </w:rPr>
        <w:t>de</w:t>
      </w:r>
      <w:r>
        <w:rPr>
          <w:spacing w:val="-11"/>
          <w:sz w:val="22"/>
        </w:rPr>
        <w:t> </w:t>
      </w:r>
      <w:r>
        <w:rPr>
          <w:sz w:val="22"/>
        </w:rPr>
        <w:t>canales de las categorías México Extra y México 2 (p&lt;0.05). Del total de canales de conejos clasificadas en el estudio (n = 210), el 55.2 % obtuvo una categoría de México extra (n = 116), 36.2 % México 1 (n=76), y 8.6 % México 2 (n=18) fueron diferentes</w:t>
      </w:r>
      <w:r>
        <w:rPr>
          <w:spacing w:val="-19"/>
          <w:sz w:val="22"/>
        </w:rPr>
        <w:t> </w:t>
      </w:r>
      <w:r>
        <w:rPr>
          <w:sz w:val="22"/>
        </w:rPr>
        <w:t>(p&lt;0.05).</w:t>
      </w:r>
    </w:p>
    <w:p>
      <w:pPr>
        <w:pStyle w:val="BodyText"/>
        <w:spacing w:before="7"/>
        <w:rPr>
          <w:sz w:val="17"/>
        </w:rPr>
      </w:pPr>
    </w:p>
    <w:p>
      <w:pPr>
        <w:spacing w:line="360" w:lineRule="auto" w:before="0"/>
        <w:ind w:left="152" w:right="108" w:firstLine="0"/>
        <w:jc w:val="both"/>
        <w:rPr>
          <w:sz w:val="22"/>
        </w:rPr>
      </w:pPr>
      <w:r>
        <w:rPr>
          <w:sz w:val="22"/>
        </w:rPr>
        <w:t>La distribución de los sistemas de producción familiar en las regiones económicas fueron los siguientes, en la región XIII comprada con la región VII mostró una similitud entre la proporción</w:t>
      </w:r>
      <w:r>
        <w:rPr>
          <w:spacing w:val="-9"/>
          <w:sz w:val="22"/>
        </w:rPr>
        <w:t> </w:t>
      </w:r>
      <w:r>
        <w:rPr>
          <w:sz w:val="22"/>
        </w:rPr>
        <w:t>de</w:t>
      </w:r>
      <w:r>
        <w:rPr>
          <w:spacing w:val="-11"/>
          <w:sz w:val="22"/>
        </w:rPr>
        <w:t> </w:t>
      </w:r>
      <w:r>
        <w:rPr>
          <w:sz w:val="22"/>
        </w:rPr>
        <w:t>traspatio</w:t>
      </w:r>
      <w:r>
        <w:rPr>
          <w:spacing w:val="-9"/>
          <w:sz w:val="22"/>
        </w:rPr>
        <w:t> </w:t>
      </w:r>
      <w:r>
        <w:rPr>
          <w:sz w:val="22"/>
        </w:rPr>
        <w:t>50%</w:t>
      </w:r>
      <w:r>
        <w:rPr>
          <w:spacing w:val="-8"/>
          <w:sz w:val="22"/>
        </w:rPr>
        <w:t> </w:t>
      </w:r>
      <w:r>
        <w:rPr>
          <w:sz w:val="22"/>
        </w:rPr>
        <w:t>y</w:t>
      </w:r>
      <w:r>
        <w:rPr>
          <w:spacing w:val="-11"/>
          <w:sz w:val="22"/>
        </w:rPr>
        <w:t> </w:t>
      </w:r>
      <w:r>
        <w:rPr>
          <w:sz w:val="22"/>
        </w:rPr>
        <w:t>la</w:t>
      </w:r>
      <w:r>
        <w:rPr>
          <w:spacing w:val="-9"/>
          <w:sz w:val="22"/>
        </w:rPr>
        <w:t> </w:t>
      </w:r>
      <w:r>
        <w:rPr>
          <w:sz w:val="22"/>
        </w:rPr>
        <w:t>semitecnificado</w:t>
      </w:r>
      <w:r>
        <w:rPr>
          <w:spacing w:val="-11"/>
          <w:sz w:val="22"/>
        </w:rPr>
        <w:t> </w:t>
      </w:r>
      <w:r>
        <w:rPr>
          <w:sz w:val="22"/>
        </w:rPr>
        <w:t>50%</w:t>
      </w:r>
      <w:r>
        <w:rPr>
          <w:spacing w:val="-8"/>
          <w:sz w:val="22"/>
        </w:rPr>
        <w:t> </w:t>
      </w:r>
      <w:r>
        <w:rPr>
          <w:sz w:val="22"/>
        </w:rPr>
        <w:t>(&gt;0.05).</w:t>
      </w:r>
      <w:r>
        <w:rPr>
          <w:spacing w:val="-8"/>
          <w:sz w:val="22"/>
        </w:rPr>
        <w:t> </w:t>
      </w:r>
      <w:r>
        <w:rPr>
          <w:sz w:val="22"/>
        </w:rPr>
        <w:t>A</w:t>
      </w:r>
      <w:r>
        <w:rPr>
          <w:spacing w:val="-9"/>
          <w:sz w:val="22"/>
        </w:rPr>
        <w:t> </w:t>
      </w:r>
      <w:r>
        <w:rPr>
          <w:sz w:val="22"/>
        </w:rPr>
        <w:t>diferencia</w:t>
      </w:r>
      <w:r>
        <w:rPr>
          <w:spacing w:val="-11"/>
          <w:sz w:val="22"/>
        </w:rPr>
        <w:t> </w:t>
      </w:r>
      <w:r>
        <w:rPr>
          <w:sz w:val="22"/>
        </w:rPr>
        <w:t>de</w:t>
      </w:r>
      <w:r>
        <w:rPr>
          <w:spacing w:val="45"/>
          <w:sz w:val="22"/>
        </w:rPr>
        <w:t> </w:t>
      </w:r>
      <w:r>
        <w:rPr>
          <w:sz w:val="22"/>
        </w:rPr>
        <w:t>la</w:t>
      </w:r>
      <w:r>
        <w:rPr>
          <w:spacing w:val="-11"/>
          <w:sz w:val="22"/>
        </w:rPr>
        <w:t> </w:t>
      </w:r>
      <w:r>
        <w:rPr>
          <w:sz w:val="22"/>
        </w:rPr>
        <w:t>región</w:t>
      </w:r>
      <w:r>
        <w:rPr>
          <w:spacing w:val="-9"/>
          <w:sz w:val="22"/>
        </w:rPr>
        <w:t> </w:t>
      </w:r>
      <w:r>
        <w:rPr>
          <w:sz w:val="22"/>
        </w:rPr>
        <w:t>VIII en donde predomino el sistema semitecnificado sobre el de traspatio</w:t>
      </w:r>
      <w:r>
        <w:rPr>
          <w:spacing w:val="-17"/>
          <w:sz w:val="22"/>
        </w:rPr>
        <w:t> </w:t>
      </w:r>
      <w:r>
        <w:rPr>
          <w:sz w:val="22"/>
        </w:rPr>
        <w:t>(p&lt;0.5).</w:t>
      </w:r>
    </w:p>
    <w:p>
      <w:pPr>
        <w:spacing w:after="0" w:line="360" w:lineRule="auto"/>
        <w:jc w:val="both"/>
        <w:rPr>
          <w:sz w:val="22"/>
        </w:rPr>
        <w:sectPr>
          <w:pgSz w:w="12240" w:h="15840"/>
          <w:pgMar w:header="0" w:footer="1386" w:top="1500" w:bottom="1580" w:left="1720" w:right="1420"/>
        </w:sectPr>
      </w:pPr>
    </w:p>
    <w:p>
      <w:pPr>
        <w:pStyle w:val="BodyText"/>
        <w:spacing w:before="7"/>
        <w:rPr>
          <w:sz w:val="20"/>
        </w:rPr>
      </w:pPr>
    </w:p>
    <w:p>
      <w:pPr>
        <w:spacing w:before="73"/>
        <w:ind w:left="152" w:right="0" w:firstLine="0"/>
        <w:jc w:val="both"/>
        <w:rPr>
          <w:b/>
          <w:sz w:val="22"/>
        </w:rPr>
      </w:pPr>
      <w:r>
        <w:rPr>
          <w:b/>
          <w:sz w:val="22"/>
        </w:rPr>
        <w:t>DISCUSION</w:t>
      </w:r>
    </w:p>
    <w:p>
      <w:pPr>
        <w:pStyle w:val="BodyText"/>
        <w:spacing w:before="5"/>
        <w:rPr>
          <w:b/>
          <w:sz w:val="28"/>
        </w:rPr>
      </w:pPr>
    </w:p>
    <w:p>
      <w:pPr>
        <w:spacing w:line="360" w:lineRule="auto" w:before="1"/>
        <w:ind w:left="152" w:right="105" w:firstLine="0"/>
        <w:jc w:val="both"/>
        <w:rPr>
          <w:sz w:val="22"/>
        </w:rPr>
      </w:pPr>
      <w:r>
        <w:rPr>
          <w:sz w:val="22"/>
        </w:rPr>
        <w:t>Los</w:t>
      </w:r>
      <w:r>
        <w:rPr>
          <w:spacing w:val="-4"/>
          <w:sz w:val="22"/>
        </w:rPr>
        <w:t> </w:t>
      </w:r>
      <w:r>
        <w:rPr>
          <w:sz w:val="22"/>
        </w:rPr>
        <w:t>indicadores</w:t>
      </w:r>
      <w:r>
        <w:rPr>
          <w:spacing w:val="-6"/>
          <w:sz w:val="22"/>
        </w:rPr>
        <w:t> </w:t>
      </w:r>
      <w:r>
        <w:rPr>
          <w:sz w:val="22"/>
        </w:rPr>
        <w:t>productivos</w:t>
      </w:r>
      <w:r>
        <w:rPr>
          <w:spacing w:val="-4"/>
          <w:sz w:val="22"/>
        </w:rPr>
        <w:t> </w:t>
      </w:r>
      <w:r>
        <w:rPr>
          <w:sz w:val="22"/>
        </w:rPr>
        <w:t>obtenidos</w:t>
      </w:r>
      <w:r>
        <w:rPr>
          <w:spacing w:val="-4"/>
          <w:sz w:val="22"/>
        </w:rPr>
        <w:t> </w:t>
      </w:r>
      <w:r>
        <w:rPr>
          <w:sz w:val="22"/>
        </w:rPr>
        <w:t>de</w:t>
      </w:r>
      <w:r>
        <w:rPr>
          <w:spacing w:val="-7"/>
          <w:sz w:val="22"/>
        </w:rPr>
        <w:t> </w:t>
      </w:r>
      <w:r>
        <w:rPr>
          <w:sz w:val="22"/>
        </w:rPr>
        <w:t>las</w:t>
      </w:r>
      <w:r>
        <w:rPr>
          <w:spacing w:val="-6"/>
          <w:sz w:val="22"/>
        </w:rPr>
        <w:t> </w:t>
      </w:r>
      <w:r>
        <w:rPr>
          <w:sz w:val="22"/>
        </w:rPr>
        <w:t>unidades</w:t>
      </w:r>
      <w:r>
        <w:rPr>
          <w:spacing w:val="-4"/>
          <w:sz w:val="22"/>
        </w:rPr>
        <w:t> </w:t>
      </w:r>
      <w:r>
        <w:rPr>
          <w:sz w:val="22"/>
        </w:rPr>
        <w:t>cunículas</w:t>
      </w:r>
      <w:r>
        <w:rPr>
          <w:spacing w:val="-4"/>
          <w:sz w:val="22"/>
        </w:rPr>
        <w:t> </w:t>
      </w:r>
      <w:r>
        <w:rPr>
          <w:sz w:val="22"/>
        </w:rPr>
        <w:t>de</w:t>
      </w:r>
      <w:r>
        <w:rPr>
          <w:spacing w:val="-7"/>
          <w:sz w:val="22"/>
        </w:rPr>
        <w:t> </w:t>
      </w:r>
      <w:r>
        <w:rPr>
          <w:sz w:val="22"/>
        </w:rPr>
        <w:t>tipo</w:t>
      </w:r>
      <w:r>
        <w:rPr>
          <w:spacing w:val="-9"/>
          <w:sz w:val="22"/>
        </w:rPr>
        <w:t> </w:t>
      </w:r>
      <w:r>
        <w:rPr>
          <w:sz w:val="22"/>
        </w:rPr>
        <w:t>familiar</w:t>
      </w:r>
      <w:r>
        <w:rPr>
          <w:spacing w:val="-3"/>
          <w:sz w:val="22"/>
        </w:rPr>
        <w:t> </w:t>
      </w:r>
      <w:r>
        <w:rPr>
          <w:sz w:val="22"/>
        </w:rPr>
        <w:t>en</w:t>
      </w:r>
      <w:r>
        <w:rPr>
          <w:spacing w:val="-7"/>
          <w:sz w:val="22"/>
        </w:rPr>
        <w:t> </w:t>
      </w:r>
      <w:r>
        <w:rPr>
          <w:sz w:val="22"/>
        </w:rPr>
        <w:t>el</w:t>
      </w:r>
      <w:r>
        <w:rPr>
          <w:spacing w:val="-5"/>
          <w:sz w:val="22"/>
        </w:rPr>
        <w:t> </w:t>
      </w:r>
      <w:r>
        <w:rPr>
          <w:sz w:val="22"/>
        </w:rPr>
        <w:t>valle de Toluca, ponen de manifiesto un sistema de producción eficiente (20). Denotando la importancia de la cría de conejos como actividad productiva en las regiones económicas estudiadas. La cunicultura familiar es considerada como estratégica para mejorar la alimentación e ingreso económico en las familias del medio rural</w:t>
      </w:r>
      <w:r>
        <w:rPr>
          <w:position w:val="8"/>
          <w:sz w:val="14"/>
        </w:rPr>
        <w:t>(21)</w:t>
      </w:r>
      <w:r>
        <w:rPr>
          <w:sz w:val="22"/>
        </w:rPr>
        <w:t>. Propiciando el bienestar social mediante al generar empleo familiar y la organización de pequeñas agroindustrias</w:t>
      </w:r>
      <w:r>
        <w:rPr>
          <w:spacing w:val="-12"/>
          <w:sz w:val="22"/>
        </w:rPr>
        <w:t> </w:t>
      </w:r>
      <w:r>
        <w:rPr>
          <w:sz w:val="22"/>
        </w:rPr>
        <w:t>artesanales</w:t>
      </w:r>
      <w:r>
        <w:rPr>
          <w:spacing w:val="-9"/>
          <w:sz w:val="22"/>
        </w:rPr>
        <w:t> </w:t>
      </w:r>
      <w:r>
        <w:rPr>
          <w:position w:val="8"/>
          <w:sz w:val="14"/>
        </w:rPr>
        <w:t>(22)</w:t>
      </w:r>
      <w:r>
        <w:rPr>
          <w:sz w:val="22"/>
        </w:rPr>
        <w:t>.</w:t>
      </w:r>
      <w:r>
        <w:rPr>
          <w:spacing w:val="-9"/>
          <w:sz w:val="22"/>
        </w:rPr>
        <w:t> </w:t>
      </w:r>
      <w:r>
        <w:rPr>
          <w:sz w:val="22"/>
        </w:rPr>
        <w:t>La</w:t>
      </w:r>
      <w:r>
        <w:rPr>
          <w:spacing w:val="-12"/>
          <w:sz w:val="22"/>
        </w:rPr>
        <w:t> </w:t>
      </w:r>
      <w:r>
        <w:rPr>
          <w:sz w:val="22"/>
        </w:rPr>
        <w:t>producción</w:t>
      </w:r>
      <w:r>
        <w:rPr>
          <w:spacing w:val="-10"/>
          <w:sz w:val="22"/>
        </w:rPr>
        <w:t> </w:t>
      </w:r>
      <w:r>
        <w:rPr>
          <w:sz w:val="22"/>
        </w:rPr>
        <w:t>cunícola</w:t>
      </w:r>
      <w:r>
        <w:rPr>
          <w:spacing w:val="-10"/>
          <w:sz w:val="22"/>
        </w:rPr>
        <w:t> </w:t>
      </w:r>
      <w:r>
        <w:rPr>
          <w:sz w:val="22"/>
        </w:rPr>
        <w:t>como</w:t>
      </w:r>
      <w:r>
        <w:rPr>
          <w:spacing w:val="-12"/>
          <w:sz w:val="22"/>
        </w:rPr>
        <w:t> </w:t>
      </w:r>
      <w:r>
        <w:rPr>
          <w:sz w:val="22"/>
        </w:rPr>
        <w:t>actividad</w:t>
      </w:r>
      <w:r>
        <w:rPr>
          <w:spacing w:val="-10"/>
          <w:sz w:val="22"/>
        </w:rPr>
        <w:t> </w:t>
      </w:r>
      <w:r>
        <w:rPr>
          <w:sz w:val="22"/>
        </w:rPr>
        <w:t>pecuaria</w:t>
      </w:r>
      <w:r>
        <w:rPr>
          <w:spacing w:val="-12"/>
          <w:sz w:val="22"/>
        </w:rPr>
        <w:t> </w:t>
      </w:r>
      <w:r>
        <w:rPr>
          <w:sz w:val="22"/>
        </w:rPr>
        <w:t>favorece</w:t>
      </w:r>
      <w:r>
        <w:rPr>
          <w:spacing w:val="-12"/>
          <w:sz w:val="22"/>
        </w:rPr>
        <w:t> </w:t>
      </w:r>
      <w:r>
        <w:rPr>
          <w:sz w:val="22"/>
        </w:rPr>
        <w:t>en la integración de empresas familiares productivas, al facilitar la producción por el fácil manejo</w:t>
      </w:r>
      <w:r>
        <w:rPr>
          <w:spacing w:val="-10"/>
          <w:sz w:val="22"/>
        </w:rPr>
        <w:t> </w:t>
      </w:r>
      <w:r>
        <w:rPr>
          <w:sz w:val="22"/>
        </w:rPr>
        <w:t>de</w:t>
      </w:r>
      <w:r>
        <w:rPr>
          <w:spacing w:val="-9"/>
          <w:sz w:val="22"/>
        </w:rPr>
        <w:t> </w:t>
      </w:r>
      <w:r>
        <w:rPr>
          <w:sz w:val="22"/>
        </w:rPr>
        <w:t>la</w:t>
      </w:r>
      <w:r>
        <w:rPr>
          <w:spacing w:val="-9"/>
          <w:sz w:val="22"/>
        </w:rPr>
        <w:t> </w:t>
      </w:r>
      <w:r>
        <w:rPr>
          <w:sz w:val="22"/>
        </w:rPr>
        <w:t>especie,</w:t>
      </w:r>
      <w:r>
        <w:rPr>
          <w:spacing w:val="-8"/>
          <w:sz w:val="22"/>
        </w:rPr>
        <w:t> </w:t>
      </w:r>
      <w:r>
        <w:rPr>
          <w:sz w:val="22"/>
        </w:rPr>
        <w:t>ciclos</w:t>
      </w:r>
      <w:r>
        <w:rPr>
          <w:spacing w:val="-9"/>
          <w:sz w:val="22"/>
        </w:rPr>
        <w:t> </w:t>
      </w:r>
      <w:r>
        <w:rPr>
          <w:sz w:val="22"/>
        </w:rPr>
        <w:t>cortos</w:t>
      </w:r>
      <w:r>
        <w:rPr>
          <w:spacing w:val="-8"/>
          <w:sz w:val="22"/>
        </w:rPr>
        <w:t> </w:t>
      </w:r>
      <w:r>
        <w:rPr>
          <w:sz w:val="22"/>
        </w:rPr>
        <w:t>de</w:t>
      </w:r>
      <w:r>
        <w:rPr>
          <w:spacing w:val="-9"/>
          <w:sz w:val="22"/>
        </w:rPr>
        <w:t> </w:t>
      </w:r>
      <w:r>
        <w:rPr>
          <w:sz w:val="22"/>
        </w:rPr>
        <w:t>producción</w:t>
      </w:r>
      <w:r>
        <w:rPr>
          <w:spacing w:val="-10"/>
          <w:sz w:val="22"/>
        </w:rPr>
        <w:t> </w:t>
      </w:r>
      <w:r>
        <w:rPr>
          <w:sz w:val="22"/>
        </w:rPr>
        <w:t>con</w:t>
      </w:r>
      <w:r>
        <w:rPr>
          <w:spacing w:val="-9"/>
          <w:sz w:val="22"/>
        </w:rPr>
        <w:t> </w:t>
      </w:r>
      <w:r>
        <w:rPr>
          <w:sz w:val="22"/>
        </w:rPr>
        <w:t>tasas</w:t>
      </w:r>
      <w:r>
        <w:rPr>
          <w:spacing w:val="-10"/>
          <w:sz w:val="22"/>
        </w:rPr>
        <w:t> </w:t>
      </w:r>
      <w:r>
        <w:rPr>
          <w:sz w:val="22"/>
        </w:rPr>
        <w:t>de</w:t>
      </w:r>
      <w:r>
        <w:rPr>
          <w:spacing w:val="-9"/>
          <w:sz w:val="22"/>
        </w:rPr>
        <w:t> </w:t>
      </w:r>
      <w:r>
        <w:rPr>
          <w:sz w:val="22"/>
        </w:rPr>
        <w:t>capitalización</w:t>
      </w:r>
      <w:r>
        <w:rPr>
          <w:spacing w:val="-10"/>
          <w:sz w:val="22"/>
        </w:rPr>
        <w:t> </w:t>
      </w:r>
      <w:r>
        <w:rPr>
          <w:sz w:val="22"/>
        </w:rPr>
        <w:t>favorables</w:t>
      </w:r>
      <w:r>
        <w:rPr>
          <w:spacing w:val="-9"/>
          <w:sz w:val="22"/>
        </w:rPr>
        <w:t> </w:t>
      </w:r>
      <w:r>
        <w:rPr>
          <w:sz w:val="22"/>
        </w:rPr>
        <w:t>en un corto tiempo mediante la recuperación de la inversión entre los pequeños y medianos productores </w:t>
      </w:r>
      <w:r>
        <w:rPr>
          <w:position w:val="8"/>
          <w:sz w:val="14"/>
        </w:rPr>
        <w:t>(23)</w:t>
      </w:r>
      <w:r>
        <w:rPr>
          <w:sz w:val="22"/>
        </w:rPr>
        <w:t>. Osechas y Becerra </w:t>
      </w:r>
      <w:r>
        <w:rPr>
          <w:position w:val="8"/>
          <w:sz w:val="14"/>
        </w:rPr>
        <w:t>(24)</w:t>
      </w:r>
      <w:r>
        <w:rPr>
          <w:sz w:val="22"/>
        </w:rPr>
        <w:t>, que la producción de carne de conejo es determinante en la generación y diversificación del empleo rural, necesaria en la conformación</w:t>
      </w:r>
      <w:r>
        <w:rPr>
          <w:spacing w:val="-7"/>
          <w:sz w:val="22"/>
        </w:rPr>
        <w:t> </w:t>
      </w:r>
      <w:r>
        <w:rPr>
          <w:sz w:val="22"/>
        </w:rPr>
        <w:t>de</w:t>
      </w:r>
      <w:r>
        <w:rPr>
          <w:spacing w:val="-9"/>
          <w:sz w:val="22"/>
        </w:rPr>
        <w:t> </w:t>
      </w:r>
      <w:r>
        <w:rPr>
          <w:sz w:val="22"/>
        </w:rPr>
        <w:t>la</w:t>
      </w:r>
      <w:r>
        <w:rPr>
          <w:spacing w:val="-6"/>
          <w:sz w:val="22"/>
        </w:rPr>
        <w:t> </w:t>
      </w:r>
      <w:r>
        <w:rPr>
          <w:sz w:val="22"/>
        </w:rPr>
        <w:t>estructura</w:t>
      </w:r>
      <w:r>
        <w:rPr>
          <w:spacing w:val="-8"/>
          <w:sz w:val="22"/>
        </w:rPr>
        <w:t> </w:t>
      </w:r>
      <w:r>
        <w:rPr>
          <w:sz w:val="22"/>
        </w:rPr>
        <w:t>socio-económica</w:t>
      </w:r>
      <w:r>
        <w:rPr>
          <w:spacing w:val="-6"/>
          <w:sz w:val="22"/>
        </w:rPr>
        <w:t> </w:t>
      </w:r>
      <w:r>
        <w:rPr>
          <w:sz w:val="22"/>
        </w:rPr>
        <w:t>en</w:t>
      </w:r>
      <w:r>
        <w:rPr>
          <w:spacing w:val="-6"/>
          <w:sz w:val="22"/>
        </w:rPr>
        <w:t> </w:t>
      </w:r>
      <w:r>
        <w:rPr>
          <w:sz w:val="22"/>
        </w:rPr>
        <w:t>la</w:t>
      </w:r>
      <w:r>
        <w:rPr>
          <w:spacing w:val="-6"/>
          <w:sz w:val="22"/>
        </w:rPr>
        <w:t> </w:t>
      </w:r>
      <w:r>
        <w:rPr>
          <w:sz w:val="22"/>
        </w:rPr>
        <w:t>comunidad,</w:t>
      </w:r>
      <w:r>
        <w:rPr>
          <w:spacing w:val="-5"/>
          <w:sz w:val="22"/>
        </w:rPr>
        <w:t> </w:t>
      </w:r>
      <w:r>
        <w:rPr>
          <w:sz w:val="22"/>
        </w:rPr>
        <w:t>la</w:t>
      </w:r>
      <w:r>
        <w:rPr>
          <w:spacing w:val="-9"/>
          <w:sz w:val="22"/>
        </w:rPr>
        <w:t> </w:t>
      </w:r>
      <w:r>
        <w:rPr>
          <w:sz w:val="22"/>
        </w:rPr>
        <w:t>cual</w:t>
      </w:r>
      <w:r>
        <w:rPr>
          <w:spacing w:val="-7"/>
          <w:sz w:val="22"/>
        </w:rPr>
        <w:t> </w:t>
      </w:r>
      <w:r>
        <w:rPr>
          <w:sz w:val="22"/>
        </w:rPr>
        <w:t>permite</w:t>
      </w:r>
      <w:r>
        <w:rPr>
          <w:spacing w:val="-9"/>
          <w:sz w:val="22"/>
        </w:rPr>
        <w:t> </w:t>
      </w:r>
      <w:r>
        <w:rPr>
          <w:sz w:val="22"/>
        </w:rPr>
        <w:t>incorporar a la mujer campesina en el proceso productivo en las unidades cunículas ciertas regiones geográficas marginadas, en donde la producción de conejos es la única alternativa en la economía alimentaria regional en nuestro país</w:t>
      </w:r>
      <w:r>
        <w:rPr>
          <w:spacing w:val="-15"/>
          <w:sz w:val="22"/>
        </w:rPr>
        <w:t> </w:t>
      </w:r>
      <w:r>
        <w:rPr>
          <w:position w:val="8"/>
          <w:sz w:val="14"/>
        </w:rPr>
        <w:t>(25)</w:t>
      </w:r>
      <w:r>
        <w:rPr>
          <w:sz w:val="22"/>
        </w:rPr>
        <w:t>.</w:t>
      </w:r>
    </w:p>
    <w:p>
      <w:pPr>
        <w:pStyle w:val="BodyText"/>
        <w:spacing w:before="10"/>
        <w:rPr>
          <w:sz w:val="32"/>
        </w:rPr>
      </w:pPr>
    </w:p>
    <w:p>
      <w:pPr>
        <w:spacing w:line="357" w:lineRule="auto" w:before="0"/>
        <w:ind w:left="152" w:right="108" w:firstLine="0"/>
        <w:jc w:val="both"/>
        <w:rPr>
          <w:sz w:val="22"/>
        </w:rPr>
      </w:pPr>
      <w:r>
        <w:rPr>
          <w:sz w:val="22"/>
        </w:rPr>
        <w:t>Se ha observado que la conformación y composición de la canal del conejo, esta relacionada con la raza, edad y el peso corporal que afectan la proporción de masa muscular y el tipo de tejido conjuntivo de soporte en las fibras musculares </w:t>
      </w:r>
      <w:r>
        <w:rPr>
          <w:position w:val="8"/>
          <w:sz w:val="14"/>
        </w:rPr>
        <w:t>(22)</w:t>
      </w:r>
      <w:r>
        <w:rPr>
          <w:sz w:val="22"/>
        </w:rPr>
        <w:t>. Al sacrificar conejos más jóvenes, la carne es tierna y suculenta, a diferencia del sabor en la carne el cual incrementa con la edad </w:t>
      </w:r>
      <w:r>
        <w:rPr>
          <w:position w:val="8"/>
          <w:sz w:val="14"/>
        </w:rPr>
        <w:t>(26)</w:t>
      </w:r>
      <w:r>
        <w:rPr>
          <w:sz w:val="22"/>
        </w:rPr>
        <w:t>. En estudios realizados para evaluar la composición de la carne</w:t>
      </w:r>
      <w:r>
        <w:rPr>
          <w:spacing w:val="-13"/>
          <w:sz w:val="22"/>
        </w:rPr>
        <w:t> </w:t>
      </w:r>
      <w:r>
        <w:rPr>
          <w:sz w:val="22"/>
        </w:rPr>
        <w:t>en</w:t>
      </w:r>
      <w:r>
        <w:rPr>
          <w:spacing w:val="-14"/>
          <w:sz w:val="22"/>
        </w:rPr>
        <w:t> </w:t>
      </w:r>
      <w:r>
        <w:rPr>
          <w:sz w:val="22"/>
        </w:rPr>
        <w:t>conejos</w:t>
      </w:r>
      <w:r>
        <w:rPr>
          <w:spacing w:val="-14"/>
          <w:sz w:val="22"/>
        </w:rPr>
        <w:t> </w:t>
      </w:r>
      <w:r>
        <w:rPr>
          <w:sz w:val="22"/>
        </w:rPr>
        <w:t>de</w:t>
      </w:r>
      <w:r>
        <w:rPr>
          <w:spacing w:val="-14"/>
          <w:sz w:val="22"/>
        </w:rPr>
        <w:t> </w:t>
      </w:r>
      <w:r>
        <w:rPr>
          <w:sz w:val="22"/>
        </w:rPr>
        <w:t>las</w:t>
      </w:r>
      <w:r>
        <w:rPr>
          <w:spacing w:val="-14"/>
          <w:sz w:val="22"/>
        </w:rPr>
        <w:t> </w:t>
      </w:r>
      <w:r>
        <w:rPr>
          <w:sz w:val="22"/>
        </w:rPr>
        <w:t>razas</w:t>
      </w:r>
      <w:r>
        <w:rPr>
          <w:spacing w:val="-10"/>
          <w:sz w:val="22"/>
        </w:rPr>
        <w:t> </w:t>
      </w:r>
      <w:r>
        <w:rPr>
          <w:sz w:val="22"/>
        </w:rPr>
        <w:t>Nueva</w:t>
      </w:r>
      <w:r>
        <w:rPr>
          <w:spacing w:val="-11"/>
          <w:sz w:val="22"/>
        </w:rPr>
        <w:t> </w:t>
      </w:r>
      <w:r>
        <w:rPr>
          <w:sz w:val="22"/>
        </w:rPr>
        <w:t>Zelanda,</w:t>
      </w:r>
      <w:r>
        <w:rPr>
          <w:spacing w:val="-12"/>
          <w:sz w:val="22"/>
        </w:rPr>
        <w:t> </w:t>
      </w:r>
      <w:r>
        <w:rPr>
          <w:sz w:val="22"/>
        </w:rPr>
        <w:t>California,</w:t>
      </w:r>
      <w:r>
        <w:rPr>
          <w:spacing w:val="-13"/>
          <w:sz w:val="22"/>
        </w:rPr>
        <w:t> </w:t>
      </w:r>
      <w:r>
        <w:rPr>
          <w:sz w:val="22"/>
        </w:rPr>
        <w:t>Chinchilla,</w:t>
      </w:r>
      <w:r>
        <w:rPr>
          <w:spacing w:val="-10"/>
          <w:sz w:val="22"/>
        </w:rPr>
        <w:t> </w:t>
      </w:r>
      <w:r>
        <w:rPr>
          <w:sz w:val="22"/>
        </w:rPr>
        <w:t>Rex</w:t>
      </w:r>
      <w:r>
        <w:rPr>
          <w:spacing w:val="-14"/>
          <w:sz w:val="22"/>
        </w:rPr>
        <w:t> </w:t>
      </w:r>
      <w:r>
        <w:rPr>
          <w:sz w:val="22"/>
        </w:rPr>
        <w:t>e</w:t>
      </w:r>
      <w:r>
        <w:rPr>
          <w:spacing w:val="-16"/>
          <w:sz w:val="22"/>
        </w:rPr>
        <w:t> </w:t>
      </w:r>
      <w:r>
        <w:rPr>
          <w:sz w:val="22"/>
        </w:rPr>
        <w:t>híbridos</w:t>
      </w:r>
      <w:r>
        <w:rPr>
          <w:spacing w:val="-11"/>
          <w:sz w:val="22"/>
        </w:rPr>
        <w:t> </w:t>
      </w:r>
      <w:r>
        <w:rPr>
          <w:sz w:val="22"/>
        </w:rPr>
        <w:t>de</w:t>
      </w:r>
      <w:r>
        <w:rPr>
          <w:spacing w:val="-11"/>
          <w:sz w:val="22"/>
        </w:rPr>
        <w:t> </w:t>
      </w:r>
      <w:r>
        <w:rPr>
          <w:sz w:val="22"/>
        </w:rPr>
        <w:t>línea comercial</w:t>
      </w:r>
      <w:r>
        <w:rPr>
          <w:position w:val="8"/>
          <w:sz w:val="14"/>
        </w:rPr>
        <w:t>(21,22), </w:t>
      </w:r>
      <w:r>
        <w:rPr>
          <w:sz w:val="22"/>
        </w:rPr>
        <w:t>determinaron los siguientes valores nutrimentales de la carne en contenido porcentual para materia seca del 25 a 30, humedad 70 a 75, proteína 20 a 22.5, grasa 1</w:t>
      </w:r>
      <w:r>
        <w:rPr>
          <w:spacing w:val="29"/>
          <w:sz w:val="22"/>
        </w:rPr>
        <w:t> </w:t>
      </w:r>
      <w:r>
        <w:rPr>
          <w:sz w:val="22"/>
        </w:rPr>
        <w:t>a</w:t>
      </w:r>
    </w:p>
    <w:p>
      <w:pPr>
        <w:pStyle w:val="ListParagraph"/>
        <w:numPr>
          <w:ilvl w:val="1"/>
          <w:numId w:val="7"/>
        </w:numPr>
        <w:tabs>
          <w:tab w:pos="530" w:val="left" w:leader="none"/>
        </w:tabs>
        <w:spacing w:line="360" w:lineRule="auto" w:before="5" w:after="0"/>
        <w:ind w:left="152" w:right="104" w:firstLine="0"/>
        <w:jc w:val="both"/>
        <w:rPr>
          <w:sz w:val="22"/>
        </w:rPr>
      </w:pPr>
      <w:r>
        <w:rPr>
          <w:sz w:val="22"/>
        </w:rPr>
        <w:t>y cenizas 1 a 3. Dichos valores coinciden con los parámetros evaluados para la carne de</w:t>
      </w:r>
      <w:r>
        <w:rPr>
          <w:spacing w:val="-15"/>
          <w:sz w:val="22"/>
        </w:rPr>
        <w:t> </w:t>
      </w:r>
      <w:r>
        <w:rPr>
          <w:sz w:val="22"/>
        </w:rPr>
        <w:t>conejo</w:t>
      </w:r>
      <w:r>
        <w:rPr>
          <w:spacing w:val="-15"/>
          <w:sz w:val="22"/>
        </w:rPr>
        <w:t> </w:t>
      </w:r>
      <w:r>
        <w:rPr>
          <w:sz w:val="22"/>
        </w:rPr>
        <w:t>procedente</w:t>
      </w:r>
      <w:r>
        <w:rPr>
          <w:spacing w:val="-14"/>
          <w:sz w:val="22"/>
        </w:rPr>
        <w:t> </w:t>
      </w:r>
      <w:r>
        <w:rPr>
          <w:sz w:val="22"/>
        </w:rPr>
        <w:t>de</w:t>
      </w:r>
      <w:r>
        <w:rPr>
          <w:spacing w:val="-20"/>
          <w:sz w:val="22"/>
        </w:rPr>
        <w:t> </w:t>
      </w:r>
      <w:r>
        <w:rPr>
          <w:sz w:val="22"/>
        </w:rPr>
        <w:t>la</w:t>
      </w:r>
      <w:r>
        <w:rPr>
          <w:spacing w:val="-15"/>
          <w:sz w:val="22"/>
        </w:rPr>
        <w:t> </w:t>
      </w:r>
      <w:r>
        <w:rPr>
          <w:sz w:val="22"/>
        </w:rPr>
        <w:t>UPCF</w:t>
      </w:r>
      <w:r>
        <w:rPr>
          <w:spacing w:val="-15"/>
          <w:sz w:val="22"/>
        </w:rPr>
        <w:t> </w:t>
      </w:r>
      <w:r>
        <w:rPr>
          <w:sz w:val="22"/>
        </w:rPr>
        <w:t>en</w:t>
      </w:r>
      <w:r>
        <w:rPr>
          <w:spacing w:val="-15"/>
          <w:sz w:val="22"/>
        </w:rPr>
        <w:t> </w:t>
      </w:r>
      <w:r>
        <w:rPr>
          <w:sz w:val="22"/>
        </w:rPr>
        <w:t>el</w:t>
      </w:r>
      <w:r>
        <w:rPr>
          <w:spacing w:val="-14"/>
          <w:sz w:val="22"/>
        </w:rPr>
        <w:t> </w:t>
      </w:r>
      <w:r>
        <w:rPr>
          <w:sz w:val="22"/>
        </w:rPr>
        <w:t>valle</w:t>
      </w:r>
      <w:r>
        <w:rPr>
          <w:spacing w:val="-15"/>
          <w:sz w:val="22"/>
        </w:rPr>
        <w:t> </w:t>
      </w:r>
      <w:r>
        <w:rPr>
          <w:sz w:val="22"/>
        </w:rPr>
        <w:t>de</w:t>
      </w:r>
      <w:r>
        <w:rPr>
          <w:spacing w:val="-15"/>
          <w:sz w:val="22"/>
        </w:rPr>
        <w:t> </w:t>
      </w:r>
      <w:r>
        <w:rPr>
          <w:sz w:val="22"/>
        </w:rPr>
        <w:t>Toluca.</w:t>
      </w:r>
      <w:r>
        <w:rPr>
          <w:spacing w:val="-14"/>
          <w:sz w:val="22"/>
        </w:rPr>
        <w:t> </w:t>
      </w:r>
      <w:r>
        <w:rPr>
          <w:sz w:val="22"/>
        </w:rPr>
        <w:t>La</w:t>
      </w:r>
      <w:r>
        <w:rPr>
          <w:spacing w:val="-15"/>
          <w:sz w:val="22"/>
        </w:rPr>
        <w:t> </w:t>
      </w:r>
      <w:r>
        <w:rPr>
          <w:sz w:val="22"/>
        </w:rPr>
        <w:t>composición</w:t>
      </w:r>
      <w:r>
        <w:rPr>
          <w:spacing w:val="-15"/>
          <w:sz w:val="22"/>
        </w:rPr>
        <w:t> </w:t>
      </w:r>
      <w:r>
        <w:rPr>
          <w:sz w:val="22"/>
        </w:rPr>
        <w:t>química</w:t>
      </w:r>
      <w:r>
        <w:rPr>
          <w:spacing w:val="-15"/>
          <w:sz w:val="22"/>
        </w:rPr>
        <w:t> </w:t>
      </w:r>
      <w:r>
        <w:rPr>
          <w:sz w:val="22"/>
        </w:rPr>
        <w:t>nutrimental de la carne de conejo puede ser influida por la conformación de la canal, por el aumento del depósito de grasa escapular e intersticial en la canal obtenida de conejos con mayor edad. Algunos autores consideran que el contenido de grasa de la carne esta</w:t>
      </w:r>
      <w:r>
        <w:rPr>
          <w:spacing w:val="54"/>
          <w:sz w:val="22"/>
        </w:rPr>
        <w:t> </w:t>
      </w:r>
      <w:r>
        <w:rPr>
          <w:sz w:val="22"/>
        </w:rPr>
        <w:t>relacionada</w:t>
      </w:r>
    </w:p>
    <w:p>
      <w:pPr>
        <w:spacing w:after="0" w:line="360" w:lineRule="auto"/>
        <w:jc w:val="both"/>
        <w:rPr>
          <w:sz w:val="22"/>
        </w:rPr>
        <w:sectPr>
          <w:pgSz w:w="12240" w:h="15840"/>
          <w:pgMar w:header="0" w:footer="1386" w:top="1500" w:bottom="1580" w:left="1720" w:right="1420"/>
        </w:sectPr>
      </w:pPr>
    </w:p>
    <w:p>
      <w:pPr>
        <w:pStyle w:val="BodyText"/>
        <w:spacing w:before="8"/>
        <w:rPr>
          <w:sz w:val="19"/>
        </w:rPr>
      </w:pPr>
    </w:p>
    <w:p>
      <w:pPr>
        <w:spacing w:line="360" w:lineRule="auto" w:before="81"/>
        <w:ind w:left="152" w:right="104" w:firstLine="0"/>
        <w:jc w:val="both"/>
        <w:rPr>
          <w:sz w:val="22"/>
        </w:rPr>
      </w:pPr>
      <w:r>
        <w:rPr>
          <w:sz w:val="22"/>
        </w:rPr>
        <w:t>con el manejo de la producción cunícola asociado a la dieta y la edad al sacrificio. </w:t>
      </w:r>
      <w:r>
        <w:rPr>
          <w:position w:val="8"/>
          <w:sz w:val="14"/>
        </w:rPr>
        <w:t>(27) </w:t>
      </w:r>
      <w:r>
        <w:rPr>
          <w:sz w:val="22"/>
        </w:rPr>
        <w:t>La observación en el estudio de la proporción de grasa mostro un contenido de 2.8 a 3.77%. Los valores para el contenido de grasa obtenidos en el estudio son menores, a los estimados por otros autores quienes obtuvieron 9±0.38 </w:t>
      </w:r>
      <w:r>
        <w:rPr>
          <w:position w:val="8"/>
          <w:sz w:val="14"/>
        </w:rPr>
        <w:t>(28) </w:t>
      </w:r>
      <w:r>
        <w:rPr>
          <w:sz w:val="22"/>
        </w:rPr>
        <w:t>y 6.94±1.74 </w:t>
      </w:r>
      <w:r>
        <w:rPr>
          <w:position w:val="8"/>
          <w:sz w:val="14"/>
        </w:rPr>
        <w:t>(10)</w:t>
      </w:r>
      <w:r>
        <w:rPr>
          <w:sz w:val="22"/>
        </w:rPr>
        <w:t>. Diversos estudios</w:t>
      </w:r>
      <w:r>
        <w:rPr>
          <w:spacing w:val="-3"/>
          <w:sz w:val="22"/>
        </w:rPr>
        <w:t> </w:t>
      </w:r>
      <w:r>
        <w:rPr>
          <w:sz w:val="22"/>
        </w:rPr>
        <w:t>señalan</w:t>
      </w:r>
      <w:r>
        <w:rPr>
          <w:spacing w:val="-6"/>
          <w:sz w:val="22"/>
        </w:rPr>
        <w:t> </w:t>
      </w:r>
      <w:r>
        <w:rPr>
          <w:sz w:val="22"/>
        </w:rPr>
        <w:t>que</w:t>
      </w:r>
      <w:r>
        <w:rPr>
          <w:spacing w:val="-3"/>
          <w:sz w:val="22"/>
        </w:rPr>
        <w:t> </w:t>
      </w:r>
      <w:r>
        <w:rPr>
          <w:sz w:val="22"/>
        </w:rPr>
        <w:t>la</w:t>
      </w:r>
      <w:r>
        <w:rPr>
          <w:spacing w:val="-5"/>
          <w:sz w:val="22"/>
        </w:rPr>
        <w:t> </w:t>
      </w:r>
      <w:r>
        <w:rPr>
          <w:sz w:val="22"/>
        </w:rPr>
        <w:t>composición</w:t>
      </w:r>
      <w:r>
        <w:rPr>
          <w:spacing w:val="-3"/>
          <w:sz w:val="22"/>
        </w:rPr>
        <w:t> </w:t>
      </w:r>
      <w:r>
        <w:rPr>
          <w:sz w:val="22"/>
        </w:rPr>
        <w:t>de</w:t>
      </w:r>
      <w:r>
        <w:rPr>
          <w:spacing w:val="-3"/>
          <w:sz w:val="22"/>
        </w:rPr>
        <w:t> </w:t>
      </w:r>
      <w:r>
        <w:rPr>
          <w:sz w:val="22"/>
        </w:rPr>
        <w:t>la</w:t>
      </w:r>
      <w:r>
        <w:rPr>
          <w:spacing w:val="-3"/>
          <w:sz w:val="22"/>
        </w:rPr>
        <w:t> </w:t>
      </w:r>
      <w:r>
        <w:rPr>
          <w:sz w:val="22"/>
        </w:rPr>
        <w:t>carne</w:t>
      </w:r>
      <w:r>
        <w:rPr>
          <w:spacing w:val="-6"/>
          <w:sz w:val="22"/>
        </w:rPr>
        <w:t> </w:t>
      </w:r>
      <w:r>
        <w:rPr>
          <w:sz w:val="22"/>
        </w:rPr>
        <w:t>del</w:t>
      </w:r>
      <w:r>
        <w:rPr>
          <w:spacing w:val="-4"/>
          <w:sz w:val="22"/>
        </w:rPr>
        <w:t> </w:t>
      </w:r>
      <w:r>
        <w:rPr>
          <w:sz w:val="22"/>
        </w:rPr>
        <w:t>conejo</w:t>
      </w:r>
      <w:r>
        <w:rPr>
          <w:spacing w:val="-3"/>
          <w:sz w:val="22"/>
        </w:rPr>
        <w:t> </w:t>
      </w:r>
      <w:r>
        <w:rPr>
          <w:sz w:val="22"/>
        </w:rPr>
        <w:t>se</w:t>
      </w:r>
      <w:r>
        <w:rPr>
          <w:spacing w:val="-3"/>
          <w:sz w:val="22"/>
        </w:rPr>
        <w:t> </w:t>
      </w:r>
      <w:r>
        <w:rPr>
          <w:sz w:val="22"/>
        </w:rPr>
        <w:t>ve</w:t>
      </w:r>
      <w:r>
        <w:rPr>
          <w:spacing w:val="-3"/>
          <w:sz w:val="22"/>
        </w:rPr>
        <w:t> </w:t>
      </w:r>
      <w:r>
        <w:rPr>
          <w:sz w:val="22"/>
        </w:rPr>
        <w:t>afectada</w:t>
      </w:r>
      <w:r>
        <w:rPr>
          <w:spacing w:val="-3"/>
          <w:sz w:val="22"/>
        </w:rPr>
        <w:t> </w:t>
      </w:r>
      <w:r>
        <w:rPr>
          <w:sz w:val="22"/>
        </w:rPr>
        <w:t>por</w:t>
      </w:r>
      <w:r>
        <w:rPr>
          <w:spacing w:val="-2"/>
          <w:sz w:val="22"/>
        </w:rPr>
        <w:t> </w:t>
      </w:r>
      <w:r>
        <w:rPr>
          <w:sz w:val="22"/>
        </w:rPr>
        <w:t>la</w:t>
      </w:r>
      <w:r>
        <w:rPr>
          <w:spacing w:val="-3"/>
          <w:sz w:val="22"/>
        </w:rPr>
        <w:t> </w:t>
      </w:r>
      <w:r>
        <w:rPr>
          <w:sz w:val="22"/>
        </w:rPr>
        <w:t>raza</w:t>
      </w:r>
      <w:r>
        <w:rPr>
          <w:spacing w:val="-3"/>
          <w:sz w:val="22"/>
        </w:rPr>
        <w:t> </w:t>
      </w:r>
      <w:r>
        <w:rPr>
          <w:sz w:val="22"/>
        </w:rPr>
        <w:t>y</w:t>
      </w:r>
      <w:r>
        <w:rPr>
          <w:spacing w:val="-5"/>
          <w:sz w:val="22"/>
        </w:rPr>
        <w:t> </w:t>
      </w:r>
      <w:r>
        <w:rPr>
          <w:sz w:val="22"/>
        </w:rPr>
        <w:t>su conformación anatómica; al avanzar la edad, la grasa corporal acumulada es mayor y menor el contenido de colágeno. De manera similar el sexo incrementa la grasa intramuscular, en los machos aumentan la concentración de grasa cuando la dieta excede en la proporción de energía </w:t>
      </w:r>
      <w:r>
        <w:rPr>
          <w:position w:val="8"/>
          <w:sz w:val="14"/>
        </w:rPr>
        <w:t>(29)</w:t>
      </w:r>
      <w:r>
        <w:rPr>
          <w:color w:val="FF0000"/>
          <w:sz w:val="22"/>
        </w:rPr>
        <w:t>. </w:t>
      </w:r>
      <w:r>
        <w:rPr>
          <w:sz w:val="22"/>
        </w:rPr>
        <w:t>Por otro lado, los resultados del efecto de la región y la localización de UPCF con los estimadores del peso al sacrificio, peso canal y rendimiento, no</w:t>
      </w:r>
      <w:r>
        <w:rPr>
          <w:spacing w:val="-7"/>
          <w:sz w:val="22"/>
        </w:rPr>
        <w:t> </w:t>
      </w:r>
      <w:r>
        <w:rPr>
          <w:sz w:val="22"/>
        </w:rPr>
        <w:t>indicaron</w:t>
      </w:r>
      <w:r>
        <w:rPr>
          <w:spacing w:val="-9"/>
          <w:sz w:val="22"/>
        </w:rPr>
        <w:t> </w:t>
      </w:r>
      <w:r>
        <w:rPr>
          <w:sz w:val="22"/>
        </w:rPr>
        <w:t>diferencias</w:t>
      </w:r>
      <w:r>
        <w:rPr>
          <w:spacing w:val="-11"/>
          <w:sz w:val="22"/>
        </w:rPr>
        <w:t> </w:t>
      </w:r>
      <w:r>
        <w:rPr>
          <w:sz w:val="22"/>
        </w:rPr>
        <w:t>entre</w:t>
      </w:r>
      <w:r>
        <w:rPr>
          <w:spacing w:val="45"/>
          <w:sz w:val="22"/>
        </w:rPr>
        <w:t> </w:t>
      </w:r>
      <w:r>
        <w:rPr>
          <w:sz w:val="22"/>
        </w:rPr>
        <w:t>los</w:t>
      </w:r>
      <w:r>
        <w:rPr>
          <w:spacing w:val="-9"/>
          <w:sz w:val="22"/>
        </w:rPr>
        <w:t> </w:t>
      </w:r>
      <w:r>
        <w:rPr>
          <w:sz w:val="22"/>
        </w:rPr>
        <w:t>parámetros</w:t>
      </w:r>
      <w:r>
        <w:rPr>
          <w:spacing w:val="-9"/>
          <w:sz w:val="22"/>
        </w:rPr>
        <w:t> </w:t>
      </w:r>
      <w:r>
        <w:rPr>
          <w:sz w:val="22"/>
        </w:rPr>
        <w:t>evaluados</w:t>
      </w:r>
      <w:r>
        <w:rPr>
          <w:spacing w:val="-6"/>
          <w:sz w:val="22"/>
        </w:rPr>
        <w:t> </w:t>
      </w:r>
      <w:r>
        <w:rPr>
          <w:sz w:val="22"/>
        </w:rPr>
        <w:t>en</w:t>
      </w:r>
      <w:r>
        <w:rPr>
          <w:spacing w:val="-9"/>
          <w:sz w:val="22"/>
        </w:rPr>
        <w:t> </w:t>
      </w:r>
      <w:r>
        <w:rPr>
          <w:sz w:val="22"/>
        </w:rPr>
        <w:t>las</w:t>
      </w:r>
      <w:r>
        <w:rPr>
          <w:spacing w:val="-9"/>
          <w:sz w:val="22"/>
        </w:rPr>
        <w:t> </w:t>
      </w:r>
      <w:r>
        <w:rPr>
          <w:sz w:val="22"/>
        </w:rPr>
        <w:t>regiones</w:t>
      </w:r>
      <w:r>
        <w:rPr>
          <w:spacing w:val="-11"/>
          <w:sz w:val="22"/>
        </w:rPr>
        <w:t> </w:t>
      </w:r>
      <w:r>
        <w:rPr>
          <w:sz w:val="22"/>
        </w:rPr>
        <w:t>VII</w:t>
      </w:r>
      <w:r>
        <w:rPr>
          <w:spacing w:val="-7"/>
          <w:sz w:val="22"/>
        </w:rPr>
        <w:t> </w:t>
      </w:r>
      <w:r>
        <w:rPr>
          <w:sz w:val="22"/>
        </w:rPr>
        <w:t>y</w:t>
      </w:r>
      <w:r>
        <w:rPr>
          <w:spacing w:val="-11"/>
          <w:sz w:val="22"/>
        </w:rPr>
        <w:t> </w:t>
      </w:r>
      <w:r>
        <w:rPr>
          <w:sz w:val="22"/>
        </w:rPr>
        <w:t>XIII</w:t>
      </w:r>
      <w:r>
        <w:rPr>
          <w:spacing w:val="-7"/>
          <w:sz w:val="22"/>
        </w:rPr>
        <w:t> </w:t>
      </w:r>
      <w:r>
        <w:rPr>
          <w:sz w:val="22"/>
        </w:rPr>
        <w:t>(p&gt;0.05), es posible que la diferente edad al sacrificio apreciada en la UPCF sugieren una influencia del tipo de sistema de producción cunícola sobre la calidad y composición química de la carne</w:t>
      </w:r>
      <w:r>
        <w:rPr>
          <w:spacing w:val="-9"/>
          <w:sz w:val="22"/>
        </w:rPr>
        <w:t> </w:t>
      </w:r>
      <w:r>
        <w:rPr>
          <w:sz w:val="22"/>
        </w:rPr>
        <w:t>en</w:t>
      </w:r>
      <w:r>
        <w:rPr>
          <w:spacing w:val="-9"/>
          <w:sz w:val="22"/>
        </w:rPr>
        <w:t> </w:t>
      </w:r>
      <w:r>
        <w:rPr>
          <w:sz w:val="22"/>
        </w:rPr>
        <w:t>la</w:t>
      </w:r>
      <w:r>
        <w:rPr>
          <w:spacing w:val="-11"/>
          <w:sz w:val="22"/>
        </w:rPr>
        <w:t> </w:t>
      </w:r>
      <w:r>
        <w:rPr>
          <w:sz w:val="22"/>
        </w:rPr>
        <w:t>relación</w:t>
      </w:r>
      <w:r>
        <w:rPr>
          <w:spacing w:val="-11"/>
          <w:sz w:val="22"/>
        </w:rPr>
        <w:t> </w:t>
      </w:r>
      <w:r>
        <w:rPr>
          <w:sz w:val="22"/>
        </w:rPr>
        <w:t>magro/graso</w:t>
      </w:r>
      <w:r>
        <w:rPr>
          <w:spacing w:val="-11"/>
          <w:sz w:val="22"/>
        </w:rPr>
        <w:t> </w:t>
      </w:r>
      <w:r>
        <w:rPr>
          <w:sz w:val="22"/>
        </w:rPr>
        <w:t>influenciada</w:t>
      </w:r>
      <w:r>
        <w:rPr>
          <w:spacing w:val="-11"/>
          <w:sz w:val="22"/>
        </w:rPr>
        <w:t> </w:t>
      </w:r>
      <w:r>
        <w:rPr>
          <w:sz w:val="22"/>
        </w:rPr>
        <w:t>por</w:t>
      </w:r>
      <w:r>
        <w:rPr>
          <w:spacing w:val="-12"/>
          <w:sz w:val="22"/>
        </w:rPr>
        <w:t> </w:t>
      </w:r>
      <w:r>
        <w:rPr>
          <w:sz w:val="22"/>
        </w:rPr>
        <w:t>el</w:t>
      </w:r>
      <w:r>
        <w:rPr>
          <w:spacing w:val="-10"/>
          <w:sz w:val="22"/>
        </w:rPr>
        <w:t> </w:t>
      </w:r>
      <w:r>
        <w:rPr>
          <w:sz w:val="22"/>
        </w:rPr>
        <w:t>manejo</w:t>
      </w:r>
      <w:r>
        <w:rPr>
          <w:spacing w:val="-11"/>
          <w:sz w:val="22"/>
        </w:rPr>
        <w:t> </w:t>
      </w:r>
      <w:r>
        <w:rPr>
          <w:sz w:val="22"/>
        </w:rPr>
        <w:t>productivo</w:t>
      </w:r>
      <w:r>
        <w:rPr>
          <w:spacing w:val="-9"/>
          <w:sz w:val="22"/>
        </w:rPr>
        <w:t> </w:t>
      </w:r>
      <w:r>
        <w:rPr>
          <w:sz w:val="22"/>
        </w:rPr>
        <w:t>y</w:t>
      </w:r>
      <w:r>
        <w:rPr>
          <w:spacing w:val="-11"/>
          <w:sz w:val="22"/>
        </w:rPr>
        <w:t> </w:t>
      </w:r>
      <w:r>
        <w:rPr>
          <w:sz w:val="22"/>
        </w:rPr>
        <w:t>la</w:t>
      </w:r>
      <w:r>
        <w:rPr>
          <w:spacing w:val="-11"/>
          <w:sz w:val="22"/>
        </w:rPr>
        <w:t> </w:t>
      </w:r>
      <w:r>
        <w:rPr>
          <w:sz w:val="22"/>
        </w:rPr>
        <w:t>organización</w:t>
      </w:r>
      <w:r>
        <w:rPr>
          <w:spacing w:val="-9"/>
          <w:sz w:val="22"/>
        </w:rPr>
        <w:t> </w:t>
      </w:r>
      <w:r>
        <w:rPr>
          <w:sz w:val="22"/>
        </w:rPr>
        <w:t>de los ciclos de producción </w:t>
      </w:r>
      <w:r>
        <w:rPr>
          <w:position w:val="8"/>
          <w:sz w:val="14"/>
        </w:rPr>
        <w:t>(13)</w:t>
      </w:r>
      <w:r>
        <w:rPr>
          <w:sz w:val="22"/>
        </w:rPr>
        <w:t>. La distribución de la clasificación de las canales de acuerdo a la normatividad, indica un amplio potencial productivo de las UPCF en las regiones estudiadas, lo cual puede ser un elemento que contribuya a la expansión de la actividad productiva</w:t>
      </w:r>
      <w:r>
        <w:rPr>
          <w:spacing w:val="-3"/>
          <w:sz w:val="22"/>
        </w:rPr>
        <w:t> </w:t>
      </w:r>
      <w:r>
        <w:rPr>
          <w:sz w:val="22"/>
        </w:rPr>
        <w:t>de</w:t>
      </w:r>
      <w:r>
        <w:rPr>
          <w:spacing w:val="-3"/>
          <w:sz w:val="22"/>
        </w:rPr>
        <w:t> </w:t>
      </w:r>
      <w:r>
        <w:rPr>
          <w:sz w:val="22"/>
        </w:rPr>
        <w:t>la</w:t>
      </w:r>
      <w:r>
        <w:rPr>
          <w:spacing w:val="-5"/>
          <w:sz w:val="22"/>
        </w:rPr>
        <w:t> </w:t>
      </w:r>
      <w:r>
        <w:rPr>
          <w:sz w:val="22"/>
        </w:rPr>
        <w:t>cunicultura</w:t>
      </w:r>
      <w:r>
        <w:rPr>
          <w:spacing w:val="-3"/>
          <w:sz w:val="22"/>
        </w:rPr>
        <w:t> </w:t>
      </w:r>
      <w:r>
        <w:rPr>
          <w:sz w:val="22"/>
        </w:rPr>
        <w:t>en</w:t>
      </w:r>
      <w:r>
        <w:rPr>
          <w:spacing w:val="-6"/>
          <w:sz w:val="22"/>
        </w:rPr>
        <w:t> </w:t>
      </w:r>
      <w:r>
        <w:rPr>
          <w:sz w:val="22"/>
        </w:rPr>
        <w:t>el</w:t>
      </w:r>
      <w:r>
        <w:rPr>
          <w:spacing w:val="-6"/>
          <w:sz w:val="22"/>
        </w:rPr>
        <w:t> </w:t>
      </w:r>
      <w:r>
        <w:rPr>
          <w:sz w:val="22"/>
        </w:rPr>
        <w:t>medio</w:t>
      </w:r>
      <w:r>
        <w:rPr>
          <w:spacing w:val="-5"/>
          <w:sz w:val="22"/>
        </w:rPr>
        <w:t> </w:t>
      </w:r>
      <w:r>
        <w:rPr>
          <w:sz w:val="22"/>
        </w:rPr>
        <w:t>rural</w:t>
      </w:r>
      <w:r>
        <w:rPr>
          <w:spacing w:val="-3"/>
          <w:sz w:val="22"/>
        </w:rPr>
        <w:t> </w:t>
      </w:r>
      <w:r>
        <w:rPr>
          <w:sz w:val="22"/>
        </w:rPr>
        <w:t>y</w:t>
      </w:r>
      <w:r>
        <w:rPr>
          <w:spacing w:val="-5"/>
          <w:sz w:val="22"/>
        </w:rPr>
        <w:t> </w:t>
      </w:r>
      <w:r>
        <w:rPr>
          <w:sz w:val="22"/>
        </w:rPr>
        <w:t>la</w:t>
      </w:r>
      <w:r>
        <w:rPr>
          <w:spacing w:val="-5"/>
          <w:sz w:val="22"/>
        </w:rPr>
        <w:t> </w:t>
      </w:r>
      <w:r>
        <w:rPr>
          <w:sz w:val="22"/>
        </w:rPr>
        <w:t>economía</w:t>
      </w:r>
      <w:r>
        <w:rPr>
          <w:spacing w:val="-5"/>
          <w:sz w:val="22"/>
        </w:rPr>
        <w:t> </w:t>
      </w:r>
      <w:r>
        <w:rPr>
          <w:sz w:val="22"/>
        </w:rPr>
        <w:t>familiar</w:t>
      </w:r>
      <w:r>
        <w:rPr>
          <w:spacing w:val="-2"/>
          <w:sz w:val="22"/>
        </w:rPr>
        <w:t> </w:t>
      </w:r>
      <w:r>
        <w:rPr>
          <w:sz w:val="22"/>
        </w:rPr>
        <w:t>como</w:t>
      </w:r>
      <w:r>
        <w:rPr>
          <w:spacing w:val="-5"/>
          <w:sz w:val="22"/>
        </w:rPr>
        <w:t> </w:t>
      </w:r>
      <w:r>
        <w:rPr>
          <w:sz w:val="22"/>
        </w:rPr>
        <w:t>parte</w:t>
      </w:r>
      <w:r>
        <w:rPr>
          <w:spacing w:val="-5"/>
          <w:sz w:val="22"/>
        </w:rPr>
        <w:t> </w:t>
      </w:r>
      <w:r>
        <w:rPr>
          <w:sz w:val="22"/>
        </w:rPr>
        <w:t>integral</w:t>
      </w:r>
      <w:r>
        <w:rPr>
          <w:spacing w:val="-6"/>
          <w:sz w:val="22"/>
        </w:rPr>
        <w:t> </w:t>
      </w:r>
      <w:r>
        <w:rPr>
          <w:sz w:val="22"/>
        </w:rPr>
        <w:t>del desarrollo</w:t>
      </w:r>
      <w:r>
        <w:rPr>
          <w:spacing w:val="-8"/>
          <w:sz w:val="22"/>
        </w:rPr>
        <w:t> </w:t>
      </w:r>
      <w:r>
        <w:rPr>
          <w:sz w:val="22"/>
        </w:rPr>
        <w:t>social</w:t>
      </w:r>
      <w:r>
        <w:rPr>
          <w:spacing w:val="-9"/>
          <w:sz w:val="22"/>
        </w:rPr>
        <w:t> </w:t>
      </w:r>
      <w:r>
        <w:rPr>
          <w:sz w:val="22"/>
        </w:rPr>
        <w:t>regional</w:t>
      </w:r>
      <w:r>
        <w:rPr>
          <w:spacing w:val="-7"/>
          <w:sz w:val="22"/>
        </w:rPr>
        <w:t> </w:t>
      </w:r>
      <w:r>
        <w:rPr>
          <w:position w:val="8"/>
          <w:sz w:val="14"/>
        </w:rPr>
        <w:t>(30)</w:t>
      </w:r>
      <w:r>
        <w:rPr>
          <w:sz w:val="22"/>
        </w:rPr>
        <w:t>.</w:t>
      </w:r>
      <w:r>
        <w:rPr>
          <w:spacing w:val="-7"/>
          <w:sz w:val="22"/>
        </w:rPr>
        <w:t> </w:t>
      </w:r>
      <w:r>
        <w:rPr>
          <w:sz w:val="22"/>
        </w:rPr>
        <w:t>El</w:t>
      </w:r>
      <w:r>
        <w:rPr>
          <w:spacing w:val="-9"/>
          <w:sz w:val="22"/>
        </w:rPr>
        <w:t> </w:t>
      </w:r>
      <w:r>
        <w:rPr>
          <w:sz w:val="22"/>
        </w:rPr>
        <w:t>valor</w:t>
      </w:r>
      <w:r>
        <w:rPr>
          <w:spacing w:val="-7"/>
          <w:sz w:val="22"/>
        </w:rPr>
        <w:t> </w:t>
      </w:r>
      <w:r>
        <w:rPr>
          <w:sz w:val="22"/>
        </w:rPr>
        <w:t>nutricional</w:t>
      </w:r>
      <w:r>
        <w:rPr>
          <w:spacing w:val="-9"/>
          <w:sz w:val="22"/>
        </w:rPr>
        <w:t> </w:t>
      </w:r>
      <w:r>
        <w:rPr>
          <w:sz w:val="22"/>
        </w:rPr>
        <w:t>de</w:t>
      </w:r>
      <w:r>
        <w:rPr>
          <w:spacing w:val="-8"/>
          <w:sz w:val="22"/>
        </w:rPr>
        <w:t> </w:t>
      </w:r>
      <w:r>
        <w:rPr>
          <w:sz w:val="22"/>
        </w:rPr>
        <w:t>la</w:t>
      </w:r>
      <w:r>
        <w:rPr>
          <w:spacing w:val="-8"/>
          <w:sz w:val="22"/>
        </w:rPr>
        <w:t> </w:t>
      </w:r>
      <w:r>
        <w:rPr>
          <w:sz w:val="22"/>
        </w:rPr>
        <w:t>carne</w:t>
      </w:r>
      <w:r>
        <w:rPr>
          <w:spacing w:val="-8"/>
          <w:sz w:val="22"/>
        </w:rPr>
        <w:t> </w:t>
      </w:r>
      <w:r>
        <w:rPr>
          <w:sz w:val="22"/>
        </w:rPr>
        <w:t>de</w:t>
      </w:r>
      <w:r>
        <w:rPr>
          <w:spacing w:val="-8"/>
          <w:sz w:val="22"/>
        </w:rPr>
        <w:t> </w:t>
      </w:r>
      <w:r>
        <w:rPr>
          <w:sz w:val="22"/>
        </w:rPr>
        <w:t>conejo</w:t>
      </w:r>
      <w:r>
        <w:rPr>
          <w:spacing w:val="-8"/>
          <w:sz w:val="22"/>
        </w:rPr>
        <w:t> </w:t>
      </w:r>
      <w:r>
        <w:rPr>
          <w:sz w:val="22"/>
        </w:rPr>
        <w:t>es</w:t>
      </w:r>
      <w:r>
        <w:rPr>
          <w:spacing w:val="-8"/>
          <w:sz w:val="22"/>
        </w:rPr>
        <w:t> </w:t>
      </w:r>
      <w:r>
        <w:rPr>
          <w:sz w:val="22"/>
        </w:rPr>
        <w:t>apreciado</w:t>
      </w:r>
      <w:r>
        <w:rPr>
          <w:spacing w:val="-8"/>
          <w:sz w:val="22"/>
        </w:rPr>
        <w:t> </w:t>
      </w:r>
      <w:r>
        <w:rPr>
          <w:sz w:val="22"/>
        </w:rPr>
        <w:t>por</w:t>
      </w:r>
      <w:r>
        <w:rPr>
          <w:spacing w:val="-7"/>
          <w:sz w:val="22"/>
        </w:rPr>
        <w:t> </w:t>
      </w:r>
      <w:r>
        <w:rPr>
          <w:sz w:val="22"/>
        </w:rPr>
        <w:t>sus características nutricionales y culinarias, al ser una carne magra con menor contenido de grasa,</w:t>
      </w:r>
      <w:r>
        <w:rPr>
          <w:spacing w:val="-10"/>
          <w:sz w:val="22"/>
        </w:rPr>
        <w:t> </w:t>
      </w:r>
      <w:r>
        <w:rPr>
          <w:sz w:val="22"/>
        </w:rPr>
        <w:t>ácidos</w:t>
      </w:r>
      <w:r>
        <w:rPr>
          <w:spacing w:val="-12"/>
          <w:sz w:val="22"/>
        </w:rPr>
        <w:t> </w:t>
      </w:r>
      <w:r>
        <w:rPr>
          <w:sz w:val="22"/>
        </w:rPr>
        <w:t>grasos</w:t>
      </w:r>
      <w:r>
        <w:rPr>
          <w:spacing w:val="-10"/>
          <w:sz w:val="22"/>
        </w:rPr>
        <w:t> </w:t>
      </w:r>
      <w:r>
        <w:rPr>
          <w:sz w:val="22"/>
        </w:rPr>
        <w:t>saturados</w:t>
      </w:r>
      <w:r>
        <w:rPr>
          <w:spacing w:val="-10"/>
          <w:sz w:val="22"/>
        </w:rPr>
        <w:t> </w:t>
      </w:r>
      <w:r>
        <w:rPr>
          <w:sz w:val="22"/>
        </w:rPr>
        <w:t>y</w:t>
      </w:r>
      <w:r>
        <w:rPr>
          <w:spacing w:val="-10"/>
          <w:sz w:val="22"/>
        </w:rPr>
        <w:t> </w:t>
      </w:r>
      <w:r>
        <w:rPr>
          <w:sz w:val="22"/>
        </w:rPr>
        <w:t>colestero.</w:t>
      </w:r>
      <w:r>
        <w:rPr>
          <w:spacing w:val="42"/>
          <w:sz w:val="22"/>
        </w:rPr>
        <w:t> </w:t>
      </w:r>
      <w:r>
        <w:rPr>
          <w:sz w:val="22"/>
        </w:rPr>
        <w:t>Además</w:t>
      </w:r>
      <w:r>
        <w:rPr>
          <w:spacing w:val="-10"/>
          <w:sz w:val="22"/>
        </w:rPr>
        <w:t> </w:t>
      </w:r>
      <w:r>
        <w:rPr>
          <w:sz w:val="22"/>
        </w:rPr>
        <w:t>del</w:t>
      </w:r>
      <w:r>
        <w:rPr>
          <w:spacing w:val="-10"/>
          <w:sz w:val="22"/>
        </w:rPr>
        <w:t> </w:t>
      </w:r>
      <w:r>
        <w:rPr>
          <w:sz w:val="22"/>
        </w:rPr>
        <w:t>bajo</w:t>
      </w:r>
      <w:r>
        <w:rPr>
          <w:spacing w:val="-10"/>
          <w:sz w:val="22"/>
        </w:rPr>
        <w:t> </w:t>
      </w:r>
      <w:r>
        <w:rPr>
          <w:sz w:val="22"/>
        </w:rPr>
        <w:t>contenido</w:t>
      </w:r>
      <w:r>
        <w:rPr>
          <w:spacing w:val="-9"/>
          <w:sz w:val="22"/>
        </w:rPr>
        <w:t> </w:t>
      </w:r>
      <w:r>
        <w:rPr>
          <w:sz w:val="22"/>
        </w:rPr>
        <w:t>en</w:t>
      </w:r>
      <w:r>
        <w:rPr>
          <w:spacing w:val="-9"/>
          <w:sz w:val="22"/>
        </w:rPr>
        <w:t> </w:t>
      </w:r>
      <w:r>
        <w:rPr>
          <w:sz w:val="22"/>
        </w:rPr>
        <w:t>purinas</w:t>
      </w:r>
      <w:r>
        <w:rPr>
          <w:spacing w:val="-10"/>
          <w:sz w:val="22"/>
        </w:rPr>
        <w:t> </w:t>
      </w:r>
      <w:r>
        <w:rPr>
          <w:sz w:val="22"/>
        </w:rPr>
        <w:t>la</w:t>
      </w:r>
      <w:r>
        <w:rPr>
          <w:spacing w:val="-10"/>
          <w:sz w:val="22"/>
        </w:rPr>
        <w:t> </w:t>
      </w:r>
      <w:r>
        <w:rPr>
          <w:sz w:val="22"/>
        </w:rPr>
        <w:t>carne de conejo es considerada una de las carnes  libres de ácido úrico</w:t>
      </w:r>
      <w:r>
        <w:rPr>
          <w:spacing w:val="-15"/>
          <w:sz w:val="22"/>
        </w:rPr>
        <w:t> </w:t>
      </w:r>
      <w:r>
        <w:rPr>
          <w:position w:val="8"/>
          <w:sz w:val="14"/>
        </w:rPr>
        <w:t>(31)</w:t>
      </w:r>
      <w:r>
        <w:rPr>
          <w:sz w:val="22"/>
        </w:rPr>
        <w:t>.</w:t>
      </w:r>
    </w:p>
    <w:p>
      <w:pPr>
        <w:spacing w:line="360" w:lineRule="auto" w:before="0"/>
        <w:ind w:left="152" w:right="105" w:firstLine="0"/>
        <w:jc w:val="both"/>
        <w:rPr>
          <w:sz w:val="22"/>
        </w:rPr>
      </w:pPr>
      <w:r>
        <w:rPr>
          <w:sz w:val="22"/>
        </w:rPr>
        <w:t>El estudio denota la importancia socio económica de la cunicultura de tipo familiar en el Valle de Toluca, en la que se considerada en transición de las UPCF del sistema de traspatio al semitecnificado, en donde los parámetros productivos estimados en la producción de conejos para abasto en las ganajas cunicolas estudiadas cumplen con los parámetros zootécnicos establecidos en la producción cunicula (32). La composición química</w:t>
      </w:r>
      <w:r>
        <w:rPr>
          <w:spacing w:val="-9"/>
          <w:sz w:val="22"/>
        </w:rPr>
        <w:t> </w:t>
      </w:r>
      <w:r>
        <w:rPr>
          <w:sz w:val="22"/>
        </w:rPr>
        <w:t>nutrimental</w:t>
      </w:r>
      <w:r>
        <w:rPr>
          <w:spacing w:val="-10"/>
          <w:sz w:val="22"/>
        </w:rPr>
        <w:t> </w:t>
      </w:r>
      <w:r>
        <w:rPr>
          <w:sz w:val="22"/>
        </w:rPr>
        <w:t>de</w:t>
      </w:r>
      <w:r>
        <w:rPr>
          <w:spacing w:val="-11"/>
          <w:sz w:val="22"/>
        </w:rPr>
        <w:t> </w:t>
      </w:r>
      <w:r>
        <w:rPr>
          <w:sz w:val="22"/>
        </w:rPr>
        <w:t>la</w:t>
      </w:r>
      <w:r>
        <w:rPr>
          <w:spacing w:val="-11"/>
          <w:sz w:val="22"/>
        </w:rPr>
        <w:t> </w:t>
      </w:r>
      <w:r>
        <w:rPr>
          <w:sz w:val="22"/>
        </w:rPr>
        <w:t>carne</w:t>
      </w:r>
      <w:r>
        <w:rPr>
          <w:spacing w:val="-11"/>
          <w:sz w:val="22"/>
        </w:rPr>
        <w:t> </w:t>
      </w:r>
      <w:r>
        <w:rPr>
          <w:sz w:val="22"/>
        </w:rPr>
        <w:t>de</w:t>
      </w:r>
      <w:r>
        <w:rPr>
          <w:spacing w:val="-11"/>
          <w:sz w:val="22"/>
        </w:rPr>
        <w:t> </w:t>
      </w:r>
      <w:r>
        <w:rPr>
          <w:sz w:val="22"/>
        </w:rPr>
        <w:t>conejo</w:t>
      </w:r>
      <w:r>
        <w:rPr>
          <w:spacing w:val="-11"/>
          <w:sz w:val="22"/>
        </w:rPr>
        <w:t> </w:t>
      </w:r>
      <w:r>
        <w:rPr>
          <w:sz w:val="22"/>
        </w:rPr>
        <w:t>y</w:t>
      </w:r>
      <w:r>
        <w:rPr>
          <w:spacing w:val="-11"/>
          <w:sz w:val="22"/>
        </w:rPr>
        <w:t> </w:t>
      </w:r>
      <w:r>
        <w:rPr>
          <w:sz w:val="22"/>
        </w:rPr>
        <w:t>la</w:t>
      </w:r>
      <w:r>
        <w:rPr>
          <w:spacing w:val="-9"/>
          <w:sz w:val="22"/>
        </w:rPr>
        <w:t> </w:t>
      </w:r>
      <w:r>
        <w:rPr>
          <w:sz w:val="22"/>
        </w:rPr>
        <w:t>calidad</w:t>
      </w:r>
      <w:r>
        <w:rPr>
          <w:spacing w:val="-9"/>
          <w:sz w:val="22"/>
        </w:rPr>
        <w:t> </w:t>
      </w:r>
      <w:r>
        <w:rPr>
          <w:sz w:val="22"/>
        </w:rPr>
        <w:t>de</w:t>
      </w:r>
      <w:r>
        <w:rPr>
          <w:spacing w:val="-11"/>
          <w:sz w:val="22"/>
        </w:rPr>
        <w:t> </w:t>
      </w:r>
      <w:r>
        <w:rPr>
          <w:sz w:val="22"/>
        </w:rPr>
        <w:t>la</w:t>
      </w:r>
      <w:r>
        <w:rPr>
          <w:spacing w:val="-9"/>
          <w:sz w:val="22"/>
        </w:rPr>
        <w:t> </w:t>
      </w:r>
      <w:r>
        <w:rPr>
          <w:sz w:val="22"/>
        </w:rPr>
        <w:t>canal</w:t>
      </w:r>
      <w:r>
        <w:rPr>
          <w:spacing w:val="-12"/>
          <w:sz w:val="22"/>
        </w:rPr>
        <w:t> </w:t>
      </w:r>
      <w:r>
        <w:rPr>
          <w:sz w:val="22"/>
        </w:rPr>
        <w:t>cumple</w:t>
      </w:r>
      <w:r>
        <w:rPr>
          <w:spacing w:val="-9"/>
          <w:sz w:val="22"/>
        </w:rPr>
        <w:t> </w:t>
      </w:r>
      <w:r>
        <w:rPr>
          <w:sz w:val="22"/>
        </w:rPr>
        <w:t>con</w:t>
      </w:r>
      <w:r>
        <w:rPr>
          <w:spacing w:val="-6"/>
          <w:sz w:val="22"/>
        </w:rPr>
        <w:t> </w:t>
      </w:r>
      <w:r>
        <w:rPr>
          <w:sz w:val="22"/>
        </w:rPr>
        <w:t>lo</w:t>
      </w:r>
      <w:r>
        <w:rPr>
          <w:spacing w:val="-9"/>
          <w:sz w:val="22"/>
        </w:rPr>
        <w:t> </w:t>
      </w:r>
      <w:r>
        <w:rPr>
          <w:sz w:val="22"/>
        </w:rPr>
        <w:t>establecido en</w:t>
      </w:r>
      <w:r>
        <w:rPr>
          <w:spacing w:val="-4"/>
          <w:sz w:val="22"/>
        </w:rPr>
        <w:t> </w:t>
      </w:r>
      <w:r>
        <w:rPr>
          <w:sz w:val="22"/>
        </w:rPr>
        <w:t>la</w:t>
      </w:r>
      <w:r>
        <w:rPr>
          <w:spacing w:val="-4"/>
          <w:sz w:val="22"/>
        </w:rPr>
        <w:t> </w:t>
      </w:r>
      <w:r>
        <w:rPr>
          <w:sz w:val="22"/>
        </w:rPr>
        <w:t>normativa</w:t>
      </w:r>
      <w:r>
        <w:rPr>
          <w:spacing w:val="-4"/>
          <w:sz w:val="22"/>
        </w:rPr>
        <w:t> </w:t>
      </w:r>
      <w:r>
        <w:rPr>
          <w:sz w:val="22"/>
        </w:rPr>
        <w:t>oficial</w:t>
      </w:r>
      <w:r>
        <w:rPr>
          <w:spacing w:val="-5"/>
          <w:sz w:val="22"/>
        </w:rPr>
        <w:t> </w:t>
      </w:r>
      <w:r>
        <w:rPr>
          <w:sz w:val="22"/>
        </w:rPr>
        <w:t>en</w:t>
      </w:r>
      <w:r>
        <w:rPr>
          <w:spacing w:val="-4"/>
          <w:sz w:val="22"/>
        </w:rPr>
        <w:t> </w:t>
      </w:r>
      <w:r>
        <w:rPr>
          <w:sz w:val="22"/>
        </w:rPr>
        <w:t>México</w:t>
      </w:r>
      <w:r>
        <w:rPr>
          <w:spacing w:val="-4"/>
          <w:sz w:val="22"/>
        </w:rPr>
        <w:t> </w:t>
      </w:r>
      <w:r>
        <w:rPr>
          <w:sz w:val="22"/>
        </w:rPr>
        <w:t>(30),</w:t>
      </w:r>
      <w:r>
        <w:rPr>
          <w:spacing w:val="-3"/>
          <w:sz w:val="22"/>
        </w:rPr>
        <w:t> </w:t>
      </w:r>
      <w:r>
        <w:rPr>
          <w:sz w:val="22"/>
        </w:rPr>
        <w:t>y</w:t>
      </w:r>
      <w:r>
        <w:rPr>
          <w:spacing w:val="-6"/>
          <w:sz w:val="22"/>
        </w:rPr>
        <w:t> </w:t>
      </w:r>
      <w:r>
        <w:rPr>
          <w:sz w:val="22"/>
        </w:rPr>
        <w:t>el</w:t>
      </w:r>
      <w:r>
        <w:rPr>
          <w:spacing w:val="-5"/>
          <w:sz w:val="22"/>
        </w:rPr>
        <w:t> </w:t>
      </w:r>
      <w:r>
        <w:rPr>
          <w:sz w:val="22"/>
        </w:rPr>
        <w:t>contenido</w:t>
      </w:r>
      <w:r>
        <w:rPr>
          <w:spacing w:val="-4"/>
          <w:sz w:val="22"/>
        </w:rPr>
        <w:t> </w:t>
      </w:r>
      <w:r>
        <w:rPr>
          <w:sz w:val="22"/>
        </w:rPr>
        <w:t>nutrimental</w:t>
      </w:r>
      <w:r>
        <w:rPr>
          <w:spacing w:val="-5"/>
          <w:sz w:val="22"/>
        </w:rPr>
        <w:t> </w:t>
      </w:r>
      <w:r>
        <w:rPr>
          <w:sz w:val="22"/>
        </w:rPr>
        <w:t>en</w:t>
      </w:r>
      <w:r>
        <w:rPr>
          <w:spacing w:val="-7"/>
          <w:sz w:val="22"/>
        </w:rPr>
        <w:t> </w:t>
      </w:r>
      <w:r>
        <w:rPr>
          <w:sz w:val="22"/>
        </w:rPr>
        <w:t>comparación</w:t>
      </w:r>
      <w:r>
        <w:rPr>
          <w:spacing w:val="-4"/>
          <w:sz w:val="22"/>
        </w:rPr>
        <w:t> </w:t>
      </w:r>
      <w:r>
        <w:rPr>
          <w:sz w:val="22"/>
        </w:rPr>
        <w:t>con</w:t>
      </w:r>
      <w:r>
        <w:rPr>
          <w:spacing w:val="-4"/>
          <w:sz w:val="22"/>
        </w:rPr>
        <w:t> </w:t>
      </w:r>
      <w:r>
        <w:rPr>
          <w:sz w:val="22"/>
        </w:rPr>
        <w:t>otros estudios sobre composición química de la carne no varío con respecto a los valores reportados en otros países</w:t>
      </w:r>
      <w:r>
        <w:rPr>
          <w:spacing w:val="54"/>
          <w:sz w:val="22"/>
        </w:rPr>
        <w:t> </w:t>
      </w:r>
      <w:r>
        <w:rPr>
          <w:sz w:val="22"/>
        </w:rPr>
        <w:t>(32).</w:t>
      </w:r>
    </w:p>
    <w:p>
      <w:pPr>
        <w:spacing w:after="0" w:line="360" w:lineRule="auto"/>
        <w:jc w:val="both"/>
        <w:rPr>
          <w:sz w:val="22"/>
        </w:rPr>
        <w:sectPr>
          <w:footerReference w:type="default" r:id="rId50"/>
          <w:pgSz w:w="12240" w:h="15840"/>
          <w:pgMar w:footer="1386" w:header="0" w:top="1500" w:bottom="1580" w:left="1720" w:right="1420"/>
        </w:sectPr>
      </w:pPr>
    </w:p>
    <w:p>
      <w:pPr>
        <w:pStyle w:val="BodyText"/>
        <w:spacing w:before="7"/>
        <w:rPr>
          <w:sz w:val="20"/>
        </w:rPr>
      </w:pPr>
    </w:p>
    <w:p>
      <w:pPr>
        <w:spacing w:before="73"/>
        <w:ind w:left="152" w:right="0" w:firstLine="0"/>
        <w:jc w:val="both"/>
        <w:rPr>
          <w:b/>
          <w:sz w:val="22"/>
        </w:rPr>
      </w:pPr>
      <w:r>
        <w:rPr>
          <w:b/>
          <w:sz w:val="22"/>
        </w:rPr>
        <w:t>CONCLUSIONES E IMPLICACIONES</w:t>
      </w:r>
    </w:p>
    <w:p>
      <w:pPr>
        <w:pStyle w:val="BodyText"/>
        <w:spacing w:before="5"/>
        <w:rPr>
          <w:b/>
          <w:sz w:val="28"/>
        </w:rPr>
      </w:pPr>
    </w:p>
    <w:p>
      <w:pPr>
        <w:spacing w:line="360" w:lineRule="auto" w:before="1"/>
        <w:ind w:left="152" w:right="107" w:firstLine="0"/>
        <w:jc w:val="both"/>
        <w:rPr>
          <w:sz w:val="22"/>
        </w:rPr>
      </w:pPr>
      <w:r>
        <w:rPr>
          <w:sz w:val="22"/>
        </w:rPr>
        <w:t>La descripción de los parámetros productivos obtenidos de la UPCF orientadas a la producción</w:t>
      </w:r>
      <w:r>
        <w:rPr>
          <w:spacing w:val="-15"/>
          <w:sz w:val="22"/>
        </w:rPr>
        <w:t> </w:t>
      </w:r>
      <w:r>
        <w:rPr>
          <w:sz w:val="22"/>
        </w:rPr>
        <w:t>de</w:t>
      </w:r>
      <w:r>
        <w:rPr>
          <w:spacing w:val="-18"/>
          <w:sz w:val="22"/>
        </w:rPr>
        <w:t> </w:t>
      </w:r>
      <w:r>
        <w:rPr>
          <w:sz w:val="22"/>
        </w:rPr>
        <w:t>conejos</w:t>
      </w:r>
      <w:r>
        <w:rPr>
          <w:spacing w:val="-18"/>
          <w:sz w:val="22"/>
        </w:rPr>
        <w:t> </w:t>
      </w:r>
      <w:r>
        <w:rPr>
          <w:sz w:val="22"/>
        </w:rPr>
        <w:t>destinados</w:t>
      </w:r>
      <w:r>
        <w:rPr>
          <w:spacing w:val="-15"/>
          <w:sz w:val="22"/>
        </w:rPr>
        <w:t> </w:t>
      </w:r>
      <w:r>
        <w:rPr>
          <w:sz w:val="22"/>
        </w:rPr>
        <w:t>al</w:t>
      </w:r>
      <w:r>
        <w:rPr>
          <w:spacing w:val="-18"/>
          <w:sz w:val="22"/>
        </w:rPr>
        <w:t> </w:t>
      </w:r>
      <w:r>
        <w:rPr>
          <w:sz w:val="22"/>
        </w:rPr>
        <w:t>abasto</w:t>
      </w:r>
      <w:r>
        <w:rPr>
          <w:spacing w:val="-16"/>
          <w:sz w:val="22"/>
        </w:rPr>
        <w:t> </w:t>
      </w:r>
      <w:r>
        <w:rPr>
          <w:sz w:val="22"/>
        </w:rPr>
        <w:t>de</w:t>
      </w:r>
      <w:r>
        <w:rPr>
          <w:spacing w:val="-18"/>
          <w:sz w:val="22"/>
        </w:rPr>
        <w:t> </w:t>
      </w:r>
      <w:r>
        <w:rPr>
          <w:sz w:val="22"/>
        </w:rPr>
        <w:t>carne</w:t>
      </w:r>
      <w:r>
        <w:rPr>
          <w:spacing w:val="-15"/>
          <w:sz w:val="22"/>
        </w:rPr>
        <w:t> </w:t>
      </w:r>
      <w:r>
        <w:rPr>
          <w:sz w:val="22"/>
        </w:rPr>
        <w:t>estudiadas,</w:t>
      </w:r>
      <w:r>
        <w:rPr>
          <w:spacing w:val="-16"/>
          <w:sz w:val="22"/>
        </w:rPr>
        <w:t> </w:t>
      </w:r>
      <w:r>
        <w:rPr>
          <w:sz w:val="22"/>
        </w:rPr>
        <w:t>se</w:t>
      </w:r>
      <w:r>
        <w:rPr>
          <w:spacing w:val="-18"/>
          <w:sz w:val="22"/>
        </w:rPr>
        <w:t> </w:t>
      </w:r>
      <w:r>
        <w:rPr>
          <w:sz w:val="22"/>
        </w:rPr>
        <w:t>consideraron</w:t>
      </w:r>
      <w:r>
        <w:rPr>
          <w:spacing w:val="-18"/>
          <w:sz w:val="22"/>
        </w:rPr>
        <w:t> </w:t>
      </w:r>
      <w:r>
        <w:rPr>
          <w:sz w:val="22"/>
        </w:rPr>
        <w:t>eficientes en la productividad del sistema de la cuniultura familiar regional. La composición química de la carne y la calidad de la canal satisfacen las características nutrimentales de la carne de conejo y la calidad de la canal establecida en la normativa</w:t>
      </w:r>
      <w:r>
        <w:rPr>
          <w:spacing w:val="-17"/>
          <w:sz w:val="22"/>
        </w:rPr>
        <w:t> </w:t>
      </w:r>
      <w:r>
        <w:rPr>
          <w:sz w:val="22"/>
        </w:rPr>
        <w:t>mexicana.</w:t>
      </w:r>
    </w:p>
    <w:p>
      <w:pPr>
        <w:pStyle w:val="BodyText"/>
        <w:spacing w:before="7"/>
        <w:rPr>
          <w:sz w:val="17"/>
        </w:rPr>
      </w:pPr>
    </w:p>
    <w:p>
      <w:pPr>
        <w:spacing w:line="360" w:lineRule="auto" w:before="0"/>
        <w:ind w:left="152" w:right="104" w:firstLine="0"/>
        <w:jc w:val="both"/>
        <w:rPr>
          <w:sz w:val="22"/>
        </w:rPr>
      </w:pPr>
      <w:r>
        <w:rPr>
          <w:sz w:val="22"/>
        </w:rPr>
        <w:t>El estudio permitió establecer las condiciones de producción de las UPCF orientadas al abasto de carne de conejo para la comercialización regional y el autoconsumo familiar Evidenciando un sistema productivo eficiente con amplio potencial para la integración de la cadena productiva y redes de valor del sistema producto conejo en las regiones económicas del Valle de</w:t>
      </w:r>
      <w:r>
        <w:rPr>
          <w:spacing w:val="-6"/>
          <w:sz w:val="22"/>
        </w:rPr>
        <w:t> </w:t>
      </w:r>
      <w:r>
        <w:rPr>
          <w:sz w:val="22"/>
        </w:rPr>
        <w:t>Toluca.</w:t>
      </w:r>
    </w:p>
    <w:p>
      <w:pPr>
        <w:pStyle w:val="BodyText"/>
        <w:spacing w:before="7"/>
        <w:rPr>
          <w:sz w:val="17"/>
        </w:rPr>
      </w:pPr>
    </w:p>
    <w:p>
      <w:pPr>
        <w:spacing w:before="0"/>
        <w:ind w:left="152" w:right="0" w:firstLine="0"/>
        <w:jc w:val="both"/>
        <w:rPr>
          <w:sz w:val="22"/>
        </w:rPr>
      </w:pPr>
      <w:r>
        <w:rPr>
          <w:sz w:val="22"/>
        </w:rPr>
        <w:t>AGRADECIMIENTOS</w:t>
      </w:r>
    </w:p>
    <w:p>
      <w:pPr>
        <w:spacing w:line="360" w:lineRule="auto" w:before="126"/>
        <w:ind w:left="872" w:right="104" w:firstLine="0"/>
        <w:jc w:val="both"/>
        <w:rPr>
          <w:sz w:val="22"/>
        </w:rPr>
      </w:pPr>
      <w:r>
        <w:rPr>
          <w:sz w:val="22"/>
        </w:rPr>
        <w:t>Al Consejo Nacional de Ciencia y Tecnología (CONACYT) por la beca para cursar estudios</w:t>
      </w:r>
      <w:r>
        <w:rPr>
          <w:spacing w:val="-6"/>
          <w:sz w:val="22"/>
        </w:rPr>
        <w:t> </w:t>
      </w:r>
      <w:r>
        <w:rPr>
          <w:sz w:val="22"/>
        </w:rPr>
        <w:t>de</w:t>
      </w:r>
      <w:r>
        <w:rPr>
          <w:spacing w:val="-11"/>
          <w:sz w:val="22"/>
        </w:rPr>
        <w:t> </w:t>
      </w:r>
      <w:r>
        <w:rPr>
          <w:sz w:val="22"/>
        </w:rPr>
        <w:t>grado</w:t>
      </w:r>
      <w:r>
        <w:rPr>
          <w:spacing w:val="-9"/>
          <w:sz w:val="22"/>
        </w:rPr>
        <w:t> </w:t>
      </w:r>
      <w:r>
        <w:rPr>
          <w:sz w:val="22"/>
        </w:rPr>
        <w:t>de</w:t>
      </w:r>
      <w:r>
        <w:rPr>
          <w:spacing w:val="-9"/>
          <w:sz w:val="22"/>
        </w:rPr>
        <w:t> </w:t>
      </w:r>
      <w:r>
        <w:rPr>
          <w:sz w:val="22"/>
        </w:rPr>
        <w:t>Maestría</w:t>
      </w:r>
      <w:r>
        <w:rPr>
          <w:spacing w:val="-6"/>
          <w:sz w:val="22"/>
        </w:rPr>
        <w:t> </w:t>
      </w:r>
      <w:r>
        <w:rPr>
          <w:sz w:val="22"/>
        </w:rPr>
        <w:t>(PCARN-UAEM).</w:t>
      </w:r>
      <w:r>
        <w:rPr>
          <w:spacing w:val="-8"/>
          <w:sz w:val="22"/>
        </w:rPr>
        <w:t> </w:t>
      </w:r>
      <w:r>
        <w:rPr>
          <w:sz w:val="22"/>
        </w:rPr>
        <w:t>A</w:t>
      </w:r>
      <w:r>
        <w:rPr>
          <w:spacing w:val="-7"/>
          <w:sz w:val="22"/>
        </w:rPr>
        <w:t> </w:t>
      </w:r>
      <w:r>
        <w:rPr>
          <w:sz w:val="22"/>
        </w:rPr>
        <w:t>la</w:t>
      </w:r>
      <w:r>
        <w:rPr>
          <w:spacing w:val="-6"/>
          <w:sz w:val="22"/>
        </w:rPr>
        <w:t> </w:t>
      </w:r>
      <w:r>
        <w:rPr>
          <w:sz w:val="22"/>
        </w:rPr>
        <w:t>Secretaria</w:t>
      </w:r>
      <w:r>
        <w:rPr>
          <w:spacing w:val="-6"/>
          <w:sz w:val="22"/>
        </w:rPr>
        <w:t> </w:t>
      </w:r>
      <w:r>
        <w:rPr>
          <w:sz w:val="22"/>
        </w:rPr>
        <w:t>de</w:t>
      </w:r>
      <w:r>
        <w:rPr>
          <w:spacing w:val="-11"/>
          <w:sz w:val="22"/>
        </w:rPr>
        <w:t> </w:t>
      </w:r>
      <w:r>
        <w:rPr>
          <w:sz w:val="22"/>
        </w:rPr>
        <w:t>Investigación</w:t>
      </w:r>
      <w:r>
        <w:rPr>
          <w:spacing w:val="-9"/>
          <w:sz w:val="22"/>
        </w:rPr>
        <w:t> </w:t>
      </w:r>
      <w:r>
        <w:rPr>
          <w:sz w:val="22"/>
        </w:rPr>
        <w:t>de la UAEM por el financiamiento otorgado a través del proyecto de investigación “Variación genética de aislamientos de </w:t>
      </w:r>
      <w:r>
        <w:rPr>
          <w:i/>
          <w:sz w:val="22"/>
        </w:rPr>
        <w:t>S. aureus </w:t>
      </w:r>
      <w:r>
        <w:rPr>
          <w:sz w:val="22"/>
        </w:rPr>
        <w:t>MRSA obtenidos de vacas lecheras en unidades de producción familiar, Clave 3848/2013CHT. Al Consejo Mexiquense</w:t>
      </w:r>
      <w:r>
        <w:rPr>
          <w:spacing w:val="-11"/>
          <w:sz w:val="22"/>
        </w:rPr>
        <w:t> </w:t>
      </w:r>
      <w:r>
        <w:rPr>
          <w:sz w:val="22"/>
        </w:rPr>
        <w:t>de</w:t>
      </w:r>
      <w:r>
        <w:rPr>
          <w:spacing w:val="-14"/>
          <w:sz w:val="22"/>
        </w:rPr>
        <w:t> </w:t>
      </w:r>
      <w:r>
        <w:rPr>
          <w:sz w:val="22"/>
        </w:rPr>
        <w:t>Ciencia</w:t>
      </w:r>
      <w:r>
        <w:rPr>
          <w:spacing w:val="-11"/>
          <w:sz w:val="22"/>
        </w:rPr>
        <w:t> </w:t>
      </w:r>
      <w:r>
        <w:rPr>
          <w:sz w:val="22"/>
        </w:rPr>
        <w:t>y</w:t>
      </w:r>
      <w:r>
        <w:rPr>
          <w:spacing w:val="-11"/>
          <w:sz w:val="22"/>
        </w:rPr>
        <w:t> </w:t>
      </w:r>
      <w:r>
        <w:rPr>
          <w:sz w:val="22"/>
        </w:rPr>
        <w:t>Tecnología</w:t>
      </w:r>
      <w:r>
        <w:rPr>
          <w:spacing w:val="-11"/>
          <w:sz w:val="22"/>
        </w:rPr>
        <w:t> </w:t>
      </w:r>
      <w:r>
        <w:rPr>
          <w:sz w:val="22"/>
        </w:rPr>
        <w:t>del</w:t>
      </w:r>
      <w:r>
        <w:rPr>
          <w:spacing w:val="-12"/>
          <w:sz w:val="22"/>
        </w:rPr>
        <w:t> </w:t>
      </w:r>
      <w:r>
        <w:rPr>
          <w:sz w:val="22"/>
        </w:rPr>
        <w:t>Estado</w:t>
      </w:r>
      <w:r>
        <w:rPr>
          <w:spacing w:val="-11"/>
          <w:sz w:val="22"/>
        </w:rPr>
        <w:t> </w:t>
      </w:r>
      <w:r>
        <w:rPr>
          <w:sz w:val="22"/>
        </w:rPr>
        <w:t>de</w:t>
      </w:r>
      <w:r>
        <w:rPr>
          <w:spacing w:val="-11"/>
          <w:sz w:val="22"/>
        </w:rPr>
        <w:t> </w:t>
      </w:r>
      <w:r>
        <w:rPr>
          <w:sz w:val="22"/>
        </w:rPr>
        <w:t>México</w:t>
      </w:r>
      <w:r>
        <w:rPr>
          <w:spacing w:val="-11"/>
          <w:sz w:val="22"/>
        </w:rPr>
        <w:t> </w:t>
      </w:r>
      <w:r>
        <w:rPr>
          <w:sz w:val="22"/>
        </w:rPr>
        <w:t>(COMECYT)</w:t>
      </w:r>
      <w:r>
        <w:rPr>
          <w:spacing w:val="-10"/>
          <w:sz w:val="22"/>
        </w:rPr>
        <w:t> </w:t>
      </w:r>
      <w:r>
        <w:rPr>
          <w:sz w:val="22"/>
        </w:rPr>
        <w:t>por</w:t>
      </w:r>
      <w:r>
        <w:rPr>
          <w:spacing w:val="-10"/>
          <w:sz w:val="22"/>
        </w:rPr>
        <w:t> </w:t>
      </w:r>
      <w:r>
        <w:rPr>
          <w:sz w:val="22"/>
        </w:rPr>
        <w:t>la</w:t>
      </w:r>
      <w:r>
        <w:rPr>
          <w:spacing w:val="-11"/>
          <w:sz w:val="22"/>
        </w:rPr>
        <w:t> </w:t>
      </w:r>
      <w:r>
        <w:rPr>
          <w:sz w:val="22"/>
        </w:rPr>
        <w:t>beca de titulación</w:t>
      </w:r>
      <w:r>
        <w:rPr>
          <w:spacing w:val="-7"/>
          <w:sz w:val="22"/>
        </w:rPr>
        <w:t> </w:t>
      </w:r>
      <w:r>
        <w:rPr>
          <w:sz w:val="22"/>
        </w:rPr>
        <w:t>otorgada.</w:t>
      </w:r>
    </w:p>
    <w:p>
      <w:pPr>
        <w:pStyle w:val="BodyText"/>
        <w:spacing w:before="4"/>
        <w:rPr>
          <w:sz w:val="17"/>
        </w:rPr>
      </w:pPr>
    </w:p>
    <w:p>
      <w:pPr>
        <w:spacing w:before="0"/>
        <w:ind w:left="152" w:right="0" w:firstLine="0"/>
        <w:jc w:val="both"/>
        <w:rPr>
          <w:b/>
          <w:sz w:val="22"/>
        </w:rPr>
      </w:pPr>
      <w:r>
        <w:rPr>
          <w:b/>
          <w:sz w:val="22"/>
        </w:rPr>
        <w:t>LITERATURA CITADA</w:t>
      </w:r>
    </w:p>
    <w:p>
      <w:pPr>
        <w:pStyle w:val="BodyText"/>
        <w:spacing w:before="8"/>
        <w:rPr>
          <w:b/>
          <w:sz w:val="28"/>
        </w:rPr>
      </w:pPr>
    </w:p>
    <w:p>
      <w:pPr>
        <w:pStyle w:val="ListParagraph"/>
        <w:numPr>
          <w:ilvl w:val="2"/>
          <w:numId w:val="7"/>
        </w:numPr>
        <w:tabs>
          <w:tab w:pos="1221" w:val="left" w:leader="none"/>
        </w:tabs>
        <w:spacing w:line="360" w:lineRule="auto" w:before="0" w:after="0"/>
        <w:ind w:left="1220" w:right="106" w:hanging="360"/>
        <w:jc w:val="both"/>
        <w:rPr>
          <w:sz w:val="22"/>
        </w:rPr>
      </w:pPr>
      <w:r>
        <w:rPr>
          <w:sz w:val="22"/>
        </w:rPr>
        <w:t>Olivares PR, Gómez </w:t>
      </w:r>
      <w:r>
        <w:rPr>
          <w:spacing w:val="-2"/>
          <w:sz w:val="22"/>
        </w:rPr>
        <w:t>CM, </w:t>
      </w:r>
      <w:r>
        <w:rPr>
          <w:sz w:val="22"/>
        </w:rPr>
        <w:t>Schwentesius RR, Carrera CB. Alternativas a la producción y mercadeo para la carne de conejo en Tlaxcala, México. Región y Sociedad. 2009, vol. XXI, núm. 46, pp. 191-207, El Colegio de Sonora</w:t>
      </w:r>
      <w:r>
        <w:rPr>
          <w:spacing w:val="-22"/>
          <w:sz w:val="22"/>
        </w:rPr>
        <w:t> </w:t>
      </w:r>
      <w:r>
        <w:rPr>
          <w:sz w:val="22"/>
        </w:rPr>
        <w:t>México</w:t>
      </w:r>
    </w:p>
    <w:p>
      <w:pPr>
        <w:pStyle w:val="ListParagraph"/>
        <w:numPr>
          <w:ilvl w:val="2"/>
          <w:numId w:val="7"/>
        </w:numPr>
        <w:tabs>
          <w:tab w:pos="1221" w:val="left" w:leader="none"/>
        </w:tabs>
        <w:spacing w:line="360" w:lineRule="auto" w:before="3" w:after="0"/>
        <w:ind w:left="1220" w:right="110" w:hanging="360"/>
        <w:jc w:val="both"/>
        <w:rPr>
          <w:sz w:val="22"/>
        </w:rPr>
      </w:pPr>
      <w:r>
        <w:rPr>
          <w:sz w:val="22"/>
        </w:rPr>
        <w:t>SAGARPA 2006. Sala de prensa Curso taller de cunicultura. Centro Nacional de Cunicultura de Irapuato, Guanajuato. Abril,</w:t>
      </w:r>
      <w:r>
        <w:rPr>
          <w:spacing w:val="-15"/>
          <w:sz w:val="22"/>
        </w:rPr>
        <w:t> </w:t>
      </w:r>
      <w:r>
        <w:rPr>
          <w:sz w:val="22"/>
        </w:rPr>
        <w:t>2006.</w:t>
      </w:r>
    </w:p>
    <w:p>
      <w:pPr>
        <w:pStyle w:val="ListParagraph"/>
        <w:numPr>
          <w:ilvl w:val="2"/>
          <w:numId w:val="7"/>
        </w:numPr>
        <w:tabs>
          <w:tab w:pos="1221" w:val="left" w:leader="none"/>
        </w:tabs>
        <w:spacing w:line="360" w:lineRule="auto" w:before="3" w:after="0"/>
        <w:ind w:left="1220" w:right="111" w:hanging="360"/>
        <w:jc w:val="both"/>
        <w:rPr>
          <w:sz w:val="22"/>
        </w:rPr>
      </w:pPr>
      <w:r>
        <w:rPr>
          <w:sz w:val="22"/>
        </w:rPr>
        <w:t>Lukefahr SD. Strategies for the development of small and médium scale rabbits farming in south East Asia. 2007 Livestock Research for Rural Development. 18:3452-3458.</w:t>
      </w:r>
    </w:p>
    <w:p>
      <w:pPr>
        <w:spacing w:after="0" w:line="360" w:lineRule="auto"/>
        <w:jc w:val="both"/>
        <w:rPr>
          <w:sz w:val="22"/>
        </w:rPr>
        <w:sectPr>
          <w:footerReference w:type="default" r:id="rId51"/>
          <w:pgSz w:w="12240" w:h="15840"/>
          <w:pgMar w:footer="1326" w:header="0" w:top="1500" w:bottom="1520" w:left="1720" w:right="1420"/>
          <w:pgNumType w:start="71"/>
        </w:sectPr>
      </w:pPr>
    </w:p>
    <w:p>
      <w:pPr>
        <w:pStyle w:val="BodyText"/>
        <w:spacing w:before="9"/>
        <w:rPr>
          <w:sz w:val="20"/>
        </w:rPr>
      </w:pPr>
    </w:p>
    <w:p>
      <w:pPr>
        <w:pStyle w:val="ListParagraph"/>
        <w:numPr>
          <w:ilvl w:val="2"/>
          <w:numId w:val="7"/>
        </w:numPr>
        <w:tabs>
          <w:tab w:pos="1221" w:val="left" w:leader="none"/>
        </w:tabs>
        <w:spacing w:line="360" w:lineRule="auto" w:before="73" w:after="0"/>
        <w:ind w:left="1220" w:right="105" w:hanging="360"/>
        <w:jc w:val="both"/>
        <w:rPr>
          <w:sz w:val="22"/>
        </w:rPr>
      </w:pPr>
      <w:r>
        <w:rPr>
          <w:sz w:val="22"/>
        </w:rPr>
        <w:t>Contreras JL, Rivera J, Lopez M, Losada R, Soriano R, Ambriz D, Arenas D. Reproductive rabbit paramenters of backyard production inthe urban abd peri- urban space in Xochimilco región. 2004 8th World rabbit congress pp. 1471- 1475.</w:t>
      </w:r>
    </w:p>
    <w:p>
      <w:pPr>
        <w:pStyle w:val="ListParagraph"/>
        <w:numPr>
          <w:ilvl w:val="2"/>
          <w:numId w:val="7"/>
        </w:numPr>
        <w:tabs>
          <w:tab w:pos="1221" w:val="left" w:leader="none"/>
        </w:tabs>
        <w:spacing w:line="360" w:lineRule="auto" w:before="3" w:after="0"/>
        <w:ind w:left="1220" w:right="113" w:hanging="360"/>
        <w:jc w:val="both"/>
        <w:rPr>
          <w:sz w:val="22"/>
        </w:rPr>
      </w:pPr>
      <w:r>
        <w:rPr>
          <w:sz w:val="22"/>
        </w:rPr>
        <w:t>SAGARPA 2015. Sala de prensa. impulsa la cunicultura como alternativa alimentaria y generadora de empleos en el campo. 2015. León, Gto., miércoles 14 de enero de</w:t>
      </w:r>
      <w:r>
        <w:rPr>
          <w:spacing w:val="-2"/>
          <w:sz w:val="22"/>
        </w:rPr>
        <w:t> </w:t>
      </w:r>
      <w:r>
        <w:rPr>
          <w:sz w:val="22"/>
        </w:rPr>
        <w:t>2015.</w:t>
      </w:r>
    </w:p>
    <w:p>
      <w:pPr>
        <w:pStyle w:val="ListParagraph"/>
        <w:numPr>
          <w:ilvl w:val="2"/>
          <w:numId w:val="7"/>
        </w:numPr>
        <w:tabs>
          <w:tab w:pos="1221" w:val="left" w:leader="none"/>
        </w:tabs>
        <w:spacing w:line="360" w:lineRule="auto" w:before="3" w:after="0"/>
        <w:ind w:left="1220" w:right="110" w:hanging="360"/>
        <w:jc w:val="both"/>
        <w:rPr>
          <w:sz w:val="22"/>
        </w:rPr>
      </w:pPr>
      <w:r>
        <w:rPr>
          <w:sz w:val="22"/>
        </w:rPr>
        <w:t>SAGARPA 2015. Sala de prensa. impulsa la cunicultura como alternativa alimentaria y generadora de empleos en el campo. 2015. León, Guanajuato. miércoles 14 de enero de</w:t>
      </w:r>
      <w:r>
        <w:rPr>
          <w:spacing w:val="-3"/>
          <w:sz w:val="22"/>
        </w:rPr>
        <w:t> </w:t>
      </w:r>
      <w:r>
        <w:rPr>
          <w:sz w:val="22"/>
        </w:rPr>
        <w:t>2015</w:t>
      </w:r>
    </w:p>
    <w:p>
      <w:pPr>
        <w:pStyle w:val="ListParagraph"/>
        <w:numPr>
          <w:ilvl w:val="2"/>
          <w:numId w:val="7"/>
        </w:numPr>
        <w:tabs>
          <w:tab w:pos="1221" w:val="left" w:leader="none"/>
        </w:tabs>
        <w:spacing w:line="240" w:lineRule="auto" w:before="3" w:after="0"/>
        <w:ind w:left="1220" w:right="0" w:hanging="360"/>
        <w:jc w:val="left"/>
        <w:rPr>
          <w:sz w:val="22"/>
        </w:rPr>
      </w:pPr>
      <w:r>
        <w:rPr>
          <w:sz w:val="22"/>
        </w:rPr>
        <w:t>SAGARPA. Delegación en el Estado de México comunicación social.</w:t>
      </w:r>
      <w:r>
        <w:rPr>
          <w:spacing w:val="41"/>
          <w:sz w:val="22"/>
        </w:rPr>
        <w:t> </w:t>
      </w:r>
      <w:r>
        <w:rPr>
          <w:sz w:val="22"/>
        </w:rPr>
        <w:t>2012.</w:t>
      </w:r>
    </w:p>
    <w:p>
      <w:pPr>
        <w:pStyle w:val="ListParagraph"/>
        <w:numPr>
          <w:ilvl w:val="2"/>
          <w:numId w:val="7"/>
        </w:numPr>
        <w:tabs>
          <w:tab w:pos="1221" w:val="left" w:leader="none"/>
        </w:tabs>
        <w:spacing w:line="360" w:lineRule="auto" w:before="126" w:after="0"/>
        <w:ind w:left="1220" w:right="105" w:hanging="360"/>
        <w:jc w:val="both"/>
        <w:rPr>
          <w:sz w:val="22"/>
        </w:rPr>
      </w:pPr>
      <w:r>
        <w:rPr>
          <w:sz w:val="22"/>
        </w:rPr>
        <w:t>SAGARPA. Sala de prensa. impulsa la cunicultura como alternativa alimentaria y generadora de empleos en el campo. 2014. León, Guanajuato. miércoles 14 de enero de</w:t>
      </w:r>
      <w:r>
        <w:rPr>
          <w:spacing w:val="1"/>
          <w:sz w:val="22"/>
        </w:rPr>
        <w:t> </w:t>
      </w:r>
      <w:r>
        <w:rPr>
          <w:sz w:val="22"/>
        </w:rPr>
        <w:t>2015</w:t>
      </w:r>
    </w:p>
    <w:p>
      <w:pPr>
        <w:pStyle w:val="ListParagraph"/>
        <w:numPr>
          <w:ilvl w:val="2"/>
          <w:numId w:val="7"/>
        </w:numPr>
        <w:tabs>
          <w:tab w:pos="1221" w:val="left" w:leader="none"/>
        </w:tabs>
        <w:spacing w:line="360" w:lineRule="auto" w:before="3" w:after="0"/>
        <w:ind w:left="1220" w:right="107" w:hanging="360"/>
        <w:jc w:val="both"/>
        <w:rPr>
          <w:sz w:val="22"/>
        </w:rPr>
      </w:pPr>
      <w:r>
        <w:rPr>
          <w:sz w:val="22"/>
        </w:rPr>
        <w:t>Cury K, Martínez A, Aguas Y, Olivero R. Caracterización de carne de conejo y producción de salchicha. Characterization of rabbit meat and sausage production  .Rev. Colombiana cienc. Anim. 2011;</w:t>
      </w:r>
      <w:r>
        <w:rPr>
          <w:spacing w:val="-14"/>
          <w:sz w:val="22"/>
        </w:rPr>
        <w:t> </w:t>
      </w:r>
      <w:r>
        <w:rPr>
          <w:sz w:val="22"/>
        </w:rPr>
        <w:t>3(2):269-282.</w:t>
      </w:r>
    </w:p>
    <w:p>
      <w:pPr>
        <w:pStyle w:val="ListParagraph"/>
        <w:numPr>
          <w:ilvl w:val="2"/>
          <w:numId w:val="7"/>
        </w:numPr>
        <w:tabs>
          <w:tab w:pos="1221" w:val="left" w:leader="none"/>
        </w:tabs>
        <w:spacing w:line="360" w:lineRule="auto" w:before="3" w:after="0"/>
        <w:ind w:left="1220" w:right="109" w:hanging="360"/>
        <w:jc w:val="both"/>
        <w:rPr>
          <w:sz w:val="22"/>
        </w:rPr>
      </w:pPr>
      <w:r>
        <w:rPr>
          <w:sz w:val="22"/>
        </w:rPr>
        <w:t>Arriaga JCM, Anaya OJP. Contribución de la producción animal en pequeña escala</w:t>
      </w:r>
      <w:r>
        <w:rPr>
          <w:spacing w:val="-9"/>
          <w:sz w:val="22"/>
        </w:rPr>
        <w:t> </w:t>
      </w:r>
      <w:r>
        <w:rPr>
          <w:sz w:val="22"/>
        </w:rPr>
        <w:t>al</w:t>
      </w:r>
      <w:r>
        <w:rPr>
          <w:spacing w:val="-10"/>
          <w:sz w:val="22"/>
        </w:rPr>
        <w:t> </w:t>
      </w:r>
      <w:r>
        <w:rPr>
          <w:sz w:val="22"/>
        </w:rPr>
        <w:t>desarrollo</w:t>
      </w:r>
      <w:r>
        <w:rPr>
          <w:spacing w:val="-9"/>
          <w:sz w:val="22"/>
        </w:rPr>
        <w:t> </w:t>
      </w:r>
      <w:r>
        <w:rPr>
          <w:sz w:val="22"/>
        </w:rPr>
        <w:t>rural.</w:t>
      </w:r>
      <w:r>
        <w:rPr>
          <w:spacing w:val="-10"/>
          <w:sz w:val="22"/>
        </w:rPr>
        <w:t> </w:t>
      </w:r>
      <w:r>
        <w:rPr>
          <w:sz w:val="22"/>
        </w:rPr>
        <w:t>Primera</w:t>
      </w:r>
      <w:r>
        <w:rPr>
          <w:spacing w:val="-11"/>
          <w:sz w:val="22"/>
        </w:rPr>
        <w:t> </w:t>
      </w:r>
      <w:r>
        <w:rPr>
          <w:sz w:val="22"/>
        </w:rPr>
        <w:t>edición.</w:t>
      </w:r>
      <w:r>
        <w:rPr>
          <w:spacing w:val="-9"/>
          <w:sz w:val="22"/>
        </w:rPr>
        <w:t> </w:t>
      </w:r>
      <w:r>
        <w:rPr>
          <w:sz w:val="22"/>
        </w:rPr>
        <w:t>México</w:t>
      </w:r>
      <w:r>
        <w:rPr>
          <w:spacing w:val="-7"/>
          <w:sz w:val="22"/>
        </w:rPr>
        <w:t> </w:t>
      </w:r>
      <w:r>
        <w:rPr>
          <w:sz w:val="22"/>
        </w:rPr>
        <w:t>D.F.</w:t>
      </w:r>
      <w:r>
        <w:rPr>
          <w:spacing w:val="-9"/>
          <w:sz w:val="22"/>
        </w:rPr>
        <w:t> </w:t>
      </w:r>
      <w:r>
        <w:rPr>
          <w:sz w:val="22"/>
        </w:rPr>
        <w:t>Reverté</w:t>
      </w:r>
      <w:r>
        <w:rPr>
          <w:spacing w:val="-11"/>
          <w:sz w:val="22"/>
        </w:rPr>
        <w:t> </w:t>
      </w:r>
      <w:r>
        <w:rPr>
          <w:sz w:val="22"/>
        </w:rPr>
        <w:t>ediciones,</w:t>
      </w:r>
      <w:r>
        <w:rPr>
          <w:spacing w:val="-10"/>
          <w:sz w:val="22"/>
        </w:rPr>
        <w:t> </w:t>
      </w:r>
      <w:r>
        <w:rPr>
          <w:sz w:val="22"/>
        </w:rPr>
        <w:t>2014; 234.</w:t>
      </w:r>
    </w:p>
    <w:p>
      <w:pPr>
        <w:pStyle w:val="ListParagraph"/>
        <w:numPr>
          <w:ilvl w:val="2"/>
          <w:numId w:val="7"/>
        </w:numPr>
        <w:tabs>
          <w:tab w:pos="1221" w:val="left" w:leader="none"/>
        </w:tabs>
        <w:spacing w:line="360" w:lineRule="auto" w:before="3" w:after="0"/>
        <w:ind w:left="1220" w:right="107" w:hanging="360"/>
        <w:jc w:val="both"/>
        <w:rPr>
          <w:sz w:val="22"/>
        </w:rPr>
      </w:pPr>
      <w:r>
        <w:rPr>
          <w:sz w:val="22"/>
        </w:rPr>
        <w:t>Patilk RS, Cates, SA., Morales R. Consumer food safety knowledge, practices, and demographic differences: finding from a meta-analysis. J. Food Prot.2005; 68(9):</w:t>
      </w:r>
    </w:p>
    <w:p>
      <w:pPr>
        <w:pStyle w:val="ListParagraph"/>
        <w:numPr>
          <w:ilvl w:val="2"/>
          <w:numId w:val="7"/>
        </w:numPr>
        <w:tabs>
          <w:tab w:pos="1221" w:val="left" w:leader="none"/>
        </w:tabs>
        <w:spacing w:line="362" w:lineRule="auto" w:before="3" w:after="0"/>
        <w:ind w:left="1220" w:right="113" w:hanging="360"/>
        <w:jc w:val="both"/>
        <w:rPr>
          <w:sz w:val="22"/>
        </w:rPr>
      </w:pPr>
      <w:r>
        <w:rPr>
          <w:sz w:val="22"/>
        </w:rPr>
        <w:t>Maltin C, Balcerzak D, Tilley R, Delday M. Determinants of meat quality: tenderness. Proceedings of the Nutrition Society 2003;</w:t>
      </w:r>
      <w:r>
        <w:rPr>
          <w:spacing w:val="-18"/>
          <w:sz w:val="22"/>
        </w:rPr>
        <w:t> </w:t>
      </w:r>
      <w:r>
        <w:rPr>
          <w:sz w:val="22"/>
        </w:rPr>
        <w:t>62:337–347</w:t>
      </w:r>
    </w:p>
    <w:p>
      <w:pPr>
        <w:pStyle w:val="ListParagraph"/>
        <w:numPr>
          <w:ilvl w:val="2"/>
          <w:numId w:val="7"/>
        </w:numPr>
        <w:tabs>
          <w:tab w:pos="1221" w:val="left" w:leader="none"/>
        </w:tabs>
        <w:spacing w:line="360" w:lineRule="auto" w:before="1" w:after="0"/>
        <w:ind w:left="1220" w:right="105" w:hanging="360"/>
        <w:jc w:val="both"/>
        <w:rPr>
          <w:sz w:val="22"/>
        </w:rPr>
      </w:pPr>
      <w:r>
        <w:rPr>
          <w:sz w:val="22"/>
        </w:rPr>
        <w:t>Rodríguez CJL, Velázquez OV, Valladares CB, Talavera </w:t>
      </w:r>
      <w:r>
        <w:rPr>
          <w:spacing w:val="-2"/>
          <w:sz w:val="22"/>
        </w:rPr>
        <w:t>RM, </w:t>
      </w:r>
      <w:r>
        <w:rPr>
          <w:sz w:val="22"/>
        </w:rPr>
        <w:t>Zamora EJL, Alonso FMU, Díaz González BAE, García GAM. </w:t>
      </w:r>
      <w:r>
        <w:rPr>
          <w:i/>
          <w:sz w:val="22"/>
        </w:rPr>
        <w:t>Staphylococcus aureus </w:t>
      </w:r>
      <w:r>
        <w:rPr>
          <w:sz w:val="22"/>
        </w:rPr>
        <w:t>Contamination evaluation in rabbit carcasses (Oryctolagus cuniculus) through washing and superficial sampling. World Rabbit Sci. 2015; 23:</w:t>
      </w:r>
      <w:r>
        <w:rPr>
          <w:spacing w:val="-14"/>
          <w:sz w:val="22"/>
        </w:rPr>
        <w:t> </w:t>
      </w:r>
      <w:r>
        <w:rPr>
          <w:sz w:val="22"/>
        </w:rPr>
        <w:t>55-86</w:t>
      </w:r>
    </w:p>
    <w:p>
      <w:pPr>
        <w:pStyle w:val="ListParagraph"/>
        <w:numPr>
          <w:ilvl w:val="2"/>
          <w:numId w:val="7"/>
        </w:numPr>
        <w:tabs>
          <w:tab w:pos="1221" w:val="left" w:leader="none"/>
        </w:tabs>
        <w:spacing w:line="360" w:lineRule="auto" w:before="3" w:after="0"/>
        <w:ind w:left="1220" w:right="110" w:hanging="360"/>
        <w:jc w:val="both"/>
        <w:rPr>
          <w:sz w:val="22"/>
        </w:rPr>
      </w:pPr>
      <w:r>
        <w:rPr>
          <w:sz w:val="22"/>
        </w:rPr>
        <w:t>FAO. Calidad de la carne. Departamento de agricultura y protección del Consumidor. División de producción y sanidad Animal.</w:t>
      </w:r>
      <w:r>
        <w:rPr>
          <w:spacing w:val="-12"/>
          <w:sz w:val="22"/>
        </w:rPr>
        <w:t> </w:t>
      </w:r>
      <w:r>
        <w:rPr>
          <w:sz w:val="22"/>
        </w:rPr>
        <w:t>2014</w:t>
      </w:r>
    </w:p>
    <w:p>
      <w:pPr>
        <w:spacing w:after="0" w:line="360" w:lineRule="auto"/>
        <w:jc w:val="both"/>
        <w:rPr>
          <w:sz w:val="22"/>
        </w:rPr>
        <w:sectPr>
          <w:pgSz w:w="12240" w:h="15840"/>
          <w:pgMar w:header="0" w:footer="1326" w:top="1500" w:bottom="1580" w:left="1720" w:right="1420"/>
        </w:sectPr>
      </w:pPr>
    </w:p>
    <w:p>
      <w:pPr>
        <w:pStyle w:val="BodyText"/>
        <w:spacing w:before="9"/>
        <w:rPr>
          <w:sz w:val="20"/>
        </w:rPr>
      </w:pPr>
    </w:p>
    <w:p>
      <w:pPr>
        <w:pStyle w:val="ListParagraph"/>
        <w:numPr>
          <w:ilvl w:val="2"/>
          <w:numId w:val="7"/>
        </w:numPr>
        <w:tabs>
          <w:tab w:pos="1221" w:val="left" w:leader="none"/>
        </w:tabs>
        <w:spacing w:line="360" w:lineRule="auto" w:before="73" w:after="0"/>
        <w:ind w:left="1220" w:right="104" w:hanging="360"/>
        <w:jc w:val="both"/>
        <w:rPr>
          <w:sz w:val="22"/>
        </w:rPr>
      </w:pPr>
      <w:r>
        <w:rPr>
          <w:sz w:val="22"/>
        </w:rPr>
        <w:t>NMX-FF-105-SCFI-2005 Productos Pecuarios–Carne de Conejo en Canal – Clasificación.</w:t>
      </w:r>
    </w:p>
    <w:p>
      <w:pPr>
        <w:pStyle w:val="ListParagraph"/>
        <w:numPr>
          <w:ilvl w:val="2"/>
          <w:numId w:val="7"/>
        </w:numPr>
        <w:tabs>
          <w:tab w:pos="1221" w:val="left" w:leader="none"/>
        </w:tabs>
        <w:spacing w:line="360" w:lineRule="auto" w:before="3" w:after="0"/>
        <w:ind w:left="1220" w:right="108" w:hanging="360"/>
        <w:jc w:val="both"/>
        <w:rPr>
          <w:sz w:val="22"/>
        </w:rPr>
      </w:pPr>
      <w:r>
        <w:rPr>
          <w:sz w:val="22"/>
        </w:rPr>
        <w:t>NORMA Oficial Mexicana NOM033SAG/ZOO2014, Métodos para dar muerte a los animales domésticos y</w:t>
      </w:r>
      <w:r>
        <w:rPr>
          <w:spacing w:val="-9"/>
          <w:sz w:val="22"/>
        </w:rPr>
        <w:t> </w:t>
      </w:r>
      <w:r>
        <w:rPr>
          <w:sz w:val="22"/>
        </w:rPr>
        <w:t>silvestres.</w:t>
      </w:r>
    </w:p>
    <w:p>
      <w:pPr>
        <w:pStyle w:val="ListParagraph"/>
        <w:numPr>
          <w:ilvl w:val="2"/>
          <w:numId w:val="7"/>
        </w:numPr>
        <w:tabs>
          <w:tab w:pos="1221" w:val="left" w:leader="none"/>
        </w:tabs>
        <w:spacing w:line="360" w:lineRule="auto" w:before="3" w:after="0"/>
        <w:ind w:left="1220" w:right="112" w:hanging="360"/>
        <w:jc w:val="both"/>
        <w:rPr>
          <w:sz w:val="22"/>
        </w:rPr>
      </w:pPr>
      <w:r>
        <w:rPr>
          <w:sz w:val="22"/>
        </w:rPr>
        <w:t>Pérez AML, Morón FO, Gallardo N, Vila V, Arzalluz FM, Pietrosemoli S. Caracterización anatómica y física de los músculos del conejo. Revista Científica. 2009;</w:t>
      </w:r>
      <w:r>
        <w:rPr>
          <w:spacing w:val="-13"/>
          <w:sz w:val="22"/>
        </w:rPr>
        <w:t> </w:t>
      </w:r>
      <w:r>
        <w:rPr>
          <w:sz w:val="22"/>
        </w:rPr>
        <w:t>XIX(2):134-138</w:t>
      </w:r>
    </w:p>
    <w:p>
      <w:pPr>
        <w:pStyle w:val="ListParagraph"/>
        <w:numPr>
          <w:ilvl w:val="2"/>
          <w:numId w:val="7"/>
        </w:numPr>
        <w:tabs>
          <w:tab w:pos="1221" w:val="left" w:leader="none"/>
        </w:tabs>
        <w:spacing w:line="240" w:lineRule="auto" w:before="3" w:after="0"/>
        <w:ind w:left="1220" w:right="0" w:hanging="360"/>
        <w:jc w:val="left"/>
        <w:rPr>
          <w:sz w:val="22"/>
        </w:rPr>
      </w:pPr>
      <w:r>
        <w:rPr>
          <w:sz w:val="22"/>
        </w:rPr>
        <w:t>Comité Sistema Producto cunícula del Distrito Federal. Plan rector.</w:t>
      </w:r>
      <w:r>
        <w:rPr>
          <w:spacing w:val="-23"/>
          <w:sz w:val="22"/>
        </w:rPr>
        <w:t> </w:t>
      </w:r>
      <w:r>
        <w:rPr>
          <w:sz w:val="22"/>
        </w:rPr>
        <w:t>2013.</w:t>
      </w:r>
    </w:p>
    <w:p>
      <w:pPr>
        <w:pStyle w:val="ListParagraph"/>
        <w:numPr>
          <w:ilvl w:val="2"/>
          <w:numId w:val="7"/>
        </w:numPr>
        <w:tabs>
          <w:tab w:pos="1221" w:val="left" w:leader="none"/>
        </w:tabs>
        <w:spacing w:line="360" w:lineRule="auto" w:before="127" w:after="0"/>
        <w:ind w:left="1220" w:right="109" w:hanging="360"/>
        <w:jc w:val="both"/>
        <w:rPr>
          <w:sz w:val="22"/>
        </w:rPr>
      </w:pPr>
      <w:r>
        <w:rPr>
          <w:sz w:val="22"/>
        </w:rPr>
        <w:t>Norma Oficial Mexicana Nom-109-SSA1-1994, Bienes y servicios, procedimientos</w:t>
      </w:r>
      <w:r>
        <w:rPr>
          <w:spacing w:val="-18"/>
          <w:sz w:val="22"/>
        </w:rPr>
        <w:t> </w:t>
      </w:r>
      <w:r>
        <w:rPr>
          <w:sz w:val="22"/>
        </w:rPr>
        <w:t>para</w:t>
      </w:r>
      <w:r>
        <w:rPr>
          <w:spacing w:val="-18"/>
          <w:sz w:val="22"/>
        </w:rPr>
        <w:t> </w:t>
      </w:r>
      <w:r>
        <w:rPr>
          <w:sz w:val="22"/>
        </w:rPr>
        <w:t>la</w:t>
      </w:r>
      <w:r>
        <w:rPr>
          <w:spacing w:val="-16"/>
          <w:sz w:val="22"/>
        </w:rPr>
        <w:t> </w:t>
      </w:r>
      <w:r>
        <w:rPr>
          <w:sz w:val="22"/>
        </w:rPr>
        <w:t>toma,</w:t>
      </w:r>
      <w:r>
        <w:rPr>
          <w:spacing w:val="-16"/>
          <w:sz w:val="22"/>
        </w:rPr>
        <w:t> </w:t>
      </w:r>
      <w:r>
        <w:rPr>
          <w:sz w:val="22"/>
        </w:rPr>
        <w:t>manejo</w:t>
      </w:r>
      <w:r>
        <w:rPr>
          <w:spacing w:val="-16"/>
          <w:sz w:val="22"/>
        </w:rPr>
        <w:t> </w:t>
      </w:r>
      <w:r>
        <w:rPr>
          <w:sz w:val="22"/>
        </w:rPr>
        <w:t>y</w:t>
      </w:r>
      <w:r>
        <w:rPr>
          <w:spacing w:val="-17"/>
          <w:sz w:val="22"/>
        </w:rPr>
        <w:t> </w:t>
      </w:r>
      <w:r>
        <w:rPr>
          <w:sz w:val="22"/>
        </w:rPr>
        <w:t>transporte</w:t>
      </w:r>
      <w:r>
        <w:rPr>
          <w:spacing w:val="-20"/>
          <w:sz w:val="22"/>
        </w:rPr>
        <w:t> </w:t>
      </w:r>
      <w:r>
        <w:rPr>
          <w:sz w:val="22"/>
        </w:rPr>
        <w:t>de</w:t>
      </w:r>
      <w:r>
        <w:rPr>
          <w:spacing w:val="-16"/>
          <w:sz w:val="22"/>
        </w:rPr>
        <w:t> </w:t>
      </w:r>
      <w:r>
        <w:rPr>
          <w:sz w:val="22"/>
        </w:rPr>
        <w:t>muestras</w:t>
      </w:r>
      <w:r>
        <w:rPr>
          <w:spacing w:val="-18"/>
          <w:sz w:val="22"/>
        </w:rPr>
        <w:t> </w:t>
      </w:r>
      <w:r>
        <w:rPr>
          <w:sz w:val="22"/>
        </w:rPr>
        <w:t>de</w:t>
      </w:r>
      <w:r>
        <w:rPr>
          <w:spacing w:val="-16"/>
          <w:sz w:val="22"/>
        </w:rPr>
        <w:t> </w:t>
      </w:r>
      <w:r>
        <w:rPr>
          <w:sz w:val="22"/>
        </w:rPr>
        <w:t>alimentos</w:t>
      </w:r>
      <w:r>
        <w:rPr>
          <w:spacing w:val="-16"/>
          <w:sz w:val="22"/>
        </w:rPr>
        <w:t> </w:t>
      </w:r>
      <w:r>
        <w:rPr>
          <w:sz w:val="22"/>
        </w:rPr>
        <w:t>para su análisis</w:t>
      </w:r>
      <w:r>
        <w:rPr>
          <w:spacing w:val="-11"/>
          <w:sz w:val="22"/>
        </w:rPr>
        <w:t> </w:t>
      </w:r>
      <w:r>
        <w:rPr>
          <w:sz w:val="22"/>
        </w:rPr>
        <w:t>microbiológico.</w:t>
      </w:r>
    </w:p>
    <w:p>
      <w:pPr>
        <w:pStyle w:val="ListParagraph"/>
        <w:numPr>
          <w:ilvl w:val="2"/>
          <w:numId w:val="7"/>
        </w:numPr>
        <w:tabs>
          <w:tab w:pos="1221" w:val="left" w:leader="none"/>
        </w:tabs>
        <w:spacing w:line="360" w:lineRule="auto" w:before="3" w:after="0"/>
        <w:ind w:left="1220" w:right="110" w:hanging="360"/>
        <w:jc w:val="both"/>
        <w:rPr>
          <w:sz w:val="22"/>
        </w:rPr>
      </w:pPr>
      <w:r>
        <w:rPr>
          <w:sz w:val="22"/>
        </w:rPr>
        <w:t>Programa de Desarrollo Regional 2006 – 2011. Macro Región I Centro Toluca, Región VII Lerma. Gobierno del Estado de</w:t>
      </w:r>
      <w:r>
        <w:rPr>
          <w:spacing w:val="-16"/>
          <w:sz w:val="22"/>
        </w:rPr>
        <w:t> </w:t>
      </w:r>
      <w:r>
        <w:rPr>
          <w:sz w:val="22"/>
        </w:rPr>
        <w:t>México.</w:t>
      </w:r>
    </w:p>
    <w:p>
      <w:pPr>
        <w:pStyle w:val="ListParagraph"/>
        <w:numPr>
          <w:ilvl w:val="2"/>
          <w:numId w:val="7"/>
        </w:numPr>
        <w:tabs>
          <w:tab w:pos="1221" w:val="left" w:leader="none"/>
        </w:tabs>
        <w:spacing w:line="360" w:lineRule="auto" w:before="3" w:after="0"/>
        <w:ind w:left="1220" w:right="113" w:hanging="360"/>
        <w:jc w:val="both"/>
        <w:rPr>
          <w:sz w:val="22"/>
        </w:rPr>
      </w:pPr>
      <w:r>
        <w:rPr>
          <w:sz w:val="22"/>
        </w:rPr>
        <w:t>AOAC. Official methods of analysis. 18th ed. Maryland, USA. Association of Official Analytical Chemist.</w:t>
      </w:r>
      <w:r>
        <w:rPr>
          <w:spacing w:val="-13"/>
          <w:sz w:val="22"/>
        </w:rPr>
        <w:t> </w:t>
      </w:r>
      <w:r>
        <w:rPr>
          <w:sz w:val="22"/>
        </w:rPr>
        <w:t>2012</w:t>
      </w:r>
    </w:p>
    <w:p>
      <w:pPr>
        <w:pStyle w:val="ListParagraph"/>
        <w:numPr>
          <w:ilvl w:val="2"/>
          <w:numId w:val="7"/>
        </w:numPr>
        <w:tabs>
          <w:tab w:pos="1221" w:val="left" w:leader="none"/>
        </w:tabs>
        <w:spacing w:line="360" w:lineRule="auto" w:before="5" w:after="0"/>
        <w:ind w:left="1220" w:right="107" w:hanging="360"/>
        <w:jc w:val="both"/>
        <w:rPr>
          <w:sz w:val="22"/>
        </w:rPr>
      </w:pPr>
      <w:r>
        <w:rPr>
          <w:sz w:val="22"/>
        </w:rPr>
        <w:t>Braña</w:t>
      </w:r>
      <w:r>
        <w:rPr>
          <w:spacing w:val="-10"/>
          <w:sz w:val="22"/>
        </w:rPr>
        <w:t> </w:t>
      </w:r>
      <w:r>
        <w:rPr>
          <w:sz w:val="22"/>
        </w:rPr>
        <w:t>VD,</w:t>
      </w:r>
      <w:r>
        <w:rPr>
          <w:spacing w:val="-11"/>
          <w:sz w:val="22"/>
        </w:rPr>
        <w:t> </w:t>
      </w:r>
      <w:r>
        <w:rPr>
          <w:sz w:val="22"/>
        </w:rPr>
        <w:t>Ramírez</w:t>
      </w:r>
      <w:r>
        <w:rPr>
          <w:spacing w:val="-13"/>
          <w:sz w:val="22"/>
        </w:rPr>
        <w:t> </w:t>
      </w:r>
      <w:r>
        <w:rPr>
          <w:sz w:val="22"/>
        </w:rPr>
        <w:t>RE,</w:t>
      </w:r>
      <w:r>
        <w:rPr>
          <w:spacing w:val="-10"/>
          <w:sz w:val="22"/>
        </w:rPr>
        <w:t> </w:t>
      </w:r>
      <w:r>
        <w:rPr>
          <w:sz w:val="22"/>
        </w:rPr>
        <w:t>Rubio</w:t>
      </w:r>
      <w:r>
        <w:rPr>
          <w:spacing w:val="-10"/>
          <w:sz w:val="22"/>
        </w:rPr>
        <w:t> </w:t>
      </w:r>
      <w:r>
        <w:rPr>
          <w:sz w:val="22"/>
        </w:rPr>
        <w:t>LMS,</w:t>
      </w:r>
      <w:r>
        <w:rPr>
          <w:spacing w:val="-10"/>
          <w:sz w:val="22"/>
        </w:rPr>
        <w:t> </w:t>
      </w:r>
      <w:r>
        <w:rPr>
          <w:sz w:val="22"/>
        </w:rPr>
        <w:t>Sánchez</w:t>
      </w:r>
      <w:r>
        <w:rPr>
          <w:spacing w:val="-12"/>
          <w:sz w:val="22"/>
        </w:rPr>
        <w:t> </w:t>
      </w:r>
      <w:r>
        <w:rPr>
          <w:sz w:val="22"/>
        </w:rPr>
        <w:t>EA,</w:t>
      </w:r>
      <w:r>
        <w:rPr>
          <w:spacing w:val="-14"/>
          <w:sz w:val="22"/>
        </w:rPr>
        <w:t> </w:t>
      </w:r>
      <w:r>
        <w:rPr>
          <w:sz w:val="22"/>
        </w:rPr>
        <w:t>Torrescano</w:t>
      </w:r>
      <w:r>
        <w:rPr>
          <w:spacing w:val="-10"/>
          <w:sz w:val="22"/>
        </w:rPr>
        <w:t> </w:t>
      </w:r>
      <w:r>
        <w:rPr>
          <w:sz w:val="22"/>
        </w:rPr>
        <w:t>UG,</w:t>
      </w:r>
      <w:r>
        <w:rPr>
          <w:spacing w:val="-11"/>
          <w:sz w:val="22"/>
        </w:rPr>
        <w:t> </w:t>
      </w:r>
      <w:r>
        <w:rPr>
          <w:sz w:val="22"/>
        </w:rPr>
        <w:t>Arenas</w:t>
      </w:r>
      <w:r>
        <w:rPr>
          <w:spacing w:val="-15"/>
          <w:sz w:val="22"/>
        </w:rPr>
        <w:t> </w:t>
      </w:r>
      <w:r>
        <w:rPr>
          <w:sz w:val="22"/>
        </w:rPr>
        <w:t>MML, Partida PJA, Ponce AE, Ríos RGF. Manual de Análisis de Calidad en Muestras de Carne. Centro Nacional de Investigación Disciplinaria en Fisiología y Mejoramiento Animal.  Primera Ed. Querétaro,</w:t>
      </w:r>
      <w:r>
        <w:rPr>
          <w:spacing w:val="-16"/>
          <w:sz w:val="22"/>
        </w:rPr>
        <w:t> </w:t>
      </w:r>
      <w:r>
        <w:rPr>
          <w:sz w:val="22"/>
        </w:rPr>
        <w:t>2011</w:t>
      </w:r>
    </w:p>
    <w:p>
      <w:pPr>
        <w:pStyle w:val="ListParagraph"/>
        <w:numPr>
          <w:ilvl w:val="2"/>
          <w:numId w:val="7"/>
        </w:numPr>
        <w:tabs>
          <w:tab w:pos="1221" w:val="left" w:leader="none"/>
        </w:tabs>
        <w:spacing w:line="360" w:lineRule="auto" w:before="3" w:after="0"/>
        <w:ind w:left="1220" w:right="114" w:hanging="360"/>
        <w:jc w:val="both"/>
        <w:rPr>
          <w:sz w:val="22"/>
        </w:rPr>
      </w:pPr>
      <w:r>
        <w:rPr>
          <w:sz w:val="22"/>
        </w:rPr>
        <w:t>Pascual M, Pla M. Changes in carcass composition and meat quality when selecting rabbits for growth rate. Meat Science. 2007; 77:</w:t>
      </w:r>
      <w:r>
        <w:rPr>
          <w:spacing w:val="-15"/>
          <w:sz w:val="22"/>
        </w:rPr>
        <w:t> </w:t>
      </w:r>
      <w:r>
        <w:rPr>
          <w:sz w:val="22"/>
        </w:rPr>
        <w:t>474–481</w:t>
      </w:r>
    </w:p>
    <w:p>
      <w:pPr>
        <w:pStyle w:val="ListParagraph"/>
        <w:numPr>
          <w:ilvl w:val="2"/>
          <w:numId w:val="7"/>
        </w:numPr>
        <w:tabs>
          <w:tab w:pos="1221" w:val="left" w:leader="none"/>
        </w:tabs>
        <w:spacing w:line="360" w:lineRule="auto" w:before="3" w:after="0"/>
        <w:ind w:left="1220" w:right="110" w:hanging="360"/>
        <w:jc w:val="both"/>
        <w:rPr>
          <w:sz w:val="22"/>
        </w:rPr>
      </w:pPr>
      <w:r>
        <w:rPr>
          <w:sz w:val="22"/>
        </w:rPr>
        <w:t>Barrón </w:t>
      </w:r>
      <w:r>
        <w:rPr>
          <w:spacing w:val="-2"/>
          <w:sz w:val="22"/>
        </w:rPr>
        <w:t>CM, </w:t>
      </w:r>
      <w:r>
        <w:rPr>
          <w:sz w:val="22"/>
        </w:rPr>
        <w:t>Herrera JG, Suárez EM, Zamora MM, Lemus C. 2004. Evaluación de</w:t>
      </w:r>
      <w:r>
        <w:rPr>
          <w:spacing w:val="-9"/>
          <w:sz w:val="22"/>
        </w:rPr>
        <w:t> </w:t>
      </w:r>
      <w:r>
        <w:rPr>
          <w:sz w:val="22"/>
        </w:rPr>
        <w:t>características</w:t>
      </w:r>
      <w:r>
        <w:rPr>
          <w:spacing w:val="-9"/>
          <w:sz w:val="22"/>
        </w:rPr>
        <w:t> </w:t>
      </w:r>
      <w:r>
        <w:rPr>
          <w:sz w:val="22"/>
        </w:rPr>
        <w:t>de</w:t>
      </w:r>
      <w:r>
        <w:rPr>
          <w:spacing w:val="-11"/>
          <w:sz w:val="22"/>
        </w:rPr>
        <w:t> </w:t>
      </w:r>
      <w:r>
        <w:rPr>
          <w:sz w:val="22"/>
        </w:rPr>
        <w:t>canal</w:t>
      </w:r>
      <w:r>
        <w:rPr>
          <w:spacing w:val="-10"/>
          <w:sz w:val="22"/>
        </w:rPr>
        <w:t> </w:t>
      </w:r>
      <w:r>
        <w:rPr>
          <w:sz w:val="22"/>
        </w:rPr>
        <w:t>en</w:t>
      </w:r>
      <w:r>
        <w:rPr>
          <w:spacing w:val="-11"/>
          <w:sz w:val="22"/>
        </w:rPr>
        <w:t> </w:t>
      </w:r>
      <w:r>
        <w:rPr>
          <w:sz w:val="22"/>
        </w:rPr>
        <w:t>tres</w:t>
      </w:r>
      <w:r>
        <w:rPr>
          <w:spacing w:val="-14"/>
          <w:sz w:val="22"/>
        </w:rPr>
        <w:t> </w:t>
      </w:r>
      <w:r>
        <w:rPr>
          <w:sz w:val="22"/>
        </w:rPr>
        <w:t>razas</w:t>
      </w:r>
      <w:r>
        <w:rPr>
          <w:spacing w:val="-9"/>
          <w:sz w:val="22"/>
        </w:rPr>
        <w:t> </w:t>
      </w:r>
      <w:r>
        <w:rPr>
          <w:sz w:val="22"/>
        </w:rPr>
        <w:t>de</w:t>
      </w:r>
      <w:r>
        <w:rPr>
          <w:spacing w:val="-11"/>
          <w:sz w:val="22"/>
        </w:rPr>
        <w:t> </w:t>
      </w:r>
      <w:r>
        <w:rPr>
          <w:sz w:val="22"/>
        </w:rPr>
        <w:t>conejos.</w:t>
      </w:r>
      <w:r>
        <w:rPr>
          <w:spacing w:val="-10"/>
          <w:sz w:val="22"/>
        </w:rPr>
        <w:t> </w:t>
      </w:r>
      <w:r>
        <w:rPr>
          <w:sz w:val="22"/>
        </w:rPr>
        <w:t>Revista</w:t>
      </w:r>
      <w:r>
        <w:rPr>
          <w:spacing w:val="-9"/>
          <w:sz w:val="22"/>
        </w:rPr>
        <w:t> </w:t>
      </w:r>
      <w:r>
        <w:rPr>
          <w:sz w:val="22"/>
        </w:rPr>
        <w:t>Cubana</w:t>
      </w:r>
      <w:r>
        <w:rPr>
          <w:spacing w:val="-9"/>
          <w:sz w:val="22"/>
        </w:rPr>
        <w:t> </w:t>
      </w:r>
      <w:r>
        <w:rPr>
          <w:sz w:val="22"/>
        </w:rPr>
        <w:t>de</w:t>
      </w:r>
      <w:r>
        <w:rPr>
          <w:spacing w:val="-11"/>
          <w:sz w:val="22"/>
        </w:rPr>
        <w:t> </w:t>
      </w:r>
      <w:r>
        <w:rPr>
          <w:sz w:val="22"/>
        </w:rPr>
        <w:t>Ciencia Agrícola.</w:t>
      </w:r>
      <w:r>
        <w:rPr>
          <w:spacing w:val="-8"/>
          <w:sz w:val="22"/>
        </w:rPr>
        <w:t> </w:t>
      </w:r>
      <w:r>
        <w:rPr>
          <w:sz w:val="22"/>
        </w:rPr>
        <w:t>2004;38(1):19-24</w:t>
      </w:r>
    </w:p>
    <w:p>
      <w:pPr>
        <w:pStyle w:val="ListParagraph"/>
        <w:numPr>
          <w:ilvl w:val="2"/>
          <w:numId w:val="7"/>
        </w:numPr>
        <w:tabs>
          <w:tab w:pos="1221" w:val="left" w:leader="none"/>
        </w:tabs>
        <w:spacing w:line="360" w:lineRule="auto" w:before="5" w:after="0"/>
        <w:ind w:left="1220" w:right="110" w:hanging="360"/>
        <w:jc w:val="both"/>
        <w:rPr>
          <w:sz w:val="22"/>
        </w:rPr>
      </w:pPr>
      <w:r>
        <w:rPr>
          <w:sz w:val="22"/>
        </w:rPr>
        <w:t>Lebas F, Coudert P, de Rochambeau H, Thébault RG. The rabbit husbandry, health and production. (INRA) Food and Agriculture Organization of The United Nations. 1997; ISSN</w:t>
      </w:r>
      <w:r>
        <w:rPr>
          <w:spacing w:val="-8"/>
          <w:sz w:val="22"/>
        </w:rPr>
        <w:t> </w:t>
      </w:r>
      <w:r>
        <w:rPr>
          <w:sz w:val="22"/>
        </w:rPr>
        <w:t>1010-9021</w:t>
      </w:r>
    </w:p>
    <w:p>
      <w:pPr>
        <w:pStyle w:val="ListParagraph"/>
        <w:numPr>
          <w:ilvl w:val="2"/>
          <w:numId w:val="7"/>
        </w:numPr>
        <w:tabs>
          <w:tab w:pos="1221" w:val="left" w:leader="none"/>
        </w:tabs>
        <w:spacing w:line="360" w:lineRule="auto" w:before="3" w:after="0"/>
        <w:ind w:left="1220" w:right="108" w:hanging="360"/>
        <w:jc w:val="both"/>
        <w:rPr>
          <w:sz w:val="22"/>
        </w:rPr>
      </w:pPr>
      <w:r>
        <w:rPr>
          <w:sz w:val="22"/>
        </w:rPr>
        <w:t>Hernández P. Enhancement of nutritional quality and safety in rabbit meat. 9th World Rabbit Congress. 2008;</w:t>
      </w:r>
      <w:r>
        <w:rPr>
          <w:spacing w:val="-11"/>
          <w:sz w:val="22"/>
        </w:rPr>
        <w:t> </w:t>
      </w:r>
      <w:r>
        <w:rPr>
          <w:sz w:val="22"/>
        </w:rPr>
        <w:t>1287-1300</w:t>
      </w:r>
    </w:p>
    <w:p>
      <w:pPr>
        <w:pStyle w:val="ListParagraph"/>
        <w:numPr>
          <w:ilvl w:val="2"/>
          <w:numId w:val="7"/>
        </w:numPr>
        <w:tabs>
          <w:tab w:pos="1221" w:val="left" w:leader="none"/>
        </w:tabs>
        <w:spacing w:line="360" w:lineRule="auto" w:before="3" w:after="0"/>
        <w:ind w:left="1220" w:right="108" w:hanging="360"/>
        <w:jc w:val="both"/>
        <w:rPr>
          <w:sz w:val="22"/>
        </w:rPr>
      </w:pPr>
      <w:r>
        <w:rPr>
          <w:sz w:val="22"/>
        </w:rPr>
        <w:t>Lukefahr SD. Curso avanzado de cunicultura. Manual de proyectos de cunicultura. Primer congreso de Cunicultuta de las Américas, Colegio de postgraduados. México</w:t>
      </w:r>
      <w:r>
        <w:rPr>
          <w:spacing w:val="-7"/>
          <w:sz w:val="22"/>
        </w:rPr>
        <w:t> </w:t>
      </w:r>
      <w:r>
        <w:rPr>
          <w:sz w:val="22"/>
        </w:rPr>
        <w:t>1998;133</w:t>
      </w:r>
    </w:p>
    <w:p>
      <w:pPr>
        <w:spacing w:after="0" w:line="360" w:lineRule="auto"/>
        <w:jc w:val="both"/>
        <w:rPr>
          <w:sz w:val="22"/>
        </w:rPr>
        <w:sectPr>
          <w:pgSz w:w="12240" w:h="15840"/>
          <w:pgMar w:header="0" w:footer="1326" w:top="1500" w:bottom="1580" w:left="1720" w:right="1420"/>
        </w:sectPr>
      </w:pPr>
    </w:p>
    <w:p>
      <w:pPr>
        <w:pStyle w:val="BodyText"/>
        <w:spacing w:before="9"/>
        <w:rPr>
          <w:sz w:val="20"/>
        </w:rPr>
      </w:pPr>
    </w:p>
    <w:p>
      <w:pPr>
        <w:pStyle w:val="ListParagraph"/>
        <w:numPr>
          <w:ilvl w:val="2"/>
          <w:numId w:val="7"/>
        </w:numPr>
        <w:tabs>
          <w:tab w:pos="1221" w:val="left" w:leader="none"/>
        </w:tabs>
        <w:spacing w:line="360" w:lineRule="auto" w:before="73" w:after="0"/>
        <w:ind w:left="1220" w:right="109" w:hanging="360"/>
        <w:jc w:val="both"/>
        <w:rPr>
          <w:sz w:val="22"/>
        </w:rPr>
      </w:pPr>
      <w:r>
        <w:rPr>
          <w:sz w:val="22"/>
        </w:rPr>
        <w:t>Osechas D, Becerra SLM. Producción y mercadeo de carne de conejo en el estado trujillo, venezuela. Revista Científica.  2006;XVI ( 2):</w:t>
      </w:r>
      <w:r>
        <w:rPr>
          <w:spacing w:val="-18"/>
          <w:sz w:val="22"/>
        </w:rPr>
        <w:t> </w:t>
      </w:r>
      <w:r>
        <w:rPr>
          <w:sz w:val="22"/>
        </w:rPr>
        <w:t>129-135</w:t>
      </w:r>
    </w:p>
    <w:p>
      <w:pPr>
        <w:pStyle w:val="ListParagraph"/>
        <w:numPr>
          <w:ilvl w:val="2"/>
          <w:numId w:val="7"/>
        </w:numPr>
        <w:tabs>
          <w:tab w:pos="1221" w:val="left" w:leader="none"/>
        </w:tabs>
        <w:spacing w:line="360" w:lineRule="auto" w:before="3" w:after="0"/>
        <w:ind w:left="1220" w:right="106" w:hanging="360"/>
        <w:jc w:val="both"/>
        <w:rPr>
          <w:sz w:val="22"/>
        </w:rPr>
      </w:pPr>
      <w:r>
        <w:rPr>
          <w:sz w:val="22"/>
        </w:rPr>
        <w:t>Rosas</w:t>
      </w:r>
      <w:r>
        <w:rPr>
          <w:spacing w:val="-5"/>
          <w:sz w:val="22"/>
        </w:rPr>
        <w:t> </w:t>
      </w:r>
      <w:r>
        <w:rPr>
          <w:sz w:val="22"/>
        </w:rPr>
        <w:t>PN.</w:t>
      </w:r>
      <w:r>
        <w:rPr>
          <w:spacing w:val="-4"/>
          <w:sz w:val="22"/>
        </w:rPr>
        <w:t> </w:t>
      </w:r>
      <w:r>
        <w:rPr>
          <w:sz w:val="22"/>
        </w:rPr>
        <w:t>Demanda</w:t>
      </w:r>
      <w:r>
        <w:rPr>
          <w:spacing w:val="-8"/>
          <w:sz w:val="22"/>
        </w:rPr>
        <w:t> </w:t>
      </w:r>
      <w:r>
        <w:rPr>
          <w:sz w:val="22"/>
        </w:rPr>
        <w:t>actual</w:t>
      </w:r>
      <w:r>
        <w:rPr>
          <w:spacing w:val="-6"/>
          <w:sz w:val="22"/>
        </w:rPr>
        <w:t> </w:t>
      </w:r>
      <w:r>
        <w:rPr>
          <w:sz w:val="22"/>
        </w:rPr>
        <w:t>y</w:t>
      </w:r>
      <w:r>
        <w:rPr>
          <w:spacing w:val="-7"/>
          <w:sz w:val="22"/>
        </w:rPr>
        <w:t> </w:t>
      </w:r>
      <w:r>
        <w:rPr>
          <w:sz w:val="22"/>
        </w:rPr>
        <w:t>potencial</w:t>
      </w:r>
      <w:r>
        <w:rPr>
          <w:spacing w:val="-6"/>
          <w:sz w:val="22"/>
        </w:rPr>
        <w:t> </w:t>
      </w:r>
      <w:r>
        <w:rPr>
          <w:sz w:val="22"/>
        </w:rPr>
        <w:t>de</w:t>
      </w:r>
      <w:r>
        <w:rPr>
          <w:spacing w:val="-6"/>
          <w:sz w:val="22"/>
        </w:rPr>
        <w:t> </w:t>
      </w:r>
      <w:r>
        <w:rPr>
          <w:sz w:val="22"/>
        </w:rPr>
        <w:t>la</w:t>
      </w:r>
      <w:r>
        <w:rPr>
          <w:spacing w:val="-5"/>
          <w:sz w:val="22"/>
        </w:rPr>
        <w:t> </w:t>
      </w:r>
      <w:r>
        <w:rPr>
          <w:sz w:val="22"/>
        </w:rPr>
        <w:t>carne</w:t>
      </w:r>
      <w:r>
        <w:rPr>
          <w:spacing w:val="-5"/>
          <w:sz w:val="22"/>
        </w:rPr>
        <w:t> </w:t>
      </w:r>
      <w:r>
        <w:rPr>
          <w:sz w:val="22"/>
        </w:rPr>
        <w:t>de</w:t>
      </w:r>
      <w:r>
        <w:rPr>
          <w:spacing w:val="-6"/>
          <w:sz w:val="22"/>
        </w:rPr>
        <w:t> </w:t>
      </w:r>
      <w:r>
        <w:rPr>
          <w:sz w:val="22"/>
        </w:rPr>
        <w:t>conejo</w:t>
      </w:r>
      <w:r>
        <w:rPr>
          <w:spacing w:val="-8"/>
          <w:sz w:val="22"/>
        </w:rPr>
        <w:t> </w:t>
      </w:r>
      <w:r>
        <w:rPr>
          <w:sz w:val="22"/>
        </w:rPr>
        <w:t>en</w:t>
      </w:r>
      <w:r>
        <w:rPr>
          <w:spacing w:val="-6"/>
          <w:sz w:val="22"/>
        </w:rPr>
        <w:t> </w:t>
      </w:r>
      <w:r>
        <w:rPr>
          <w:sz w:val="22"/>
        </w:rPr>
        <w:t>el</w:t>
      </w:r>
      <w:r>
        <w:rPr>
          <w:spacing w:val="-6"/>
          <w:sz w:val="22"/>
        </w:rPr>
        <w:t> </w:t>
      </w:r>
      <w:r>
        <w:rPr>
          <w:sz w:val="22"/>
        </w:rPr>
        <w:t>municipio</w:t>
      </w:r>
      <w:r>
        <w:rPr>
          <w:spacing w:val="-5"/>
          <w:sz w:val="22"/>
        </w:rPr>
        <w:t> </w:t>
      </w:r>
      <w:r>
        <w:rPr>
          <w:sz w:val="22"/>
        </w:rPr>
        <w:t>de Texcoco,</w:t>
      </w:r>
      <w:r>
        <w:rPr>
          <w:spacing w:val="-7"/>
          <w:sz w:val="22"/>
        </w:rPr>
        <w:t> </w:t>
      </w:r>
      <w:r>
        <w:rPr>
          <w:sz w:val="22"/>
        </w:rPr>
        <w:t>Estado</w:t>
      </w:r>
      <w:r>
        <w:rPr>
          <w:spacing w:val="-9"/>
          <w:sz w:val="22"/>
        </w:rPr>
        <w:t> </w:t>
      </w:r>
      <w:r>
        <w:rPr>
          <w:sz w:val="22"/>
        </w:rPr>
        <w:t>de</w:t>
      </w:r>
      <w:r>
        <w:rPr>
          <w:spacing w:val="-9"/>
          <w:sz w:val="22"/>
        </w:rPr>
        <w:t> </w:t>
      </w:r>
      <w:r>
        <w:rPr>
          <w:sz w:val="22"/>
        </w:rPr>
        <w:t>México.</w:t>
      </w:r>
      <w:r>
        <w:rPr>
          <w:spacing w:val="-8"/>
          <w:sz w:val="22"/>
        </w:rPr>
        <w:t> </w:t>
      </w:r>
      <w:r>
        <w:rPr>
          <w:sz w:val="22"/>
        </w:rPr>
        <w:t>Tesis</w:t>
      </w:r>
      <w:r>
        <w:rPr>
          <w:spacing w:val="-8"/>
          <w:sz w:val="22"/>
        </w:rPr>
        <w:t> </w:t>
      </w:r>
      <w:r>
        <w:rPr>
          <w:sz w:val="22"/>
        </w:rPr>
        <w:t>maestría.</w:t>
      </w:r>
      <w:r>
        <w:rPr>
          <w:spacing w:val="-5"/>
          <w:sz w:val="22"/>
        </w:rPr>
        <w:t> </w:t>
      </w:r>
      <w:r>
        <w:rPr>
          <w:sz w:val="22"/>
        </w:rPr>
        <w:t>Colegio</w:t>
      </w:r>
      <w:r>
        <w:rPr>
          <w:spacing w:val="-6"/>
          <w:sz w:val="22"/>
        </w:rPr>
        <w:t> </w:t>
      </w:r>
      <w:r>
        <w:rPr>
          <w:sz w:val="22"/>
        </w:rPr>
        <w:t>de</w:t>
      </w:r>
      <w:r>
        <w:rPr>
          <w:spacing w:val="-9"/>
          <w:sz w:val="22"/>
        </w:rPr>
        <w:t> </w:t>
      </w:r>
      <w:r>
        <w:rPr>
          <w:sz w:val="22"/>
        </w:rPr>
        <w:t>Posgraduados,</w:t>
      </w:r>
      <w:r>
        <w:rPr>
          <w:spacing w:val="-8"/>
          <w:sz w:val="22"/>
        </w:rPr>
        <w:t> </w:t>
      </w:r>
      <w:r>
        <w:rPr>
          <w:sz w:val="22"/>
        </w:rPr>
        <w:t>Instituto de Enseñanza e Investigación en Ciencias Agrícolas. Campus Montecillo, Texcoco, Estado de México.</w:t>
      </w:r>
      <w:r>
        <w:rPr>
          <w:spacing w:val="-5"/>
          <w:sz w:val="22"/>
        </w:rPr>
        <w:t> </w:t>
      </w:r>
      <w:r>
        <w:rPr>
          <w:sz w:val="22"/>
        </w:rPr>
        <w:t>2013</w:t>
      </w:r>
    </w:p>
    <w:p>
      <w:pPr>
        <w:pStyle w:val="ListParagraph"/>
        <w:numPr>
          <w:ilvl w:val="2"/>
          <w:numId w:val="7"/>
        </w:numPr>
        <w:tabs>
          <w:tab w:pos="1221" w:val="left" w:leader="none"/>
        </w:tabs>
        <w:spacing w:line="360" w:lineRule="auto" w:before="5" w:after="0"/>
        <w:ind w:left="1220" w:right="111" w:hanging="360"/>
        <w:jc w:val="both"/>
        <w:rPr>
          <w:sz w:val="22"/>
        </w:rPr>
      </w:pPr>
      <w:r>
        <w:rPr>
          <w:sz w:val="22"/>
        </w:rPr>
        <w:t>Thompson P, Harris C, Holt D, Pajor EA. Livestock welfare product claims: The emerging social context. J Amin Sci. 2007;</w:t>
      </w:r>
      <w:r>
        <w:rPr>
          <w:spacing w:val="-16"/>
          <w:sz w:val="22"/>
        </w:rPr>
        <w:t> </w:t>
      </w:r>
      <w:r>
        <w:rPr>
          <w:sz w:val="22"/>
        </w:rPr>
        <w:t>85:2354-2360</w:t>
      </w:r>
    </w:p>
    <w:p>
      <w:pPr>
        <w:pStyle w:val="ListParagraph"/>
        <w:numPr>
          <w:ilvl w:val="2"/>
          <w:numId w:val="7"/>
        </w:numPr>
        <w:tabs>
          <w:tab w:pos="1221" w:val="left" w:leader="none"/>
        </w:tabs>
        <w:spacing w:line="360" w:lineRule="auto" w:before="4" w:after="0"/>
        <w:ind w:left="1220" w:right="114" w:hanging="360"/>
        <w:jc w:val="both"/>
        <w:rPr>
          <w:sz w:val="22"/>
        </w:rPr>
      </w:pPr>
      <w:r>
        <w:rPr>
          <w:sz w:val="22"/>
        </w:rPr>
        <w:t>Dalle ZA, Szendrő Z. The role of rabbit meat as functional food. Department of Animal Science. Meat Science. 2011;88:</w:t>
      </w:r>
      <w:r>
        <w:rPr>
          <w:spacing w:val="-11"/>
          <w:sz w:val="22"/>
        </w:rPr>
        <w:t> </w:t>
      </w:r>
      <w:r>
        <w:rPr>
          <w:sz w:val="22"/>
        </w:rPr>
        <w:t>319–331</w:t>
      </w:r>
    </w:p>
    <w:p>
      <w:pPr>
        <w:pStyle w:val="ListParagraph"/>
        <w:numPr>
          <w:ilvl w:val="2"/>
          <w:numId w:val="7"/>
        </w:numPr>
        <w:tabs>
          <w:tab w:pos="1221" w:val="left" w:leader="none"/>
        </w:tabs>
        <w:spacing w:line="360" w:lineRule="auto" w:before="3" w:after="0"/>
        <w:ind w:left="1220" w:right="114" w:hanging="360"/>
        <w:jc w:val="both"/>
        <w:rPr>
          <w:sz w:val="22"/>
        </w:rPr>
      </w:pPr>
      <w:r>
        <w:rPr>
          <w:sz w:val="22"/>
        </w:rPr>
        <w:t>Ortiz HJA, Rubio LMS. Effect of bree dan sex on rabbit carcass yieeld an meat quality.  World Rabbit Science. 2001; 9 (2):</w:t>
      </w:r>
      <w:r>
        <w:rPr>
          <w:spacing w:val="-16"/>
          <w:sz w:val="22"/>
        </w:rPr>
        <w:t> </w:t>
      </w:r>
      <w:r>
        <w:rPr>
          <w:sz w:val="22"/>
        </w:rPr>
        <w:t>51-56.</w:t>
      </w:r>
    </w:p>
    <w:p>
      <w:pPr>
        <w:pStyle w:val="ListParagraph"/>
        <w:numPr>
          <w:ilvl w:val="2"/>
          <w:numId w:val="7"/>
        </w:numPr>
        <w:tabs>
          <w:tab w:pos="1221" w:val="left" w:leader="none"/>
        </w:tabs>
        <w:spacing w:line="360" w:lineRule="auto" w:before="3" w:after="0"/>
        <w:ind w:left="1220" w:right="105" w:hanging="360"/>
        <w:jc w:val="both"/>
        <w:rPr>
          <w:sz w:val="22"/>
        </w:rPr>
      </w:pPr>
      <w:r>
        <w:rPr>
          <w:sz w:val="22"/>
        </w:rPr>
        <w:t>Virág GY, Eiben CS, Tóth T, Schmidt J. Colour and pH of rabbit meat and fat deposits</w:t>
      </w:r>
      <w:r>
        <w:rPr>
          <w:spacing w:val="-11"/>
          <w:sz w:val="22"/>
        </w:rPr>
        <w:t> </w:t>
      </w:r>
      <w:r>
        <w:rPr>
          <w:sz w:val="22"/>
        </w:rPr>
        <w:t>as</w:t>
      </w:r>
      <w:r>
        <w:rPr>
          <w:spacing w:val="-13"/>
          <w:sz w:val="22"/>
        </w:rPr>
        <w:t> </w:t>
      </w:r>
      <w:r>
        <w:rPr>
          <w:sz w:val="22"/>
        </w:rPr>
        <w:t>affected</w:t>
      </w:r>
      <w:r>
        <w:rPr>
          <w:spacing w:val="-14"/>
          <w:sz w:val="22"/>
        </w:rPr>
        <w:t> </w:t>
      </w:r>
      <w:r>
        <w:rPr>
          <w:sz w:val="22"/>
        </w:rPr>
        <w:t>by</w:t>
      </w:r>
      <w:r>
        <w:rPr>
          <w:spacing w:val="-14"/>
          <w:sz w:val="22"/>
        </w:rPr>
        <w:t> </w:t>
      </w:r>
      <w:r>
        <w:rPr>
          <w:sz w:val="22"/>
        </w:rPr>
        <w:t>the</w:t>
      </w:r>
      <w:r>
        <w:rPr>
          <w:spacing w:val="-11"/>
          <w:sz w:val="22"/>
        </w:rPr>
        <w:t> </w:t>
      </w:r>
      <w:r>
        <w:rPr>
          <w:sz w:val="22"/>
        </w:rPr>
        <w:t>source</w:t>
      </w:r>
      <w:r>
        <w:rPr>
          <w:spacing w:val="-11"/>
          <w:sz w:val="22"/>
        </w:rPr>
        <w:t> </w:t>
      </w:r>
      <w:r>
        <w:rPr>
          <w:sz w:val="22"/>
        </w:rPr>
        <w:t>and</w:t>
      </w:r>
      <w:r>
        <w:rPr>
          <w:spacing w:val="-14"/>
          <w:sz w:val="22"/>
        </w:rPr>
        <w:t> </w:t>
      </w:r>
      <w:r>
        <w:rPr>
          <w:sz w:val="22"/>
        </w:rPr>
        <w:t>dose</w:t>
      </w:r>
      <w:r>
        <w:rPr>
          <w:spacing w:val="-14"/>
          <w:sz w:val="22"/>
        </w:rPr>
        <w:t> </w:t>
      </w:r>
      <w:r>
        <w:rPr>
          <w:sz w:val="22"/>
        </w:rPr>
        <w:t>of</w:t>
      </w:r>
      <w:r>
        <w:rPr>
          <w:spacing w:val="-10"/>
          <w:sz w:val="22"/>
        </w:rPr>
        <w:t> </w:t>
      </w:r>
      <w:r>
        <w:rPr>
          <w:sz w:val="22"/>
        </w:rPr>
        <w:t>dietary</w:t>
      </w:r>
      <w:r>
        <w:rPr>
          <w:spacing w:val="-13"/>
          <w:sz w:val="22"/>
        </w:rPr>
        <w:t> </w:t>
      </w:r>
      <w:r>
        <w:rPr>
          <w:sz w:val="22"/>
        </w:rPr>
        <w:t>vitamin</w:t>
      </w:r>
      <w:r>
        <w:rPr>
          <w:spacing w:val="-12"/>
          <w:sz w:val="22"/>
        </w:rPr>
        <w:t> </w:t>
      </w:r>
      <w:r>
        <w:rPr>
          <w:sz w:val="22"/>
        </w:rPr>
        <w:t>e</w:t>
      </w:r>
      <w:r>
        <w:rPr>
          <w:spacing w:val="-9"/>
          <w:sz w:val="22"/>
        </w:rPr>
        <w:t> </w:t>
      </w:r>
      <w:r>
        <w:rPr>
          <w:sz w:val="22"/>
        </w:rPr>
        <w:t>supplementation meat quality and safety. Verona – Italy. 9th World Rabbit Congress. 2008;</w:t>
      </w:r>
      <w:r>
        <w:rPr>
          <w:spacing w:val="-23"/>
          <w:sz w:val="22"/>
        </w:rPr>
        <w:t> </w:t>
      </w:r>
      <w:r>
        <w:rPr>
          <w:sz w:val="22"/>
        </w:rPr>
        <w:t>1467</w:t>
      </w:r>
    </w:p>
    <w:p>
      <w:pPr>
        <w:pStyle w:val="ListParagraph"/>
        <w:numPr>
          <w:ilvl w:val="2"/>
          <w:numId w:val="7"/>
        </w:numPr>
        <w:tabs>
          <w:tab w:pos="1221" w:val="left" w:leader="none"/>
        </w:tabs>
        <w:spacing w:line="360" w:lineRule="auto" w:before="5" w:after="0"/>
        <w:ind w:left="1220" w:right="106" w:hanging="360"/>
        <w:jc w:val="both"/>
        <w:rPr>
          <w:sz w:val="22"/>
        </w:rPr>
      </w:pPr>
      <w:r>
        <w:rPr>
          <w:sz w:val="22"/>
        </w:rPr>
        <w:t>Nistor E, Bampidis VA, Păcală N, Pentea M, Tozer J, Prundeanu H. Nutrient content of rabbit meat as compared to chicken, beef and pork meat. </w:t>
      </w:r>
      <w:hyperlink r:id="rId52">
        <w:r>
          <w:rPr>
            <w:sz w:val="22"/>
          </w:rPr>
          <w:t>J. Anim.</w:t>
        </w:r>
      </w:hyperlink>
      <w:r>
        <w:rPr>
          <w:sz w:val="22"/>
        </w:rPr>
        <w:t> </w:t>
      </w:r>
      <w:hyperlink r:id="rId52">
        <w:r>
          <w:rPr>
            <w:sz w:val="22"/>
          </w:rPr>
          <w:t>Prod. Adv.</w:t>
        </w:r>
      </w:hyperlink>
      <w:r>
        <w:rPr>
          <w:sz w:val="22"/>
        </w:rPr>
        <w:t> </w:t>
      </w:r>
      <w:hyperlink r:id="rId53">
        <w:r>
          <w:rPr>
            <w:sz w:val="22"/>
          </w:rPr>
          <w:t>2013; 3(4)</w:t>
        </w:r>
      </w:hyperlink>
      <w:r>
        <w:rPr>
          <w:sz w:val="22"/>
        </w:rPr>
        <w:t>:</w:t>
      </w:r>
      <w:r>
        <w:rPr>
          <w:spacing w:val="-8"/>
          <w:sz w:val="22"/>
        </w:rPr>
        <w:t> </w:t>
      </w:r>
      <w:r>
        <w:rPr>
          <w:sz w:val="22"/>
        </w:rPr>
        <w:t>172-176</w:t>
      </w:r>
    </w:p>
    <w:p>
      <w:pPr>
        <w:pStyle w:val="BodyText"/>
        <w:rPr>
          <w:sz w:val="22"/>
        </w:rPr>
      </w:pPr>
    </w:p>
    <w:p>
      <w:pPr>
        <w:pStyle w:val="BodyText"/>
        <w:rPr>
          <w:sz w:val="22"/>
        </w:rPr>
      </w:pPr>
    </w:p>
    <w:p>
      <w:pPr>
        <w:pStyle w:val="BodyText"/>
        <w:spacing w:before="2"/>
        <w:rPr>
          <w:sz w:val="22"/>
        </w:rPr>
      </w:pPr>
    </w:p>
    <w:p>
      <w:pPr>
        <w:spacing w:before="0"/>
        <w:ind w:left="872" w:right="0" w:firstLine="0"/>
        <w:jc w:val="left"/>
        <w:rPr>
          <w:sz w:val="22"/>
        </w:rPr>
      </w:pPr>
      <w:r>
        <w:rPr>
          <w:sz w:val="22"/>
        </w:rPr>
        <w:t>Cuadro 1 Análisis bromatológico de la carne de conejo</w:t>
      </w:r>
    </w:p>
    <w:p>
      <w:pPr>
        <w:pStyle w:val="BodyText"/>
        <w:spacing w:before="2"/>
        <w:rPr>
          <w:sz w:val="1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6"/>
        <w:gridCol w:w="2853"/>
        <w:gridCol w:w="3122"/>
      </w:tblGrid>
      <w:tr>
        <w:trPr>
          <w:trHeight w:val="1150" w:hRule="exact"/>
        </w:trPr>
        <w:tc>
          <w:tcPr>
            <w:tcW w:w="2866" w:type="dxa"/>
            <w:tcBorders>
              <w:left w:val="nil"/>
              <w:right w:val="nil"/>
            </w:tcBorders>
          </w:tcPr>
          <w:p>
            <w:pPr>
              <w:pStyle w:val="TableParagraph"/>
              <w:spacing w:before="187"/>
              <w:ind w:left="881" w:right="941"/>
              <w:rPr>
                <w:sz w:val="22"/>
              </w:rPr>
            </w:pPr>
            <w:r>
              <w:rPr>
                <w:sz w:val="22"/>
              </w:rPr>
              <w:t>Contenido</w:t>
            </w:r>
          </w:p>
          <w:p>
            <w:pPr>
              <w:pStyle w:val="TableParagraph"/>
              <w:spacing w:before="128"/>
              <w:ind w:right="61"/>
              <w:rPr>
                <w:sz w:val="22"/>
              </w:rPr>
            </w:pPr>
            <w:r>
              <w:rPr>
                <w:w w:val="100"/>
                <w:sz w:val="22"/>
              </w:rPr>
              <w:t>%</w:t>
            </w:r>
          </w:p>
        </w:tc>
        <w:tc>
          <w:tcPr>
            <w:tcW w:w="2853" w:type="dxa"/>
            <w:tcBorders>
              <w:left w:val="nil"/>
              <w:right w:val="nil"/>
            </w:tcBorders>
          </w:tcPr>
          <w:p>
            <w:pPr>
              <w:pStyle w:val="TableParagraph"/>
              <w:spacing w:line="360" w:lineRule="auto"/>
              <w:ind w:left="1219" w:right="904" w:firstLine="48"/>
              <w:jc w:val="left"/>
              <w:rPr>
                <w:sz w:val="22"/>
              </w:rPr>
            </w:pPr>
            <w:r>
              <w:rPr>
                <w:sz w:val="22"/>
              </w:rPr>
              <w:t>Grupo Control</w:t>
            </w:r>
          </w:p>
        </w:tc>
        <w:tc>
          <w:tcPr>
            <w:tcW w:w="3122" w:type="dxa"/>
            <w:tcBorders>
              <w:left w:val="nil"/>
              <w:right w:val="nil"/>
            </w:tcBorders>
          </w:tcPr>
          <w:p>
            <w:pPr>
              <w:pStyle w:val="TableParagraph"/>
              <w:spacing w:before="187"/>
              <w:ind w:left="646" w:right="514"/>
              <w:rPr>
                <w:sz w:val="22"/>
              </w:rPr>
            </w:pPr>
            <w:r>
              <w:rPr>
                <w:sz w:val="22"/>
              </w:rPr>
              <w:t>Granjas Estudiadas</w:t>
            </w:r>
          </w:p>
        </w:tc>
      </w:tr>
      <w:tr>
        <w:trPr>
          <w:trHeight w:val="330" w:hRule="exact"/>
        </w:trPr>
        <w:tc>
          <w:tcPr>
            <w:tcW w:w="2866" w:type="dxa"/>
            <w:tcBorders>
              <w:left w:val="nil"/>
              <w:bottom w:val="nil"/>
              <w:right w:val="nil"/>
            </w:tcBorders>
          </w:tcPr>
          <w:p>
            <w:pPr>
              <w:pStyle w:val="TableParagraph"/>
              <w:spacing w:line="251" w:lineRule="exact"/>
              <w:ind w:left="69"/>
              <w:jc w:val="left"/>
              <w:rPr>
                <w:sz w:val="22"/>
              </w:rPr>
            </w:pPr>
            <w:r>
              <w:rPr>
                <w:sz w:val="22"/>
              </w:rPr>
              <w:t>Materia Seca</w:t>
            </w:r>
          </w:p>
        </w:tc>
        <w:tc>
          <w:tcPr>
            <w:tcW w:w="2853" w:type="dxa"/>
            <w:tcBorders>
              <w:left w:val="nil"/>
              <w:bottom w:val="nil"/>
              <w:right w:val="nil"/>
            </w:tcBorders>
          </w:tcPr>
          <w:p>
            <w:pPr>
              <w:pStyle w:val="TableParagraph"/>
              <w:spacing w:line="251" w:lineRule="exact"/>
              <w:ind w:right="664"/>
              <w:jc w:val="right"/>
              <w:rPr>
                <w:sz w:val="22"/>
              </w:rPr>
            </w:pPr>
            <w:r>
              <w:rPr>
                <w:sz w:val="22"/>
              </w:rPr>
              <w:t>21.49 ± 1.25</w:t>
            </w:r>
          </w:p>
        </w:tc>
        <w:tc>
          <w:tcPr>
            <w:tcW w:w="3122" w:type="dxa"/>
            <w:tcBorders>
              <w:left w:val="nil"/>
              <w:bottom w:val="nil"/>
              <w:right w:val="nil"/>
            </w:tcBorders>
          </w:tcPr>
          <w:p>
            <w:pPr>
              <w:pStyle w:val="TableParagraph"/>
              <w:spacing w:line="251" w:lineRule="exact"/>
              <w:ind w:left="644" w:right="514"/>
              <w:rPr>
                <w:sz w:val="22"/>
              </w:rPr>
            </w:pPr>
            <w:r>
              <w:rPr>
                <w:sz w:val="22"/>
              </w:rPr>
              <w:t>26.21 ± 1.71</w:t>
            </w:r>
          </w:p>
        </w:tc>
      </w:tr>
      <w:tr>
        <w:trPr>
          <w:trHeight w:val="379" w:hRule="exact"/>
        </w:trPr>
        <w:tc>
          <w:tcPr>
            <w:tcW w:w="2866" w:type="dxa"/>
            <w:tcBorders>
              <w:top w:val="nil"/>
              <w:left w:val="nil"/>
              <w:bottom w:val="nil"/>
              <w:right w:val="nil"/>
            </w:tcBorders>
          </w:tcPr>
          <w:p>
            <w:pPr>
              <w:pStyle w:val="TableParagraph"/>
              <w:spacing w:before="52"/>
              <w:ind w:left="69"/>
              <w:jc w:val="left"/>
              <w:rPr>
                <w:sz w:val="22"/>
              </w:rPr>
            </w:pPr>
            <w:r>
              <w:rPr>
                <w:sz w:val="22"/>
              </w:rPr>
              <w:t>Humedad</w:t>
            </w:r>
          </w:p>
        </w:tc>
        <w:tc>
          <w:tcPr>
            <w:tcW w:w="2853" w:type="dxa"/>
            <w:tcBorders>
              <w:top w:val="nil"/>
              <w:left w:val="nil"/>
              <w:bottom w:val="nil"/>
              <w:right w:val="nil"/>
            </w:tcBorders>
          </w:tcPr>
          <w:p>
            <w:pPr>
              <w:pStyle w:val="TableParagraph"/>
              <w:spacing w:before="52"/>
              <w:ind w:right="664"/>
              <w:jc w:val="right"/>
              <w:rPr>
                <w:sz w:val="22"/>
              </w:rPr>
            </w:pPr>
            <w:r>
              <w:rPr>
                <w:sz w:val="22"/>
              </w:rPr>
              <w:t>78.51 ± 1.25</w:t>
            </w:r>
          </w:p>
        </w:tc>
        <w:tc>
          <w:tcPr>
            <w:tcW w:w="3122" w:type="dxa"/>
            <w:tcBorders>
              <w:top w:val="nil"/>
              <w:left w:val="nil"/>
              <w:bottom w:val="nil"/>
              <w:right w:val="nil"/>
            </w:tcBorders>
          </w:tcPr>
          <w:p>
            <w:pPr>
              <w:pStyle w:val="TableParagraph"/>
              <w:spacing w:before="52"/>
              <w:ind w:left="644" w:right="514"/>
              <w:rPr>
                <w:sz w:val="22"/>
              </w:rPr>
            </w:pPr>
            <w:r>
              <w:rPr>
                <w:sz w:val="22"/>
              </w:rPr>
              <w:t>73.79 ± 1.71</w:t>
            </w:r>
          </w:p>
        </w:tc>
      </w:tr>
      <w:tr>
        <w:trPr>
          <w:trHeight w:val="379" w:hRule="exact"/>
        </w:trPr>
        <w:tc>
          <w:tcPr>
            <w:tcW w:w="2866" w:type="dxa"/>
            <w:tcBorders>
              <w:top w:val="nil"/>
              <w:left w:val="nil"/>
              <w:bottom w:val="nil"/>
              <w:right w:val="nil"/>
            </w:tcBorders>
          </w:tcPr>
          <w:p>
            <w:pPr>
              <w:pStyle w:val="TableParagraph"/>
              <w:spacing w:before="51"/>
              <w:ind w:left="69"/>
              <w:jc w:val="left"/>
              <w:rPr>
                <w:sz w:val="22"/>
              </w:rPr>
            </w:pPr>
            <w:r>
              <w:rPr>
                <w:sz w:val="22"/>
              </w:rPr>
              <w:t>Proteína</w:t>
            </w:r>
          </w:p>
        </w:tc>
        <w:tc>
          <w:tcPr>
            <w:tcW w:w="2853" w:type="dxa"/>
            <w:tcBorders>
              <w:top w:val="nil"/>
              <w:left w:val="nil"/>
              <w:bottom w:val="nil"/>
              <w:right w:val="nil"/>
            </w:tcBorders>
          </w:tcPr>
          <w:p>
            <w:pPr>
              <w:pStyle w:val="TableParagraph"/>
              <w:spacing w:before="51"/>
              <w:ind w:right="664"/>
              <w:jc w:val="right"/>
              <w:rPr>
                <w:sz w:val="22"/>
              </w:rPr>
            </w:pPr>
            <w:r>
              <w:rPr>
                <w:sz w:val="22"/>
              </w:rPr>
              <w:t>18.61 ± 1.11</w:t>
            </w:r>
          </w:p>
        </w:tc>
        <w:tc>
          <w:tcPr>
            <w:tcW w:w="3122" w:type="dxa"/>
            <w:tcBorders>
              <w:top w:val="nil"/>
              <w:left w:val="nil"/>
              <w:bottom w:val="nil"/>
              <w:right w:val="nil"/>
            </w:tcBorders>
          </w:tcPr>
          <w:p>
            <w:pPr>
              <w:pStyle w:val="TableParagraph"/>
              <w:spacing w:before="51"/>
              <w:ind w:left="644" w:right="514"/>
              <w:rPr>
                <w:sz w:val="22"/>
              </w:rPr>
            </w:pPr>
            <w:r>
              <w:rPr>
                <w:sz w:val="22"/>
              </w:rPr>
              <w:t>22.17 ± 1.11</w:t>
            </w:r>
          </w:p>
        </w:tc>
      </w:tr>
      <w:tr>
        <w:trPr>
          <w:trHeight w:val="379" w:hRule="exact"/>
        </w:trPr>
        <w:tc>
          <w:tcPr>
            <w:tcW w:w="2866" w:type="dxa"/>
            <w:tcBorders>
              <w:top w:val="nil"/>
              <w:left w:val="nil"/>
              <w:bottom w:val="nil"/>
              <w:right w:val="nil"/>
            </w:tcBorders>
          </w:tcPr>
          <w:p>
            <w:pPr>
              <w:pStyle w:val="TableParagraph"/>
              <w:spacing w:before="51"/>
              <w:ind w:left="69"/>
              <w:jc w:val="left"/>
              <w:rPr>
                <w:sz w:val="22"/>
              </w:rPr>
            </w:pPr>
            <w:r>
              <w:rPr>
                <w:sz w:val="22"/>
              </w:rPr>
              <w:t>Grasa</w:t>
            </w:r>
          </w:p>
        </w:tc>
        <w:tc>
          <w:tcPr>
            <w:tcW w:w="2853" w:type="dxa"/>
            <w:tcBorders>
              <w:top w:val="nil"/>
              <w:left w:val="nil"/>
              <w:bottom w:val="nil"/>
              <w:right w:val="nil"/>
            </w:tcBorders>
          </w:tcPr>
          <w:p>
            <w:pPr>
              <w:pStyle w:val="TableParagraph"/>
              <w:spacing w:before="51"/>
              <w:ind w:right="724"/>
              <w:jc w:val="right"/>
              <w:rPr>
                <w:sz w:val="22"/>
              </w:rPr>
            </w:pPr>
            <w:r>
              <w:rPr>
                <w:sz w:val="22"/>
              </w:rPr>
              <w:t>2.68 ± 0.99</w:t>
            </w:r>
          </w:p>
        </w:tc>
        <w:tc>
          <w:tcPr>
            <w:tcW w:w="3122" w:type="dxa"/>
            <w:tcBorders>
              <w:top w:val="nil"/>
              <w:left w:val="nil"/>
              <w:bottom w:val="nil"/>
              <w:right w:val="nil"/>
            </w:tcBorders>
          </w:tcPr>
          <w:p>
            <w:pPr>
              <w:pStyle w:val="TableParagraph"/>
              <w:spacing w:before="51"/>
              <w:ind w:left="646" w:right="514"/>
              <w:rPr>
                <w:sz w:val="22"/>
              </w:rPr>
            </w:pPr>
            <w:r>
              <w:rPr>
                <w:sz w:val="22"/>
              </w:rPr>
              <w:t>3.09 ± 0.83</w:t>
            </w:r>
          </w:p>
        </w:tc>
      </w:tr>
      <w:tr>
        <w:trPr>
          <w:trHeight w:val="300" w:hRule="exact"/>
        </w:trPr>
        <w:tc>
          <w:tcPr>
            <w:tcW w:w="2866" w:type="dxa"/>
            <w:tcBorders>
              <w:top w:val="nil"/>
              <w:left w:val="nil"/>
              <w:bottom w:val="nil"/>
              <w:right w:val="nil"/>
            </w:tcBorders>
          </w:tcPr>
          <w:p>
            <w:pPr>
              <w:pStyle w:val="TableParagraph"/>
              <w:spacing w:before="51"/>
              <w:ind w:left="69"/>
              <w:jc w:val="left"/>
              <w:rPr>
                <w:sz w:val="22"/>
              </w:rPr>
            </w:pPr>
            <w:r>
              <w:rPr>
                <w:sz w:val="22"/>
              </w:rPr>
              <w:t>Cenizas</w:t>
            </w:r>
          </w:p>
        </w:tc>
        <w:tc>
          <w:tcPr>
            <w:tcW w:w="2853" w:type="dxa"/>
            <w:tcBorders>
              <w:top w:val="nil"/>
              <w:left w:val="nil"/>
              <w:bottom w:val="nil"/>
              <w:right w:val="nil"/>
            </w:tcBorders>
          </w:tcPr>
          <w:p>
            <w:pPr>
              <w:pStyle w:val="TableParagraph"/>
              <w:spacing w:before="51"/>
              <w:ind w:right="724"/>
              <w:jc w:val="right"/>
              <w:rPr>
                <w:sz w:val="22"/>
              </w:rPr>
            </w:pPr>
            <w:r>
              <w:rPr>
                <w:sz w:val="22"/>
              </w:rPr>
              <w:t>1.05 ± 0.47</w:t>
            </w:r>
          </w:p>
        </w:tc>
        <w:tc>
          <w:tcPr>
            <w:tcW w:w="3122" w:type="dxa"/>
            <w:tcBorders>
              <w:top w:val="nil"/>
              <w:left w:val="nil"/>
              <w:bottom w:val="nil"/>
              <w:right w:val="nil"/>
            </w:tcBorders>
          </w:tcPr>
          <w:p>
            <w:pPr>
              <w:pStyle w:val="TableParagraph"/>
              <w:spacing w:before="51"/>
              <w:ind w:left="646" w:right="514"/>
              <w:rPr>
                <w:sz w:val="22"/>
              </w:rPr>
            </w:pPr>
            <w:r>
              <w:rPr>
                <w:sz w:val="22"/>
              </w:rPr>
              <w:t>1,12 ± 0.47</w:t>
            </w:r>
          </w:p>
        </w:tc>
      </w:tr>
    </w:tbl>
    <w:p>
      <w:pPr>
        <w:pStyle w:val="BodyText"/>
        <w:rPr>
          <w:sz w:val="20"/>
        </w:rPr>
      </w:pPr>
    </w:p>
    <w:p>
      <w:pPr>
        <w:pStyle w:val="BodyText"/>
        <w:spacing w:before="4"/>
        <w:rPr>
          <w:sz w:val="21"/>
        </w:rPr>
      </w:pPr>
      <w:r>
        <w:rPr/>
        <w:pict>
          <v:group style="position:absolute;margin-left:92.653999pt;margin-top:14.23686pt;width:443.25pt;height:.5pt;mso-position-horizontal-relative:page;mso-position-vertical-relative:paragraph;z-index:2200;mso-wrap-distance-left:0;mso-wrap-distance-right:0" coordorigin="1853,285" coordsize="8865,10">
            <v:line style="position:absolute" from="1858,290" to="4678,290" stroked="true" strokeweight=".47998pt" strokecolor="#000000"/>
            <v:line style="position:absolute" from="4664,290" to="4674,290" stroked="true" strokeweight=".47998pt" strokecolor="#000000"/>
            <v:line style="position:absolute" from="4674,290" to="4907,290" stroked="true" strokeweight=".47998pt" strokecolor="#000000"/>
            <v:line style="position:absolute" from="4892,290" to="4902,290" stroked="true" strokeweight=".47998pt" strokecolor="#000000"/>
            <v:line style="position:absolute" from="4902,290" to="7725,290" stroked="true" strokeweight=".47998pt" strokecolor="#000000"/>
            <v:line style="position:absolute" from="7710,290" to="7720,290" stroked="true" strokeweight=".47998pt" strokecolor="#000000"/>
            <v:line style="position:absolute" from="7720,290" to="10713,290" stroked="true" strokeweight=".47998pt" strokecolor="#000000"/>
            <w10:wrap type="topAndBottom"/>
          </v:group>
        </w:pict>
      </w:r>
    </w:p>
    <w:p>
      <w:pPr>
        <w:spacing w:after="0"/>
        <w:rPr>
          <w:sz w:val="21"/>
        </w:rPr>
        <w:sectPr>
          <w:pgSz w:w="12240" w:h="15840"/>
          <w:pgMar w:header="0" w:footer="1326" w:top="1500" w:bottom="1580" w:left="1720" w:right="1420"/>
        </w:sectPr>
      </w:pPr>
    </w:p>
    <w:p>
      <w:pPr>
        <w:pStyle w:val="BodyText"/>
        <w:rPr>
          <w:sz w:val="20"/>
        </w:rPr>
      </w:pPr>
    </w:p>
    <w:p>
      <w:pPr>
        <w:pStyle w:val="BodyText"/>
        <w:rPr>
          <w:sz w:val="20"/>
        </w:rPr>
      </w:pPr>
    </w:p>
    <w:p>
      <w:pPr>
        <w:pStyle w:val="BodyText"/>
        <w:spacing w:before="3"/>
        <w:rPr>
          <w:sz w:val="2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2"/>
        <w:gridCol w:w="905"/>
        <w:gridCol w:w="782"/>
        <w:gridCol w:w="590"/>
        <w:gridCol w:w="562"/>
        <w:gridCol w:w="716"/>
        <w:gridCol w:w="685"/>
        <w:gridCol w:w="724"/>
        <w:gridCol w:w="743"/>
        <w:gridCol w:w="716"/>
        <w:gridCol w:w="717"/>
        <w:gridCol w:w="718"/>
        <w:gridCol w:w="590"/>
        <w:gridCol w:w="562"/>
      </w:tblGrid>
      <w:tr>
        <w:trPr>
          <w:trHeight w:val="292" w:hRule="exact"/>
        </w:trPr>
        <w:tc>
          <w:tcPr>
            <w:tcW w:w="10303" w:type="dxa"/>
            <w:gridSpan w:val="14"/>
            <w:tcBorders>
              <w:bottom w:val="single" w:sz="4" w:space="0" w:color="000000"/>
            </w:tcBorders>
          </w:tcPr>
          <w:p>
            <w:pPr>
              <w:pStyle w:val="TableParagraph"/>
              <w:spacing w:line="184" w:lineRule="exact"/>
              <w:ind w:left="84"/>
              <w:jc w:val="left"/>
              <w:rPr>
                <w:sz w:val="18"/>
              </w:rPr>
            </w:pPr>
            <w:r>
              <w:rPr>
                <w:color w:val="92D050"/>
                <w:sz w:val="18"/>
              </w:rPr>
              <w:t>Cuadro 2. Distribución de la composición química de la carne de conejo en las regiones económicas.</w:t>
            </w:r>
          </w:p>
        </w:tc>
      </w:tr>
      <w:tr>
        <w:trPr>
          <w:trHeight w:val="631" w:hRule="exact"/>
        </w:trPr>
        <w:tc>
          <w:tcPr>
            <w:tcW w:w="1292" w:type="dxa"/>
            <w:tcBorders>
              <w:top w:val="single" w:sz="4" w:space="0" w:color="000000"/>
            </w:tcBorders>
          </w:tcPr>
          <w:p>
            <w:pPr/>
          </w:p>
        </w:tc>
        <w:tc>
          <w:tcPr>
            <w:tcW w:w="1688" w:type="dxa"/>
            <w:gridSpan w:val="2"/>
            <w:tcBorders>
              <w:top w:val="single" w:sz="4" w:space="0" w:color="000000"/>
              <w:bottom w:val="single" w:sz="4" w:space="0" w:color="000000"/>
            </w:tcBorders>
          </w:tcPr>
          <w:p>
            <w:pPr>
              <w:pStyle w:val="TableParagraph"/>
              <w:spacing w:line="362" w:lineRule="auto"/>
              <w:ind w:left="396" w:right="381" w:firstLine="158"/>
              <w:jc w:val="left"/>
              <w:rPr>
                <w:sz w:val="18"/>
              </w:rPr>
            </w:pPr>
            <w:r>
              <w:rPr>
                <w:sz w:val="18"/>
              </w:rPr>
              <w:t>Región Económica</w:t>
            </w:r>
          </w:p>
        </w:tc>
        <w:tc>
          <w:tcPr>
            <w:tcW w:w="590" w:type="dxa"/>
            <w:tcBorders>
              <w:top w:val="single" w:sz="4" w:space="0" w:color="000000"/>
            </w:tcBorders>
          </w:tcPr>
          <w:p>
            <w:pPr/>
          </w:p>
        </w:tc>
        <w:tc>
          <w:tcPr>
            <w:tcW w:w="562" w:type="dxa"/>
            <w:tcBorders>
              <w:top w:val="single" w:sz="4" w:space="0" w:color="000000"/>
            </w:tcBorders>
          </w:tcPr>
          <w:p>
            <w:pPr/>
          </w:p>
        </w:tc>
        <w:tc>
          <w:tcPr>
            <w:tcW w:w="716" w:type="dxa"/>
            <w:tcBorders>
              <w:top w:val="single" w:sz="4" w:space="0" w:color="000000"/>
              <w:bottom w:val="single" w:sz="4" w:space="0" w:color="000000"/>
            </w:tcBorders>
          </w:tcPr>
          <w:p>
            <w:pPr/>
          </w:p>
        </w:tc>
        <w:tc>
          <w:tcPr>
            <w:tcW w:w="2152" w:type="dxa"/>
            <w:gridSpan w:val="3"/>
            <w:tcBorders>
              <w:top w:val="single" w:sz="4" w:space="0" w:color="000000"/>
              <w:bottom w:val="single" w:sz="4" w:space="0" w:color="000000"/>
            </w:tcBorders>
          </w:tcPr>
          <w:p>
            <w:pPr>
              <w:pStyle w:val="TableParagraph"/>
              <w:jc w:val="left"/>
              <w:rPr>
                <w:sz w:val="18"/>
              </w:rPr>
            </w:pPr>
          </w:p>
          <w:p>
            <w:pPr>
              <w:pStyle w:val="TableParagraph"/>
              <w:spacing w:before="104"/>
              <w:ind w:left="306"/>
              <w:jc w:val="left"/>
              <w:rPr>
                <w:sz w:val="18"/>
              </w:rPr>
            </w:pPr>
            <w:r>
              <w:rPr>
                <w:sz w:val="18"/>
              </w:rPr>
              <w:t>Localización municipal</w:t>
            </w:r>
          </w:p>
        </w:tc>
        <w:tc>
          <w:tcPr>
            <w:tcW w:w="716" w:type="dxa"/>
            <w:tcBorders>
              <w:top w:val="single" w:sz="4" w:space="0" w:color="000000"/>
              <w:bottom w:val="single" w:sz="4" w:space="0" w:color="000000"/>
            </w:tcBorders>
          </w:tcPr>
          <w:p>
            <w:pPr/>
          </w:p>
        </w:tc>
        <w:tc>
          <w:tcPr>
            <w:tcW w:w="717" w:type="dxa"/>
            <w:tcBorders>
              <w:top w:val="single" w:sz="4" w:space="0" w:color="000000"/>
              <w:bottom w:val="single" w:sz="4" w:space="0" w:color="000000"/>
            </w:tcBorders>
          </w:tcPr>
          <w:p>
            <w:pPr/>
          </w:p>
        </w:tc>
        <w:tc>
          <w:tcPr>
            <w:tcW w:w="718" w:type="dxa"/>
            <w:tcBorders>
              <w:top w:val="single" w:sz="4" w:space="0" w:color="000000"/>
              <w:bottom w:val="single" w:sz="4" w:space="0" w:color="000000"/>
            </w:tcBorders>
          </w:tcPr>
          <w:p>
            <w:pPr/>
          </w:p>
        </w:tc>
        <w:tc>
          <w:tcPr>
            <w:tcW w:w="590" w:type="dxa"/>
            <w:tcBorders>
              <w:top w:val="single" w:sz="4" w:space="0" w:color="000000"/>
            </w:tcBorders>
          </w:tcPr>
          <w:p>
            <w:pPr/>
          </w:p>
        </w:tc>
        <w:tc>
          <w:tcPr>
            <w:tcW w:w="562" w:type="dxa"/>
            <w:tcBorders>
              <w:top w:val="single" w:sz="4" w:space="0" w:color="000000"/>
            </w:tcBorders>
          </w:tcPr>
          <w:p>
            <w:pPr/>
          </w:p>
        </w:tc>
      </w:tr>
      <w:tr>
        <w:trPr>
          <w:trHeight w:val="322" w:hRule="exact"/>
        </w:trPr>
        <w:tc>
          <w:tcPr>
            <w:tcW w:w="1292" w:type="dxa"/>
            <w:tcBorders>
              <w:bottom w:val="single" w:sz="4" w:space="0" w:color="000000"/>
            </w:tcBorders>
          </w:tcPr>
          <w:p>
            <w:pPr>
              <w:pStyle w:val="TableParagraph"/>
              <w:spacing w:before="4"/>
              <w:ind w:left="84"/>
              <w:jc w:val="left"/>
              <w:rPr>
                <w:sz w:val="18"/>
              </w:rPr>
            </w:pPr>
            <w:r>
              <w:rPr>
                <w:sz w:val="18"/>
              </w:rPr>
              <w:t>Variable</w:t>
            </w:r>
          </w:p>
        </w:tc>
        <w:tc>
          <w:tcPr>
            <w:tcW w:w="905" w:type="dxa"/>
            <w:tcBorders>
              <w:top w:val="single" w:sz="4" w:space="0" w:color="000000"/>
              <w:bottom w:val="single" w:sz="4" w:space="0" w:color="000000"/>
            </w:tcBorders>
          </w:tcPr>
          <w:p>
            <w:pPr>
              <w:pStyle w:val="TableParagraph"/>
              <w:spacing w:line="206" w:lineRule="exact"/>
              <w:ind w:left="371"/>
              <w:jc w:val="left"/>
              <w:rPr>
                <w:sz w:val="18"/>
              </w:rPr>
            </w:pPr>
            <w:r>
              <w:rPr>
                <w:sz w:val="18"/>
              </w:rPr>
              <w:t>VII</w:t>
            </w:r>
          </w:p>
        </w:tc>
        <w:tc>
          <w:tcPr>
            <w:tcW w:w="782" w:type="dxa"/>
            <w:tcBorders>
              <w:top w:val="single" w:sz="4" w:space="0" w:color="000000"/>
              <w:bottom w:val="single" w:sz="4" w:space="0" w:color="000000"/>
            </w:tcBorders>
          </w:tcPr>
          <w:p>
            <w:pPr>
              <w:pStyle w:val="TableParagraph"/>
              <w:spacing w:line="206" w:lineRule="exact"/>
              <w:ind w:left="169" w:right="114"/>
              <w:rPr>
                <w:sz w:val="18"/>
              </w:rPr>
            </w:pPr>
            <w:r>
              <w:rPr>
                <w:sz w:val="18"/>
              </w:rPr>
              <w:t>XIII</w:t>
            </w:r>
          </w:p>
        </w:tc>
        <w:tc>
          <w:tcPr>
            <w:tcW w:w="590" w:type="dxa"/>
            <w:tcBorders>
              <w:bottom w:val="single" w:sz="4" w:space="0" w:color="000000"/>
            </w:tcBorders>
          </w:tcPr>
          <w:p>
            <w:pPr>
              <w:pStyle w:val="TableParagraph"/>
              <w:spacing w:before="4"/>
              <w:ind w:left="78" w:right="81"/>
              <w:rPr>
                <w:sz w:val="18"/>
              </w:rPr>
            </w:pPr>
            <w:r>
              <w:rPr>
                <w:sz w:val="18"/>
              </w:rPr>
              <w:t>EEM</w:t>
            </w:r>
          </w:p>
        </w:tc>
        <w:tc>
          <w:tcPr>
            <w:tcW w:w="562" w:type="dxa"/>
            <w:tcBorders>
              <w:bottom w:val="single" w:sz="4" w:space="0" w:color="000000"/>
            </w:tcBorders>
          </w:tcPr>
          <w:p>
            <w:pPr>
              <w:pStyle w:val="TableParagraph"/>
              <w:spacing w:before="4"/>
              <w:ind w:right="6"/>
              <w:rPr>
                <w:sz w:val="18"/>
              </w:rPr>
            </w:pPr>
            <w:r>
              <w:rPr>
                <w:w w:val="100"/>
                <w:sz w:val="18"/>
              </w:rPr>
              <w:t>P</w:t>
            </w:r>
          </w:p>
        </w:tc>
        <w:tc>
          <w:tcPr>
            <w:tcW w:w="716" w:type="dxa"/>
            <w:tcBorders>
              <w:top w:val="single" w:sz="4" w:space="0" w:color="000000"/>
              <w:bottom w:val="single" w:sz="4" w:space="0" w:color="000000"/>
            </w:tcBorders>
          </w:tcPr>
          <w:p>
            <w:pPr>
              <w:pStyle w:val="TableParagraph"/>
              <w:spacing w:line="206" w:lineRule="exact"/>
              <w:ind w:right="1"/>
              <w:rPr>
                <w:sz w:val="18"/>
              </w:rPr>
            </w:pPr>
            <w:r>
              <w:rPr>
                <w:w w:val="99"/>
                <w:sz w:val="18"/>
              </w:rPr>
              <w:t>1</w:t>
            </w:r>
          </w:p>
        </w:tc>
        <w:tc>
          <w:tcPr>
            <w:tcW w:w="685" w:type="dxa"/>
            <w:tcBorders>
              <w:top w:val="single" w:sz="4" w:space="0" w:color="000000"/>
              <w:bottom w:val="single" w:sz="4" w:space="0" w:color="000000"/>
            </w:tcBorders>
          </w:tcPr>
          <w:p>
            <w:pPr>
              <w:pStyle w:val="TableParagraph"/>
              <w:spacing w:line="206" w:lineRule="exact"/>
              <w:ind w:left="27"/>
              <w:rPr>
                <w:sz w:val="18"/>
              </w:rPr>
            </w:pPr>
            <w:r>
              <w:rPr>
                <w:w w:val="99"/>
                <w:sz w:val="18"/>
              </w:rPr>
              <w:t>2</w:t>
            </w:r>
          </w:p>
        </w:tc>
        <w:tc>
          <w:tcPr>
            <w:tcW w:w="724" w:type="dxa"/>
            <w:tcBorders>
              <w:top w:val="single" w:sz="4" w:space="0" w:color="000000"/>
              <w:bottom w:val="single" w:sz="4" w:space="0" w:color="000000"/>
            </w:tcBorders>
          </w:tcPr>
          <w:p>
            <w:pPr>
              <w:pStyle w:val="TableParagraph"/>
              <w:spacing w:line="206" w:lineRule="exact"/>
              <w:ind w:left="101"/>
              <w:jc w:val="left"/>
              <w:rPr>
                <w:sz w:val="18"/>
              </w:rPr>
            </w:pPr>
            <w:r>
              <w:rPr>
                <w:w w:val="99"/>
                <w:sz w:val="18"/>
              </w:rPr>
              <w:t>3</w:t>
            </w:r>
          </w:p>
        </w:tc>
        <w:tc>
          <w:tcPr>
            <w:tcW w:w="743" w:type="dxa"/>
            <w:tcBorders>
              <w:top w:val="single" w:sz="4" w:space="0" w:color="000000"/>
              <w:bottom w:val="single" w:sz="4" w:space="0" w:color="000000"/>
            </w:tcBorders>
          </w:tcPr>
          <w:p>
            <w:pPr>
              <w:pStyle w:val="TableParagraph"/>
              <w:spacing w:line="206" w:lineRule="exact"/>
              <w:ind w:left="23"/>
              <w:rPr>
                <w:sz w:val="18"/>
              </w:rPr>
            </w:pPr>
            <w:r>
              <w:rPr>
                <w:w w:val="99"/>
                <w:sz w:val="18"/>
              </w:rPr>
              <w:t>4</w:t>
            </w:r>
          </w:p>
        </w:tc>
        <w:tc>
          <w:tcPr>
            <w:tcW w:w="716" w:type="dxa"/>
            <w:tcBorders>
              <w:top w:val="single" w:sz="4" w:space="0" w:color="000000"/>
              <w:bottom w:val="single" w:sz="4" w:space="0" w:color="000000"/>
            </w:tcBorders>
          </w:tcPr>
          <w:p>
            <w:pPr>
              <w:pStyle w:val="TableParagraph"/>
              <w:spacing w:line="206" w:lineRule="exact"/>
              <w:rPr>
                <w:sz w:val="18"/>
              </w:rPr>
            </w:pPr>
            <w:r>
              <w:rPr>
                <w:w w:val="99"/>
                <w:sz w:val="18"/>
              </w:rPr>
              <w:t>5</w:t>
            </w:r>
          </w:p>
        </w:tc>
        <w:tc>
          <w:tcPr>
            <w:tcW w:w="717" w:type="dxa"/>
            <w:tcBorders>
              <w:top w:val="single" w:sz="4" w:space="0" w:color="000000"/>
              <w:bottom w:val="single" w:sz="4" w:space="0" w:color="000000"/>
            </w:tcBorders>
          </w:tcPr>
          <w:p>
            <w:pPr>
              <w:pStyle w:val="TableParagraph"/>
              <w:spacing w:line="206" w:lineRule="exact"/>
              <w:ind w:right="1"/>
              <w:rPr>
                <w:sz w:val="18"/>
              </w:rPr>
            </w:pPr>
            <w:r>
              <w:rPr>
                <w:w w:val="99"/>
                <w:sz w:val="18"/>
              </w:rPr>
              <w:t>6</w:t>
            </w:r>
          </w:p>
        </w:tc>
        <w:tc>
          <w:tcPr>
            <w:tcW w:w="718" w:type="dxa"/>
            <w:tcBorders>
              <w:top w:val="single" w:sz="4" w:space="0" w:color="000000"/>
              <w:bottom w:val="single" w:sz="4" w:space="0" w:color="000000"/>
            </w:tcBorders>
          </w:tcPr>
          <w:p>
            <w:pPr>
              <w:pStyle w:val="TableParagraph"/>
              <w:spacing w:line="206" w:lineRule="exact"/>
              <w:rPr>
                <w:sz w:val="18"/>
              </w:rPr>
            </w:pPr>
            <w:r>
              <w:rPr>
                <w:w w:val="99"/>
                <w:sz w:val="18"/>
              </w:rPr>
              <w:t>7</w:t>
            </w:r>
          </w:p>
        </w:tc>
        <w:tc>
          <w:tcPr>
            <w:tcW w:w="590" w:type="dxa"/>
            <w:tcBorders>
              <w:bottom w:val="single" w:sz="4" w:space="0" w:color="000000"/>
            </w:tcBorders>
          </w:tcPr>
          <w:p>
            <w:pPr>
              <w:pStyle w:val="TableParagraph"/>
              <w:spacing w:before="4"/>
              <w:ind w:left="96"/>
              <w:jc w:val="left"/>
              <w:rPr>
                <w:sz w:val="18"/>
              </w:rPr>
            </w:pPr>
            <w:r>
              <w:rPr>
                <w:sz w:val="18"/>
              </w:rPr>
              <w:t>EEM</w:t>
            </w:r>
          </w:p>
        </w:tc>
        <w:tc>
          <w:tcPr>
            <w:tcW w:w="562" w:type="dxa"/>
            <w:tcBorders>
              <w:bottom w:val="single" w:sz="4" w:space="0" w:color="000000"/>
            </w:tcBorders>
          </w:tcPr>
          <w:p>
            <w:pPr>
              <w:pStyle w:val="TableParagraph"/>
              <w:spacing w:before="4"/>
              <w:ind w:right="6"/>
              <w:rPr>
                <w:sz w:val="18"/>
              </w:rPr>
            </w:pPr>
            <w:r>
              <w:rPr>
                <w:w w:val="100"/>
                <w:sz w:val="18"/>
              </w:rPr>
              <w:t>P</w:t>
            </w:r>
          </w:p>
        </w:tc>
      </w:tr>
      <w:tr>
        <w:trPr>
          <w:trHeight w:val="583" w:hRule="exact"/>
        </w:trPr>
        <w:tc>
          <w:tcPr>
            <w:tcW w:w="1292" w:type="dxa"/>
            <w:tcBorders>
              <w:top w:val="single" w:sz="4" w:space="0" w:color="000000"/>
            </w:tcBorders>
          </w:tcPr>
          <w:p>
            <w:pPr>
              <w:pStyle w:val="TableParagraph"/>
              <w:spacing w:before="9"/>
              <w:jc w:val="left"/>
              <w:rPr>
                <w:sz w:val="26"/>
              </w:rPr>
            </w:pPr>
          </w:p>
          <w:p>
            <w:pPr>
              <w:pStyle w:val="TableParagraph"/>
              <w:ind w:left="122"/>
              <w:jc w:val="left"/>
              <w:rPr>
                <w:sz w:val="18"/>
              </w:rPr>
            </w:pPr>
            <w:r>
              <w:rPr>
                <w:sz w:val="18"/>
              </w:rPr>
              <w:t>Materia Seca</w:t>
            </w:r>
          </w:p>
        </w:tc>
        <w:tc>
          <w:tcPr>
            <w:tcW w:w="905" w:type="dxa"/>
            <w:tcBorders>
              <w:top w:val="single" w:sz="4" w:space="0" w:color="000000"/>
            </w:tcBorders>
          </w:tcPr>
          <w:p>
            <w:pPr>
              <w:pStyle w:val="TableParagraph"/>
              <w:spacing w:before="9"/>
              <w:jc w:val="left"/>
              <w:rPr>
                <w:sz w:val="26"/>
              </w:rPr>
            </w:pPr>
          </w:p>
          <w:p>
            <w:pPr>
              <w:pStyle w:val="TableParagraph"/>
              <w:ind w:left="256"/>
              <w:jc w:val="left"/>
              <w:rPr>
                <w:sz w:val="18"/>
              </w:rPr>
            </w:pPr>
            <w:r>
              <w:rPr>
                <w:sz w:val="18"/>
              </w:rPr>
              <w:t>26.31</w:t>
            </w:r>
          </w:p>
        </w:tc>
        <w:tc>
          <w:tcPr>
            <w:tcW w:w="782" w:type="dxa"/>
            <w:tcBorders>
              <w:top w:val="single" w:sz="4" w:space="0" w:color="000000"/>
            </w:tcBorders>
          </w:tcPr>
          <w:p>
            <w:pPr>
              <w:pStyle w:val="TableParagraph"/>
              <w:spacing w:before="9"/>
              <w:jc w:val="left"/>
              <w:rPr>
                <w:sz w:val="26"/>
              </w:rPr>
            </w:pPr>
          </w:p>
          <w:p>
            <w:pPr>
              <w:pStyle w:val="TableParagraph"/>
              <w:ind w:left="176" w:right="114"/>
              <w:rPr>
                <w:sz w:val="18"/>
              </w:rPr>
            </w:pPr>
            <w:r>
              <w:rPr>
                <w:sz w:val="18"/>
              </w:rPr>
              <w:t>26.05</w:t>
            </w:r>
          </w:p>
        </w:tc>
        <w:tc>
          <w:tcPr>
            <w:tcW w:w="590" w:type="dxa"/>
            <w:tcBorders>
              <w:top w:val="single" w:sz="4" w:space="0" w:color="000000"/>
            </w:tcBorders>
          </w:tcPr>
          <w:p>
            <w:pPr>
              <w:pStyle w:val="TableParagraph"/>
              <w:spacing w:before="9"/>
              <w:jc w:val="left"/>
              <w:rPr>
                <w:sz w:val="26"/>
              </w:rPr>
            </w:pPr>
          </w:p>
          <w:p>
            <w:pPr>
              <w:pStyle w:val="TableParagraph"/>
              <w:ind w:left="76" w:right="81"/>
              <w:rPr>
                <w:sz w:val="18"/>
              </w:rPr>
            </w:pPr>
            <w:r>
              <w:rPr>
                <w:sz w:val="18"/>
              </w:rPr>
              <w:t>0.41</w:t>
            </w:r>
          </w:p>
        </w:tc>
        <w:tc>
          <w:tcPr>
            <w:tcW w:w="562" w:type="dxa"/>
            <w:tcBorders>
              <w:top w:val="single" w:sz="4" w:space="0" w:color="000000"/>
            </w:tcBorders>
          </w:tcPr>
          <w:p>
            <w:pPr>
              <w:pStyle w:val="TableParagraph"/>
              <w:spacing w:before="9"/>
              <w:jc w:val="left"/>
              <w:rPr>
                <w:sz w:val="26"/>
              </w:rPr>
            </w:pPr>
          </w:p>
          <w:p>
            <w:pPr>
              <w:pStyle w:val="TableParagraph"/>
              <w:ind w:left="83" w:right="88"/>
              <w:rPr>
                <w:sz w:val="18"/>
              </w:rPr>
            </w:pPr>
            <w:r>
              <w:rPr>
                <w:sz w:val="18"/>
              </w:rPr>
              <w:t>0.69</w:t>
            </w:r>
          </w:p>
        </w:tc>
        <w:tc>
          <w:tcPr>
            <w:tcW w:w="716" w:type="dxa"/>
            <w:tcBorders>
              <w:top w:val="single" w:sz="4" w:space="0" w:color="000000"/>
            </w:tcBorders>
          </w:tcPr>
          <w:p>
            <w:pPr>
              <w:pStyle w:val="TableParagraph"/>
              <w:spacing w:before="9"/>
              <w:jc w:val="left"/>
              <w:rPr>
                <w:sz w:val="26"/>
              </w:rPr>
            </w:pPr>
          </w:p>
          <w:p>
            <w:pPr>
              <w:pStyle w:val="TableParagraph"/>
              <w:ind w:left="112" w:right="112"/>
              <w:rPr>
                <w:sz w:val="18"/>
              </w:rPr>
            </w:pPr>
            <w:r>
              <w:rPr>
                <w:sz w:val="18"/>
              </w:rPr>
              <w:t>26.72</w:t>
            </w:r>
          </w:p>
        </w:tc>
        <w:tc>
          <w:tcPr>
            <w:tcW w:w="685" w:type="dxa"/>
            <w:tcBorders>
              <w:top w:val="single" w:sz="4" w:space="0" w:color="000000"/>
            </w:tcBorders>
          </w:tcPr>
          <w:p>
            <w:pPr>
              <w:pStyle w:val="TableParagraph"/>
              <w:spacing w:before="9"/>
              <w:jc w:val="left"/>
              <w:rPr>
                <w:sz w:val="26"/>
              </w:rPr>
            </w:pPr>
          </w:p>
          <w:p>
            <w:pPr>
              <w:pStyle w:val="TableParagraph"/>
              <w:ind w:left="111" w:right="82"/>
              <w:rPr>
                <w:sz w:val="18"/>
              </w:rPr>
            </w:pPr>
            <w:r>
              <w:rPr>
                <w:sz w:val="18"/>
              </w:rPr>
              <w:t>25.73</w:t>
            </w:r>
          </w:p>
        </w:tc>
        <w:tc>
          <w:tcPr>
            <w:tcW w:w="724" w:type="dxa"/>
            <w:tcBorders>
              <w:top w:val="single" w:sz="4" w:space="0" w:color="000000"/>
            </w:tcBorders>
          </w:tcPr>
          <w:p>
            <w:pPr>
              <w:pStyle w:val="TableParagraph"/>
              <w:spacing w:before="9"/>
              <w:jc w:val="left"/>
              <w:rPr>
                <w:sz w:val="26"/>
              </w:rPr>
            </w:pPr>
          </w:p>
          <w:p>
            <w:pPr>
              <w:pStyle w:val="TableParagraph"/>
              <w:ind w:left="101"/>
              <w:jc w:val="left"/>
              <w:rPr>
                <w:sz w:val="18"/>
              </w:rPr>
            </w:pPr>
            <w:r>
              <w:rPr>
                <w:sz w:val="18"/>
              </w:rPr>
              <w:t>26.57</w:t>
            </w:r>
          </w:p>
        </w:tc>
        <w:tc>
          <w:tcPr>
            <w:tcW w:w="743" w:type="dxa"/>
            <w:tcBorders>
              <w:top w:val="single" w:sz="4" w:space="0" w:color="000000"/>
            </w:tcBorders>
          </w:tcPr>
          <w:p>
            <w:pPr>
              <w:pStyle w:val="TableParagraph"/>
              <w:spacing w:before="9"/>
              <w:jc w:val="left"/>
              <w:rPr>
                <w:sz w:val="26"/>
              </w:rPr>
            </w:pPr>
          </w:p>
          <w:p>
            <w:pPr>
              <w:pStyle w:val="TableParagraph"/>
              <w:ind w:right="130"/>
              <w:jc w:val="right"/>
              <w:rPr>
                <w:sz w:val="18"/>
              </w:rPr>
            </w:pPr>
            <w:r>
              <w:rPr>
                <w:w w:val="95"/>
                <w:sz w:val="18"/>
              </w:rPr>
              <w:t>25.26</w:t>
            </w:r>
          </w:p>
        </w:tc>
        <w:tc>
          <w:tcPr>
            <w:tcW w:w="716" w:type="dxa"/>
            <w:tcBorders>
              <w:top w:val="single" w:sz="4" w:space="0" w:color="000000"/>
            </w:tcBorders>
          </w:tcPr>
          <w:p>
            <w:pPr>
              <w:pStyle w:val="TableParagraph"/>
              <w:spacing w:before="9"/>
              <w:jc w:val="left"/>
              <w:rPr>
                <w:sz w:val="26"/>
              </w:rPr>
            </w:pPr>
          </w:p>
          <w:p>
            <w:pPr>
              <w:pStyle w:val="TableParagraph"/>
              <w:ind w:left="113" w:right="112"/>
              <w:rPr>
                <w:sz w:val="18"/>
              </w:rPr>
            </w:pPr>
            <w:r>
              <w:rPr>
                <w:sz w:val="18"/>
              </w:rPr>
              <w:t>27.99</w:t>
            </w:r>
          </w:p>
        </w:tc>
        <w:tc>
          <w:tcPr>
            <w:tcW w:w="717" w:type="dxa"/>
            <w:tcBorders>
              <w:top w:val="single" w:sz="4" w:space="0" w:color="000000"/>
            </w:tcBorders>
          </w:tcPr>
          <w:p>
            <w:pPr>
              <w:pStyle w:val="TableParagraph"/>
              <w:spacing w:before="9"/>
              <w:jc w:val="left"/>
              <w:rPr>
                <w:sz w:val="26"/>
              </w:rPr>
            </w:pPr>
          </w:p>
          <w:p>
            <w:pPr>
              <w:pStyle w:val="TableParagraph"/>
              <w:ind w:left="112" w:right="113"/>
              <w:rPr>
                <w:sz w:val="18"/>
              </w:rPr>
            </w:pPr>
            <w:r>
              <w:rPr>
                <w:sz w:val="18"/>
              </w:rPr>
              <w:t>25.49</w:t>
            </w:r>
          </w:p>
        </w:tc>
        <w:tc>
          <w:tcPr>
            <w:tcW w:w="718" w:type="dxa"/>
            <w:tcBorders>
              <w:top w:val="single" w:sz="4" w:space="0" w:color="000000"/>
            </w:tcBorders>
          </w:tcPr>
          <w:p>
            <w:pPr>
              <w:pStyle w:val="TableParagraph"/>
              <w:spacing w:before="9"/>
              <w:jc w:val="left"/>
              <w:rPr>
                <w:sz w:val="26"/>
              </w:rPr>
            </w:pPr>
          </w:p>
          <w:p>
            <w:pPr>
              <w:pStyle w:val="TableParagraph"/>
              <w:ind w:left="114" w:right="114"/>
              <w:rPr>
                <w:sz w:val="18"/>
              </w:rPr>
            </w:pPr>
            <w:r>
              <w:rPr>
                <w:sz w:val="18"/>
              </w:rPr>
              <w:t>26.95</w:t>
            </w:r>
          </w:p>
        </w:tc>
        <w:tc>
          <w:tcPr>
            <w:tcW w:w="590" w:type="dxa"/>
            <w:tcBorders>
              <w:top w:val="single" w:sz="4" w:space="0" w:color="000000"/>
            </w:tcBorders>
          </w:tcPr>
          <w:p>
            <w:pPr>
              <w:pStyle w:val="TableParagraph"/>
              <w:spacing w:before="9"/>
              <w:jc w:val="left"/>
              <w:rPr>
                <w:sz w:val="26"/>
              </w:rPr>
            </w:pPr>
          </w:p>
          <w:p>
            <w:pPr>
              <w:pStyle w:val="TableParagraph"/>
              <w:ind w:left="115"/>
              <w:jc w:val="left"/>
              <w:rPr>
                <w:sz w:val="18"/>
              </w:rPr>
            </w:pPr>
            <w:r>
              <w:rPr>
                <w:sz w:val="18"/>
              </w:rPr>
              <w:t>0.61</w:t>
            </w:r>
          </w:p>
        </w:tc>
        <w:tc>
          <w:tcPr>
            <w:tcW w:w="562" w:type="dxa"/>
            <w:tcBorders>
              <w:top w:val="single" w:sz="4" w:space="0" w:color="000000"/>
            </w:tcBorders>
          </w:tcPr>
          <w:p>
            <w:pPr>
              <w:pStyle w:val="TableParagraph"/>
              <w:spacing w:before="9"/>
              <w:jc w:val="left"/>
              <w:rPr>
                <w:sz w:val="26"/>
              </w:rPr>
            </w:pPr>
          </w:p>
          <w:p>
            <w:pPr>
              <w:pStyle w:val="TableParagraph"/>
              <w:ind w:left="83" w:right="88"/>
              <w:rPr>
                <w:sz w:val="18"/>
              </w:rPr>
            </w:pPr>
            <w:r>
              <w:rPr>
                <w:sz w:val="18"/>
              </w:rPr>
              <w:t>0.45</w:t>
            </w:r>
          </w:p>
        </w:tc>
      </w:tr>
      <w:tr>
        <w:trPr>
          <w:trHeight w:val="311" w:hRule="exact"/>
        </w:trPr>
        <w:tc>
          <w:tcPr>
            <w:tcW w:w="1292" w:type="dxa"/>
          </w:tcPr>
          <w:p>
            <w:pPr>
              <w:pStyle w:val="TableParagraph"/>
              <w:spacing w:before="43"/>
              <w:ind w:left="262"/>
              <w:jc w:val="left"/>
              <w:rPr>
                <w:sz w:val="18"/>
              </w:rPr>
            </w:pPr>
            <w:r>
              <w:rPr>
                <w:sz w:val="18"/>
              </w:rPr>
              <w:t>Humedad</w:t>
            </w:r>
          </w:p>
        </w:tc>
        <w:tc>
          <w:tcPr>
            <w:tcW w:w="905" w:type="dxa"/>
          </w:tcPr>
          <w:p>
            <w:pPr>
              <w:pStyle w:val="TableParagraph"/>
              <w:spacing w:before="43"/>
              <w:ind w:left="256"/>
              <w:jc w:val="left"/>
              <w:rPr>
                <w:sz w:val="18"/>
              </w:rPr>
            </w:pPr>
            <w:r>
              <w:rPr>
                <w:sz w:val="18"/>
              </w:rPr>
              <w:t>73.68</w:t>
            </w:r>
          </w:p>
        </w:tc>
        <w:tc>
          <w:tcPr>
            <w:tcW w:w="782" w:type="dxa"/>
          </w:tcPr>
          <w:p>
            <w:pPr>
              <w:pStyle w:val="TableParagraph"/>
              <w:spacing w:before="43"/>
              <w:ind w:left="176" w:right="114"/>
              <w:rPr>
                <w:sz w:val="18"/>
              </w:rPr>
            </w:pPr>
            <w:r>
              <w:rPr>
                <w:sz w:val="18"/>
              </w:rPr>
              <w:t>73.94</w:t>
            </w:r>
          </w:p>
        </w:tc>
        <w:tc>
          <w:tcPr>
            <w:tcW w:w="590" w:type="dxa"/>
          </w:tcPr>
          <w:p>
            <w:pPr>
              <w:pStyle w:val="TableParagraph"/>
              <w:spacing w:before="43"/>
              <w:ind w:left="76" w:right="81"/>
              <w:rPr>
                <w:sz w:val="18"/>
              </w:rPr>
            </w:pPr>
            <w:r>
              <w:rPr>
                <w:sz w:val="18"/>
              </w:rPr>
              <w:t>0.41</w:t>
            </w:r>
          </w:p>
        </w:tc>
        <w:tc>
          <w:tcPr>
            <w:tcW w:w="562" w:type="dxa"/>
          </w:tcPr>
          <w:p>
            <w:pPr>
              <w:pStyle w:val="TableParagraph"/>
              <w:spacing w:before="43"/>
              <w:ind w:left="83" w:right="88"/>
              <w:rPr>
                <w:sz w:val="18"/>
              </w:rPr>
            </w:pPr>
            <w:r>
              <w:rPr>
                <w:sz w:val="18"/>
              </w:rPr>
              <w:t>0.69</w:t>
            </w:r>
          </w:p>
        </w:tc>
        <w:tc>
          <w:tcPr>
            <w:tcW w:w="716" w:type="dxa"/>
          </w:tcPr>
          <w:p>
            <w:pPr>
              <w:pStyle w:val="TableParagraph"/>
              <w:spacing w:before="43"/>
              <w:ind w:left="112" w:right="112"/>
              <w:rPr>
                <w:sz w:val="18"/>
              </w:rPr>
            </w:pPr>
            <w:r>
              <w:rPr>
                <w:sz w:val="18"/>
              </w:rPr>
              <w:t>73.28</w:t>
            </w:r>
          </w:p>
        </w:tc>
        <w:tc>
          <w:tcPr>
            <w:tcW w:w="685" w:type="dxa"/>
          </w:tcPr>
          <w:p>
            <w:pPr>
              <w:pStyle w:val="TableParagraph"/>
              <w:spacing w:before="43"/>
              <w:ind w:left="111" w:right="82"/>
              <w:rPr>
                <w:sz w:val="18"/>
              </w:rPr>
            </w:pPr>
            <w:r>
              <w:rPr>
                <w:sz w:val="18"/>
              </w:rPr>
              <w:t>74.27</w:t>
            </w:r>
          </w:p>
        </w:tc>
        <w:tc>
          <w:tcPr>
            <w:tcW w:w="724" w:type="dxa"/>
          </w:tcPr>
          <w:p>
            <w:pPr>
              <w:pStyle w:val="TableParagraph"/>
              <w:spacing w:before="43"/>
              <w:ind w:left="101"/>
              <w:jc w:val="left"/>
              <w:rPr>
                <w:sz w:val="18"/>
              </w:rPr>
            </w:pPr>
            <w:r>
              <w:rPr>
                <w:sz w:val="18"/>
              </w:rPr>
              <w:t>73.43</w:t>
            </w:r>
          </w:p>
        </w:tc>
        <w:tc>
          <w:tcPr>
            <w:tcW w:w="743" w:type="dxa"/>
          </w:tcPr>
          <w:p>
            <w:pPr>
              <w:pStyle w:val="TableParagraph"/>
              <w:spacing w:before="43"/>
              <w:ind w:right="130"/>
              <w:jc w:val="right"/>
              <w:rPr>
                <w:sz w:val="18"/>
              </w:rPr>
            </w:pPr>
            <w:r>
              <w:rPr>
                <w:w w:val="95"/>
                <w:sz w:val="18"/>
              </w:rPr>
              <w:t>74.74</w:t>
            </w:r>
          </w:p>
        </w:tc>
        <w:tc>
          <w:tcPr>
            <w:tcW w:w="716" w:type="dxa"/>
          </w:tcPr>
          <w:p>
            <w:pPr>
              <w:pStyle w:val="TableParagraph"/>
              <w:spacing w:before="43"/>
              <w:ind w:left="113" w:right="112"/>
              <w:rPr>
                <w:sz w:val="18"/>
              </w:rPr>
            </w:pPr>
            <w:r>
              <w:rPr>
                <w:sz w:val="18"/>
              </w:rPr>
              <w:t>72.01</w:t>
            </w:r>
          </w:p>
        </w:tc>
        <w:tc>
          <w:tcPr>
            <w:tcW w:w="717" w:type="dxa"/>
          </w:tcPr>
          <w:p>
            <w:pPr>
              <w:pStyle w:val="TableParagraph"/>
              <w:spacing w:before="43"/>
              <w:ind w:left="112" w:right="113"/>
              <w:rPr>
                <w:sz w:val="18"/>
              </w:rPr>
            </w:pPr>
            <w:r>
              <w:rPr>
                <w:sz w:val="18"/>
              </w:rPr>
              <w:t>74.51</w:t>
            </w:r>
          </w:p>
        </w:tc>
        <w:tc>
          <w:tcPr>
            <w:tcW w:w="718" w:type="dxa"/>
          </w:tcPr>
          <w:p>
            <w:pPr>
              <w:pStyle w:val="TableParagraph"/>
              <w:spacing w:before="43"/>
              <w:ind w:left="114" w:right="114"/>
              <w:rPr>
                <w:sz w:val="18"/>
              </w:rPr>
            </w:pPr>
            <w:r>
              <w:rPr>
                <w:sz w:val="18"/>
              </w:rPr>
              <w:t>73.05</w:t>
            </w:r>
          </w:p>
        </w:tc>
        <w:tc>
          <w:tcPr>
            <w:tcW w:w="590" w:type="dxa"/>
          </w:tcPr>
          <w:p>
            <w:pPr>
              <w:pStyle w:val="TableParagraph"/>
              <w:spacing w:before="43"/>
              <w:ind w:left="115"/>
              <w:jc w:val="left"/>
              <w:rPr>
                <w:sz w:val="18"/>
              </w:rPr>
            </w:pPr>
            <w:r>
              <w:rPr>
                <w:sz w:val="18"/>
              </w:rPr>
              <w:t>0.61</w:t>
            </w:r>
          </w:p>
        </w:tc>
        <w:tc>
          <w:tcPr>
            <w:tcW w:w="562" w:type="dxa"/>
          </w:tcPr>
          <w:p>
            <w:pPr>
              <w:pStyle w:val="TableParagraph"/>
              <w:spacing w:before="43"/>
              <w:ind w:left="83" w:right="88"/>
              <w:rPr>
                <w:sz w:val="18"/>
              </w:rPr>
            </w:pPr>
            <w:r>
              <w:rPr>
                <w:sz w:val="18"/>
              </w:rPr>
              <w:t>0.45</w:t>
            </w:r>
          </w:p>
        </w:tc>
      </w:tr>
      <w:tr>
        <w:trPr>
          <w:trHeight w:val="310" w:hRule="exact"/>
        </w:trPr>
        <w:tc>
          <w:tcPr>
            <w:tcW w:w="1292" w:type="dxa"/>
          </w:tcPr>
          <w:p>
            <w:pPr>
              <w:pStyle w:val="TableParagraph"/>
              <w:spacing w:before="42"/>
              <w:ind w:left="312"/>
              <w:jc w:val="left"/>
              <w:rPr>
                <w:sz w:val="18"/>
              </w:rPr>
            </w:pPr>
            <w:r>
              <w:rPr>
                <w:sz w:val="18"/>
              </w:rPr>
              <w:t>Proteína</w:t>
            </w:r>
          </w:p>
        </w:tc>
        <w:tc>
          <w:tcPr>
            <w:tcW w:w="905" w:type="dxa"/>
          </w:tcPr>
          <w:p>
            <w:pPr>
              <w:pStyle w:val="TableParagraph"/>
              <w:spacing w:before="42"/>
              <w:ind w:left="256"/>
              <w:jc w:val="left"/>
              <w:rPr>
                <w:sz w:val="18"/>
              </w:rPr>
            </w:pPr>
            <w:r>
              <w:rPr>
                <w:sz w:val="18"/>
              </w:rPr>
              <w:t>22.17</w:t>
            </w:r>
          </w:p>
        </w:tc>
        <w:tc>
          <w:tcPr>
            <w:tcW w:w="782" w:type="dxa"/>
          </w:tcPr>
          <w:p>
            <w:pPr>
              <w:pStyle w:val="TableParagraph"/>
              <w:spacing w:before="42"/>
              <w:ind w:left="176" w:right="114"/>
              <w:rPr>
                <w:sz w:val="18"/>
              </w:rPr>
            </w:pPr>
            <w:r>
              <w:rPr>
                <w:sz w:val="18"/>
              </w:rPr>
              <w:t>22.14</w:t>
            </w:r>
          </w:p>
        </w:tc>
        <w:tc>
          <w:tcPr>
            <w:tcW w:w="590" w:type="dxa"/>
          </w:tcPr>
          <w:p>
            <w:pPr>
              <w:pStyle w:val="TableParagraph"/>
              <w:spacing w:before="42"/>
              <w:ind w:left="76" w:right="81"/>
              <w:rPr>
                <w:sz w:val="18"/>
              </w:rPr>
            </w:pPr>
            <w:r>
              <w:rPr>
                <w:sz w:val="18"/>
              </w:rPr>
              <w:t>0.39</w:t>
            </w:r>
          </w:p>
        </w:tc>
        <w:tc>
          <w:tcPr>
            <w:tcW w:w="562" w:type="dxa"/>
          </w:tcPr>
          <w:p>
            <w:pPr>
              <w:pStyle w:val="TableParagraph"/>
              <w:spacing w:before="42"/>
              <w:ind w:left="83" w:right="88"/>
              <w:rPr>
                <w:sz w:val="18"/>
              </w:rPr>
            </w:pPr>
            <w:r>
              <w:rPr>
                <w:sz w:val="18"/>
              </w:rPr>
              <w:t>0.96</w:t>
            </w:r>
          </w:p>
        </w:tc>
        <w:tc>
          <w:tcPr>
            <w:tcW w:w="716" w:type="dxa"/>
          </w:tcPr>
          <w:p>
            <w:pPr>
              <w:pStyle w:val="TableParagraph"/>
              <w:spacing w:before="42"/>
              <w:ind w:left="112" w:right="112"/>
              <w:rPr>
                <w:sz w:val="18"/>
              </w:rPr>
            </w:pPr>
            <w:r>
              <w:rPr>
                <w:sz w:val="18"/>
              </w:rPr>
              <w:t>22.63</w:t>
            </w:r>
          </w:p>
        </w:tc>
        <w:tc>
          <w:tcPr>
            <w:tcW w:w="685" w:type="dxa"/>
          </w:tcPr>
          <w:p>
            <w:pPr>
              <w:pStyle w:val="TableParagraph"/>
              <w:spacing w:before="42"/>
              <w:ind w:left="111" w:right="82"/>
              <w:rPr>
                <w:sz w:val="18"/>
              </w:rPr>
            </w:pPr>
            <w:r>
              <w:rPr>
                <w:sz w:val="18"/>
              </w:rPr>
              <w:t>21.96</w:t>
            </w:r>
          </w:p>
        </w:tc>
        <w:tc>
          <w:tcPr>
            <w:tcW w:w="724" w:type="dxa"/>
          </w:tcPr>
          <w:p>
            <w:pPr>
              <w:pStyle w:val="TableParagraph"/>
              <w:spacing w:before="42"/>
              <w:ind w:left="101"/>
              <w:jc w:val="left"/>
              <w:rPr>
                <w:sz w:val="18"/>
              </w:rPr>
            </w:pPr>
            <w:r>
              <w:rPr>
                <w:sz w:val="18"/>
              </w:rPr>
              <w:t>21.45</w:t>
            </w:r>
          </w:p>
        </w:tc>
        <w:tc>
          <w:tcPr>
            <w:tcW w:w="743" w:type="dxa"/>
          </w:tcPr>
          <w:p>
            <w:pPr>
              <w:pStyle w:val="TableParagraph"/>
              <w:spacing w:before="42"/>
              <w:ind w:right="130"/>
              <w:jc w:val="right"/>
              <w:rPr>
                <w:sz w:val="18"/>
              </w:rPr>
            </w:pPr>
            <w:r>
              <w:rPr>
                <w:w w:val="95"/>
                <w:sz w:val="18"/>
              </w:rPr>
              <w:t>21.18</w:t>
            </w:r>
          </w:p>
        </w:tc>
        <w:tc>
          <w:tcPr>
            <w:tcW w:w="716" w:type="dxa"/>
          </w:tcPr>
          <w:p>
            <w:pPr>
              <w:pStyle w:val="TableParagraph"/>
              <w:spacing w:before="42"/>
              <w:ind w:left="113" w:right="112"/>
              <w:rPr>
                <w:sz w:val="18"/>
              </w:rPr>
            </w:pPr>
            <w:r>
              <w:rPr>
                <w:sz w:val="18"/>
              </w:rPr>
              <w:t>23.68</w:t>
            </w:r>
          </w:p>
        </w:tc>
        <w:tc>
          <w:tcPr>
            <w:tcW w:w="717" w:type="dxa"/>
          </w:tcPr>
          <w:p>
            <w:pPr>
              <w:pStyle w:val="TableParagraph"/>
              <w:spacing w:before="42"/>
              <w:ind w:left="112" w:right="113"/>
              <w:rPr>
                <w:sz w:val="18"/>
              </w:rPr>
            </w:pPr>
            <w:r>
              <w:rPr>
                <w:sz w:val="18"/>
              </w:rPr>
              <w:t>21.77</w:t>
            </w:r>
          </w:p>
        </w:tc>
        <w:tc>
          <w:tcPr>
            <w:tcW w:w="718" w:type="dxa"/>
          </w:tcPr>
          <w:p>
            <w:pPr>
              <w:pStyle w:val="TableParagraph"/>
              <w:spacing w:before="42"/>
              <w:ind w:left="114" w:right="114"/>
              <w:rPr>
                <w:sz w:val="18"/>
              </w:rPr>
            </w:pPr>
            <w:r>
              <w:rPr>
                <w:sz w:val="18"/>
              </w:rPr>
              <w:t>23.5</w:t>
            </w:r>
          </w:p>
        </w:tc>
        <w:tc>
          <w:tcPr>
            <w:tcW w:w="590" w:type="dxa"/>
          </w:tcPr>
          <w:p>
            <w:pPr>
              <w:pStyle w:val="TableParagraph"/>
              <w:spacing w:before="42"/>
              <w:ind w:left="115"/>
              <w:jc w:val="left"/>
              <w:rPr>
                <w:sz w:val="18"/>
              </w:rPr>
            </w:pPr>
            <w:r>
              <w:rPr>
                <w:sz w:val="18"/>
              </w:rPr>
              <w:t>0.57</w:t>
            </w:r>
          </w:p>
        </w:tc>
        <w:tc>
          <w:tcPr>
            <w:tcW w:w="562" w:type="dxa"/>
          </w:tcPr>
          <w:p>
            <w:pPr>
              <w:pStyle w:val="TableParagraph"/>
              <w:spacing w:before="42"/>
              <w:ind w:left="83" w:right="88"/>
              <w:rPr>
                <w:sz w:val="18"/>
              </w:rPr>
            </w:pPr>
            <w:r>
              <w:rPr>
                <w:sz w:val="18"/>
              </w:rPr>
              <w:t>0.40</w:t>
            </w:r>
          </w:p>
        </w:tc>
      </w:tr>
      <w:tr>
        <w:trPr>
          <w:trHeight w:val="311" w:hRule="exact"/>
        </w:trPr>
        <w:tc>
          <w:tcPr>
            <w:tcW w:w="1292" w:type="dxa"/>
          </w:tcPr>
          <w:p>
            <w:pPr>
              <w:pStyle w:val="TableParagraph"/>
              <w:spacing w:before="42"/>
              <w:ind w:left="408"/>
              <w:jc w:val="left"/>
              <w:rPr>
                <w:sz w:val="18"/>
              </w:rPr>
            </w:pPr>
            <w:r>
              <w:rPr>
                <w:sz w:val="18"/>
              </w:rPr>
              <w:t>Grasa</w:t>
            </w:r>
          </w:p>
        </w:tc>
        <w:tc>
          <w:tcPr>
            <w:tcW w:w="905" w:type="dxa"/>
          </w:tcPr>
          <w:p>
            <w:pPr>
              <w:pStyle w:val="TableParagraph"/>
              <w:spacing w:before="42"/>
              <w:ind w:left="307"/>
              <w:jc w:val="left"/>
              <w:rPr>
                <w:sz w:val="18"/>
              </w:rPr>
            </w:pPr>
            <w:r>
              <w:rPr>
                <w:sz w:val="18"/>
              </w:rPr>
              <w:t>3.01</w:t>
            </w:r>
          </w:p>
        </w:tc>
        <w:tc>
          <w:tcPr>
            <w:tcW w:w="782" w:type="dxa"/>
          </w:tcPr>
          <w:p>
            <w:pPr>
              <w:pStyle w:val="TableParagraph"/>
              <w:spacing w:before="42"/>
              <w:ind w:left="176" w:right="114"/>
              <w:rPr>
                <w:sz w:val="18"/>
              </w:rPr>
            </w:pPr>
            <w:r>
              <w:rPr>
                <w:sz w:val="18"/>
              </w:rPr>
              <w:t>3.2</w:t>
            </w:r>
          </w:p>
        </w:tc>
        <w:tc>
          <w:tcPr>
            <w:tcW w:w="590" w:type="dxa"/>
          </w:tcPr>
          <w:p>
            <w:pPr>
              <w:pStyle w:val="TableParagraph"/>
              <w:spacing w:before="42"/>
              <w:ind w:left="76" w:right="81"/>
              <w:rPr>
                <w:sz w:val="18"/>
              </w:rPr>
            </w:pPr>
            <w:r>
              <w:rPr>
                <w:sz w:val="18"/>
              </w:rPr>
              <w:t>0.20</w:t>
            </w:r>
          </w:p>
        </w:tc>
        <w:tc>
          <w:tcPr>
            <w:tcW w:w="562" w:type="dxa"/>
          </w:tcPr>
          <w:p>
            <w:pPr>
              <w:pStyle w:val="TableParagraph"/>
              <w:spacing w:before="42"/>
              <w:ind w:left="83" w:right="88"/>
              <w:rPr>
                <w:sz w:val="18"/>
              </w:rPr>
            </w:pPr>
            <w:r>
              <w:rPr>
                <w:sz w:val="18"/>
              </w:rPr>
              <w:t>0.54</w:t>
            </w:r>
          </w:p>
        </w:tc>
        <w:tc>
          <w:tcPr>
            <w:tcW w:w="716" w:type="dxa"/>
          </w:tcPr>
          <w:p>
            <w:pPr>
              <w:pStyle w:val="TableParagraph"/>
              <w:spacing w:before="42"/>
              <w:ind w:left="112" w:right="112"/>
              <w:rPr>
                <w:sz w:val="18"/>
              </w:rPr>
            </w:pPr>
            <w:r>
              <w:rPr>
                <w:sz w:val="18"/>
              </w:rPr>
              <w:t>3.05</w:t>
            </w:r>
          </w:p>
        </w:tc>
        <w:tc>
          <w:tcPr>
            <w:tcW w:w="685" w:type="dxa"/>
          </w:tcPr>
          <w:p>
            <w:pPr>
              <w:pStyle w:val="TableParagraph"/>
              <w:spacing w:before="42"/>
              <w:ind w:left="111" w:right="81"/>
              <w:rPr>
                <w:sz w:val="18"/>
              </w:rPr>
            </w:pPr>
            <w:r>
              <w:rPr>
                <w:sz w:val="18"/>
              </w:rPr>
              <w:t>3.04</w:t>
            </w:r>
          </w:p>
        </w:tc>
        <w:tc>
          <w:tcPr>
            <w:tcW w:w="724" w:type="dxa"/>
          </w:tcPr>
          <w:p>
            <w:pPr>
              <w:pStyle w:val="TableParagraph"/>
              <w:spacing w:before="42"/>
              <w:ind w:left="101"/>
              <w:jc w:val="left"/>
              <w:rPr>
                <w:sz w:val="18"/>
              </w:rPr>
            </w:pPr>
            <w:r>
              <w:rPr>
                <w:sz w:val="18"/>
              </w:rPr>
              <w:t>2.84</w:t>
            </w:r>
          </w:p>
        </w:tc>
        <w:tc>
          <w:tcPr>
            <w:tcW w:w="743" w:type="dxa"/>
          </w:tcPr>
          <w:p>
            <w:pPr>
              <w:pStyle w:val="TableParagraph"/>
              <w:spacing w:before="42"/>
              <w:ind w:right="231"/>
              <w:jc w:val="right"/>
              <w:rPr>
                <w:sz w:val="18"/>
              </w:rPr>
            </w:pPr>
            <w:r>
              <w:rPr>
                <w:w w:val="95"/>
                <w:sz w:val="18"/>
              </w:rPr>
              <w:t>2.8</w:t>
            </w:r>
          </w:p>
        </w:tc>
        <w:tc>
          <w:tcPr>
            <w:tcW w:w="716" w:type="dxa"/>
          </w:tcPr>
          <w:p>
            <w:pPr>
              <w:pStyle w:val="TableParagraph"/>
              <w:spacing w:before="42"/>
              <w:ind w:left="113" w:right="112"/>
              <w:rPr>
                <w:sz w:val="18"/>
              </w:rPr>
            </w:pPr>
            <w:r>
              <w:rPr>
                <w:sz w:val="18"/>
              </w:rPr>
              <w:t>3.77</w:t>
            </w:r>
          </w:p>
        </w:tc>
        <w:tc>
          <w:tcPr>
            <w:tcW w:w="717" w:type="dxa"/>
          </w:tcPr>
          <w:p>
            <w:pPr>
              <w:pStyle w:val="TableParagraph"/>
              <w:spacing w:before="42"/>
              <w:ind w:left="112" w:right="113"/>
              <w:rPr>
                <w:sz w:val="18"/>
              </w:rPr>
            </w:pPr>
            <w:r>
              <w:rPr>
                <w:sz w:val="18"/>
              </w:rPr>
              <w:t>3.43</w:t>
            </w:r>
          </w:p>
        </w:tc>
        <w:tc>
          <w:tcPr>
            <w:tcW w:w="718" w:type="dxa"/>
          </w:tcPr>
          <w:p>
            <w:pPr>
              <w:pStyle w:val="TableParagraph"/>
              <w:spacing w:before="42"/>
              <w:ind w:left="114" w:right="114"/>
              <w:rPr>
                <w:sz w:val="18"/>
              </w:rPr>
            </w:pPr>
            <w:r>
              <w:rPr>
                <w:sz w:val="18"/>
              </w:rPr>
              <w:t>3.04</w:t>
            </w:r>
          </w:p>
        </w:tc>
        <w:tc>
          <w:tcPr>
            <w:tcW w:w="590" w:type="dxa"/>
          </w:tcPr>
          <w:p>
            <w:pPr>
              <w:pStyle w:val="TableParagraph"/>
              <w:spacing w:before="42"/>
              <w:ind w:left="115"/>
              <w:jc w:val="left"/>
              <w:rPr>
                <w:sz w:val="18"/>
              </w:rPr>
            </w:pPr>
            <w:r>
              <w:rPr>
                <w:sz w:val="18"/>
              </w:rPr>
              <w:t>0.31</w:t>
            </w:r>
          </w:p>
        </w:tc>
        <w:tc>
          <w:tcPr>
            <w:tcW w:w="562" w:type="dxa"/>
          </w:tcPr>
          <w:p>
            <w:pPr>
              <w:pStyle w:val="TableParagraph"/>
              <w:spacing w:before="42"/>
              <w:ind w:left="83" w:right="88"/>
              <w:rPr>
                <w:sz w:val="18"/>
              </w:rPr>
            </w:pPr>
            <w:r>
              <w:rPr>
                <w:sz w:val="18"/>
              </w:rPr>
              <w:t>0.85</w:t>
            </w:r>
          </w:p>
        </w:tc>
      </w:tr>
      <w:tr>
        <w:trPr>
          <w:trHeight w:val="358" w:hRule="exact"/>
        </w:trPr>
        <w:tc>
          <w:tcPr>
            <w:tcW w:w="1292" w:type="dxa"/>
            <w:tcBorders>
              <w:bottom w:val="single" w:sz="4" w:space="0" w:color="000000"/>
            </w:tcBorders>
          </w:tcPr>
          <w:p>
            <w:pPr>
              <w:pStyle w:val="TableParagraph"/>
              <w:spacing w:before="43"/>
              <w:ind w:left="326"/>
              <w:jc w:val="left"/>
              <w:rPr>
                <w:sz w:val="18"/>
              </w:rPr>
            </w:pPr>
            <w:r>
              <w:rPr>
                <w:sz w:val="18"/>
              </w:rPr>
              <w:t>Cenizas</w:t>
            </w:r>
          </w:p>
        </w:tc>
        <w:tc>
          <w:tcPr>
            <w:tcW w:w="905" w:type="dxa"/>
            <w:tcBorders>
              <w:bottom w:val="single" w:sz="4" w:space="0" w:color="000000"/>
            </w:tcBorders>
          </w:tcPr>
          <w:p>
            <w:pPr>
              <w:pStyle w:val="TableParagraph"/>
              <w:spacing w:before="43"/>
              <w:ind w:left="307"/>
              <w:jc w:val="left"/>
              <w:rPr>
                <w:sz w:val="18"/>
              </w:rPr>
            </w:pPr>
            <w:r>
              <w:rPr>
                <w:sz w:val="18"/>
              </w:rPr>
              <w:t>1.17</w:t>
            </w:r>
          </w:p>
        </w:tc>
        <w:tc>
          <w:tcPr>
            <w:tcW w:w="782" w:type="dxa"/>
            <w:tcBorders>
              <w:bottom w:val="single" w:sz="4" w:space="0" w:color="000000"/>
            </w:tcBorders>
          </w:tcPr>
          <w:p>
            <w:pPr>
              <w:pStyle w:val="TableParagraph"/>
              <w:spacing w:before="43"/>
              <w:ind w:left="176" w:right="114"/>
              <w:rPr>
                <w:sz w:val="18"/>
              </w:rPr>
            </w:pPr>
            <w:r>
              <w:rPr>
                <w:sz w:val="18"/>
              </w:rPr>
              <w:t>1.04</w:t>
            </w:r>
          </w:p>
        </w:tc>
        <w:tc>
          <w:tcPr>
            <w:tcW w:w="590" w:type="dxa"/>
            <w:tcBorders>
              <w:bottom w:val="single" w:sz="4" w:space="0" w:color="000000"/>
            </w:tcBorders>
          </w:tcPr>
          <w:p>
            <w:pPr>
              <w:pStyle w:val="TableParagraph"/>
              <w:spacing w:before="43"/>
              <w:ind w:left="76" w:right="81"/>
              <w:rPr>
                <w:sz w:val="18"/>
              </w:rPr>
            </w:pPr>
            <w:r>
              <w:rPr>
                <w:sz w:val="18"/>
              </w:rPr>
              <w:t>0.07</w:t>
            </w:r>
          </w:p>
        </w:tc>
        <w:tc>
          <w:tcPr>
            <w:tcW w:w="562" w:type="dxa"/>
            <w:tcBorders>
              <w:bottom w:val="single" w:sz="4" w:space="0" w:color="000000"/>
            </w:tcBorders>
          </w:tcPr>
          <w:p>
            <w:pPr>
              <w:pStyle w:val="TableParagraph"/>
              <w:spacing w:before="43"/>
              <w:ind w:left="83" w:right="88"/>
              <w:rPr>
                <w:sz w:val="18"/>
              </w:rPr>
            </w:pPr>
            <w:r>
              <w:rPr>
                <w:sz w:val="18"/>
              </w:rPr>
              <w:t>0.24</w:t>
            </w:r>
          </w:p>
        </w:tc>
        <w:tc>
          <w:tcPr>
            <w:tcW w:w="716" w:type="dxa"/>
            <w:tcBorders>
              <w:bottom w:val="single" w:sz="4" w:space="0" w:color="000000"/>
            </w:tcBorders>
          </w:tcPr>
          <w:p>
            <w:pPr>
              <w:pStyle w:val="TableParagraph"/>
              <w:spacing w:before="43"/>
              <w:ind w:left="112" w:right="112"/>
              <w:rPr>
                <w:sz w:val="18"/>
              </w:rPr>
            </w:pPr>
            <w:r>
              <w:rPr>
                <w:sz w:val="18"/>
              </w:rPr>
              <w:t>1.09</w:t>
            </w:r>
          </w:p>
        </w:tc>
        <w:tc>
          <w:tcPr>
            <w:tcW w:w="685" w:type="dxa"/>
            <w:tcBorders>
              <w:bottom w:val="single" w:sz="4" w:space="0" w:color="000000"/>
            </w:tcBorders>
          </w:tcPr>
          <w:p>
            <w:pPr>
              <w:pStyle w:val="TableParagraph"/>
              <w:spacing w:before="43"/>
              <w:ind w:left="111" w:right="81"/>
              <w:rPr>
                <w:sz w:val="18"/>
              </w:rPr>
            </w:pPr>
            <w:r>
              <w:rPr>
                <w:sz w:val="18"/>
              </w:rPr>
              <w:t>1.32</w:t>
            </w:r>
          </w:p>
        </w:tc>
        <w:tc>
          <w:tcPr>
            <w:tcW w:w="724" w:type="dxa"/>
            <w:tcBorders>
              <w:bottom w:val="single" w:sz="4" w:space="0" w:color="000000"/>
            </w:tcBorders>
          </w:tcPr>
          <w:p>
            <w:pPr>
              <w:pStyle w:val="TableParagraph"/>
              <w:spacing w:before="43"/>
              <w:ind w:left="214"/>
              <w:jc w:val="left"/>
              <w:rPr>
                <w:sz w:val="18"/>
              </w:rPr>
            </w:pPr>
            <w:r>
              <w:rPr>
                <w:sz w:val="18"/>
              </w:rPr>
              <w:t>1.08</w:t>
            </w:r>
          </w:p>
        </w:tc>
        <w:tc>
          <w:tcPr>
            <w:tcW w:w="743" w:type="dxa"/>
            <w:tcBorders>
              <w:bottom w:val="single" w:sz="4" w:space="0" w:color="000000"/>
            </w:tcBorders>
          </w:tcPr>
          <w:p>
            <w:pPr>
              <w:pStyle w:val="TableParagraph"/>
              <w:spacing w:before="43"/>
              <w:ind w:right="180"/>
              <w:jc w:val="right"/>
              <w:rPr>
                <w:sz w:val="18"/>
              </w:rPr>
            </w:pPr>
            <w:r>
              <w:rPr>
                <w:w w:val="95"/>
                <w:sz w:val="18"/>
              </w:rPr>
              <w:t>1.09</w:t>
            </w:r>
          </w:p>
        </w:tc>
        <w:tc>
          <w:tcPr>
            <w:tcW w:w="716" w:type="dxa"/>
            <w:tcBorders>
              <w:bottom w:val="single" w:sz="4" w:space="0" w:color="000000"/>
            </w:tcBorders>
          </w:tcPr>
          <w:p>
            <w:pPr>
              <w:pStyle w:val="TableParagraph"/>
              <w:spacing w:before="43"/>
              <w:ind w:left="113" w:right="112"/>
              <w:rPr>
                <w:sz w:val="18"/>
              </w:rPr>
            </w:pPr>
            <w:r>
              <w:rPr>
                <w:sz w:val="18"/>
              </w:rPr>
              <w:t>0.86</w:t>
            </w:r>
          </w:p>
        </w:tc>
        <w:tc>
          <w:tcPr>
            <w:tcW w:w="717" w:type="dxa"/>
            <w:tcBorders>
              <w:bottom w:val="single" w:sz="4" w:space="0" w:color="000000"/>
            </w:tcBorders>
          </w:tcPr>
          <w:p>
            <w:pPr>
              <w:pStyle w:val="TableParagraph"/>
              <w:spacing w:before="43"/>
              <w:ind w:left="112" w:right="113"/>
              <w:rPr>
                <w:sz w:val="18"/>
              </w:rPr>
            </w:pPr>
            <w:r>
              <w:rPr>
                <w:sz w:val="18"/>
              </w:rPr>
              <w:t>1.08</w:t>
            </w:r>
          </w:p>
        </w:tc>
        <w:tc>
          <w:tcPr>
            <w:tcW w:w="718" w:type="dxa"/>
            <w:tcBorders>
              <w:bottom w:val="single" w:sz="4" w:space="0" w:color="000000"/>
            </w:tcBorders>
          </w:tcPr>
          <w:p>
            <w:pPr>
              <w:pStyle w:val="TableParagraph"/>
              <w:spacing w:before="43"/>
              <w:ind w:left="114" w:right="114"/>
              <w:rPr>
                <w:sz w:val="18"/>
              </w:rPr>
            </w:pPr>
            <w:r>
              <w:rPr>
                <w:sz w:val="18"/>
              </w:rPr>
              <w:t>1.32</w:t>
            </w:r>
          </w:p>
        </w:tc>
        <w:tc>
          <w:tcPr>
            <w:tcW w:w="590" w:type="dxa"/>
            <w:tcBorders>
              <w:bottom w:val="single" w:sz="4" w:space="0" w:color="000000"/>
            </w:tcBorders>
          </w:tcPr>
          <w:p>
            <w:pPr>
              <w:pStyle w:val="TableParagraph"/>
              <w:spacing w:before="43"/>
              <w:ind w:left="115"/>
              <w:jc w:val="left"/>
              <w:rPr>
                <w:sz w:val="18"/>
              </w:rPr>
            </w:pPr>
            <w:r>
              <w:rPr>
                <w:sz w:val="18"/>
              </w:rPr>
              <w:t>0.11</w:t>
            </w:r>
          </w:p>
        </w:tc>
        <w:tc>
          <w:tcPr>
            <w:tcW w:w="562" w:type="dxa"/>
            <w:tcBorders>
              <w:bottom w:val="single" w:sz="4" w:space="0" w:color="000000"/>
            </w:tcBorders>
          </w:tcPr>
          <w:p>
            <w:pPr>
              <w:pStyle w:val="TableParagraph"/>
              <w:spacing w:before="43"/>
              <w:ind w:left="83" w:right="88"/>
              <w:rPr>
                <w:sz w:val="18"/>
              </w:rPr>
            </w:pPr>
            <w:r>
              <w:rPr>
                <w:sz w:val="18"/>
              </w:rPr>
              <w:t>0.64</w:t>
            </w:r>
          </w:p>
        </w:tc>
      </w:tr>
    </w:tbl>
    <w:p>
      <w:pPr>
        <w:spacing w:line="360" w:lineRule="auto" w:before="0"/>
        <w:ind w:left="1572" w:right="827" w:firstLine="0"/>
        <w:jc w:val="both"/>
        <w:rPr>
          <w:sz w:val="22"/>
        </w:rPr>
      </w:pPr>
      <w:r>
        <w:rPr>
          <w:sz w:val="22"/>
        </w:rPr>
        <w:t>VII Región Lerma, XII Región Toluca; 1 Lerma, 2 Ocoyoacac, 3 San Mateo Atenco, 4 Toluca, 5 Almoloya de Juárez, 6 Metepec, 7 Zinacantepec, EEM Error Estándar de la Media. Probabilidad p&lt;0.05.</w:t>
      </w:r>
    </w:p>
    <w:p>
      <w:pPr>
        <w:pStyle w:val="BodyText"/>
        <w:rPr>
          <w:sz w:val="20"/>
        </w:rPr>
      </w:pPr>
    </w:p>
    <w:p>
      <w:pPr>
        <w:pStyle w:val="BodyText"/>
        <w:rPr>
          <w:sz w:val="20"/>
        </w:rPr>
      </w:pPr>
    </w:p>
    <w:p>
      <w:pPr>
        <w:pStyle w:val="BodyText"/>
        <w:rPr>
          <w:sz w:val="20"/>
        </w:rPr>
      </w:pPr>
    </w:p>
    <w:p>
      <w:pPr>
        <w:pStyle w:val="BodyText"/>
        <w:rPr>
          <w:sz w:val="26"/>
        </w:rPr>
      </w:pPr>
    </w:p>
    <w:tbl>
      <w:tblPr>
        <w:tblW w:w="0" w:type="auto"/>
        <w:jc w:val="left"/>
        <w:tblInd w:w="8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7"/>
        <w:gridCol w:w="2217"/>
        <w:gridCol w:w="1484"/>
        <w:gridCol w:w="1132"/>
        <w:gridCol w:w="1096"/>
      </w:tblGrid>
      <w:tr>
        <w:trPr>
          <w:trHeight w:val="673" w:hRule="exact"/>
        </w:trPr>
        <w:tc>
          <w:tcPr>
            <w:tcW w:w="8795" w:type="dxa"/>
            <w:gridSpan w:val="5"/>
            <w:tcBorders>
              <w:bottom w:val="single" w:sz="4" w:space="0" w:color="000000"/>
            </w:tcBorders>
          </w:tcPr>
          <w:p>
            <w:pPr>
              <w:pStyle w:val="TableParagraph"/>
              <w:spacing w:line="204" w:lineRule="exact"/>
              <w:ind w:left="245" w:right="182"/>
              <w:rPr>
                <w:sz w:val="20"/>
              </w:rPr>
            </w:pPr>
            <w:r>
              <w:rPr>
                <w:color w:val="00AFEF"/>
                <w:sz w:val="20"/>
              </w:rPr>
              <w:t>Cuadro 3. Clasificación de canales de conejo en unidades de producción cunícola del valle de</w:t>
            </w:r>
          </w:p>
          <w:p>
            <w:pPr>
              <w:pStyle w:val="TableParagraph"/>
              <w:spacing w:before="116"/>
              <w:ind w:left="245" w:right="174"/>
              <w:rPr>
                <w:sz w:val="20"/>
              </w:rPr>
            </w:pPr>
            <w:r>
              <w:rPr>
                <w:color w:val="00AFEF"/>
                <w:sz w:val="20"/>
              </w:rPr>
              <w:t>Toluca</w:t>
            </w:r>
          </w:p>
        </w:tc>
      </w:tr>
      <w:tr>
        <w:trPr>
          <w:trHeight w:val="453" w:hRule="exact"/>
        </w:trPr>
        <w:tc>
          <w:tcPr>
            <w:tcW w:w="2867" w:type="dxa"/>
            <w:vMerge w:val="restart"/>
            <w:tcBorders>
              <w:top w:val="single" w:sz="4" w:space="0" w:color="000000"/>
            </w:tcBorders>
          </w:tcPr>
          <w:p>
            <w:pPr>
              <w:pStyle w:val="TableParagraph"/>
              <w:spacing w:line="357" w:lineRule="auto" w:before="64"/>
              <w:ind w:left="993" w:right="479" w:hanging="360"/>
              <w:jc w:val="left"/>
              <w:rPr>
                <w:sz w:val="20"/>
              </w:rPr>
            </w:pPr>
            <w:r>
              <w:rPr>
                <w:sz w:val="20"/>
              </w:rPr>
              <w:t>Clasificación Oficial de la Canal</w:t>
            </w:r>
          </w:p>
        </w:tc>
        <w:tc>
          <w:tcPr>
            <w:tcW w:w="2217" w:type="dxa"/>
            <w:vMerge w:val="restart"/>
            <w:tcBorders>
              <w:top w:val="single" w:sz="4" w:space="0" w:color="000000"/>
            </w:tcBorders>
          </w:tcPr>
          <w:p>
            <w:pPr>
              <w:pStyle w:val="TableParagraph"/>
              <w:spacing w:line="357" w:lineRule="auto" w:before="64"/>
              <w:ind w:left="1031" w:right="387" w:hanging="533"/>
              <w:jc w:val="left"/>
              <w:rPr>
                <w:sz w:val="20"/>
              </w:rPr>
            </w:pPr>
            <w:r>
              <w:rPr>
                <w:sz w:val="20"/>
              </w:rPr>
              <w:t>Peso en Canal Kg</w:t>
            </w:r>
          </w:p>
        </w:tc>
        <w:tc>
          <w:tcPr>
            <w:tcW w:w="1484" w:type="dxa"/>
            <w:vMerge w:val="restart"/>
            <w:tcBorders>
              <w:top w:val="single" w:sz="4" w:space="0" w:color="000000"/>
            </w:tcBorders>
          </w:tcPr>
          <w:p>
            <w:pPr>
              <w:pStyle w:val="TableParagraph"/>
              <w:spacing w:line="357" w:lineRule="auto" w:before="64"/>
              <w:ind w:left="597" w:right="426" w:hanging="27"/>
              <w:jc w:val="left"/>
              <w:rPr>
                <w:sz w:val="20"/>
              </w:rPr>
            </w:pPr>
            <w:r>
              <w:rPr>
                <w:sz w:val="20"/>
              </w:rPr>
              <w:t>Edad Días</w:t>
            </w:r>
          </w:p>
        </w:tc>
        <w:tc>
          <w:tcPr>
            <w:tcW w:w="1132" w:type="dxa"/>
            <w:tcBorders>
              <w:top w:val="single" w:sz="4" w:space="0" w:color="000000"/>
            </w:tcBorders>
          </w:tcPr>
          <w:p>
            <w:pPr>
              <w:pStyle w:val="TableParagraph"/>
              <w:spacing w:before="7"/>
              <w:jc w:val="left"/>
              <w:rPr>
                <w:sz w:val="20"/>
              </w:rPr>
            </w:pPr>
          </w:p>
          <w:p>
            <w:pPr>
              <w:pStyle w:val="TableParagraph"/>
              <w:ind w:left="265" w:right="91"/>
              <w:rPr>
                <w:sz w:val="20"/>
              </w:rPr>
            </w:pPr>
            <w:r>
              <w:rPr>
                <w:sz w:val="20"/>
              </w:rPr>
              <w:t>Conejos</w:t>
            </w:r>
          </w:p>
        </w:tc>
        <w:tc>
          <w:tcPr>
            <w:tcW w:w="1096" w:type="dxa"/>
            <w:tcBorders>
              <w:top w:val="single" w:sz="4" w:space="0" w:color="000000"/>
            </w:tcBorders>
          </w:tcPr>
          <w:p>
            <w:pPr/>
          </w:p>
        </w:tc>
      </w:tr>
      <w:tr>
        <w:trPr>
          <w:trHeight w:val="380" w:hRule="exact"/>
        </w:trPr>
        <w:tc>
          <w:tcPr>
            <w:tcW w:w="2867" w:type="dxa"/>
            <w:vMerge/>
            <w:tcBorders>
              <w:bottom w:val="single" w:sz="4" w:space="0" w:color="000000"/>
            </w:tcBorders>
          </w:tcPr>
          <w:p>
            <w:pPr/>
          </w:p>
        </w:tc>
        <w:tc>
          <w:tcPr>
            <w:tcW w:w="2217" w:type="dxa"/>
            <w:vMerge/>
            <w:tcBorders>
              <w:bottom w:val="single" w:sz="4" w:space="0" w:color="000000"/>
            </w:tcBorders>
          </w:tcPr>
          <w:p>
            <w:pPr/>
          </w:p>
        </w:tc>
        <w:tc>
          <w:tcPr>
            <w:tcW w:w="1484" w:type="dxa"/>
            <w:vMerge/>
            <w:tcBorders>
              <w:bottom w:val="single" w:sz="4" w:space="0" w:color="000000"/>
            </w:tcBorders>
          </w:tcPr>
          <w:p>
            <w:pPr/>
          </w:p>
        </w:tc>
        <w:tc>
          <w:tcPr>
            <w:tcW w:w="1132" w:type="dxa"/>
            <w:tcBorders>
              <w:bottom w:val="single" w:sz="4" w:space="0" w:color="000000"/>
            </w:tcBorders>
          </w:tcPr>
          <w:p>
            <w:pPr/>
          </w:p>
        </w:tc>
        <w:tc>
          <w:tcPr>
            <w:tcW w:w="1096" w:type="dxa"/>
            <w:tcBorders>
              <w:bottom w:val="single" w:sz="4" w:space="0" w:color="000000"/>
            </w:tcBorders>
          </w:tcPr>
          <w:p>
            <w:pPr>
              <w:pStyle w:val="TableParagraph"/>
              <w:spacing w:line="189" w:lineRule="exact"/>
              <w:ind w:left="24"/>
              <w:rPr>
                <w:sz w:val="20"/>
              </w:rPr>
            </w:pPr>
            <w:r>
              <w:rPr>
                <w:w w:val="99"/>
                <w:sz w:val="20"/>
              </w:rPr>
              <w:t>%</w:t>
            </w:r>
          </w:p>
        </w:tc>
      </w:tr>
      <w:tr>
        <w:trPr>
          <w:trHeight w:val="368" w:hRule="exact"/>
        </w:trPr>
        <w:tc>
          <w:tcPr>
            <w:tcW w:w="2867" w:type="dxa"/>
            <w:tcBorders>
              <w:top w:val="single" w:sz="4" w:space="0" w:color="000000"/>
            </w:tcBorders>
          </w:tcPr>
          <w:p>
            <w:pPr>
              <w:pStyle w:val="TableParagraph"/>
              <w:spacing w:before="31"/>
              <w:ind w:left="900" w:right="770"/>
              <w:rPr>
                <w:sz w:val="20"/>
              </w:rPr>
            </w:pPr>
            <w:r>
              <w:rPr>
                <w:sz w:val="20"/>
              </w:rPr>
              <w:t>México Extra</w:t>
            </w:r>
          </w:p>
        </w:tc>
        <w:tc>
          <w:tcPr>
            <w:tcW w:w="2217" w:type="dxa"/>
            <w:tcBorders>
              <w:top w:val="single" w:sz="4" w:space="0" w:color="000000"/>
            </w:tcBorders>
          </w:tcPr>
          <w:p>
            <w:pPr>
              <w:pStyle w:val="TableParagraph"/>
              <w:spacing w:before="31"/>
              <w:ind w:right="475"/>
              <w:jc w:val="right"/>
              <w:rPr>
                <w:sz w:val="20"/>
              </w:rPr>
            </w:pPr>
            <w:r>
              <w:rPr>
                <w:sz w:val="20"/>
              </w:rPr>
              <w:t>1.000 - 1.500</w:t>
            </w:r>
          </w:p>
        </w:tc>
        <w:tc>
          <w:tcPr>
            <w:tcW w:w="1484" w:type="dxa"/>
            <w:tcBorders>
              <w:top w:val="single" w:sz="4" w:space="0" w:color="000000"/>
            </w:tcBorders>
          </w:tcPr>
          <w:p>
            <w:pPr>
              <w:pStyle w:val="TableParagraph"/>
              <w:spacing w:before="31"/>
              <w:ind w:left="387" w:right="265"/>
              <w:rPr>
                <w:sz w:val="20"/>
              </w:rPr>
            </w:pPr>
            <w:r>
              <w:rPr>
                <w:sz w:val="20"/>
              </w:rPr>
              <w:t>70 a 75</w:t>
            </w:r>
          </w:p>
        </w:tc>
        <w:tc>
          <w:tcPr>
            <w:tcW w:w="1132" w:type="dxa"/>
            <w:tcBorders>
              <w:top w:val="single" w:sz="4" w:space="0" w:color="000000"/>
            </w:tcBorders>
          </w:tcPr>
          <w:p>
            <w:pPr>
              <w:pStyle w:val="TableParagraph"/>
              <w:spacing w:before="31"/>
              <w:ind w:left="265" w:right="87"/>
              <w:rPr>
                <w:sz w:val="20"/>
              </w:rPr>
            </w:pPr>
            <w:r>
              <w:rPr>
                <w:sz w:val="20"/>
              </w:rPr>
              <w:t>116</w:t>
            </w:r>
          </w:p>
        </w:tc>
        <w:tc>
          <w:tcPr>
            <w:tcW w:w="1096" w:type="dxa"/>
            <w:tcBorders>
              <w:top w:val="single" w:sz="4" w:space="0" w:color="000000"/>
            </w:tcBorders>
          </w:tcPr>
          <w:p>
            <w:pPr>
              <w:pStyle w:val="TableParagraph"/>
              <w:spacing w:before="31"/>
              <w:ind w:left="290" w:right="265"/>
              <w:rPr>
                <w:sz w:val="20"/>
              </w:rPr>
            </w:pPr>
            <w:r>
              <w:rPr>
                <w:sz w:val="20"/>
              </w:rPr>
              <w:t>55.24</w:t>
            </w:r>
          </w:p>
        </w:tc>
      </w:tr>
      <w:tr>
        <w:trPr>
          <w:trHeight w:val="413" w:hRule="exact"/>
        </w:trPr>
        <w:tc>
          <w:tcPr>
            <w:tcW w:w="2867" w:type="dxa"/>
          </w:tcPr>
          <w:p>
            <w:pPr>
              <w:pStyle w:val="TableParagraph"/>
              <w:spacing w:before="80"/>
              <w:ind w:left="899" w:right="770"/>
              <w:rPr>
                <w:sz w:val="20"/>
              </w:rPr>
            </w:pPr>
            <w:r>
              <w:rPr>
                <w:sz w:val="20"/>
              </w:rPr>
              <w:t>México 1</w:t>
            </w:r>
          </w:p>
        </w:tc>
        <w:tc>
          <w:tcPr>
            <w:tcW w:w="2217" w:type="dxa"/>
          </w:tcPr>
          <w:p>
            <w:pPr>
              <w:pStyle w:val="TableParagraph"/>
              <w:spacing w:before="80"/>
              <w:ind w:right="475"/>
              <w:jc w:val="right"/>
              <w:rPr>
                <w:sz w:val="20"/>
              </w:rPr>
            </w:pPr>
            <w:r>
              <w:rPr>
                <w:sz w:val="20"/>
              </w:rPr>
              <w:t>1.100 - 2.400</w:t>
            </w:r>
          </w:p>
        </w:tc>
        <w:tc>
          <w:tcPr>
            <w:tcW w:w="1484" w:type="dxa"/>
          </w:tcPr>
          <w:p>
            <w:pPr>
              <w:pStyle w:val="TableParagraph"/>
              <w:spacing w:before="80"/>
              <w:ind w:left="387" w:right="265"/>
              <w:rPr>
                <w:sz w:val="20"/>
              </w:rPr>
            </w:pPr>
            <w:r>
              <w:rPr>
                <w:sz w:val="20"/>
              </w:rPr>
              <w:t>80 – 100</w:t>
            </w:r>
          </w:p>
        </w:tc>
        <w:tc>
          <w:tcPr>
            <w:tcW w:w="1132" w:type="dxa"/>
          </w:tcPr>
          <w:p>
            <w:pPr>
              <w:pStyle w:val="TableParagraph"/>
              <w:spacing w:before="80"/>
              <w:ind w:left="265" w:right="87"/>
              <w:rPr>
                <w:sz w:val="20"/>
              </w:rPr>
            </w:pPr>
            <w:r>
              <w:rPr>
                <w:sz w:val="20"/>
              </w:rPr>
              <w:t>76</w:t>
            </w:r>
          </w:p>
        </w:tc>
        <w:tc>
          <w:tcPr>
            <w:tcW w:w="1096" w:type="dxa"/>
          </w:tcPr>
          <w:p>
            <w:pPr>
              <w:pStyle w:val="TableParagraph"/>
              <w:spacing w:before="80"/>
              <w:ind w:left="290" w:right="265"/>
              <w:rPr>
                <w:sz w:val="20"/>
              </w:rPr>
            </w:pPr>
            <w:r>
              <w:rPr>
                <w:sz w:val="20"/>
              </w:rPr>
              <w:t>36.19</w:t>
            </w:r>
          </w:p>
        </w:tc>
      </w:tr>
      <w:tr>
        <w:trPr>
          <w:trHeight w:val="465" w:hRule="exact"/>
        </w:trPr>
        <w:tc>
          <w:tcPr>
            <w:tcW w:w="2867" w:type="dxa"/>
            <w:tcBorders>
              <w:bottom w:val="single" w:sz="4" w:space="0" w:color="000000"/>
            </w:tcBorders>
          </w:tcPr>
          <w:p>
            <w:pPr>
              <w:pStyle w:val="TableParagraph"/>
              <w:spacing w:before="80"/>
              <w:ind w:left="899" w:right="770"/>
              <w:rPr>
                <w:sz w:val="20"/>
              </w:rPr>
            </w:pPr>
            <w:r>
              <w:rPr>
                <w:sz w:val="20"/>
              </w:rPr>
              <w:t>México 2</w:t>
            </w:r>
          </w:p>
        </w:tc>
        <w:tc>
          <w:tcPr>
            <w:tcW w:w="2217" w:type="dxa"/>
            <w:tcBorders>
              <w:bottom w:val="single" w:sz="4" w:space="0" w:color="000000"/>
            </w:tcBorders>
          </w:tcPr>
          <w:p>
            <w:pPr>
              <w:pStyle w:val="TableParagraph"/>
              <w:spacing w:before="80"/>
              <w:ind w:right="475"/>
              <w:jc w:val="right"/>
              <w:rPr>
                <w:sz w:val="20"/>
              </w:rPr>
            </w:pPr>
            <w:r>
              <w:rPr>
                <w:sz w:val="20"/>
              </w:rPr>
              <w:t>1.750 - 2.500</w:t>
            </w:r>
          </w:p>
        </w:tc>
        <w:tc>
          <w:tcPr>
            <w:tcW w:w="1484" w:type="dxa"/>
            <w:tcBorders>
              <w:bottom w:val="single" w:sz="4" w:space="0" w:color="000000"/>
            </w:tcBorders>
          </w:tcPr>
          <w:p>
            <w:pPr>
              <w:pStyle w:val="TableParagraph"/>
              <w:spacing w:before="80"/>
              <w:ind w:left="387" w:right="267"/>
              <w:rPr>
                <w:sz w:val="20"/>
              </w:rPr>
            </w:pPr>
            <w:r>
              <w:rPr>
                <w:sz w:val="20"/>
              </w:rPr>
              <w:t>107 -120</w:t>
            </w:r>
          </w:p>
        </w:tc>
        <w:tc>
          <w:tcPr>
            <w:tcW w:w="1132" w:type="dxa"/>
            <w:tcBorders>
              <w:bottom w:val="single" w:sz="4" w:space="0" w:color="000000"/>
            </w:tcBorders>
          </w:tcPr>
          <w:p>
            <w:pPr>
              <w:pStyle w:val="TableParagraph"/>
              <w:spacing w:before="80"/>
              <w:ind w:left="265" w:right="87"/>
              <w:rPr>
                <w:sz w:val="20"/>
              </w:rPr>
            </w:pPr>
            <w:r>
              <w:rPr>
                <w:sz w:val="20"/>
              </w:rPr>
              <w:t>18</w:t>
            </w:r>
          </w:p>
        </w:tc>
        <w:tc>
          <w:tcPr>
            <w:tcW w:w="1096" w:type="dxa"/>
            <w:tcBorders>
              <w:bottom w:val="single" w:sz="4" w:space="0" w:color="000000"/>
            </w:tcBorders>
          </w:tcPr>
          <w:p>
            <w:pPr>
              <w:pStyle w:val="TableParagraph"/>
              <w:spacing w:before="80"/>
              <w:ind w:left="287" w:right="265"/>
              <w:rPr>
                <w:sz w:val="20"/>
              </w:rPr>
            </w:pPr>
            <w:r>
              <w:rPr>
                <w:sz w:val="20"/>
              </w:rPr>
              <w:t>8.57</w:t>
            </w:r>
          </w:p>
        </w:tc>
      </w:tr>
    </w:tbl>
    <w:p>
      <w:pPr>
        <w:spacing w:after="0"/>
        <w:rPr>
          <w:sz w:val="20"/>
        </w:rPr>
        <w:sectPr>
          <w:pgSz w:w="12240" w:h="15840"/>
          <w:pgMar w:header="0" w:footer="1326" w:top="1500" w:bottom="1580" w:left="1020" w:right="70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5604042" cy="7578090"/>
            <wp:effectExtent l="0" t="0" r="0" b="0"/>
            <wp:docPr id="11" name="image31.jpeg" descr=""/>
            <wp:cNvGraphicFramePr>
              <a:graphicFrameLocks noChangeAspect="1"/>
            </wp:cNvGraphicFramePr>
            <a:graphic>
              <a:graphicData uri="http://schemas.openxmlformats.org/drawingml/2006/picture">
                <pic:pic>
                  <pic:nvPicPr>
                    <pic:cNvPr id="12" name="image31.jpeg"/>
                    <pic:cNvPicPr/>
                  </pic:nvPicPr>
                  <pic:blipFill>
                    <a:blip r:embed="rId54" cstate="print"/>
                    <a:stretch>
                      <a:fillRect/>
                    </a:stretch>
                  </pic:blipFill>
                  <pic:spPr>
                    <a:xfrm>
                      <a:off x="0" y="0"/>
                      <a:ext cx="5604042" cy="757809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6" w:top="1500" w:bottom="1520" w:left="1720" w:right="1420"/>
        </w:sectPr>
      </w:pPr>
    </w:p>
    <w:p>
      <w:pPr>
        <w:pStyle w:val="BodyText"/>
        <w:spacing w:before="2"/>
        <w:rPr>
          <w:rFonts w:ascii="Times New Roman"/>
          <w:sz w:val="21"/>
        </w:rPr>
      </w:pPr>
    </w:p>
    <w:p>
      <w:pPr>
        <w:spacing w:before="69"/>
        <w:ind w:left="291" w:right="249" w:firstLine="0"/>
        <w:jc w:val="center"/>
        <w:rPr>
          <w:b/>
          <w:sz w:val="24"/>
        </w:rPr>
      </w:pPr>
      <w:r>
        <w:rPr>
          <w:b/>
          <w:sz w:val="24"/>
          <w:shd w:fill="F8F8F8" w:color="auto" w:val="clear"/>
        </w:rPr>
        <w:t>TOLUCA, ESTADO DE MÉXICO, MEXICO, SEPTEMBER 8-11, 2014, 5th</w:t>
      </w:r>
    </w:p>
    <w:p>
      <w:pPr>
        <w:spacing w:line="276" w:lineRule="auto" w:before="41"/>
        <w:ind w:left="288" w:right="251" w:firstLine="0"/>
        <w:jc w:val="center"/>
        <w:rPr>
          <w:b/>
          <w:sz w:val="24"/>
        </w:rPr>
      </w:pPr>
      <w:r>
        <w:rPr>
          <w:b/>
          <w:sz w:val="24"/>
          <w:shd w:fill="F8F8F8" w:color="auto" w:val="clear"/>
        </w:rPr>
        <w:t>American Rabbit Congress. Abstratcs of the 5th American Rabbit Congress. </w:t>
      </w:r>
      <w:r>
        <w:rPr>
          <w:sz w:val="24"/>
          <w:shd w:fill="F8F8F8" w:color="auto" w:val="clear"/>
        </w:rPr>
        <w:t>World Rabbit Science</w:t>
      </w:r>
      <w:r>
        <w:rPr>
          <w:b/>
          <w:sz w:val="24"/>
          <w:shd w:fill="F8F8F8" w:color="auto" w:val="clear"/>
        </w:rPr>
        <w:t>. 2015; 23:1,55-86,.</w:t>
      </w:r>
    </w:p>
    <w:p>
      <w:pPr>
        <w:pStyle w:val="BodyText"/>
        <w:spacing w:before="5"/>
        <w:rPr>
          <w:b/>
          <w:sz w:val="25"/>
        </w:rPr>
      </w:pPr>
    </w:p>
    <w:p>
      <w:pPr>
        <w:spacing w:line="276" w:lineRule="auto" w:before="1"/>
        <w:ind w:left="291" w:right="251" w:firstLine="0"/>
        <w:jc w:val="center"/>
        <w:rPr>
          <w:b/>
          <w:sz w:val="24"/>
        </w:rPr>
      </w:pPr>
      <w:r>
        <w:rPr>
          <w:b/>
          <w:i/>
          <w:sz w:val="24"/>
        </w:rPr>
        <w:t>Staphylococcus aureus </w:t>
      </w:r>
      <w:r>
        <w:rPr>
          <w:b/>
          <w:sz w:val="24"/>
        </w:rPr>
        <w:t>CONTAMINATION EVALUATION IN RABBIT CARCASSES (</w:t>
      </w:r>
      <w:r>
        <w:rPr>
          <w:b/>
          <w:i/>
          <w:sz w:val="24"/>
        </w:rPr>
        <w:t>Oryctolagus cuniculus</w:t>
      </w:r>
      <w:r>
        <w:rPr>
          <w:b/>
          <w:sz w:val="24"/>
        </w:rPr>
        <w:t>) THROUGH WASHING AND SUPERFICIAL SAMPLING</w:t>
      </w:r>
    </w:p>
    <w:p>
      <w:pPr>
        <w:spacing w:line="276" w:lineRule="auto" w:before="201"/>
        <w:ind w:left="291" w:right="248" w:firstLine="0"/>
        <w:jc w:val="center"/>
        <w:rPr>
          <w:rFonts w:ascii="Calibri" w:hAnsi="Calibri"/>
          <w:sz w:val="22"/>
        </w:rPr>
      </w:pPr>
      <w:r>
        <w:rPr>
          <w:rFonts w:ascii="Calibri" w:hAnsi="Calibri"/>
          <w:sz w:val="22"/>
        </w:rPr>
        <w:t>Rodríguez-Correa J.L.*, Velázquez-Ordóñez V.† , Valladares-Carranza B. † , Talavera-Rojas M.*, ZamoraEspinosa J.L.† , Alonso-Fresán M.U. † , Díaz González-Borja A.E. † , García-Gama A.M.*</w:t>
      </w:r>
    </w:p>
    <w:p>
      <w:pPr>
        <w:spacing w:line="276" w:lineRule="auto" w:before="0"/>
        <w:ind w:left="195" w:right="154" w:firstLine="0"/>
        <w:jc w:val="center"/>
        <w:rPr>
          <w:rFonts w:ascii="Calibri" w:hAnsi="Calibri"/>
          <w:sz w:val="22"/>
        </w:rPr>
      </w:pPr>
      <w:r>
        <w:rPr>
          <w:rFonts w:ascii="Calibri" w:hAnsi="Calibri"/>
          <w:sz w:val="22"/>
        </w:rPr>
        <w:t>*Programa de Ciencias Agropecuarias y Recursos Naturales – UAEM. Área salud animal. Centro de Investigación y Estudios Avanzados en Salud Animal. Km 15.5, carretera TolucaAtlacomulco, Estado de México. † CIESA. Facultad de Medicina Veterinaria y Zootecnia. Universidad Autónoma del Estado de México. Cuerpo Académico en Salud Animal (UAEMCA-3 Salud animal). </w:t>
      </w:r>
      <w:hyperlink r:id="rId49">
        <w:r>
          <w:rPr>
            <w:rFonts w:ascii="Calibri" w:hAnsi="Calibri"/>
            <w:color w:val="0000FF"/>
            <w:sz w:val="22"/>
            <w:u w:val="single" w:color="0000FF"/>
          </w:rPr>
          <w:t>vvo@uaemex.mx</w:t>
        </w:r>
      </w:hyperlink>
    </w:p>
    <w:p>
      <w:pPr>
        <w:pStyle w:val="BodyText"/>
        <w:spacing w:before="7"/>
        <w:rPr>
          <w:rFonts w:ascii="Calibri"/>
          <w:sz w:val="10"/>
        </w:rPr>
      </w:pPr>
    </w:p>
    <w:p>
      <w:pPr>
        <w:pStyle w:val="BodyText"/>
        <w:spacing w:line="360" w:lineRule="auto" w:before="69"/>
        <w:ind w:left="152" w:right="103" w:firstLine="67"/>
        <w:jc w:val="both"/>
      </w:pPr>
      <w:r>
        <w:rPr/>
        <w:t>Staphylococcus</w:t>
      </w:r>
      <w:r>
        <w:rPr>
          <w:spacing w:val="-15"/>
        </w:rPr>
        <w:t> </w:t>
      </w:r>
      <w:r>
        <w:rPr/>
        <w:t>aureus</w:t>
      </w:r>
      <w:r>
        <w:rPr>
          <w:spacing w:val="-15"/>
        </w:rPr>
        <w:t> </w:t>
      </w:r>
      <w:r>
        <w:rPr/>
        <w:t>is</w:t>
      </w:r>
      <w:r>
        <w:rPr>
          <w:spacing w:val="-13"/>
        </w:rPr>
        <w:t> </w:t>
      </w:r>
      <w:r>
        <w:rPr/>
        <w:t>widely</w:t>
      </w:r>
      <w:r>
        <w:rPr>
          <w:spacing w:val="-18"/>
        </w:rPr>
        <w:t> </w:t>
      </w:r>
      <w:r>
        <w:rPr/>
        <w:t>distributed</w:t>
      </w:r>
      <w:r>
        <w:rPr>
          <w:spacing w:val="-14"/>
        </w:rPr>
        <w:t> </w:t>
      </w:r>
      <w:r>
        <w:rPr/>
        <w:t>in</w:t>
      </w:r>
      <w:r>
        <w:rPr>
          <w:spacing w:val="-14"/>
        </w:rPr>
        <w:t> </w:t>
      </w:r>
      <w:r>
        <w:rPr/>
        <w:t>animal</w:t>
      </w:r>
      <w:r>
        <w:rPr>
          <w:spacing w:val="-15"/>
        </w:rPr>
        <w:t> </w:t>
      </w:r>
      <w:r>
        <w:rPr/>
        <w:t>populations</w:t>
      </w:r>
      <w:r>
        <w:rPr>
          <w:spacing w:val="-15"/>
        </w:rPr>
        <w:t> </w:t>
      </w:r>
      <w:r>
        <w:rPr/>
        <w:t>intended</w:t>
      </w:r>
      <w:r>
        <w:rPr>
          <w:spacing w:val="-17"/>
        </w:rPr>
        <w:t> </w:t>
      </w:r>
      <w:r>
        <w:rPr/>
        <w:t>for</w:t>
      </w:r>
      <w:r>
        <w:rPr>
          <w:spacing w:val="-16"/>
        </w:rPr>
        <w:t> </w:t>
      </w:r>
      <w:r>
        <w:rPr/>
        <w:t>meat production.</w:t>
      </w:r>
      <w:r>
        <w:rPr>
          <w:spacing w:val="-14"/>
        </w:rPr>
        <w:t> </w:t>
      </w:r>
      <w:r>
        <w:rPr/>
        <w:t>It</w:t>
      </w:r>
      <w:r>
        <w:rPr>
          <w:spacing w:val="-14"/>
        </w:rPr>
        <w:t> </w:t>
      </w:r>
      <w:r>
        <w:rPr/>
        <w:t>is</w:t>
      </w:r>
      <w:r>
        <w:rPr>
          <w:spacing w:val="-15"/>
        </w:rPr>
        <w:t> </w:t>
      </w:r>
      <w:r>
        <w:rPr/>
        <w:t>an</w:t>
      </w:r>
      <w:r>
        <w:rPr>
          <w:spacing w:val="-17"/>
        </w:rPr>
        <w:t> </w:t>
      </w:r>
      <w:r>
        <w:rPr/>
        <w:t>opportunistic</w:t>
      </w:r>
      <w:r>
        <w:rPr>
          <w:spacing w:val="-15"/>
        </w:rPr>
        <w:t> </w:t>
      </w:r>
      <w:r>
        <w:rPr/>
        <w:t>pathogen,</w:t>
      </w:r>
      <w:r>
        <w:rPr>
          <w:spacing w:val="-14"/>
        </w:rPr>
        <w:t> </w:t>
      </w:r>
      <w:r>
        <w:rPr/>
        <w:t>which</w:t>
      </w:r>
      <w:r>
        <w:rPr>
          <w:spacing w:val="-14"/>
        </w:rPr>
        <w:t> </w:t>
      </w:r>
      <w:r>
        <w:rPr/>
        <w:t>causes</w:t>
      </w:r>
      <w:r>
        <w:rPr>
          <w:spacing w:val="-17"/>
        </w:rPr>
        <w:t> </w:t>
      </w:r>
      <w:r>
        <w:rPr/>
        <w:t>multiple</w:t>
      </w:r>
      <w:r>
        <w:rPr>
          <w:spacing w:val="-14"/>
        </w:rPr>
        <w:t> </w:t>
      </w:r>
      <w:r>
        <w:rPr/>
        <w:t>skin</w:t>
      </w:r>
      <w:r>
        <w:rPr>
          <w:spacing w:val="-14"/>
        </w:rPr>
        <w:t> </w:t>
      </w:r>
      <w:r>
        <w:rPr/>
        <w:t>infections</w:t>
      </w:r>
      <w:r>
        <w:rPr>
          <w:spacing w:val="-15"/>
        </w:rPr>
        <w:t> </w:t>
      </w:r>
      <w:r>
        <w:rPr/>
        <w:t>and septicaemia in animals and humans through food and interspecies contact. In this study, 2 methods were compared to estimate S. aureus microbial load in rabbit carcasses. Sampling was undertaken in the slaughter area of a family production farm in Toluca Valley. Three samples with 3 repetitions were tested by one of the following</w:t>
      </w:r>
      <w:r>
        <w:rPr>
          <w:spacing w:val="-15"/>
        </w:rPr>
        <w:t> </w:t>
      </w:r>
      <w:r>
        <w:rPr/>
        <w:t>methods:</w:t>
      </w:r>
      <w:r>
        <w:rPr>
          <w:spacing w:val="-13"/>
        </w:rPr>
        <w:t> </w:t>
      </w:r>
      <w:r>
        <w:rPr/>
        <w:t>in</w:t>
      </w:r>
      <w:r>
        <w:rPr>
          <w:spacing w:val="-16"/>
        </w:rPr>
        <w:t> </w:t>
      </w:r>
      <w:r>
        <w:rPr/>
        <w:t>method</w:t>
      </w:r>
      <w:r>
        <w:rPr>
          <w:spacing w:val="-16"/>
        </w:rPr>
        <w:t> </w:t>
      </w:r>
      <w:r>
        <w:rPr/>
        <w:t>A</w:t>
      </w:r>
      <w:r>
        <w:rPr>
          <w:spacing w:val="-13"/>
        </w:rPr>
        <w:t> </w:t>
      </w:r>
      <w:r>
        <w:rPr/>
        <w:t>(MA)</w:t>
      </w:r>
      <w:r>
        <w:rPr>
          <w:spacing w:val="-15"/>
        </w:rPr>
        <w:t> </w:t>
      </w:r>
      <w:r>
        <w:rPr/>
        <w:t>an</w:t>
      </w:r>
      <w:r>
        <w:rPr>
          <w:spacing w:val="-13"/>
        </w:rPr>
        <w:t> </w:t>
      </w:r>
      <w:r>
        <w:rPr/>
        <w:t>area</w:t>
      </w:r>
      <w:r>
        <w:rPr>
          <w:spacing w:val="-15"/>
        </w:rPr>
        <w:t> </w:t>
      </w:r>
      <w:r>
        <w:rPr/>
        <w:t>of</w:t>
      </w:r>
      <w:r>
        <w:rPr>
          <w:spacing w:val="-11"/>
        </w:rPr>
        <w:t> </w:t>
      </w:r>
      <w:r>
        <w:rPr/>
        <w:t>2.5×2.5</w:t>
      </w:r>
      <w:r>
        <w:rPr>
          <w:spacing w:val="-8"/>
        </w:rPr>
        <w:t> </w:t>
      </w:r>
      <w:r>
        <w:rPr/>
        <w:t>cm</w:t>
      </w:r>
      <w:r>
        <w:rPr>
          <w:spacing w:val="-13"/>
        </w:rPr>
        <w:t> </w:t>
      </w:r>
      <w:r>
        <w:rPr/>
        <w:t>was</w:t>
      </w:r>
      <w:r>
        <w:rPr>
          <w:spacing w:val="-14"/>
        </w:rPr>
        <w:t> </w:t>
      </w:r>
      <w:r>
        <w:rPr/>
        <w:t>delimited</w:t>
      </w:r>
      <w:r>
        <w:rPr>
          <w:spacing w:val="-13"/>
        </w:rPr>
        <w:t> </w:t>
      </w:r>
      <w:r>
        <w:rPr/>
        <w:t>in</w:t>
      </w:r>
      <w:r>
        <w:rPr>
          <w:spacing w:val="-13"/>
        </w:rPr>
        <w:t> </w:t>
      </w:r>
      <w:r>
        <w:rPr/>
        <w:t>4</w:t>
      </w:r>
      <w:r>
        <w:rPr>
          <w:spacing w:val="-11"/>
        </w:rPr>
        <w:t> </w:t>
      </w:r>
      <w:r>
        <w:rPr/>
        <w:t>zones of the carcass, in which a swab was scrubbed vertically and horizontally. Swabs were</w:t>
      </w:r>
      <w:r>
        <w:rPr>
          <w:spacing w:val="-16"/>
        </w:rPr>
        <w:t> </w:t>
      </w:r>
      <w:r>
        <w:rPr/>
        <w:t>placed</w:t>
      </w:r>
      <w:r>
        <w:rPr>
          <w:spacing w:val="-16"/>
        </w:rPr>
        <w:t> </w:t>
      </w:r>
      <w:r>
        <w:rPr/>
        <w:t>in</w:t>
      </w:r>
      <w:r>
        <w:rPr>
          <w:spacing w:val="-16"/>
        </w:rPr>
        <w:t> </w:t>
      </w:r>
      <w:r>
        <w:rPr/>
        <w:t>10</w:t>
      </w:r>
      <w:r>
        <w:rPr>
          <w:spacing w:val="-17"/>
        </w:rPr>
        <w:t> </w:t>
      </w:r>
      <w:r>
        <w:rPr/>
        <w:t>mL</w:t>
      </w:r>
      <w:r>
        <w:rPr>
          <w:spacing w:val="-18"/>
        </w:rPr>
        <w:t> </w:t>
      </w:r>
      <w:r>
        <w:rPr/>
        <w:t>2%</w:t>
      </w:r>
      <w:r>
        <w:rPr>
          <w:spacing w:val="-16"/>
        </w:rPr>
        <w:t> </w:t>
      </w:r>
      <w:r>
        <w:rPr/>
        <w:t>peptone</w:t>
      </w:r>
      <w:r>
        <w:rPr>
          <w:spacing w:val="-16"/>
        </w:rPr>
        <w:t> </w:t>
      </w:r>
      <w:r>
        <w:rPr/>
        <w:t>water.</w:t>
      </w:r>
      <w:r>
        <w:rPr>
          <w:spacing w:val="-17"/>
        </w:rPr>
        <w:t> </w:t>
      </w:r>
      <w:r>
        <w:rPr/>
        <w:t>In</w:t>
      </w:r>
      <w:r>
        <w:rPr>
          <w:spacing w:val="-15"/>
        </w:rPr>
        <w:t> </w:t>
      </w:r>
      <w:r>
        <w:rPr/>
        <w:t>method</w:t>
      </w:r>
      <w:r>
        <w:rPr>
          <w:spacing w:val="-16"/>
        </w:rPr>
        <w:t> </w:t>
      </w:r>
      <w:r>
        <w:rPr/>
        <w:t>B</w:t>
      </w:r>
      <w:r>
        <w:rPr>
          <w:spacing w:val="-16"/>
        </w:rPr>
        <w:t> </w:t>
      </w:r>
      <w:r>
        <w:rPr/>
        <w:t>(MB),</w:t>
      </w:r>
      <w:r>
        <w:rPr>
          <w:spacing w:val="-17"/>
        </w:rPr>
        <w:t> </w:t>
      </w:r>
      <w:r>
        <w:rPr/>
        <w:t>the</w:t>
      </w:r>
      <w:r>
        <w:rPr>
          <w:spacing w:val="-16"/>
        </w:rPr>
        <w:t> </w:t>
      </w:r>
      <w:r>
        <w:rPr/>
        <w:t>carcass</w:t>
      </w:r>
      <w:r>
        <w:rPr>
          <w:spacing w:val="-16"/>
        </w:rPr>
        <w:t> </w:t>
      </w:r>
      <w:r>
        <w:rPr/>
        <w:t>was</w:t>
      </w:r>
      <w:r>
        <w:rPr>
          <w:spacing w:val="-14"/>
        </w:rPr>
        <w:t> </w:t>
      </w:r>
      <w:r>
        <w:rPr/>
        <w:t>washed in</w:t>
      </w:r>
      <w:r>
        <w:rPr>
          <w:spacing w:val="-6"/>
        </w:rPr>
        <w:t> </w:t>
      </w:r>
      <w:r>
        <w:rPr/>
        <w:t>400</w:t>
      </w:r>
      <w:r>
        <w:rPr>
          <w:spacing w:val="-8"/>
        </w:rPr>
        <w:t> </w:t>
      </w:r>
      <w:r>
        <w:rPr/>
        <w:t>mL</w:t>
      </w:r>
      <w:r>
        <w:rPr>
          <w:spacing w:val="-6"/>
        </w:rPr>
        <w:t> </w:t>
      </w:r>
      <w:r>
        <w:rPr/>
        <w:t>of</w:t>
      </w:r>
      <w:r>
        <w:rPr>
          <w:spacing w:val="-7"/>
        </w:rPr>
        <w:t> </w:t>
      </w:r>
      <w:r>
        <w:rPr/>
        <w:t>peptone</w:t>
      </w:r>
      <w:r>
        <w:rPr>
          <w:spacing w:val="-8"/>
        </w:rPr>
        <w:t> </w:t>
      </w:r>
      <w:r>
        <w:rPr/>
        <w:t>water,</w:t>
      </w:r>
      <w:r>
        <w:rPr>
          <w:spacing w:val="-7"/>
        </w:rPr>
        <w:t> </w:t>
      </w:r>
      <w:r>
        <w:rPr/>
        <w:t>from</w:t>
      </w:r>
      <w:r>
        <w:rPr>
          <w:spacing w:val="-5"/>
        </w:rPr>
        <w:t> </w:t>
      </w:r>
      <w:r>
        <w:rPr/>
        <w:t>which</w:t>
      </w:r>
      <w:r>
        <w:rPr>
          <w:spacing w:val="-6"/>
        </w:rPr>
        <w:t> </w:t>
      </w:r>
      <w:r>
        <w:rPr/>
        <w:t>30</w:t>
      </w:r>
      <w:r>
        <w:rPr>
          <w:spacing w:val="-2"/>
        </w:rPr>
        <w:t> </w:t>
      </w:r>
      <w:r>
        <w:rPr/>
        <w:t>mL</w:t>
      </w:r>
      <w:r>
        <w:rPr>
          <w:spacing w:val="-6"/>
        </w:rPr>
        <w:t> </w:t>
      </w:r>
      <w:r>
        <w:rPr/>
        <w:t>were</w:t>
      </w:r>
      <w:r>
        <w:rPr>
          <w:spacing w:val="-7"/>
        </w:rPr>
        <w:t> </w:t>
      </w:r>
      <w:r>
        <w:rPr/>
        <w:t>taken.</w:t>
      </w:r>
      <w:r>
        <w:rPr>
          <w:spacing w:val="-6"/>
        </w:rPr>
        <w:t> </w:t>
      </w:r>
      <w:r>
        <w:rPr/>
        <w:t>Baird</w:t>
      </w:r>
      <w:r>
        <w:rPr>
          <w:spacing w:val="-8"/>
        </w:rPr>
        <w:t> </w:t>
      </w:r>
      <w:r>
        <w:rPr/>
        <w:t>Parker</w:t>
      </w:r>
      <w:r>
        <w:rPr>
          <w:spacing w:val="-7"/>
        </w:rPr>
        <w:t> </w:t>
      </w:r>
      <w:r>
        <w:rPr/>
        <w:t>agar</w:t>
      </w:r>
      <w:r>
        <w:rPr>
          <w:spacing w:val="-7"/>
        </w:rPr>
        <w:t> </w:t>
      </w:r>
      <w:r>
        <w:rPr/>
        <w:t>plates were inoculated and placed at 37°C for 48 h to determine S. aureus microbial load in colony forming units (CFU). Results for MA were 4.8×10-4 CFU/cm2 and MB 5.0×10-4 CFU/mL (P&gt;0.05). There was no statistical difference within methods to estimate</w:t>
      </w:r>
      <w:r>
        <w:rPr>
          <w:spacing w:val="-15"/>
        </w:rPr>
        <w:t> </w:t>
      </w:r>
      <w:r>
        <w:rPr/>
        <w:t>carcass</w:t>
      </w:r>
      <w:r>
        <w:rPr>
          <w:spacing w:val="-16"/>
        </w:rPr>
        <w:t> </w:t>
      </w:r>
      <w:r>
        <w:rPr/>
        <w:t>microbial</w:t>
      </w:r>
      <w:r>
        <w:rPr>
          <w:spacing w:val="-14"/>
        </w:rPr>
        <w:t> </w:t>
      </w:r>
      <w:r>
        <w:rPr/>
        <w:t>load,</w:t>
      </w:r>
      <w:r>
        <w:rPr>
          <w:spacing w:val="-16"/>
        </w:rPr>
        <w:t> </w:t>
      </w:r>
      <w:r>
        <w:rPr/>
        <w:t>therefore</w:t>
      </w:r>
      <w:r>
        <w:rPr>
          <w:spacing w:val="-16"/>
        </w:rPr>
        <w:t> </w:t>
      </w:r>
      <w:r>
        <w:rPr/>
        <w:t>suggesting</w:t>
      </w:r>
      <w:r>
        <w:rPr>
          <w:spacing w:val="-15"/>
        </w:rPr>
        <w:t> </w:t>
      </w:r>
      <w:r>
        <w:rPr/>
        <w:t>the</w:t>
      </w:r>
      <w:r>
        <w:rPr>
          <w:spacing w:val="-16"/>
        </w:rPr>
        <w:t> </w:t>
      </w:r>
      <w:r>
        <w:rPr/>
        <w:t>use</w:t>
      </w:r>
      <w:r>
        <w:rPr>
          <w:spacing w:val="-15"/>
        </w:rPr>
        <w:t> </w:t>
      </w:r>
      <w:r>
        <w:rPr/>
        <w:t>of</w:t>
      </w:r>
      <w:r>
        <w:rPr>
          <w:spacing w:val="-13"/>
        </w:rPr>
        <w:t> </w:t>
      </w:r>
      <w:r>
        <w:rPr/>
        <w:t>superficial</w:t>
      </w:r>
      <w:r>
        <w:rPr>
          <w:spacing w:val="-14"/>
        </w:rPr>
        <w:t> </w:t>
      </w:r>
      <w:r>
        <w:rPr/>
        <w:t>sampling due to</w:t>
      </w:r>
      <w:r>
        <w:rPr>
          <w:spacing w:val="-7"/>
        </w:rPr>
        <w:t> </w:t>
      </w:r>
      <w:r>
        <w:rPr/>
        <w:t>accessibility.</w:t>
      </w:r>
    </w:p>
    <w:p>
      <w:pPr>
        <w:spacing w:after="0" w:line="360" w:lineRule="auto"/>
        <w:jc w:val="both"/>
        <w:sectPr>
          <w:pgSz w:w="12240" w:h="15840"/>
          <w:pgMar w:header="0" w:footer="1326" w:top="1500" w:bottom="1520" w:left="1720" w:right="1420"/>
        </w:sectPr>
      </w:pPr>
    </w:p>
    <w:p>
      <w:pPr>
        <w:pStyle w:val="BodyText"/>
        <w:spacing w:before="2"/>
        <w:rPr>
          <w:sz w:val="21"/>
        </w:rPr>
      </w:pPr>
    </w:p>
    <w:p>
      <w:pPr>
        <w:spacing w:line="276" w:lineRule="auto" w:before="69"/>
        <w:ind w:left="291" w:right="251" w:firstLine="0"/>
        <w:jc w:val="center"/>
        <w:rPr>
          <w:b/>
          <w:sz w:val="24"/>
        </w:rPr>
      </w:pPr>
      <w:r>
        <w:rPr>
          <w:b/>
          <w:sz w:val="24"/>
        </w:rPr>
        <w:t>WEIGHT GAIN EVALUATION OF RABBITS (Oryctolagus cuniculus) MEANT FOR HUMAN CONSUMPTION USING TWO GROWTH PROMOTERS</w:t>
      </w:r>
    </w:p>
    <w:p>
      <w:pPr>
        <w:pStyle w:val="BodyText"/>
        <w:spacing w:line="276" w:lineRule="auto" w:before="202"/>
        <w:ind w:left="214" w:right="168" w:hanging="4"/>
        <w:jc w:val="center"/>
      </w:pPr>
      <w:r>
        <w:rPr/>
        <w:t>Rodríguez-Correa J.L.† , Valladares-Carranza B.*, Velázquez-Ordóñez V.*, Alonso-Fresán M.U., De Jesús A.P.*, Domínguez-Vara I.A. ‡ , Mariezcurrena- Berasain M.A. ‡ *Facultad de Medicina Veterinaria y Zootecnia. Universidad Autónoma del Estado de México Cuerpo Académico en Salud Animal (UAEM-CA- 3 Salud Animal). † Programa de Ciencias Agropecuarias y Recursos Naturales – UAEM. Área Salud Animal. Centro de Investigación y Estudios Avanzados en Salud Animal. Km 15.5, carretera Toluca-Atlacomulco, Estado de México. ‡ Departamento de producción animal FMVZUAEM. Cuerpo Académico en Producción Animal. </w:t>
      </w:r>
      <w:hyperlink r:id="rId55">
        <w:r>
          <w:rPr>
            <w:color w:val="0000FF"/>
            <w:u w:val="single" w:color="0000FF"/>
          </w:rPr>
          <w:t>benvac2004@yahoo.com.mx</w:t>
        </w:r>
      </w:hyperlink>
    </w:p>
    <w:p>
      <w:pPr>
        <w:pStyle w:val="BodyText"/>
        <w:rPr>
          <w:sz w:val="20"/>
        </w:rPr>
      </w:pPr>
    </w:p>
    <w:p>
      <w:pPr>
        <w:pStyle w:val="BodyText"/>
        <w:rPr>
          <w:sz w:val="20"/>
        </w:rPr>
      </w:pPr>
    </w:p>
    <w:p>
      <w:pPr>
        <w:pStyle w:val="BodyText"/>
        <w:spacing w:before="4"/>
        <w:rPr>
          <w:sz w:val="16"/>
        </w:rPr>
      </w:pPr>
    </w:p>
    <w:p>
      <w:pPr>
        <w:pStyle w:val="BodyText"/>
        <w:spacing w:line="360" w:lineRule="auto" w:before="70"/>
        <w:ind w:left="152" w:right="103"/>
        <w:jc w:val="both"/>
      </w:pPr>
      <w:r>
        <w:rPr/>
        <w:t>Increasing demand for food has encouraged the use of additives in animal meat production.</w:t>
      </w:r>
      <w:r>
        <w:rPr>
          <w:spacing w:val="-13"/>
        </w:rPr>
        <w:t> </w:t>
      </w:r>
      <w:r>
        <w:rPr/>
        <w:t>In</w:t>
      </w:r>
      <w:r>
        <w:rPr>
          <w:spacing w:val="-13"/>
        </w:rPr>
        <w:t> </w:t>
      </w:r>
      <w:r>
        <w:rPr/>
        <w:t>animals</w:t>
      </w:r>
      <w:r>
        <w:rPr>
          <w:spacing w:val="-14"/>
        </w:rPr>
        <w:t> </w:t>
      </w:r>
      <w:r>
        <w:rPr/>
        <w:t>meant</w:t>
      </w:r>
      <w:r>
        <w:rPr>
          <w:spacing w:val="-16"/>
        </w:rPr>
        <w:t> </w:t>
      </w:r>
      <w:r>
        <w:rPr/>
        <w:t>for</w:t>
      </w:r>
      <w:r>
        <w:rPr>
          <w:spacing w:val="-17"/>
        </w:rPr>
        <w:t> </w:t>
      </w:r>
      <w:r>
        <w:rPr/>
        <w:t>feeding,</w:t>
      </w:r>
      <w:r>
        <w:rPr>
          <w:spacing w:val="-13"/>
        </w:rPr>
        <w:t> </w:t>
      </w:r>
      <w:r>
        <w:rPr/>
        <w:t>growth</w:t>
      </w:r>
      <w:r>
        <w:rPr>
          <w:spacing w:val="-13"/>
        </w:rPr>
        <w:t> </w:t>
      </w:r>
      <w:r>
        <w:rPr/>
        <w:t>promoters</w:t>
      </w:r>
      <w:r>
        <w:rPr>
          <w:spacing w:val="-15"/>
        </w:rPr>
        <w:t> </w:t>
      </w:r>
      <w:r>
        <w:rPr/>
        <w:t>not</w:t>
      </w:r>
      <w:r>
        <w:rPr>
          <w:spacing w:val="-16"/>
        </w:rPr>
        <w:t> </w:t>
      </w:r>
      <w:r>
        <w:rPr/>
        <w:t>only</w:t>
      </w:r>
      <w:r>
        <w:rPr>
          <w:spacing w:val="-17"/>
        </w:rPr>
        <w:t> </w:t>
      </w:r>
      <w:r>
        <w:rPr/>
        <w:t>contribute</w:t>
      </w:r>
      <w:r>
        <w:rPr>
          <w:spacing w:val="-13"/>
        </w:rPr>
        <w:t> </w:t>
      </w:r>
      <w:r>
        <w:rPr/>
        <w:t>to</w:t>
      </w:r>
      <w:r>
        <w:rPr>
          <w:spacing w:val="-15"/>
        </w:rPr>
        <w:t> </w:t>
      </w:r>
      <w:r>
        <w:rPr/>
        <w:t>the increase in total weight gain but also to food conversion. Nandrolone laurate (NL) and</w:t>
      </w:r>
      <w:r>
        <w:rPr>
          <w:spacing w:val="-17"/>
        </w:rPr>
        <w:t> </w:t>
      </w:r>
      <w:r>
        <w:rPr/>
        <w:t>clenbuterol</w:t>
      </w:r>
      <w:r>
        <w:rPr>
          <w:spacing w:val="-18"/>
        </w:rPr>
        <w:t> </w:t>
      </w:r>
      <w:r>
        <w:rPr/>
        <w:t>clorhydrate</w:t>
      </w:r>
      <w:r>
        <w:rPr>
          <w:spacing w:val="-16"/>
        </w:rPr>
        <w:t> </w:t>
      </w:r>
      <w:r>
        <w:rPr/>
        <w:t>(CBL),</w:t>
      </w:r>
      <w:r>
        <w:rPr>
          <w:spacing w:val="-18"/>
        </w:rPr>
        <w:t> </w:t>
      </w:r>
      <w:r>
        <w:rPr/>
        <w:t>which</w:t>
      </w:r>
      <w:r>
        <w:rPr>
          <w:spacing w:val="-17"/>
        </w:rPr>
        <w:t> </w:t>
      </w:r>
      <w:r>
        <w:rPr/>
        <w:t>have</w:t>
      </w:r>
      <w:r>
        <w:rPr>
          <w:spacing w:val="-17"/>
        </w:rPr>
        <w:t> </w:t>
      </w:r>
      <w:r>
        <w:rPr/>
        <w:t>been</w:t>
      </w:r>
      <w:r>
        <w:rPr>
          <w:spacing w:val="-17"/>
        </w:rPr>
        <w:t> </w:t>
      </w:r>
      <w:r>
        <w:rPr/>
        <w:t>used</w:t>
      </w:r>
      <w:r>
        <w:rPr>
          <w:spacing w:val="-17"/>
        </w:rPr>
        <w:t> </w:t>
      </w:r>
      <w:r>
        <w:rPr/>
        <w:t>in</w:t>
      </w:r>
      <w:r>
        <w:rPr>
          <w:spacing w:val="-17"/>
        </w:rPr>
        <w:t> </w:t>
      </w:r>
      <w:r>
        <w:rPr/>
        <w:t>animal</w:t>
      </w:r>
      <w:r>
        <w:rPr>
          <w:spacing w:val="-18"/>
        </w:rPr>
        <w:t> </w:t>
      </w:r>
      <w:r>
        <w:rPr/>
        <w:t>meat</w:t>
      </w:r>
      <w:r>
        <w:rPr>
          <w:spacing w:val="-17"/>
        </w:rPr>
        <w:t> </w:t>
      </w:r>
      <w:r>
        <w:rPr/>
        <w:t>production, are subject to health and safety restrictions. The aim of the study was to evaluate the effect of NL in productive parameters of rabbits meant for human consumption, in which total weight gain (TWG) and food conversion (FC) were measured. Fifteen hybrid, male and female rabbits were used,  divided  into  2  treatment  groups  (n=5  each): T1  (0.20  μg/kg NL intramuscularly (IM) administered every  20  d);  T2 (16 μg/kg/d CBL orally administered in drinking water); and a control group</w:t>
      </w:r>
      <w:r>
        <w:rPr>
          <w:spacing w:val="-33"/>
        </w:rPr>
        <w:t> </w:t>
      </w:r>
      <w:r>
        <w:rPr/>
        <w:t>(CG) which received 1 mL IM saline solution as placebo every 15 d. Rabbits were observed for 30 d, in which food and water was given ad libitum. Results were analysed using variance analysis (P&lt;0.05). TWG and FC according to the treatments</w:t>
      </w:r>
      <w:r>
        <w:rPr>
          <w:spacing w:val="-4"/>
        </w:rPr>
        <w:t> </w:t>
      </w:r>
      <w:r>
        <w:rPr/>
        <w:t>were:</w:t>
      </w:r>
      <w:r>
        <w:rPr>
          <w:spacing w:val="-6"/>
        </w:rPr>
        <w:t> </w:t>
      </w:r>
      <w:r>
        <w:rPr/>
        <w:t>T1</w:t>
      </w:r>
      <w:r>
        <w:rPr>
          <w:spacing w:val="-4"/>
        </w:rPr>
        <w:t> </w:t>
      </w:r>
      <w:r>
        <w:rPr/>
        <w:t>1.535</w:t>
      </w:r>
      <w:r>
        <w:rPr>
          <w:spacing w:val="-5"/>
        </w:rPr>
        <w:t> </w:t>
      </w:r>
      <w:r>
        <w:rPr/>
        <w:t>kg</w:t>
      </w:r>
      <w:r>
        <w:rPr>
          <w:spacing w:val="-6"/>
        </w:rPr>
        <w:t> </w:t>
      </w:r>
      <w:r>
        <w:rPr/>
        <w:t>and</w:t>
      </w:r>
      <w:r>
        <w:rPr>
          <w:spacing w:val="-4"/>
        </w:rPr>
        <w:t> </w:t>
      </w:r>
      <w:r>
        <w:rPr/>
        <w:t>9.94;</w:t>
      </w:r>
      <w:r>
        <w:rPr>
          <w:spacing w:val="-6"/>
        </w:rPr>
        <w:t> </w:t>
      </w:r>
      <w:r>
        <w:rPr/>
        <w:t>T2</w:t>
      </w:r>
      <w:r>
        <w:rPr>
          <w:spacing w:val="-5"/>
        </w:rPr>
        <w:t> </w:t>
      </w:r>
      <w:r>
        <w:rPr/>
        <w:t>1.335</w:t>
      </w:r>
      <w:r>
        <w:rPr>
          <w:spacing w:val="-5"/>
        </w:rPr>
        <w:t> </w:t>
      </w:r>
      <w:r>
        <w:rPr/>
        <w:t>kg</w:t>
      </w:r>
      <w:r>
        <w:rPr>
          <w:spacing w:val="-6"/>
        </w:rPr>
        <w:t> </w:t>
      </w:r>
      <w:r>
        <w:rPr/>
        <w:t>and</w:t>
      </w:r>
      <w:r>
        <w:rPr>
          <w:spacing w:val="-4"/>
        </w:rPr>
        <w:t> </w:t>
      </w:r>
      <w:r>
        <w:rPr/>
        <w:t>10.72</w:t>
      </w:r>
      <w:r>
        <w:rPr>
          <w:spacing w:val="-5"/>
        </w:rPr>
        <w:t> </w:t>
      </w:r>
      <w:r>
        <w:rPr/>
        <w:t>and</w:t>
      </w:r>
      <w:r>
        <w:rPr>
          <w:spacing w:val="-8"/>
        </w:rPr>
        <w:t> </w:t>
      </w:r>
      <w:r>
        <w:rPr/>
        <w:t>for</w:t>
      </w:r>
      <w:r>
        <w:rPr>
          <w:spacing w:val="-5"/>
        </w:rPr>
        <w:t> </w:t>
      </w:r>
      <w:r>
        <w:rPr/>
        <w:t>CG</w:t>
      </w:r>
      <w:r>
        <w:rPr>
          <w:spacing w:val="-4"/>
        </w:rPr>
        <w:t> </w:t>
      </w:r>
      <w:r>
        <w:rPr/>
        <w:t>1.188</w:t>
      </w:r>
      <w:r>
        <w:rPr>
          <w:spacing w:val="-2"/>
        </w:rPr>
        <w:t> </w:t>
      </w:r>
      <w:r>
        <w:rPr/>
        <w:t>kg and</w:t>
      </w:r>
      <w:r>
        <w:rPr>
          <w:spacing w:val="-8"/>
        </w:rPr>
        <w:t> </w:t>
      </w:r>
      <w:r>
        <w:rPr/>
        <w:t>13.40</w:t>
      </w:r>
      <w:r>
        <w:rPr>
          <w:spacing w:val="-4"/>
        </w:rPr>
        <w:t> </w:t>
      </w:r>
      <w:r>
        <w:rPr/>
        <w:t>respectively.</w:t>
      </w:r>
      <w:r>
        <w:rPr>
          <w:spacing w:val="-7"/>
        </w:rPr>
        <w:t> </w:t>
      </w:r>
      <w:r>
        <w:rPr/>
        <w:t>The</w:t>
      </w:r>
      <w:r>
        <w:rPr>
          <w:spacing w:val="-6"/>
        </w:rPr>
        <w:t> </w:t>
      </w:r>
      <w:r>
        <w:rPr/>
        <w:t>use</w:t>
      </w:r>
      <w:r>
        <w:rPr>
          <w:spacing w:val="-6"/>
        </w:rPr>
        <w:t> </w:t>
      </w:r>
      <w:r>
        <w:rPr/>
        <w:t>of</w:t>
      </w:r>
      <w:r>
        <w:rPr>
          <w:spacing w:val="-4"/>
        </w:rPr>
        <w:t> </w:t>
      </w:r>
      <w:r>
        <w:rPr/>
        <w:t>NL</w:t>
      </w:r>
      <w:r>
        <w:rPr>
          <w:spacing w:val="-9"/>
        </w:rPr>
        <w:t> </w:t>
      </w:r>
      <w:r>
        <w:rPr/>
        <w:t>and</w:t>
      </w:r>
      <w:r>
        <w:rPr>
          <w:spacing w:val="-6"/>
        </w:rPr>
        <w:t> </w:t>
      </w:r>
      <w:r>
        <w:rPr/>
        <w:t>LDN</w:t>
      </w:r>
      <w:r>
        <w:rPr>
          <w:spacing w:val="-7"/>
        </w:rPr>
        <w:t> </w:t>
      </w:r>
      <w:r>
        <w:rPr/>
        <w:t>as</w:t>
      </w:r>
      <w:r>
        <w:rPr>
          <w:spacing w:val="-7"/>
        </w:rPr>
        <w:t> </w:t>
      </w:r>
      <w:r>
        <w:rPr/>
        <w:t>promoters</w:t>
      </w:r>
      <w:r>
        <w:rPr>
          <w:spacing w:val="-7"/>
        </w:rPr>
        <w:t> </w:t>
      </w:r>
      <w:r>
        <w:rPr/>
        <w:t>showed</w:t>
      </w:r>
      <w:r>
        <w:rPr>
          <w:spacing w:val="-6"/>
        </w:rPr>
        <w:t> </w:t>
      </w:r>
      <w:r>
        <w:rPr/>
        <w:t>a</w:t>
      </w:r>
      <w:r>
        <w:rPr>
          <w:spacing w:val="-6"/>
        </w:rPr>
        <w:t> </w:t>
      </w:r>
      <w:r>
        <w:rPr/>
        <w:t>slight</w:t>
      </w:r>
      <w:r>
        <w:rPr>
          <w:spacing w:val="-6"/>
        </w:rPr>
        <w:t> </w:t>
      </w:r>
      <w:r>
        <w:rPr/>
        <w:t>effect on daily and total weight gain, with contraindication for rabbit production, affecting not only profitability but also food</w:t>
      </w:r>
      <w:r>
        <w:rPr>
          <w:spacing w:val="-15"/>
        </w:rPr>
        <w:t> </w:t>
      </w:r>
      <w:r>
        <w:rPr/>
        <w:t>safety.</w:t>
      </w:r>
    </w:p>
    <w:p>
      <w:pPr>
        <w:spacing w:after="0" w:line="360" w:lineRule="auto"/>
        <w:jc w:val="both"/>
        <w:sectPr>
          <w:pgSz w:w="12240" w:h="15840"/>
          <w:pgMar w:header="0" w:footer="1326" w:top="1500" w:bottom="1580" w:left="1720" w:right="1420"/>
        </w:sectPr>
      </w:pPr>
    </w:p>
    <w:p>
      <w:pPr>
        <w:pStyle w:val="BodyText"/>
        <w:spacing w:before="2"/>
        <w:rPr>
          <w:sz w:val="21"/>
        </w:rPr>
      </w:pPr>
    </w:p>
    <w:p>
      <w:pPr>
        <w:spacing w:line="276" w:lineRule="auto" w:before="69"/>
        <w:ind w:left="291" w:right="244" w:firstLine="0"/>
        <w:jc w:val="center"/>
        <w:rPr>
          <w:b/>
          <w:sz w:val="24"/>
        </w:rPr>
      </w:pPr>
      <w:r>
        <w:rPr>
          <w:b/>
          <w:sz w:val="24"/>
        </w:rPr>
        <w:t>METICILLIN RESISTANT Staphylococcus aureus (MRSA) IDENTIFIED IN A RABBIT FARM</w:t>
      </w:r>
    </w:p>
    <w:p>
      <w:pPr>
        <w:spacing w:line="273" w:lineRule="auto" w:before="201"/>
        <w:ind w:left="320" w:right="279" w:firstLine="0"/>
        <w:jc w:val="center"/>
        <w:rPr>
          <w:rFonts w:ascii="Calibri" w:hAnsi="Calibri"/>
          <w:sz w:val="22"/>
        </w:rPr>
      </w:pPr>
      <w:r>
        <w:rPr>
          <w:rFonts w:ascii="Calibri" w:hAnsi="Calibri"/>
          <w:sz w:val="22"/>
        </w:rPr>
        <w:t>Velázquez-Ordóñez V.*, García-Gama A. † , Juárez-Trujillo J.C.*, Rodríguez-Correa J.L.† , Valladares-Carranza B.*, Alonso-Fresán M.U.*, Talavera-Rojas M.*, Pérez-Sotelo L.* *Centro de</w:t>
      </w:r>
    </w:p>
    <w:p>
      <w:pPr>
        <w:spacing w:before="3"/>
        <w:ind w:left="137" w:right="100" w:firstLine="0"/>
        <w:jc w:val="center"/>
        <w:rPr>
          <w:rFonts w:ascii="Calibri" w:hAnsi="Calibri"/>
          <w:sz w:val="22"/>
        </w:rPr>
      </w:pPr>
      <w:r>
        <w:rPr>
          <w:rFonts w:ascii="Calibri" w:hAnsi="Calibri"/>
          <w:sz w:val="22"/>
        </w:rPr>
        <w:t>Investigación y Estudios Avanzados en Salud Animal. Facultad de Medicina Veterinaria y Zootecnia.</w:t>
      </w:r>
    </w:p>
    <w:p>
      <w:pPr>
        <w:spacing w:line="273" w:lineRule="auto" w:before="41"/>
        <w:ind w:left="452" w:right="406" w:firstLine="0"/>
        <w:jc w:val="center"/>
        <w:rPr>
          <w:rFonts w:ascii="Calibri" w:hAnsi="Calibri"/>
          <w:sz w:val="22"/>
        </w:rPr>
      </w:pPr>
      <w:r>
        <w:rPr>
          <w:rFonts w:ascii="Calibri" w:hAnsi="Calibri"/>
          <w:sz w:val="22"/>
        </w:rPr>
        <w:t>Universidad Autónoma del Estado de México Cuerpo Académico en Salud Animal (UAEM-CA 3  Salud Animal). Km 15.5  carretera Toluca-Atlacomulco, Estado de México. † Programa de</w:t>
      </w:r>
    </w:p>
    <w:p>
      <w:pPr>
        <w:spacing w:line="276" w:lineRule="auto" w:before="3"/>
        <w:ind w:left="195" w:right="151" w:firstLine="0"/>
        <w:jc w:val="center"/>
        <w:rPr>
          <w:rFonts w:ascii="Calibri" w:hAnsi="Calibri"/>
          <w:sz w:val="22"/>
        </w:rPr>
      </w:pPr>
      <w:r>
        <w:rPr>
          <w:rFonts w:ascii="Calibri" w:hAnsi="Calibri"/>
          <w:sz w:val="22"/>
        </w:rPr>
        <w:t>Ciencias Agropecuarias y Recursos Naturales – UAEM. Área Salud Animal. Centro de Investigación y Estudios Avanzados en Salud Animal. Km 15.5 carretera TolucaAtlacomulco, Estado de México. </w:t>
      </w:r>
      <w:hyperlink r:id="rId49">
        <w:r>
          <w:rPr>
            <w:rFonts w:ascii="Calibri" w:hAnsi="Calibri"/>
            <w:color w:val="0000FF"/>
            <w:sz w:val="22"/>
            <w:u w:val="single" w:color="0000FF"/>
          </w:rPr>
          <w:t>vvo@uaemex.mx</w:t>
        </w:r>
      </w:hyperlink>
    </w:p>
    <w:p>
      <w:pPr>
        <w:pStyle w:val="BodyText"/>
        <w:spacing w:before="7"/>
        <w:rPr>
          <w:rFonts w:ascii="Calibri"/>
          <w:sz w:val="10"/>
        </w:rPr>
      </w:pPr>
    </w:p>
    <w:p>
      <w:pPr>
        <w:pStyle w:val="BodyText"/>
        <w:spacing w:line="360" w:lineRule="auto" w:before="69"/>
        <w:ind w:left="152" w:right="104"/>
        <w:jc w:val="both"/>
      </w:pPr>
      <w:r>
        <w:rPr/>
        <w:t>Staphylococcus aureus infection may affect rabbit production economically due to superficial and deep dermal infections, mastitis, pododermatitis </w:t>
      </w:r>
      <w:r>
        <w:rPr>
          <w:spacing w:val="2"/>
        </w:rPr>
        <w:t>and </w:t>
      </w:r>
      <w:r>
        <w:rPr/>
        <w:t>septicaemia. ORSA/MRSA antibiotype represents a potential risk to public health. The aid of this work was to identify ORSA/ MRSA S. aureus antibiotype in a rabbit farm. An ulcerative</w:t>
      </w:r>
      <w:r>
        <w:rPr>
          <w:spacing w:val="-8"/>
        </w:rPr>
        <w:t> </w:t>
      </w:r>
      <w:r>
        <w:rPr/>
        <w:t>dermatitis</w:t>
      </w:r>
      <w:r>
        <w:rPr>
          <w:spacing w:val="-9"/>
        </w:rPr>
        <w:t> </w:t>
      </w:r>
      <w:r>
        <w:rPr/>
        <w:t>case</w:t>
      </w:r>
      <w:r>
        <w:rPr>
          <w:spacing w:val="-8"/>
        </w:rPr>
        <w:t> </w:t>
      </w:r>
      <w:r>
        <w:rPr/>
        <w:t>was</w:t>
      </w:r>
      <w:r>
        <w:rPr>
          <w:spacing w:val="-9"/>
        </w:rPr>
        <w:t> </w:t>
      </w:r>
      <w:r>
        <w:rPr/>
        <w:t>studied,</w:t>
      </w:r>
      <w:r>
        <w:rPr>
          <w:spacing w:val="-11"/>
        </w:rPr>
        <w:t> </w:t>
      </w:r>
      <w:r>
        <w:rPr/>
        <w:t>from</w:t>
      </w:r>
      <w:r>
        <w:rPr>
          <w:spacing w:val="-10"/>
        </w:rPr>
        <w:t> </w:t>
      </w:r>
      <w:r>
        <w:rPr/>
        <w:t>a</w:t>
      </w:r>
      <w:r>
        <w:rPr>
          <w:spacing w:val="-13"/>
        </w:rPr>
        <w:t> </w:t>
      </w:r>
      <w:r>
        <w:rPr/>
        <w:t>farm</w:t>
      </w:r>
      <w:r>
        <w:rPr>
          <w:spacing w:val="-8"/>
        </w:rPr>
        <w:t> </w:t>
      </w:r>
      <w:r>
        <w:rPr/>
        <w:t>located</w:t>
      </w:r>
      <w:r>
        <w:rPr>
          <w:spacing w:val="-8"/>
        </w:rPr>
        <w:t> </w:t>
      </w:r>
      <w:r>
        <w:rPr/>
        <w:t>in</w:t>
      </w:r>
      <w:r>
        <w:rPr>
          <w:spacing w:val="-13"/>
        </w:rPr>
        <w:t> </w:t>
      </w:r>
      <w:r>
        <w:rPr/>
        <w:t>Toluca</w:t>
      </w:r>
      <w:r>
        <w:rPr>
          <w:spacing w:val="-11"/>
        </w:rPr>
        <w:t> </w:t>
      </w:r>
      <w:r>
        <w:rPr/>
        <w:t>Valley</w:t>
      </w:r>
      <w:r>
        <w:rPr>
          <w:spacing w:val="-12"/>
        </w:rPr>
        <w:t> </w:t>
      </w:r>
      <w:r>
        <w:rPr/>
        <w:t>in</w:t>
      </w:r>
      <w:r>
        <w:rPr>
          <w:spacing w:val="-9"/>
        </w:rPr>
        <w:t> </w:t>
      </w:r>
      <w:r>
        <w:rPr/>
        <w:t>which the rabbit population had dermal infections and chronic abscesses. Swabs were taken and a biopsy performed for histopathological examination, after sedation with xylazine - ketamine (0.1 mg/kg/25 mg/kg) and butorfanol (0.4 mg/kg) administered intramuscularly. Mannitol salt agar plates were cultured at 37°C for 24 h. S. aureus was identified using bacteriological routine procedures. Gram stain, catalase and coagulase</w:t>
      </w:r>
      <w:r>
        <w:rPr>
          <w:spacing w:val="-11"/>
        </w:rPr>
        <w:t> </w:t>
      </w:r>
      <w:r>
        <w:rPr/>
        <w:t>tube</w:t>
      </w:r>
      <w:r>
        <w:rPr>
          <w:spacing w:val="-11"/>
        </w:rPr>
        <w:t> </w:t>
      </w:r>
      <w:r>
        <w:rPr/>
        <w:t>tests</w:t>
      </w:r>
      <w:r>
        <w:rPr>
          <w:spacing w:val="-11"/>
        </w:rPr>
        <w:t> </w:t>
      </w:r>
      <w:r>
        <w:rPr/>
        <w:t>using</w:t>
      </w:r>
      <w:r>
        <w:rPr>
          <w:spacing w:val="-13"/>
        </w:rPr>
        <w:t> </w:t>
      </w:r>
      <w:r>
        <w:rPr/>
        <w:t>rabbit</w:t>
      </w:r>
      <w:r>
        <w:rPr>
          <w:spacing w:val="-12"/>
        </w:rPr>
        <w:t> </w:t>
      </w:r>
      <w:r>
        <w:rPr/>
        <w:t>plasma,</w:t>
      </w:r>
      <w:r>
        <w:rPr>
          <w:spacing w:val="-11"/>
        </w:rPr>
        <w:t> </w:t>
      </w:r>
      <w:r>
        <w:rPr/>
        <w:t>Voges</w:t>
      </w:r>
      <w:r>
        <w:rPr>
          <w:spacing w:val="-12"/>
        </w:rPr>
        <w:t> </w:t>
      </w:r>
      <w:r>
        <w:rPr/>
        <w:t>Proskauer,</w:t>
      </w:r>
      <w:r>
        <w:rPr>
          <w:spacing w:val="-12"/>
        </w:rPr>
        <w:t> </w:t>
      </w:r>
      <w:r>
        <w:rPr/>
        <w:t>nitrate</w:t>
      </w:r>
      <w:r>
        <w:rPr>
          <w:spacing w:val="-13"/>
        </w:rPr>
        <w:t> </w:t>
      </w:r>
      <w:r>
        <w:rPr/>
        <w:t>broth,</w:t>
      </w:r>
      <w:r>
        <w:rPr>
          <w:spacing w:val="-11"/>
        </w:rPr>
        <w:t> </w:t>
      </w:r>
      <w:r>
        <w:rPr/>
        <w:t>anaerobic mannitol fermentation and aerobic maltose tests were performed. In vitro tests for sensitivity to β-lactamic antibiotics were evaluated through diffusion method in Mueller-Hinton (MH) agar using amoxicillin/clavulanic acid unidiscs (10/20 mg), which were incubated at 37°C (NaCl 4%) and oxacillin-meticillin unidiscs (1 μg and 6 μg) incubated at 35 and 42°C. Results showed S. aureus in vitro resistance to all antibiotics. Histopathologically, a proliferative granulomatous reaction was observed, with tissue necrosis and capillary neoformation. It is concluded that S. aureus ORSA/MRSA antibiotype was present in the rabbit farm, therefore representing</w:t>
      </w:r>
      <w:r>
        <w:rPr>
          <w:spacing w:val="-18"/>
        </w:rPr>
        <w:t> </w:t>
      </w:r>
      <w:r>
        <w:rPr/>
        <w:t>a</w:t>
      </w:r>
      <w:r>
        <w:rPr>
          <w:spacing w:val="-16"/>
        </w:rPr>
        <w:t> </w:t>
      </w:r>
      <w:r>
        <w:rPr/>
        <w:t>public</w:t>
      </w:r>
      <w:r>
        <w:rPr>
          <w:spacing w:val="-16"/>
        </w:rPr>
        <w:t> </w:t>
      </w:r>
      <w:r>
        <w:rPr/>
        <w:t>health</w:t>
      </w:r>
      <w:r>
        <w:rPr>
          <w:spacing w:val="-16"/>
        </w:rPr>
        <w:t> </w:t>
      </w:r>
      <w:r>
        <w:rPr/>
        <w:t>risk</w:t>
      </w:r>
      <w:r>
        <w:rPr>
          <w:spacing w:val="-16"/>
        </w:rPr>
        <w:t> </w:t>
      </w:r>
      <w:r>
        <w:rPr/>
        <w:t>due</w:t>
      </w:r>
      <w:r>
        <w:rPr>
          <w:spacing w:val="-16"/>
        </w:rPr>
        <w:t> </w:t>
      </w:r>
      <w:r>
        <w:rPr/>
        <w:t>to</w:t>
      </w:r>
      <w:r>
        <w:rPr>
          <w:spacing w:val="-18"/>
        </w:rPr>
        <w:t> </w:t>
      </w:r>
      <w:r>
        <w:rPr/>
        <w:t>the</w:t>
      </w:r>
      <w:r>
        <w:rPr>
          <w:spacing w:val="-18"/>
        </w:rPr>
        <w:t> </w:t>
      </w:r>
      <w:r>
        <w:rPr/>
        <w:t>possibility</w:t>
      </w:r>
      <w:r>
        <w:rPr>
          <w:spacing w:val="-18"/>
        </w:rPr>
        <w:t> </w:t>
      </w:r>
      <w:r>
        <w:rPr/>
        <w:t>of</w:t>
      </w:r>
      <w:r>
        <w:rPr>
          <w:spacing w:val="-14"/>
        </w:rPr>
        <w:t> </w:t>
      </w:r>
      <w:r>
        <w:rPr/>
        <w:t>human</w:t>
      </w:r>
      <w:r>
        <w:rPr>
          <w:spacing w:val="-16"/>
        </w:rPr>
        <w:t> </w:t>
      </w:r>
      <w:r>
        <w:rPr/>
        <w:t>infections</w:t>
      </w:r>
      <w:r>
        <w:rPr>
          <w:spacing w:val="-16"/>
        </w:rPr>
        <w:t> </w:t>
      </w:r>
      <w:r>
        <w:rPr/>
        <w:t>developing from animal</w:t>
      </w:r>
      <w:r>
        <w:rPr>
          <w:spacing w:val="-7"/>
        </w:rPr>
        <w:t> </w:t>
      </w:r>
      <w:r>
        <w:rPr/>
        <w:t>sources.</w:t>
      </w:r>
    </w:p>
    <w:p>
      <w:pPr>
        <w:spacing w:after="0" w:line="360" w:lineRule="auto"/>
        <w:jc w:val="both"/>
        <w:sectPr>
          <w:pgSz w:w="12240" w:h="15840"/>
          <w:pgMar w:header="0" w:footer="1326" w:top="1500" w:bottom="1580" w:left="1720" w:right="1420"/>
        </w:sectPr>
      </w:pPr>
    </w:p>
    <w:p>
      <w:pPr>
        <w:pStyle w:val="BodyText"/>
        <w:spacing w:before="3" w:after="1"/>
        <w:rPr>
          <w:rFonts w:ascii="Times New Roman"/>
          <w:sz w:val="27"/>
        </w:rPr>
      </w:pPr>
    </w:p>
    <w:p>
      <w:pPr>
        <w:pStyle w:val="BodyText"/>
        <w:ind w:left="500"/>
        <w:rPr>
          <w:rFonts w:ascii="Times New Roman"/>
          <w:sz w:val="20"/>
        </w:rPr>
      </w:pPr>
      <w:r>
        <w:rPr>
          <w:rFonts w:ascii="Times New Roman"/>
          <w:sz w:val="20"/>
        </w:rPr>
        <w:drawing>
          <wp:inline distT="0" distB="0" distL="0" distR="0">
            <wp:extent cx="5138233" cy="7427785"/>
            <wp:effectExtent l="0" t="0" r="0" b="0"/>
            <wp:docPr id="13" name="image32.jpeg" descr=""/>
            <wp:cNvGraphicFramePr>
              <a:graphicFrameLocks noChangeAspect="1"/>
            </wp:cNvGraphicFramePr>
            <a:graphic>
              <a:graphicData uri="http://schemas.openxmlformats.org/drawingml/2006/picture">
                <pic:pic>
                  <pic:nvPicPr>
                    <pic:cNvPr id="14" name="image32.jpeg"/>
                    <pic:cNvPicPr/>
                  </pic:nvPicPr>
                  <pic:blipFill>
                    <a:blip r:embed="rId57" cstate="print"/>
                    <a:stretch>
                      <a:fillRect/>
                    </a:stretch>
                  </pic:blipFill>
                  <pic:spPr>
                    <a:xfrm>
                      <a:off x="0" y="0"/>
                      <a:ext cx="5138233" cy="7427785"/>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6"/>
          <w:pgSz w:w="12240" w:h="15840"/>
          <w:pgMar w:footer="1326" w:header="0" w:top="1500" w:bottom="1520" w:left="1720" w:right="142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5455372" cy="7292340"/>
            <wp:effectExtent l="0" t="0" r="0" b="0"/>
            <wp:docPr id="15" name="image33.jpeg" descr=""/>
            <wp:cNvGraphicFramePr>
              <a:graphicFrameLocks noChangeAspect="1"/>
            </wp:cNvGraphicFramePr>
            <a:graphic>
              <a:graphicData uri="http://schemas.openxmlformats.org/drawingml/2006/picture">
                <pic:pic>
                  <pic:nvPicPr>
                    <pic:cNvPr id="16" name="image33.jpeg"/>
                    <pic:cNvPicPr/>
                  </pic:nvPicPr>
                  <pic:blipFill>
                    <a:blip r:embed="rId59" cstate="print"/>
                    <a:stretch>
                      <a:fillRect/>
                    </a:stretch>
                  </pic:blipFill>
                  <pic:spPr>
                    <a:xfrm>
                      <a:off x="0" y="0"/>
                      <a:ext cx="5455372" cy="729234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8"/>
          <w:pgSz w:w="12240" w:h="15840"/>
          <w:pgMar w:footer="1326" w:header="0" w:top="1500" w:bottom="1520" w:left="1720" w:right="1420"/>
          <w:pgNumType w:start="81"/>
        </w:sectPr>
      </w:pPr>
    </w:p>
    <w:p>
      <w:pPr>
        <w:pStyle w:val="BodyText"/>
        <w:spacing w:before="2"/>
        <w:rPr>
          <w:rFonts w:ascii="Times New Roman"/>
          <w:sz w:val="21"/>
        </w:rPr>
      </w:pPr>
    </w:p>
    <w:p>
      <w:pPr>
        <w:spacing w:before="69"/>
        <w:ind w:left="291" w:right="249" w:firstLine="0"/>
        <w:jc w:val="center"/>
        <w:rPr>
          <w:b/>
          <w:sz w:val="24"/>
        </w:rPr>
      </w:pPr>
      <w:bookmarkStart w:name="_bookmark14" w:id="15"/>
      <w:bookmarkEnd w:id="15"/>
      <w:r>
        <w:rPr/>
      </w:r>
      <w:r>
        <w:rPr>
          <w:b/>
          <w:sz w:val="24"/>
        </w:rPr>
        <w:t>DISCUSIÓN</w:t>
      </w:r>
    </w:p>
    <w:p>
      <w:pPr>
        <w:spacing w:before="137"/>
        <w:ind w:left="152" w:right="0" w:firstLine="0"/>
        <w:jc w:val="both"/>
        <w:rPr>
          <w:b/>
          <w:sz w:val="24"/>
        </w:rPr>
      </w:pPr>
      <w:r>
        <w:rPr>
          <w:b/>
          <w:sz w:val="24"/>
        </w:rPr>
        <w:t>Descripción de la cunicultura en el Valle de Toluca</w:t>
      </w:r>
    </w:p>
    <w:p>
      <w:pPr>
        <w:pStyle w:val="BodyText"/>
        <w:spacing w:before="4"/>
        <w:rPr>
          <w:b/>
          <w:sz w:val="29"/>
        </w:rPr>
      </w:pPr>
    </w:p>
    <w:p>
      <w:pPr>
        <w:pStyle w:val="BodyText"/>
        <w:spacing w:line="360" w:lineRule="auto" w:before="1"/>
        <w:ind w:left="152" w:right="105"/>
        <w:jc w:val="both"/>
      </w:pPr>
      <w:r>
        <w:rPr/>
        <w:t>Con base en la encuesta aplicada, del total de unidades de producción cunícola estudiadas</w:t>
      </w:r>
      <w:r>
        <w:rPr>
          <w:spacing w:val="-7"/>
        </w:rPr>
        <w:t> </w:t>
      </w:r>
      <w:r>
        <w:rPr/>
        <w:t>en</w:t>
      </w:r>
      <w:r>
        <w:rPr>
          <w:spacing w:val="-6"/>
        </w:rPr>
        <w:t> </w:t>
      </w:r>
      <w:r>
        <w:rPr/>
        <w:t>el</w:t>
      </w:r>
      <w:r>
        <w:rPr>
          <w:spacing w:val="-7"/>
        </w:rPr>
        <w:t> </w:t>
      </w:r>
      <w:r>
        <w:rPr/>
        <w:t>Valle</w:t>
      </w:r>
      <w:r>
        <w:rPr>
          <w:spacing w:val="-8"/>
        </w:rPr>
        <w:t> </w:t>
      </w:r>
      <w:r>
        <w:rPr/>
        <w:t>de</w:t>
      </w:r>
      <w:r>
        <w:rPr>
          <w:spacing w:val="-6"/>
        </w:rPr>
        <w:t> </w:t>
      </w:r>
      <w:r>
        <w:rPr/>
        <w:t>Toluca,</w:t>
      </w:r>
      <w:r>
        <w:rPr>
          <w:spacing w:val="-6"/>
        </w:rPr>
        <w:t> </w:t>
      </w:r>
      <w:r>
        <w:rPr/>
        <w:t>63.3</w:t>
      </w:r>
      <w:r>
        <w:rPr>
          <w:spacing w:val="-6"/>
        </w:rPr>
        <w:t> </w:t>
      </w:r>
      <w:r>
        <w:rPr/>
        <w:t>%</w:t>
      </w:r>
      <w:r>
        <w:rPr>
          <w:spacing w:val="-7"/>
        </w:rPr>
        <w:t> </w:t>
      </w:r>
      <w:r>
        <w:rPr/>
        <w:t>correspondieron</w:t>
      </w:r>
      <w:r>
        <w:rPr>
          <w:spacing w:val="-6"/>
        </w:rPr>
        <w:t> </w:t>
      </w:r>
      <w:r>
        <w:rPr/>
        <w:t>a</w:t>
      </w:r>
      <w:r>
        <w:rPr>
          <w:spacing w:val="-6"/>
        </w:rPr>
        <w:t> </w:t>
      </w:r>
      <w:r>
        <w:rPr/>
        <w:t>granjas</w:t>
      </w:r>
      <w:r>
        <w:rPr>
          <w:spacing w:val="-6"/>
        </w:rPr>
        <w:t> </w:t>
      </w:r>
      <w:r>
        <w:rPr/>
        <w:t>del</w:t>
      </w:r>
      <w:r>
        <w:rPr>
          <w:spacing w:val="-7"/>
        </w:rPr>
        <w:t> </w:t>
      </w:r>
      <w:r>
        <w:rPr/>
        <w:t>tipo</w:t>
      </w:r>
      <w:r>
        <w:rPr>
          <w:spacing w:val="-8"/>
        </w:rPr>
        <w:t> </w:t>
      </w:r>
      <w:r>
        <w:rPr/>
        <w:t>familiar (traspatio)</w:t>
      </w:r>
      <w:r>
        <w:rPr>
          <w:spacing w:val="-7"/>
        </w:rPr>
        <w:t> </w:t>
      </w:r>
      <w:r>
        <w:rPr/>
        <w:t>y</w:t>
      </w:r>
      <w:r>
        <w:rPr>
          <w:spacing w:val="-9"/>
        </w:rPr>
        <w:t> </w:t>
      </w:r>
      <w:r>
        <w:rPr/>
        <w:t>36.7</w:t>
      </w:r>
      <w:r>
        <w:rPr>
          <w:spacing w:val="-8"/>
        </w:rPr>
        <w:t> </w:t>
      </w:r>
      <w:r>
        <w:rPr/>
        <w:t>%</w:t>
      </w:r>
      <w:r>
        <w:rPr>
          <w:spacing w:val="-7"/>
        </w:rPr>
        <w:t> </w:t>
      </w:r>
      <w:r>
        <w:rPr/>
        <w:t>al</w:t>
      </w:r>
      <w:r>
        <w:rPr>
          <w:spacing w:val="-10"/>
        </w:rPr>
        <w:t> </w:t>
      </w:r>
      <w:r>
        <w:rPr/>
        <w:t>granjas</w:t>
      </w:r>
      <w:r>
        <w:rPr>
          <w:spacing w:val="-6"/>
        </w:rPr>
        <w:t> </w:t>
      </w:r>
      <w:r>
        <w:rPr/>
        <w:t>de</w:t>
      </w:r>
      <w:r>
        <w:rPr>
          <w:spacing w:val="-6"/>
        </w:rPr>
        <w:t> </w:t>
      </w:r>
      <w:r>
        <w:rPr/>
        <w:t>tipo</w:t>
      </w:r>
      <w:r>
        <w:rPr>
          <w:spacing w:val="-6"/>
        </w:rPr>
        <w:t> </w:t>
      </w:r>
      <w:r>
        <w:rPr/>
        <w:t>semi</w:t>
      </w:r>
      <w:r>
        <w:rPr>
          <w:spacing w:val="-7"/>
        </w:rPr>
        <w:t> </w:t>
      </w:r>
      <w:r>
        <w:rPr/>
        <w:t>tecnificado.</w:t>
      </w:r>
      <w:r>
        <w:rPr>
          <w:spacing w:val="-6"/>
        </w:rPr>
        <w:t> </w:t>
      </w:r>
      <w:r>
        <w:rPr/>
        <w:t>Las</w:t>
      </w:r>
      <w:r>
        <w:rPr>
          <w:spacing w:val="-9"/>
        </w:rPr>
        <w:t> </w:t>
      </w:r>
      <w:r>
        <w:rPr/>
        <w:t>unidades</w:t>
      </w:r>
      <w:r>
        <w:rPr>
          <w:spacing w:val="-7"/>
        </w:rPr>
        <w:t> </w:t>
      </w:r>
      <w:r>
        <w:rPr/>
        <w:t>de</w:t>
      </w:r>
      <w:r>
        <w:rPr>
          <w:spacing w:val="-6"/>
        </w:rPr>
        <w:t> </w:t>
      </w:r>
      <w:r>
        <w:rPr/>
        <w:t>produccion cuentan con algún tipo de barda perimetral, instalaciones para alojamiento de los conejos en jaulas de cría y engorda, módulos de gestación y lactancia para una producción de ciclo completo con un esquema de alimentación comercial, esporádicamente adicionan heno de avena. El tamaño de unidad de produccion de reproducción vario de 2 a 40 hembras, con una media de 18.1 vientres; los promedios de gazapos nacidos fue 9 ± 2 y de gazapos destetados de 8 ± 2. El periodo de lactancia de los gazapos fue de 30 a 35 días hasta el destete. El</w:t>
      </w:r>
      <w:r>
        <w:rPr>
          <w:spacing w:val="-39"/>
        </w:rPr>
        <w:t> </w:t>
      </w:r>
      <w:r>
        <w:rPr/>
        <w:t>tiempo de engorda varía en función del sistema de producción que cada granja maneja y del peso en canal en que se comercializa; sin embargo, la edad de sacrificio varía de 60 a 120 días y el peso en canal va de 1.050 a 1.700 kg. Las principales razas identificadas en producción fueron la Nueva Zelanda 20 %, California 17 %, Chinchilla 15 %, Rex 5 % e Híbridos</w:t>
      </w:r>
      <w:r>
        <w:rPr>
          <w:spacing w:val="-11"/>
        </w:rPr>
        <w:t> </w:t>
      </w:r>
      <w:r>
        <w:rPr/>
        <w:t>43%.</w:t>
      </w:r>
    </w:p>
    <w:p>
      <w:pPr>
        <w:pStyle w:val="BodyText"/>
        <w:spacing w:line="360" w:lineRule="auto" w:before="204"/>
        <w:ind w:left="152" w:right="109"/>
        <w:jc w:val="both"/>
      </w:pPr>
      <w:r>
        <w:rPr/>
        <w:t>En el cuadro 1 se muestra la información correspondiente al peso vivo al sacrificio de</w:t>
      </w:r>
      <w:r>
        <w:rPr>
          <w:spacing w:val="-8"/>
        </w:rPr>
        <w:t> </w:t>
      </w:r>
      <w:r>
        <w:rPr/>
        <w:t>los</w:t>
      </w:r>
      <w:r>
        <w:rPr>
          <w:spacing w:val="-9"/>
        </w:rPr>
        <w:t> </w:t>
      </w:r>
      <w:r>
        <w:rPr/>
        <w:t>conejos,</w:t>
      </w:r>
      <w:r>
        <w:rPr>
          <w:spacing w:val="-8"/>
        </w:rPr>
        <w:t> </w:t>
      </w:r>
      <w:r>
        <w:rPr/>
        <w:t>y</w:t>
      </w:r>
      <w:r>
        <w:rPr>
          <w:spacing w:val="-12"/>
        </w:rPr>
        <w:t> </w:t>
      </w:r>
      <w:r>
        <w:rPr/>
        <w:t>del</w:t>
      </w:r>
      <w:r>
        <w:rPr>
          <w:spacing w:val="-10"/>
        </w:rPr>
        <w:t> </w:t>
      </w:r>
      <w:r>
        <w:rPr/>
        <w:t>peso</w:t>
      </w:r>
      <w:r>
        <w:rPr>
          <w:spacing w:val="-8"/>
        </w:rPr>
        <w:t> </w:t>
      </w:r>
      <w:r>
        <w:rPr/>
        <w:t>y</w:t>
      </w:r>
      <w:r>
        <w:rPr>
          <w:spacing w:val="-12"/>
        </w:rPr>
        <w:t> </w:t>
      </w:r>
      <w:r>
        <w:rPr/>
        <w:t>rendimiento</w:t>
      </w:r>
      <w:r>
        <w:rPr>
          <w:spacing w:val="-8"/>
        </w:rPr>
        <w:t> </w:t>
      </w:r>
      <w:r>
        <w:rPr/>
        <w:t>de</w:t>
      </w:r>
      <w:r>
        <w:rPr>
          <w:spacing w:val="-8"/>
        </w:rPr>
        <w:t> </w:t>
      </w:r>
      <w:r>
        <w:rPr/>
        <w:t>la</w:t>
      </w:r>
      <w:r>
        <w:rPr>
          <w:spacing w:val="-11"/>
        </w:rPr>
        <w:t> </w:t>
      </w:r>
      <w:r>
        <w:rPr/>
        <w:t>canal</w:t>
      </w:r>
      <w:r>
        <w:rPr>
          <w:spacing w:val="-10"/>
        </w:rPr>
        <w:t> </w:t>
      </w:r>
      <w:r>
        <w:rPr/>
        <w:t>en</w:t>
      </w:r>
      <w:r>
        <w:rPr>
          <w:spacing w:val="-8"/>
        </w:rPr>
        <w:t> </w:t>
      </w:r>
      <w:r>
        <w:rPr/>
        <w:t>caliente,</w:t>
      </w:r>
      <w:r>
        <w:rPr>
          <w:spacing w:val="-9"/>
        </w:rPr>
        <w:t> </w:t>
      </w:r>
      <w:r>
        <w:rPr/>
        <w:t>en</w:t>
      </w:r>
      <w:r>
        <w:rPr>
          <w:spacing w:val="-8"/>
        </w:rPr>
        <w:t> </w:t>
      </w:r>
      <w:r>
        <w:rPr/>
        <w:t>las</w:t>
      </w:r>
      <w:r>
        <w:rPr>
          <w:spacing w:val="-9"/>
        </w:rPr>
        <w:t> </w:t>
      </w:r>
      <w:r>
        <w:rPr/>
        <w:t>dos</w:t>
      </w:r>
      <w:r>
        <w:rPr>
          <w:spacing w:val="-9"/>
        </w:rPr>
        <w:t> </w:t>
      </w:r>
      <w:r>
        <w:rPr/>
        <w:t>regiones económicas y los siete municipios del valle de Toluca, México comprendidos en el estudio (p&gt;0.05); se observó una tendencia significativa (p&lt;0.10) en el rendimiento de la canal caliente entre municipios, destaca el bajo valor del rendimiento (&lt; a </w:t>
      </w:r>
      <w:r>
        <w:rPr>
          <w:spacing w:val="6"/>
        </w:rPr>
        <w:t> </w:t>
      </w:r>
      <w:r>
        <w:rPr/>
        <w:t>53</w:t>
      </w:r>
    </w:p>
    <w:p>
      <w:pPr>
        <w:pStyle w:val="BodyText"/>
        <w:spacing w:line="360" w:lineRule="auto" w:before="3"/>
        <w:ind w:left="152" w:right="111"/>
        <w:jc w:val="both"/>
      </w:pPr>
      <w:r>
        <w:rPr/>
        <w:t>%). de la canales de los conejos del municipio de Ocoyoacac, México; también se observa</w:t>
      </w:r>
      <w:r>
        <w:rPr>
          <w:spacing w:val="-13"/>
        </w:rPr>
        <w:t> </w:t>
      </w:r>
      <w:r>
        <w:rPr/>
        <w:t>que</w:t>
      </w:r>
      <w:r>
        <w:rPr>
          <w:spacing w:val="-13"/>
        </w:rPr>
        <w:t> </w:t>
      </w:r>
      <w:r>
        <w:rPr/>
        <w:t>tuvo</w:t>
      </w:r>
      <w:r>
        <w:rPr>
          <w:spacing w:val="-13"/>
        </w:rPr>
        <w:t> </w:t>
      </w:r>
      <w:r>
        <w:rPr/>
        <w:t>el</w:t>
      </w:r>
      <w:r>
        <w:rPr>
          <w:spacing w:val="-14"/>
        </w:rPr>
        <w:t> </w:t>
      </w:r>
      <w:r>
        <w:rPr/>
        <w:t>menor</w:t>
      </w:r>
      <w:r>
        <w:rPr>
          <w:spacing w:val="-15"/>
        </w:rPr>
        <w:t> </w:t>
      </w:r>
      <w:r>
        <w:rPr/>
        <w:t>valor</w:t>
      </w:r>
      <w:r>
        <w:rPr>
          <w:spacing w:val="-14"/>
        </w:rPr>
        <w:t> </w:t>
      </w:r>
      <w:r>
        <w:rPr/>
        <w:t>de</w:t>
      </w:r>
      <w:r>
        <w:rPr>
          <w:spacing w:val="-13"/>
        </w:rPr>
        <w:t> </w:t>
      </w:r>
      <w:r>
        <w:rPr/>
        <w:t>peso</w:t>
      </w:r>
      <w:r>
        <w:rPr>
          <w:spacing w:val="-13"/>
        </w:rPr>
        <w:t> </w:t>
      </w:r>
      <w:r>
        <w:rPr/>
        <w:t>vivo</w:t>
      </w:r>
      <w:r>
        <w:rPr>
          <w:spacing w:val="-11"/>
        </w:rPr>
        <w:t> </w:t>
      </w:r>
      <w:r>
        <w:rPr/>
        <w:t>al</w:t>
      </w:r>
      <w:r>
        <w:rPr>
          <w:spacing w:val="-14"/>
        </w:rPr>
        <w:t> </w:t>
      </w:r>
      <w:r>
        <w:rPr/>
        <w:t>momento</w:t>
      </w:r>
      <w:r>
        <w:rPr>
          <w:spacing w:val="-13"/>
        </w:rPr>
        <w:t> </w:t>
      </w:r>
      <w:r>
        <w:rPr/>
        <w:t>del</w:t>
      </w:r>
      <w:r>
        <w:rPr>
          <w:spacing w:val="-14"/>
        </w:rPr>
        <w:t> </w:t>
      </w:r>
      <w:r>
        <w:rPr/>
        <w:t>sacrificio.</w:t>
      </w:r>
      <w:r>
        <w:rPr>
          <w:spacing w:val="-13"/>
        </w:rPr>
        <w:t> </w:t>
      </w:r>
      <w:r>
        <w:rPr/>
        <w:t>En</w:t>
      </w:r>
      <w:r>
        <w:rPr>
          <w:spacing w:val="-13"/>
        </w:rPr>
        <w:t> </w:t>
      </w:r>
      <w:r>
        <w:rPr/>
        <w:t>el</w:t>
      </w:r>
      <w:r>
        <w:rPr>
          <w:spacing w:val="-14"/>
        </w:rPr>
        <w:t> </w:t>
      </w:r>
      <w:r>
        <w:rPr/>
        <w:t>mismo cuadro</w:t>
      </w:r>
      <w:r>
        <w:rPr>
          <w:spacing w:val="-16"/>
        </w:rPr>
        <w:t> </w:t>
      </w:r>
      <w:r>
        <w:rPr/>
        <w:t>se</w:t>
      </w:r>
      <w:r>
        <w:rPr>
          <w:spacing w:val="-15"/>
        </w:rPr>
        <w:t> </w:t>
      </w:r>
      <w:r>
        <w:rPr/>
        <w:t>aprecia</w:t>
      </w:r>
      <w:r>
        <w:rPr>
          <w:spacing w:val="-12"/>
        </w:rPr>
        <w:t> </w:t>
      </w:r>
      <w:r>
        <w:rPr/>
        <w:t>que</w:t>
      </w:r>
      <w:r>
        <w:rPr>
          <w:spacing w:val="-16"/>
        </w:rPr>
        <w:t> </w:t>
      </w:r>
      <w:r>
        <w:rPr/>
        <w:t>en</w:t>
      </w:r>
      <w:r>
        <w:rPr>
          <w:spacing w:val="-16"/>
        </w:rPr>
        <w:t> </w:t>
      </w:r>
      <w:r>
        <w:rPr/>
        <w:t>ambas</w:t>
      </w:r>
      <w:r>
        <w:rPr>
          <w:spacing w:val="-16"/>
        </w:rPr>
        <w:t> </w:t>
      </w:r>
      <w:r>
        <w:rPr/>
        <w:t>regiones</w:t>
      </w:r>
      <w:r>
        <w:rPr>
          <w:spacing w:val="-16"/>
        </w:rPr>
        <w:t> </w:t>
      </w:r>
      <w:r>
        <w:rPr/>
        <w:t>el</w:t>
      </w:r>
      <w:r>
        <w:rPr>
          <w:spacing w:val="-19"/>
        </w:rPr>
        <w:t> </w:t>
      </w:r>
      <w:r>
        <w:rPr/>
        <w:t>PVS</w:t>
      </w:r>
      <w:r>
        <w:rPr>
          <w:spacing w:val="-16"/>
        </w:rPr>
        <w:t> </w:t>
      </w:r>
      <w:r>
        <w:rPr/>
        <w:t>es</w:t>
      </w:r>
      <w:r>
        <w:rPr>
          <w:spacing w:val="-14"/>
        </w:rPr>
        <w:t> </w:t>
      </w:r>
      <w:r>
        <w:rPr/>
        <w:t>cercano</w:t>
      </w:r>
      <w:r>
        <w:rPr>
          <w:spacing w:val="-16"/>
        </w:rPr>
        <w:t> </w:t>
      </w:r>
      <w:r>
        <w:rPr/>
        <w:t>a</w:t>
      </w:r>
      <w:r>
        <w:rPr>
          <w:spacing w:val="-13"/>
        </w:rPr>
        <w:t> </w:t>
      </w:r>
      <w:r>
        <w:rPr/>
        <w:t>los</w:t>
      </w:r>
      <w:r>
        <w:rPr>
          <w:spacing w:val="-16"/>
        </w:rPr>
        <w:t> </w:t>
      </w:r>
      <w:r>
        <w:rPr/>
        <w:t>2.5</w:t>
      </w:r>
      <w:r>
        <w:rPr>
          <w:spacing w:val="-13"/>
        </w:rPr>
        <w:t> </w:t>
      </w:r>
      <w:r>
        <w:rPr/>
        <w:t>kg,</w:t>
      </w:r>
      <w:r>
        <w:rPr>
          <w:spacing w:val="-16"/>
        </w:rPr>
        <w:t> </w:t>
      </w:r>
      <w:r>
        <w:rPr/>
        <w:t>pero</w:t>
      </w:r>
      <w:r>
        <w:rPr>
          <w:spacing w:val="-16"/>
        </w:rPr>
        <w:t> </w:t>
      </w:r>
      <w:r>
        <w:rPr/>
        <w:t>entre municipios</w:t>
      </w:r>
      <w:r>
        <w:rPr>
          <w:spacing w:val="-4"/>
        </w:rPr>
        <w:t> </w:t>
      </w:r>
      <w:r>
        <w:rPr/>
        <w:t>la</w:t>
      </w:r>
      <w:r>
        <w:rPr>
          <w:spacing w:val="-4"/>
        </w:rPr>
        <w:t> </w:t>
      </w:r>
      <w:r>
        <w:rPr/>
        <w:t>variación</w:t>
      </w:r>
      <w:r>
        <w:rPr>
          <w:spacing w:val="-5"/>
        </w:rPr>
        <w:t> </w:t>
      </w:r>
      <w:r>
        <w:rPr/>
        <w:t>es</w:t>
      </w:r>
      <w:r>
        <w:rPr>
          <w:spacing w:val="-7"/>
        </w:rPr>
        <w:t> </w:t>
      </w:r>
      <w:r>
        <w:rPr/>
        <w:t>mayor,</w:t>
      </w:r>
      <w:r>
        <w:rPr>
          <w:spacing w:val="-5"/>
        </w:rPr>
        <w:t> </w:t>
      </w:r>
      <w:r>
        <w:rPr/>
        <w:t>esta</w:t>
      </w:r>
      <w:r>
        <w:rPr>
          <w:spacing w:val="-5"/>
        </w:rPr>
        <w:t> </w:t>
      </w:r>
      <w:r>
        <w:rPr/>
        <w:t>va</w:t>
      </w:r>
      <w:r>
        <w:rPr>
          <w:spacing w:val="-4"/>
        </w:rPr>
        <w:t> </w:t>
      </w:r>
      <w:r>
        <w:rPr/>
        <w:t>de</w:t>
      </w:r>
      <w:r>
        <w:rPr>
          <w:spacing w:val="-6"/>
        </w:rPr>
        <w:t> </w:t>
      </w:r>
      <w:r>
        <w:rPr/>
        <w:t>2.236</w:t>
      </w:r>
      <w:r>
        <w:rPr>
          <w:spacing w:val="-4"/>
        </w:rPr>
        <w:t> </w:t>
      </w:r>
      <w:r>
        <w:rPr/>
        <w:t>a</w:t>
      </w:r>
      <w:r>
        <w:rPr>
          <w:spacing w:val="-6"/>
        </w:rPr>
        <w:t> </w:t>
      </w:r>
      <w:r>
        <w:rPr/>
        <w:t>2.700</w:t>
      </w:r>
      <w:r>
        <w:rPr>
          <w:spacing w:val="-6"/>
        </w:rPr>
        <w:t> </w:t>
      </w:r>
      <w:r>
        <w:rPr/>
        <w:t>kg,</w:t>
      </w:r>
      <w:r>
        <w:rPr>
          <w:spacing w:val="-4"/>
        </w:rPr>
        <w:t> </w:t>
      </w:r>
      <w:r>
        <w:rPr/>
        <w:t>observándose</w:t>
      </w:r>
      <w:r>
        <w:rPr>
          <w:spacing w:val="-4"/>
        </w:rPr>
        <w:t> </w:t>
      </w:r>
      <w:r>
        <w:rPr/>
        <w:t>que</w:t>
      </w:r>
      <w:r>
        <w:rPr>
          <w:spacing w:val="-8"/>
        </w:rPr>
        <w:t> </w:t>
      </w:r>
      <w:r>
        <w:rPr/>
        <w:t>a mayor PVS mayores valores de PCC y</w:t>
      </w:r>
      <w:r>
        <w:rPr>
          <w:spacing w:val="-16"/>
        </w:rPr>
        <w:t> </w:t>
      </w:r>
      <w:r>
        <w:rPr/>
        <w:t>rendimiento.</w:t>
      </w:r>
    </w:p>
    <w:p>
      <w:pPr>
        <w:spacing w:after="0" w:line="360" w:lineRule="auto"/>
        <w:jc w:val="both"/>
        <w:sectPr>
          <w:pgSz w:w="12240" w:h="15840"/>
          <w:pgMar w:header="0" w:footer="1326" w:top="1500" w:bottom="1520" w:left="1720" w:right="1420"/>
        </w:sectPr>
      </w:pPr>
    </w:p>
    <w:p>
      <w:pPr>
        <w:pStyle w:val="BodyText"/>
        <w:spacing w:before="2"/>
        <w:rPr>
          <w:sz w:val="21"/>
        </w:rPr>
      </w:pPr>
    </w:p>
    <w:p>
      <w:pPr>
        <w:pStyle w:val="BodyText"/>
        <w:spacing w:line="360" w:lineRule="auto" w:before="69"/>
        <w:ind w:left="152" w:right="105"/>
        <w:jc w:val="both"/>
      </w:pPr>
      <w:r>
        <w:rPr/>
        <w:t>En</w:t>
      </w:r>
      <w:r>
        <w:rPr>
          <w:spacing w:val="-8"/>
        </w:rPr>
        <w:t> </w:t>
      </w:r>
      <w:r>
        <w:rPr/>
        <w:t>el</w:t>
      </w:r>
      <w:r>
        <w:rPr>
          <w:spacing w:val="-9"/>
        </w:rPr>
        <w:t> </w:t>
      </w:r>
      <w:r>
        <w:rPr/>
        <w:t>cuadro</w:t>
      </w:r>
      <w:r>
        <w:rPr>
          <w:spacing w:val="-11"/>
        </w:rPr>
        <w:t> </w:t>
      </w:r>
      <w:r>
        <w:rPr/>
        <w:t>2</w:t>
      </w:r>
      <w:r>
        <w:rPr>
          <w:spacing w:val="-8"/>
        </w:rPr>
        <w:t> </w:t>
      </w:r>
      <w:r>
        <w:rPr/>
        <w:t>se</w:t>
      </w:r>
      <w:r>
        <w:rPr>
          <w:spacing w:val="-8"/>
        </w:rPr>
        <w:t> </w:t>
      </w:r>
      <w:r>
        <w:rPr/>
        <w:t>indica</w:t>
      </w:r>
      <w:r>
        <w:rPr>
          <w:spacing w:val="-8"/>
        </w:rPr>
        <w:t> </w:t>
      </w:r>
      <w:r>
        <w:rPr/>
        <w:t>la</w:t>
      </w:r>
      <w:r>
        <w:rPr>
          <w:spacing w:val="-9"/>
        </w:rPr>
        <w:t> </w:t>
      </w:r>
      <w:r>
        <w:rPr/>
        <w:t>información</w:t>
      </w:r>
      <w:r>
        <w:rPr>
          <w:spacing w:val="-8"/>
        </w:rPr>
        <w:t> </w:t>
      </w:r>
      <w:r>
        <w:rPr/>
        <w:t>respecto</w:t>
      </w:r>
      <w:r>
        <w:rPr>
          <w:spacing w:val="-8"/>
        </w:rPr>
        <w:t> </w:t>
      </w:r>
      <w:r>
        <w:rPr/>
        <w:t>a</w:t>
      </w:r>
      <w:r>
        <w:rPr>
          <w:spacing w:val="-8"/>
        </w:rPr>
        <w:t> </w:t>
      </w:r>
      <w:r>
        <w:rPr/>
        <w:t>la</w:t>
      </w:r>
      <w:r>
        <w:rPr>
          <w:spacing w:val="-11"/>
        </w:rPr>
        <w:t> </w:t>
      </w:r>
      <w:r>
        <w:rPr/>
        <w:t>clasificación</w:t>
      </w:r>
      <w:r>
        <w:rPr>
          <w:spacing w:val="-8"/>
        </w:rPr>
        <w:t> </w:t>
      </w:r>
      <w:r>
        <w:rPr/>
        <w:t>de</w:t>
      </w:r>
      <w:r>
        <w:rPr>
          <w:spacing w:val="-11"/>
        </w:rPr>
        <w:t> </w:t>
      </w:r>
      <w:r>
        <w:rPr/>
        <w:t>la</w:t>
      </w:r>
      <w:r>
        <w:rPr>
          <w:spacing w:val="-9"/>
        </w:rPr>
        <w:t> </w:t>
      </w:r>
      <w:r>
        <w:rPr/>
        <w:t>canal</w:t>
      </w:r>
      <w:r>
        <w:rPr>
          <w:spacing w:val="-10"/>
        </w:rPr>
        <w:t> </w:t>
      </w:r>
      <w:r>
        <w:rPr/>
        <w:t>de</w:t>
      </w:r>
      <w:r>
        <w:rPr>
          <w:spacing w:val="-11"/>
        </w:rPr>
        <w:t> </w:t>
      </w:r>
      <w:r>
        <w:rPr/>
        <w:t>210 conejos en las dos regiones económicas y los siete municipios del valle de Toluca, México que comprendió el presente trabajo. Respecto a la región geográfica, se observan diferencias porcentuales importantes; en la región Lerma el 66 % de las canales tuvo la clasificación México extra, mientras que en la región Toluca esta categoría</w:t>
      </w:r>
      <w:r>
        <w:rPr>
          <w:spacing w:val="-11"/>
        </w:rPr>
        <w:t> </w:t>
      </w:r>
      <w:r>
        <w:rPr/>
        <w:t>sólo</w:t>
      </w:r>
      <w:r>
        <w:rPr>
          <w:spacing w:val="-11"/>
        </w:rPr>
        <w:t> </w:t>
      </w:r>
      <w:r>
        <w:rPr/>
        <w:t>la</w:t>
      </w:r>
      <w:r>
        <w:rPr>
          <w:spacing w:val="-13"/>
        </w:rPr>
        <w:t> </w:t>
      </w:r>
      <w:r>
        <w:rPr/>
        <w:t>obtuvo</w:t>
      </w:r>
      <w:r>
        <w:rPr>
          <w:spacing w:val="-11"/>
        </w:rPr>
        <w:t> </w:t>
      </w:r>
      <w:r>
        <w:rPr/>
        <w:t>el</w:t>
      </w:r>
      <w:r>
        <w:rPr>
          <w:spacing w:val="-14"/>
        </w:rPr>
        <w:t> </w:t>
      </w:r>
      <w:r>
        <w:rPr/>
        <w:t>33</w:t>
      </w:r>
      <w:r>
        <w:rPr>
          <w:spacing w:val="-11"/>
        </w:rPr>
        <w:t> </w:t>
      </w:r>
      <w:r>
        <w:rPr/>
        <w:t>%</w:t>
      </w:r>
      <w:r>
        <w:rPr>
          <w:spacing w:val="-14"/>
        </w:rPr>
        <w:t> </w:t>
      </w:r>
      <w:r>
        <w:rPr/>
        <w:t>de</w:t>
      </w:r>
      <w:r>
        <w:rPr>
          <w:spacing w:val="-13"/>
        </w:rPr>
        <w:t> </w:t>
      </w:r>
      <w:r>
        <w:rPr/>
        <w:t>las</w:t>
      </w:r>
      <w:r>
        <w:rPr>
          <w:spacing w:val="-11"/>
        </w:rPr>
        <w:t> </w:t>
      </w:r>
      <w:r>
        <w:rPr/>
        <w:t>canales,</w:t>
      </w:r>
      <w:r>
        <w:rPr>
          <w:spacing w:val="-11"/>
        </w:rPr>
        <w:t> </w:t>
      </w:r>
      <w:r>
        <w:rPr/>
        <w:t>mientras</w:t>
      </w:r>
      <w:r>
        <w:rPr>
          <w:spacing w:val="-12"/>
        </w:rPr>
        <w:t> </w:t>
      </w:r>
      <w:r>
        <w:rPr/>
        <w:t>que</w:t>
      </w:r>
      <w:r>
        <w:rPr>
          <w:spacing w:val="-11"/>
        </w:rPr>
        <w:t> </w:t>
      </w:r>
      <w:r>
        <w:rPr/>
        <w:t>el</w:t>
      </w:r>
      <w:r>
        <w:rPr>
          <w:spacing w:val="-14"/>
        </w:rPr>
        <w:t> </w:t>
      </w:r>
      <w:r>
        <w:rPr/>
        <w:t>50</w:t>
      </w:r>
      <w:r>
        <w:rPr>
          <w:spacing w:val="-13"/>
        </w:rPr>
        <w:t> </w:t>
      </w:r>
      <w:r>
        <w:rPr/>
        <w:t>%</w:t>
      </w:r>
      <w:r>
        <w:rPr>
          <w:spacing w:val="-11"/>
        </w:rPr>
        <w:t> </w:t>
      </w:r>
      <w:r>
        <w:rPr/>
        <w:t>de</w:t>
      </w:r>
      <w:r>
        <w:rPr>
          <w:spacing w:val="-11"/>
        </w:rPr>
        <w:t> </w:t>
      </w:r>
      <w:r>
        <w:rPr/>
        <w:t>las</w:t>
      </w:r>
      <w:r>
        <w:rPr>
          <w:spacing w:val="-12"/>
        </w:rPr>
        <w:t> </w:t>
      </w:r>
      <w:r>
        <w:rPr/>
        <w:t>canales se clasificó como México 1. Entre los municipios donde se ubican las granjas estudiadas también mostró resultados interesantes; en Ocoyoacac el 100 % y en Metepec el 67 % de las canales tuvo categoría México extra, mientras que en Lerma, Toluca, Almoloya de Juárez y Zinacantepec el 50 % de las canales tuvo categoría México extra, pero en San Mateo Atenco solo el 37 % obtuvo categoría México extra. Destaca que los tres primeros municipios (Lerma, Ocoyoacac y San Mateo Atenco) geográficamente están cercanos al parque nacional “La Marquesa”, lugar</w:t>
      </w:r>
      <w:r>
        <w:rPr>
          <w:spacing w:val="-18"/>
        </w:rPr>
        <w:t> </w:t>
      </w:r>
      <w:r>
        <w:rPr/>
        <w:t>turístico</w:t>
      </w:r>
      <w:r>
        <w:rPr>
          <w:spacing w:val="-17"/>
        </w:rPr>
        <w:t> </w:t>
      </w:r>
      <w:r>
        <w:rPr/>
        <w:t>donde</w:t>
      </w:r>
      <w:r>
        <w:rPr>
          <w:spacing w:val="-18"/>
        </w:rPr>
        <w:t> </w:t>
      </w:r>
      <w:r>
        <w:rPr/>
        <w:t>se</w:t>
      </w:r>
      <w:r>
        <w:rPr>
          <w:spacing w:val="-18"/>
        </w:rPr>
        <w:t> </w:t>
      </w:r>
      <w:r>
        <w:rPr/>
        <w:t>consume</w:t>
      </w:r>
      <w:r>
        <w:rPr>
          <w:spacing w:val="-14"/>
        </w:rPr>
        <w:t> </w:t>
      </w:r>
      <w:r>
        <w:rPr/>
        <w:t>y</w:t>
      </w:r>
      <w:r>
        <w:rPr>
          <w:spacing w:val="-19"/>
        </w:rPr>
        <w:t> </w:t>
      </w:r>
      <w:r>
        <w:rPr/>
        <w:t>distribuye</w:t>
      </w:r>
      <w:r>
        <w:rPr>
          <w:spacing w:val="-18"/>
        </w:rPr>
        <w:t> </w:t>
      </w:r>
      <w:r>
        <w:rPr/>
        <w:t>un</w:t>
      </w:r>
      <w:r>
        <w:rPr>
          <w:spacing w:val="-18"/>
        </w:rPr>
        <w:t> </w:t>
      </w:r>
      <w:r>
        <w:rPr/>
        <w:t>buen</w:t>
      </w:r>
      <w:r>
        <w:rPr>
          <w:spacing w:val="-18"/>
        </w:rPr>
        <w:t> </w:t>
      </w:r>
      <w:r>
        <w:rPr/>
        <w:t>porcentaje</w:t>
      </w:r>
      <w:r>
        <w:rPr>
          <w:spacing w:val="-18"/>
        </w:rPr>
        <w:t> </w:t>
      </w:r>
      <w:r>
        <w:rPr/>
        <w:t>la</w:t>
      </w:r>
      <w:r>
        <w:rPr>
          <w:spacing w:val="-14"/>
        </w:rPr>
        <w:t> </w:t>
      </w:r>
      <w:r>
        <w:rPr/>
        <w:t>carne</w:t>
      </w:r>
      <w:r>
        <w:rPr>
          <w:spacing w:val="-18"/>
        </w:rPr>
        <w:t> </w:t>
      </w:r>
      <w:r>
        <w:rPr/>
        <w:t>de</w:t>
      </w:r>
      <w:r>
        <w:rPr>
          <w:spacing w:val="-17"/>
        </w:rPr>
        <w:t> </w:t>
      </w:r>
      <w:r>
        <w:rPr/>
        <w:t>conejo, cocinado en diferentes platillos por los establecimientos comerciales; teóricamente estos municipios tiene un mercado potencial, sin embargo la producción de sus canales de conejo no son homogéneas y por lo tanto su calidad es muy variable,</w:t>
      </w:r>
      <w:r>
        <w:rPr>
          <w:spacing w:val="-35"/>
        </w:rPr>
        <w:t> </w:t>
      </w:r>
      <w:r>
        <w:rPr/>
        <w:t>lo que indica una oportunidad de mejora, con estrategias de capacitación a este subsector pecuario en varios eslabones de la cadena productiva. En general de</w:t>
      </w:r>
      <w:r>
        <w:rPr>
          <w:spacing w:val="-44"/>
        </w:rPr>
        <w:t> </w:t>
      </w:r>
      <w:r>
        <w:rPr/>
        <w:t>las</w:t>
      </w:r>
    </w:p>
    <w:p>
      <w:pPr>
        <w:pStyle w:val="BodyText"/>
        <w:spacing w:line="360" w:lineRule="auto" w:before="2"/>
        <w:ind w:left="152" w:right="106"/>
        <w:jc w:val="both"/>
      </w:pPr>
      <w:r>
        <w:rPr/>
        <w:t>210 canales evaluadas (100 %) en el presente estudio, 116 (55.2 </w:t>
      </w:r>
      <w:r>
        <w:rPr>
          <w:spacing w:val="5"/>
        </w:rPr>
        <w:t>%) </w:t>
      </w:r>
      <w:r>
        <w:rPr/>
        <w:t>tuvo clasificación de categoría México extra, es decir canales de bajo peso (1 a 1.5 kg); el</w:t>
      </w:r>
      <w:r>
        <w:rPr>
          <w:spacing w:val="-12"/>
        </w:rPr>
        <w:t> </w:t>
      </w:r>
      <w:r>
        <w:rPr/>
        <w:t>resto</w:t>
      </w:r>
      <w:r>
        <w:rPr>
          <w:spacing w:val="-13"/>
        </w:rPr>
        <w:t> </w:t>
      </w:r>
      <w:r>
        <w:rPr/>
        <w:t>76</w:t>
      </w:r>
      <w:r>
        <w:rPr>
          <w:spacing w:val="-13"/>
        </w:rPr>
        <w:t> </w:t>
      </w:r>
      <w:r>
        <w:rPr/>
        <w:t>(36.2</w:t>
      </w:r>
      <w:r>
        <w:rPr>
          <w:spacing w:val="-11"/>
        </w:rPr>
        <w:t> </w:t>
      </w:r>
      <w:r>
        <w:rPr/>
        <w:t>%)</w:t>
      </w:r>
      <w:r>
        <w:rPr>
          <w:spacing w:val="-12"/>
        </w:rPr>
        <w:t> </w:t>
      </w:r>
      <w:r>
        <w:rPr/>
        <w:t>y</w:t>
      </w:r>
      <w:r>
        <w:rPr>
          <w:spacing w:val="-14"/>
        </w:rPr>
        <w:t> </w:t>
      </w:r>
      <w:r>
        <w:rPr/>
        <w:t>18</w:t>
      </w:r>
      <w:r>
        <w:rPr>
          <w:spacing w:val="-11"/>
        </w:rPr>
        <w:t> </w:t>
      </w:r>
      <w:r>
        <w:rPr/>
        <w:t>(8.6</w:t>
      </w:r>
      <w:r>
        <w:rPr>
          <w:spacing w:val="-12"/>
        </w:rPr>
        <w:t> </w:t>
      </w:r>
      <w:r>
        <w:rPr/>
        <w:t>%)</w:t>
      </w:r>
      <w:r>
        <w:rPr>
          <w:spacing w:val="-12"/>
        </w:rPr>
        <w:t> </w:t>
      </w:r>
      <w:r>
        <w:rPr/>
        <w:t>tuvo</w:t>
      </w:r>
      <w:r>
        <w:rPr>
          <w:spacing w:val="-11"/>
        </w:rPr>
        <w:t> </w:t>
      </w:r>
      <w:r>
        <w:rPr/>
        <w:t>categorías</w:t>
      </w:r>
      <w:r>
        <w:rPr>
          <w:spacing w:val="-12"/>
        </w:rPr>
        <w:t> </w:t>
      </w:r>
      <w:r>
        <w:rPr/>
        <w:t>México</w:t>
      </w:r>
      <w:r>
        <w:rPr>
          <w:spacing w:val="-11"/>
        </w:rPr>
        <w:t> </w:t>
      </w:r>
      <w:r>
        <w:rPr/>
        <w:t>1</w:t>
      </w:r>
      <w:r>
        <w:rPr>
          <w:spacing w:val="-11"/>
        </w:rPr>
        <w:t> </w:t>
      </w:r>
      <w:r>
        <w:rPr/>
        <w:t>y</w:t>
      </w:r>
      <w:r>
        <w:rPr>
          <w:spacing w:val="-14"/>
        </w:rPr>
        <w:t> </w:t>
      </w:r>
      <w:r>
        <w:rPr/>
        <w:t>México</w:t>
      </w:r>
      <w:r>
        <w:rPr>
          <w:spacing w:val="-11"/>
        </w:rPr>
        <w:t> </w:t>
      </w:r>
      <w:r>
        <w:rPr/>
        <w:t>2,</w:t>
      </w:r>
      <w:r>
        <w:rPr>
          <w:spacing w:val="-11"/>
        </w:rPr>
        <w:t> </w:t>
      </w:r>
      <w:r>
        <w:rPr/>
        <w:t>o</w:t>
      </w:r>
      <w:r>
        <w:rPr>
          <w:spacing w:val="-11"/>
        </w:rPr>
        <w:t> </w:t>
      </w:r>
      <w:r>
        <w:rPr/>
        <w:t>sea</w:t>
      </w:r>
      <w:r>
        <w:rPr>
          <w:spacing w:val="-11"/>
        </w:rPr>
        <w:t> </w:t>
      </w:r>
      <w:r>
        <w:rPr/>
        <w:t>canales de peso medio (1.1. a 2.4 kg) y canales de peso mayor (1.75 a 2.5 kg) que a diferencia de la United States Departament of Agriculture (USDA) clasifica la canal de</w:t>
      </w:r>
      <w:r>
        <w:rPr>
          <w:spacing w:val="-11"/>
        </w:rPr>
        <w:t> </w:t>
      </w:r>
      <w:r>
        <w:rPr/>
        <w:t>conejo</w:t>
      </w:r>
      <w:r>
        <w:rPr>
          <w:spacing w:val="-11"/>
        </w:rPr>
        <w:t> </w:t>
      </w:r>
      <w:r>
        <w:rPr/>
        <w:t>en</w:t>
      </w:r>
      <w:r>
        <w:rPr>
          <w:spacing w:val="-11"/>
        </w:rPr>
        <w:t> </w:t>
      </w:r>
      <w:r>
        <w:rPr/>
        <w:t>Quality</w:t>
      </w:r>
      <w:r>
        <w:rPr>
          <w:spacing w:val="-13"/>
        </w:rPr>
        <w:t> </w:t>
      </w:r>
      <w:r>
        <w:rPr/>
        <w:t>A,</w:t>
      </w:r>
      <w:r>
        <w:rPr>
          <w:spacing w:val="-13"/>
        </w:rPr>
        <w:t> </w:t>
      </w:r>
      <w:r>
        <w:rPr/>
        <w:t>Quality</w:t>
      </w:r>
      <w:r>
        <w:rPr>
          <w:spacing w:val="-13"/>
        </w:rPr>
        <w:t> </w:t>
      </w:r>
      <w:r>
        <w:rPr/>
        <w:t>B,</w:t>
      </w:r>
      <w:r>
        <w:rPr>
          <w:spacing w:val="-11"/>
        </w:rPr>
        <w:t> </w:t>
      </w:r>
      <w:r>
        <w:rPr/>
        <w:t>Quality</w:t>
      </w:r>
      <w:r>
        <w:rPr>
          <w:spacing w:val="-13"/>
        </w:rPr>
        <w:t> </w:t>
      </w:r>
      <w:r>
        <w:rPr/>
        <w:t>C</w:t>
      </w:r>
      <w:r>
        <w:rPr>
          <w:spacing w:val="-12"/>
        </w:rPr>
        <w:t> </w:t>
      </w:r>
      <w:r>
        <w:rPr/>
        <w:t>donde</w:t>
      </w:r>
      <w:r>
        <w:rPr>
          <w:spacing w:val="-11"/>
        </w:rPr>
        <w:t> </w:t>
      </w:r>
      <w:r>
        <w:rPr/>
        <w:t>estable</w:t>
      </w:r>
      <w:r>
        <w:rPr>
          <w:spacing w:val="-11"/>
        </w:rPr>
        <w:t> </w:t>
      </w:r>
      <w:r>
        <w:rPr/>
        <w:t>parámetros</w:t>
      </w:r>
      <w:r>
        <w:rPr>
          <w:spacing w:val="-12"/>
        </w:rPr>
        <w:t> </w:t>
      </w:r>
      <w:r>
        <w:rPr/>
        <w:t>generales</w:t>
      </w:r>
      <w:r>
        <w:rPr>
          <w:spacing w:val="-12"/>
        </w:rPr>
        <w:t> </w:t>
      </w:r>
      <w:r>
        <w:rPr/>
        <w:t>de</w:t>
      </w:r>
    </w:p>
    <w:p>
      <w:pPr>
        <w:pStyle w:val="ListParagraph"/>
        <w:numPr>
          <w:ilvl w:val="0"/>
          <w:numId w:val="8"/>
        </w:numPr>
        <w:tabs>
          <w:tab w:pos="573" w:val="left" w:leader="none"/>
        </w:tabs>
        <w:spacing w:line="360" w:lineRule="auto" w:before="5" w:after="0"/>
        <w:ind w:left="152" w:right="105" w:firstLine="0"/>
        <w:jc w:val="both"/>
        <w:rPr>
          <w:sz w:val="24"/>
        </w:rPr>
      </w:pPr>
      <w:r>
        <w:rPr>
          <w:sz w:val="24"/>
        </w:rPr>
        <w:t>conformación, (b) descarnado y (c) cortes y rupturas de la canal. Donde establece que cualquier falta de una de las características antes mencionadas de la canal se puede clasificar en una de las calidades ya establecidas (USDA, 2012). La</w:t>
      </w:r>
      <w:r>
        <w:rPr>
          <w:spacing w:val="-7"/>
          <w:sz w:val="24"/>
        </w:rPr>
        <w:t> </w:t>
      </w:r>
      <w:r>
        <w:rPr>
          <w:sz w:val="24"/>
        </w:rPr>
        <w:t>conformación</w:t>
      </w:r>
      <w:r>
        <w:rPr>
          <w:spacing w:val="-9"/>
          <w:sz w:val="24"/>
        </w:rPr>
        <w:t> </w:t>
      </w:r>
      <w:r>
        <w:rPr>
          <w:sz w:val="24"/>
        </w:rPr>
        <w:t>y</w:t>
      </w:r>
      <w:r>
        <w:rPr>
          <w:spacing w:val="-10"/>
          <w:sz w:val="24"/>
        </w:rPr>
        <w:t> </w:t>
      </w:r>
      <w:r>
        <w:rPr>
          <w:sz w:val="24"/>
        </w:rPr>
        <w:t>composición</w:t>
      </w:r>
      <w:r>
        <w:rPr>
          <w:spacing w:val="-9"/>
          <w:sz w:val="24"/>
        </w:rPr>
        <w:t> </w:t>
      </w:r>
      <w:r>
        <w:rPr>
          <w:sz w:val="24"/>
        </w:rPr>
        <w:t>de</w:t>
      </w:r>
      <w:r>
        <w:rPr>
          <w:spacing w:val="-9"/>
          <w:sz w:val="24"/>
        </w:rPr>
        <w:t> </w:t>
      </w:r>
      <w:r>
        <w:rPr>
          <w:sz w:val="24"/>
        </w:rPr>
        <w:t>la</w:t>
      </w:r>
      <w:r>
        <w:rPr>
          <w:spacing w:val="-10"/>
          <w:sz w:val="24"/>
        </w:rPr>
        <w:t> </w:t>
      </w:r>
      <w:r>
        <w:rPr>
          <w:sz w:val="24"/>
        </w:rPr>
        <w:t>canal</w:t>
      </w:r>
      <w:r>
        <w:rPr>
          <w:spacing w:val="-11"/>
          <w:sz w:val="24"/>
        </w:rPr>
        <w:t> </w:t>
      </w:r>
      <w:r>
        <w:rPr>
          <w:sz w:val="24"/>
        </w:rPr>
        <w:t>del</w:t>
      </w:r>
      <w:r>
        <w:rPr>
          <w:spacing w:val="-8"/>
          <w:sz w:val="24"/>
        </w:rPr>
        <w:t> </w:t>
      </w:r>
      <w:r>
        <w:rPr>
          <w:sz w:val="24"/>
        </w:rPr>
        <w:t>conejo,</w:t>
      </w:r>
      <w:r>
        <w:rPr>
          <w:spacing w:val="-7"/>
          <w:sz w:val="24"/>
        </w:rPr>
        <w:t> </w:t>
      </w:r>
      <w:r>
        <w:rPr>
          <w:sz w:val="24"/>
        </w:rPr>
        <w:t>se</w:t>
      </w:r>
      <w:r>
        <w:rPr>
          <w:spacing w:val="-7"/>
          <w:sz w:val="24"/>
        </w:rPr>
        <w:t> </w:t>
      </w:r>
      <w:r>
        <w:rPr>
          <w:sz w:val="24"/>
        </w:rPr>
        <w:t>relaciona</w:t>
      </w:r>
      <w:r>
        <w:rPr>
          <w:spacing w:val="-7"/>
          <w:sz w:val="24"/>
        </w:rPr>
        <w:t> </w:t>
      </w:r>
      <w:r>
        <w:rPr>
          <w:sz w:val="24"/>
        </w:rPr>
        <w:t>con</w:t>
      </w:r>
      <w:r>
        <w:rPr>
          <w:spacing w:val="-7"/>
          <w:sz w:val="24"/>
        </w:rPr>
        <w:t> </w:t>
      </w:r>
      <w:r>
        <w:rPr>
          <w:sz w:val="24"/>
        </w:rPr>
        <w:t>la</w:t>
      </w:r>
      <w:r>
        <w:rPr>
          <w:spacing w:val="-9"/>
          <w:sz w:val="24"/>
        </w:rPr>
        <w:t> </w:t>
      </w:r>
      <w:r>
        <w:rPr>
          <w:sz w:val="24"/>
        </w:rPr>
        <w:t>edad</w:t>
      </w:r>
      <w:r>
        <w:rPr>
          <w:spacing w:val="-7"/>
          <w:sz w:val="24"/>
        </w:rPr>
        <w:t> </w:t>
      </w:r>
      <w:r>
        <w:rPr>
          <w:sz w:val="24"/>
        </w:rPr>
        <w:t>y</w:t>
      </w:r>
      <w:r>
        <w:rPr>
          <w:spacing w:val="-10"/>
          <w:sz w:val="24"/>
        </w:rPr>
        <w:t> </w:t>
      </w:r>
      <w:r>
        <w:rPr>
          <w:sz w:val="24"/>
        </w:rPr>
        <w:t>el</w:t>
      </w:r>
    </w:p>
    <w:p>
      <w:pPr>
        <w:spacing w:after="0" w:line="360" w:lineRule="auto"/>
        <w:jc w:val="both"/>
        <w:rPr>
          <w:sz w:val="24"/>
        </w:rPr>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6"/>
        <w:jc w:val="both"/>
      </w:pPr>
      <w:r>
        <w:rPr/>
        <w:t>peso corporal, determinado por la proporción de masa muscular y el tipo de tejido conjuntivo de soporte en las fibras musculares (FAO, 2014). Al sacrificar conejos más jóvenes, la carne es más tierna y suculenta. En contraste el sabor tiende a desarrollarse</w:t>
      </w:r>
      <w:r>
        <w:rPr>
          <w:spacing w:val="-20"/>
        </w:rPr>
        <w:t> </w:t>
      </w:r>
      <w:r>
        <w:rPr/>
        <w:t>con</w:t>
      </w:r>
      <w:r>
        <w:rPr>
          <w:spacing w:val="-19"/>
        </w:rPr>
        <w:t> </w:t>
      </w:r>
      <w:r>
        <w:rPr/>
        <w:t>la</w:t>
      </w:r>
      <w:r>
        <w:rPr>
          <w:spacing w:val="-19"/>
        </w:rPr>
        <w:t> </w:t>
      </w:r>
      <w:r>
        <w:rPr/>
        <w:t>edad</w:t>
      </w:r>
      <w:r>
        <w:rPr>
          <w:spacing w:val="-16"/>
        </w:rPr>
        <w:t> </w:t>
      </w:r>
      <w:r>
        <w:rPr/>
        <w:t>(Salcedo</w:t>
      </w:r>
      <w:r>
        <w:rPr>
          <w:spacing w:val="-19"/>
        </w:rPr>
        <w:t> </w:t>
      </w:r>
      <w:r>
        <w:rPr>
          <w:i/>
        </w:rPr>
        <w:t>et</w:t>
      </w:r>
      <w:r>
        <w:rPr>
          <w:i/>
          <w:spacing w:val="-21"/>
        </w:rPr>
        <w:t> </w:t>
      </w:r>
      <w:r>
        <w:rPr>
          <w:i/>
        </w:rPr>
        <w:t>al.,</w:t>
      </w:r>
      <w:r>
        <w:rPr>
          <w:i/>
          <w:spacing w:val="-19"/>
        </w:rPr>
        <w:t> </w:t>
      </w:r>
      <w:r>
        <w:rPr/>
        <w:t>2004).</w:t>
      </w:r>
      <w:r>
        <w:rPr>
          <w:spacing w:val="-19"/>
        </w:rPr>
        <w:t> </w:t>
      </w:r>
      <w:r>
        <w:rPr/>
        <w:t>En</w:t>
      </w:r>
      <w:r>
        <w:rPr>
          <w:spacing w:val="-19"/>
        </w:rPr>
        <w:t> </w:t>
      </w:r>
      <w:r>
        <w:rPr/>
        <w:t>la</w:t>
      </w:r>
      <w:r>
        <w:rPr>
          <w:spacing w:val="-19"/>
        </w:rPr>
        <w:t> </w:t>
      </w:r>
      <w:r>
        <w:rPr/>
        <w:t>región</w:t>
      </w:r>
      <w:r>
        <w:rPr>
          <w:spacing w:val="-19"/>
        </w:rPr>
        <w:t> </w:t>
      </w:r>
      <w:r>
        <w:rPr/>
        <w:t>Lerma,</w:t>
      </w:r>
      <w:r>
        <w:rPr>
          <w:spacing w:val="-21"/>
        </w:rPr>
        <w:t> </w:t>
      </w:r>
      <w:r>
        <w:rPr/>
        <w:t>en</w:t>
      </w:r>
      <w:r>
        <w:rPr>
          <w:spacing w:val="-19"/>
        </w:rPr>
        <w:t> </w:t>
      </w:r>
      <w:r>
        <w:rPr/>
        <w:t>comparación con la región Toluca, las UPC son de tipo familiar, pero con sistema de traspatio (50%)</w:t>
      </w:r>
      <w:r>
        <w:rPr>
          <w:spacing w:val="-19"/>
        </w:rPr>
        <w:t> </w:t>
      </w:r>
      <w:r>
        <w:rPr/>
        <w:t>y</w:t>
      </w:r>
      <w:r>
        <w:rPr>
          <w:spacing w:val="-21"/>
        </w:rPr>
        <w:t> </w:t>
      </w:r>
      <w:r>
        <w:rPr/>
        <w:t>semitecnificado</w:t>
      </w:r>
      <w:r>
        <w:rPr>
          <w:spacing w:val="-18"/>
        </w:rPr>
        <w:t> </w:t>
      </w:r>
      <w:r>
        <w:rPr/>
        <w:t>(50%),</w:t>
      </w:r>
      <w:r>
        <w:rPr>
          <w:spacing w:val="-19"/>
        </w:rPr>
        <w:t> </w:t>
      </w:r>
      <w:r>
        <w:rPr/>
        <w:t>en</w:t>
      </w:r>
      <w:r>
        <w:rPr>
          <w:spacing w:val="-18"/>
        </w:rPr>
        <w:t> </w:t>
      </w:r>
      <w:r>
        <w:rPr/>
        <w:t>cuyo</w:t>
      </w:r>
      <w:r>
        <w:rPr>
          <w:spacing w:val="-18"/>
        </w:rPr>
        <w:t> </w:t>
      </w:r>
      <w:r>
        <w:rPr/>
        <w:t>caso,</w:t>
      </w:r>
      <w:r>
        <w:rPr>
          <w:spacing w:val="-21"/>
        </w:rPr>
        <w:t> </w:t>
      </w:r>
      <w:r>
        <w:rPr/>
        <w:t>la</w:t>
      </w:r>
      <w:r>
        <w:rPr>
          <w:spacing w:val="-18"/>
        </w:rPr>
        <w:t> </w:t>
      </w:r>
      <w:r>
        <w:rPr/>
        <w:t>calidad</w:t>
      </w:r>
      <w:r>
        <w:rPr>
          <w:spacing w:val="-18"/>
        </w:rPr>
        <w:t> </w:t>
      </w:r>
      <w:r>
        <w:rPr/>
        <w:t>de</w:t>
      </w:r>
      <w:r>
        <w:rPr>
          <w:spacing w:val="-18"/>
        </w:rPr>
        <w:t> </w:t>
      </w:r>
      <w:r>
        <w:rPr/>
        <w:t>la</w:t>
      </w:r>
      <w:r>
        <w:rPr>
          <w:spacing w:val="-18"/>
        </w:rPr>
        <w:t> </w:t>
      </w:r>
      <w:r>
        <w:rPr/>
        <w:t>canal</w:t>
      </w:r>
      <w:r>
        <w:rPr>
          <w:spacing w:val="-19"/>
        </w:rPr>
        <w:t> </w:t>
      </w:r>
      <w:r>
        <w:rPr/>
        <w:t>está</w:t>
      </w:r>
      <w:r>
        <w:rPr>
          <w:spacing w:val="-18"/>
        </w:rPr>
        <w:t> </w:t>
      </w:r>
      <w:r>
        <w:rPr/>
        <w:t>influenciada por el manejo productivo y la organización de los ciclos de producción de la unidad de producción cunicula bajo los sistemas semitecnificados predominantes en la región Lerma, detectados en el</w:t>
      </w:r>
      <w:r>
        <w:rPr>
          <w:spacing w:val="-12"/>
        </w:rPr>
        <w:t> </w:t>
      </w:r>
      <w:r>
        <w:rPr/>
        <w:t>estudio.</w:t>
      </w:r>
    </w:p>
    <w:p>
      <w:pPr>
        <w:pStyle w:val="BodyText"/>
        <w:spacing w:line="360" w:lineRule="auto"/>
        <w:ind w:left="152" w:right="105"/>
        <w:jc w:val="both"/>
      </w:pPr>
      <w:r>
        <w:rPr/>
        <w:t>En</w:t>
      </w:r>
      <w:r>
        <w:rPr>
          <w:spacing w:val="-9"/>
        </w:rPr>
        <w:t> </w:t>
      </w:r>
      <w:r>
        <w:rPr/>
        <w:t>la</w:t>
      </w:r>
      <w:r>
        <w:rPr>
          <w:spacing w:val="-9"/>
        </w:rPr>
        <w:t> </w:t>
      </w:r>
      <w:r>
        <w:rPr/>
        <w:t>composición</w:t>
      </w:r>
      <w:r>
        <w:rPr>
          <w:spacing w:val="-12"/>
        </w:rPr>
        <w:t> </w:t>
      </w:r>
      <w:r>
        <w:rPr/>
        <w:t>nutrimental</w:t>
      </w:r>
      <w:r>
        <w:rPr>
          <w:spacing w:val="-11"/>
        </w:rPr>
        <w:t> </w:t>
      </w:r>
      <w:r>
        <w:rPr/>
        <w:t>de</w:t>
      </w:r>
      <w:r>
        <w:rPr>
          <w:spacing w:val="-9"/>
        </w:rPr>
        <w:t> </w:t>
      </w:r>
      <w:r>
        <w:rPr/>
        <w:t>la</w:t>
      </w:r>
      <w:r>
        <w:rPr>
          <w:spacing w:val="-10"/>
        </w:rPr>
        <w:t> </w:t>
      </w:r>
      <w:r>
        <w:rPr/>
        <w:t>carne</w:t>
      </w:r>
      <w:r>
        <w:rPr>
          <w:spacing w:val="-12"/>
        </w:rPr>
        <w:t> </w:t>
      </w:r>
      <w:r>
        <w:rPr/>
        <w:t>de</w:t>
      </w:r>
      <w:r>
        <w:rPr>
          <w:spacing w:val="-12"/>
        </w:rPr>
        <w:t> </w:t>
      </w:r>
      <w:r>
        <w:rPr/>
        <w:t>conejo</w:t>
      </w:r>
      <w:r>
        <w:rPr>
          <w:spacing w:val="-12"/>
        </w:rPr>
        <w:t> </w:t>
      </w:r>
      <w:r>
        <w:rPr/>
        <w:t>(músculo</w:t>
      </w:r>
      <w:r>
        <w:rPr>
          <w:spacing w:val="-4"/>
        </w:rPr>
        <w:t> </w:t>
      </w:r>
      <w:r>
        <w:rPr>
          <w:i/>
        </w:rPr>
        <w:t>longissimus</w:t>
      </w:r>
      <w:r>
        <w:rPr>
          <w:i/>
          <w:spacing w:val="-10"/>
        </w:rPr>
        <w:t> </w:t>
      </w:r>
      <w:r>
        <w:rPr>
          <w:i/>
        </w:rPr>
        <w:t>dorsi</w:t>
      </w:r>
      <w:r>
        <w:rPr/>
        <w:t>)</w:t>
      </w:r>
      <w:r>
        <w:rPr>
          <w:spacing w:val="-11"/>
        </w:rPr>
        <w:t> </w:t>
      </w:r>
      <w:r>
        <w:rPr/>
        <w:t>de acuerdo con las dos regiones económicas y siete municipios del valle de Toluca (p&gt;0.05), en el contenido de materia seca, humedas, proteína, grasa y cenizas de la carne de conejo; sólo se observó una tendencia a cambiar (p&lt;0.07) el contenido de las cenizas de la carne de conejos entre regiones, con un valor mayor para la región</w:t>
      </w:r>
      <w:r>
        <w:rPr>
          <w:spacing w:val="-6"/>
        </w:rPr>
        <w:t> </w:t>
      </w:r>
      <w:r>
        <w:rPr/>
        <w:t>de</w:t>
      </w:r>
      <w:r>
        <w:rPr>
          <w:spacing w:val="-8"/>
        </w:rPr>
        <w:t> </w:t>
      </w:r>
      <w:r>
        <w:rPr/>
        <w:t>Lerma</w:t>
      </w:r>
      <w:r>
        <w:rPr>
          <w:spacing w:val="-6"/>
        </w:rPr>
        <w:t> </w:t>
      </w:r>
      <w:r>
        <w:rPr/>
        <w:t>(1.17</w:t>
      </w:r>
      <w:r>
        <w:rPr>
          <w:spacing w:val="-6"/>
        </w:rPr>
        <w:t> </w:t>
      </w:r>
      <w:r>
        <w:rPr>
          <w:i/>
        </w:rPr>
        <w:t>vs</w:t>
      </w:r>
      <w:r>
        <w:rPr>
          <w:i/>
          <w:spacing w:val="-7"/>
        </w:rPr>
        <w:t> </w:t>
      </w:r>
      <w:r>
        <w:rPr/>
        <w:t>1.04</w:t>
      </w:r>
      <w:r>
        <w:rPr>
          <w:spacing w:val="-6"/>
        </w:rPr>
        <w:t> </w:t>
      </w:r>
      <w:r>
        <w:rPr/>
        <w:t>%).</w:t>
      </w:r>
      <w:r>
        <w:rPr>
          <w:spacing w:val="-9"/>
        </w:rPr>
        <w:t> </w:t>
      </w:r>
      <w:r>
        <w:rPr/>
        <w:t>Sin</w:t>
      </w:r>
      <w:r>
        <w:rPr>
          <w:spacing w:val="-9"/>
        </w:rPr>
        <w:t> </w:t>
      </w:r>
      <w:r>
        <w:rPr/>
        <w:t>embargo,</w:t>
      </w:r>
      <w:r>
        <w:rPr>
          <w:spacing w:val="-6"/>
        </w:rPr>
        <w:t> </w:t>
      </w:r>
      <w:r>
        <w:rPr/>
        <w:t>los</w:t>
      </w:r>
      <w:r>
        <w:rPr>
          <w:spacing w:val="-6"/>
        </w:rPr>
        <w:t> </w:t>
      </w:r>
      <w:r>
        <w:rPr/>
        <w:t>valores</w:t>
      </w:r>
      <w:r>
        <w:rPr>
          <w:spacing w:val="-9"/>
        </w:rPr>
        <w:t> </w:t>
      </w:r>
      <w:r>
        <w:rPr/>
        <w:t>medios</w:t>
      </w:r>
      <w:r>
        <w:rPr>
          <w:spacing w:val="-9"/>
        </w:rPr>
        <w:t> </w:t>
      </w:r>
      <w:r>
        <w:rPr/>
        <w:t>están</w:t>
      </w:r>
      <w:r>
        <w:rPr>
          <w:spacing w:val="-8"/>
        </w:rPr>
        <w:t> </w:t>
      </w:r>
      <w:r>
        <w:rPr/>
        <w:t>dentro</w:t>
      </w:r>
      <w:r>
        <w:rPr>
          <w:spacing w:val="-8"/>
        </w:rPr>
        <w:t> </w:t>
      </w:r>
      <w:r>
        <w:rPr/>
        <w:t>de los rangos de valores nutricionales aportados por la carne de conejo reportado por Braña </w:t>
      </w:r>
      <w:r>
        <w:rPr>
          <w:i/>
        </w:rPr>
        <w:t>et al., </w:t>
      </w:r>
      <w:r>
        <w:rPr/>
        <w:t>(2011), Pascua </w:t>
      </w:r>
      <w:r>
        <w:rPr>
          <w:i/>
        </w:rPr>
        <w:t>et al</w:t>
      </w:r>
      <w:r>
        <w:rPr/>
        <w:t>., (2007), Simonova </w:t>
      </w:r>
      <w:r>
        <w:rPr>
          <w:i/>
        </w:rPr>
        <w:t>et al</w:t>
      </w:r>
      <w:r>
        <w:rPr/>
        <w:t>., (2010), que indicaron valores</w:t>
      </w:r>
      <w:r>
        <w:rPr>
          <w:spacing w:val="-16"/>
        </w:rPr>
        <w:t> </w:t>
      </w:r>
      <w:r>
        <w:rPr/>
        <w:t>similares</w:t>
      </w:r>
      <w:r>
        <w:rPr>
          <w:spacing w:val="-16"/>
        </w:rPr>
        <w:t> </w:t>
      </w:r>
      <w:r>
        <w:rPr/>
        <w:t>a</w:t>
      </w:r>
      <w:r>
        <w:rPr>
          <w:spacing w:val="-16"/>
        </w:rPr>
        <w:t> </w:t>
      </w:r>
      <w:r>
        <w:rPr/>
        <w:t>los</w:t>
      </w:r>
      <w:r>
        <w:rPr>
          <w:spacing w:val="-16"/>
        </w:rPr>
        <w:t> </w:t>
      </w:r>
      <w:r>
        <w:rPr/>
        <w:t>resultados</w:t>
      </w:r>
      <w:r>
        <w:rPr>
          <w:spacing w:val="-16"/>
        </w:rPr>
        <w:t> </w:t>
      </w:r>
      <w:r>
        <w:rPr/>
        <w:t>obtenidos</w:t>
      </w:r>
      <w:r>
        <w:rPr>
          <w:spacing w:val="-19"/>
        </w:rPr>
        <w:t> </w:t>
      </w:r>
      <w:r>
        <w:rPr/>
        <w:t>en</w:t>
      </w:r>
      <w:r>
        <w:rPr>
          <w:spacing w:val="-18"/>
        </w:rPr>
        <w:t> </w:t>
      </w:r>
      <w:r>
        <w:rPr/>
        <w:t>este</w:t>
      </w:r>
      <w:r>
        <w:rPr>
          <w:spacing w:val="-15"/>
        </w:rPr>
        <w:t> </w:t>
      </w:r>
      <w:r>
        <w:rPr/>
        <w:t>estudio,</w:t>
      </w:r>
      <w:r>
        <w:rPr>
          <w:spacing w:val="-16"/>
        </w:rPr>
        <w:t> </w:t>
      </w:r>
      <w:r>
        <w:rPr/>
        <w:t>MS,</w:t>
      </w:r>
      <w:r>
        <w:rPr>
          <w:spacing w:val="-16"/>
        </w:rPr>
        <w:t> </w:t>
      </w:r>
      <w:r>
        <w:rPr/>
        <w:t>25-30%;</w:t>
      </w:r>
      <w:r>
        <w:rPr>
          <w:spacing w:val="-16"/>
        </w:rPr>
        <w:t> </w:t>
      </w:r>
      <w:r>
        <w:rPr/>
        <w:t>humedad, 70-75%; proteína, 20-22.5%; grasa, 1-6.8% y cenizas,</w:t>
      </w:r>
      <w:r>
        <w:rPr>
          <w:spacing w:val="-20"/>
        </w:rPr>
        <w:t> </w:t>
      </w:r>
      <w:r>
        <w:rPr/>
        <w:t>1-3.5%.</w:t>
      </w:r>
    </w:p>
    <w:p>
      <w:pPr>
        <w:pStyle w:val="BodyText"/>
        <w:spacing w:line="360" w:lineRule="auto" w:before="2"/>
        <w:ind w:left="152" w:right="102"/>
        <w:jc w:val="both"/>
      </w:pPr>
      <w:r>
        <w:rPr/>
        <w:t>Los indicadores productivos ponen de manifiesto que la crianza de conejos, como actividad productiva familiar, mejora la alimentación de las familias de menores ingresos económicos y contribuye al abasto local de carne (Levas </w:t>
      </w:r>
      <w:r>
        <w:rPr>
          <w:i/>
        </w:rPr>
        <w:t>et al., </w:t>
      </w:r>
      <w:r>
        <w:rPr/>
        <w:t>1997); además de propiciar bienestar social mediante la generación de empleo familiar y la organización de pequeñas agroindustrias en la fabricación de artesanías (Lopez </w:t>
      </w:r>
      <w:r>
        <w:rPr>
          <w:i/>
        </w:rPr>
        <w:t>et</w:t>
      </w:r>
      <w:r>
        <w:rPr>
          <w:i/>
          <w:spacing w:val="-19"/>
        </w:rPr>
        <w:t> </w:t>
      </w:r>
      <w:r>
        <w:rPr>
          <w:i/>
        </w:rPr>
        <w:t>al.</w:t>
      </w:r>
      <w:r>
        <w:rPr/>
        <w:t>,</w:t>
      </w:r>
      <w:r>
        <w:rPr>
          <w:spacing w:val="-19"/>
        </w:rPr>
        <w:t> </w:t>
      </w:r>
      <w:r>
        <w:rPr/>
        <w:t>2005).</w:t>
      </w:r>
      <w:r>
        <w:rPr>
          <w:spacing w:val="-19"/>
        </w:rPr>
        <w:t> </w:t>
      </w:r>
      <w:r>
        <w:rPr/>
        <w:t>La</w:t>
      </w:r>
      <w:r>
        <w:rPr>
          <w:spacing w:val="-19"/>
        </w:rPr>
        <w:t> </w:t>
      </w:r>
      <w:r>
        <w:rPr/>
        <w:t>producción</w:t>
      </w:r>
      <w:r>
        <w:rPr>
          <w:spacing w:val="-16"/>
        </w:rPr>
        <w:t> </w:t>
      </w:r>
      <w:r>
        <w:rPr/>
        <w:t>cunícola</w:t>
      </w:r>
      <w:r>
        <w:rPr>
          <w:spacing w:val="-17"/>
        </w:rPr>
        <w:t> </w:t>
      </w:r>
      <w:r>
        <w:rPr/>
        <w:t>como</w:t>
      </w:r>
      <w:r>
        <w:rPr>
          <w:spacing w:val="-19"/>
        </w:rPr>
        <w:t> </w:t>
      </w:r>
      <w:r>
        <w:rPr/>
        <w:t>actividad</w:t>
      </w:r>
      <w:r>
        <w:rPr>
          <w:spacing w:val="-17"/>
        </w:rPr>
        <w:t> </w:t>
      </w:r>
      <w:r>
        <w:rPr/>
        <w:t>pecuaria</w:t>
      </w:r>
      <w:r>
        <w:rPr>
          <w:spacing w:val="-19"/>
        </w:rPr>
        <w:t> </w:t>
      </w:r>
      <w:r>
        <w:rPr/>
        <w:t>favorece</w:t>
      </w:r>
      <w:r>
        <w:rPr>
          <w:spacing w:val="-16"/>
        </w:rPr>
        <w:t> </w:t>
      </w:r>
      <w:r>
        <w:rPr/>
        <w:t>la</w:t>
      </w:r>
      <w:r>
        <w:rPr>
          <w:spacing w:val="-19"/>
        </w:rPr>
        <w:t> </w:t>
      </w:r>
      <w:r>
        <w:rPr/>
        <w:t>integración de empresas familiares productivas por la facilidad en el manejo de la especie y la tasa de retorno favorable que permite que en un corto tiempo sea recuperada la inversión entre los pequeños y medianos productores del medio rural (SAGARPA, 2014).</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1"/>
        <w:jc w:val="both"/>
      </w:pPr>
      <w:r>
        <w:rPr/>
        <w:t>Osechas y Becerra (2005), señalan que la producción de carne de conejo es determinante para el mantenimiento del empleo rural y la estructura socio- económica</w:t>
      </w:r>
      <w:r>
        <w:rPr>
          <w:spacing w:val="-16"/>
        </w:rPr>
        <w:t> </w:t>
      </w:r>
      <w:r>
        <w:rPr/>
        <w:t>en</w:t>
      </w:r>
      <w:r>
        <w:rPr>
          <w:spacing w:val="-16"/>
        </w:rPr>
        <w:t> </w:t>
      </w:r>
      <w:r>
        <w:rPr/>
        <w:t>el</w:t>
      </w:r>
      <w:r>
        <w:rPr>
          <w:spacing w:val="-14"/>
        </w:rPr>
        <w:t> </w:t>
      </w:r>
      <w:r>
        <w:rPr/>
        <w:t>medio</w:t>
      </w:r>
      <w:r>
        <w:rPr>
          <w:spacing w:val="-16"/>
        </w:rPr>
        <w:t> </w:t>
      </w:r>
      <w:r>
        <w:rPr/>
        <w:t>rural,</w:t>
      </w:r>
      <w:r>
        <w:rPr>
          <w:spacing w:val="-13"/>
        </w:rPr>
        <w:t> </w:t>
      </w:r>
      <w:r>
        <w:rPr/>
        <w:t>permite</w:t>
      </w:r>
      <w:r>
        <w:rPr>
          <w:spacing w:val="-13"/>
        </w:rPr>
        <w:t> </w:t>
      </w:r>
      <w:r>
        <w:rPr/>
        <w:t>la</w:t>
      </w:r>
      <w:r>
        <w:rPr>
          <w:spacing w:val="-13"/>
        </w:rPr>
        <w:t> </w:t>
      </w:r>
      <w:r>
        <w:rPr/>
        <w:t>incorporación</w:t>
      </w:r>
      <w:r>
        <w:rPr>
          <w:spacing w:val="-13"/>
        </w:rPr>
        <w:t> </w:t>
      </w:r>
      <w:r>
        <w:rPr/>
        <w:t>laboral</w:t>
      </w:r>
      <w:r>
        <w:rPr>
          <w:spacing w:val="-14"/>
        </w:rPr>
        <w:t> </w:t>
      </w:r>
      <w:r>
        <w:rPr/>
        <w:t>de</w:t>
      </w:r>
      <w:r>
        <w:rPr>
          <w:spacing w:val="-13"/>
        </w:rPr>
        <w:t> </w:t>
      </w:r>
      <w:r>
        <w:rPr/>
        <w:t>la</w:t>
      </w:r>
      <w:r>
        <w:rPr>
          <w:spacing w:val="-16"/>
        </w:rPr>
        <w:t> </w:t>
      </w:r>
      <w:r>
        <w:rPr/>
        <w:t>mujer</w:t>
      </w:r>
      <w:r>
        <w:rPr>
          <w:spacing w:val="-14"/>
        </w:rPr>
        <w:t> </w:t>
      </w:r>
      <w:r>
        <w:rPr/>
        <w:t>campesina al proceso productivo en las unidades cunículas, en ciertas regiones del país, está presente en la economía alimentaria regional y nacional, lo cual también ha contribuido</w:t>
      </w:r>
      <w:r>
        <w:rPr>
          <w:spacing w:val="-9"/>
        </w:rPr>
        <w:t> </w:t>
      </w:r>
      <w:r>
        <w:rPr/>
        <w:t>al</w:t>
      </w:r>
      <w:r>
        <w:rPr>
          <w:spacing w:val="-11"/>
        </w:rPr>
        <w:t> </w:t>
      </w:r>
      <w:r>
        <w:rPr/>
        <w:t>auge</w:t>
      </w:r>
      <w:r>
        <w:rPr>
          <w:spacing w:val="-9"/>
        </w:rPr>
        <w:t> </w:t>
      </w:r>
      <w:r>
        <w:rPr/>
        <w:t>productivo</w:t>
      </w:r>
      <w:r>
        <w:rPr>
          <w:spacing w:val="-9"/>
        </w:rPr>
        <w:t> </w:t>
      </w:r>
      <w:r>
        <w:rPr/>
        <w:t>de</w:t>
      </w:r>
      <w:r>
        <w:rPr>
          <w:spacing w:val="-9"/>
        </w:rPr>
        <w:t> </w:t>
      </w:r>
      <w:r>
        <w:rPr/>
        <w:t>la</w:t>
      </w:r>
      <w:r>
        <w:rPr>
          <w:spacing w:val="-10"/>
        </w:rPr>
        <w:t> </w:t>
      </w:r>
      <w:r>
        <w:rPr/>
        <w:t>cunicultura</w:t>
      </w:r>
      <w:r>
        <w:rPr>
          <w:spacing w:val="-9"/>
        </w:rPr>
        <w:t> </w:t>
      </w:r>
      <w:r>
        <w:rPr/>
        <w:t>en</w:t>
      </w:r>
      <w:r>
        <w:rPr>
          <w:spacing w:val="-12"/>
        </w:rPr>
        <w:t> </w:t>
      </w:r>
      <w:r>
        <w:rPr/>
        <w:t>nuestro</w:t>
      </w:r>
      <w:r>
        <w:rPr>
          <w:spacing w:val="-10"/>
        </w:rPr>
        <w:t> </w:t>
      </w:r>
      <w:r>
        <w:rPr/>
        <w:t>país</w:t>
      </w:r>
      <w:r>
        <w:rPr>
          <w:spacing w:val="-3"/>
        </w:rPr>
        <w:t> </w:t>
      </w:r>
      <w:r>
        <w:rPr/>
        <w:t>(Levas</w:t>
      </w:r>
      <w:r>
        <w:rPr>
          <w:spacing w:val="-10"/>
        </w:rPr>
        <w:t> </w:t>
      </w:r>
      <w:r>
        <w:rPr>
          <w:i/>
        </w:rPr>
        <w:t>et</w:t>
      </w:r>
      <w:r>
        <w:rPr>
          <w:i/>
          <w:spacing w:val="-10"/>
        </w:rPr>
        <w:t> </w:t>
      </w:r>
      <w:r>
        <w:rPr>
          <w:i/>
        </w:rPr>
        <w:t>al.,</w:t>
      </w:r>
      <w:r>
        <w:rPr>
          <w:i/>
          <w:spacing w:val="-9"/>
        </w:rPr>
        <w:t> </w:t>
      </w:r>
      <w:r>
        <w:rPr/>
        <w:t>1997). La</w:t>
      </w:r>
      <w:r>
        <w:rPr>
          <w:spacing w:val="-17"/>
        </w:rPr>
        <w:t> </w:t>
      </w:r>
      <w:r>
        <w:rPr/>
        <w:t>distribución</w:t>
      </w:r>
      <w:r>
        <w:rPr>
          <w:spacing w:val="-17"/>
        </w:rPr>
        <w:t> </w:t>
      </w:r>
      <w:r>
        <w:rPr/>
        <w:t>de</w:t>
      </w:r>
      <w:r>
        <w:rPr>
          <w:spacing w:val="-17"/>
        </w:rPr>
        <w:t> </w:t>
      </w:r>
      <w:r>
        <w:rPr/>
        <w:t>la</w:t>
      </w:r>
      <w:r>
        <w:rPr>
          <w:spacing w:val="-17"/>
        </w:rPr>
        <w:t> </w:t>
      </w:r>
      <w:r>
        <w:rPr/>
        <w:t>clasificación</w:t>
      </w:r>
      <w:r>
        <w:rPr>
          <w:spacing w:val="-17"/>
        </w:rPr>
        <w:t> </w:t>
      </w:r>
      <w:r>
        <w:rPr/>
        <w:t>de</w:t>
      </w:r>
      <w:r>
        <w:rPr>
          <w:spacing w:val="-17"/>
        </w:rPr>
        <w:t> </w:t>
      </w:r>
      <w:r>
        <w:rPr/>
        <w:t>las</w:t>
      </w:r>
      <w:r>
        <w:rPr>
          <w:spacing w:val="-17"/>
        </w:rPr>
        <w:t> </w:t>
      </w:r>
      <w:r>
        <w:rPr/>
        <w:t>canales</w:t>
      </w:r>
      <w:r>
        <w:rPr>
          <w:spacing w:val="-17"/>
        </w:rPr>
        <w:t> </w:t>
      </w:r>
      <w:r>
        <w:rPr/>
        <w:t>de</w:t>
      </w:r>
      <w:r>
        <w:rPr>
          <w:spacing w:val="-17"/>
        </w:rPr>
        <w:t> </w:t>
      </w:r>
      <w:r>
        <w:rPr/>
        <w:t>acuerdo</w:t>
      </w:r>
      <w:r>
        <w:rPr>
          <w:spacing w:val="-18"/>
        </w:rPr>
        <w:t> </w:t>
      </w:r>
      <w:r>
        <w:rPr/>
        <w:t>a</w:t>
      </w:r>
      <w:r>
        <w:rPr>
          <w:spacing w:val="-17"/>
        </w:rPr>
        <w:t> </w:t>
      </w:r>
      <w:r>
        <w:rPr/>
        <w:t>la</w:t>
      </w:r>
      <w:r>
        <w:rPr>
          <w:spacing w:val="-17"/>
        </w:rPr>
        <w:t> </w:t>
      </w:r>
      <w:r>
        <w:rPr/>
        <w:t>normatividad,</w:t>
      </w:r>
      <w:r>
        <w:rPr>
          <w:spacing w:val="-17"/>
        </w:rPr>
        <w:t> </w:t>
      </w:r>
      <w:r>
        <w:rPr/>
        <w:t>indica un amplio potencial productivo </w:t>
      </w:r>
      <w:r>
        <w:rPr>
          <w:spacing w:val="2"/>
        </w:rPr>
        <w:t>de </w:t>
      </w:r>
      <w:r>
        <w:rPr/>
        <w:t>las unidades cunícolas en las regiones estudiadas,</w:t>
      </w:r>
      <w:r>
        <w:rPr>
          <w:spacing w:val="-7"/>
        </w:rPr>
        <w:t> </w:t>
      </w:r>
      <w:r>
        <w:rPr/>
        <w:t>el</w:t>
      </w:r>
      <w:r>
        <w:rPr>
          <w:spacing w:val="-6"/>
        </w:rPr>
        <w:t> </w:t>
      </w:r>
      <w:r>
        <w:rPr/>
        <w:t>cual</w:t>
      </w:r>
      <w:r>
        <w:rPr>
          <w:spacing w:val="-8"/>
        </w:rPr>
        <w:t> </w:t>
      </w:r>
      <w:r>
        <w:rPr/>
        <w:t>puede</w:t>
      </w:r>
      <w:r>
        <w:rPr>
          <w:spacing w:val="-5"/>
        </w:rPr>
        <w:t> </w:t>
      </w:r>
      <w:r>
        <w:rPr/>
        <w:t>ser</w:t>
      </w:r>
      <w:r>
        <w:rPr>
          <w:spacing w:val="-8"/>
        </w:rPr>
        <w:t> </w:t>
      </w:r>
      <w:r>
        <w:rPr/>
        <w:t>un</w:t>
      </w:r>
      <w:r>
        <w:rPr>
          <w:spacing w:val="-7"/>
        </w:rPr>
        <w:t> </w:t>
      </w:r>
      <w:r>
        <w:rPr/>
        <w:t>elemento</w:t>
      </w:r>
      <w:r>
        <w:rPr>
          <w:spacing w:val="-7"/>
        </w:rPr>
        <w:t> </w:t>
      </w:r>
      <w:r>
        <w:rPr/>
        <w:t>detonante</w:t>
      </w:r>
      <w:r>
        <w:rPr>
          <w:spacing w:val="-4"/>
        </w:rPr>
        <w:t> </w:t>
      </w:r>
      <w:r>
        <w:rPr/>
        <w:t>que</w:t>
      </w:r>
      <w:r>
        <w:rPr>
          <w:spacing w:val="-5"/>
        </w:rPr>
        <w:t> </w:t>
      </w:r>
      <w:r>
        <w:rPr/>
        <w:t>contribuya</w:t>
      </w:r>
      <w:r>
        <w:rPr>
          <w:spacing w:val="-7"/>
        </w:rPr>
        <w:t> </w:t>
      </w:r>
      <w:r>
        <w:rPr/>
        <w:t>a</w:t>
      </w:r>
      <w:r>
        <w:rPr>
          <w:spacing w:val="-5"/>
        </w:rPr>
        <w:t> </w:t>
      </w:r>
      <w:r>
        <w:rPr/>
        <w:t>la</w:t>
      </w:r>
      <w:r>
        <w:rPr>
          <w:spacing w:val="-7"/>
        </w:rPr>
        <w:t> </w:t>
      </w:r>
      <w:r>
        <w:rPr/>
        <w:t>mejora</w:t>
      </w:r>
      <w:r>
        <w:rPr>
          <w:spacing w:val="-7"/>
        </w:rPr>
        <w:t> </w:t>
      </w:r>
      <w:r>
        <w:rPr/>
        <w:t>de la</w:t>
      </w:r>
      <w:r>
        <w:rPr>
          <w:spacing w:val="-16"/>
        </w:rPr>
        <w:t> </w:t>
      </w:r>
      <w:r>
        <w:rPr/>
        <w:t>economía</w:t>
      </w:r>
      <w:r>
        <w:rPr>
          <w:spacing w:val="-18"/>
        </w:rPr>
        <w:t> </w:t>
      </w:r>
      <w:r>
        <w:rPr/>
        <w:t>familiar</w:t>
      </w:r>
      <w:r>
        <w:rPr>
          <w:spacing w:val="-17"/>
        </w:rPr>
        <w:t> </w:t>
      </w:r>
      <w:r>
        <w:rPr/>
        <w:t>y</w:t>
      </w:r>
      <w:r>
        <w:rPr>
          <w:spacing w:val="-19"/>
        </w:rPr>
        <w:t> </w:t>
      </w:r>
      <w:r>
        <w:rPr/>
        <w:t>el</w:t>
      </w:r>
      <w:r>
        <w:rPr>
          <w:spacing w:val="-17"/>
        </w:rPr>
        <w:t> </w:t>
      </w:r>
      <w:r>
        <w:rPr/>
        <w:t>desarrollo</w:t>
      </w:r>
      <w:r>
        <w:rPr>
          <w:spacing w:val="-16"/>
        </w:rPr>
        <w:t> </w:t>
      </w:r>
      <w:r>
        <w:rPr/>
        <w:t>social</w:t>
      </w:r>
      <w:r>
        <w:rPr>
          <w:spacing w:val="-19"/>
        </w:rPr>
        <w:t> </w:t>
      </w:r>
      <w:r>
        <w:rPr/>
        <w:t>regional</w:t>
      </w:r>
      <w:r>
        <w:rPr>
          <w:spacing w:val="-13"/>
        </w:rPr>
        <w:t> </w:t>
      </w:r>
      <w:r>
        <w:rPr/>
        <w:t>(Mora</w:t>
      </w:r>
      <w:r>
        <w:rPr>
          <w:spacing w:val="-19"/>
        </w:rPr>
        <w:t> </w:t>
      </w:r>
      <w:r>
        <w:rPr/>
        <w:t>y</w:t>
      </w:r>
      <w:r>
        <w:rPr>
          <w:spacing w:val="-19"/>
        </w:rPr>
        <w:t> </w:t>
      </w:r>
      <w:r>
        <w:rPr/>
        <w:t>Solano,</w:t>
      </w:r>
      <w:r>
        <w:rPr>
          <w:spacing w:val="-18"/>
        </w:rPr>
        <w:t> </w:t>
      </w:r>
      <w:r>
        <w:rPr/>
        <w:t>2015).</w:t>
      </w:r>
      <w:r>
        <w:rPr>
          <w:spacing w:val="-18"/>
        </w:rPr>
        <w:t> </w:t>
      </w:r>
      <w:r>
        <w:rPr/>
        <w:t>Thompson </w:t>
      </w:r>
      <w:r>
        <w:rPr>
          <w:i/>
        </w:rPr>
        <w:t>et al., </w:t>
      </w:r>
      <w:r>
        <w:rPr/>
        <w:t>(2007), consideran importante el valor nutricional de la carne de conejo, apreciada por sus características nutricionales y culinarias, al ser una carne magra con menor contenido de grasa, ácidos grasos saturados y colesterol, además de la características dietética de la carne, por su bajo contenido en purinas es considerada una carne  libre de ácido úrico (Malave </w:t>
      </w:r>
      <w:r>
        <w:rPr>
          <w:i/>
        </w:rPr>
        <w:t>et al.</w:t>
      </w:r>
      <w:r>
        <w:rPr/>
        <w:t>,</w:t>
      </w:r>
      <w:r>
        <w:rPr>
          <w:spacing w:val="-19"/>
        </w:rPr>
        <w:t> </w:t>
      </w:r>
      <w:r>
        <w:rPr/>
        <w:t>2013).</w:t>
      </w:r>
    </w:p>
    <w:p>
      <w:pPr>
        <w:pStyle w:val="BodyText"/>
        <w:spacing w:line="360" w:lineRule="auto" w:before="5"/>
        <w:ind w:left="152" w:right="106"/>
        <w:jc w:val="both"/>
      </w:pPr>
      <w:r>
        <w:rPr/>
        <w:t>En conejos de mayor edad se ha observado un aumento en los depósitos de grasa escapular e intersticial. Alguno autores consideran que es posible que el contenido de</w:t>
      </w:r>
      <w:r>
        <w:rPr>
          <w:spacing w:val="-18"/>
        </w:rPr>
        <w:t> </w:t>
      </w:r>
      <w:r>
        <w:rPr/>
        <w:t>grasa</w:t>
      </w:r>
      <w:r>
        <w:rPr>
          <w:spacing w:val="-17"/>
        </w:rPr>
        <w:t> </w:t>
      </w:r>
      <w:r>
        <w:rPr/>
        <w:t>de</w:t>
      </w:r>
      <w:r>
        <w:rPr>
          <w:spacing w:val="-18"/>
        </w:rPr>
        <w:t> </w:t>
      </w:r>
      <w:r>
        <w:rPr/>
        <w:t>la</w:t>
      </w:r>
      <w:r>
        <w:rPr>
          <w:spacing w:val="-18"/>
        </w:rPr>
        <w:t> </w:t>
      </w:r>
      <w:r>
        <w:rPr/>
        <w:t>carne</w:t>
      </w:r>
      <w:r>
        <w:rPr>
          <w:spacing w:val="-18"/>
        </w:rPr>
        <w:t> </w:t>
      </w:r>
      <w:r>
        <w:rPr/>
        <w:t>esté</w:t>
      </w:r>
      <w:r>
        <w:rPr>
          <w:spacing w:val="-18"/>
        </w:rPr>
        <w:t> </w:t>
      </w:r>
      <w:r>
        <w:rPr/>
        <w:t>relacionado</w:t>
      </w:r>
      <w:r>
        <w:rPr>
          <w:spacing w:val="-18"/>
        </w:rPr>
        <w:t> </w:t>
      </w:r>
      <w:r>
        <w:rPr/>
        <w:t>con</w:t>
      </w:r>
      <w:r>
        <w:rPr>
          <w:spacing w:val="-18"/>
        </w:rPr>
        <w:t> </w:t>
      </w:r>
      <w:r>
        <w:rPr/>
        <w:t>el</w:t>
      </w:r>
      <w:r>
        <w:rPr>
          <w:spacing w:val="-19"/>
        </w:rPr>
        <w:t> </w:t>
      </w:r>
      <w:r>
        <w:rPr/>
        <w:t>manejo</w:t>
      </w:r>
      <w:r>
        <w:rPr>
          <w:spacing w:val="-18"/>
        </w:rPr>
        <w:t> </w:t>
      </w:r>
      <w:r>
        <w:rPr/>
        <w:t>de</w:t>
      </w:r>
      <w:r>
        <w:rPr>
          <w:spacing w:val="-18"/>
        </w:rPr>
        <w:t> </w:t>
      </w:r>
      <w:r>
        <w:rPr/>
        <w:t>la</w:t>
      </w:r>
      <w:r>
        <w:rPr>
          <w:spacing w:val="-18"/>
        </w:rPr>
        <w:t> </w:t>
      </w:r>
      <w:r>
        <w:rPr/>
        <w:t>producción</w:t>
      </w:r>
      <w:r>
        <w:rPr>
          <w:spacing w:val="-20"/>
        </w:rPr>
        <w:t> </w:t>
      </w:r>
      <w:r>
        <w:rPr/>
        <w:t>de</w:t>
      </w:r>
      <w:r>
        <w:rPr>
          <w:spacing w:val="-18"/>
        </w:rPr>
        <w:t> </w:t>
      </w:r>
      <w:r>
        <w:rPr/>
        <w:t>los</w:t>
      </w:r>
      <w:r>
        <w:rPr>
          <w:spacing w:val="-18"/>
        </w:rPr>
        <w:t> </w:t>
      </w:r>
      <w:r>
        <w:rPr/>
        <w:t>conejos; la dieta y la edad al sacrificio favorezcan la cantidad de grasa en la canal, lo cual coincide</w:t>
      </w:r>
      <w:r>
        <w:rPr>
          <w:spacing w:val="-6"/>
        </w:rPr>
        <w:t> </w:t>
      </w:r>
      <w:r>
        <w:rPr/>
        <w:t>con</w:t>
      </w:r>
      <w:r>
        <w:rPr>
          <w:spacing w:val="-6"/>
        </w:rPr>
        <w:t> </w:t>
      </w:r>
      <w:r>
        <w:rPr/>
        <w:t>el</w:t>
      </w:r>
      <w:r>
        <w:rPr>
          <w:spacing w:val="-7"/>
        </w:rPr>
        <w:t> </w:t>
      </w:r>
      <w:r>
        <w:rPr/>
        <w:t>estudio</w:t>
      </w:r>
      <w:r>
        <w:rPr>
          <w:spacing w:val="-9"/>
        </w:rPr>
        <w:t> </w:t>
      </w:r>
      <w:r>
        <w:rPr/>
        <w:t>realizado</w:t>
      </w:r>
      <w:r>
        <w:rPr>
          <w:spacing w:val="-6"/>
        </w:rPr>
        <w:t> </w:t>
      </w:r>
      <w:r>
        <w:rPr/>
        <w:t>por</w:t>
      </w:r>
      <w:r>
        <w:rPr>
          <w:spacing w:val="-4"/>
        </w:rPr>
        <w:t> </w:t>
      </w:r>
      <w:r>
        <w:rPr/>
        <w:t>Zason</w:t>
      </w:r>
      <w:r>
        <w:rPr>
          <w:spacing w:val="-8"/>
        </w:rPr>
        <w:t> </w:t>
      </w:r>
      <w:r>
        <w:rPr>
          <w:i/>
        </w:rPr>
        <w:t>et</w:t>
      </w:r>
      <w:r>
        <w:rPr>
          <w:i/>
          <w:spacing w:val="-9"/>
        </w:rPr>
        <w:t> </w:t>
      </w:r>
      <w:r>
        <w:rPr>
          <w:i/>
        </w:rPr>
        <w:t>al.</w:t>
      </w:r>
      <w:r>
        <w:rPr/>
        <w:t>,</w:t>
      </w:r>
      <w:r>
        <w:rPr>
          <w:spacing w:val="-6"/>
        </w:rPr>
        <w:t> </w:t>
      </w:r>
      <w:r>
        <w:rPr/>
        <w:t>(1998),</w:t>
      </w:r>
      <w:r>
        <w:rPr>
          <w:spacing w:val="-6"/>
        </w:rPr>
        <w:t> </w:t>
      </w:r>
      <w:r>
        <w:rPr/>
        <w:t>en</w:t>
      </w:r>
      <w:r>
        <w:rPr>
          <w:spacing w:val="-8"/>
        </w:rPr>
        <w:t> </w:t>
      </w:r>
      <w:r>
        <w:rPr/>
        <w:t>donde</w:t>
      </w:r>
      <w:r>
        <w:rPr>
          <w:spacing w:val="-6"/>
        </w:rPr>
        <w:t> </w:t>
      </w:r>
      <w:r>
        <w:rPr/>
        <w:t>se</w:t>
      </w:r>
      <w:r>
        <w:rPr>
          <w:spacing w:val="-6"/>
        </w:rPr>
        <w:t> </w:t>
      </w:r>
      <w:r>
        <w:rPr/>
        <w:t>indica</w:t>
      </w:r>
      <w:r>
        <w:rPr>
          <w:spacing w:val="-6"/>
        </w:rPr>
        <w:t> </w:t>
      </w:r>
      <w:r>
        <w:rPr/>
        <w:t>que</w:t>
      </w:r>
      <w:r>
        <w:rPr>
          <w:spacing w:val="-6"/>
        </w:rPr>
        <w:t> </w:t>
      </w:r>
      <w:r>
        <w:rPr/>
        <w:t>la composición de la carne de conejo se ve afectada por la raza y su conformación anatómica; al avanzar la edad, la grasa corporal acumulada es mayor y menor el contenido de colágeno. De manera similar el sexo incrementa la grasa intramuscular, en los machos aumentan la concentración de grasa cuando la dieta excede</w:t>
      </w:r>
      <w:r>
        <w:rPr>
          <w:spacing w:val="-9"/>
        </w:rPr>
        <w:t> </w:t>
      </w:r>
      <w:r>
        <w:rPr/>
        <w:t>en</w:t>
      </w:r>
      <w:r>
        <w:rPr>
          <w:spacing w:val="-12"/>
        </w:rPr>
        <w:t> </w:t>
      </w:r>
      <w:r>
        <w:rPr/>
        <w:t>la</w:t>
      </w:r>
      <w:r>
        <w:rPr>
          <w:spacing w:val="-10"/>
        </w:rPr>
        <w:t> </w:t>
      </w:r>
      <w:r>
        <w:rPr/>
        <w:t>proporción</w:t>
      </w:r>
      <w:r>
        <w:rPr>
          <w:spacing w:val="-9"/>
        </w:rPr>
        <w:t> </w:t>
      </w:r>
      <w:r>
        <w:rPr/>
        <w:t>de</w:t>
      </w:r>
      <w:r>
        <w:rPr>
          <w:spacing w:val="-12"/>
        </w:rPr>
        <w:t> </w:t>
      </w:r>
      <w:r>
        <w:rPr/>
        <w:t>energía</w:t>
      </w:r>
      <w:r>
        <w:rPr>
          <w:spacing w:val="-6"/>
        </w:rPr>
        <w:t> </w:t>
      </w:r>
      <w:r>
        <w:rPr/>
        <w:t>(Virág</w:t>
      </w:r>
      <w:r>
        <w:rPr>
          <w:spacing w:val="-11"/>
        </w:rPr>
        <w:t> </w:t>
      </w:r>
      <w:r>
        <w:rPr>
          <w:i/>
        </w:rPr>
        <w:t>et</w:t>
      </w:r>
      <w:r>
        <w:rPr>
          <w:i/>
          <w:spacing w:val="-10"/>
        </w:rPr>
        <w:t> </w:t>
      </w:r>
      <w:r>
        <w:rPr>
          <w:i/>
        </w:rPr>
        <w:t>al.</w:t>
      </w:r>
      <w:r>
        <w:rPr/>
        <w:t>,</w:t>
      </w:r>
      <w:r>
        <w:rPr>
          <w:spacing w:val="-10"/>
        </w:rPr>
        <w:t> </w:t>
      </w:r>
      <w:r>
        <w:rPr/>
        <w:t>2008).</w:t>
      </w:r>
      <w:r>
        <w:rPr>
          <w:spacing w:val="-12"/>
        </w:rPr>
        <w:t> </w:t>
      </w:r>
      <w:r>
        <w:rPr/>
        <w:t>Por</w:t>
      </w:r>
      <w:r>
        <w:rPr>
          <w:spacing w:val="-11"/>
        </w:rPr>
        <w:t> </w:t>
      </w:r>
      <w:r>
        <w:rPr/>
        <w:t>otro</w:t>
      </w:r>
      <w:r>
        <w:rPr>
          <w:spacing w:val="-10"/>
        </w:rPr>
        <w:t> </w:t>
      </w:r>
      <w:r>
        <w:rPr/>
        <w:t>lado,</w:t>
      </w:r>
      <w:r>
        <w:rPr>
          <w:spacing w:val="-10"/>
        </w:rPr>
        <w:t> </w:t>
      </w:r>
      <w:r>
        <w:rPr/>
        <w:t>los</w:t>
      </w:r>
      <w:r>
        <w:rPr>
          <w:spacing w:val="-10"/>
        </w:rPr>
        <w:t> </w:t>
      </w:r>
      <w:r>
        <w:rPr/>
        <w:t>resultados del efecto de la región y la localidad en el peso al sacrificio, peso canal y rendimiento, indican que no hay una diferencia en los valores</w:t>
      </w:r>
      <w:r>
        <w:rPr>
          <w:spacing w:val="-23"/>
        </w:rPr>
        <w:t> </w:t>
      </w:r>
      <w:r>
        <w:rPr/>
        <w:t>obtenidos.</w:t>
      </w:r>
    </w:p>
    <w:p>
      <w:pPr>
        <w:pStyle w:val="BodyText"/>
        <w:spacing w:line="360" w:lineRule="auto" w:before="204"/>
        <w:ind w:left="152" w:right="105"/>
        <w:jc w:val="both"/>
      </w:pPr>
      <w:r>
        <w:rPr/>
        <w:t>En los métodos empleados en la evaluación de la contaminación de las canales, ambos  métodos evaluados  demuestran  que no  hay  diferencia  estadistica entre</w:t>
      </w:r>
    </w:p>
    <w:p>
      <w:pPr>
        <w:spacing w:after="0" w:line="360" w:lineRule="auto"/>
        <w:jc w:val="both"/>
        <w:sectPr>
          <w:pgSz w:w="12240" w:h="15840"/>
          <w:pgMar w:header="0" w:footer="1326" w:top="1500" w:bottom="1580" w:left="1720" w:right="1420"/>
        </w:sectPr>
      </w:pPr>
    </w:p>
    <w:p>
      <w:pPr>
        <w:pStyle w:val="BodyText"/>
        <w:spacing w:before="2"/>
        <w:rPr>
          <w:sz w:val="21"/>
        </w:rPr>
      </w:pPr>
    </w:p>
    <w:p>
      <w:pPr>
        <w:pStyle w:val="BodyText"/>
        <w:spacing w:line="360" w:lineRule="auto" w:before="69"/>
        <w:ind w:left="152" w:right="104"/>
        <w:jc w:val="both"/>
      </w:pPr>
      <w:r>
        <w:rPr/>
        <w:t>ambos. Sin embargo el estudio sugiere que el muestreo de superficies puede ser una técnica asequible para la estimación de la carga microbiana de la canal en el monitoreo sanitario en rastros de tipo familiar.</w:t>
      </w:r>
    </w:p>
    <w:p>
      <w:pPr>
        <w:pStyle w:val="BodyText"/>
        <w:spacing w:line="360" w:lineRule="auto" w:before="202"/>
        <w:ind w:left="152" w:right="105"/>
        <w:jc w:val="both"/>
      </w:pPr>
      <w:r>
        <w:rPr/>
        <w:t>En estudios realizados por Goñi </w:t>
      </w:r>
      <w:r>
        <w:rPr>
          <w:i/>
        </w:rPr>
        <w:t>et al</w:t>
      </w:r>
      <w:r>
        <w:rPr/>
        <w:t>., (2004), y Viana </w:t>
      </w:r>
      <w:r>
        <w:rPr>
          <w:i/>
        </w:rPr>
        <w:t>et al.</w:t>
      </w:r>
      <w:r>
        <w:rPr/>
        <w:t>, (2011), refieren que la bacteria de MRSA infecta pequeñas lesiones e invade tejido subcutáneo; y que todas</w:t>
      </w:r>
      <w:r>
        <w:rPr>
          <w:spacing w:val="-17"/>
        </w:rPr>
        <w:t> </w:t>
      </w:r>
      <w:r>
        <w:rPr/>
        <w:t>las</w:t>
      </w:r>
      <w:r>
        <w:rPr>
          <w:spacing w:val="-17"/>
        </w:rPr>
        <w:t> </w:t>
      </w:r>
      <w:r>
        <w:rPr/>
        <w:t>infecciones</w:t>
      </w:r>
      <w:r>
        <w:rPr>
          <w:spacing w:val="-17"/>
        </w:rPr>
        <w:t> </w:t>
      </w:r>
      <w:r>
        <w:rPr/>
        <w:t>de</w:t>
      </w:r>
      <w:r>
        <w:rPr>
          <w:spacing w:val="-12"/>
        </w:rPr>
        <w:t> </w:t>
      </w:r>
      <w:r>
        <w:rPr>
          <w:i/>
        </w:rPr>
        <w:t>S.</w:t>
      </w:r>
      <w:r>
        <w:rPr>
          <w:i/>
          <w:spacing w:val="-17"/>
        </w:rPr>
        <w:t> </w:t>
      </w:r>
      <w:r>
        <w:rPr>
          <w:i/>
        </w:rPr>
        <w:t>aureus</w:t>
      </w:r>
      <w:r>
        <w:rPr>
          <w:i/>
          <w:spacing w:val="-17"/>
        </w:rPr>
        <w:t> </w:t>
      </w:r>
      <w:r>
        <w:rPr/>
        <w:t>tienen</w:t>
      </w:r>
      <w:r>
        <w:rPr>
          <w:spacing w:val="-16"/>
        </w:rPr>
        <w:t> </w:t>
      </w:r>
      <w:r>
        <w:rPr/>
        <w:t>una</w:t>
      </w:r>
      <w:r>
        <w:rPr>
          <w:spacing w:val="-19"/>
        </w:rPr>
        <w:t> </w:t>
      </w:r>
      <w:r>
        <w:rPr/>
        <w:t>apariencia</w:t>
      </w:r>
      <w:r>
        <w:rPr>
          <w:spacing w:val="-14"/>
        </w:rPr>
        <w:t> </w:t>
      </w:r>
      <w:r>
        <w:rPr/>
        <w:t>clínica</w:t>
      </w:r>
      <w:r>
        <w:rPr>
          <w:spacing w:val="-14"/>
        </w:rPr>
        <w:t> </w:t>
      </w:r>
      <w:r>
        <w:rPr/>
        <w:t>similar,</w:t>
      </w:r>
      <w:r>
        <w:rPr>
          <w:spacing w:val="-15"/>
        </w:rPr>
        <w:t> </w:t>
      </w:r>
      <w:r>
        <w:rPr/>
        <w:t>con</w:t>
      </w:r>
      <w:r>
        <w:rPr>
          <w:spacing w:val="-14"/>
        </w:rPr>
        <w:t> </w:t>
      </w:r>
      <w:r>
        <w:rPr/>
        <w:t>lesiones de pododermatitis y abscesos subcutáneos</w:t>
      </w:r>
      <w:r>
        <w:rPr>
          <w:spacing w:val="-17"/>
        </w:rPr>
        <w:t> </w:t>
      </w:r>
      <w:r>
        <w:rPr/>
        <w:t>principalmente.</w:t>
      </w:r>
    </w:p>
    <w:p>
      <w:pPr>
        <w:pStyle w:val="BodyText"/>
        <w:spacing w:line="360" w:lineRule="auto" w:before="5"/>
        <w:ind w:left="152" w:right="106"/>
        <w:jc w:val="both"/>
      </w:pPr>
      <w:r>
        <w:rPr/>
        <w:t>La transmisión de alta y baja virulencia de MRSA de cepas de hombre a conejo o entre conejos pueden ser directos o indirectos, a través de las jaulas, pelos o alimentos (Vancraeynest </w:t>
      </w:r>
      <w:r>
        <w:rPr>
          <w:i/>
        </w:rPr>
        <w:t>et al., </w:t>
      </w:r>
      <w:r>
        <w:rPr/>
        <w:t>2004; Hermans </w:t>
      </w:r>
      <w:r>
        <w:rPr>
          <w:i/>
        </w:rPr>
        <w:t>et al</w:t>
      </w:r>
      <w:r>
        <w:rPr/>
        <w:t>., 1999; Viana </w:t>
      </w:r>
      <w:r>
        <w:rPr>
          <w:i/>
        </w:rPr>
        <w:t>et al., </w:t>
      </w:r>
      <w:r>
        <w:rPr/>
        <w:t>2007). La transmisión directa de las bacterias MRSA pueden producirse entre gazapos y heces, entre compañeros de camada y entre compañeros estables</w:t>
      </w:r>
      <w:r>
        <w:rPr>
          <w:color w:val="FF0000"/>
        </w:rPr>
        <w:t>. </w:t>
      </w:r>
      <w:r>
        <w:rPr/>
        <w:t>La contaminación por patógenos es considerada importante en términos de salud alimentaria.</w:t>
      </w:r>
      <w:r>
        <w:rPr>
          <w:spacing w:val="-12"/>
        </w:rPr>
        <w:t> </w:t>
      </w:r>
      <w:r>
        <w:rPr/>
        <w:t>Es</w:t>
      </w:r>
      <w:r>
        <w:rPr>
          <w:spacing w:val="-13"/>
        </w:rPr>
        <w:t> </w:t>
      </w:r>
      <w:r>
        <w:rPr/>
        <w:t>comúnmente</w:t>
      </w:r>
      <w:r>
        <w:rPr>
          <w:spacing w:val="-11"/>
        </w:rPr>
        <w:t> </w:t>
      </w:r>
      <w:r>
        <w:rPr/>
        <w:t>encontrarlo</w:t>
      </w:r>
      <w:r>
        <w:rPr>
          <w:spacing w:val="-9"/>
        </w:rPr>
        <w:t> </w:t>
      </w:r>
      <w:r>
        <w:rPr/>
        <w:t>en</w:t>
      </w:r>
      <w:r>
        <w:rPr>
          <w:spacing w:val="-12"/>
        </w:rPr>
        <w:t> </w:t>
      </w:r>
      <w:r>
        <w:rPr/>
        <w:t>la</w:t>
      </w:r>
      <w:r>
        <w:rPr>
          <w:spacing w:val="-10"/>
        </w:rPr>
        <w:t> </w:t>
      </w:r>
      <w:r>
        <w:rPr/>
        <w:t>canal</w:t>
      </w:r>
      <w:r>
        <w:rPr>
          <w:spacing w:val="-13"/>
        </w:rPr>
        <w:t> </w:t>
      </w:r>
      <w:r>
        <w:rPr/>
        <w:t>y</w:t>
      </w:r>
      <w:r>
        <w:rPr>
          <w:spacing w:val="-13"/>
        </w:rPr>
        <w:t> </w:t>
      </w:r>
      <w:r>
        <w:rPr/>
        <w:t>los</w:t>
      </w:r>
      <w:r>
        <w:rPr>
          <w:spacing w:val="-10"/>
        </w:rPr>
        <w:t> </w:t>
      </w:r>
      <w:r>
        <w:rPr/>
        <w:t>cortes,</w:t>
      </w:r>
      <w:r>
        <w:rPr>
          <w:spacing w:val="-12"/>
        </w:rPr>
        <w:t> </w:t>
      </w:r>
      <w:r>
        <w:rPr/>
        <w:t>y</w:t>
      </w:r>
      <w:r>
        <w:rPr>
          <w:spacing w:val="-13"/>
        </w:rPr>
        <w:t> </w:t>
      </w:r>
      <w:r>
        <w:rPr/>
        <w:t>la</w:t>
      </w:r>
      <w:r>
        <w:rPr>
          <w:spacing w:val="-10"/>
        </w:rPr>
        <w:t> </w:t>
      </w:r>
      <w:r>
        <w:rPr/>
        <w:t>contaminación staphylococal puede o no resultar de lesiones. Las cepas de humanos probablemente</w:t>
      </w:r>
      <w:r>
        <w:rPr>
          <w:spacing w:val="-17"/>
        </w:rPr>
        <w:t> </w:t>
      </w:r>
      <w:r>
        <w:rPr/>
        <w:t>estén</w:t>
      </w:r>
      <w:r>
        <w:rPr>
          <w:spacing w:val="-19"/>
        </w:rPr>
        <w:t> </w:t>
      </w:r>
      <w:r>
        <w:rPr/>
        <w:t>presentes,</w:t>
      </w:r>
      <w:r>
        <w:rPr>
          <w:spacing w:val="-17"/>
        </w:rPr>
        <w:t> </w:t>
      </w:r>
      <w:r>
        <w:rPr/>
        <w:t>especialmente</w:t>
      </w:r>
      <w:r>
        <w:rPr>
          <w:spacing w:val="-17"/>
        </w:rPr>
        <w:t> </w:t>
      </w:r>
      <w:r>
        <w:rPr/>
        <w:t>si</w:t>
      </w:r>
      <w:r>
        <w:rPr>
          <w:spacing w:val="-18"/>
        </w:rPr>
        <w:t> </w:t>
      </w:r>
      <w:r>
        <w:rPr/>
        <w:t>un</w:t>
      </w:r>
      <w:r>
        <w:rPr>
          <w:spacing w:val="-19"/>
        </w:rPr>
        <w:t> </w:t>
      </w:r>
      <w:r>
        <w:rPr/>
        <w:t>alto</w:t>
      </w:r>
      <w:r>
        <w:rPr>
          <w:spacing w:val="-17"/>
        </w:rPr>
        <w:t> </w:t>
      </w:r>
      <w:r>
        <w:rPr/>
        <w:t>nivel</w:t>
      </w:r>
      <w:r>
        <w:rPr>
          <w:spacing w:val="-18"/>
        </w:rPr>
        <w:t> </w:t>
      </w:r>
      <w:r>
        <w:rPr/>
        <w:t>de</w:t>
      </w:r>
      <w:r>
        <w:rPr>
          <w:spacing w:val="-19"/>
        </w:rPr>
        <w:t> </w:t>
      </w:r>
      <w:r>
        <w:rPr/>
        <w:t>manipulación</w:t>
      </w:r>
      <w:r>
        <w:rPr>
          <w:spacing w:val="-17"/>
        </w:rPr>
        <w:t> </w:t>
      </w:r>
      <w:r>
        <w:rPr/>
        <w:t>está involucrado durante el proceso y si la higiene es deficiente. Sin embargo, ciertas cepas pueden colonizar el ambiente y contaminar la canal, los cortes y el equipo (Rodríguez </w:t>
      </w:r>
      <w:r>
        <w:rPr>
          <w:i/>
        </w:rPr>
        <w:t>et al</w:t>
      </w:r>
      <w:r>
        <w:rPr/>
        <w:t>.,</w:t>
      </w:r>
      <w:r>
        <w:rPr>
          <w:spacing w:val="-10"/>
        </w:rPr>
        <w:t> </w:t>
      </w:r>
      <w:r>
        <w:rPr/>
        <w:t>2006).</w:t>
      </w:r>
    </w:p>
    <w:p>
      <w:pPr>
        <w:spacing w:line="360" w:lineRule="auto" w:before="2"/>
        <w:ind w:left="152" w:right="104" w:firstLine="0"/>
        <w:jc w:val="both"/>
        <w:rPr>
          <w:sz w:val="24"/>
        </w:rPr>
      </w:pPr>
      <w:r>
        <w:rPr>
          <w:sz w:val="24"/>
        </w:rPr>
        <w:t>En este estudio tambien se determinaron otro tipo de </w:t>
      </w:r>
      <w:r>
        <w:rPr>
          <w:i/>
          <w:sz w:val="24"/>
        </w:rPr>
        <w:t>Staphylococcus </w:t>
      </w:r>
      <w:r>
        <w:rPr>
          <w:sz w:val="24"/>
        </w:rPr>
        <w:t>cuagualasa negativo</w:t>
      </w:r>
      <w:r>
        <w:rPr>
          <w:spacing w:val="-12"/>
          <w:sz w:val="24"/>
        </w:rPr>
        <w:t> </w:t>
      </w:r>
      <w:r>
        <w:rPr>
          <w:sz w:val="24"/>
        </w:rPr>
        <w:t>(SCN)</w:t>
      </w:r>
      <w:r>
        <w:rPr>
          <w:spacing w:val="-13"/>
          <w:sz w:val="24"/>
        </w:rPr>
        <w:t> </w:t>
      </w:r>
      <w:r>
        <w:rPr>
          <w:sz w:val="24"/>
        </w:rPr>
        <w:t>como</w:t>
      </w:r>
      <w:r>
        <w:rPr>
          <w:spacing w:val="-10"/>
          <w:sz w:val="24"/>
        </w:rPr>
        <w:t> </w:t>
      </w:r>
      <w:r>
        <w:rPr>
          <w:i/>
          <w:sz w:val="24"/>
        </w:rPr>
        <w:t>Staphylococcus</w:t>
      </w:r>
      <w:r>
        <w:rPr>
          <w:i/>
          <w:spacing w:val="-13"/>
          <w:sz w:val="24"/>
        </w:rPr>
        <w:t> </w:t>
      </w:r>
      <w:r>
        <w:rPr>
          <w:i/>
          <w:sz w:val="24"/>
        </w:rPr>
        <w:t>epidermidis</w:t>
      </w:r>
      <w:r>
        <w:rPr>
          <w:i/>
          <w:spacing w:val="-10"/>
          <w:sz w:val="24"/>
        </w:rPr>
        <w:t> </w:t>
      </w:r>
      <w:r>
        <w:rPr>
          <w:sz w:val="24"/>
        </w:rPr>
        <w:t>88.10%,</w:t>
      </w:r>
      <w:r>
        <w:rPr>
          <w:spacing w:val="-11"/>
          <w:sz w:val="24"/>
        </w:rPr>
        <w:t> </w:t>
      </w:r>
      <w:r>
        <w:rPr>
          <w:i/>
          <w:sz w:val="24"/>
        </w:rPr>
        <w:t>Staphylococcus</w:t>
      </w:r>
      <w:r>
        <w:rPr>
          <w:i/>
          <w:spacing w:val="-11"/>
          <w:sz w:val="24"/>
        </w:rPr>
        <w:t> </w:t>
      </w:r>
      <w:r>
        <w:rPr>
          <w:i/>
          <w:sz w:val="24"/>
        </w:rPr>
        <w:t>xylosus </w:t>
      </w:r>
      <w:r>
        <w:rPr>
          <w:sz w:val="24"/>
        </w:rPr>
        <w:t>9.05% seguido en menor cantidad de </w:t>
      </w:r>
      <w:r>
        <w:rPr>
          <w:i/>
          <w:sz w:val="24"/>
        </w:rPr>
        <w:t>Staphylococcus sciuri</w:t>
      </w:r>
      <w:r>
        <w:rPr>
          <w:sz w:val="24"/>
        </w:rPr>
        <w:t>, </w:t>
      </w:r>
      <w:r>
        <w:rPr>
          <w:i/>
          <w:sz w:val="24"/>
        </w:rPr>
        <w:t>Staphylococcus </w:t>
      </w:r>
      <w:r>
        <w:rPr>
          <w:i/>
          <w:sz w:val="24"/>
        </w:rPr>
        <w:t>hominis</w:t>
      </w:r>
      <w:r>
        <w:rPr>
          <w:sz w:val="24"/>
        </w:rPr>
        <w:t>, </w:t>
      </w:r>
      <w:r>
        <w:rPr>
          <w:i/>
          <w:sz w:val="24"/>
        </w:rPr>
        <w:t>Staphylococcus lentus</w:t>
      </w:r>
      <w:r>
        <w:rPr>
          <w:sz w:val="24"/>
        </w:rPr>
        <w:t>, y </w:t>
      </w:r>
      <w:r>
        <w:rPr>
          <w:i/>
          <w:sz w:val="24"/>
        </w:rPr>
        <w:t>Staphylococcus cohnii </w:t>
      </w:r>
      <w:r>
        <w:rPr>
          <w:sz w:val="24"/>
        </w:rPr>
        <w:t>en menor porcentaje (0.48%).</w:t>
      </w:r>
      <w:r>
        <w:rPr>
          <w:spacing w:val="46"/>
          <w:sz w:val="24"/>
        </w:rPr>
        <w:t> </w:t>
      </w:r>
      <w:r>
        <w:rPr>
          <w:sz w:val="24"/>
        </w:rPr>
        <w:t>Por</w:t>
      </w:r>
      <w:r>
        <w:rPr>
          <w:spacing w:val="-11"/>
          <w:sz w:val="24"/>
        </w:rPr>
        <w:t> </w:t>
      </w:r>
      <w:r>
        <w:rPr>
          <w:sz w:val="24"/>
        </w:rPr>
        <w:t>ser</w:t>
      </w:r>
      <w:r>
        <w:rPr>
          <w:spacing w:val="-11"/>
          <w:sz w:val="24"/>
        </w:rPr>
        <w:t> </w:t>
      </w:r>
      <w:r>
        <w:rPr>
          <w:sz w:val="24"/>
        </w:rPr>
        <w:t>comensales</w:t>
      </w:r>
      <w:r>
        <w:rPr>
          <w:spacing w:val="-10"/>
          <w:sz w:val="24"/>
        </w:rPr>
        <w:t> </w:t>
      </w:r>
      <w:r>
        <w:rPr>
          <w:sz w:val="24"/>
        </w:rPr>
        <w:t>de</w:t>
      </w:r>
      <w:r>
        <w:rPr>
          <w:spacing w:val="-10"/>
          <w:sz w:val="24"/>
        </w:rPr>
        <w:t> </w:t>
      </w:r>
      <w:r>
        <w:rPr>
          <w:sz w:val="24"/>
        </w:rPr>
        <w:t>la</w:t>
      </w:r>
      <w:r>
        <w:rPr>
          <w:spacing w:val="-10"/>
          <w:sz w:val="24"/>
        </w:rPr>
        <w:t> </w:t>
      </w:r>
      <w:r>
        <w:rPr>
          <w:sz w:val="24"/>
        </w:rPr>
        <w:t>piel,</w:t>
      </w:r>
      <w:r>
        <w:rPr>
          <w:spacing w:val="-11"/>
          <w:sz w:val="24"/>
        </w:rPr>
        <w:t> </w:t>
      </w:r>
      <w:r>
        <w:rPr>
          <w:sz w:val="24"/>
        </w:rPr>
        <w:t>los</w:t>
      </w:r>
      <w:r>
        <w:rPr>
          <w:spacing w:val="-10"/>
          <w:sz w:val="24"/>
        </w:rPr>
        <w:t> </w:t>
      </w:r>
      <w:r>
        <w:rPr>
          <w:sz w:val="24"/>
        </w:rPr>
        <w:t>SCN</w:t>
      </w:r>
      <w:r>
        <w:rPr>
          <w:spacing w:val="-12"/>
          <w:sz w:val="24"/>
        </w:rPr>
        <w:t> </w:t>
      </w:r>
      <w:r>
        <w:rPr>
          <w:sz w:val="24"/>
        </w:rPr>
        <w:t>también</w:t>
      </w:r>
      <w:r>
        <w:rPr>
          <w:spacing w:val="-9"/>
          <w:sz w:val="24"/>
        </w:rPr>
        <w:t> </w:t>
      </w:r>
      <w:r>
        <w:rPr>
          <w:sz w:val="24"/>
        </w:rPr>
        <w:t>son</w:t>
      </w:r>
      <w:r>
        <w:rPr>
          <w:spacing w:val="-10"/>
          <w:sz w:val="24"/>
        </w:rPr>
        <w:t> </w:t>
      </w:r>
      <w:r>
        <w:rPr>
          <w:sz w:val="24"/>
        </w:rPr>
        <w:t>uno</w:t>
      </w:r>
      <w:r>
        <w:rPr>
          <w:spacing w:val="-10"/>
          <w:sz w:val="24"/>
        </w:rPr>
        <w:t> </w:t>
      </w:r>
      <w:r>
        <w:rPr>
          <w:sz w:val="24"/>
        </w:rPr>
        <w:t>de</w:t>
      </w:r>
      <w:r>
        <w:rPr>
          <w:spacing w:val="-10"/>
          <w:sz w:val="24"/>
        </w:rPr>
        <w:t> </w:t>
      </w:r>
      <w:r>
        <w:rPr>
          <w:sz w:val="24"/>
        </w:rPr>
        <w:t>los</w:t>
      </w:r>
      <w:r>
        <w:rPr>
          <w:spacing w:val="-10"/>
          <w:sz w:val="24"/>
        </w:rPr>
        <w:t> </w:t>
      </w:r>
      <w:r>
        <w:rPr>
          <w:sz w:val="24"/>
        </w:rPr>
        <w:t>principales agentes etiológicos de las bacteriemias relacionadas infecciones intrahospitalarias. Asimismo, son responsables de infecciones asociadas al empleo de dispositivos protésicos, de abscesos superficiales y de infecciones en piel e infecciones oftalmológicas (Palecino,</w:t>
      </w:r>
      <w:r>
        <w:rPr>
          <w:spacing w:val="-10"/>
          <w:sz w:val="24"/>
        </w:rPr>
        <w:t> </w:t>
      </w:r>
      <w:r>
        <w:rPr>
          <w:sz w:val="24"/>
        </w:rPr>
        <w:t>2002).</w:t>
      </w:r>
    </w:p>
    <w:p>
      <w:pPr>
        <w:spacing w:after="0" w:line="360" w:lineRule="auto"/>
        <w:jc w:val="both"/>
        <w:rPr>
          <w:sz w:val="24"/>
        </w:rPr>
        <w:sectPr>
          <w:pgSz w:w="12240" w:h="15840"/>
          <w:pgMar w:header="0" w:footer="1326" w:top="1500" w:bottom="1580" w:left="1720" w:right="1420"/>
        </w:sectPr>
      </w:pPr>
    </w:p>
    <w:p>
      <w:pPr>
        <w:pStyle w:val="BodyText"/>
        <w:spacing w:before="11"/>
        <w:rPr>
          <w:sz w:val="20"/>
        </w:rPr>
      </w:pPr>
    </w:p>
    <w:p>
      <w:pPr>
        <w:pStyle w:val="BodyText"/>
        <w:spacing w:line="360" w:lineRule="auto" w:before="69"/>
        <w:ind w:left="152" w:right="102"/>
        <w:jc w:val="both"/>
      </w:pPr>
      <w:r>
        <w:rPr/>
        <w:t>Shimizu e</w:t>
      </w:r>
      <w:r>
        <w:rPr>
          <w:i/>
        </w:rPr>
        <w:t>t al</w:t>
      </w:r>
      <w:r>
        <w:rPr/>
        <w:t>,. (1986) determinan la presencia de </w:t>
      </w:r>
      <w:r>
        <w:rPr>
          <w:i/>
        </w:rPr>
        <w:t>Staphylococcus xylosus </w:t>
      </w:r>
      <w:r>
        <w:rPr/>
        <w:t>y </w:t>
      </w:r>
      <w:r>
        <w:rPr>
          <w:i/>
        </w:rPr>
        <w:t>Staphylococcus cohnii </w:t>
      </w:r>
      <w:r>
        <w:rPr/>
        <w:t>en conejos, lo que indica que similitud con los resultados obtenidos en el estudio realizado. El </w:t>
      </w:r>
      <w:r>
        <w:rPr>
          <w:i/>
        </w:rPr>
        <w:t>Staphylococcus sciuri</w:t>
      </w:r>
      <w:r>
        <w:rPr/>
        <w:t>, es considerado un habitante común de humanos y animales; comúnmente se encuentra en los alimentos contaminados. Sin embargo se han incrementado las infecciones intrahospitalarias como endocarditis, peritonitis, infecciones urinarias, incluso se</w:t>
      </w:r>
      <w:r>
        <w:rPr>
          <w:spacing w:val="-33"/>
        </w:rPr>
        <w:t> </w:t>
      </w:r>
      <w:r>
        <w:rPr/>
        <w:t>ha documentado</w:t>
      </w:r>
      <w:r>
        <w:rPr>
          <w:spacing w:val="-19"/>
        </w:rPr>
        <w:t> </w:t>
      </w:r>
      <w:r>
        <w:rPr/>
        <w:t>como</w:t>
      </w:r>
      <w:r>
        <w:rPr>
          <w:spacing w:val="-19"/>
        </w:rPr>
        <w:t> </w:t>
      </w:r>
      <w:r>
        <w:rPr/>
        <w:t>microorganismo</w:t>
      </w:r>
      <w:r>
        <w:rPr>
          <w:spacing w:val="-19"/>
        </w:rPr>
        <w:t> </w:t>
      </w:r>
      <w:r>
        <w:rPr/>
        <w:t>resistente</w:t>
      </w:r>
      <w:r>
        <w:rPr>
          <w:spacing w:val="-17"/>
        </w:rPr>
        <w:t> </w:t>
      </w:r>
      <w:r>
        <w:rPr/>
        <w:t>a</w:t>
      </w:r>
      <w:r>
        <w:rPr>
          <w:spacing w:val="-19"/>
        </w:rPr>
        <w:t> </w:t>
      </w:r>
      <w:r>
        <w:rPr/>
        <w:t>los</w:t>
      </w:r>
      <w:r>
        <w:rPr>
          <w:spacing w:val="-19"/>
        </w:rPr>
        <w:t> </w:t>
      </w:r>
      <w:r>
        <w:rPr/>
        <w:t>antibióticos</w:t>
      </w:r>
      <w:r>
        <w:rPr>
          <w:spacing w:val="-19"/>
        </w:rPr>
        <w:t> </w:t>
      </w:r>
      <w:r>
        <w:rPr/>
        <w:t>(Dakié</w:t>
      </w:r>
      <w:r>
        <w:rPr>
          <w:spacing w:val="-12"/>
        </w:rPr>
        <w:t> </w:t>
      </w:r>
      <w:r>
        <w:rPr>
          <w:i/>
        </w:rPr>
        <w:t>et</w:t>
      </w:r>
      <w:r>
        <w:rPr>
          <w:i/>
          <w:spacing w:val="-19"/>
        </w:rPr>
        <w:t> </w:t>
      </w:r>
      <w:r>
        <w:rPr>
          <w:i/>
        </w:rPr>
        <w:t>al</w:t>
      </w:r>
      <w:r>
        <w:rPr/>
        <w:t>.,</w:t>
      </w:r>
      <w:r>
        <w:rPr>
          <w:spacing w:val="-19"/>
        </w:rPr>
        <w:t> </w:t>
      </w:r>
      <w:r>
        <w:rPr/>
        <w:t>2005). De igual manera Palavecino (2002), determina la presencia de </w:t>
      </w:r>
      <w:r>
        <w:rPr>
          <w:i/>
        </w:rPr>
        <w:t>Staphylococuus </w:t>
      </w:r>
      <w:r>
        <w:rPr>
          <w:i/>
        </w:rPr>
        <w:t>hominis </w:t>
      </w:r>
      <w:r>
        <w:rPr/>
        <w:t>como resistente a la oxacilina. </w:t>
      </w:r>
      <w:r>
        <w:rPr>
          <w:i/>
        </w:rPr>
        <w:t>Staphylococcus xylosus </w:t>
      </w:r>
      <w:r>
        <w:rPr/>
        <w:t>y </w:t>
      </w:r>
      <w:r>
        <w:rPr>
          <w:i/>
        </w:rPr>
        <w:t>Staphylococcus </w:t>
      </w:r>
      <w:r>
        <w:rPr>
          <w:i/>
        </w:rPr>
        <w:t>cohnii </w:t>
      </w:r>
      <w:r>
        <w:rPr/>
        <w:t>también tienen importancia en las infecciones intra hospitalarias (Predari, 2007), al igual que el </w:t>
      </w:r>
      <w:r>
        <w:rPr>
          <w:i/>
        </w:rPr>
        <w:t>Staphylococcus epidermidis </w:t>
      </w:r>
      <w:r>
        <w:rPr/>
        <w:t>son microorganismos aislados con</w:t>
      </w:r>
      <w:r>
        <w:rPr>
          <w:spacing w:val="-16"/>
        </w:rPr>
        <w:t> </w:t>
      </w:r>
      <w:r>
        <w:rPr/>
        <w:t>mayor</w:t>
      </w:r>
      <w:r>
        <w:rPr>
          <w:spacing w:val="-15"/>
        </w:rPr>
        <w:t> </w:t>
      </w:r>
      <w:r>
        <w:rPr/>
        <w:t>frecuencia,</w:t>
      </w:r>
      <w:r>
        <w:rPr>
          <w:spacing w:val="-16"/>
        </w:rPr>
        <w:t> </w:t>
      </w:r>
      <w:r>
        <w:rPr/>
        <w:t>presentando</w:t>
      </w:r>
      <w:r>
        <w:rPr>
          <w:spacing w:val="-13"/>
        </w:rPr>
        <w:t> </w:t>
      </w:r>
      <w:r>
        <w:rPr/>
        <w:t>resistencia</w:t>
      </w:r>
      <w:r>
        <w:rPr>
          <w:spacing w:val="-13"/>
        </w:rPr>
        <w:t> </w:t>
      </w:r>
      <w:r>
        <w:rPr/>
        <w:t>a</w:t>
      </w:r>
      <w:r>
        <w:rPr>
          <w:spacing w:val="-16"/>
        </w:rPr>
        <w:t> </w:t>
      </w:r>
      <w:r>
        <w:rPr/>
        <w:t>meticilina</w:t>
      </w:r>
      <w:r>
        <w:rPr>
          <w:spacing w:val="-15"/>
        </w:rPr>
        <w:t> </w:t>
      </w:r>
      <w:r>
        <w:rPr/>
        <w:t>en</w:t>
      </w:r>
      <w:r>
        <w:rPr>
          <w:spacing w:val="-13"/>
        </w:rPr>
        <w:t> </w:t>
      </w:r>
      <w:r>
        <w:rPr/>
        <w:t>el</w:t>
      </w:r>
      <w:r>
        <w:rPr>
          <w:spacing w:val="-17"/>
        </w:rPr>
        <w:t> </w:t>
      </w:r>
      <w:r>
        <w:rPr/>
        <w:t>74,5%</w:t>
      </w:r>
      <w:r>
        <w:rPr>
          <w:spacing w:val="-14"/>
        </w:rPr>
        <w:t> </w:t>
      </w:r>
      <w:r>
        <w:rPr/>
        <w:t>de</w:t>
      </w:r>
      <w:r>
        <w:rPr>
          <w:spacing w:val="-13"/>
        </w:rPr>
        <w:t> </w:t>
      </w:r>
      <w:r>
        <w:rPr/>
        <w:t>los</w:t>
      </w:r>
      <w:r>
        <w:rPr>
          <w:spacing w:val="-14"/>
        </w:rPr>
        <w:t> </w:t>
      </w:r>
      <w:r>
        <w:rPr/>
        <w:t>casos (Gonzalez </w:t>
      </w:r>
      <w:r>
        <w:rPr>
          <w:i/>
        </w:rPr>
        <w:t>et al.,</w:t>
      </w:r>
      <w:r>
        <w:rPr>
          <w:i/>
          <w:spacing w:val="-8"/>
        </w:rPr>
        <w:t> </w:t>
      </w:r>
      <w:r>
        <w:rPr/>
        <w:t>2005).</w:t>
      </w:r>
    </w:p>
    <w:p>
      <w:pPr>
        <w:pStyle w:val="BodyText"/>
        <w:spacing w:line="360" w:lineRule="auto" w:before="204"/>
        <w:ind w:left="152" w:right="111"/>
        <w:jc w:val="both"/>
      </w:pPr>
      <w:r>
        <w:rPr/>
        <w:t>Por lo anterior los SCN también presentan un problema prioritario en la salud pública. Al igual que MRSA los SCN pueden adquirir resistencia a los multiples antibióticos lo que delimitaría los tratamientos en humanos y animales.</w:t>
      </w:r>
    </w:p>
    <w:p>
      <w:pPr>
        <w:spacing w:after="0" w:line="360" w:lineRule="auto"/>
        <w:jc w:val="both"/>
        <w:sectPr>
          <w:pgSz w:w="12240" w:h="15840"/>
          <w:pgMar w:header="0" w:footer="1326" w:top="1500" w:bottom="1580" w:left="1720" w:right="1420"/>
        </w:sectPr>
      </w:pPr>
    </w:p>
    <w:p>
      <w:pPr>
        <w:pStyle w:val="BodyText"/>
        <w:spacing w:before="2"/>
        <w:rPr>
          <w:sz w:val="21"/>
        </w:rPr>
      </w:pPr>
    </w:p>
    <w:p>
      <w:pPr>
        <w:spacing w:before="69"/>
        <w:ind w:left="291" w:right="250" w:firstLine="0"/>
        <w:jc w:val="center"/>
        <w:rPr>
          <w:b/>
          <w:sz w:val="24"/>
        </w:rPr>
      </w:pPr>
      <w:bookmarkStart w:name="_bookmark15" w:id="16"/>
      <w:bookmarkEnd w:id="16"/>
      <w:r>
        <w:rPr/>
      </w:r>
      <w:r>
        <w:rPr>
          <w:b/>
          <w:sz w:val="24"/>
        </w:rPr>
        <w:t>CONCLUSIONES</w:t>
      </w:r>
    </w:p>
    <w:p>
      <w:pPr>
        <w:pStyle w:val="BodyText"/>
        <w:spacing w:line="360" w:lineRule="auto" w:before="137"/>
        <w:ind w:left="152" w:right="116"/>
        <w:jc w:val="both"/>
      </w:pPr>
      <w:r>
        <w:rPr/>
        <w:t>El sistema de producción cunicula del Vallle de Toluca, es el sistema de traspatio seguido del semitecnificado.</w:t>
      </w:r>
    </w:p>
    <w:p>
      <w:pPr>
        <w:pStyle w:val="BodyText"/>
        <w:spacing w:line="360" w:lineRule="auto" w:before="204"/>
        <w:ind w:left="152" w:right="112"/>
        <w:jc w:val="both"/>
      </w:pPr>
      <w:r>
        <w:rPr/>
        <w:t>En la clasificación de la canal con base en el peso al sacrificio, peso canal y rendimiento predomina la clasificacion México extra.</w:t>
      </w:r>
    </w:p>
    <w:p>
      <w:pPr>
        <w:pStyle w:val="BodyText"/>
        <w:spacing w:line="360" w:lineRule="auto" w:before="204"/>
        <w:ind w:left="152" w:right="117"/>
        <w:jc w:val="both"/>
      </w:pPr>
      <w:r>
        <w:rPr/>
        <w:t>El efecto del sexo y la edad no tienen relacion en la composición nutrimental de la carne.</w:t>
      </w:r>
    </w:p>
    <w:p>
      <w:pPr>
        <w:pStyle w:val="BodyText"/>
        <w:spacing w:line="360" w:lineRule="auto" w:before="204"/>
        <w:ind w:left="152" w:right="111"/>
        <w:jc w:val="both"/>
      </w:pPr>
      <w:r>
        <w:rPr/>
        <w:t>En el método de lavado y muestreo en superficie con hisopo para determinar la contamiancion microbiología de </w:t>
      </w:r>
      <w:r>
        <w:rPr>
          <w:i/>
        </w:rPr>
        <w:t>S. aureus </w:t>
      </w:r>
      <w:r>
        <w:rPr/>
        <w:t>no hubo diferencias; sin embargo se sugiere el muestreo en superficie.</w:t>
      </w:r>
    </w:p>
    <w:p>
      <w:pPr>
        <w:pStyle w:val="BodyText"/>
        <w:spacing w:line="360" w:lineRule="auto" w:before="204"/>
        <w:ind w:left="152" w:right="114"/>
        <w:jc w:val="both"/>
      </w:pPr>
      <w:r>
        <w:rPr/>
        <w:t>De las 210 muestras que se analizaron se identificaron 0.95% como MRSA fenotípica y genotípicamente. El 90 % se identificaron como SCN por Api Staph.</w:t>
      </w:r>
    </w:p>
    <w:p>
      <w:pPr>
        <w:spacing w:after="0" w:line="360" w:lineRule="auto"/>
        <w:jc w:val="both"/>
        <w:sectPr>
          <w:pgSz w:w="12240" w:h="15840"/>
          <w:pgMar w:header="0" w:footer="1326" w:top="1500" w:bottom="1580" w:left="1720" w:right="1420"/>
        </w:sectPr>
      </w:pPr>
    </w:p>
    <w:p>
      <w:pPr>
        <w:pStyle w:val="BodyText"/>
        <w:spacing w:before="2"/>
        <w:rPr>
          <w:sz w:val="21"/>
        </w:rPr>
      </w:pPr>
    </w:p>
    <w:p>
      <w:pPr>
        <w:spacing w:before="69"/>
        <w:ind w:left="291" w:right="250" w:firstLine="0"/>
        <w:jc w:val="center"/>
        <w:rPr>
          <w:b/>
          <w:sz w:val="24"/>
        </w:rPr>
      </w:pPr>
      <w:bookmarkStart w:name="_bookmark16" w:id="17"/>
      <w:bookmarkEnd w:id="17"/>
      <w:r>
        <w:rPr/>
      </w:r>
      <w:r>
        <w:rPr>
          <w:b/>
          <w:sz w:val="24"/>
        </w:rPr>
        <w:t>LITERATURA CITADA</w:t>
      </w:r>
    </w:p>
    <w:p>
      <w:pPr>
        <w:pStyle w:val="ListParagraph"/>
        <w:numPr>
          <w:ilvl w:val="1"/>
          <w:numId w:val="8"/>
        </w:numPr>
        <w:tabs>
          <w:tab w:pos="873" w:val="left" w:leader="none"/>
        </w:tabs>
        <w:spacing w:line="360" w:lineRule="auto" w:before="137" w:after="0"/>
        <w:ind w:left="872" w:right="113" w:hanging="360"/>
        <w:jc w:val="both"/>
        <w:rPr>
          <w:sz w:val="24"/>
        </w:rPr>
      </w:pPr>
      <w:r>
        <w:rPr>
          <w:sz w:val="24"/>
        </w:rPr>
        <w:t>Al-Tarazi Y.H., Albetar M.A., Alaboudi A.R. 2009. Biotyping and enterotoxigenicity of Staphylococci isolated from fresh and frozen meat marketed in Jordan. Food Research International 42 (2009)</w:t>
      </w:r>
      <w:r>
        <w:rPr>
          <w:spacing w:val="-29"/>
          <w:sz w:val="24"/>
        </w:rPr>
        <w:t> </w:t>
      </w:r>
      <w:r>
        <w:rPr>
          <w:sz w:val="24"/>
        </w:rPr>
        <w:t>374–379</w:t>
      </w:r>
    </w:p>
    <w:p>
      <w:pPr>
        <w:pStyle w:val="ListParagraph"/>
        <w:numPr>
          <w:ilvl w:val="1"/>
          <w:numId w:val="8"/>
        </w:numPr>
        <w:tabs>
          <w:tab w:pos="873" w:val="left" w:leader="none"/>
        </w:tabs>
        <w:spacing w:line="360" w:lineRule="auto" w:before="5" w:after="0"/>
        <w:ind w:left="872" w:right="320" w:hanging="360"/>
        <w:jc w:val="left"/>
        <w:rPr>
          <w:sz w:val="24"/>
        </w:rPr>
      </w:pPr>
      <w:r>
        <w:rPr>
          <w:sz w:val="24"/>
        </w:rPr>
        <w:t>Abdalla M. A., Suliman S. E., Ahmed D. E., Bakhiet A.O. 2009. Estimation of bacterial contamination of indigenous bovine carcasses in Khartoum (Sudan) African Journal of Microbiology Research Vol. 3(12) pp.</w:t>
      </w:r>
      <w:r>
        <w:rPr>
          <w:spacing w:val="-22"/>
          <w:sz w:val="24"/>
        </w:rPr>
        <w:t> </w:t>
      </w:r>
      <w:r>
        <w:rPr>
          <w:sz w:val="24"/>
        </w:rPr>
        <w:t>882-886,</w:t>
      </w:r>
    </w:p>
    <w:p>
      <w:pPr>
        <w:pStyle w:val="ListParagraph"/>
        <w:numPr>
          <w:ilvl w:val="1"/>
          <w:numId w:val="8"/>
        </w:numPr>
        <w:tabs>
          <w:tab w:pos="873" w:val="left" w:leader="none"/>
        </w:tabs>
        <w:spacing w:line="360" w:lineRule="auto" w:before="3" w:after="0"/>
        <w:ind w:left="872" w:right="107" w:hanging="360"/>
        <w:jc w:val="both"/>
        <w:rPr>
          <w:sz w:val="24"/>
        </w:rPr>
      </w:pPr>
      <w:r>
        <w:rPr>
          <w:sz w:val="24"/>
        </w:rPr>
        <w:t>Acosta P.G.,Rodriguez A.G., Longoria R.E., Castro-M. M. E. 2012: Evaluación de cuatro métodos para la detección de Staphylococcusaureusmeticilino-resistente de muestras clínicas en un hospital regional. 54, núm. 1, pp.</w:t>
      </w:r>
      <w:r>
        <w:rPr>
          <w:spacing w:val="-11"/>
          <w:sz w:val="24"/>
        </w:rPr>
        <w:t> </w:t>
      </w:r>
      <w:r>
        <w:rPr>
          <w:sz w:val="24"/>
        </w:rPr>
        <w:t>1-6.</w:t>
      </w:r>
    </w:p>
    <w:p>
      <w:pPr>
        <w:pStyle w:val="ListParagraph"/>
        <w:numPr>
          <w:ilvl w:val="1"/>
          <w:numId w:val="8"/>
        </w:numPr>
        <w:tabs>
          <w:tab w:pos="873" w:val="left" w:leader="none"/>
        </w:tabs>
        <w:spacing w:line="360" w:lineRule="auto" w:before="2" w:after="0"/>
        <w:ind w:left="872" w:right="110" w:hanging="360"/>
        <w:jc w:val="both"/>
        <w:rPr>
          <w:sz w:val="24"/>
        </w:rPr>
      </w:pPr>
      <w:r>
        <w:rPr>
          <w:sz w:val="24"/>
        </w:rPr>
        <w:t>AOAC. Official methods of analysis. 18th ed. Maryland, USA: Association of OfficialAnalytical Chemist.</w:t>
      </w:r>
      <w:r>
        <w:rPr>
          <w:spacing w:val="-10"/>
          <w:sz w:val="24"/>
        </w:rPr>
        <w:t> </w:t>
      </w:r>
      <w:r>
        <w:rPr>
          <w:sz w:val="24"/>
        </w:rPr>
        <w:t>2012</w:t>
      </w:r>
    </w:p>
    <w:p>
      <w:pPr>
        <w:pStyle w:val="ListParagraph"/>
        <w:numPr>
          <w:ilvl w:val="1"/>
          <w:numId w:val="8"/>
        </w:numPr>
        <w:tabs>
          <w:tab w:pos="873" w:val="left" w:leader="none"/>
        </w:tabs>
        <w:spacing w:line="360" w:lineRule="auto" w:before="2" w:after="0"/>
        <w:ind w:left="872" w:right="112" w:hanging="360"/>
        <w:jc w:val="both"/>
        <w:rPr>
          <w:sz w:val="24"/>
        </w:rPr>
      </w:pPr>
      <w:r>
        <w:rPr>
          <w:sz w:val="24"/>
        </w:rPr>
        <w:t>Arriaga</w:t>
      </w:r>
      <w:r>
        <w:rPr>
          <w:spacing w:val="-12"/>
          <w:sz w:val="24"/>
        </w:rPr>
        <w:t> </w:t>
      </w:r>
      <w:r>
        <w:rPr>
          <w:sz w:val="24"/>
        </w:rPr>
        <w:t>JCM,</w:t>
      </w:r>
      <w:r>
        <w:rPr>
          <w:spacing w:val="-12"/>
          <w:sz w:val="24"/>
        </w:rPr>
        <w:t> </w:t>
      </w:r>
      <w:r>
        <w:rPr>
          <w:sz w:val="24"/>
        </w:rPr>
        <w:t>and</w:t>
      </w:r>
      <w:r>
        <w:rPr>
          <w:spacing w:val="-14"/>
          <w:sz w:val="24"/>
        </w:rPr>
        <w:t> </w:t>
      </w:r>
      <w:r>
        <w:rPr>
          <w:sz w:val="24"/>
        </w:rPr>
        <w:t>Anaya</w:t>
      </w:r>
      <w:r>
        <w:rPr>
          <w:spacing w:val="-12"/>
          <w:sz w:val="24"/>
        </w:rPr>
        <w:t> </w:t>
      </w:r>
      <w:r>
        <w:rPr>
          <w:sz w:val="24"/>
        </w:rPr>
        <w:t>OJP.</w:t>
      </w:r>
      <w:r>
        <w:rPr>
          <w:spacing w:val="-12"/>
          <w:sz w:val="24"/>
        </w:rPr>
        <w:t> </w:t>
      </w:r>
      <w:r>
        <w:rPr>
          <w:sz w:val="24"/>
        </w:rPr>
        <w:t>2014.</w:t>
      </w:r>
      <w:r>
        <w:rPr>
          <w:spacing w:val="-12"/>
          <w:sz w:val="24"/>
        </w:rPr>
        <w:t> </w:t>
      </w:r>
      <w:r>
        <w:rPr>
          <w:sz w:val="24"/>
        </w:rPr>
        <w:t>Contribución</w:t>
      </w:r>
      <w:r>
        <w:rPr>
          <w:spacing w:val="-12"/>
          <w:sz w:val="24"/>
        </w:rPr>
        <w:t> </w:t>
      </w:r>
      <w:r>
        <w:rPr>
          <w:sz w:val="24"/>
        </w:rPr>
        <w:t>de</w:t>
      </w:r>
      <w:r>
        <w:rPr>
          <w:spacing w:val="-12"/>
          <w:sz w:val="24"/>
        </w:rPr>
        <w:t> </w:t>
      </w:r>
      <w:r>
        <w:rPr>
          <w:sz w:val="24"/>
        </w:rPr>
        <w:t>la</w:t>
      </w:r>
      <w:r>
        <w:rPr>
          <w:spacing w:val="-14"/>
          <w:sz w:val="24"/>
        </w:rPr>
        <w:t> </w:t>
      </w:r>
      <w:r>
        <w:rPr>
          <w:sz w:val="24"/>
        </w:rPr>
        <w:t>producción</w:t>
      </w:r>
      <w:r>
        <w:rPr>
          <w:spacing w:val="-14"/>
          <w:sz w:val="24"/>
        </w:rPr>
        <w:t> </w:t>
      </w:r>
      <w:r>
        <w:rPr>
          <w:sz w:val="24"/>
        </w:rPr>
        <w:t>animal</w:t>
      </w:r>
      <w:r>
        <w:rPr>
          <w:spacing w:val="-15"/>
          <w:sz w:val="24"/>
        </w:rPr>
        <w:t> </w:t>
      </w:r>
      <w:r>
        <w:rPr>
          <w:sz w:val="24"/>
        </w:rPr>
        <w:t>en pequeña escala al desarrollo rural. Primera edición. Ed. Reverté ediciones, México D.F. 234</w:t>
      </w:r>
      <w:r>
        <w:rPr>
          <w:spacing w:val="-7"/>
          <w:sz w:val="24"/>
        </w:rPr>
        <w:t> </w:t>
      </w:r>
      <w:r>
        <w:rPr>
          <w:sz w:val="24"/>
        </w:rPr>
        <w:t>p.</w:t>
      </w:r>
    </w:p>
    <w:p>
      <w:pPr>
        <w:pStyle w:val="ListParagraph"/>
        <w:numPr>
          <w:ilvl w:val="1"/>
          <w:numId w:val="8"/>
        </w:numPr>
        <w:tabs>
          <w:tab w:pos="873" w:val="left" w:leader="none"/>
        </w:tabs>
        <w:spacing w:line="360" w:lineRule="auto" w:before="5" w:after="0"/>
        <w:ind w:left="872" w:right="110" w:hanging="360"/>
        <w:jc w:val="both"/>
        <w:rPr>
          <w:sz w:val="24"/>
        </w:rPr>
      </w:pPr>
      <w:r>
        <w:rPr>
          <w:sz w:val="24"/>
        </w:rPr>
        <w:t>Barrón</w:t>
      </w:r>
      <w:r>
        <w:rPr>
          <w:spacing w:val="-18"/>
          <w:sz w:val="24"/>
        </w:rPr>
        <w:t> </w:t>
      </w:r>
      <w:r>
        <w:rPr>
          <w:sz w:val="24"/>
        </w:rPr>
        <w:t>CM,</w:t>
      </w:r>
      <w:r>
        <w:rPr>
          <w:spacing w:val="-18"/>
          <w:sz w:val="24"/>
        </w:rPr>
        <w:t> </w:t>
      </w:r>
      <w:r>
        <w:rPr>
          <w:sz w:val="24"/>
        </w:rPr>
        <w:t>Herrera</w:t>
      </w:r>
      <w:r>
        <w:rPr>
          <w:spacing w:val="-19"/>
          <w:sz w:val="24"/>
        </w:rPr>
        <w:t> </w:t>
      </w:r>
      <w:r>
        <w:rPr>
          <w:sz w:val="24"/>
        </w:rPr>
        <w:t>JG,</w:t>
      </w:r>
      <w:r>
        <w:rPr>
          <w:spacing w:val="-16"/>
          <w:sz w:val="24"/>
        </w:rPr>
        <w:t> </w:t>
      </w:r>
      <w:r>
        <w:rPr>
          <w:sz w:val="24"/>
        </w:rPr>
        <w:t>Suárez</w:t>
      </w:r>
      <w:r>
        <w:rPr>
          <w:spacing w:val="-21"/>
          <w:sz w:val="24"/>
        </w:rPr>
        <w:t> </w:t>
      </w:r>
      <w:r>
        <w:rPr>
          <w:sz w:val="24"/>
        </w:rPr>
        <w:t>EM,</w:t>
      </w:r>
      <w:r>
        <w:rPr>
          <w:spacing w:val="-18"/>
          <w:sz w:val="24"/>
        </w:rPr>
        <w:t> </w:t>
      </w:r>
      <w:r>
        <w:rPr>
          <w:sz w:val="24"/>
        </w:rPr>
        <w:t>Zamora</w:t>
      </w:r>
      <w:r>
        <w:rPr>
          <w:spacing w:val="-21"/>
          <w:sz w:val="24"/>
        </w:rPr>
        <w:t> </w:t>
      </w:r>
      <w:r>
        <w:rPr>
          <w:sz w:val="24"/>
        </w:rPr>
        <w:t>MM,</w:t>
      </w:r>
      <w:r>
        <w:rPr>
          <w:spacing w:val="-18"/>
          <w:sz w:val="24"/>
        </w:rPr>
        <w:t> </w:t>
      </w:r>
      <w:r>
        <w:rPr>
          <w:sz w:val="24"/>
        </w:rPr>
        <w:t>Lemus</w:t>
      </w:r>
      <w:r>
        <w:rPr>
          <w:spacing w:val="-19"/>
          <w:sz w:val="24"/>
        </w:rPr>
        <w:t> </w:t>
      </w:r>
      <w:r>
        <w:rPr>
          <w:sz w:val="24"/>
        </w:rPr>
        <w:t>C.</w:t>
      </w:r>
      <w:r>
        <w:rPr>
          <w:spacing w:val="-21"/>
          <w:sz w:val="24"/>
        </w:rPr>
        <w:t> </w:t>
      </w:r>
      <w:r>
        <w:rPr>
          <w:sz w:val="24"/>
        </w:rPr>
        <w:t>2004.</w:t>
      </w:r>
      <w:r>
        <w:rPr>
          <w:spacing w:val="-18"/>
          <w:sz w:val="24"/>
        </w:rPr>
        <w:t> </w:t>
      </w:r>
      <w:r>
        <w:rPr>
          <w:sz w:val="24"/>
        </w:rPr>
        <w:t>Evaluación de características de canal en tres razas de conejos. Revista Cubana de Ciencia Agrícola, vol. 38, núm. 1, 2004, pp.</w:t>
      </w:r>
      <w:r>
        <w:rPr>
          <w:spacing w:val="-13"/>
          <w:sz w:val="24"/>
        </w:rPr>
        <w:t> </w:t>
      </w:r>
      <w:r>
        <w:rPr>
          <w:sz w:val="24"/>
        </w:rPr>
        <w:t>19-24.</w:t>
      </w:r>
    </w:p>
    <w:p>
      <w:pPr>
        <w:pStyle w:val="ListParagraph"/>
        <w:numPr>
          <w:ilvl w:val="1"/>
          <w:numId w:val="8"/>
        </w:numPr>
        <w:tabs>
          <w:tab w:pos="873" w:val="left" w:leader="none"/>
        </w:tabs>
        <w:spacing w:line="360" w:lineRule="auto" w:before="2" w:after="0"/>
        <w:ind w:left="872" w:right="106" w:hanging="360"/>
        <w:jc w:val="both"/>
        <w:rPr>
          <w:sz w:val="24"/>
        </w:rPr>
      </w:pPr>
      <w:r>
        <w:rPr>
          <w:sz w:val="24"/>
        </w:rPr>
        <w:t>Biomeieux apiweb. </w:t>
      </w:r>
      <w:hyperlink r:id="rId60">
        <w:r>
          <w:rPr>
            <w:sz w:val="24"/>
          </w:rPr>
          <w:t>http://210.242.211.31/</w:t>
        </w:r>
      </w:hyperlink>
      <w:r>
        <w:rPr>
          <w:sz w:val="24"/>
        </w:rPr>
        <w:t> servlet/ Identify? action= prepare New &amp; stripId =</w:t>
      </w:r>
      <w:r>
        <w:rPr>
          <w:spacing w:val="-2"/>
          <w:sz w:val="24"/>
        </w:rPr>
        <w:t> </w:t>
      </w:r>
      <w:r>
        <w:rPr>
          <w:sz w:val="24"/>
        </w:rPr>
        <w:t>5</w:t>
      </w:r>
    </w:p>
    <w:p>
      <w:pPr>
        <w:pStyle w:val="ListParagraph"/>
        <w:numPr>
          <w:ilvl w:val="1"/>
          <w:numId w:val="8"/>
        </w:numPr>
        <w:tabs>
          <w:tab w:pos="873" w:val="left" w:leader="none"/>
        </w:tabs>
        <w:spacing w:line="360" w:lineRule="auto" w:before="2" w:after="0"/>
        <w:ind w:left="872" w:right="714" w:hanging="360"/>
        <w:jc w:val="left"/>
        <w:rPr>
          <w:sz w:val="24"/>
        </w:rPr>
      </w:pPr>
      <w:r>
        <w:rPr>
          <w:sz w:val="24"/>
        </w:rPr>
        <w:t>Bart N. Green B.N, Johnson C.D., Todd E.J., Michael Rosenthal PTM., Griffith DO E.A., Marion Willard E.M. 2012. Methicillin-resistant Staphylococcus aureus: an overview for manual therapists. Journal of Chiropractic Medicine (2012) 11,</w:t>
      </w:r>
      <w:r>
        <w:rPr>
          <w:spacing w:val="-11"/>
          <w:sz w:val="24"/>
        </w:rPr>
        <w:t> </w:t>
      </w:r>
      <w:r>
        <w:rPr>
          <w:sz w:val="24"/>
        </w:rPr>
        <w:t>64–76</w:t>
      </w:r>
    </w:p>
    <w:p>
      <w:pPr>
        <w:pStyle w:val="ListParagraph"/>
        <w:numPr>
          <w:ilvl w:val="1"/>
          <w:numId w:val="8"/>
        </w:numPr>
        <w:tabs>
          <w:tab w:pos="873" w:val="left" w:leader="none"/>
        </w:tabs>
        <w:spacing w:line="360" w:lineRule="auto" w:before="5" w:after="0"/>
        <w:ind w:left="872" w:right="107" w:hanging="360"/>
        <w:jc w:val="both"/>
        <w:rPr>
          <w:sz w:val="24"/>
        </w:rPr>
      </w:pPr>
      <w:r>
        <w:rPr>
          <w:sz w:val="24"/>
        </w:rPr>
        <w:t>Braña V.D., Ramírez R.E., Rubio L.M.S. Sánchez E.A., Torrescano U.G., Arenas M.M.L., Partida P.J.A., Ponce A.E., Ríos R.G.F., 2011: Manual de Análisis de Calidad en Muestras de Carne Centro Nacional de Investigación Disciplinaria en Fisiología y Mejoramiento Animal 1era. Ed. Querétaro,</w:t>
      </w:r>
      <w:r>
        <w:rPr>
          <w:spacing w:val="13"/>
          <w:sz w:val="24"/>
        </w:rPr>
        <w:t> </w:t>
      </w:r>
      <w:r>
        <w:rPr>
          <w:sz w:val="24"/>
        </w:rPr>
        <w:t>2011</w:t>
      </w:r>
    </w:p>
    <w:p>
      <w:pPr>
        <w:spacing w:after="0" w:line="360" w:lineRule="auto"/>
        <w:jc w:val="both"/>
        <w:rPr>
          <w:sz w:val="24"/>
        </w:rPr>
        <w:sectPr>
          <w:pgSz w:w="12240" w:h="15840"/>
          <w:pgMar w:header="0" w:footer="1326"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13" w:hanging="360"/>
        <w:jc w:val="both"/>
        <w:rPr>
          <w:sz w:val="24"/>
        </w:rPr>
      </w:pPr>
      <w:r>
        <w:rPr>
          <w:sz w:val="24"/>
        </w:rPr>
        <w:t>Clinical and Laboratory Standards Institute. Performance standards for antimicrobial susceptibility testing; nineteenth informational supplement and approved standard M100-S19. Wayne, PA: CLSI;</w:t>
      </w:r>
      <w:r>
        <w:rPr>
          <w:spacing w:val="-23"/>
          <w:sz w:val="24"/>
        </w:rPr>
        <w:t> </w:t>
      </w:r>
      <w:r>
        <w:rPr>
          <w:sz w:val="24"/>
        </w:rPr>
        <w:t>2009.</w:t>
      </w:r>
    </w:p>
    <w:p>
      <w:pPr>
        <w:pStyle w:val="ListParagraph"/>
        <w:numPr>
          <w:ilvl w:val="1"/>
          <w:numId w:val="8"/>
        </w:numPr>
        <w:tabs>
          <w:tab w:pos="873" w:val="left" w:leader="none"/>
        </w:tabs>
        <w:spacing w:line="360" w:lineRule="auto" w:before="2" w:after="0"/>
        <w:ind w:left="872" w:right="109" w:hanging="360"/>
        <w:jc w:val="both"/>
        <w:rPr>
          <w:sz w:val="24"/>
        </w:rPr>
      </w:pPr>
      <w:r>
        <w:rPr>
          <w:sz w:val="24"/>
        </w:rPr>
        <w:t>Contreras, J.L., Rivera, J., Lopez, M., Losada, R., Soriano, R., Ambriz, D. y Arenas D. 2004. Reproductive rabbit paramenters of backyard production inthe urban abd peri-urban space in Xochimilco región. 8th World rabbit congress pp.</w:t>
      </w:r>
      <w:r>
        <w:rPr>
          <w:spacing w:val="-8"/>
          <w:sz w:val="24"/>
        </w:rPr>
        <w:t> </w:t>
      </w:r>
      <w:r>
        <w:rPr>
          <w:sz w:val="24"/>
        </w:rPr>
        <w:t>1471-1475</w:t>
      </w:r>
    </w:p>
    <w:p>
      <w:pPr>
        <w:pStyle w:val="ListParagraph"/>
        <w:numPr>
          <w:ilvl w:val="1"/>
          <w:numId w:val="8"/>
        </w:numPr>
        <w:tabs>
          <w:tab w:pos="873" w:val="left" w:leader="none"/>
        </w:tabs>
        <w:spacing w:line="360" w:lineRule="auto" w:before="3" w:after="0"/>
        <w:ind w:left="872" w:right="110" w:hanging="360"/>
        <w:jc w:val="both"/>
        <w:rPr>
          <w:sz w:val="24"/>
        </w:rPr>
      </w:pPr>
      <w:r>
        <w:rPr>
          <w:sz w:val="24"/>
        </w:rPr>
        <w:t>Church D.C.; Pond W.G; Pond K.R.; 2006: Fundamentos de Nutrición y Alimentación de Animales. Ed. Limusapag. 472 -</w:t>
      </w:r>
      <w:r>
        <w:rPr>
          <w:spacing w:val="-16"/>
          <w:sz w:val="24"/>
        </w:rPr>
        <w:t> </w:t>
      </w:r>
      <w:r>
        <w:rPr>
          <w:sz w:val="24"/>
        </w:rPr>
        <w:t>473</w:t>
      </w:r>
    </w:p>
    <w:p>
      <w:pPr>
        <w:pStyle w:val="ListParagraph"/>
        <w:numPr>
          <w:ilvl w:val="1"/>
          <w:numId w:val="8"/>
        </w:numPr>
        <w:tabs>
          <w:tab w:pos="873" w:val="left" w:leader="none"/>
        </w:tabs>
        <w:spacing w:line="240" w:lineRule="auto" w:before="2" w:after="0"/>
        <w:ind w:left="872" w:right="0" w:hanging="360"/>
        <w:jc w:val="left"/>
        <w:rPr>
          <w:sz w:val="24"/>
        </w:rPr>
      </w:pPr>
      <w:r>
        <w:rPr>
          <w:sz w:val="24"/>
        </w:rPr>
        <w:t>Comité Sistema Producto cunícula del Distrito Federal (2013):Plan</w:t>
      </w:r>
      <w:r>
        <w:rPr>
          <w:spacing w:val="-22"/>
          <w:sz w:val="24"/>
        </w:rPr>
        <w:t> </w:t>
      </w:r>
      <w:r>
        <w:rPr>
          <w:sz w:val="24"/>
        </w:rPr>
        <w:t>rector</w:t>
      </w:r>
    </w:p>
    <w:p>
      <w:pPr>
        <w:pStyle w:val="ListParagraph"/>
        <w:numPr>
          <w:ilvl w:val="1"/>
          <w:numId w:val="8"/>
        </w:numPr>
        <w:tabs>
          <w:tab w:pos="873" w:val="left" w:leader="none"/>
        </w:tabs>
        <w:spacing w:line="360" w:lineRule="auto" w:before="139" w:after="0"/>
        <w:ind w:left="872" w:right="111" w:hanging="360"/>
        <w:jc w:val="both"/>
        <w:rPr>
          <w:sz w:val="24"/>
        </w:rPr>
      </w:pPr>
      <w:r>
        <w:rPr>
          <w:sz w:val="24"/>
        </w:rPr>
        <w:t>Cury k, Martínez A, Aguas y, Olivero R: Caracterización de carne de conejo y producción de salchicha. Characterization of rabbit meat and sausage production  (2011).Rev. Colombiana cienc. Anim.</w:t>
      </w:r>
      <w:r>
        <w:rPr>
          <w:spacing w:val="-21"/>
          <w:sz w:val="24"/>
        </w:rPr>
        <w:t> </w:t>
      </w:r>
      <w:r>
        <w:rPr>
          <w:sz w:val="24"/>
        </w:rPr>
        <w:t>3(2).</w:t>
      </w:r>
    </w:p>
    <w:p>
      <w:pPr>
        <w:pStyle w:val="ListParagraph"/>
        <w:numPr>
          <w:ilvl w:val="1"/>
          <w:numId w:val="8"/>
        </w:numPr>
        <w:tabs>
          <w:tab w:pos="873" w:val="left" w:leader="none"/>
        </w:tabs>
        <w:spacing w:line="360" w:lineRule="auto" w:before="2" w:after="0"/>
        <w:ind w:left="872" w:right="105" w:hanging="360"/>
        <w:jc w:val="both"/>
        <w:rPr>
          <w:sz w:val="24"/>
        </w:rPr>
      </w:pPr>
      <w:r>
        <w:rPr>
          <w:sz w:val="24"/>
        </w:rPr>
        <w:t>Cuny C, Friedrich A, Kozytska S, Layer F, Nübel U, Ohlsen K, Strommenger B, Walther B, Wieler L, Witte </w:t>
      </w:r>
      <w:r>
        <w:rPr>
          <w:spacing w:val="4"/>
          <w:sz w:val="24"/>
        </w:rPr>
        <w:t>W. </w:t>
      </w:r>
      <w:r>
        <w:rPr>
          <w:sz w:val="24"/>
        </w:rPr>
        <w:t>Emergence of methicillin-resistant </w:t>
      </w:r>
      <w:r>
        <w:rPr>
          <w:i/>
          <w:sz w:val="24"/>
        </w:rPr>
        <w:t>Staphylococcus aureus </w:t>
      </w:r>
      <w:r>
        <w:rPr>
          <w:sz w:val="24"/>
        </w:rPr>
        <w:t>(MRSA) in different animal species. Int J Med Microbiol.</w:t>
      </w:r>
      <w:r>
        <w:rPr>
          <w:spacing w:val="-12"/>
          <w:sz w:val="24"/>
        </w:rPr>
        <w:t> </w:t>
      </w:r>
      <w:r>
        <w:rPr>
          <w:sz w:val="24"/>
        </w:rPr>
        <w:t>2010;300(2-3):109-17.</w:t>
      </w:r>
    </w:p>
    <w:p>
      <w:pPr>
        <w:pStyle w:val="ListParagraph"/>
        <w:numPr>
          <w:ilvl w:val="1"/>
          <w:numId w:val="8"/>
        </w:numPr>
        <w:tabs>
          <w:tab w:pos="873" w:val="left" w:leader="none"/>
        </w:tabs>
        <w:spacing w:line="360" w:lineRule="auto" w:before="2" w:after="0"/>
        <w:ind w:left="872" w:right="107" w:hanging="360"/>
        <w:jc w:val="both"/>
        <w:rPr>
          <w:sz w:val="24"/>
        </w:rPr>
      </w:pPr>
      <w:r>
        <w:rPr>
          <w:sz w:val="24"/>
        </w:rPr>
        <w:t>Dakic I., Morrison D. 2 Dragana Vukovic´ D., Savic B., Shittu A., Jezˇek P., Hauschild T., Stepanovic S. 2005. Isolation and Molecular Characterization of </w:t>
      </w:r>
      <w:r>
        <w:rPr>
          <w:i/>
          <w:sz w:val="24"/>
        </w:rPr>
        <w:t>Staphylococcus sciuri </w:t>
      </w:r>
      <w:r>
        <w:rPr>
          <w:sz w:val="24"/>
        </w:rPr>
        <w:t>in the Hospital Environment. Journal of clinical microbiology; 43(6):</w:t>
      </w:r>
      <w:r>
        <w:rPr>
          <w:spacing w:val="-11"/>
          <w:sz w:val="24"/>
        </w:rPr>
        <w:t> </w:t>
      </w:r>
      <w:r>
        <w:rPr>
          <w:sz w:val="24"/>
        </w:rPr>
        <w:t>2782–2785</w:t>
      </w:r>
    </w:p>
    <w:p>
      <w:pPr>
        <w:pStyle w:val="ListParagraph"/>
        <w:numPr>
          <w:ilvl w:val="1"/>
          <w:numId w:val="8"/>
        </w:numPr>
        <w:tabs>
          <w:tab w:pos="873" w:val="left" w:leader="none"/>
        </w:tabs>
        <w:spacing w:line="360" w:lineRule="auto" w:before="2" w:after="0"/>
        <w:ind w:left="872" w:right="111" w:hanging="360"/>
        <w:jc w:val="both"/>
        <w:rPr>
          <w:sz w:val="24"/>
        </w:rPr>
      </w:pPr>
      <w:r>
        <w:rPr>
          <w:sz w:val="24"/>
        </w:rPr>
        <w:t>FAO.</w:t>
      </w:r>
      <w:r>
        <w:rPr>
          <w:spacing w:val="-14"/>
          <w:sz w:val="24"/>
        </w:rPr>
        <w:t> </w:t>
      </w:r>
      <w:r>
        <w:rPr>
          <w:sz w:val="24"/>
        </w:rPr>
        <w:t>2014</w:t>
      </w:r>
      <w:r>
        <w:rPr>
          <w:spacing w:val="-14"/>
          <w:sz w:val="24"/>
        </w:rPr>
        <w:t> </w:t>
      </w:r>
      <w:r>
        <w:rPr>
          <w:sz w:val="24"/>
        </w:rPr>
        <w:t>Calidad</w:t>
      </w:r>
      <w:r>
        <w:rPr>
          <w:spacing w:val="-14"/>
          <w:sz w:val="24"/>
        </w:rPr>
        <w:t> </w:t>
      </w:r>
      <w:r>
        <w:rPr>
          <w:sz w:val="24"/>
        </w:rPr>
        <w:t>de</w:t>
      </w:r>
      <w:r>
        <w:rPr>
          <w:spacing w:val="-14"/>
          <w:sz w:val="24"/>
        </w:rPr>
        <w:t> </w:t>
      </w:r>
      <w:r>
        <w:rPr>
          <w:sz w:val="24"/>
        </w:rPr>
        <w:t>la</w:t>
      </w:r>
      <w:r>
        <w:rPr>
          <w:spacing w:val="-14"/>
          <w:sz w:val="24"/>
        </w:rPr>
        <w:t> </w:t>
      </w:r>
      <w:r>
        <w:rPr>
          <w:sz w:val="24"/>
        </w:rPr>
        <w:t>carne.</w:t>
      </w:r>
      <w:r>
        <w:rPr>
          <w:spacing w:val="-14"/>
          <w:sz w:val="24"/>
        </w:rPr>
        <w:t> </w:t>
      </w:r>
      <w:r>
        <w:rPr>
          <w:sz w:val="24"/>
        </w:rPr>
        <w:t>Departamento</w:t>
      </w:r>
      <w:r>
        <w:rPr>
          <w:spacing w:val="-16"/>
          <w:sz w:val="24"/>
        </w:rPr>
        <w:t> </w:t>
      </w:r>
      <w:r>
        <w:rPr>
          <w:sz w:val="24"/>
        </w:rPr>
        <w:t>de</w:t>
      </w:r>
      <w:r>
        <w:rPr>
          <w:spacing w:val="-14"/>
          <w:sz w:val="24"/>
        </w:rPr>
        <w:t> </w:t>
      </w:r>
      <w:r>
        <w:rPr>
          <w:sz w:val="24"/>
        </w:rPr>
        <w:t>Agricultura</w:t>
      </w:r>
      <w:r>
        <w:rPr>
          <w:spacing w:val="-15"/>
          <w:sz w:val="24"/>
        </w:rPr>
        <w:t> </w:t>
      </w:r>
      <w:r>
        <w:rPr>
          <w:sz w:val="24"/>
        </w:rPr>
        <w:t>y</w:t>
      </w:r>
      <w:r>
        <w:rPr>
          <w:spacing w:val="-17"/>
          <w:sz w:val="24"/>
        </w:rPr>
        <w:t> </w:t>
      </w:r>
      <w:r>
        <w:rPr>
          <w:sz w:val="24"/>
        </w:rPr>
        <w:t>protección</w:t>
      </w:r>
      <w:r>
        <w:rPr>
          <w:spacing w:val="-14"/>
          <w:sz w:val="24"/>
        </w:rPr>
        <w:t> </w:t>
      </w:r>
      <w:r>
        <w:rPr>
          <w:sz w:val="24"/>
        </w:rPr>
        <w:t>del Consumidor. División de Producción y Sanidad</w:t>
      </w:r>
      <w:r>
        <w:rPr>
          <w:spacing w:val="-18"/>
          <w:sz w:val="24"/>
        </w:rPr>
        <w:t> </w:t>
      </w:r>
      <w:r>
        <w:rPr>
          <w:sz w:val="24"/>
        </w:rPr>
        <w:t>Animal.</w:t>
      </w:r>
    </w:p>
    <w:p>
      <w:pPr>
        <w:pStyle w:val="ListParagraph"/>
        <w:numPr>
          <w:ilvl w:val="1"/>
          <w:numId w:val="8"/>
        </w:numPr>
        <w:tabs>
          <w:tab w:pos="873" w:val="left" w:leader="none"/>
        </w:tabs>
        <w:spacing w:line="360" w:lineRule="auto" w:before="3" w:after="0"/>
        <w:ind w:left="872" w:right="112" w:hanging="360"/>
        <w:jc w:val="both"/>
        <w:rPr>
          <w:sz w:val="24"/>
        </w:rPr>
      </w:pPr>
      <w:r>
        <w:rPr>
          <w:sz w:val="24"/>
        </w:rPr>
        <w:t>Dalle Z.A., Szendrő Z. 2011.The role of rabbit meat as functional food. Department of Animal Science, University of Padova, Agripolis, 35020, Legnaro (PD), Italy . Meat Science 88 (2011)</w:t>
      </w:r>
      <w:r>
        <w:rPr>
          <w:spacing w:val="-18"/>
          <w:sz w:val="24"/>
        </w:rPr>
        <w:t> </w:t>
      </w:r>
      <w:r>
        <w:rPr>
          <w:sz w:val="24"/>
        </w:rPr>
        <w:t>319–331</w:t>
      </w:r>
    </w:p>
    <w:p>
      <w:pPr>
        <w:pStyle w:val="ListParagraph"/>
        <w:numPr>
          <w:ilvl w:val="1"/>
          <w:numId w:val="8"/>
        </w:numPr>
        <w:tabs>
          <w:tab w:pos="873" w:val="left" w:leader="none"/>
        </w:tabs>
        <w:spacing w:line="360" w:lineRule="auto" w:before="2" w:after="0"/>
        <w:ind w:left="872" w:right="111" w:hanging="360"/>
        <w:jc w:val="both"/>
        <w:rPr>
          <w:sz w:val="24"/>
        </w:rPr>
      </w:pPr>
      <w:r>
        <w:rPr>
          <w:sz w:val="24"/>
        </w:rPr>
        <w:t>Fosch S., Yones C., Trossero M., Grosso O., Nepote A. (2012): Portación nasal de Staphylococcusaureus en individuos de la comunidad: factores epidemiológicos.</w:t>
      </w:r>
    </w:p>
    <w:p>
      <w:pPr>
        <w:spacing w:after="0" w:line="360" w:lineRule="auto"/>
        <w:jc w:val="both"/>
        <w:rPr>
          <w:sz w:val="24"/>
        </w:rPr>
        <w:sectPr>
          <w:footerReference w:type="default" r:id="rId61"/>
          <w:pgSz w:w="12240" w:h="15840"/>
          <w:pgMar w:footer="1386" w:header="0"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13" w:hanging="360"/>
        <w:jc w:val="both"/>
        <w:rPr>
          <w:sz w:val="24"/>
        </w:rPr>
      </w:pPr>
      <w:r>
        <w:rPr>
          <w:sz w:val="24"/>
        </w:rPr>
        <w:t>Garza G.E., Joseph D.M., 2013: Changes in Staphylococcus aureus susceptibility across Latin America between 2004 and 2010. The Brazilian Journal of infectious diseasesb r a z j i n f e c t d i s. 2 0 1 3;1</w:t>
      </w:r>
      <w:r>
        <w:rPr>
          <w:spacing w:val="-19"/>
          <w:sz w:val="24"/>
        </w:rPr>
        <w:t> </w:t>
      </w:r>
      <w:r>
        <w:rPr>
          <w:sz w:val="24"/>
        </w:rPr>
        <w:t>7(1):13–19</w:t>
      </w:r>
    </w:p>
    <w:p>
      <w:pPr>
        <w:pStyle w:val="ListParagraph"/>
        <w:numPr>
          <w:ilvl w:val="1"/>
          <w:numId w:val="8"/>
        </w:numPr>
        <w:tabs>
          <w:tab w:pos="873" w:val="left" w:leader="none"/>
        </w:tabs>
        <w:spacing w:line="362" w:lineRule="auto" w:before="0" w:after="0"/>
        <w:ind w:left="872" w:right="192" w:hanging="360"/>
        <w:jc w:val="both"/>
        <w:rPr>
          <w:sz w:val="24"/>
        </w:rPr>
      </w:pPr>
      <w:r>
        <w:rPr>
          <w:sz w:val="24"/>
        </w:rPr>
        <w:t>García A.C. 2011. </w:t>
      </w:r>
      <w:r>
        <w:rPr>
          <w:i/>
          <w:sz w:val="24"/>
        </w:rPr>
        <w:t>Staphylococcus aureus </w:t>
      </w:r>
      <w:r>
        <w:rPr>
          <w:sz w:val="24"/>
        </w:rPr>
        <w:t>meticilino resistente adquirido en la comunidad Acta Médica Peruana  2011.</w:t>
      </w:r>
      <w:r>
        <w:rPr>
          <w:spacing w:val="-19"/>
          <w:sz w:val="24"/>
        </w:rPr>
        <w:t> </w:t>
      </w:r>
      <w:r>
        <w:rPr>
          <w:sz w:val="24"/>
        </w:rPr>
        <w:t>28(3):159-162.</w:t>
      </w:r>
    </w:p>
    <w:p>
      <w:pPr>
        <w:pStyle w:val="ListParagraph"/>
        <w:numPr>
          <w:ilvl w:val="1"/>
          <w:numId w:val="8"/>
        </w:numPr>
        <w:tabs>
          <w:tab w:pos="873" w:val="left" w:leader="none"/>
        </w:tabs>
        <w:spacing w:line="360" w:lineRule="auto" w:before="0" w:after="0"/>
        <w:ind w:left="872" w:right="112" w:hanging="360"/>
        <w:jc w:val="both"/>
        <w:rPr>
          <w:sz w:val="24"/>
        </w:rPr>
      </w:pPr>
      <w:r>
        <w:rPr>
          <w:sz w:val="24"/>
        </w:rPr>
        <w:t>Gonzales E., Antiparra R., Villarreal F. 2009. Aislamiento e identificación de una cepa de Staphylococcusaureusmeticilino resistente y catalasa negativo. An Fac med.</w:t>
      </w:r>
      <w:r>
        <w:rPr>
          <w:spacing w:val="-7"/>
          <w:sz w:val="24"/>
        </w:rPr>
        <w:t> </w:t>
      </w:r>
      <w:r>
        <w:rPr>
          <w:sz w:val="24"/>
        </w:rPr>
        <w:t>2009;70(1):45-6</w:t>
      </w:r>
    </w:p>
    <w:p>
      <w:pPr>
        <w:pStyle w:val="ListParagraph"/>
        <w:numPr>
          <w:ilvl w:val="1"/>
          <w:numId w:val="8"/>
        </w:numPr>
        <w:tabs>
          <w:tab w:pos="873" w:val="left" w:leader="none"/>
        </w:tabs>
        <w:spacing w:line="360" w:lineRule="auto" w:before="5" w:after="0"/>
        <w:ind w:left="872" w:right="105" w:hanging="360"/>
        <w:jc w:val="both"/>
        <w:rPr>
          <w:sz w:val="24"/>
        </w:rPr>
      </w:pPr>
      <w:r>
        <w:rPr>
          <w:sz w:val="24"/>
        </w:rPr>
        <w:t>González</w:t>
      </w:r>
      <w:r>
        <w:rPr>
          <w:spacing w:val="-11"/>
          <w:sz w:val="24"/>
        </w:rPr>
        <w:t> </w:t>
      </w:r>
      <w:r>
        <w:rPr>
          <w:sz w:val="24"/>
        </w:rPr>
        <w:t>L.,</w:t>
      </w:r>
      <w:r>
        <w:rPr>
          <w:spacing w:val="-11"/>
          <w:sz w:val="24"/>
        </w:rPr>
        <w:t> </w:t>
      </w:r>
      <w:r>
        <w:rPr>
          <w:sz w:val="24"/>
        </w:rPr>
        <w:t>Ramos</w:t>
      </w:r>
      <w:r>
        <w:rPr>
          <w:spacing w:val="-11"/>
          <w:sz w:val="24"/>
        </w:rPr>
        <w:t> </w:t>
      </w:r>
      <w:r>
        <w:rPr>
          <w:sz w:val="24"/>
        </w:rPr>
        <w:t>A.,</w:t>
      </w:r>
      <w:r>
        <w:rPr>
          <w:spacing w:val="-10"/>
          <w:sz w:val="24"/>
        </w:rPr>
        <w:t> </w:t>
      </w:r>
      <w:r>
        <w:rPr>
          <w:sz w:val="24"/>
        </w:rPr>
        <w:t>González</w:t>
      </w:r>
      <w:r>
        <w:rPr>
          <w:spacing w:val="-11"/>
          <w:sz w:val="24"/>
        </w:rPr>
        <w:t> </w:t>
      </w:r>
      <w:r>
        <w:rPr>
          <w:sz w:val="24"/>
        </w:rPr>
        <w:t>M.,</w:t>
      </w:r>
      <w:r>
        <w:rPr>
          <w:spacing w:val="-9"/>
          <w:sz w:val="24"/>
        </w:rPr>
        <w:t> </w:t>
      </w:r>
      <w:r>
        <w:rPr>
          <w:sz w:val="24"/>
        </w:rPr>
        <w:t>Nadal</w:t>
      </w:r>
      <w:r>
        <w:rPr>
          <w:spacing w:val="-11"/>
          <w:sz w:val="24"/>
        </w:rPr>
        <w:t> </w:t>
      </w:r>
      <w:r>
        <w:rPr>
          <w:sz w:val="24"/>
        </w:rPr>
        <w:t>L.,</w:t>
      </w:r>
      <w:r>
        <w:rPr>
          <w:spacing w:val="-9"/>
          <w:sz w:val="24"/>
        </w:rPr>
        <w:t> </w:t>
      </w:r>
      <w:r>
        <w:rPr>
          <w:sz w:val="24"/>
        </w:rPr>
        <w:t>Leudis</w:t>
      </w:r>
      <w:r>
        <w:rPr>
          <w:spacing w:val="-11"/>
          <w:sz w:val="24"/>
        </w:rPr>
        <w:t> </w:t>
      </w:r>
      <w:r>
        <w:rPr>
          <w:sz w:val="24"/>
        </w:rPr>
        <w:t>C.L.,</w:t>
      </w:r>
      <w:r>
        <w:rPr>
          <w:spacing w:val="-9"/>
          <w:sz w:val="24"/>
        </w:rPr>
        <w:t> </w:t>
      </w:r>
      <w:r>
        <w:rPr>
          <w:sz w:val="24"/>
        </w:rPr>
        <w:t>Morffi</w:t>
      </w:r>
      <w:r>
        <w:rPr>
          <w:spacing w:val="-12"/>
          <w:sz w:val="24"/>
        </w:rPr>
        <w:t> </w:t>
      </w:r>
      <w:r>
        <w:rPr>
          <w:sz w:val="24"/>
        </w:rPr>
        <w:t>J.,</w:t>
      </w:r>
      <w:r>
        <w:rPr>
          <w:spacing w:val="-11"/>
          <w:sz w:val="24"/>
        </w:rPr>
        <w:t> </w:t>
      </w:r>
      <w:r>
        <w:rPr>
          <w:sz w:val="24"/>
        </w:rPr>
        <w:t>Garcés A., Vallin C. 2005. Frecuencia de Aislamientos de </w:t>
      </w:r>
      <w:r>
        <w:rPr>
          <w:i/>
          <w:sz w:val="24"/>
        </w:rPr>
        <w:t>Staphylococcus spp </w:t>
      </w:r>
      <w:r>
        <w:rPr>
          <w:sz w:val="24"/>
        </w:rPr>
        <w:t>Meticilina</w:t>
      </w:r>
      <w:r>
        <w:rPr>
          <w:spacing w:val="-15"/>
          <w:sz w:val="24"/>
        </w:rPr>
        <w:t> </w:t>
      </w:r>
      <w:r>
        <w:rPr>
          <w:sz w:val="24"/>
        </w:rPr>
        <w:t>Resistente</w:t>
      </w:r>
      <w:r>
        <w:rPr>
          <w:spacing w:val="-16"/>
          <w:sz w:val="24"/>
        </w:rPr>
        <w:t> </w:t>
      </w:r>
      <w:r>
        <w:rPr>
          <w:sz w:val="24"/>
        </w:rPr>
        <w:t>en</w:t>
      </w:r>
      <w:r>
        <w:rPr>
          <w:spacing w:val="-16"/>
          <w:sz w:val="24"/>
        </w:rPr>
        <w:t> </w:t>
      </w:r>
      <w:r>
        <w:rPr>
          <w:sz w:val="24"/>
        </w:rPr>
        <w:t>el</w:t>
      </w:r>
      <w:r>
        <w:rPr>
          <w:spacing w:val="-17"/>
          <w:sz w:val="24"/>
        </w:rPr>
        <w:t> </w:t>
      </w:r>
      <w:r>
        <w:rPr>
          <w:sz w:val="24"/>
        </w:rPr>
        <w:t>Hospital</w:t>
      </w:r>
      <w:r>
        <w:rPr>
          <w:spacing w:val="-17"/>
          <w:sz w:val="24"/>
        </w:rPr>
        <w:t> </w:t>
      </w:r>
      <w:r>
        <w:rPr>
          <w:sz w:val="24"/>
        </w:rPr>
        <w:t>Pediátrico</w:t>
      </w:r>
      <w:r>
        <w:rPr>
          <w:spacing w:val="-18"/>
          <w:sz w:val="24"/>
        </w:rPr>
        <w:t> </w:t>
      </w:r>
      <w:r>
        <w:rPr>
          <w:sz w:val="24"/>
        </w:rPr>
        <w:t>"William</w:t>
      </w:r>
      <w:r>
        <w:rPr>
          <w:spacing w:val="-14"/>
          <w:sz w:val="24"/>
        </w:rPr>
        <w:t> </w:t>
      </w:r>
      <w:r>
        <w:rPr>
          <w:sz w:val="24"/>
        </w:rPr>
        <w:t>Soler".</w:t>
      </w:r>
      <w:r>
        <w:rPr>
          <w:spacing w:val="-12"/>
          <w:sz w:val="24"/>
        </w:rPr>
        <w:t> </w:t>
      </w:r>
      <w:r>
        <w:rPr>
          <w:sz w:val="24"/>
        </w:rPr>
        <w:t>Revista</w:t>
      </w:r>
      <w:r>
        <w:rPr>
          <w:spacing w:val="-16"/>
          <w:sz w:val="24"/>
        </w:rPr>
        <w:t> </w:t>
      </w:r>
      <w:r>
        <w:rPr>
          <w:sz w:val="24"/>
        </w:rPr>
        <w:t>CENIC Ciencias Biológicas, Vol.</w:t>
      </w:r>
      <w:r>
        <w:rPr>
          <w:spacing w:val="-9"/>
          <w:sz w:val="24"/>
        </w:rPr>
        <w:t> </w:t>
      </w:r>
      <w:r>
        <w:rPr>
          <w:sz w:val="24"/>
        </w:rPr>
        <w:t>36,</w:t>
      </w:r>
    </w:p>
    <w:p>
      <w:pPr>
        <w:pStyle w:val="ListParagraph"/>
        <w:numPr>
          <w:ilvl w:val="1"/>
          <w:numId w:val="8"/>
        </w:numPr>
        <w:tabs>
          <w:tab w:pos="873" w:val="left" w:leader="none"/>
        </w:tabs>
        <w:spacing w:line="360" w:lineRule="auto" w:before="5" w:after="0"/>
        <w:ind w:left="872" w:right="105" w:hanging="360"/>
        <w:jc w:val="both"/>
        <w:rPr>
          <w:sz w:val="24"/>
        </w:rPr>
      </w:pPr>
      <w:r>
        <w:rPr>
          <w:sz w:val="24"/>
        </w:rPr>
        <w:t>Goñi P., Vergara Y., Ruiz J., Albizu I., Vila J., Gómez L.R. 2004. Antibiotic resistance and epidemiological typing of </w:t>
      </w:r>
      <w:r>
        <w:rPr>
          <w:i/>
          <w:sz w:val="24"/>
        </w:rPr>
        <w:t>Staphylococcus aureus </w:t>
      </w:r>
      <w:r>
        <w:rPr>
          <w:sz w:val="24"/>
        </w:rPr>
        <w:t>strains</w:t>
      </w:r>
      <w:r>
        <w:rPr>
          <w:spacing w:val="-25"/>
          <w:sz w:val="24"/>
        </w:rPr>
        <w:t> </w:t>
      </w:r>
      <w:r>
        <w:rPr>
          <w:sz w:val="24"/>
        </w:rPr>
        <w:t>from ovine and rabbit mastitis. International Journal of Antimicrobial Agents 23 (2004)</w:t>
      </w:r>
      <w:r>
        <w:rPr>
          <w:spacing w:val="-7"/>
          <w:sz w:val="24"/>
        </w:rPr>
        <w:t> </w:t>
      </w:r>
      <w:r>
        <w:rPr>
          <w:sz w:val="24"/>
        </w:rPr>
        <w:t>268–272</w:t>
      </w:r>
    </w:p>
    <w:p>
      <w:pPr>
        <w:pStyle w:val="ListParagraph"/>
        <w:numPr>
          <w:ilvl w:val="1"/>
          <w:numId w:val="8"/>
        </w:numPr>
        <w:tabs>
          <w:tab w:pos="873" w:val="left" w:leader="none"/>
        </w:tabs>
        <w:spacing w:line="360" w:lineRule="auto" w:before="5" w:after="0"/>
        <w:ind w:left="872" w:right="104" w:hanging="360"/>
        <w:jc w:val="both"/>
        <w:rPr>
          <w:sz w:val="24"/>
        </w:rPr>
      </w:pPr>
      <w:r>
        <w:rPr>
          <w:sz w:val="24"/>
        </w:rPr>
        <w:t>Hamdan P.A., Sainz E.T., Jaime Bustos M.J. 2014. Isolation of community- acquired methicillin-resistant Staphylococcusaureusin healthy carriers in a Mexican communitys.International Journal of Infectious Diseases 18 (2014) 22–26</w:t>
      </w:r>
    </w:p>
    <w:p>
      <w:pPr>
        <w:pStyle w:val="ListParagraph"/>
        <w:numPr>
          <w:ilvl w:val="1"/>
          <w:numId w:val="8"/>
        </w:numPr>
        <w:tabs>
          <w:tab w:pos="873" w:val="left" w:leader="none"/>
        </w:tabs>
        <w:spacing w:line="360" w:lineRule="auto" w:before="5" w:after="0"/>
        <w:ind w:left="872" w:right="106" w:hanging="360"/>
        <w:jc w:val="both"/>
        <w:rPr>
          <w:sz w:val="24"/>
        </w:rPr>
      </w:pPr>
      <w:r>
        <w:rPr>
          <w:sz w:val="24"/>
        </w:rPr>
        <w:t>Hermansa K., De Herdta P., Devriesea L.A., Hendrickxb </w:t>
      </w:r>
      <w:r>
        <w:rPr>
          <w:spacing w:val="2"/>
          <w:sz w:val="24"/>
        </w:rPr>
        <w:t>W., </w:t>
      </w:r>
      <w:r>
        <w:rPr>
          <w:sz w:val="24"/>
        </w:rPr>
        <w:t>Godardc C., Haesebrouck F. 1999: Colonization of rabbits with Staphylococcus aureus inflocks with and without chronic staphylococcosis. Veterinary Microbiology 67.</w:t>
      </w:r>
      <w:r>
        <w:rPr>
          <w:spacing w:val="-4"/>
          <w:sz w:val="24"/>
        </w:rPr>
        <w:t> </w:t>
      </w:r>
      <w:r>
        <w:rPr>
          <w:sz w:val="24"/>
        </w:rPr>
        <w:t>37:46.</w:t>
      </w:r>
    </w:p>
    <w:p>
      <w:pPr>
        <w:pStyle w:val="ListParagraph"/>
        <w:numPr>
          <w:ilvl w:val="1"/>
          <w:numId w:val="8"/>
        </w:numPr>
        <w:tabs>
          <w:tab w:pos="873" w:val="left" w:leader="none"/>
        </w:tabs>
        <w:spacing w:line="360" w:lineRule="auto" w:before="2" w:after="0"/>
        <w:ind w:left="872" w:right="109" w:hanging="360"/>
        <w:jc w:val="both"/>
        <w:rPr>
          <w:sz w:val="24"/>
        </w:rPr>
      </w:pPr>
      <w:r>
        <w:rPr>
          <w:sz w:val="24"/>
        </w:rPr>
        <w:t>Hermida</w:t>
      </w:r>
      <w:r>
        <w:rPr>
          <w:spacing w:val="-10"/>
          <w:sz w:val="24"/>
        </w:rPr>
        <w:t> </w:t>
      </w:r>
      <w:r>
        <w:rPr>
          <w:sz w:val="24"/>
        </w:rPr>
        <w:t>M,</w:t>
      </w:r>
      <w:r>
        <w:rPr>
          <w:spacing w:val="-11"/>
          <w:sz w:val="24"/>
        </w:rPr>
        <w:t> </w:t>
      </w:r>
      <w:r>
        <w:rPr>
          <w:sz w:val="24"/>
        </w:rPr>
        <w:t>González</w:t>
      </w:r>
      <w:r>
        <w:rPr>
          <w:spacing w:val="-13"/>
          <w:sz w:val="24"/>
        </w:rPr>
        <w:t> </w:t>
      </w:r>
      <w:r>
        <w:rPr>
          <w:sz w:val="24"/>
        </w:rPr>
        <w:t>M,</w:t>
      </w:r>
      <w:r>
        <w:rPr>
          <w:spacing w:val="-11"/>
          <w:sz w:val="24"/>
        </w:rPr>
        <w:t> </w:t>
      </w:r>
      <w:r>
        <w:rPr>
          <w:sz w:val="24"/>
        </w:rPr>
        <w:t>Miranda</w:t>
      </w:r>
      <w:r>
        <w:rPr>
          <w:spacing w:val="-11"/>
          <w:sz w:val="24"/>
        </w:rPr>
        <w:t> </w:t>
      </w:r>
      <w:r>
        <w:rPr>
          <w:sz w:val="24"/>
        </w:rPr>
        <w:t>M,</w:t>
      </w:r>
      <w:r>
        <w:rPr>
          <w:spacing w:val="-11"/>
          <w:sz w:val="24"/>
        </w:rPr>
        <w:t> </w:t>
      </w:r>
      <w:r>
        <w:rPr>
          <w:sz w:val="24"/>
        </w:rPr>
        <w:t>Rodríguez-Otero</w:t>
      </w:r>
      <w:r>
        <w:rPr>
          <w:spacing w:val="-11"/>
          <w:sz w:val="24"/>
        </w:rPr>
        <w:t> </w:t>
      </w:r>
      <w:r>
        <w:rPr>
          <w:sz w:val="24"/>
        </w:rPr>
        <w:t>JL.</w:t>
      </w:r>
      <w:r>
        <w:rPr>
          <w:spacing w:val="-11"/>
          <w:sz w:val="24"/>
        </w:rPr>
        <w:t> </w:t>
      </w:r>
      <w:r>
        <w:rPr>
          <w:sz w:val="24"/>
        </w:rPr>
        <w:t>Mineral</w:t>
      </w:r>
      <w:r>
        <w:rPr>
          <w:spacing w:val="-12"/>
          <w:sz w:val="24"/>
        </w:rPr>
        <w:t> </w:t>
      </w:r>
      <w:r>
        <w:rPr>
          <w:sz w:val="24"/>
        </w:rPr>
        <w:t>analysis</w:t>
      </w:r>
      <w:r>
        <w:rPr>
          <w:spacing w:val="-12"/>
          <w:sz w:val="24"/>
        </w:rPr>
        <w:t> </w:t>
      </w:r>
      <w:r>
        <w:rPr>
          <w:sz w:val="24"/>
        </w:rPr>
        <w:t>in rabbit meat from Galicia (NW Spain). Meat Sci 2006;</w:t>
      </w:r>
      <w:r>
        <w:rPr>
          <w:spacing w:val="-20"/>
          <w:sz w:val="24"/>
        </w:rPr>
        <w:t> </w:t>
      </w:r>
      <w:r>
        <w:rPr>
          <w:sz w:val="24"/>
        </w:rPr>
        <w:t>73(4):635–639.</w:t>
      </w:r>
    </w:p>
    <w:p>
      <w:pPr>
        <w:pStyle w:val="ListParagraph"/>
        <w:numPr>
          <w:ilvl w:val="1"/>
          <w:numId w:val="8"/>
        </w:numPr>
        <w:tabs>
          <w:tab w:pos="873" w:val="left" w:leader="none"/>
        </w:tabs>
        <w:spacing w:line="360" w:lineRule="auto" w:before="2" w:after="0"/>
        <w:ind w:left="872" w:right="111" w:hanging="360"/>
        <w:jc w:val="both"/>
        <w:rPr>
          <w:sz w:val="24"/>
        </w:rPr>
      </w:pPr>
      <w:r>
        <w:rPr>
          <w:sz w:val="24"/>
        </w:rPr>
        <w:t>Hernández</w:t>
      </w:r>
      <w:r>
        <w:rPr>
          <w:spacing w:val="-20"/>
          <w:sz w:val="24"/>
        </w:rPr>
        <w:t> </w:t>
      </w:r>
      <w:r>
        <w:rPr>
          <w:sz w:val="24"/>
        </w:rPr>
        <w:t>S.S.,</w:t>
      </w:r>
      <w:r>
        <w:rPr>
          <w:spacing w:val="-17"/>
          <w:sz w:val="24"/>
        </w:rPr>
        <w:t> </w:t>
      </w:r>
      <w:r>
        <w:rPr>
          <w:sz w:val="24"/>
        </w:rPr>
        <w:t>Zúñiga</w:t>
      </w:r>
      <w:r>
        <w:rPr>
          <w:spacing w:val="-17"/>
          <w:sz w:val="24"/>
        </w:rPr>
        <w:t> </w:t>
      </w:r>
      <w:r>
        <w:rPr>
          <w:sz w:val="24"/>
        </w:rPr>
        <w:t>E.A.,</w:t>
      </w:r>
      <w:r>
        <w:rPr>
          <w:spacing w:val="-19"/>
          <w:sz w:val="24"/>
        </w:rPr>
        <w:t> </w:t>
      </w:r>
      <w:r>
        <w:rPr>
          <w:sz w:val="24"/>
        </w:rPr>
        <w:t>Sánchez</w:t>
      </w:r>
      <w:r>
        <w:rPr>
          <w:spacing w:val="-20"/>
          <w:sz w:val="24"/>
        </w:rPr>
        <w:t> </w:t>
      </w:r>
      <w:r>
        <w:rPr>
          <w:sz w:val="24"/>
        </w:rPr>
        <w:t>O.I.,</w:t>
      </w:r>
      <w:r>
        <w:rPr>
          <w:spacing w:val="-19"/>
          <w:sz w:val="24"/>
        </w:rPr>
        <w:t> </w:t>
      </w:r>
      <w:r>
        <w:rPr>
          <w:sz w:val="24"/>
        </w:rPr>
        <w:t>Castro</w:t>
      </w:r>
      <w:r>
        <w:rPr>
          <w:spacing w:val="-17"/>
          <w:sz w:val="24"/>
        </w:rPr>
        <w:t> </w:t>
      </w:r>
      <w:r>
        <w:rPr>
          <w:sz w:val="24"/>
        </w:rPr>
        <w:t>R.J.,</w:t>
      </w:r>
      <w:r>
        <w:rPr>
          <w:spacing w:val="-17"/>
          <w:sz w:val="24"/>
        </w:rPr>
        <w:t> </w:t>
      </w:r>
      <w:r>
        <w:rPr>
          <w:sz w:val="24"/>
        </w:rPr>
        <w:t>Román</w:t>
      </w:r>
      <w:r>
        <w:rPr>
          <w:spacing w:val="-19"/>
          <w:sz w:val="24"/>
        </w:rPr>
        <w:t> </w:t>
      </w:r>
      <w:r>
        <w:rPr>
          <w:sz w:val="24"/>
        </w:rPr>
        <w:t>G.A.,</w:t>
      </w:r>
      <w:r>
        <w:rPr>
          <w:spacing w:val="-17"/>
          <w:sz w:val="24"/>
        </w:rPr>
        <w:t> </w:t>
      </w:r>
      <w:r>
        <w:rPr>
          <w:sz w:val="24"/>
        </w:rPr>
        <w:t>Santos L.E., 2007. Condiciones microbiológicas en el proceso de sacrificio en un rastro municipal del estado de Hidalgo, México. Vet. Méx.,38 (2):</w:t>
      </w:r>
      <w:r>
        <w:rPr>
          <w:spacing w:val="-20"/>
          <w:sz w:val="24"/>
        </w:rPr>
        <w:t> </w:t>
      </w:r>
      <w:r>
        <w:rPr>
          <w:sz w:val="24"/>
        </w:rPr>
        <w:t>187-195.</w:t>
      </w:r>
    </w:p>
    <w:p>
      <w:pPr>
        <w:spacing w:after="0" w:line="360" w:lineRule="auto"/>
        <w:jc w:val="both"/>
        <w:rPr>
          <w:sz w:val="24"/>
        </w:rPr>
        <w:sectPr>
          <w:footerReference w:type="default" r:id="rId62"/>
          <w:pgSz w:w="12240" w:h="15840"/>
          <w:pgMar w:footer="1386" w:header="0" w:top="1500" w:bottom="1580" w:left="1720" w:right="1420"/>
          <w:pgNumType w:start="91"/>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15" w:hanging="360"/>
        <w:jc w:val="both"/>
        <w:rPr>
          <w:sz w:val="24"/>
        </w:rPr>
      </w:pPr>
      <w:r>
        <w:rPr>
          <w:sz w:val="24"/>
        </w:rPr>
        <w:t>Hernández, P. Enhancement of nutritional quality and safety in rabbit meat. 2008.  9th World Rabbit Congress pp</w:t>
      </w:r>
      <w:r>
        <w:rPr>
          <w:spacing w:val="-16"/>
          <w:sz w:val="24"/>
        </w:rPr>
        <w:t> </w:t>
      </w:r>
      <w:r>
        <w:rPr>
          <w:sz w:val="24"/>
        </w:rPr>
        <w:t>1287-1300</w:t>
      </w:r>
    </w:p>
    <w:p>
      <w:pPr>
        <w:pStyle w:val="ListParagraph"/>
        <w:numPr>
          <w:ilvl w:val="1"/>
          <w:numId w:val="8"/>
        </w:numPr>
        <w:tabs>
          <w:tab w:pos="873" w:val="left" w:leader="none"/>
        </w:tabs>
        <w:spacing w:line="360" w:lineRule="auto" w:before="5" w:after="0"/>
        <w:ind w:left="872" w:right="113" w:hanging="360"/>
        <w:jc w:val="both"/>
        <w:rPr>
          <w:sz w:val="24"/>
        </w:rPr>
      </w:pPr>
      <w:r>
        <w:rPr>
          <w:sz w:val="24"/>
        </w:rPr>
        <w:t>Jordá B.G., Marucci S.R., Guida M.A., Pires S.P, Manfredi A.E.2012. Portación y caracterización de Staphylococcusaureus en manipuladores de alimentos. Revista Argentina de Microbiología (2012) 44:</w:t>
      </w:r>
      <w:r>
        <w:rPr>
          <w:spacing w:val="-22"/>
          <w:sz w:val="24"/>
        </w:rPr>
        <w:t> </w:t>
      </w:r>
      <w:r>
        <w:rPr>
          <w:sz w:val="24"/>
        </w:rPr>
        <w:t>101-104</w:t>
      </w:r>
    </w:p>
    <w:p>
      <w:pPr>
        <w:pStyle w:val="ListParagraph"/>
        <w:numPr>
          <w:ilvl w:val="1"/>
          <w:numId w:val="8"/>
        </w:numPr>
        <w:tabs>
          <w:tab w:pos="873" w:val="left" w:leader="none"/>
        </w:tabs>
        <w:spacing w:line="362" w:lineRule="auto" w:before="0" w:after="0"/>
        <w:ind w:left="872" w:right="105" w:hanging="360"/>
        <w:jc w:val="both"/>
        <w:rPr>
          <w:sz w:val="24"/>
        </w:rPr>
      </w:pPr>
      <w:r>
        <w:rPr>
          <w:sz w:val="24"/>
        </w:rPr>
        <w:t>Leonard FC, Markey BK. Meticillin-resistant </w:t>
      </w:r>
      <w:r>
        <w:rPr>
          <w:i/>
          <w:sz w:val="24"/>
        </w:rPr>
        <w:t>Staphylococcus aureus </w:t>
      </w:r>
      <w:r>
        <w:rPr>
          <w:sz w:val="24"/>
        </w:rPr>
        <w:t>in animals: a review. Vet J.</w:t>
      </w:r>
      <w:r>
        <w:rPr>
          <w:spacing w:val="-17"/>
          <w:sz w:val="24"/>
        </w:rPr>
        <w:t> </w:t>
      </w:r>
      <w:r>
        <w:rPr>
          <w:sz w:val="24"/>
        </w:rPr>
        <w:t>2008;175(1):27-36</w:t>
      </w:r>
    </w:p>
    <w:p>
      <w:pPr>
        <w:pStyle w:val="ListParagraph"/>
        <w:numPr>
          <w:ilvl w:val="1"/>
          <w:numId w:val="8"/>
        </w:numPr>
        <w:tabs>
          <w:tab w:pos="873" w:val="left" w:leader="none"/>
        </w:tabs>
        <w:spacing w:line="360" w:lineRule="auto" w:before="0" w:after="0"/>
        <w:ind w:left="872" w:right="110" w:hanging="360"/>
        <w:jc w:val="both"/>
        <w:rPr>
          <w:sz w:val="24"/>
        </w:rPr>
      </w:pPr>
      <w:r>
        <w:rPr>
          <w:sz w:val="24"/>
        </w:rPr>
        <w:t>Lebas F, Coudert P, de Rochambeau H, Thébault RG. THE RABBIT Husbandry, health and production 1997. (INRA) Food and Agriculture Organization of the United Nations ISSN</w:t>
      </w:r>
      <w:r>
        <w:rPr>
          <w:spacing w:val="-16"/>
          <w:sz w:val="24"/>
        </w:rPr>
        <w:t> </w:t>
      </w:r>
      <w:r>
        <w:rPr>
          <w:sz w:val="24"/>
        </w:rPr>
        <w:t>1010-9021.</w:t>
      </w:r>
    </w:p>
    <w:p>
      <w:pPr>
        <w:pStyle w:val="ListParagraph"/>
        <w:numPr>
          <w:ilvl w:val="1"/>
          <w:numId w:val="8"/>
        </w:numPr>
        <w:tabs>
          <w:tab w:pos="873" w:val="left" w:leader="none"/>
        </w:tabs>
        <w:spacing w:line="360" w:lineRule="auto" w:before="5" w:after="0"/>
        <w:ind w:left="872" w:right="328" w:hanging="360"/>
        <w:jc w:val="left"/>
        <w:rPr>
          <w:sz w:val="24"/>
        </w:rPr>
      </w:pPr>
      <w:r>
        <w:rPr>
          <w:sz w:val="24"/>
        </w:rPr>
        <w:t>Li J, Wang L, Ip M, Sun M, Sun J, et al. (2013) Molecular and Clinical Characteristics of Clonal Complex 59 Methicillin-Resistant Staphylococcus aureus Infections in Mainland China.</w:t>
      </w:r>
      <w:r>
        <w:rPr>
          <w:spacing w:val="-12"/>
          <w:sz w:val="24"/>
        </w:rPr>
        <w:t> </w:t>
      </w:r>
      <w:r>
        <w:rPr>
          <w:sz w:val="24"/>
        </w:rPr>
        <w:t>8(8)</w:t>
      </w:r>
    </w:p>
    <w:p>
      <w:pPr>
        <w:pStyle w:val="ListParagraph"/>
        <w:numPr>
          <w:ilvl w:val="1"/>
          <w:numId w:val="8"/>
        </w:numPr>
        <w:tabs>
          <w:tab w:pos="873" w:val="left" w:leader="none"/>
        </w:tabs>
        <w:spacing w:line="360" w:lineRule="auto" w:before="2" w:after="0"/>
        <w:ind w:left="872" w:right="113" w:hanging="360"/>
        <w:jc w:val="both"/>
        <w:rPr>
          <w:sz w:val="24"/>
        </w:rPr>
      </w:pPr>
      <w:r>
        <w:rPr>
          <w:sz w:val="24"/>
        </w:rPr>
        <w:t>López V.M., Velázquez O.V., Alonso F.M.U., Díaz Z.S., Pulido G.G. 2011. Identificación de cepas de Staphylococcus aureus resistentes a la meticilina (ORSA/MRSA) y con resistencia borderline (BORSA) aisladas de vacas lecheras en el valle de Toluca. XXXV Congreso Nacional de</w:t>
      </w:r>
      <w:r>
        <w:rPr>
          <w:spacing w:val="-26"/>
          <w:sz w:val="24"/>
        </w:rPr>
        <w:t> </w:t>
      </w:r>
      <w:r>
        <w:rPr>
          <w:sz w:val="24"/>
        </w:rPr>
        <w:t>Buiatría.</w:t>
      </w:r>
    </w:p>
    <w:p>
      <w:pPr>
        <w:pStyle w:val="ListParagraph"/>
        <w:numPr>
          <w:ilvl w:val="1"/>
          <w:numId w:val="8"/>
        </w:numPr>
        <w:tabs>
          <w:tab w:pos="873" w:val="left" w:leader="none"/>
        </w:tabs>
        <w:spacing w:line="360" w:lineRule="auto" w:before="2" w:after="0"/>
        <w:ind w:left="872" w:right="103" w:hanging="360"/>
        <w:jc w:val="both"/>
        <w:rPr>
          <w:sz w:val="24"/>
        </w:rPr>
      </w:pPr>
      <w:r>
        <w:rPr>
          <w:sz w:val="24"/>
        </w:rPr>
        <w:t>LOUIE L., MATSUMURA S.O., CHOI E., LOUIE M., SIMOR A. E. 2000. Evaluation of Three Rapid Methods for Detection of Methicillin Resistance in </w:t>
      </w:r>
      <w:r>
        <w:rPr>
          <w:i/>
          <w:sz w:val="24"/>
        </w:rPr>
        <w:t>Staphylococcus aureus. </w:t>
      </w:r>
      <w:r>
        <w:rPr>
          <w:sz w:val="24"/>
        </w:rPr>
        <w:t>Journal of clinical microbiology, 2000; 38(6) 2170– 2173</w:t>
      </w:r>
    </w:p>
    <w:p>
      <w:pPr>
        <w:pStyle w:val="ListParagraph"/>
        <w:numPr>
          <w:ilvl w:val="1"/>
          <w:numId w:val="8"/>
        </w:numPr>
        <w:tabs>
          <w:tab w:pos="873" w:val="left" w:leader="none"/>
        </w:tabs>
        <w:spacing w:line="360" w:lineRule="auto" w:before="2" w:after="0"/>
        <w:ind w:left="872" w:right="110" w:hanging="360"/>
        <w:jc w:val="both"/>
        <w:rPr>
          <w:sz w:val="24"/>
        </w:rPr>
      </w:pPr>
      <w:r>
        <w:rPr>
          <w:sz w:val="24"/>
        </w:rPr>
        <w:t>Lukefahr SD. Strategies for the development of small and médium scale rabbis farming in south East Asia. 2007 Livestock Research for Rural Development.</w:t>
      </w:r>
      <w:r>
        <w:rPr>
          <w:spacing w:val="-9"/>
          <w:sz w:val="24"/>
        </w:rPr>
        <w:t> </w:t>
      </w:r>
      <w:r>
        <w:rPr>
          <w:sz w:val="24"/>
        </w:rPr>
        <w:t>18:3452-3458.</w:t>
      </w:r>
    </w:p>
    <w:p>
      <w:pPr>
        <w:pStyle w:val="ListParagraph"/>
        <w:numPr>
          <w:ilvl w:val="1"/>
          <w:numId w:val="8"/>
        </w:numPr>
        <w:tabs>
          <w:tab w:pos="873" w:val="left" w:leader="none"/>
        </w:tabs>
        <w:spacing w:line="360" w:lineRule="auto" w:before="2" w:after="0"/>
        <w:ind w:left="872" w:right="112" w:hanging="360"/>
        <w:jc w:val="both"/>
        <w:rPr>
          <w:sz w:val="24"/>
        </w:rPr>
      </w:pPr>
      <w:r>
        <w:rPr>
          <w:sz w:val="24"/>
        </w:rPr>
        <w:t>Lukefahr SD. Curso avanzado de cunicultura. Manual de proyectos de cunicultura. 1998 Primer congreso de Cunicultuta de las Américas, Colegio de postgraduados. México</w:t>
      </w:r>
      <w:r>
        <w:rPr>
          <w:spacing w:val="-14"/>
          <w:sz w:val="24"/>
        </w:rPr>
        <w:t> </w:t>
      </w:r>
      <w:r>
        <w:rPr>
          <w:sz w:val="24"/>
        </w:rPr>
        <w:t>133p.</w:t>
      </w:r>
    </w:p>
    <w:p>
      <w:pPr>
        <w:pStyle w:val="ListParagraph"/>
        <w:numPr>
          <w:ilvl w:val="1"/>
          <w:numId w:val="8"/>
        </w:numPr>
        <w:tabs>
          <w:tab w:pos="873" w:val="left" w:leader="none"/>
        </w:tabs>
        <w:spacing w:line="360" w:lineRule="auto" w:before="5" w:after="0"/>
        <w:ind w:left="872" w:right="112" w:hanging="360"/>
        <w:jc w:val="both"/>
        <w:rPr>
          <w:sz w:val="24"/>
        </w:rPr>
      </w:pPr>
      <w:r>
        <w:rPr>
          <w:sz w:val="24"/>
        </w:rPr>
        <w:t>NORMA</w:t>
      </w:r>
      <w:r>
        <w:rPr>
          <w:spacing w:val="-16"/>
          <w:sz w:val="24"/>
        </w:rPr>
        <w:t> </w:t>
      </w:r>
      <w:r>
        <w:rPr>
          <w:sz w:val="24"/>
        </w:rPr>
        <w:t>Oficial</w:t>
      </w:r>
      <w:r>
        <w:rPr>
          <w:spacing w:val="-16"/>
          <w:sz w:val="24"/>
        </w:rPr>
        <w:t> </w:t>
      </w:r>
      <w:r>
        <w:rPr>
          <w:sz w:val="24"/>
        </w:rPr>
        <w:t>Mexicana</w:t>
      </w:r>
      <w:r>
        <w:rPr>
          <w:spacing w:val="-16"/>
          <w:sz w:val="24"/>
        </w:rPr>
        <w:t> </w:t>
      </w:r>
      <w:r>
        <w:rPr>
          <w:sz w:val="24"/>
        </w:rPr>
        <w:t>NOM033SAG/ZOO2014,</w:t>
      </w:r>
      <w:r>
        <w:rPr>
          <w:spacing w:val="-16"/>
          <w:sz w:val="24"/>
        </w:rPr>
        <w:t> </w:t>
      </w:r>
      <w:r>
        <w:rPr>
          <w:sz w:val="24"/>
        </w:rPr>
        <w:t>Métodos</w:t>
      </w:r>
      <w:r>
        <w:rPr>
          <w:spacing w:val="-18"/>
          <w:sz w:val="24"/>
        </w:rPr>
        <w:t> </w:t>
      </w:r>
      <w:r>
        <w:rPr>
          <w:sz w:val="24"/>
        </w:rPr>
        <w:t>para</w:t>
      </w:r>
      <w:r>
        <w:rPr>
          <w:spacing w:val="-16"/>
          <w:sz w:val="24"/>
        </w:rPr>
        <w:t> </w:t>
      </w:r>
      <w:r>
        <w:rPr>
          <w:sz w:val="24"/>
        </w:rPr>
        <w:t>dar</w:t>
      </w:r>
      <w:r>
        <w:rPr>
          <w:spacing w:val="-17"/>
          <w:sz w:val="24"/>
        </w:rPr>
        <w:t> </w:t>
      </w:r>
      <w:r>
        <w:rPr>
          <w:sz w:val="24"/>
        </w:rPr>
        <w:t>muerte a los animales domésticos y</w:t>
      </w:r>
      <w:r>
        <w:rPr>
          <w:spacing w:val="-14"/>
          <w:sz w:val="24"/>
        </w:rPr>
        <w:t> </w:t>
      </w:r>
      <w:r>
        <w:rPr>
          <w:sz w:val="24"/>
        </w:rPr>
        <w:t>silvestres.</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10" w:hanging="360"/>
        <w:jc w:val="both"/>
        <w:rPr>
          <w:sz w:val="24"/>
        </w:rPr>
      </w:pPr>
      <w:r>
        <w:rPr>
          <w:sz w:val="24"/>
        </w:rPr>
        <w:t>Norma Oficial Mexicana Nom-109-SSA1-1994, Bienes y servicios, procedimientos para la toma, manejo y transporte de muestras de alimentos para su análisis</w:t>
      </w:r>
      <w:r>
        <w:rPr>
          <w:spacing w:val="-8"/>
          <w:sz w:val="24"/>
        </w:rPr>
        <w:t> </w:t>
      </w:r>
      <w:r>
        <w:rPr>
          <w:sz w:val="24"/>
        </w:rPr>
        <w:t>microbiológico.</w:t>
      </w:r>
    </w:p>
    <w:p>
      <w:pPr>
        <w:pStyle w:val="ListParagraph"/>
        <w:numPr>
          <w:ilvl w:val="1"/>
          <w:numId w:val="8"/>
        </w:numPr>
        <w:tabs>
          <w:tab w:pos="873" w:val="left" w:leader="none"/>
        </w:tabs>
        <w:spacing w:line="240" w:lineRule="auto" w:before="2" w:after="0"/>
        <w:ind w:left="872" w:right="0" w:hanging="360"/>
        <w:jc w:val="left"/>
        <w:rPr>
          <w:sz w:val="24"/>
        </w:rPr>
      </w:pPr>
      <w:r>
        <w:rPr>
          <w:sz w:val="24"/>
        </w:rPr>
        <w:t>NMX-FF-105-SCFI-2005 Productos Pecuarios – Carne de Conejo en </w:t>
      </w:r>
      <w:r>
        <w:rPr>
          <w:spacing w:val="11"/>
          <w:sz w:val="24"/>
        </w:rPr>
        <w:t> </w:t>
      </w:r>
      <w:r>
        <w:rPr>
          <w:sz w:val="24"/>
        </w:rPr>
        <w:t>Canal</w:t>
      </w:r>
    </w:p>
    <w:p>
      <w:pPr>
        <w:pStyle w:val="BodyText"/>
        <w:spacing w:before="139"/>
        <w:ind w:left="872"/>
      </w:pPr>
      <w:r>
        <w:rPr/>
        <w:t>– Clasificación</w:t>
      </w:r>
    </w:p>
    <w:p>
      <w:pPr>
        <w:pStyle w:val="ListParagraph"/>
        <w:numPr>
          <w:ilvl w:val="1"/>
          <w:numId w:val="8"/>
        </w:numPr>
        <w:tabs>
          <w:tab w:pos="873" w:val="left" w:leader="none"/>
        </w:tabs>
        <w:spacing w:line="360" w:lineRule="auto" w:before="137" w:after="0"/>
        <w:ind w:left="872" w:right="109" w:hanging="360"/>
        <w:jc w:val="both"/>
        <w:rPr>
          <w:sz w:val="24"/>
        </w:rPr>
      </w:pPr>
      <w:r>
        <w:rPr>
          <w:sz w:val="24"/>
        </w:rPr>
        <w:t>Norma</w:t>
      </w:r>
      <w:r>
        <w:rPr>
          <w:spacing w:val="-8"/>
          <w:sz w:val="24"/>
        </w:rPr>
        <w:t> </w:t>
      </w:r>
      <w:r>
        <w:rPr>
          <w:sz w:val="24"/>
        </w:rPr>
        <w:t>oficial</w:t>
      </w:r>
      <w:r>
        <w:rPr>
          <w:spacing w:val="-12"/>
          <w:sz w:val="24"/>
        </w:rPr>
        <w:t> </w:t>
      </w:r>
      <w:r>
        <w:rPr>
          <w:sz w:val="24"/>
        </w:rPr>
        <w:t>mexicana</w:t>
      </w:r>
      <w:r>
        <w:rPr>
          <w:spacing w:val="-8"/>
          <w:sz w:val="24"/>
        </w:rPr>
        <w:t> </w:t>
      </w:r>
      <w:r>
        <w:rPr>
          <w:sz w:val="24"/>
        </w:rPr>
        <w:t>nom-110-ssa1-1994,</w:t>
      </w:r>
      <w:r>
        <w:rPr>
          <w:spacing w:val="-11"/>
          <w:sz w:val="24"/>
        </w:rPr>
        <w:t> </w:t>
      </w:r>
      <w:r>
        <w:rPr>
          <w:sz w:val="24"/>
        </w:rPr>
        <w:t>bienes</w:t>
      </w:r>
      <w:r>
        <w:rPr>
          <w:spacing w:val="-9"/>
          <w:sz w:val="24"/>
        </w:rPr>
        <w:t> </w:t>
      </w:r>
      <w:r>
        <w:rPr>
          <w:sz w:val="24"/>
        </w:rPr>
        <w:t>y</w:t>
      </w:r>
      <w:r>
        <w:rPr>
          <w:spacing w:val="-12"/>
          <w:sz w:val="24"/>
        </w:rPr>
        <w:t> </w:t>
      </w:r>
      <w:r>
        <w:rPr>
          <w:sz w:val="24"/>
        </w:rPr>
        <w:t>servicios.</w:t>
      </w:r>
      <w:r>
        <w:rPr>
          <w:spacing w:val="-9"/>
          <w:sz w:val="24"/>
        </w:rPr>
        <w:t> </w:t>
      </w:r>
      <w:r>
        <w:rPr>
          <w:sz w:val="24"/>
        </w:rPr>
        <w:t>Preparación y dilución de muestras de alimentos para su análisis</w:t>
      </w:r>
      <w:r>
        <w:rPr>
          <w:spacing w:val="-23"/>
          <w:sz w:val="24"/>
        </w:rPr>
        <w:t> </w:t>
      </w:r>
      <w:r>
        <w:rPr>
          <w:sz w:val="24"/>
        </w:rPr>
        <w:t>microbiológico.</w:t>
      </w:r>
    </w:p>
    <w:p>
      <w:pPr>
        <w:pStyle w:val="ListParagraph"/>
        <w:numPr>
          <w:ilvl w:val="1"/>
          <w:numId w:val="8"/>
        </w:numPr>
        <w:tabs>
          <w:tab w:pos="873" w:val="left" w:leader="none"/>
        </w:tabs>
        <w:spacing w:line="360" w:lineRule="auto" w:before="3" w:after="0"/>
        <w:ind w:left="872" w:right="106" w:hanging="360"/>
        <w:jc w:val="both"/>
        <w:rPr>
          <w:sz w:val="24"/>
        </w:rPr>
      </w:pPr>
      <w:r>
        <w:rPr>
          <w:sz w:val="24"/>
        </w:rPr>
        <w:t>Malavé A.A., Córdova R.L., García R.A., Méndez J.T. 2013. Composición bromatológica de la carne de conejos suplementados con mataratón y cachaza de palma Aceitera. Revista MVZ Córdoba, vol. 18, núm. 2, mayo- agosto, 2013, pp. 3452-3458 Universidad de</w:t>
      </w:r>
      <w:r>
        <w:rPr>
          <w:spacing w:val="-23"/>
          <w:sz w:val="24"/>
        </w:rPr>
        <w:t> </w:t>
      </w:r>
      <w:r>
        <w:rPr>
          <w:sz w:val="24"/>
        </w:rPr>
        <w:t>Córdoba</w:t>
      </w:r>
    </w:p>
    <w:p>
      <w:pPr>
        <w:pStyle w:val="ListParagraph"/>
        <w:numPr>
          <w:ilvl w:val="1"/>
          <w:numId w:val="8"/>
        </w:numPr>
        <w:tabs>
          <w:tab w:pos="873" w:val="left" w:leader="none"/>
        </w:tabs>
        <w:spacing w:line="360" w:lineRule="auto" w:before="2" w:after="0"/>
        <w:ind w:left="872" w:right="106" w:hanging="360"/>
        <w:jc w:val="both"/>
        <w:rPr>
          <w:sz w:val="24"/>
        </w:rPr>
      </w:pPr>
      <w:r>
        <w:rPr>
          <w:sz w:val="24"/>
        </w:rPr>
        <w:t>Manjarrez</w:t>
      </w:r>
      <w:r>
        <w:rPr>
          <w:spacing w:val="-14"/>
          <w:sz w:val="24"/>
        </w:rPr>
        <w:t> </w:t>
      </w:r>
      <w:r>
        <w:rPr>
          <w:sz w:val="24"/>
        </w:rPr>
        <w:t>L.A.M.,</w:t>
      </w:r>
      <w:r>
        <w:rPr>
          <w:spacing w:val="-12"/>
          <w:sz w:val="24"/>
        </w:rPr>
        <w:t> </w:t>
      </w:r>
      <w:r>
        <w:rPr>
          <w:sz w:val="24"/>
        </w:rPr>
        <w:t>Díaz</w:t>
      </w:r>
      <w:r>
        <w:rPr>
          <w:spacing w:val="-12"/>
          <w:sz w:val="24"/>
        </w:rPr>
        <w:t> </w:t>
      </w:r>
      <w:r>
        <w:rPr>
          <w:sz w:val="24"/>
        </w:rPr>
        <w:t>Z.S.,</w:t>
      </w:r>
      <w:r>
        <w:rPr>
          <w:spacing w:val="-12"/>
          <w:sz w:val="24"/>
        </w:rPr>
        <w:t> </w:t>
      </w:r>
      <w:r>
        <w:rPr>
          <w:sz w:val="24"/>
        </w:rPr>
        <w:t>Salazar</w:t>
      </w:r>
      <w:r>
        <w:rPr>
          <w:spacing w:val="-12"/>
          <w:sz w:val="24"/>
        </w:rPr>
        <w:t> </w:t>
      </w:r>
      <w:r>
        <w:rPr>
          <w:sz w:val="24"/>
        </w:rPr>
        <w:t>G.F.,</w:t>
      </w:r>
      <w:r>
        <w:rPr>
          <w:spacing w:val="-12"/>
          <w:sz w:val="24"/>
        </w:rPr>
        <w:t> </w:t>
      </w:r>
      <w:r>
        <w:rPr>
          <w:sz w:val="24"/>
        </w:rPr>
        <w:t>Valladares</w:t>
      </w:r>
      <w:r>
        <w:rPr>
          <w:spacing w:val="-12"/>
          <w:sz w:val="24"/>
        </w:rPr>
        <w:t> </w:t>
      </w:r>
      <w:r>
        <w:rPr>
          <w:sz w:val="24"/>
        </w:rPr>
        <w:t>C.B.,</w:t>
      </w:r>
      <w:r>
        <w:rPr>
          <w:spacing w:val="-12"/>
          <w:sz w:val="24"/>
        </w:rPr>
        <w:t> </w:t>
      </w:r>
      <w:r>
        <w:rPr>
          <w:sz w:val="24"/>
        </w:rPr>
        <w:t>Gutiérrez</w:t>
      </w:r>
      <w:r>
        <w:rPr>
          <w:spacing w:val="-14"/>
          <w:sz w:val="24"/>
        </w:rPr>
        <w:t> </w:t>
      </w:r>
      <w:r>
        <w:rPr>
          <w:sz w:val="24"/>
        </w:rPr>
        <w:t>C.A.C., Barbabosa P.A., Talavera R.M., Alonso F.M.U., Velázquez O.V. 2012: Identificación de biotipos de Staphyloccocusaureus en vacas lecheras de producción</w:t>
      </w:r>
      <w:r>
        <w:rPr>
          <w:spacing w:val="-19"/>
          <w:sz w:val="24"/>
        </w:rPr>
        <w:t> </w:t>
      </w:r>
      <w:r>
        <w:rPr>
          <w:sz w:val="24"/>
        </w:rPr>
        <w:t>familiar</w:t>
      </w:r>
      <w:r>
        <w:rPr>
          <w:spacing w:val="-18"/>
          <w:sz w:val="24"/>
        </w:rPr>
        <w:t> </w:t>
      </w:r>
      <w:r>
        <w:rPr>
          <w:sz w:val="24"/>
        </w:rPr>
        <w:t>con</w:t>
      </w:r>
      <w:r>
        <w:rPr>
          <w:spacing w:val="-19"/>
          <w:sz w:val="24"/>
        </w:rPr>
        <w:t> </w:t>
      </w:r>
      <w:r>
        <w:rPr>
          <w:sz w:val="24"/>
        </w:rPr>
        <w:t>mastitis</w:t>
      </w:r>
      <w:r>
        <w:rPr>
          <w:spacing w:val="-17"/>
          <w:sz w:val="24"/>
        </w:rPr>
        <w:t> </w:t>
      </w:r>
      <w:r>
        <w:rPr>
          <w:sz w:val="24"/>
        </w:rPr>
        <w:t>subclínica</w:t>
      </w:r>
      <w:r>
        <w:rPr>
          <w:spacing w:val="-17"/>
          <w:sz w:val="24"/>
        </w:rPr>
        <w:t> </w:t>
      </w:r>
      <w:r>
        <w:rPr>
          <w:sz w:val="24"/>
        </w:rPr>
        <w:t>en</w:t>
      </w:r>
      <w:r>
        <w:rPr>
          <w:spacing w:val="-13"/>
          <w:sz w:val="24"/>
        </w:rPr>
        <w:t> </w:t>
      </w:r>
      <w:r>
        <w:rPr>
          <w:sz w:val="24"/>
        </w:rPr>
        <w:t>la</w:t>
      </w:r>
      <w:r>
        <w:rPr>
          <w:spacing w:val="-17"/>
          <w:sz w:val="24"/>
        </w:rPr>
        <w:t> </w:t>
      </w:r>
      <w:r>
        <w:rPr>
          <w:sz w:val="24"/>
        </w:rPr>
        <w:t>región</w:t>
      </w:r>
      <w:r>
        <w:rPr>
          <w:spacing w:val="-18"/>
          <w:sz w:val="24"/>
        </w:rPr>
        <w:t> </w:t>
      </w:r>
      <w:r>
        <w:rPr>
          <w:sz w:val="24"/>
        </w:rPr>
        <w:t>centro-este</w:t>
      </w:r>
      <w:r>
        <w:rPr>
          <w:spacing w:val="-18"/>
          <w:sz w:val="24"/>
        </w:rPr>
        <w:t> </w:t>
      </w:r>
      <w:r>
        <w:rPr>
          <w:sz w:val="24"/>
        </w:rPr>
        <w:t>del</w:t>
      </w:r>
      <w:r>
        <w:rPr>
          <w:spacing w:val="-18"/>
          <w:sz w:val="24"/>
        </w:rPr>
        <w:t> </w:t>
      </w:r>
      <w:r>
        <w:rPr>
          <w:sz w:val="24"/>
        </w:rPr>
        <w:t>Estado de México.</w:t>
      </w:r>
      <w:r>
        <w:rPr>
          <w:spacing w:val="-7"/>
          <w:sz w:val="24"/>
        </w:rPr>
        <w:t> </w:t>
      </w:r>
      <w:r>
        <w:rPr>
          <w:sz w:val="24"/>
        </w:rPr>
        <w:t>12;3(2):265-274</w:t>
      </w:r>
    </w:p>
    <w:p>
      <w:pPr>
        <w:pStyle w:val="ListParagraph"/>
        <w:numPr>
          <w:ilvl w:val="1"/>
          <w:numId w:val="8"/>
        </w:numPr>
        <w:tabs>
          <w:tab w:pos="873" w:val="left" w:leader="none"/>
        </w:tabs>
        <w:spacing w:line="360" w:lineRule="auto" w:before="5" w:after="0"/>
        <w:ind w:left="872" w:right="116" w:hanging="360"/>
        <w:jc w:val="both"/>
        <w:rPr>
          <w:sz w:val="24"/>
        </w:rPr>
      </w:pPr>
      <w:r>
        <w:rPr>
          <w:sz w:val="24"/>
        </w:rPr>
        <w:t>Maltin C, Balcerzak D, Tilley R, y Delday M. Determinants of meat quality: tenderness 2003. Proceedings of the Nutrition Society (2003), 62,</w:t>
      </w:r>
      <w:r>
        <w:rPr>
          <w:spacing w:val="-23"/>
          <w:sz w:val="24"/>
        </w:rPr>
        <w:t> </w:t>
      </w:r>
      <w:r>
        <w:rPr>
          <w:sz w:val="24"/>
        </w:rPr>
        <w:t>337–347</w:t>
      </w:r>
    </w:p>
    <w:p>
      <w:pPr>
        <w:pStyle w:val="ListParagraph"/>
        <w:numPr>
          <w:ilvl w:val="1"/>
          <w:numId w:val="8"/>
        </w:numPr>
        <w:tabs>
          <w:tab w:pos="873" w:val="left" w:leader="none"/>
        </w:tabs>
        <w:spacing w:line="360" w:lineRule="auto" w:before="5" w:after="0"/>
        <w:ind w:left="872" w:right="110" w:hanging="360"/>
        <w:jc w:val="both"/>
        <w:rPr>
          <w:sz w:val="24"/>
        </w:rPr>
      </w:pPr>
      <w:r>
        <w:rPr>
          <w:sz w:val="24"/>
        </w:rPr>
        <w:t>Meulemans L., Hermans K., Duchateau L., Haesebrouck F. 2007. High and low virulence Staphylococcus aureus strains in a rabbit skin infection model. Veterinary Microbiology 125 (2007)</w:t>
      </w:r>
      <w:r>
        <w:rPr>
          <w:spacing w:val="-13"/>
          <w:sz w:val="24"/>
        </w:rPr>
        <w:t> </w:t>
      </w:r>
      <w:r>
        <w:rPr>
          <w:sz w:val="24"/>
        </w:rPr>
        <w:t>333–340</w:t>
      </w:r>
    </w:p>
    <w:p>
      <w:pPr>
        <w:pStyle w:val="ListParagraph"/>
        <w:numPr>
          <w:ilvl w:val="1"/>
          <w:numId w:val="8"/>
        </w:numPr>
        <w:tabs>
          <w:tab w:pos="873" w:val="left" w:leader="none"/>
        </w:tabs>
        <w:spacing w:line="360" w:lineRule="auto" w:before="2" w:after="0"/>
        <w:ind w:left="872" w:right="105" w:hanging="360"/>
        <w:jc w:val="both"/>
        <w:rPr>
          <w:sz w:val="24"/>
        </w:rPr>
      </w:pPr>
      <w:r>
        <w:rPr>
          <w:sz w:val="24"/>
        </w:rPr>
        <w:t>Ministerio de Agricultura, Ganadería y Alimentación de Guatemala. Manual de procedimientos para muestreo microbiologico en establecimientos certificados. Sistema Oficial de Inspección de Carnes – SOIC. Dirección de Inocuidad de los Alimentos, Viceministerio de Sanidad Agropecuaria y Regulaciones. 2ª. Edición, Guatemala, Guatemala.</w:t>
      </w:r>
      <w:r>
        <w:rPr>
          <w:spacing w:val="-21"/>
          <w:sz w:val="24"/>
        </w:rPr>
        <w:t> </w:t>
      </w:r>
      <w:r>
        <w:rPr>
          <w:sz w:val="24"/>
        </w:rPr>
        <w:t>2004</w:t>
      </w:r>
    </w:p>
    <w:p>
      <w:pPr>
        <w:pStyle w:val="ListParagraph"/>
        <w:numPr>
          <w:ilvl w:val="1"/>
          <w:numId w:val="8"/>
        </w:numPr>
        <w:tabs>
          <w:tab w:pos="873" w:val="left" w:leader="none"/>
        </w:tabs>
        <w:spacing w:line="360" w:lineRule="auto" w:before="2" w:after="0"/>
        <w:ind w:left="872" w:right="109" w:hanging="360"/>
        <w:jc w:val="both"/>
        <w:rPr>
          <w:sz w:val="24"/>
        </w:rPr>
      </w:pPr>
      <w:r>
        <w:rPr>
          <w:sz w:val="24"/>
        </w:rPr>
        <w:t>Morales,</w:t>
      </w:r>
      <w:r>
        <w:rPr>
          <w:spacing w:val="-9"/>
          <w:sz w:val="24"/>
        </w:rPr>
        <w:t> </w:t>
      </w:r>
      <w:r>
        <w:rPr>
          <w:sz w:val="24"/>
        </w:rPr>
        <w:t>M.M.G.,</w:t>
      </w:r>
      <w:r>
        <w:rPr>
          <w:spacing w:val="-11"/>
          <w:sz w:val="24"/>
        </w:rPr>
        <w:t> </w:t>
      </w:r>
      <w:r>
        <w:rPr>
          <w:sz w:val="24"/>
        </w:rPr>
        <w:t>Ruiz</w:t>
      </w:r>
      <w:r>
        <w:rPr>
          <w:spacing w:val="-12"/>
          <w:sz w:val="24"/>
        </w:rPr>
        <w:t> </w:t>
      </w:r>
      <w:r>
        <w:rPr>
          <w:sz w:val="24"/>
        </w:rPr>
        <w:t>de</w:t>
      </w:r>
      <w:r>
        <w:rPr>
          <w:spacing w:val="-9"/>
          <w:sz w:val="24"/>
        </w:rPr>
        <w:t> </w:t>
      </w:r>
      <w:r>
        <w:rPr>
          <w:sz w:val="24"/>
        </w:rPr>
        <w:t>Chávez</w:t>
      </w:r>
      <w:r>
        <w:rPr>
          <w:spacing w:val="-12"/>
          <w:sz w:val="24"/>
        </w:rPr>
        <w:t> </w:t>
      </w:r>
      <w:r>
        <w:rPr>
          <w:sz w:val="24"/>
        </w:rPr>
        <w:t>R.</w:t>
      </w:r>
      <w:r>
        <w:rPr>
          <w:spacing w:val="-9"/>
          <w:sz w:val="24"/>
        </w:rPr>
        <w:t> </w:t>
      </w:r>
      <w:r>
        <w:rPr>
          <w:sz w:val="24"/>
        </w:rPr>
        <w:t>C.G.</w:t>
      </w:r>
      <w:r>
        <w:rPr>
          <w:spacing w:val="-9"/>
          <w:sz w:val="24"/>
        </w:rPr>
        <w:t> </w:t>
      </w:r>
      <w:r>
        <w:rPr>
          <w:sz w:val="24"/>
        </w:rPr>
        <w:t>2005:</w:t>
      </w:r>
      <w:r>
        <w:rPr>
          <w:spacing w:val="-9"/>
          <w:sz w:val="24"/>
        </w:rPr>
        <w:t> </w:t>
      </w:r>
      <w:r>
        <w:rPr>
          <w:sz w:val="24"/>
        </w:rPr>
        <w:t>Diferencias</w:t>
      </w:r>
      <w:r>
        <w:rPr>
          <w:spacing w:val="-11"/>
          <w:sz w:val="24"/>
        </w:rPr>
        <w:t> </w:t>
      </w:r>
      <w:r>
        <w:rPr>
          <w:sz w:val="24"/>
        </w:rPr>
        <w:t>en</w:t>
      </w:r>
      <w:r>
        <w:rPr>
          <w:spacing w:val="-9"/>
          <w:sz w:val="24"/>
        </w:rPr>
        <w:t> </w:t>
      </w:r>
      <w:r>
        <w:rPr>
          <w:sz w:val="24"/>
        </w:rPr>
        <w:t>la</w:t>
      </w:r>
      <w:r>
        <w:rPr>
          <w:spacing w:val="-9"/>
          <w:sz w:val="24"/>
        </w:rPr>
        <w:t> </w:t>
      </w:r>
      <w:r>
        <w:rPr>
          <w:sz w:val="24"/>
        </w:rPr>
        <w:t>resistencia a los antimicrobianos de cepas de staphylococcusaureus obtenidas de diversas fuentes de</w:t>
      </w:r>
      <w:r>
        <w:rPr>
          <w:spacing w:val="-8"/>
          <w:sz w:val="24"/>
        </w:rPr>
        <w:t> </w:t>
      </w:r>
      <w:r>
        <w:rPr>
          <w:sz w:val="24"/>
        </w:rPr>
        <w:t>aislamiento.</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06" w:hanging="360"/>
        <w:jc w:val="both"/>
        <w:rPr>
          <w:sz w:val="24"/>
        </w:rPr>
      </w:pPr>
      <w:r>
        <w:rPr>
          <w:sz w:val="24"/>
        </w:rPr>
        <w:t>Monecke S, Coombs G, Shore AC, Coleman DC, Akpaka P, et al. (2011) A Field Guide to Pandemic, Epidemic and Sporadic Clones of Methicillin- Resistant Staphylococcus aureus. PLoS ONE 6(4):</w:t>
      </w:r>
      <w:r>
        <w:rPr>
          <w:spacing w:val="-21"/>
          <w:sz w:val="24"/>
        </w:rPr>
        <w:t> </w:t>
      </w:r>
      <w:r>
        <w:rPr>
          <w:sz w:val="24"/>
        </w:rPr>
        <w:t>e17936.</w:t>
      </w:r>
    </w:p>
    <w:p>
      <w:pPr>
        <w:pStyle w:val="ListParagraph"/>
        <w:numPr>
          <w:ilvl w:val="1"/>
          <w:numId w:val="8"/>
        </w:numPr>
        <w:tabs>
          <w:tab w:pos="873" w:val="left" w:leader="none"/>
        </w:tabs>
        <w:spacing w:line="360" w:lineRule="auto" w:before="2" w:after="0"/>
        <w:ind w:left="872" w:right="112" w:hanging="360"/>
        <w:jc w:val="both"/>
        <w:rPr>
          <w:sz w:val="24"/>
        </w:rPr>
      </w:pPr>
      <w:r>
        <w:rPr>
          <w:sz w:val="24"/>
        </w:rPr>
        <w:t>Official</w:t>
      </w:r>
      <w:r>
        <w:rPr>
          <w:spacing w:val="-11"/>
          <w:sz w:val="24"/>
        </w:rPr>
        <w:t> </w:t>
      </w:r>
      <w:r>
        <w:rPr>
          <w:sz w:val="24"/>
        </w:rPr>
        <w:t>Journal</w:t>
      </w:r>
      <w:r>
        <w:rPr>
          <w:spacing w:val="-13"/>
          <w:sz w:val="24"/>
        </w:rPr>
        <w:t> </w:t>
      </w:r>
      <w:r>
        <w:rPr>
          <w:sz w:val="24"/>
        </w:rPr>
        <w:t>of</w:t>
      </w:r>
      <w:r>
        <w:rPr>
          <w:spacing w:val="-10"/>
          <w:sz w:val="24"/>
        </w:rPr>
        <w:t> </w:t>
      </w:r>
      <w:r>
        <w:rPr>
          <w:sz w:val="24"/>
        </w:rPr>
        <w:t>the</w:t>
      </w:r>
      <w:r>
        <w:rPr>
          <w:spacing w:val="-12"/>
          <w:sz w:val="24"/>
        </w:rPr>
        <w:t> </w:t>
      </w:r>
      <w:r>
        <w:rPr>
          <w:sz w:val="24"/>
        </w:rPr>
        <w:t>European</w:t>
      </w:r>
      <w:r>
        <w:rPr>
          <w:spacing w:val="-12"/>
          <w:sz w:val="24"/>
        </w:rPr>
        <w:t> </w:t>
      </w:r>
      <w:r>
        <w:rPr>
          <w:sz w:val="24"/>
        </w:rPr>
        <w:t>Communities</w:t>
      </w:r>
      <w:r>
        <w:rPr>
          <w:spacing w:val="-14"/>
          <w:sz w:val="24"/>
        </w:rPr>
        <w:t> </w:t>
      </w:r>
      <w:r>
        <w:rPr>
          <w:sz w:val="24"/>
        </w:rPr>
        <w:t>2001.</w:t>
      </w:r>
      <w:r>
        <w:rPr>
          <w:spacing w:val="-10"/>
          <w:sz w:val="24"/>
        </w:rPr>
        <w:t> </w:t>
      </w:r>
      <w:r>
        <w:rPr>
          <w:sz w:val="24"/>
        </w:rPr>
        <w:t>Directive</w:t>
      </w:r>
      <w:r>
        <w:rPr>
          <w:spacing w:val="-9"/>
          <w:sz w:val="24"/>
        </w:rPr>
        <w:t> </w:t>
      </w:r>
      <w:r>
        <w:rPr>
          <w:sz w:val="24"/>
        </w:rPr>
        <w:t>64/433/EEC</w:t>
      </w:r>
      <w:r>
        <w:rPr>
          <w:spacing w:val="-11"/>
          <w:sz w:val="24"/>
        </w:rPr>
        <w:t> </w:t>
      </w:r>
      <w:r>
        <w:rPr>
          <w:sz w:val="24"/>
        </w:rPr>
        <w:t>on health conditions for the production and marketing of fresh meat. L</w:t>
      </w:r>
      <w:r>
        <w:rPr>
          <w:spacing w:val="-33"/>
          <w:sz w:val="24"/>
        </w:rPr>
        <w:t> </w:t>
      </w:r>
      <w:r>
        <w:rPr>
          <w:sz w:val="24"/>
        </w:rPr>
        <w:t>165/48.</w:t>
      </w:r>
    </w:p>
    <w:p>
      <w:pPr>
        <w:pStyle w:val="ListParagraph"/>
        <w:numPr>
          <w:ilvl w:val="1"/>
          <w:numId w:val="8"/>
        </w:numPr>
        <w:tabs>
          <w:tab w:pos="873" w:val="left" w:leader="none"/>
        </w:tabs>
        <w:spacing w:line="360" w:lineRule="auto" w:before="2" w:after="0"/>
        <w:ind w:left="872" w:right="112" w:hanging="360"/>
        <w:jc w:val="both"/>
        <w:rPr>
          <w:sz w:val="24"/>
        </w:rPr>
      </w:pPr>
      <w:r>
        <w:rPr>
          <w:sz w:val="24"/>
        </w:rPr>
        <w:t>Official Journal of the European Communities. 2001. Directive 71/118/EEC on</w:t>
      </w:r>
      <w:r>
        <w:rPr>
          <w:spacing w:val="-19"/>
          <w:sz w:val="24"/>
        </w:rPr>
        <w:t> </w:t>
      </w:r>
      <w:r>
        <w:rPr>
          <w:sz w:val="24"/>
        </w:rPr>
        <w:t>health</w:t>
      </w:r>
      <w:r>
        <w:rPr>
          <w:spacing w:val="-19"/>
          <w:sz w:val="24"/>
        </w:rPr>
        <w:t> </w:t>
      </w:r>
      <w:r>
        <w:rPr>
          <w:sz w:val="24"/>
        </w:rPr>
        <w:t>problems</w:t>
      </w:r>
      <w:r>
        <w:rPr>
          <w:spacing w:val="-20"/>
          <w:sz w:val="24"/>
        </w:rPr>
        <w:t> </w:t>
      </w:r>
      <w:r>
        <w:rPr>
          <w:sz w:val="24"/>
        </w:rPr>
        <w:t>affecting</w:t>
      </w:r>
      <w:r>
        <w:rPr>
          <w:spacing w:val="-19"/>
          <w:sz w:val="24"/>
        </w:rPr>
        <w:t> </w:t>
      </w:r>
      <w:r>
        <w:rPr>
          <w:sz w:val="24"/>
        </w:rPr>
        <w:t>the</w:t>
      </w:r>
      <w:r>
        <w:rPr>
          <w:spacing w:val="-17"/>
          <w:sz w:val="24"/>
        </w:rPr>
        <w:t> </w:t>
      </w:r>
      <w:r>
        <w:rPr>
          <w:sz w:val="24"/>
        </w:rPr>
        <w:t>production</w:t>
      </w:r>
      <w:r>
        <w:rPr>
          <w:spacing w:val="-19"/>
          <w:sz w:val="24"/>
        </w:rPr>
        <w:t> </w:t>
      </w:r>
      <w:r>
        <w:rPr>
          <w:sz w:val="24"/>
        </w:rPr>
        <w:t>and</w:t>
      </w:r>
      <w:r>
        <w:rPr>
          <w:spacing w:val="-19"/>
          <w:sz w:val="24"/>
        </w:rPr>
        <w:t> </w:t>
      </w:r>
      <w:r>
        <w:rPr>
          <w:sz w:val="24"/>
        </w:rPr>
        <w:t>placing</w:t>
      </w:r>
      <w:r>
        <w:rPr>
          <w:spacing w:val="-19"/>
          <w:sz w:val="24"/>
        </w:rPr>
        <w:t> </w:t>
      </w:r>
      <w:r>
        <w:rPr>
          <w:sz w:val="24"/>
        </w:rPr>
        <w:t>on</w:t>
      </w:r>
      <w:r>
        <w:rPr>
          <w:spacing w:val="-17"/>
          <w:sz w:val="24"/>
        </w:rPr>
        <w:t> </w:t>
      </w:r>
      <w:r>
        <w:rPr>
          <w:sz w:val="24"/>
        </w:rPr>
        <w:t>the</w:t>
      </w:r>
      <w:r>
        <w:rPr>
          <w:spacing w:val="-19"/>
          <w:sz w:val="24"/>
        </w:rPr>
        <w:t> </w:t>
      </w:r>
      <w:r>
        <w:rPr>
          <w:sz w:val="24"/>
        </w:rPr>
        <w:t>market</w:t>
      </w:r>
      <w:r>
        <w:rPr>
          <w:spacing w:val="-17"/>
          <w:sz w:val="24"/>
        </w:rPr>
        <w:t> </w:t>
      </w:r>
      <w:r>
        <w:rPr>
          <w:sz w:val="24"/>
        </w:rPr>
        <w:t>of</w:t>
      </w:r>
      <w:r>
        <w:rPr>
          <w:spacing w:val="-19"/>
          <w:sz w:val="24"/>
        </w:rPr>
        <w:t> </w:t>
      </w:r>
      <w:r>
        <w:rPr>
          <w:sz w:val="24"/>
        </w:rPr>
        <w:t>fresh poultry meat. L</w:t>
      </w:r>
      <w:r>
        <w:rPr>
          <w:spacing w:val="-10"/>
          <w:sz w:val="24"/>
        </w:rPr>
        <w:t> </w:t>
      </w:r>
      <w:r>
        <w:rPr>
          <w:sz w:val="24"/>
        </w:rPr>
        <w:t>165/48.</w:t>
      </w:r>
    </w:p>
    <w:p>
      <w:pPr>
        <w:pStyle w:val="ListParagraph"/>
        <w:numPr>
          <w:ilvl w:val="1"/>
          <w:numId w:val="8"/>
        </w:numPr>
        <w:tabs>
          <w:tab w:pos="873" w:val="left" w:leader="none"/>
        </w:tabs>
        <w:spacing w:line="360" w:lineRule="auto" w:before="5" w:after="0"/>
        <w:ind w:left="872" w:right="105" w:hanging="360"/>
        <w:jc w:val="both"/>
        <w:rPr>
          <w:sz w:val="24"/>
        </w:rPr>
      </w:pPr>
      <w:r>
        <w:rPr>
          <w:sz w:val="24"/>
        </w:rPr>
        <w:t>Olivares PR, Gómez CM, Schwentesius RR, Carrera CB. Alternativas a la producción</w:t>
      </w:r>
      <w:r>
        <w:rPr>
          <w:spacing w:val="-5"/>
          <w:sz w:val="24"/>
        </w:rPr>
        <w:t> </w:t>
      </w:r>
      <w:r>
        <w:rPr>
          <w:sz w:val="24"/>
        </w:rPr>
        <w:t>y</w:t>
      </w:r>
      <w:r>
        <w:rPr>
          <w:spacing w:val="-8"/>
          <w:sz w:val="24"/>
        </w:rPr>
        <w:t> </w:t>
      </w:r>
      <w:r>
        <w:rPr>
          <w:sz w:val="24"/>
        </w:rPr>
        <w:t>mercadeo</w:t>
      </w:r>
      <w:r>
        <w:rPr>
          <w:spacing w:val="-5"/>
          <w:sz w:val="24"/>
        </w:rPr>
        <w:t> </w:t>
      </w:r>
      <w:r>
        <w:rPr>
          <w:sz w:val="24"/>
        </w:rPr>
        <w:t>para</w:t>
      </w:r>
      <w:r>
        <w:rPr>
          <w:spacing w:val="-5"/>
          <w:sz w:val="24"/>
        </w:rPr>
        <w:t> </w:t>
      </w:r>
      <w:r>
        <w:rPr>
          <w:sz w:val="24"/>
        </w:rPr>
        <w:t>la</w:t>
      </w:r>
      <w:r>
        <w:rPr>
          <w:spacing w:val="-7"/>
          <w:sz w:val="24"/>
        </w:rPr>
        <w:t> </w:t>
      </w:r>
      <w:r>
        <w:rPr>
          <w:sz w:val="24"/>
        </w:rPr>
        <w:t>carne</w:t>
      </w:r>
      <w:r>
        <w:rPr>
          <w:spacing w:val="-5"/>
          <w:sz w:val="24"/>
        </w:rPr>
        <w:t> </w:t>
      </w:r>
      <w:r>
        <w:rPr>
          <w:sz w:val="24"/>
        </w:rPr>
        <w:t>de</w:t>
      </w:r>
      <w:r>
        <w:rPr>
          <w:spacing w:val="-5"/>
          <w:sz w:val="24"/>
        </w:rPr>
        <w:t> </w:t>
      </w:r>
      <w:r>
        <w:rPr>
          <w:sz w:val="24"/>
        </w:rPr>
        <w:t>conejo</w:t>
      </w:r>
      <w:r>
        <w:rPr>
          <w:spacing w:val="-5"/>
          <w:sz w:val="24"/>
        </w:rPr>
        <w:t> </w:t>
      </w:r>
      <w:r>
        <w:rPr>
          <w:sz w:val="24"/>
        </w:rPr>
        <w:t>en</w:t>
      </w:r>
      <w:r>
        <w:rPr>
          <w:spacing w:val="-7"/>
          <w:sz w:val="24"/>
        </w:rPr>
        <w:t> </w:t>
      </w:r>
      <w:r>
        <w:rPr>
          <w:sz w:val="24"/>
        </w:rPr>
        <w:t>Tlaxcala,</w:t>
      </w:r>
      <w:r>
        <w:rPr>
          <w:spacing w:val="-7"/>
          <w:sz w:val="24"/>
        </w:rPr>
        <w:t> </w:t>
      </w:r>
      <w:r>
        <w:rPr>
          <w:sz w:val="24"/>
        </w:rPr>
        <w:t>México.</w:t>
      </w:r>
      <w:r>
        <w:rPr>
          <w:spacing w:val="-1"/>
          <w:sz w:val="24"/>
        </w:rPr>
        <w:t> </w:t>
      </w:r>
      <w:r>
        <w:rPr>
          <w:sz w:val="24"/>
        </w:rPr>
        <w:t>Región y Sociedad. 2009, vol. XXI, núm. 46, pp. 191-207, El Colegio de Sonora México</w:t>
      </w:r>
    </w:p>
    <w:p>
      <w:pPr>
        <w:pStyle w:val="ListParagraph"/>
        <w:numPr>
          <w:ilvl w:val="1"/>
          <w:numId w:val="8"/>
        </w:numPr>
        <w:tabs>
          <w:tab w:pos="873" w:val="left" w:leader="none"/>
        </w:tabs>
        <w:spacing w:line="360" w:lineRule="auto" w:before="5" w:after="0"/>
        <w:ind w:left="872" w:right="112" w:hanging="360"/>
        <w:jc w:val="both"/>
        <w:rPr>
          <w:sz w:val="24"/>
        </w:rPr>
      </w:pPr>
      <w:r>
        <w:rPr>
          <w:sz w:val="24"/>
        </w:rPr>
        <w:t>Ortega C., Simón M.C., Alonso J.L., Mateo A., 2009. Caracterización y riesgos para la salud pública de la antibiorresistencia de Staphylococcusaureusen la cunicultura intensiva. Rev. sci. tech. Off. int. Epiz., 2009, 28 (3),</w:t>
      </w:r>
      <w:r>
        <w:rPr>
          <w:spacing w:val="-11"/>
          <w:sz w:val="24"/>
        </w:rPr>
        <w:t> </w:t>
      </w:r>
      <w:r>
        <w:rPr>
          <w:sz w:val="24"/>
        </w:rPr>
        <w:t>1119-1128</w:t>
      </w:r>
    </w:p>
    <w:p>
      <w:pPr>
        <w:pStyle w:val="ListParagraph"/>
        <w:numPr>
          <w:ilvl w:val="1"/>
          <w:numId w:val="8"/>
        </w:numPr>
        <w:tabs>
          <w:tab w:pos="873" w:val="left" w:leader="none"/>
        </w:tabs>
        <w:spacing w:line="360" w:lineRule="auto" w:before="5" w:after="0"/>
        <w:ind w:left="872" w:right="115" w:hanging="360"/>
        <w:jc w:val="both"/>
        <w:rPr>
          <w:sz w:val="24"/>
        </w:rPr>
      </w:pPr>
      <w:r>
        <w:rPr>
          <w:sz w:val="24"/>
        </w:rPr>
        <w:t>Ortiz HJA, Rubio LMS. Effect of bree dan sex on rabbit carcass yieeld an meat quality. 2001  World Rabbit Science, vol. 9 (2),</w:t>
      </w:r>
      <w:r>
        <w:rPr>
          <w:spacing w:val="-16"/>
          <w:sz w:val="24"/>
        </w:rPr>
        <w:t> </w:t>
      </w:r>
      <w:r>
        <w:rPr>
          <w:sz w:val="24"/>
        </w:rPr>
        <w:t>51-56.</w:t>
      </w:r>
    </w:p>
    <w:p>
      <w:pPr>
        <w:pStyle w:val="ListParagraph"/>
        <w:numPr>
          <w:ilvl w:val="1"/>
          <w:numId w:val="8"/>
        </w:numPr>
        <w:tabs>
          <w:tab w:pos="873" w:val="left" w:leader="none"/>
        </w:tabs>
        <w:spacing w:line="360" w:lineRule="auto" w:before="5" w:after="0"/>
        <w:ind w:left="872" w:right="768" w:hanging="360"/>
        <w:jc w:val="left"/>
        <w:rPr>
          <w:sz w:val="24"/>
        </w:rPr>
      </w:pPr>
      <w:r>
        <w:rPr>
          <w:sz w:val="24"/>
        </w:rPr>
        <w:t>Oscar Hernández Betancourt, Yaidimi Ulloa Cuesta, Douglas del Río Méndez, María del Carmen Galdós 2005. </w:t>
      </w:r>
      <w:r>
        <w:rPr>
          <w:i/>
          <w:sz w:val="24"/>
        </w:rPr>
        <w:t>Staphylococcus aureus </w:t>
      </w:r>
      <w:r>
        <w:rPr>
          <w:sz w:val="24"/>
        </w:rPr>
        <w:t>y su identificación en los laboratorios microbiológicos. Archivo Médico de Camagüey.</w:t>
      </w:r>
      <w:r>
        <w:rPr>
          <w:spacing w:val="-7"/>
          <w:sz w:val="24"/>
        </w:rPr>
        <w:t> </w:t>
      </w:r>
      <w:r>
        <w:rPr>
          <w:sz w:val="24"/>
        </w:rPr>
        <w:t>9:1.</w:t>
      </w:r>
    </w:p>
    <w:p>
      <w:pPr>
        <w:pStyle w:val="ListParagraph"/>
        <w:numPr>
          <w:ilvl w:val="1"/>
          <w:numId w:val="8"/>
        </w:numPr>
        <w:tabs>
          <w:tab w:pos="873" w:val="left" w:leader="none"/>
        </w:tabs>
        <w:spacing w:line="360" w:lineRule="auto" w:before="5" w:after="0"/>
        <w:ind w:left="872" w:right="108" w:hanging="360"/>
        <w:jc w:val="both"/>
        <w:rPr>
          <w:sz w:val="24"/>
        </w:rPr>
      </w:pPr>
      <w:r>
        <w:rPr>
          <w:sz w:val="24"/>
        </w:rPr>
        <w:t>Osechas D, Becerra SLM. 2006 Producción y mercadeo de carne de conejo en el estado trujillo, venezuela. Revista Científica.</w:t>
      </w:r>
      <w:r>
        <w:rPr>
          <w:spacing w:val="50"/>
          <w:sz w:val="24"/>
        </w:rPr>
        <w:t> </w:t>
      </w:r>
      <w:r>
        <w:rPr>
          <w:sz w:val="24"/>
        </w:rPr>
        <w:t>XVI(2):129-135</w:t>
      </w:r>
    </w:p>
    <w:p>
      <w:pPr>
        <w:pStyle w:val="ListParagraph"/>
        <w:numPr>
          <w:ilvl w:val="1"/>
          <w:numId w:val="8"/>
        </w:numPr>
        <w:tabs>
          <w:tab w:pos="873" w:val="left" w:leader="none"/>
        </w:tabs>
        <w:spacing w:line="360" w:lineRule="auto" w:before="2" w:after="0"/>
        <w:ind w:left="872" w:right="192" w:hanging="360"/>
        <w:jc w:val="left"/>
        <w:rPr>
          <w:sz w:val="24"/>
        </w:rPr>
      </w:pPr>
      <w:r>
        <w:rPr>
          <w:sz w:val="24"/>
        </w:rPr>
        <w:t>Palecino, R.E.2002. Métodos recomendados para el estudio de susceptibilidad en </w:t>
      </w:r>
      <w:r>
        <w:rPr>
          <w:i/>
          <w:sz w:val="24"/>
        </w:rPr>
        <w:t>Staphylococcus aureus</w:t>
      </w:r>
      <w:r>
        <w:rPr>
          <w:sz w:val="24"/>
        </w:rPr>
        <w:t>, Staphylococcus coagulasa negativa y </w:t>
      </w:r>
      <w:r>
        <w:rPr>
          <w:i/>
          <w:sz w:val="24"/>
        </w:rPr>
        <w:t>Staphylococcus saprophyticus</w:t>
      </w:r>
      <w:r>
        <w:rPr>
          <w:sz w:val="24"/>
        </w:rPr>
        <w:t>: Nuevos puntos de corte e interpretación de resultados. Rev Chil Infect (2002); 19 (Supl. 2): S</w:t>
      </w:r>
      <w:r>
        <w:rPr>
          <w:spacing w:val="-25"/>
          <w:sz w:val="24"/>
        </w:rPr>
        <w:t> </w:t>
      </w:r>
      <w:r>
        <w:rPr>
          <w:sz w:val="24"/>
        </w:rPr>
        <w:t>119-124</w:t>
      </w:r>
    </w:p>
    <w:p>
      <w:pPr>
        <w:spacing w:after="0" w:line="360" w:lineRule="auto"/>
        <w:jc w:val="left"/>
        <w:rPr>
          <w:sz w:val="24"/>
        </w:rPr>
        <w:sectPr>
          <w:pgSz w:w="12240" w:h="15840"/>
          <w:pgMar w:header="0" w:footer="1386"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363" w:hanging="360"/>
        <w:jc w:val="left"/>
        <w:rPr>
          <w:sz w:val="24"/>
        </w:rPr>
      </w:pPr>
      <w:r>
        <w:rPr>
          <w:sz w:val="24"/>
        </w:rPr>
        <w:t>Pérez M.M., Betancourt A.M.A. 2010. Coccidiosis hepática en el conejo: aspectos ambientales y clínico-patológicos Ciencia Ergo Sum. 17(3): 269- 276,</w:t>
      </w:r>
    </w:p>
    <w:p>
      <w:pPr>
        <w:pStyle w:val="ListParagraph"/>
        <w:numPr>
          <w:ilvl w:val="1"/>
          <w:numId w:val="8"/>
        </w:numPr>
        <w:tabs>
          <w:tab w:pos="873" w:val="left" w:leader="none"/>
        </w:tabs>
        <w:spacing w:line="360" w:lineRule="auto" w:before="2" w:after="0"/>
        <w:ind w:left="872" w:right="238" w:hanging="360"/>
        <w:jc w:val="left"/>
        <w:rPr>
          <w:sz w:val="24"/>
        </w:rPr>
      </w:pPr>
      <w:r>
        <w:rPr>
          <w:sz w:val="24"/>
        </w:rPr>
        <w:t>Pérez M.I., Sosa T.I., Lugo M.S., Hernández R.A., Castillo R.R. 2010. Análisis de la situación epidemiológica en una colonia de producción intensiva de conejos para la experimentación entre 1993 e 2007.</w:t>
      </w:r>
      <w:r>
        <w:rPr>
          <w:spacing w:val="-28"/>
          <w:sz w:val="24"/>
        </w:rPr>
        <w:t> </w:t>
      </w:r>
      <w:r>
        <w:rPr>
          <w:sz w:val="24"/>
        </w:rPr>
        <w:t>REDVET. 2010.</w:t>
      </w:r>
      <w:r>
        <w:rPr>
          <w:spacing w:val="-9"/>
          <w:sz w:val="24"/>
        </w:rPr>
        <w:t> </w:t>
      </w:r>
      <w:r>
        <w:rPr>
          <w:sz w:val="24"/>
        </w:rPr>
        <w:t>11(2):1-22.</w:t>
      </w:r>
    </w:p>
    <w:p>
      <w:pPr>
        <w:pStyle w:val="ListParagraph"/>
        <w:numPr>
          <w:ilvl w:val="1"/>
          <w:numId w:val="8"/>
        </w:numPr>
        <w:tabs>
          <w:tab w:pos="873" w:val="left" w:leader="none"/>
        </w:tabs>
        <w:spacing w:line="360" w:lineRule="auto" w:before="3" w:after="0"/>
        <w:ind w:left="872" w:right="105" w:hanging="360"/>
        <w:jc w:val="both"/>
        <w:rPr>
          <w:sz w:val="24"/>
        </w:rPr>
      </w:pPr>
      <w:r>
        <w:rPr>
          <w:sz w:val="24"/>
        </w:rPr>
        <w:t>Pérez</w:t>
      </w:r>
      <w:r>
        <w:rPr>
          <w:spacing w:val="-20"/>
          <w:sz w:val="24"/>
        </w:rPr>
        <w:t> </w:t>
      </w:r>
      <w:r>
        <w:rPr>
          <w:sz w:val="24"/>
        </w:rPr>
        <w:t>AML,</w:t>
      </w:r>
      <w:r>
        <w:rPr>
          <w:spacing w:val="-17"/>
          <w:sz w:val="24"/>
        </w:rPr>
        <w:t> </w:t>
      </w:r>
      <w:r>
        <w:rPr>
          <w:sz w:val="24"/>
        </w:rPr>
        <w:t>Morón</w:t>
      </w:r>
      <w:r>
        <w:rPr>
          <w:spacing w:val="-17"/>
          <w:sz w:val="24"/>
        </w:rPr>
        <w:t> </w:t>
      </w:r>
      <w:r>
        <w:rPr>
          <w:sz w:val="24"/>
        </w:rPr>
        <w:t>FO,</w:t>
      </w:r>
      <w:r>
        <w:rPr>
          <w:spacing w:val="-19"/>
          <w:sz w:val="24"/>
        </w:rPr>
        <w:t> </w:t>
      </w:r>
      <w:r>
        <w:rPr>
          <w:sz w:val="24"/>
        </w:rPr>
        <w:t>Gallardo</w:t>
      </w:r>
      <w:r>
        <w:rPr>
          <w:spacing w:val="-17"/>
          <w:sz w:val="24"/>
        </w:rPr>
        <w:t> </w:t>
      </w:r>
      <w:r>
        <w:rPr>
          <w:sz w:val="24"/>
        </w:rPr>
        <w:t>N,</w:t>
      </w:r>
      <w:r>
        <w:rPr>
          <w:spacing w:val="-18"/>
          <w:sz w:val="24"/>
        </w:rPr>
        <w:t> </w:t>
      </w:r>
      <w:r>
        <w:rPr>
          <w:sz w:val="24"/>
        </w:rPr>
        <w:t>Vila</w:t>
      </w:r>
      <w:r>
        <w:rPr>
          <w:spacing w:val="-17"/>
          <w:sz w:val="24"/>
        </w:rPr>
        <w:t> </w:t>
      </w:r>
      <w:r>
        <w:rPr>
          <w:sz w:val="24"/>
        </w:rPr>
        <w:t>V,</w:t>
      </w:r>
      <w:r>
        <w:rPr>
          <w:spacing w:val="33"/>
          <w:sz w:val="24"/>
        </w:rPr>
        <w:t> </w:t>
      </w:r>
      <w:r>
        <w:rPr>
          <w:sz w:val="24"/>
        </w:rPr>
        <w:t>Arzalluz</w:t>
      </w:r>
      <w:r>
        <w:rPr>
          <w:spacing w:val="-20"/>
          <w:sz w:val="24"/>
        </w:rPr>
        <w:t> </w:t>
      </w:r>
      <w:r>
        <w:rPr>
          <w:sz w:val="24"/>
        </w:rPr>
        <w:t>FM,</w:t>
      </w:r>
      <w:r>
        <w:rPr>
          <w:spacing w:val="-17"/>
          <w:sz w:val="24"/>
        </w:rPr>
        <w:t> </w:t>
      </w:r>
      <w:r>
        <w:rPr>
          <w:sz w:val="24"/>
        </w:rPr>
        <w:t>Pietrosemoli</w:t>
      </w:r>
      <w:r>
        <w:rPr>
          <w:spacing w:val="-19"/>
          <w:sz w:val="24"/>
        </w:rPr>
        <w:t> </w:t>
      </w:r>
      <w:r>
        <w:rPr>
          <w:sz w:val="24"/>
        </w:rPr>
        <w:t>S.</w:t>
      </w:r>
      <w:r>
        <w:rPr>
          <w:spacing w:val="-17"/>
          <w:sz w:val="24"/>
        </w:rPr>
        <w:t> </w:t>
      </w:r>
      <w:r>
        <w:rPr>
          <w:sz w:val="24"/>
        </w:rPr>
        <w:t>2009. Caracterización anatómica y física de los músculos del conejo. Revista Científica,</w:t>
      </w:r>
      <w:r>
        <w:rPr>
          <w:spacing w:val="-9"/>
          <w:sz w:val="24"/>
        </w:rPr>
        <w:t> </w:t>
      </w:r>
      <w:r>
        <w:rPr>
          <w:sz w:val="24"/>
        </w:rPr>
        <w:t>XIX.2:134-138,</w:t>
      </w:r>
    </w:p>
    <w:p>
      <w:pPr>
        <w:pStyle w:val="ListParagraph"/>
        <w:numPr>
          <w:ilvl w:val="1"/>
          <w:numId w:val="8"/>
        </w:numPr>
        <w:tabs>
          <w:tab w:pos="873" w:val="left" w:leader="none"/>
        </w:tabs>
        <w:spacing w:line="360" w:lineRule="auto" w:before="5" w:after="0"/>
        <w:ind w:left="872" w:right="108" w:hanging="360"/>
        <w:jc w:val="both"/>
        <w:rPr>
          <w:sz w:val="24"/>
        </w:rPr>
      </w:pPr>
      <w:r>
        <w:rPr>
          <w:sz w:val="24"/>
        </w:rPr>
        <w:t>Programa de Desarrollo Regional 2006 – 2011. Macro Región I Centro Toluca, Región VII Lerma. Gobierno del Estado de</w:t>
      </w:r>
      <w:r>
        <w:rPr>
          <w:spacing w:val="-17"/>
          <w:sz w:val="24"/>
        </w:rPr>
        <w:t> </w:t>
      </w:r>
      <w:r>
        <w:rPr>
          <w:sz w:val="24"/>
        </w:rPr>
        <w:t>México.</w:t>
      </w:r>
    </w:p>
    <w:p>
      <w:pPr>
        <w:pStyle w:val="ListParagraph"/>
        <w:numPr>
          <w:ilvl w:val="1"/>
          <w:numId w:val="8"/>
        </w:numPr>
        <w:tabs>
          <w:tab w:pos="873" w:val="left" w:leader="none"/>
        </w:tabs>
        <w:spacing w:line="360" w:lineRule="auto" w:before="5" w:after="0"/>
        <w:ind w:left="872" w:right="110" w:hanging="360"/>
        <w:jc w:val="both"/>
        <w:rPr>
          <w:sz w:val="24"/>
        </w:rPr>
      </w:pPr>
      <w:r>
        <w:rPr>
          <w:sz w:val="24"/>
        </w:rPr>
        <w:t>Pascual M, Pla M. 2007. Changes in carcass composition and meat quality when selectingrabbits for growth rate. Meat Science 2007.</w:t>
      </w:r>
      <w:r>
        <w:rPr>
          <w:spacing w:val="-20"/>
          <w:sz w:val="24"/>
        </w:rPr>
        <w:t> </w:t>
      </w:r>
      <w:r>
        <w:rPr>
          <w:sz w:val="24"/>
        </w:rPr>
        <w:t>77:474–481</w:t>
      </w:r>
    </w:p>
    <w:p>
      <w:pPr>
        <w:pStyle w:val="ListParagraph"/>
        <w:numPr>
          <w:ilvl w:val="1"/>
          <w:numId w:val="8"/>
        </w:numPr>
        <w:tabs>
          <w:tab w:pos="873" w:val="left" w:leader="none"/>
        </w:tabs>
        <w:spacing w:line="360" w:lineRule="auto" w:before="5" w:after="0"/>
        <w:ind w:left="872" w:right="111" w:hanging="360"/>
        <w:jc w:val="both"/>
        <w:rPr>
          <w:sz w:val="24"/>
        </w:rPr>
      </w:pPr>
      <w:r>
        <w:rPr>
          <w:sz w:val="24"/>
        </w:rPr>
        <w:t>PredariI S.C. 2007. Estafilococos coagulasa negativos: el enemigo silente. Revista Argentina de Microbiología (2007) 39:</w:t>
      </w:r>
      <w:r>
        <w:rPr>
          <w:spacing w:val="-13"/>
          <w:sz w:val="24"/>
        </w:rPr>
        <w:t> </w:t>
      </w:r>
      <w:r>
        <w:rPr>
          <w:sz w:val="24"/>
        </w:rPr>
        <w:t>1-3</w:t>
      </w:r>
    </w:p>
    <w:p>
      <w:pPr>
        <w:pStyle w:val="ListParagraph"/>
        <w:numPr>
          <w:ilvl w:val="1"/>
          <w:numId w:val="8"/>
        </w:numPr>
        <w:tabs>
          <w:tab w:pos="873" w:val="left" w:leader="none"/>
        </w:tabs>
        <w:spacing w:line="360" w:lineRule="auto" w:before="5" w:after="0"/>
        <w:ind w:left="872" w:right="105" w:hanging="360"/>
        <w:jc w:val="both"/>
        <w:rPr>
          <w:sz w:val="24"/>
        </w:rPr>
      </w:pPr>
      <w:r>
        <w:rPr>
          <w:sz w:val="24"/>
        </w:rPr>
        <w:t>Quiros E. M.1, Diana Rosa Fernández R.D.R., Barrios R.B., Milián V.M.P., Cisneros N. Y., Lucía NoaJustafe L. 2013. Lasoxazolidinonas como alternativa en el tratamiento del Staphylococcus aureus multirresistente. MediSur. Cuba</w:t>
      </w:r>
      <w:r>
        <w:rPr>
          <w:spacing w:val="-9"/>
          <w:sz w:val="24"/>
        </w:rPr>
        <w:t> </w:t>
      </w:r>
      <w:r>
        <w:rPr>
          <w:sz w:val="24"/>
        </w:rPr>
        <w:t>11:159-166</w:t>
      </w:r>
    </w:p>
    <w:p>
      <w:pPr>
        <w:pStyle w:val="ListParagraph"/>
        <w:numPr>
          <w:ilvl w:val="1"/>
          <w:numId w:val="8"/>
        </w:numPr>
        <w:tabs>
          <w:tab w:pos="873" w:val="left" w:leader="none"/>
        </w:tabs>
        <w:spacing w:line="360" w:lineRule="auto" w:before="5" w:after="0"/>
        <w:ind w:left="872" w:right="110" w:hanging="360"/>
        <w:jc w:val="both"/>
        <w:rPr>
          <w:sz w:val="24"/>
        </w:rPr>
      </w:pPr>
      <w:r>
        <w:rPr>
          <w:sz w:val="24"/>
        </w:rPr>
        <w:t>Rodríguez C.J. (2006): Calidad Microbiologica de la Carne de Conejo y Estimacion de la Eficacia de Algunos Tratamientos Tecnologicos de Conservacion. Universidad de León Depto. de Higiene y Tecnologia de los Alimentos.</w:t>
      </w:r>
    </w:p>
    <w:p>
      <w:pPr>
        <w:pStyle w:val="ListParagraph"/>
        <w:numPr>
          <w:ilvl w:val="1"/>
          <w:numId w:val="8"/>
        </w:numPr>
        <w:tabs>
          <w:tab w:pos="873" w:val="left" w:leader="none"/>
        </w:tabs>
        <w:spacing w:line="360" w:lineRule="auto" w:before="2" w:after="0"/>
        <w:ind w:left="872" w:right="530" w:hanging="360"/>
        <w:jc w:val="both"/>
        <w:rPr>
          <w:sz w:val="24"/>
        </w:rPr>
      </w:pPr>
      <w:r>
        <w:rPr>
          <w:sz w:val="24"/>
        </w:rPr>
        <w:t>Rodríguez C.J.M., García L.I., Santos J.A., Otero A.,García L.M.L.</w:t>
      </w:r>
      <w:r>
        <w:rPr>
          <w:spacing w:val="-25"/>
          <w:sz w:val="24"/>
        </w:rPr>
        <w:t> </w:t>
      </w:r>
      <w:r>
        <w:rPr>
          <w:sz w:val="24"/>
        </w:rPr>
        <w:t>2006. Molecular and phenotypic typing of </w:t>
      </w:r>
      <w:r>
        <w:rPr>
          <w:i/>
          <w:sz w:val="24"/>
        </w:rPr>
        <w:t>Staphylococcus aureus </w:t>
      </w:r>
      <w:r>
        <w:rPr>
          <w:sz w:val="24"/>
        </w:rPr>
        <w:t>isolates from rabbit meat. Research in Microbiology 157 (2006)</w:t>
      </w:r>
      <w:r>
        <w:rPr>
          <w:spacing w:val="-19"/>
          <w:sz w:val="24"/>
        </w:rPr>
        <w:t> </w:t>
      </w:r>
      <w:r>
        <w:rPr>
          <w:sz w:val="24"/>
        </w:rPr>
        <w:t>496–502</w:t>
      </w:r>
    </w:p>
    <w:p>
      <w:pPr>
        <w:pStyle w:val="ListParagraph"/>
        <w:numPr>
          <w:ilvl w:val="1"/>
          <w:numId w:val="8"/>
        </w:numPr>
        <w:tabs>
          <w:tab w:pos="873" w:val="left" w:leader="none"/>
        </w:tabs>
        <w:spacing w:line="360" w:lineRule="auto" w:before="5" w:after="0"/>
        <w:ind w:left="872" w:right="106" w:hanging="360"/>
        <w:jc w:val="both"/>
        <w:rPr>
          <w:sz w:val="24"/>
        </w:rPr>
      </w:pPr>
      <w:r>
        <w:rPr>
          <w:sz w:val="24"/>
        </w:rPr>
        <w:t>Rosas, P.N. 2013. Demanda actual y potencial de la carne de conejo en el municipio  de  Texcoco,  Estado  de  México.  Tesis  maestría.  Colegio   </w:t>
      </w:r>
      <w:r>
        <w:rPr>
          <w:spacing w:val="7"/>
          <w:sz w:val="24"/>
        </w:rPr>
        <w:t> </w:t>
      </w:r>
      <w:r>
        <w:rPr>
          <w:sz w:val="24"/>
        </w:rPr>
        <w:t>de</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BodyText"/>
        <w:spacing w:line="360" w:lineRule="auto" w:before="69"/>
        <w:ind w:left="872"/>
      </w:pPr>
      <w:r>
        <w:rPr/>
        <w:t>Posgraduados,</w:t>
      </w:r>
      <w:r>
        <w:rPr>
          <w:spacing w:val="-20"/>
        </w:rPr>
        <w:t> </w:t>
      </w:r>
      <w:r>
        <w:rPr/>
        <w:t>Instituto</w:t>
      </w:r>
      <w:r>
        <w:rPr>
          <w:spacing w:val="-18"/>
        </w:rPr>
        <w:t> </w:t>
      </w:r>
      <w:r>
        <w:rPr/>
        <w:t>de</w:t>
      </w:r>
      <w:r>
        <w:rPr>
          <w:spacing w:val="-20"/>
        </w:rPr>
        <w:t> </w:t>
      </w:r>
      <w:r>
        <w:rPr/>
        <w:t>Enseñanza</w:t>
      </w:r>
      <w:r>
        <w:rPr>
          <w:spacing w:val="-18"/>
        </w:rPr>
        <w:t> </w:t>
      </w:r>
      <w:r>
        <w:rPr/>
        <w:t>e</w:t>
      </w:r>
      <w:r>
        <w:rPr>
          <w:spacing w:val="-18"/>
        </w:rPr>
        <w:t> </w:t>
      </w:r>
      <w:r>
        <w:rPr/>
        <w:t>Investigacion</w:t>
      </w:r>
      <w:r>
        <w:rPr>
          <w:spacing w:val="-17"/>
        </w:rPr>
        <w:t> </w:t>
      </w:r>
      <w:r>
        <w:rPr/>
        <w:t>en</w:t>
      </w:r>
      <w:r>
        <w:rPr>
          <w:spacing w:val="-18"/>
        </w:rPr>
        <w:t> </w:t>
      </w:r>
      <w:r>
        <w:rPr/>
        <w:t>Ciencias</w:t>
      </w:r>
      <w:r>
        <w:rPr>
          <w:spacing w:val="-18"/>
        </w:rPr>
        <w:t> </w:t>
      </w:r>
      <w:r>
        <w:rPr/>
        <w:t>Agricolas. Campus Montecillo, Texcoco, Estado de</w:t>
      </w:r>
      <w:r>
        <w:rPr>
          <w:spacing w:val="-15"/>
        </w:rPr>
        <w:t> </w:t>
      </w:r>
      <w:r>
        <w:rPr/>
        <w:t>México.</w:t>
      </w:r>
    </w:p>
    <w:p>
      <w:pPr>
        <w:pStyle w:val="ListParagraph"/>
        <w:numPr>
          <w:ilvl w:val="1"/>
          <w:numId w:val="8"/>
        </w:numPr>
        <w:tabs>
          <w:tab w:pos="873" w:val="left" w:leader="none"/>
        </w:tabs>
        <w:spacing w:line="360" w:lineRule="auto" w:before="204" w:after="0"/>
        <w:ind w:left="872" w:right="106" w:hanging="360"/>
        <w:jc w:val="both"/>
        <w:rPr>
          <w:sz w:val="24"/>
        </w:rPr>
      </w:pPr>
      <w:r>
        <w:rPr>
          <w:sz w:val="24"/>
        </w:rPr>
        <w:t>SAGARPA</w:t>
      </w:r>
      <w:r>
        <w:rPr>
          <w:spacing w:val="-18"/>
          <w:sz w:val="24"/>
        </w:rPr>
        <w:t> </w:t>
      </w:r>
      <w:r>
        <w:rPr>
          <w:sz w:val="24"/>
        </w:rPr>
        <w:t>2006.</w:t>
      </w:r>
      <w:r>
        <w:rPr>
          <w:spacing w:val="34"/>
          <w:sz w:val="24"/>
        </w:rPr>
        <w:t> </w:t>
      </w:r>
      <w:r>
        <w:rPr>
          <w:sz w:val="24"/>
        </w:rPr>
        <w:t>Sala</w:t>
      </w:r>
      <w:r>
        <w:rPr>
          <w:spacing w:val="-18"/>
          <w:sz w:val="24"/>
        </w:rPr>
        <w:t> </w:t>
      </w:r>
      <w:r>
        <w:rPr>
          <w:sz w:val="24"/>
        </w:rPr>
        <w:t>de</w:t>
      </w:r>
      <w:r>
        <w:rPr>
          <w:spacing w:val="-18"/>
          <w:sz w:val="24"/>
        </w:rPr>
        <w:t> </w:t>
      </w:r>
      <w:r>
        <w:rPr>
          <w:sz w:val="24"/>
        </w:rPr>
        <w:t>prensa</w:t>
      </w:r>
      <w:r>
        <w:rPr>
          <w:spacing w:val="-18"/>
          <w:sz w:val="24"/>
        </w:rPr>
        <w:t> </w:t>
      </w:r>
      <w:r>
        <w:rPr>
          <w:sz w:val="24"/>
        </w:rPr>
        <w:t>Curso</w:t>
      </w:r>
      <w:r>
        <w:rPr>
          <w:spacing w:val="-18"/>
          <w:sz w:val="24"/>
        </w:rPr>
        <w:t> </w:t>
      </w:r>
      <w:r>
        <w:rPr>
          <w:sz w:val="24"/>
        </w:rPr>
        <w:t>taller</w:t>
      </w:r>
      <w:r>
        <w:rPr>
          <w:spacing w:val="-22"/>
          <w:sz w:val="24"/>
        </w:rPr>
        <w:t> </w:t>
      </w:r>
      <w:r>
        <w:rPr>
          <w:sz w:val="24"/>
        </w:rPr>
        <w:t>de</w:t>
      </w:r>
      <w:r>
        <w:rPr>
          <w:spacing w:val="-16"/>
          <w:sz w:val="24"/>
        </w:rPr>
        <w:t> </w:t>
      </w:r>
      <w:r>
        <w:rPr>
          <w:sz w:val="24"/>
        </w:rPr>
        <w:t>cunicultura.</w:t>
      </w:r>
      <w:r>
        <w:rPr>
          <w:spacing w:val="-16"/>
          <w:sz w:val="24"/>
        </w:rPr>
        <w:t> </w:t>
      </w:r>
      <w:r>
        <w:rPr>
          <w:sz w:val="24"/>
        </w:rPr>
        <w:t>Centro</w:t>
      </w:r>
      <w:r>
        <w:rPr>
          <w:spacing w:val="-20"/>
          <w:sz w:val="24"/>
        </w:rPr>
        <w:t> </w:t>
      </w:r>
      <w:r>
        <w:rPr>
          <w:sz w:val="24"/>
        </w:rPr>
        <w:t>Nacional de Cunicultura de Irapuato, Guanajuato. Abril</w:t>
      </w:r>
      <w:r>
        <w:rPr>
          <w:spacing w:val="-19"/>
          <w:sz w:val="24"/>
        </w:rPr>
        <w:t> </w:t>
      </w:r>
      <w:r>
        <w:rPr>
          <w:sz w:val="24"/>
        </w:rPr>
        <w:t>2006</w:t>
      </w:r>
    </w:p>
    <w:p>
      <w:pPr>
        <w:pStyle w:val="ListParagraph"/>
        <w:numPr>
          <w:ilvl w:val="1"/>
          <w:numId w:val="8"/>
        </w:numPr>
        <w:tabs>
          <w:tab w:pos="873" w:val="left" w:leader="none"/>
        </w:tabs>
        <w:spacing w:line="360" w:lineRule="auto" w:before="2" w:after="0"/>
        <w:ind w:left="872" w:right="114" w:hanging="360"/>
        <w:jc w:val="both"/>
        <w:rPr>
          <w:sz w:val="24"/>
        </w:rPr>
      </w:pPr>
      <w:r>
        <w:rPr>
          <w:sz w:val="24"/>
        </w:rPr>
        <w:t>SAGARPA 2015 Sala de prensa. impulsa la cunicultura como alternativa alimentaria y generadora de empleos en el campo. 2015. León, Gto., miércoles 14 de enero de</w:t>
      </w:r>
      <w:r>
        <w:rPr>
          <w:spacing w:val="-12"/>
          <w:sz w:val="24"/>
        </w:rPr>
        <w:t> </w:t>
      </w:r>
      <w:r>
        <w:rPr>
          <w:sz w:val="24"/>
        </w:rPr>
        <w:t>2015</w:t>
      </w:r>
    </w:p>
    <w:p>
      <w:pPr>
        <w:pStyle w:val="ListParagraph"/>
        <w:numPr>
          <w:ilvl w:val="1"/>
          <w:numId w:val="8"/>
        </w:numPr>
        <w:tabs>
          <w:tab w:pos="873" w:val="left" w:leader="none"/>
        </w:tabs>
        <w:spacing w:line="240" w:lineRule="auto" w:before="5" w:after="0"/>
        <w:ind w:left="872" w:right="0" w:hanging="360"/>
        <w:jc w:val="left"/>
        <w:rPr>
          <w:sz w:val="24"/>
        </w:rPr>
      </w:pPr>
      <w:r>
        <w:rPr>
          <w:sz w:val="24"/>
        </w:rPr>
        <w:t>SAGARPA.2012: Delegación en el Estado de México comunicación</w:t>
      </w:r>
      <w:r>
        <w:rPr>
          <w:spacing w:val="-20"/>
          <w:sz w:val="24"/>
        </w:rPr>
        <w:t> </w:t>
      </w:r>
      <w:r>
        <w:rPr>
          <w:sz w:val="24"/>
        </w:rPr>
        <w:t>social</w:t>
      </w:r>
    </w:p>
    <w:p>
      <w:pPr>
        <w:pStyle w:val="ListParagraph"/>
        <w:numPr>
          <w:ilvl w:val="1"/>
          <w:numId w:val="8"/>
        </w:numPr>
        <w:tabs>
          <w:tab w:pos="873" w:val="left" w:leader="none"/>
        </w:tabs>
        <w:spacing w:line="360" w:lineRule="auto" w:before="137" w:after="0"/>
        <w:ind w:left="872" w:right="115" w:hanging="360"/>
        <w:jc w:val="both"/>
        <w:rPr>
          <w:sz w:val="24"/>
        </w:rPr>
      </w:pPr>
      <w:r>
        <w:rPr>
          <w:sz w:val="24"/>
        </w:rPr>
        <w:t>SAGARPA 2014 Sala de prensa. impulsa la cunicultura como alternativa alimentaria y generadora de empleos en el campo. 2015. León, Gto., miércoles 14 de enero de</w:t>
      </w:r>
      <w:r>
        <w:rPr>
          <w:spacing w:val="-12"/>
          <w:sz w:val="24"/>
        </w:rPr>
        <w:t> </w:t>
      </w:r>
      <w:r>
        <w:rPr>
          <w:sz w:val="24"/>
        </w:rPr>
        <w:t>2015</w:t>
      </w:r>
    </w:p>
    <w:p>
      <w:pPr>
        <w:pStyle w:val="ListParagraph"/>
        <w:numPr>
          <w:ilvl w:val="1"/>
          <w:numId w:val="8"/>
        </w:numPr>
        <w:tabs>
          <w:tab w:pos="873" w:val="left" w:leader="none"/>
        </w:tabs>
        <w:spacing w:line="360" w:lineRule="auto" w:before="5" w:after="0"/>
        <w:ind w:left="872" w:right="279" w:hanging="360"/>
        <w:jc w:val="left"/>
        <w:rPr>
          <w:sz w:val="24"/>
        </w:rPr>
      </w:pPr>
      <w:r>
        <w:rPr>
          <w:sz w:val="24"/>
        </w:rPr>
        <w:t>Shimizu A., Kawano J., Kimura S. 1986. Phage Typing of Coagualse- negative Staphylococci Isolated from various animals and human in</w:t>
      </w:r>
      <w:r>
        <w:rPr>
          <w:spacing w:val="-30"/>
          <w:sz w:val="24"/>
        </w:rPr>
        <w:t> </w:t>
      </w:r>
      <w:r>
        <w:rPr>
          <w:sz w:val="24"/>
        </w:rPr>
        <w:t>Japan. Jpn. J. Vet. Sci. 49(2):</w:t>
      </w:r>
      <w:r>
        <w:rPr>
          <w:spacing w:val="-9"/>
          <w:sz w:val="24"/>
        </w:rPr>
        <w:t> </w:t>
      </w:r>
      <w:r>
        <w:rPr>
          <w:sz w:val="24"/>
        </w:rPr>
        <w:t>207-215</w:t>
      </w:r>
    </w:p>
    <w:p>
      <w:pPr>
        <w:pStyle w:val="ListParagraph"/>
        <w:numPr>
          <w:ilvl w:val="1"/>
          <w:numId w:val="8"/>
        </w:numPr>
        <w:tabs>
          <w:tab w:pos="873" w:val="left" w:leader="none"/>
        </w:tabs>
        <w:spacing w:line="360" w:lineRule="auto" w:before="5" w:after="0"/>
        <w:ind w:left="872" w:right="105" w:hanging="360"/>
        <w:jc w:val="both"/>
        <w:rPr>
          <w:sz w:val="24"/>
        </w:rPr>
      </w:pPr>
      <w:r>
        <w:rPr>
          <w:sz w:val="24"/>
        </w:rPr>
        <w:t>Simonova M.P., Chrastinova Ľ., Mojto J., Laukova A., Szabova R., Rafay J. 2010.</w:t>
      </w:r>
      <w:r>
        <w:rPr>
          <w:spacing w:val="-18"/>
          <w:sz w:val="24"/>
        </w:rPr>
        <w:t> </w:t>
      </w:r>
      <w:r>
        <w:rPr>
          <w:sz w:val="24"/>
        </w:rPr>
        <w:t>Quality</w:t>
      </w:r>
      <w:r>
        <w:rPr>
          <w:spacing w:val="-21"/>
          <w:sz w:val="24"/>
        </w:rPr>
        <w:t> </w:t>
      </w:r>
      <w:r>
        <w:rPr>
          <w:sz w:val="24"/>
        </w:rPr>
        <w:t>of</w:t>
      </w:r>
      <w:r>
        <w:rPr>
          <w:spacing w:val="-16"/>
          <w:sz w:val="24"/>
        </w:rPr>
        <w:t> </w:t>
      </w:r>
      <w:r>
        <w:rPr>
          <w:sz w:val="24"/>
        </w:rPr>
        <w:t>rabbit</w:t>
      </w:r>
      <w:r>
        <w:rPr>
          <w:spacing w:val="-21"/>
          <w:sz w:val="24"/>
        </w:rPr>
        <w:t> </w:t>
      </w:r>
      <w:r>
        <w:rPr>
          <w:sz w:val="24"/>
        </w:rPr>
        <w:t>meat</w:t>
      </w:r>
      <w:r>
        <w:rPr>
          <w:spacing w:val="-18"/>
          <w:sz w:val="24"/>
        </w:rPr>
        <w:t> </w:t>
      </w:r>
      <w:r>
        <w:rPr>
          <w:sz w:val="24"/>
        </w:rPr>
        <w:t>and</w:t>
      </w:r>
      <w:r>
        <w:rPr>
          <w:spacing w:val="-18"/>
          <w:sz w:val="24"/>
        </w:rPr>
        <w:t> </w:t>
      </w:r>
      <w:r>
        <w:rPr>
          <w:sz w:val="24"/>
        </w:rPr>
        <w:t>phyto-additives.</w:t>
      </w:r>
      <w:r>
        <w:rPr>
          <w:spacing w:val="-18"/>
          <w:sz w:val="24"/>
        </w:rPr>
        <w:t> </w:t>
      </w:r>
      <w:r>
        <w:rPr>
          <w:sz w:val="24"/>
        </w:rPr>
        <w:t>Czech</w:t>
      </w:r>
      <w:r>
        <w:rPr>
          <w:spacing w:val="-18"/>
          <w:sz w:val="24"/>
        </w:rPr>
        <w:t> </w:t>
      </w:r>
      <w:r>
        <w:rPr>
          <w:sz w:val="24"/>
        </w:rPr>
        <w:t>J.</w:t>
      </w:r>
      <w:r>
        <w:rPr>
          <w:spacing w:val="-18"/>
          <w:sz w:val="24"/>
        </w:rPr>
        <w:t> </w:t>
      </w:r>
      <w:r>
        <w:rPr>
          <w:sz w:val="24"/>
        </w:rPr>
        <w:t>Food</w:t>
      </w:r>
      <w:r>
        <w:rPr>
          <w:spacing w:val="-18"/>
          <w:sz w:val="24"/>
        </w:rPr>
        <w:t> </w:t>
      </w:r>
      <w:r>
        <w:rPr>
          <w:sz w:val="24"/>
        </w:rPr>
        <w:t>Sci.,</w:t>
      </w:r>
      <w:r>
        <w:rPr>
          <w:spacing w:val="-19"/>
          <w:sz w:val="24"/>
        </w:rPr>
        <w:t> </w:t>
      </w:r>
      <w:r>
        <w:rPr>
          <w:sz w:val="24"/>
        </w:rPr>
        <w:t>28:</w:t>
      </w:r>
      <w:r>
        <w:rPr>
          <w:spacing w:val="-18"/>
          <w:sz w:val="24"/>
        </w:rPr>
        <w:t> </w:t>
      </w:r>
      <w:r>
        <w:rPr>
          <w:sz w:val="24"/>
        </w:rPr>
        <w:t>161– 167.</w:t>
      </w:r>
    </w:p>
    <w:p>
      <w:pPr>
        <w:pStyle w:val="ListParagraph"/>
        <w:numPr>
          <w:ilvl w:val="1"/>
          <w:numId w:val="8"/>
        </w:numPr>
        <w:tabs>
          <w:tab w:pos="873" w:val="left" w:leader="none"/>
        </w:tabs>
        <w:spacing w:line="360" w:lineRule="auto" w:before="2" w:after="0"/>
        <w:ind w:left="872" w:right="105" w:hanging="360"/>
        <w:jc w:val="both"/>
        <w:rPr>
          <w:sz w:val="24"/>
        </w:rPr>
      </w:pPr>
      <w:r>
        <w:rPr>
          <w:sz w:val="24"/>
        </w:rPr>
        <w:t>Sowash M.G. and Uhlemann C.A. 2014. Community-Associated Methicillin- Resistant </w:t>
      </w:r>
      <w:r>
        <w:rPr>
          <w:i/>
          <w:sz w:val="24"/>
        </w:rPr>
        <w:t>Staphylococcus aureus </w:t>
      </w:r>
      <w:r>
        <w:rPr>
          <w:sz w:val="24"/>
        </w:rPr>
        <w:t>Case Studies. Community-Associated Methicillin-Resistant</w:t>
      </w:r>
      <w:r>
        <w:rPr>
          <w:spacing w:val="-16"/>
          <w:sz w:val="24"/>
        </w:rPr>
        <w:t> </w:t>
      </w:r>
      <w:r>
        <w:rPr>
          <w:i/>
          <w:sz w:val="24"/>
        </w:rPr>
        <w:t>Staphylococcus</w:t>
      </w:r>
      <w:r>
        <w:rPr>
          <w:i/>
          <w:spacing w:val="-18"/>
          <w:sz w:val="24"/>
        </w:rPr>
        <w:t> </w:t>
      </w:r>
      <w:r>
        <w:rPr>
          <w:i/>
          <w:sz w:val="24"/>
        </w:rPr>
        <w:t>aureus</w:t>
      </w:r>
      <w:r>
        <w:rPr>
          <w:i/>
          <w:spacing w:val="-18"/>
          <w:sz w:val="24"/>
        </w:rPr>
        <w:t> </w:t>
      </w:r>
      <w:r>
        <w:rPr>
          <w:sz w:val="24"/>
        </w:rPr>
        <w:t>Case</w:t>
      </w:r>
      <w:r>
        <w:rPr>
          <w:spacing w:val="-16"/>
          <w:sz w:val="24"/>
        </w:rPr>
        <w:t> </w:t>
      </w:r>
      <w:r>
        <w:rPr>
          <w:sz w:val="24"/>
        </w:rPr>
        <w:t>Studies.</w:t>
      </w:r>
      <w:r>
        <w:rPr>
          <w:spacing w:val="-15"/>
          <w:sz w:val="24"/>
        </w:rPr>
        <w:t> </w:t>
      </w:r>
      <w:r>
        <w:rPr>
          <w:i/>
          <w:sz w:val="24"/>
        </w:rPr>
        <w:t>Methods</w:t>
      </w:r>
      <w:r>
        <w:rPr>
          <w:i/>
          <w:spacing w:val="-19"/>
          <w:sz w:val="24"/>
        </w:rPr>
        <w:t> </w:t>
      </w:r>
      <w:r>
        <w:rPr>
          <w:i/>
          <w:sz w:val="24"/>
        </w:rPr>
        <w:t>Mol</w:t>
      </w:r>
      <w:r>
        <w:rPr>
          <w:i/>
          <w:spacing w:val="-18"/>
          <w:sz w:val="24"/>
        </w:rPr>
        <w:t> </w:t>
      </w:r>
      <w:r>
        <w:rPr>
          <w:i/>
          <w:sz w:val="24"/>
        </w:rPr>
        <w:t>Biol</w:t>
      </w:r>
      <w:r>
        <w:rPr>
          <w:sz w:val="24"/>
        </w:rPr>
        <w:t>. 2014; 1085:</w:t>
      </w:r>
      <w:r>
        <w:rPr>
          <w:spacing w:val="-8"/>
          <w:sz w:val="24"/>
        </w:rPr>
        <w:t> </w:t>
      </w:r>
      <w:r>
        <w:rPr>
          <w:sz w:val="24"/>
        </w:rPr>
        <w:t>25–69.</w:t>
      </w:r>
    </w:p>
    <w:p>
      <w:pPr>
        <w:pStyle w:val="ListParagraph"/>
        <w:numPr>
          <w:ilvl w:val="1"/>
          <w:numId w:val="8"/>
        </w:numPr>
        <w:tabs>
          <w:tab w:pos="873" w:val="left" w:leader="none"/>
        </w:tabs>
        <w:spacing w:line="362" w:lineRule="auto" w:before="2" w:after="0"/>
        <w:ind w:left="872" w:right="113" w:hanging="360"/>
        <w:jc w:val="both"/>
        <w:rPr>
          <w:sz w:val="24"/>
        </w:rPr>
      </w:pPr>
      <w:r>
        <w:rPr>
          <w:sz w:val="24"/>
        </w:rPr>
        <w:t>The Center for Food Secutity and Public Health. 2011. Staphylococcus aureus resistente a la meticilina. Iowa State University</w:t>
      </w:r>
      <w:r>
        <w:rPr>
          <w:spacing w:val="-20"/>
          <w:sz w:val="24"/>
        </w:rPr>
        <w:t> </w:t>
      </w:r>
      <w:r>
        <w:rPr>
          <w:sz w:val="24"/>
        </w:rPr>
        <w:t>2011.</w:t>
      </w:r>
    </w:p>
    <w:p>
      <w:pPr>
        <w:pStyle w:val="ListParagraph"/>
        <w:numPr>
          <w:ilvl w:val="1"/>
          <w:numId w:val="8"/>
        </w:numPr>
        <w:tabs>
          <w:tab w:pos="873" w:val="left" w:leader="none"/>
        </w:tabs>
        <w:spacing w:line="360" w:lineRule="auto" w:before="0" w:after="0"/>
        <w:ind w:left="872" w:right="919" w:hanging="360"/>
        <w:jc w:val="left"/>
        <w:rPr>
          <w:sz w:val="24"/>
        </w:rPr>
      </w:pPr>
      <w:r>
        <w:rPr>
          <w:sz w:val="24"/>
        </w:rPr>
        <w:t>Tibavizco D., Rodríguez J.Y., Silva E., Cuervo S.I., Cortes J.A.</w:t>
      </w:r>
      <w:r>
        <w:rPr>
          <w:spacing w:val="-28"/>
          <w:sz w:val="24"/>
        </w:rPr>
        <w:t> </w:t>
      </w:r>
      <w:r>
        <w:rPr>
          <w:sz w:val="24"/>
        </w:rPr>
        <w:t>2007. Enfoque terapéutico de la bacteriemia por Staphylococcus aureus. Biomédica</w:t>
      </w:r>
      <w:r>
        <w:rPr>
          <w:spacing w:val="-6"/>
          <w:sz w:val="24"/>
        </w:rPr>
        <w:t> </w:t>
      </w:r>
      <w:r>
        <w:rPr>
          <w:sz w:val="24"/>
        </w:rPr>
        <w:t>2007;27:294-307</w:t>
      </w:r>
    </w:p>
    <w:p>
      <w:pPr>
        <w:pStyle w:val="ListParagraph"/>
        <w:numPr>
          <w:ilvl w:val="1"/>
          <w:numId w:val="8"/>
        </w:numPr>
        <w:tabs>
          <w:tab w:pos="873" w:val="left" w:leader="none"/>
        </w:tabs>
        <w:spacing w:line="360" w:lineRule="auto" w:before="5" w:after="0"/>
        <w:ind w:left="872" w:right="114" w:hanging="360"/>
        <w:jc w:val="both"/>
        <w:rPr>
          <w:sz w:val="24"/>
        </w:rPr>
      </w:pPr>
      <w:r>
        <w:rPr>
          <w:sz w:val="24"/>
        </w:rPr>
        <w:t>Thompson P, Harris C, Holt D y Pajor EA. Livestock welfare product claims: The emerging social context. 2007. J. Amin. Sci.,</w:t>
      </w:r>
      <w:r>
        <w:rPr>
          <w:spacing w:val="-18"/>
          <w:sz w:val="24"/>
        </w:rPr>
        <w:t> </w:t>
      </w:r>
      <w:r>
        <w:rPr>
          <w:sz w:val="24"/>
        </w:rPr>
        <w:t>85:2354-2360</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ListParagraph"/>
        <w:numPr>
          <w:ilvl w:val="1"/>
          <w:numId w:val="8"/>
        </w:numPr>
        <w:tabs>
          <w:tab w:pos="873" w:val="left" w:leader="none"/>
        </w:tabs>
        <w:spacing w:line="360" w:lineRule="auto" w:before="69" w:after="0"/>
        <w:ind w:left="872" w:right="104" w:hanging="360"/>
        <w:jc w:val="both"/>
        <w:rPr>
          <w:sz w:val="24"/>
        </w:rPr>
      </w:pPr>
      <w:r>
        <w:rPr>
          <w:sz w:val="24"/>
        </w:rPr>
        <w:t>Velázquez M.M. 2005. Surgimiento y diseminación de Staphylococcus aureus meticilinorresistente. Salud Pública de México, 47:</w:t>
      </w:r>
      <w:r>
        <w:rPr>
          <w:spacing w:val="-18"/>
          <w:sz w:val="24"/>
        </w:rPr>
        <w:t> </w:t>
      </w:r>
      <w:r>
        <w:rPr>
          <w:sz w:val="24"/>
        </w:rPr>
        <w:t>381-387.</w:t>
      </w:r>
    </w:p>
    <w:p>
      <w:pPr>
        <w:pStyle w:val="ListParagraph"/>
        <w:numPr>
          <w:ilvl w:val="1"/>
          <w:numId w:val="8"/>
        </w:numPr>
        <w:tabs>
          <w:tab w:pos="873" w:val="left" w:leader="none"/>
        </w:tabs>
        <w:spacing w:line="360" w:lineRule="auto" w:before="5" w:after="0"/>
        <w:ind w:left="872" w:right="106" w:hanging="360"/>
        <w:jc w:val="both"/>
        <w:rPr>
          <w:sz w:val="24"/>
        </w:rPr>
      </w:pPr>
      <w:r>
        <w:rPr>
          <w:sz w:val="24"/>
        </w:rPr>
        <w:t>Viana D, SelvaL, Callanan JJ, Guerrero I, Ferrian S, Corp JM 2011. Strains of Staphylococcus aureus and pathology associated with chronicsuppurative mastitis in rabbits. journal homepage: </w:t>
      </w:r>
      <w:hyperlink r:id="rId63">
        <w:r>
          <w:rPr>
            <w:sz w:val="24"/>
          </w:rPr>
          <w:t>www.elsevier.com/</w:t>
        </w:r>
      </w:hyperlink>
      <w:r>
        <w:rPr>
          <w:sz w:val="24"/>
        </w:rPr>
        <w:t> locate/tvj</w:t>
      </w:r>
      <w:r>
        <w:rPr>
          <w:spacing w:val="-19"/>
          <w:sz w:val="24"/>
        </w:rPr>
        <w:t> </w:t>
      </w:r>
      <w:r>
        <w:rPr>
          <w:sz w:val="24"/>
        </w:rPr>
        <w:t>l</w:t>
      </w:r>
    </w:p>
    <w:p>
      <w:pPr>
        <w:pStyle w:val="ListParagraph"/>
        <w:numPr>
          <w:ilvl w:val="1"/>
          <w:numId w:val="8"/>
        </w:numPr>
        <w:tabs>
          <w:tab w:pos="873" w:val="left" w:leader="none"/>
        </w:tabs>
        <w:spacing w:line="360" w:lineRule="auto" w:before="2" w:after="0"/>
        <w:ind w:left="872" w:right="105" w:hanging="360"/>
        <w:jc w:val="both"/>
        <w:rPr>
          <w:sz w:val="24"/>
        </w:rPr>
      </w:pPr>
      <w:r>
        <w:rPr>
          <w:sz w:val="24"/>
        </w:rPr>
        <w:t>Yasser H. Al-Tarazi, Mohamad A. Albetar b, Akram R. Alaboudi 2009. Biotyping and enterotoxigenicity of Staphylococci isolated from fresh and frozen meat marketed in Jordan. journal homepage: </w:t>
      </w:r>
      <w:hyperlink r:id="rId64">
        <w:r>
          <w:rPr>
            <w:sz w:val="24"/>
          </w:rPr>
          <w:t>www.elsevier.com/locate/foodres</w:t>
        </w:r>
      </w:hyperlink>
      <w:r>
        <w:rPr>
          <w:spacing w:val="-12"/>
          <w:sz w:val="24"/>
        </w:rPr>
        <w:t> </w:t>
      </w:r>
      <w:r>
        <w:rPr>
          <w:sz w:val="24"/>
        </w:rPr>
        <w:t>10032015:10:35</w:t>
      </w:r>
    </w:p>
    <w:p>
      <w:pPr>
        <w:pStyle w:val="ListParagraph"/>
        <w:numPr>
          <w:ilvl w:val="1"/>
          <w:numId w:val="8"/>
        </w:numPr>
        <w:tabs>
          <w:tab w:pos="873" w:val="left" w:leader="none"/>
        </w:tabs>
        <w:spacing w:line="360" w:lineRule="auto" w:before="2" w:after="0"/>
        <w:ind w:left="872" w:right="110" w:hanging="360"/>
        <w:jc w:val="both"/>
        <w:rPr>
          <w:sz w:val="24"/>
        </w:rPr>
      </w:pPr>
      <w:r>
        <w:rPr>
          <w:sz w:val="24"/>
        </w:rPr>
        <w:t>Vancraeynest D., Hermans K., Martel A., Vaneechoutte M., Devriese L.A., Haesebrouck F. 2004. Antimicrobial resistance and resistance genes in </w:t>
      </w:r>
      <w:r>
        <w:rPr>
          <w:i/>
          <w:sz w:val="24"/>
        </w:rPr>
        <w:t>Staphylococcus aureus </w:t>
      </w:r>
      <w:r>
        <w:rPr>
          <w:sz w:val="24"/>
        </w:rPr>
        <w:t>strains from rabbits. Veterinary Microbiology. 2004. 10(1):</w:t>
      </w:r>
      <w:r>
        <w:rPr>
          <w:spacing w:val="-5"/>
          <w:sz w:val="24"/>
        </w:rPr>
        <w:t> </w:t>
      </w:r>
      <w:r>
        <w:rPr>
          <w:sz w:val="24"/>
        </w:rPr>
        <w:t>245–251</w:t>
      </w:r>
    </w:p>
    <w:p>
      <w:pPr>
        <w:pStyle w:val="ListParagraph"/>
        <w:numPr>
          <w:ilvl w:val="1"/>
          <w:numId w:val="8"/>
        </w:numPr>
        <w:tabs>
          <w:tab w:pos="873" w:val="left" w:leader="none"/>
        </w:tabs>
        <w:spacing w:line="360" w:lineRule="auto" w:before="2" w:after="0"/>
        <w:ind w:left="872" w:right="106" w:hanging="360"/>
        <w:jc w:val="both"/>
        <w:rPr>
          <w:sz w:val="24"/>
        </w:rPr>
      </w:pPr>
      <w:r>
        <w:rPr>
          <w:sz w:val="24"/>
        </w:rPr>
        <w:t>Uhlemann A.C., Otto M., Lowy F.D., De Leo F.R. 2014. Evolution of community- and healthcare-associated methicillinresistant </w:t>
      </w:r>
      <w:r>
        <w:rPr>
          <w:i/>
          <w:sz w:val="24"/>
        </w:rPr>
        <w:t>Staphylococcus </w:t>
      </w:r>
      <w:r>
        <w:rPr>
          <w:i/>
          <w:sz w:val="24"/>
        </w:rPr>
        <w:t>aureus</w:t>
      </w:r>
      <w:r>
        <w:rPr>
          <w:sz w:val="24"/>
        </w:rPr>
        <w:t>. </w:t>
      </w:r>
      <w:r>
        <w:rPr>
          <w:i/>
          <w:sz w:val="24"/>
        </w:rPr>
        <w:t>Infect Genet Evol</w:t>
      </w:r>
      <w:r>
        <w:rPr>
          <w:sz w:val="24"/>
        </w:rPr>
        <w:t>. 2014.21:</w:t>
      </w:r>
      <w:r>
        <w:rPr>
          <w:spacing w:val="-15"/>
          <w:sz w:val="24"/>
        </w:rPr>
        <w:t> </w:t>
      </w:r>
      <w:r>
        <w:rPr>
          <w:sz w:val="24"/>
        </w:rPr>
        <w:t>563–574.</w:t>
      </w:r>
    </w:p>
    <w:p>
      <w:pPr>
        <w:pStyle w:val="ListParagraph"/>
        <w:numPr>
          <w:ilvl w:val="1"/>
          <w:numId w:val="8"/>
        </w:numPr>
        <w:tabs>
          <w:tab w:pos="873" w:val="left" w:leader="none"/>
        </w:tabs>
        <w:spacing w:line="360" w:lineRule="auto" w:before="7" w:after="0"/>
        <w:ind w:left="872" w:right="528" w:hanging="360"/>
        <w:jc w:val="left"/>
        <w:rPr>
          <w:sz w:val="24"/>
        </w:rPr>
      </w:pPr>
      <w:r>
        <w:rPr>
          <w:sz w:val="24"/>
        </w:rPr>
        <w:t>Velázquez M.M.E. 2005. Surgimiento y diseminación de Staphylococcus aureus meticilinorresistente Salud Pública de México, vol. 47, núm. 5, septiembre-octubre, 2005, pp.</w:t>
      </w:r>
      <w:r>
        <w:rPr>
          <w:spacing w:val="-14"/>
          <w:sz w:val="24"/>
        </w:rPr>
        <w:t> </w:t>
      </w:r>
      <w:r>
        <w:rPr>
          <w:sz w:val="24"/>
        </w:rPr>
        <w:t>381-387.</w:t>
      </w:r>
    </w:p>
    <w:p>
      <w:pPr>
        <w:pStyle w:val="ListParagraph"/>
        <w:numPr>
          <w:ilvl w:val="1"/>
          <w:numId w:val="8"/>
        </w:numPr>
        <w:tabs>
          <w:tab w:pos="873" w:val="left" w:leader="none"/>
        </w:tabs>
        <w:spacing w:line="360" w:lineRule="auto" w:before="2" w:after="0"/>
        <w:ind w:left="872" w:right="326" w:hanging="360"/>
        <w:jc w:val="left"/>
        <w:rPr>
          <w:sz w:val="24"/>
        </w:rPr>
      </w:pPr>
      <w:r>
        <w:rPr>
          <w:sz w:val="24"/>
        </w:rPr>
        <w:t>Viana D., Selva L., Segura P., Penade´s J.R., Corpa J.M. 2007. Genotypic characterization of Staphylococcus aureus strains isolated from rabbit lesions. Veterinary Microbiology 121 (2007)</w:t>
      </w:r>
      <w:r>
        <w:rPr>
          <w:spacing w:val="-15"/>
          <w:sz w:val="24"/>
        </w:rPr>
        <w:t> </w:t>
      </w:r>
      <w:r>
        <w:rPr>
          <w:sz w:val="24"/>
        </w:rPr>
        <w:t>288–298</w:t>
      </w:r>
    </w:p>
    <w:p>
      <w:pPr>
        <w:pStyle w:val="ListParagraph"/>
        <w:numPr>
          <w:ilvl w:val="1"/>
          <w:numId w:val="8"/>
        </w:numPr>
        <w:tabs>
          <w:tab w:pos="873" w:val="left" w:leader="none"/>
        </w:tabs>
        <w:spacing w:line="360" w:lineRule="auto" w:before="5" w:after="0"/>
        <w:ind w:left="872" w:right="108" w:hanging="360"/>
        <w:jc w:val="both"/>
        <w:rPr>
          <w:sz w:val="24"/>
        </w:rPr>
      </w:pPr>
      <w:r>
        <w:rPr>
          <w:sz w:val="24"/>
        </w:rPr>
        <w:t>Virág GY, Eiben CS, Tóth T, Schmidt J. 2008. Colour and ph of rabbit meat and fat deposits as affected by the source and dose of dietary vitamin e supplementation Meat Quality and Safety K p1467. 9th World Rabbit Congress – June 10-13, 2008 – Verona –</w:t>
      </w:r>
      <w:r>
        <w:rPr>
          <w:spacing w:val="-12"/>
          <w:sz w:val="24"/>
        </w:rPr>
        <w:t> </w:t>
      </w:r>
      <w:r>
        <w:rPr>
          <w:sz w:val="24"/>
        </w:rPr>
        <w:t>Italy</w:t>
      </w:r>
    </w:p>
    <w:p>
      <w:pPr>
        <w:spacing w:after="0" w:line="360" w:lineRule="auto"/>
        <w:jc w:val="both"/>
        <w:rPr>
          <w:sz w:val="24"/>
        </w:rPr>
        <w:sectPr>
          <w:pgSz w:w="12240" w:h="15840"/>
          <w:pgMar w:header="0" w:footer="1386" w:top="1500" w:bottom="1580" w:left="1720" w:right="1420"/>
        </w:sectPr>
      </w:pPr>
    </w:p>
    <w:p>
      <w:pPr>
        <w:pStyle w:val="BodyText"/>
        <w:rPr>
          <w:sz w:val="20"/>
        </w:rPr>
      </w:pPr>
    </w:p>
    <w:p>
      <w:pPr>
        <w:pStyle w:val="BodyText"/>
        <w:rPr>
          <w:sz w:val="20"/>
        </w:rPr>
      </w:pPr>
    </w:p>
    <w:p>
      <w:pPr>
        <w:pStyle w:val="BodyText"/>
        <w:rPr>
          <w:sz w:val="18"/>
        </w:rPr>
      </w:pPr>
    </w:p>
    <w:p>
      <w:pPr>
        <w:spacing w:before="74"/>
        <w:ind w:left="152" w:right="0" w:firstLine="0"/>
        <w:jc w:val="left"/>
        <w:rPr>
          <w:b/>
          <w:sz w:val="20"/>
        </w:rPr>
      </w:pPr>
      <w:r>
        <w:rPr>
          <w:b/>
          <w:sz w:val="20"/>
        </w:rPr>
        <w:t>ANEXOS</w:t>
      </w:r>
    </w:p>
    <w:p>
      <w:pPr>
        <w:pStyle w:val="BodyText"/>
        <w:spacing w:before="2"/>
        <w:rPr>
          <w:b/>
          <w:sz w:val="17"/>
        </w:rPr>
      </w:pPr>
    </w:p>
    <w:p>
      <w:pPr>
        <w:spacing w:before="0"/>
        <w:ind w:left="152" w:right="0" w:firstLine="0"/>
        <w:jc w:val="left"/>
        <w:rPr>
          <w:b/>
          <w:sz w:val="23"/>
        </w:rPr>
      </w:pPr>
      <w:r>
        <w:rPr>
          <w:b/>
          <w:sz w:val="23"/>
        </w:rPr>
        <w:t>ANEXO 1. MÉTODO DE 0.5 MCFARLAND</w:t>
      </w:r>
    </w:p>
    <w:p>
      <w:pPr>
        <w:pStyle w:val="BodyText"/>
        <w:spacing w:before="3"/>
        <w:rPr>
          <w:b/>
          <w:sz w:val="23"/>
        </w:rPr>
      </w:pPr>
    </w:p>
    <w:p>
      <w:pPr>
        <w:pStyle w:val="ListParagraph"/>
        <w:numPr>
          <w:ilvl w:val="0"/>
          <w:numId w:val="9"/>
        </w:numPr>
        <w:tabs>
          <w:tab w:pos="873" w:val="left" w:leader="none"/>
        </w:tabs>
        <w:spacing w:line="240" w:lineRule="auto" w:before="0" w:after="0"/>
        <w:ind w:left="872" w:right="0" w:hanging="360"/>
        <w:jc w:val="left"/>
        <w:rPr>
          <w:sz w:val="22"/>
        </w:rPr>
      </w:pPr>
      <w:r>
        <w:rPr>
          <w:sz w:val="22"/>
        </w:rPr>
        <w:t>Agregar .5mL de 0.048 mol/L de BaCl</w:t>
      </w:r>
      <w:r>
        <w:rPr>
          <w:sz w:val="14"/>
        </w:rPr>
        <w:t>2 </w:t>
      </w:r>
      <w:r>
        <w:rPr>
          <w:sz w:val="22"/>
        </w:rPr>
        <w:t>(1.175% w/v BaCl</w:t>
      </w:r>
      <w:r>
        <w:rPr>
          <w:sz w:val="14"/>
        </w:rPr>
        <w:t>2 </w:t>
      </w:r>
      <w:r>
        <w:rPr>
          <w:sz w:val="22"/>
        </w:rPr>
        <w:t>·2H</w:t>
      </w:r>
      <w:r>
        <w:rPr>
          <w:sz w:val="14"/>
        </w:rPr>
        <w:t>2</w:t>
      </w:r>
      <w:r>
        <w:rPr>
          <w:sz w:val="22"/>
        </w:rPr>
        <w:t>O) a 99.5 mL</w:t>
      </w:r>
      <w:r>
        <w:rPr>
          <w:spacing w:val="-21"/>
          <w:sz w:val="22"/>
        </w:rPr>
        <w:t> </w:t>
      </w:r>
      <w:r>
        <w:rPr>
          <w:sz w:val="22"/>
        </w:rPr>
        <w:t>de</w:t>
      </w:r>
    </w:p>
    <w:p>
      <w:pPr>
        <w:spacing w:line="360" w:lineRule="auto" w:before="126"/>
        <w:ind w:left="872" w:right="1177" w:firstLine="0"/>
        <w:jc w:val="left"/>
        <w:rPr>
          <w:sz w:val="22"/>
        </w:rPr>
      </w:pPr>
      <w:r>
        <w:rPr>
          <w:sz w:val="22"/>
        </w:rPr>
        <w:t>0.18 mol/L de H</w:t>
      </w:r>
      <w:r>
        <w:rPr>
          <w:sz w:val="14"/>
        </w:rPr>
        <w:t>2</w:t>
      </w:r>
      <w:r>
        <w:rPr>
          <w:sz w:val="22"/>
        </w:rPr>
        <w:t>SO</w:t>
      </w:r>
      <w:r>
        <w:rPr>
          <w:sz w:val="14"/>
        </w:rPr>
        <w:t>4 </w:t>
      </w:r>
      <w:r>
        <w:rPr>
          <w:sz w:val="22"/>
        </w:rPr>
        <w:t>(1% v/v), en constante agitación hasta obtener una suspensión.</w:t>
      </w:r>
    </w:p>
    <w:p>
      <w:pPr>
        <w:pStyle w:val="ListParagraph"/>
        <w:numPr>
          <w:ilvl w:val="0"/>
          <w:numId w:val="9"/>
        </w:numPr>
        <w:tabs>
          <w:tab w:pos="873" w:val="left" w:leader="none"/>
        </w:tabs>
        <w:spacing w:line="360" w:lineRule="auto" w:before="133" w:after="0"/>
        <w:ind w:left="872" w:right="140" w:hanging="360"/>
        <w:jc w:val="left"/>
        <w:rPr>
          <w:sz w:val="22"/>
        </w:rPr>
      </w:pPr>
      <w:r>
        <w:rPr>
          <w:sz w:val="22"/>
        </w:rPr>
        <w:t>Verificar la correcta densidad de la turbidez mediante la medición del a absorbancia en un espectofotómetro. La absorbancia a 625nm debería de ser 0.08 a 0.13 para el standard de</w:t>
      </w:r>
      <w:r>
        <w:rPr>
          <w:spacing w:val="-12"/>
          <w:sz w:val="22"/>
        </w:rPr>
        <w:t> </w:t>
      </w:r>
      <w:r>
        <w:rPr>
          <w:sz w:val="22"/>
        </w:rPr>
        <w:t>McFarland.</w:t>
      </w:r>
    </w:p>
    <w:p>
      <w:pPr>
        <w:pStyle w:val="ListParagraph"/>
        <w:numPr>
          <w:ilvl w:val="0"/>
          <w:numId w:val="9"/>
        </w:numPr>
        <w:tabs>
          <w:tab w:pos="873" w:val="left" w:leader="none"/>
        </w:tabs>
        <w:spacing w:line="240" w:lineRule="auto" w:before="135" w:after="0"/>
        <w:ind w:left="872" w:right="0" w:hanging="360"/>
        <w:jc w:val="left"/>
        <w:rPr>
          <w:sz w:val="22"/>
        </w:rPr>
      </w:pPr>
      <w:r>
        <w:rPr>
          <w:sz w:val="22"/>
        </w:rPr>
        <w:t>Transferir la suspensión de sulfato de bario en alícuotas de 4 a 6</w:t>
      </w:r>
      <w:r>
        <w:rPr>
          <w:spacing w:val="-18"/>
          <w:sz w:val="22"/>
        </w:rPr>
        <w:t> </w:t>
      </w:r>
      <w:r>
        <w:rPr>
          <w:sz w:val="22"/>
        </w:rPr>
        <w:t>mL.</w:t>
      </w:r>
    </w:p>
    <w:p>
      <w:pPr>
        <w:pStyle w:val="BodyText"/>
        <w:spacing w:before="2"/>
        <w:rPr>
          <w:sz w:val="22"/>
        </w:rPr>
      </w:pPr>
    </w:p>
    <w:p>
      <w:pPr>
        <w:pStyle w:val="ListParagraph"/>
        <w:numPr>
          <w:ilvl w:val="0"/>
          <w:numId w:val="9"/>
        </w:numPr>
        <w:tabs>
          <w:tab w:pos="873" w:val="left" w:leader="none"/>
        </w:tabs>
        <w:spacing w:line="240" w:lineRule="auto" w:before="1" w:after="0"/>
        <w:ind w:left="872" w:right="0" w:hanging="360"/>
        <w:jc w:val="left"/>
        <w:rPr>
          <w:sz w:val="22"/>
        </w:rPr>
      </w:pPr>
      <w:r>
        <w:rPr>
          <w:sz w:val="22"/>
        </w:rPr>
        <w:t>Guardar los tubos en un lugar oscuro a temperatura</w:t>
      </w:r>
      <w:r>
        <w:rPr>
          <w:spacing w:val="-21"/>
          <w:sz w:val="22"/>
        </w:rPr>
        <w:t> </w:t>
      </w:r>
      <w:r>
        <w:rPr>
          <w:sz w:val="22"/>
        </w:rPr>
        <w:t>ambiente.</w:t>
      </w:r>
    </w:p>
    <w:p>
      <w:pPr>
        <w:pStyle w:val="BodyText"/>
        <w:spacing w:before="2"/>
        <w:rPr>
          <w:sz w:val="22"/>
        </w:rPr>
      </w:pPr>
    </w:p>
    <w:p>
      <w:pPr>
        <w:pStyle w:val="ListParagraph"/>
        <w:numPr>
          <w:ilvl w:val="0"/>
          <w:numId w:val="9"/>
        </w:numPr>
        <w:tabs>
          <w:tab w:pos="873" w:val="left" w:leader="none"/>
        </w:tabs>
        <w:spacing w:line="240" w:lineRule="auto" w:before="1" w:after="0"/>
        <w:ind w:left="872" w:right="0" w:hanging="360"/>
        <w:jc w:val="left"/>
        <w:rPr>
          <w:sz w:val="22"/>
        </w:rPr>
      </w:pPr>
      <w:r>
        <w:rPr>
          <w:sz w:val="22"/>
        </w:rPr>
        <w:t>Antes de cada uso mezcla vigorosamente la</w:t>
      </w:r>
      <w:r>
        <w:rPr>
          <w:spacing w:val="-10"/>
          <w:sz w:val="22"/>
        </w:rPr>
        <w:t> </w:t>
      </w:r>
      <w:r>
        <w:rPr>
          <w:sz w:val="22"/>
        </w:rPr>
        <w:t>solución.</w:t>
      </w:r>
    </w:p>
    <w:p>
      <w:pPr>
        <w:pStyle w:val="BodyText"/>
        <w:spacing w:before="2"/>
        <w:rPr>
          <w:sz w:val="22"/>
        </w:rPr>
      </w:pPr>
    </w:p>
    <w:p>
      <w:pPr>
        <w:pStyle w:val="ListParagraph"/>
        <w:numPr>
          <w:ilvl w:val="0"/>
          <w:numId w:val="9"/>
        </w:numPr>
        <w:tabs>
          <w:tab w:pos="872" w:val="left" w:leader="none"/>
          <w:tab w:pos="873" w:val="left" w:leader="none"/>
        </w:tabs>
        <w:spacing w:line="240" w:lineRule="auto" w:before="1" w:after="0"/>
        <w:ind w:left="872" w:right="0" w:hanging="360"/>
        <w:jc w:val="left"/>
        <w:rPr>
          <w:sz w:val="22"/>
        </w:rPr>
      </w:pPr>
      <w:r>
        <w:rPr>
          <w:sz w:val="22"/>
        </w:rPr>
        <w:t>Verificar cada mes la</w:t>
      </w:r>
      <w:r>
        <w:rPr>
          <w:spacing w:val="-7"/>
          <w:sz w:val="22"/>
        </w:rPr>
        <w:t> </w:t>
      </w:r>
      <w:r>
        <w:rPr>
          <w:sz w:val="22"/>
        </w:rPr>
        <w:t>densidad.</w:t>
      </w:r>
    </w:p>
    <w:p>
      <w:pPr>
        <w:spacing w:after="0" w:line="240" w:lineRule="auto"/>
        <w:jc w:val="left"/>
        <w:rPr>
          <w:sz w:val="22"/>
        </w:rPr>
        <w:sectPr>
          <w:pgSz w:w="12240" w:h="15840"/>
          <w:pgMar w:header="0" w:footer="1386" w:top="1500" w:bottom="1580" w:left="1720" w:right="1420"/>
        </w:sectPr>
      </w:pPr>
    </w:p>
    <w:p>
      <w:pPr>
        <w:pStyle w:val="BodyText"/>
        <w:spacing w:before="7"/>
        <w:rPr>
          <w:sz w:val="20"/>
        </w:rPr>
      </w:pPr>
    </w:p>
    <w:p>
      <w:pPr>
        <w:spacing w:before="73"/>
        <w:ind w:left="152" w:right="0" w:firstLine="0"/>
        <w:jc w:val="left"/>
        <w:rPr>
          <w:b/>
          <w:sz w:val="22"/>
        </w:rPr>
      </w:pPr>
      <w:r>
        <w:rPr>
          <w:b/>
          <w:sz w:val="20"/>
        </w:rPr>
        <w:t>ANEXO 2 </w:t>
      </w:r>
      <w:r>
        <w:rPr>
          <w:b/>
          <w:sz w:val="22"/>
        </w:rPr>
        <w:t>THERMO SCIENTIFIC GENEJET GENOMIC DNA PURIFICATION KIT</w:t>
      </w:r>
    </w:p>
    <w:p>
      <w:pPr>
        <w:pStyle w:val="BodyText"/>
        <w:spacing w:before="9"/>
        <w:rPr>
          <w:b/>
          <w:sz w:val="20"/>
        </w:rPr>
      </w:pPr>
    </w:p>
    <w:p>
      <w:pPr>
        <w:spacing w:before="0"/>
        <w:ind w:left="152" w:right="0" w:firstLine="0"/>
        <w:jc w:val="left"/>
        <w:rPr>
          <w:sz w:val="22"/>
        </w:rPr>
      </w:pPr>
      <w:r>
        <w:rPr>
          <w:sz w:val="22"/>
        </w:rPr>
        <w:t>Buffer de lisis:</w:t>
      </w:r>
    </w:p>
    <w:p>
      <w:pPr>
        <w:pStyle w:val="BodyText"/>
        <w:rPr>
          <w:sz w:val="22"/>
        </w:rPr>
      </w:pPr>
    </w:p>
    <w:p>
      <w:pPr>
        <w:spacing w:before="0"/>
        <w:ind w:left="152" w:right="6629" w:firstLine="0"/>
        <w:jc w:val="left"/>
        <w:rPr>
          <w:sz w:val="22"/>
        </w:rPr>
      </w:pPr>
      <w:r>
        <w:rPr>
          <w:sz w:val="22"/>
        </w:rPr>
        <w:t>20mM Tris-HCl (ph 8.0) 2mM EDTA</w:t>
      </w:r>
    </w:p>
    <w:p>
      <w:pPr>
        <w:spacing w:line="252" w:lineRule="exact" w:before="0"/>
        <w:ind w:left="152" w:right="0" w:firstLine="0"/>
        <w:jc w:val="left"/>
        <w:rPr>
          <w:sz w:val="22"/>
        </w:rPr>
      </w:pPr>
      <w:r>
        <w:rPr>
          <w:sz w:val="22"/>
        </w:rPr>
        <w:t>1.2% Triton X-100</w:t>
      </w:r>
    </w:p>
    <w:p>
      <w:pPr>
        <w:spacing w:line="252" w:lineRule="exact" w:before="0"/>
        <w:ind w:left="152" w:right="0" w:firstLine="0"/>
        <w:jc w:val="left"/>
        <w:rPr>
          <w:sz w:val="22"/>
        </w:rPr>
      </w:pPr>
      <w:r>
        <w:rPr>
          <w:sz w:val="22"/>
        </w:rPr>
        <w:t>Lisozima 20mg/mL agregar inmediatamente antes de usarse.</w:t>
      </w:r>
    </w:p>
    <w:p>
      <w:pPr>
        <w:pStyle w:val="ListParagraph"/>
        <w:numPr>
          <w:ilvl w:val="0"/>
          <w:numId w:val="10"/>
        </w:numPr>
        <w:tabs>
          <w:tab w:pos="400" w:val="left" w:leader="none"/>
        </w:tabs>
        <w:spacing w:line="240" w:lineRule="auto" w:before="1" w:after="0"/>
        <w:ind w:left="152" w:right="645" w:firstLine="0"/>
        <w:jc w:val="left"/>
        <w:rPr>
          <w:sz w:val="22"/>
        </w:rPr>
      </w:pPr>
      <w:r>
        <w:rPr>
          <w:sz w:val="22"/>
        </w:rPr>
        <w:t>Colocar 2x10</w:t>
      </w:r>
      <w:r>
        <w:rPr>
          <w:sz w:val="14"/>
        </w:rPr>
        <w:t>9 </w:t>
      </w:r>
      <w:r>
        <w:rPr>
          <w:sz w:val="22"/>
        </w:rPr>
        <w:t>de células bacterianas en un tubo de 2mL y centrifugar por 10 min a 5000 x g. Desechar el</w:t>
      </w:r>
      <w:r>
        <w:rPr>
          <w:spacing w:val="-7"/>
          <w:sz w:val="22"/>
        </w:rPr>
        <w:t> </w:t>
      </w:r>
      <w:r>
        <w:rPr>
          <w:sz w:val="22"/>
        </w:rPr>
        <w:t>sobrenadante.</w:t>
      </w:r>
    </w:p>
    <w:p>
      <w:pPr>
        <w:pStyle w:val="ListParagraph"/>
        <w:numPr>
          <w:ilvl w:val="0"/>
          <w:numId w:val="10"/>
        </w:numPr>
        <w:tabs>
          <w:tab w:pos="400" w:val="left" w:leader="none"/>
        </w:tabs>
        <w:spacing w:line="240" w:lineRule="auto" w:before="143" w:after="0"/>
        <w:ind w:left="399" w:right="0" w:hanging="247"/>
        <w:jc w:val="left"/>
        <w:rPr>
          <w:sz w:val="22"/>
        </w:rPr>
      </w:pPr>
      <w:r>
        <w:rPr>
          <w:sz w:val="22"/>
        </w:rPr>
        <w:t>Resuspender el pellet en 180μL del buffer de lisis e incubarlo por 30 min a</w:t>
      </w:r>
      <w:r>
        <w:rPr>
          <w:spacing w:val="-22"/>
          <w:sz w:val="22"/>
        </w:rPr>
        <w:t> </w:t>
      </w:r>
      <w:r>
        <w:rPr>
          <w:sz w:val="22"/>
        </w:rPr>
        <w:t>37°C.</w:t>
      </w:r>
    </w:p>
    <w:p>
      <w:pPr>
        <w:pStyle w:val="ListParagraph"/>
        <w:numPr>
          <w:ilvl w:val="0"/>
          <w:numId w:val="10"/>
        </w:numPr>
        <w:tabs>
          <w:tab w:pos="400" w:val="left" w:leader="none"/>
        </w:tabs>
        <w:spacing w:line="240" w:lineRule="auto" w:before="141" w:after="0"/>
        <w:ind w:left="152" w:right="805" w:firstLine="0"/>
        <w:jc w:val="left"/>
        <w:rPr>
          <w:sz w:val="22"/>
        </w:rPr>
      </w:pPr>
      <w:r>
        <w:rPr>
          <w:sz w:val="22"/>
        </w:rPr>
        <w:t>Agregar 200μL de la solución de lisis y 20μL de proteinasa K, mezclar con</w:t>
      </w:r>
      <w:r>
        <w:rPr>
          <w:spacing w:val="-25"/>
          <w:sz w:val="22"/>
        </w:rPr>
        <w:t> </w:t>
      </w:r>
      <w:r>
        <w:rPr>
          <w:sz w:val="22"/>
        </w:rPr>
        <w:t>vortex obteniendo una suspensión</w:t>
      </w:r>
      <w:r>
        <w:rPr>
          <w:spacing w:val="-6"/>
          <w:sz w:val="22"/>
        </w:rPr>
        <w:t> </w:t>
      </w:r>
      <w:r>
        <w:rPr>
          <w:sz w:val="22"/>
        </w:rPr>
        <w:t>uniforme.</w:t>
      </w:r>
    </w:p>
    <w:p>
      <w:pPr>
        <w:pStyle w:val="ListParagraph"/>
        <w:numPr>
          <w:ilvl w:val="0"/>
          <w:numId w:val="10"/>
        </w:numPr>
        <w:tabs>
          <w:tab w:pos="398" w:val="left" w:leader="none"/>
        </w:tabs>
        <w:spacing w:line="240" w:lineRule="auto" w:before="140" w:after="0"/>
        <w:ind w:left="152" w:right="1161" w:firstLine="0"/>
        <w:jc w:val="left"/>
        <w:rPr>
          <w:sz w:val="22"/>
        </w:rPr>
      </w:pPr>
      <w:r>
        <w:rPr>
          <w:sz w:val="22"/>
        </w:rPr>
        <w:t>Incubar la muestra a 56°C, vortex ocasionalmente hasta que las células sean completamente lisadas (~30</w:t>
      </w:r>
      <w:r>
        <w:rPr>
          <w:spacing w:val="-7"/>
          <w:sz w:val="22"/>
        </w:rPr>
        <w:t> </w:t>
      </w:r>
      <w:r>
        <w:rPr>
          <w:sz w:val="22"/>
        </w:rPr>
        <w:t>min).</w:t>
      </w:r>
    </w:p>
    <w:p>
      <w:pPr>
        <w:pStyle w:val="ListParagraph"/>
        <w:numPr>
          <w:ilvl w:val="0"/>
          <w:numId w:val="10"/>
        </w:numPr>
        <w:tabs>
          <w:tab w:pos="400" w:val="left" w:leader="none"/>
        </w:tabs>
        <w:spacing w:line="240" w:lineRule="auto" w:before="140" w:after="0"/>
        <w:ind w:left="152" w:right="404" w:firstLine="0"/>
        <w:jc w:val="left"/>
        <w:rPr>
          <w:sz w:val="22"/>
        </w:rPr>
      </w:pPr>
      <w:r>
        <w:rPr>
          <w:sz w:val="22"/>
        </w:rPr>
        <w:t>Agregar 20μL de RNase A, mezclar con vortex e incubar a temperatura ambiente</w:t>
      </w:r>
      <w:r>
        <w:rPr>
          <w:spacing w:val="-22"/>
          <w:sz w:val="22"/>
        </w:rPr>
        <w:t> </w:t>
      </w:r>
      <w:r>
        <w:rPr>
          <w:sz w:val="22"/>
        </w:rPr>
        <w:t>por 10 min.</w:t>
      </w:r>
    </w:p>
    <w:p>
      <w:pPr>
        <w:pStyle w:val="ListParagraph"/>
        <w:numPr>
          <w:ilvl w:val="0"/>
          <w:numId w:val="10"/>
        </w:numPr>
        <w:tabs>
          <w:tab w:pos="400" w:val="left" w:leader="none"/>
        </w:tabs>
        <w:spacing w:line="240" w:lineRule="auto" w:before="140" w:after="0"/>
        <w:ind w:left="399" w:right="0" w:hanging="247"/>
        <w:jc w:val="left"/>
        <w:rPr>
          <w:sz w:val="22"/>
        </w:rPr>
      </w:pPr>
      <w:r>
        <w:rPr>
          <w:sz w:val="22"/>
        </w:rPr>
        <w:t>Agregar 400μL de etanol 50% y</w:t>
      </w:r>
      <w:r>
        <w:rPr>
          <w:spacing w:val="-14"/>
          <w:sz w:val="22"/>
        </w:rPr>
        <w:t> </w:t>
      </w:r>
      <w:r>
        <w:rPr>
          <w:sz w:val="22"/>
        </w:rPr>
        <w:t>mezclar.</w:t>
      </w:r>
    </w:p>
    <w:p>
      <w:pPr>
        <w:pStyle w:val="ListParagraph"/>
        <w:numPr>
          <w:ilvl w:val="0"/>
          <w:numId w:val="10"/>
        </w:numPr>
        <w:tabs>
          <w:tab w:pos="398" w:val="left" w:leader="none"/>
        </w:tabs>
        <w:spacing w:line="240" w:lineRule="auto" w:before="143" w:after="0"/>
        <w:ind w:left="152" w:right="578" w:firstLine="0"/>
        <w:jc w:val="left"/>
        <w:rPr>
          <w:sz w:val="22"/>
        </w:rPr>
      </w:pPr>
      <w:r>
        <w:rPr>
          <w:sz w:val="22"/>
        </w:rPr>
        <w:t>Transferir el lisado al tubo en columna del kit. Centrifugar por 1 min a 6000 x g. Descartar el tubo de colección conteniendo el líquido y pasar la columna dentro de un tubo</w:t>
      </w:r>
      <w:r>
        <w:rPr>
          <w:spacing w:val="-1"/>
          <w:sz w:val="22"/>
        </w:rPr>
        <w:t> </w:t>
      </w:r>
      <w:r>
        <w:rPr>
          <w:sz w:val="22"/>
        </w:rPr>
        <w:t>nuevo.</w:t>
      </w:r>
    </w:p>
    <w:p>
      <w:pPr>
        <w:pStyle w:val="ListParagraph"/>
        <w:numPr>
          <w:ilvl w:val="0"/>
          <w:numId w:val="10"/>
        </w:numPr>
        <w:tabs>
          <w:tab w:pos="400" w:val="left" w:leader="none"/>
        </w:tabs>
        <w:spacing w:line="240" w:lineRule="auto" w:before="141" w:after="0"/>
        <w:ind w:left="152" w:right="357" w:firstLine="0"/>
        <w:jc w:val="left"/>
        <w:rPr>
          <w:sz w:val="22"/>
        </w:rPr>
      </w:pPr>
      <w:r>
        <w:rPr>
          <w:sz w:val="22"/>
        </w:rPr>
        <w:t>Agregar 500μL de buffer de lavado I (con el etanol agregado). Centrifugar por 1 min</w:t>
      </w:r>
      <w:r>
        <w:rPr>
          <w:spacing w:val="-29"/>
          <w:sz w:val="22"/>
        </w:rPr>
        <w:t> </w:t>
      </w:r>
      <w:r>
        <w:rPr>
          <w:sz w:val="22"/>
        </w:rPr>
        <w:t>a 8000 x</w:t>
      </w:r>
      <w:r>
        <w:rPr>
          <w:spacing w:val="-1"/>
          <w:sz w:val="22"/>
        </w:rPr>
        <w:t> </w:t>
      </w:r>
      <w:r>
        <w:rPr>
          <w:sz w:val="22"/>
        </w:rPr>
        <w:t>g.</w:t>
      </w:r>
    </w:p>
    <w:p>
      <w:pPr>
        <w:pStyle w:val="ListParagraph"/>
        <w:numPr>
          <w:ilvl w:val="0"/>
          <w:numId w:val="10"/>
        </w:numPr>
        <w:tabs>
          <w:tab w:pos="400" w:val="left" w:leader="none"/>
        </w:tabs>
        <w:spacing w:line="240" w:lineRule="auto" w:before="140" w:after="0"/>
        <w:ind w:left="152" w:right="872" w:firstLine="0"/>
        <w:jc w:val="left"/>
        <w:rPr>
          <w:sz w:val="22"/>
        </w:rPr>
      </w:pPr>
      <w:r>
        <w:rPr>
          <w:sz w:val="22"/>
        </w:rPr>
        <w:t>Agregar 500μL de buffer de lavado II. Centrifugar por 3 min a más de 12000 x</w:t>
      </w:r>
      <w:r>
        <w:rPr>
          <w:spacing w:val="-29"/>
          <w:sz w:val="22"/>
        </w:rPr>
        <w:t> </w:t>
      </w:r>
      <w:r>
        <w:rPr>
          <w:sz w:val="22"/>
        </w:rPr>
        <w:t>g. Opcional si quedan residuos centrifugar por 1 min a 13 000 x g y cambiar de</w:t>
      </w:r>
      <w:r>
        <w:rPr>
          <w:spacing w:val="-27"/>
          <w:sz w:val="22"/>
        </w:rPr>
        <w:t> </w:t>
      </w:r>
      <w:r>
        <w:rPr>
          <w:sz w:val="22"/>
        </w:rPr>
        <w:t>tubo.</w:t>
      </w:r>
    </w:p>
    <w:p>
      <w:pPr>
        <w:pStyle w:val="ListParagraph"/>
        <w:numPr>
          <w:ilvl w:val="0"/>
          <w:numId w:val="10"/>
        </w:numPr>
        <w:tabs>
          <w:tab w:pos="522" w:val="left" w:leader="none"/>
        </w:tabs>
        <w:spacing w:line="240" w:lineRule="auto" w:before="140" w:after="0"/>
        <w:ind w:left="152" w:right="247" w:firstLine="0"/>
        <w:jc w:val="left"/>
        <w:rPr>
          <w:sz w:val="22"/>
        </w:rPr>
      </w:pPr>
      <w:r>
        <w:rPr>
          <w:sz w:val="22"/>
        </w:rPr>
        <w:t>Agregar 200μL de buffer de elución en el centro de la membrana. Incubar por 2 min</w:t>
      </w:r>
      <w:r>
        <w:rPr>
          <w:spacing w:val="-27"/>
          <w:sz w:val="22"/>
        </w:rPr>
        <w:t> </w:t>
      </w:r>
      <w:r>
        <w:rPr>
          <w:sz w:val="22"/>
        </w:rPr>
        <w:t>a temperatura ambiente y centrifugar por 1 min a 8000</w:t>
      </w:r>
      <w:r>
        <w:rPr>
          <w:spacing w:val="-19"/>
          <w:sz w:val="22"/>
        </w:rPr>
        <w:t> </w:t>
      </w:r>
      <w:r>
        <w:rPr>
          <w:sz w:val="22"/>
        </w:rPr>
        <w:t>xg.</w:t>
      </w:r>
    </w:p>
    <w:sectPr>
      <w:pgSz w:w="12240" w:h="15840"/>
      <w:pgMar w:header="0" w:footer="1386" w:top="1500" w:bottom="158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416" from="95.424004pt,715.536011pt" to="511.414004pt,715.536011pt" stroked="true" strokeweight=".47998pt" strokecolor="#000000">
          <w10:wrap type="none"/>
        </v:line>
      </w:pict>
    </w:r>
    <w:r>
      <w:rPr/>
      <w:pict>
        <v:shapetype id="_x0000_t202" o:spt="202" coordsize="21600,21600" path="m,l,21600r21600,l21600,xe">
          <v:stroke joinstyle="miter"/>
          <v:path gradientshapeok="t" o:connecttype="rect"/>
        </v:shapetype>
        <v:shape style="position:absolute;margin-left:528.020020pt;margin-top:711.679993pt;width:9.6pt;height:13.05pt;mso-position-horizontal-relative:page;mso-position-vertical-relative:page;z-index:-113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r>
      <w:rPr/>
      <w:pict>
        <v:shape style="position:absolute;margin-left:95.863998pt;margin-top:716.956421pt;width:155.2pt;height:13.05pt;mso-position-horizontal-relative:page;mso-position-vertical-relative:page;z-index:-113368"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768"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74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r>
      <w:rPr/>
      <w:pict>
        <v:shape style="position:absolute;margin-left:95.863998pt;margin-top:716.956421pt;width:155.2pt;height:13.05pt;mso-position-horizontal-relative:page;mso-position-vertical-relative:page;z-index:-112720"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696"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r>
      <w:rPr/>
      <w:pict>
        <v:shape style="position:absolute;margin-left:95.863998pt;margin-top:716.956421pt;width:155.2pt;height:13.05pt;mso-position-horizontal-relative:page;mso-position-vertical-relative:page;z-index:-112648"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624"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60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r>
      <w:rPr/>
      <w:pict>
        <v:shape style="position:absolute;margin-left:95.863998pt;margin-top:716.956421pt;width:155.2pt;height:13.05pt;mso-position-horizontal-relative:page;mso-position-vertical-relative:page;z-index:-112576"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552"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r>
      <w:rPr/>
      <w:pict>
        <v:shape style="position:absolute;margin-left:95.863998pt;margin-top:716.956421pt;width:155.2pt;height:13.05pt;mso-position-horizontal-relative:page;mso-position-vertical-relative:page;z-index:-112504"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480"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45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r>
      <w:rPr/>
      <w:pict>
        <v:shape style="position:absolute;margin-left:95.863998pt;margin-top:716.956421pt;width:155.2pt;height:13.05pt;mso-position-horizontal-relative:page;mso-position-vertical-relative:page;z-index:-112432"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408"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r>
      <w:rPr/>
      <w:pict>
        <v:shape style="position:absolute;margin-left:95.863998pt;margin-top:716.956421pt;width:155.2pt;height:13.05pt;mso-position-horizontal-relative:page;mso-position-vertical-relative:page;z-index:-112360"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336"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31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r>
      <w:rPr/>
      <w:pict>
        <v:shape style="position:absolute;margin-left:95.863998pt;margin-top:716.956421pt;width:155.2pt;height:13.05pt;mso-position-horizontal-relative:page;mso-position-vertical-relative:page;z-index:-112288"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264"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r>
      <w:rPr/>
      <w:pict>
        <v:shape style="position:absolute;margin-left:95.863998pt;margin-top:716.956421pt;width:155.2pt;height:13.05pt;mso-position-horizontal-relative:page;mso-position-vertical-relative:page;z-index:-112216"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192"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16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r>
      <w:rPr/>
      <w:pict>
        <v:shape style="position:absolute;margin-left:95.863998pt;margin-top:716.956421pt;width:155.2pt;height:13.05pt;mso-position-horizontal-relative:page;mso-position-vertical-relative:page;z-index:-112144"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120"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r>
      <w:rPr/>
      <w:pict>
        <v:shape style="position:absolute;margin-left:95.863998pt;margin-top:716.956421pt;width:155.2pt;height:13.05pt;mso-position-horizontal-relative:page;mso-position-vertical-relative:page;z-index:-112072"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344"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33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r>
      <w:rPr/>
      <w:pict>
        <v:shape style="position:absolute;margin-left:95.863998pt;margin-top:716.956421pt;width:155.2pt;height:13.05pt;mso-position-horizontal-relative:page;mso-position-vertical-relative:page;z-index:-113296"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272"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3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r>
      <w:rPr/>
      <w:pict>
        <v:shape style="position:absolute;margin-left:95.863998pt;margin-top:716.956421pt;width:155.2pt;height:13.05pt;mso-position-horizontal-relative:page;mso-position-vertical-relative:page;z-index:-113224"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200"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317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r>
      <w:rPr/>
      <w:pict>
        <v:shape style="position:absolute;margin-left:95.863998pt;margin-top:716.956421pt;width:155.2pt;height:13.05pt;mso-position-horizontal-relative:page;mso-position-vertical-relative:page;z-index:-113152"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128"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3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r>
      <w:rPr/>
      <w:pict>
        <v:shape style="position:absolute;margin-left:95.863998pt;margin-top:716.956421pt;width:155.2pt;height:13.05pt;mso-position-horizontal-relative:page;mso-position-vertical-relative:page;z-index:-113080"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3056"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303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r>
      <w:rPr/>
      <w:pict>
        <v:shape style="position:absolute;margin-left:95.863998pt;margin-top:716.956421pt;width:155.2pt;height:13.05pt;mso-position-horizontal-relative:page;mso-position-vertical-relative:page;z-index:-113008"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984"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r>
      <w:rPr/>
      <w:pict>
        <v:shape style="position:absolute;margin-left:95.863998pt;margin-top:716.956421pt;width:155.2pt;height:13.05pt;mso-position-horizontal-relative:page;mso-position-vertical-relative:page;z-index:-112936"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912" from="95.424004pt,715.536011pt" to="511.414004pt,715.536011pt" stroked="true" strokeweight=".47998pt" strokecolor="#000000">
          <w10:wrap type="none"/>
        </v:line>
      </w:pict>
    </w:r>
    <w:r>
      <w:rPr/>
      <w:pict>
        <v:shape style="position:absolute;margin-left:523.380005pt;margin-top:711.679993pt;width:13.3pt;height:13.05pt;mso-position-horizontal-relative:page;mso-position-vertical-relative:page;z-index:-1128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r>
      <w:rPr/>
      <w:pict>
        <v:shape style="position:absolute;margin-left:95.863998pt;margin-top:716.956421pt;width:155.2pt;height:13.05pt;mso-position-horizontal-relative:page;mso-position-vertical-relative:page;z-index:-112864"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2840" from="95.424004pt,715.536011pt" to="511.414004pt,715.536011pt" stroked="true" strokeweight=".47998pt" strokecolor="#000000">
          <w10:wrap type="none"/>
        </v:line>
      </w:pict>
    </w:r>
    <w:r>
      <w:rPr/>
      <w:pict>
        <v:shape style="position:absolute;margin-left:522.380005pt;margin-top:711.679993pt;width:15.3pt;height:13.05pt;mso-position-horizontal-relative:page;mso-position-vertical-relative:page;z-index:-112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r>
      <w:rPr/>
      <w:pict>
        <v:shape style="position:absolute;margin-left:95.863998pt;margin-top:716.956421pt;width:155.2pt;height:13.05pt;mso-position-horizontal-relative:page;mso-position-vertical-relative:page;z-index:-112792" type="#_x0000_t202" filled="false" stroked="false">
          <v:textbox inset="0,0,0,0">
            <w:txbxContent>
              <w:p>
                <w:pPr>
                  <w:spacing w:line="245" w:lineRule="exact" w:before="0"/>
                  <w:ind w:left="20" w:right="0" w:firstLine="0"/>
                  <w:jc w:val="left"/>
                  <w:rPr>
                    <w:rFonts w:ascii="Times New Roman"/>
                    <w:i/>
                    <w:sz w:val="22"/>
                  </w:rPr>
                </w:pPr>
                <w:r>
                  <w:rPr>
                    <w:rFonts w:ascii="Times New Roman"/>
                    <w:i/>
                    <w:sz w:val="22"/>
                  </w:rPr>
                  <w:t>MVZ. Juan Luis Rodriguez Correa</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152" w:hanging="248"/>
        <w:jc w:val="left"/>
      </w:pPr>
      <w:rPr>
        <w:rFonts w:hint="default" w:ascii="Arial" w:hAnsi="Arial" w:eastAsia="Arial" w:cs="Arial"/>
        <w:w w:val="100"/>
        <w:sz w:val="22"/>
        <w:szCs w:val="22"/>
      </w:rPr>
    </w:lvl>
    <w:lvl w:ilvl="1">
      <w:start w:val="1"/>
      <w:numFmt w:val="bullet"/>
      <w:lvlText w:val="•"/>
      <w:lvlJc w:val="left"/>
      <w:pPr>
        <w:ind w:left="1054" w:hanging="248"/>
      </w:pPr>
      <w:rPr>
        <w:rFonts w:hint="default"/>
      </w:rPr>
    </w:lvl>
    <w:lvl w:ilvl="2">
      <w:start w:val="1"/>
      <w:numFmt w:val="bullet"/>
      <w:lvlText w:val="•"/>
      <w:lvlJc w:val="left"/>
      <w:pPr>
        <w:ind w:left="1948" w:hanging="248"/>
      </w:pPr>
      <w:rPr>
        <w:rFonts w:hint="default"/>
      </w:rPr>
    </w:lvl>
    <w:lvl w:ilvl="3">
      <w:start w:val="1"/>
      <w:numFmt w:val="bullet"/>
      <w:lvlText w:val="•"/>
      <w:lvlJc w:val="left"/>
      <w:pPr>
        <w:ind w:left="2842" w:hanging="248"/>
      </w:pPr>
      <w:rPr>
        <w:rFonts w:hint="default"/>
      </w:rPr>
    </w:lvl>
    <w:lvl w:ilvl="4">
      <w:start w:val="1"/>
      <w:numFmt w:val="bullet"/>
      <w:lvlText w:val="•"/>
      <w:lvlJc w:val="left"/>
      <w:pPr>
        <w:ind w:left="3736" w:hanging="248"/>
      </w:pPr>
      <w:rPr>
        <w:rFonts w:hint="default"/>
      </w:rPr>
    </w:lvl>
    <w:lvl w:ilvl="5">
      <w:start w:val="1"/>
      <w:numFmt w:val="bullet"/>
      <w:lvlText w:val="•"/>
      <w:lvlJc w:val="left"/>
      <w:pPr>
        <w:ind w:left="4630" w:hanging="248"/>
      </w:pPr>
      <w:rPr>
        <w:rFonts w:hint="default"/>
      </w:rPr>
    </w:lvl>
    <w:lvl w:ilvl="6">
      <w:start w:val="1"/>
      <w:numFmt w:val="bullet"/>
      <w:lvlText w:val="•"/>
      <w:lvlJc w:val="left"/>
      <w:pPr>
        <w:ind w:left="5524" w:hanging="248"/>
      </w:pPr>
      <w:rPr>
        <w:rFonts w:hint="default"/>
      </w:rPr>
    </w:lvl>
    <w:lvl w:ilvl="7">
      <w:start w:val="1"/>
      <w:numFmt w:val="bullet"/>
      <w:lvlText w:val="•"/>
      <w:lvlJc w:val="left"/>
      <w:pPr>
        <w:ind w:left="6418" w:hanging="248"/>
      </w:pPr>
      <w:rPr>
        <w:rFonts w:hint="default"/>
      </w:rPr>
    </w:lvl>
    <w:lvl w:ilvl="8">
      <w:start w:val="1"/>
      <w:numFmt w:val="bullet"/>
      <w:lvlText w:val="•"/>
      <w:lvlJc w:val="left"/>
      <w:pPr>
        <w:ind w:left="7312" w:hanging="248"/>
      </w:pPr>
      <w:rPr>
        <w:rFonts w:hint="default"/>
      </w:rPr>
    </w:lvl>
  </w:abstractNum>
  <w:abstractNum w:abstractNumId="8">
    <w:multiLevelType w:val="hybridMultilevel"/>
    <w:lvl w:ilvl="0">
      <w:start w:val="1"/>
      <w:numFmt w:val="lowerLetter"/>
      <w:lvlText w:val="%1)"/>
      <w:lvlJc w:val="left"/>
      <w:pPr>
        <w:ind w:left="872" w:hanging="360"/>
        <w:jc w:val="left"/>
      </w:pPr>
      <w:rPr>
        <w:rFonts w:hint="default" w:ascii="Arial" w:hAnsi="Arial" w:eastAsia="Arial" w:cs="Arial"/>
        <w:spacing w:val="-1"/>
        <w:w w:val="100"/>
        <w:sz w:val="22"/>
        <w:szCs w:val="22"/>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7">
    <w:multiLevelType w:val="hybridMultilevel"/>
    <w:lvl w:ilvl="0">
      <w:start w:val="1"/>
      <w:numFmt w:val="lowerLetter"/>
      <w:lvlText w:val="(%1)"/>
      <w:lvlJc w:val="left"/>
      <w:pPr>
        <w:ind w:left="152" w:hanging="420"/>
        <w:jc w:val="left"/>
      </w:pPr>
      <w:rPr>
        <w:rFonts w:hint="default" w:ascii="Arial" w:hAnsi="Arial" w:eastAsia="Arial" w:cs="Arial"/>
        <w:w w:val="99"/>
        <w:sz w:val="24"/>
        <w:szCs w:val="24"/>
      </w:rPr>
    </w:lvl>
    <w:lvl w:ilvl="1">
      <w:start w:val="1"/>
      <w:numFmt w:val="decimal"/>
      <w:lvlText w:val="%2."/>
      <w:lvlJc w:val="left"/>
      <w:pPr>
        <w:ind w:left="872" w:hanging="360"/>
        <w:jc w:val="left"/>
      </w:pPr>
      <w:rPr>
        <w:rFonts w:hint="default"/>
        <w:spacing w:val="-30"/>
        <w:w w:val="99"/>
      </w:rPr>
    </w:lvl>
    <w:lvl w:ilvl="2">
      <w:start w:val="1"/>
      <w:numFmt w:val="bullet"/>
      <w:lvlText w:val="•"/>
      <w:lvlJc w:val="left"/>
      <w:pPr>
        <w:ind w:left="1080" w:hanging="360"/>
      </w:pPr>
      <w:rPr>
        <w:rFonts w:hint="default"/>
      </w:rPr>
    </w:lvl>
    <w:lvl w:ilvl="3">
      <w:start w:val="1"/>
      <w:numFmt w:val="bullet"/>
      <w:lvlText w:val="•"/>
      <w:lvlJc w:val="left"/>
      <w:pPr>
        <w:ind w:left="2082" w:hanging="360"/>
      </w:pPr>
      <w:rPr>
        <w:rFonts w:hint="default"/>
      </w:rPr>
    </w:lvl>
    <w:lvl w:ilvl="4">
      <w:start w:val="1"/>
      <w:numFmt w:val="bullet"/>
      <w:lvlText w:val="•"/>
      <w:lvlJc w:val="left"/>
      <w:pPr>
        <w:ind w:left="3085" w:hanging="360"/>
      </w:pPr>
      <w:rPr>
        <w:rFonts w:hint="default"/>
      </w:rPr>
    </w:lvl>
    <w:lvl w:ilvl="5">
      <w:start w:val="1"/>
      <w:numFmt w:val="bullet"/>
      <w:lvlText w:val="•"/>
      <w:lvlJc w:val="left"/>
      <w:pPr>
        <w:ind w:left="4087"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7095" w:hanging="360"/>
      </w:pPr>
      <w:rPr>
        <w:rFonts w:hint="default"/>
      </w:rPr>
    </w:lvl>
  </w:abstractNum>
  <w:abstractNum w:abstractNumId="6">
    <w:multiLevelType w:val="hybridMultilevel"/>
    <w:lvl w:ilvl="0">
      <w:start w:val="6"/>
      <w:numFmt w:val="decimal"/>
      <w:lvlText w:val="%1"/>
      <w:lvlJc w:val="left"/>
      <w:pPr>
        <w:ind w:left="152" w:hanging="377"/>
        <w:jc w:val="left"/>
      </w:pPr>
      <w:rPr>
        <w:rFonts w:hint="default"/>
      </w:rPr>
    </w:lvl>
    <w:lvl w:ilvl="1">
      <w:start w:val="8"/>
      <w:numFmt w:val="decimal"/>
      <w:lvlText w:val="%1.%2"/>
      <w:lvlJc w:val="left"/>
      <w:pPr>
        <w:ind w:left="152" w:hanging="377"/>
        <w:jc w:val="left"/>
      </w:pPr>
      <w:rPr>
        <w:rFonts w:hint="default" w:ascii="Arial" w:hAnsi="Arial" w:eastAsia="Arial" w:cs="Arial"/>
        <w:w w:val="100"/>
        <w:sz w:val="22"/>
        <w:szCs w:val="22"/>
      </w:rPr>
    </w:lvl>
    <w:lvl w:ilvl="2">
      <w:start w:val="1"/>
      <w:numFmt w:val="decimal"/>
      <w:lvlText w:val="%3."/>
      <w:lvlJc w:val="left"/>
      <w:pPr>
        <w:ind w:left="1220" w:hanging="360"/>
        <w:jc w:val="left"/>
      </w:pPr>
      <w:rPr>
        <w:rFonts w:hint="default" w:ascii="Arial" w:hAnsi="Arial" w:eastAsia="Arial" w:cs="Arial"/>
        <w:spacing w:val="-1"/>
        <w:w w:val="100"/>
        <w:sz w:val="22"/>
        <w:szCs w:val="22"/>
      </w:rPr>
    </w:lvl>
    <w:lvl w:ilvl="3">
      <w:start w:val="1"/>
      <w:numFmt w:val="bullet"/>
      <w:lvlText w:val="•"/>
      <w:lvlJc w:val="left"/>
      <w:pPr>
        <w:ind w:left="2971"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72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48" w:hanging="360"/>
      </w:pPr>
      <w:rPr>
        <w:rFonts w:hint="default"/>
      </w:rPr>
    </w:lvl>
  </w:abstractNum>
  <w:abstractNum w:abstractNumId="5">
    <w:multiLevelType w:val="hybridMultilevel"/>
    <w:lvl w:ilvl="0">
      <w:start w:val="6"/>
      <w:numFmt w:val="decimal"/>
      <w:lvlText w:val="%1"/>
      <w:lvlJc w:val="left"/>
      <w:pPr>
        <w:ind w:left="152" w:hanging="470"/>
        <w:jc w:val="left"/>
      </w:pPr>
      <w:rPr>
        <w:rFonts w:hint="default"/>
      </w:rPr>
    </w:lvl>
    <w:lvl w:ilvl="1">
      <w:start w:val="25"/>
      <w:numFmt w:val="decimal"/>
      <w:lvlText w:val="%1.%2"/>
      <w:lvlJc w:val="left"/>
      <w:pPr>
        <w:ind w:left="152" w:hanging="470"/>
        <w:jc w:val="left"/>
      </w:pPr>
      <w:rPr>
        <w:rFonts w:hint="default" w:ascii="Arial" w:hAnsi="Arial" w:eastAsia="Arial" w:cs="Arial"/>
        <w:spacing w:val="-2"/>
        <w:w w:val="99"/>
        <w:sz w:val="24"/>
        <w:szCs w:val="24"/>
      </w:rPr>
    </w:lvl>
    <w:lvl w:ilvl="2">
      <w:start w:val="1"/>
      <w:numFmt w:val="decimal"/>
      <w:lvlText w:val="%3."/>
      <w:lvlJc w:val="left"/>
      <w:pPr>
        <w:ind w:left="872" w:hanging="360"/>
        <w:jc w:val="left"/>
      </w:pPr>
      <w:rPr>
        <w:rFonts w:hint="default" w:ascii="Arial" w:hAnsi="Arial" w:eastAsia="Arial" w:cs="Arial"/>
        <w:spacing w:val="-3"/>
        <w:w w:val="99"/>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4">
    <w:multiLevelType w:val="hybridMultilevel"/>
    <w:lvl w:ilvl="0">
      <w:start w:val="1"/>
      <w:numFmt w:val="decimal"/>
      <w:lvlText w:val="%1."/>
      <w:lvlJc w:val="left"/>
      <w:pPr>
        <w:ind w:left="872" w:hanging="360"/>
        <w:jc w:val="left"/>
      </w:pPr>
      <w:rPr>
        <w:rFonts w:hint="default" w:ascii="Arial" w:hAnsi="Arial" w:eastAsia="Arial" w:cs="Arial"/>
        <w:spacing w:val="-3"/>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3">
    <w:multiLevelType w:val="hybridMultilevel"/>
    <w:lvl w:ilvl="0">
      <w:start w:val="1"/>
      <w:numFmt w:val="decimal"/>
      <w:lvlText w:val="%1."/>
      <w:lvlJc w:val="left"/>
      <w:pPr>
        <w:ind w:left="872" w:hanging="360"/>
        <w:jc w:val="left"/>
      </w:pPr>
      <w:rPr>
        <w:rFonts w:hint="default" w:ascii="Arial" w:hAnsi="Arial" w:eastAsia="Arial" w:cs="Arial"/>
        <w:spacing w:val="-22"/>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2">
    <w:multiLevelType w:val="hybridMultilevel"/>
    <w:lvl w:ilvl="0">
      <w:start w:val="1"/>
      <w:numFmt w:val="decimal"/>
      <w:lvlText w:val="%1."/>
      <w:lvlJc w:val="left"/>
      <w:pPr>
        <w:ind w:left="872" w:hanging="360"/>
        <w:jc w:val="left"/>
      </w:pPr>
      <w:rPr>
        <w:rFonts w:hint="default" w:ascii="Arial" w:hAnsi="Arial" w:eastAsia="Arial" w:cs="Arial"/>
        <w:spacing w:val="-4"/>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1">
    <w:multiLevelType w:val="hybridMultilevel"/>
    <w:lvl w:ilvl="0">
      <w:start w:val="1"/>
      <w:numFmt w:val="decimal"/>
      <w:lvlText w:val="%1)"/>
      <w:lvlJc w:val="left"/>
      <w:pPr>
        <w:ind w:left="872" w:hanging="360"/>
        <w:jc w:val="left"/>
      </w:pPr>
      <w:rPr>
        <w:rFonts w:hint="default" w:ascii="Arial" w:hAnsi="Arial" w:eastAsia="Arial" w:cs="Arial"/>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0">
    <w:multiLevelType w:val="hybridMultilevel"/>
    <w:lvl w:ilvl="0">
      <w:start w:val="19"/>
      <w:numFmt w:val="upperLetter"/>
      <w:lvlText w:val="%1."/>
      <w:lvlJc w:val="left"/>
      <w:pPr>
        <w:ind w:left="152" w:hanging="355"/>
        <w:jc w:val="left"/>
      </w:pPr>
      <w:rPr>
        <w:rFonts w:hint="default" w:ascii="Arial" w:hAnsi="Arial" w:eastAsia="Arial" w:cs="Arial"/>
        <w:i/>
        <w:spacing w:val="-28"/>
        <w:w w:val="99"/>
        <w:sz w:val="24"/>
        <w:szCs w:val="24"/>
      </w:rPr>
    </w:lvl>
    <w:lvl w:ilvl="1">
      <w:start w:val="1"/>
      <w:numFmt w:val="bullet"/>
      <w:lvlText w:val=""/>
      <w:lvlJc w:val="left"/>
      <w:pPr>
        <w:ind w:left="872" w:hanging="360"/>
      </w:pPr>
      <w:rPr>
        <w:rFonts w:hint="default" w:ascii="Wingdings" w:hAnsi="Wingdings" w:eastAsia="Wingdings" w:cs="Wingdings"/>
        <w:w w:val="99"/>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left="15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2"/>
      <w:ind w:left="291"/>
      <w:outlineLvl w:val="1"/>
    </w:pPr>
    <w:rPr>
      <w:rFonts w:ascii="Cambria" w:hAnsi="Cambria" w:eastAsia="Cambria" w:cs="Cambria"/>
      <w:b/>
      <w:bCs/>
      <w:sz w:val="28"/>
      <w:szCs w:val="28"/>
    </w:rPr>
  </w:style>
  <w:style w:styleId="Heading2" w:type="paragraph">
    <w:name w:val="Heading 2"/>
    <w:basedOn w:val="Normal"/>
    <w:uiPriority w:val="1"/>
    <w:qFormat/>
    <w:pPr>
      <w:spacing w:before="69"/>
      <w:ind w:left="152"/>
      <w:jc w:val="both"/>
      <w:outlineLvl w:val="2"/>
    </w:pPr>
    <w:rPr>
      <w:rFonts w:ascii="Arial" w:hAnsi="Arial" w:eastAsia="Arial" w:cs="Arial"/>
      <w:b/>
      <w:bCs/>
      <w:sz w:val="24"/>
      <w:szCs w:val="24"/>
    </w:rPr>
  </w:style>
  <w:style w:styleId="Heading3" w:type="paragraph">
    <w:name w:val="Heading 3"/>
    <w:basedOn w:val="Normal"/>
    <w:uiPriority w:val="1"/>
    <w:qFormat/>
    <w:pPr>
      <w:spacing w:before="50"/>
      <w:ind w:left="291"/>
      <w:outlineLvl w:val="3"/>
    </w:pPr>
    <w:rPr>
      <w:rFonts w:ascii="Arial" w:hAnsi="Arial" w:eastAsia="Arial" w:cs="Arial"/>
      <w:b/>
      <w:bCs/>
      <w:i/>
      <w:sz w:val="24"/>
      <w:szCs w:val="24"/>
    </w:rPr>
  </w:style>
  <w:style w:styleId="ListParagraph" w:type="paragraph">
    <w:name w:val="List Paragraph"/>
    <w:basedOn w:val="Normal"/>
    <w:uiPriority w:val="1"/>
    <w:qFormat/>
    <w:pPr>
      <w:spacing w:before="5"/>
      <w:ind w:left="872"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image" Target="media/image2.jpeg"/><Relationship Id="rId16" Type="http://schemas.openxmlformats.org/officeDocument/2006/relationships/image" Target="media/image3.png"/><Relationship Id="rId17" Type="http://schemas.openxmlformats.org/officeDocument/2006/relationships/image" Target="media/image4.jpeg"/><Relationship Id="rId18" Type="http://schemas.openxmlformats.org/officeDocument/2006/relationships/image" Target="media/image5.png"/><Relationship Id="rId19" Type="http://schemas.openxmlformats.org/officeDocument/2006/relationships/image" Target="media/image6.jpeg"/><Relationship Id="rId20" Type="http://schemas.openxmlformats.org/officeDocument/2006/relationships/hyperlink" Target="http://www/" TargetMode="External"/><Relationship Id="rId21" Type="http://schemas.openxmlformats.org/officeDocument/2006/relationships/image" Target="media/image7.png"/><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image" Target="media/image8.jpeg"/><Relationship Id="rId25" Type="http://schemas.openxmlformats.org/officeDocument/2006/relationships/image" Target="media/image9.png"/><Relationship Id="rId26" Type="http://schemas.openxmlformats.org/officeDocument/2006/relationships/image" Target="media/image10.jpeg"/><Relationship Id="rId27" Type="http://schemas.openxmlformats.org/officeDocument/2006/relationships/image" Target="media/image11.jpeg"/><Relationship Id="rId28" Type="http://schemas.openxmlformats.org/officeDocument/2006/relationships/image" Target="media/image12.jpeg"/><Relationship Id="rId29" Type="http://schemas.openxmlformats.org/officeDocument/2006/relationships/image" Target="media/image13.png"/><Relationship Id="rId30" Type="http://schemas.openxmlformats.org/officeDocument/2006/relationships/footer" Target="footer12.xml"/><Relationship Id="rId31" Type="http://schemas.openxmlformats.org/officeDocument/2006/relationships/image" Target="media/image14.jpeg"/><Relationship Id="rId32" Type="http://schemas.openxmlformats.org/officeDocument/2006/relationships/image" Target="media/image15.jpeg"/><Relationship Id="rId33" Type="http://schemas.openxmlformats.org/officeDocument/2006/relationships/footer" Target="footer13.xml"/><Relationship Id="rId34" Type="http://schemas.openxmlformats.org/officeDocument/2006/relationships/image" Target="media/image16.jpeg"/><Relationship Id="rId35" Type="http://schemas.openxmlformats.org/officeDocument/2006/relationships/image" Target="media/image17.jpeg"/><Relationship Id="rId36" Type="http://schemas.openxmlformats.org/officeDocument/2006/relationships/image" Target="media/image18.png"/><Relationship Id="rId37" Type="http://schemas.openxmlformats.org/officeDocument/2006/relationships/image" Target="media/image19.png"/><Relationship Id="rId38" Type="http://schemas.openxmlformats.org/officeDocument/2006/relationships/image" Target="media/image20.png"/><Relationship Id="rId39" Type="http://schemas.openxmlformats.org/officeDocument/2006/relationships/image" Target="media/image21.png"/><Relationship Id="rId40" Type="http://schemas.openxmlformats.org/officeDocument/2006/relationships/image" Target="media/image22.png"/><Relationship Id="rId41" Type="http://schemas.openxmlformats.org/officeDocument/2006/relationships/image" Target="media/image23.png"/><Relationship Id="rId42" Type="http://schemas.openxmlformats.org/officeDocument/2006/relationships/image" Target="media/image24.png"/><Relationship Id="rId43" Type="http://schemas.openxmlformats.org/officeDocument/2006/relationships/image" Target="media/image25.png"/><Relationship Id="rId44" Type="http://schemas.openxmlformats.org/officeDocument/2006/relationships/image" Target="media/image26.png"/><Relationship Id="rId45" Type="http://schemas.openxmlformats.org/officeDocument/2006/relationships/image" Target="media/image27.png"/><Relationship Id="rId46" Type="http://schemas.openxmlformats.org/officeDocument/2006/relationships/image" Target="media/image28.png"/><Relationship Id="rId47" Type="http://schemas.openxmlformats.org/officeDocument/2006/relationships/image" Target="media/image29.png"/><Relationship Id="rId48" Type="http://schemas.openxmlformats.org/officeDocument/2006/relationships/image" Target="media/image30.png"/><Relationship Id="rId49" Type="http://schemas.openxmlformats.org/officeDocument/2006/relationships/hyperlink" Target="mailto:vvo@uaemex.mx" TargetMode="External"/><Relationship Id="rId50" Type="http://schemas.openxmlformats.org/officeDocument/2006/relationships/footer" Target="footer14.xml"/><Relationship Id="rId51" Type="http://schemas.openxmlformats.org/officeDocument/2006/relationships/footer" Target="footer15.xml"/><Relationship Id="rId52" Type="http://schemas.openxmlformats.org/officeDocument/2006/relationships/hyperlink" Target="http://www.scopemed.org/?jid=73" TargetMode="External"/><Relationship Id="rId53" Type="http://schemas.openxmlformats.org/officeDocument/2006/relationships/hyperlink" Target="http://www.scopemed.org/?jid=73&amp;amp;iid=2013-3-4.000" TargetMode="External"/><Relationship Id="rId54" Type="http://schemas.openxmlformats.org/officeDocument/2006/relationships/image" Target="media/image31.jpeg"/><Relationship Id="rId55" Type="http://schemas.openxmlformats.org/officeDocument/2006/relationships/hyperlink" Target="mailto:benvac2004@yahoo.com.mx" TargetMode="External"/><Relationship Id="rId56" Type="http://schemas.openxmlformats.org/officeDocument/2006/relationships/footer" Target="footer16.xml"/><Relationship Id="rId57" Type="http://schemas.openxmlformats.org/officeDocument/2006/relationships/image" Target="media/image32.jpeg"/><Relationship Id="rId58" Type="http://schemas.openxmlformats.org/officeDocument/2006/relationships/footer" Target="footer17.xml"/><Relationship Id="rId59" Type="http://schemas.openxmlformats.org/officeDocument/2006/relationships/image" Target="media/image33.jpeg"/><Relationship Id="rId60" Type="http://schemas.openxmlformats.org/officeDocument/2006/relationships/hyperlink" Target="http://210.242.211.31/" TargetMode="External"/><Relationship Id="rId61" Type="http://schemas.openxmlformats.org/officeDocument/2006/relationships/footer" Target="footer18.xml"/><Relationship Id="rId62" Type="http://schemas.openxmlformats.org/officeDocument/2006/relationships/footer" Target="footer19.xml"/><Relationship Id="rId63" Type="http://schemas.openxmlformats.org/officeDocument/2006/relationships/hyperlink" Target="http://www.elsevier.com/" TargetMode="External"/><Relationship Id="rId64" Type="http://schemas.openxmlformats.org/officeDocument/2006/relationships/hyperlink" Target="http://www.elsevier.com/locate/foodres" TargetMode="External"/><Relationship Id="rId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juana</dc:creator>
  <dcterms:created xsi:type="dcterms:W3CDTF">2017-05-18T20:33:11Z</dcterms:created>
  <dcterms:modified xsi:type="dcterms:W3CDTF">2017-05-18T20:33:11Z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2016-06-02T00:00:00Z</vt:filetime>
  </property>
  <property fmtid="{D5CDD505-2E9C-101B-9397-08002B2CF9AE}" pid="3" name="Creator">
    <vt:lpwstr>Microsoft® Word 2013</vt:lpwstr>
  </property>
  <property fmtid="{D5CDD505-2E9C-101B-9397-08002B2CF9AE}" pid="4" name="LastSaved">
    <vt:filetime>2017-05-18T00:00:00Z</vt:filetime>
  </property>
</Properties>
</file>