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header2.xml" ContentType="application/vnd.openxmlformats-officedocument.wordprocessingml.header+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85" w:lineRule="exact" w:before="0"/>
        <w:ind w:left="2495" w:right="402" w:firstLine="0"/>
        <w:jc w:val="center"/>
        <w:rPr>
          <w:sz w:val="28"/>
        </w:rPr>
      </w:pPr>
      <w:r>
        <w:rPr>
          <w:sz w:val="28"/>
        </w:rPr>
        <w:t>PROGRAMA DE MAESTRÍA Y DOCTORADO EN</w:t>
      </w:r>
    </w:p>
    <w:p>
      <w:pPr>
        <w:spacing w:line="242" w:lineRule="auto" w:before="0"/>
        <w:ind w:left="2498" w:right="402" w:firstLine="0"/>
        <w:jc w:val="center"/>
        <w:rPr>
          <w:sz w:val="28"/>
        </w:rPr>
      </w:pPr>
      <w:r>
        <w:rPr>
          <w:sz w:val="28"/>
        </w:rPr>
        <w:t>CIENCIAS AGROPECUARIAS Y RECURSOS NATURALES</w:t>
      </w:r>
    </w:p>
    <w:p>
      <w:pPr>
        <w:pStyle w:val="BodyText"/>
        <w:rPr>
          <w:sz w:val="28"/>
        </w:rPr>
      </w:pPr>
    </w:p>
    <w:p>
      <w:pPr>
        <w:pStyle w:val="BodyText"/>
        <w:spacing w:before="7"/>
        <w:rPr>
          <w:sz w:val="27"/>
        </w:rPr>
      </w:pPr>
    </w:p>
    <w:p>
      <w:pPr>
        <w:spacing w:before="0"/>
        <w:ind w:left="2310" w:right="220" w:firstLine="1"/>
        <w:jc w:val="center"/>
        <w:rPr>
          <w:sz w:val="28"/>
        </w:rPr>
      </w:pPr>
      <w:r>
        <w:rPr>
          <w:sz w:val="28"/>
        </w:rPr>
        <w:t>ANÁLISIS DE LA SENSIBILIDAD DE MÉTODOS DIAGNÓSTICOS COMÚNMENTE UTILIZADOS EN HOSPITALES VETERINARIOS PARA EL</w:t>
      </w:r>
      <w:r>
        <w:rPr>
          <w:spacing w:val="-25"/>
          <w:sz w:val="28"/>
        </w:rPr>
        <w:t> </w:t>
      </w:r>
      <w:r>
        <w:rPr>
          <w:sz w:val="28"/>
        </w:rPr>
        <w:t>DIAGNÓSTICO DE PARVOVIRUS</w:t>
      </w:r>
      <w:r>
        <w:rPr>
          <w:spacing w:val="-10"/>
          <w:sz w:val="28"/>
        </w:rPr>
        <w:t> </w:t>
      </w:r>
      <w:r>
        <w:rPr>
          <w:sz w:val="28"/>
        </w:rPr>
        <w:t>CANINO.</w:t>
      </w:r>
    </w:p>
    <w:p>
      <w:pPr>
        <w:pStyle w:val="BodyText"/>
        <w:rPr>
          <w:sz w:val="28"/>
        </w:rPr>
      </w:pPr>
    </w:p>
    <w:p>
      <w:pPr>
        <w:pStyle w:val="BodyText"/>
        <w:spacing w:before="6"/>
        <w:rPr>
          <w:sz w:val="27"/>
        </w:rPr>
      </w:pPr>
    </w:p>
    <w:p>
      <w:pPr>
        <w:tabs>
          <w:tab w:pos="5402" w:val="left" w:leader="none"/>
          <w:tab w:pos="6180" w:val="left" w:leader="none"/>
          <w:tab w:pos="6961" w:val="left" w:leader="none"/>
          <w:tab w:pos="7538" w:val="left" w:leader="none"/>
        </w:tabs>
        <w:spacing w:before="0"/>
        <w:ind w:left="4653" w:right="0" w:firstLine="0"/>
        <w:jc w:val="left"/>
        <w:rPr>
          <w:b/>
          <w:sz w:val="52"/>
        </w:rPr>
      </w:pPr>
      <w:r>
        <w:rPr>
          <w:b/>
          <w:sz w:val="52"/>
        </w:rPr>
        <w:t>T</w:t>
        <w:tab/>
        <w:t>E</w:t>
        <w:tab/>
        <w:t>S</w:t>
        <w:tab/>
        <w:t>I</w:t>
        <w:tab/>
        <w:t>S</w:t>
      </w:r>
    </w:p>
    <w:p>
      <w:pPr>
        <w:pStyle w:val="BodyText"/>
        <w:spacing w:before="6"/>
        <w:rPr>
          <w:b/>
          <w:sz w:val="56"/>
        </w:rPr>
      </w:pPr>
    </w:p>
    <w:p>
      <w:pPr>
        <w:spacing w:before="0"/>
        <w:ind w:left="2500" w:right="402" w:firstLine="0"/>
        <w:jc w:val="center"/>
        <w:rPr>
          <w:sz w:val="28"/>
        </w:rPr>
      </w:pPr>
      <w:r>
        <w:rPr>
          <w:sz w:val="28"/>
        </w:rPr>
        <w:t>QUE PARA OBTENER EL GRADO DE MAESTRO EN CIENCIAS AGROPECUARIAS Y RECURSOS NATURALES</w:t>
      </w:r>
    </w:p>
    <w:p>
      <w:pPr>
        <w:pStyle w:val="BodyText"/>
        <w:rPr>
          <w:sz w:val="28"/>
        </w:rPr>
      </w:pPr>
    </w:p>
    <w:p>
      <w:pPr>
        <w:pStyle w:val="BodyText"/>
        <w:spacing w:before="10"/>
        <w:rPr>
          <w:sz w:val="27"/>
        </w:rPr>
      </w:pPr>
    </w:p>
    <w:p>
      <w:pPr>
        <w:spacing w:before="0"/>
        <w:ind w:left="2496" w:right="402" w:firstLine="0"/>
        <w:jc w:val="center"/>
        <w:rPr>
          <w:sz w:val="28"/>
        </w:rPr>
      </w:pPr>
      <w:r>
        <w:rPr>
          <w:sz w:val="28"/>
        </w:rPr>
        <w:t>P R E S E N T A</w:t>
      </w:r>
    </w:p>
    <w:p>
      <w:pPr>
        <w:pStyle w:val="BodyText"/>
        <w:rPr>
          <w:sz w:val="28"/>
        </w:rPr>
      </w:pPr>
    </w:p>
    <w:p>
      <w:pPr>
        <w:pStyle w:val="BodyText"/>
        <w:spacing w:before="3"/>
        <w:rPr>
          <w:sz w:val="28"/>
        </w:rPr>
      </w:pPr>
    </w:p>
    <w:p>
      <w:pPr>
        <w:spacing w:before="0"/>
        <w:ind w:left="2852" w:right="0" w:firstLine="0"/>
        <w:jc w:val="left"/>
        <w:rPr>
          <w:sz w:val="28"/>
        </w:rPr>
      </w:pPr>
      <w:r>
        <w:rPr>
          <w:sz w:val="28"/>
        </w:rPr>
        <w:t>MVZ ESP. MIRNA ELIZABETH AGUILAR FAZ</w:t>
      </w: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3"/>
        <w:rPr>
          <w:sz w:val="28"/>
        </w:rPr>
      </w:pPr>
    </w:p>
    <w:p>
      <w:pPr>
        <w:spacing w:before="0"/>
        <w:ind w:left="5863" w:right="0" w:firstLine="0"/>
        <w:jc w:val="left"/>
        <w:rPr>
          <w:sz w:val="28"/>
        </w:rPr>
      </w:pPr>
      <w:r>
        <w:rPr>
          <w:sz w:val="28"/>
        </w:rPr>
        <w:t>Toluca, México, Agosto</w:t>
      </w:r>
      <w:r>
        <w:rPr>
          <w:spacing w:val="66"/>
          <w:sz w:val="28"/>
        </w:rPr>
        <w:t> </w:t>
      </w:r>
      <w:r>
        <w:rPr>
          <w:sz w:val="28"/>
        </w:rPr>
        <w:t>2014.</w:t>
      </w:r>
    </w:p>
    <w:p>
      <w:pPr>
        <w:spacing w:after="0"/>
        <w:jc w:val="left"/>
        <w:rPr>
          <w:sz w:val="28"/>
        </w:rPr>
        <w:sectPr>
          <w:headerReference w:type="default" r:id="rId5"/>
          <w:type w:val="continuous"/>
          <w:pgSz w:w="12240" w:h="15840"/>
          <w:pgMar w:header="1794" w:top="3220" w:bottom="280" w:left="1080" w:right="1420"/>
        </w:sectPr>
      </w:pPr>
    </w:p>
    <w:p>
      <w:pPr>
        <w:spacing w:line="285" w:lineRule="exact" w:before="0"/>
        <w:ind w:left="2518" w:right="405" w:firstLine="0"/>
        <w:jc w:val="center"/>
        <w:rPr>
          <w:sz w:val="28"/>
        </w:rPr>
      </w:pPr>
      <w:r>
        <w:rPr>
          <w:sz w:val="28"/>
        </w:rPr>
        <w:t>PROGRAMA DE MAESTRÍA Y DOCTORADO EN</w:t>
      </w:r>
    </w:p>
    <w:p>
      <w:pPr>
        <w:spacing w:line="242" w:lineRule="auto" w:before="0"/>
        <w:ind w:left="2518" w:right="402" w:firstLine="0"/>
        <w:jc w:val="center"/>
        <w:rPr>
          <w:sz w:val="28"/>
        </w:rPr>
      </w:pPr>
      <w:r>
        <w:rPr>
          <w:sz w:val="28"/>
        </w:rPr>
        <w:t>CIENCIAS AGROPECUARIAS Y RECURSOS NATURALES</w:t>
      </w:r>
    </w:p>
    <w:p>
      <w:pPr>
        <w:pStyle w:val="BodyText"/>
        <w:rPr>
          <w:sz w:val="28"/>
        </w:rPr>
      </w:pPr>
    </w:p>
    <w:p>
      <w:pPr>
        <w:pStyle w:val="BodyText"/>
        <w:spacing w:before="7"/>
        <w:rPr>
          <w:sz w:val="27"/>
        </w:rPr>
      </w:pPr>
    </w:p>
    <w:p>
      <w:pPr>
        <w:spacing w:before="0"/>
        <w:ind w:left="1744" w:right="343" w:hanging="1"/>
        <w:jc w:val="center"/>
        <w:rPr>
          <w:sz w:val="28"/>
        </w:rPr>
      </w:pPr>
      <w:r>
        <w:rPr>
          <w:sz w:val="28"/>
        </w:rPr>
        <w:t>ANÁLISIS DE LA SENSIBILIDAD DE MÉTODOS DIAGNÓSTICOS COMÚNMENTE UTILIZADOS EN HOSPITALES VETERINARIOS PARA EL DIAGNÓSTICO</w:t>
      </w:r>
      <w:r>
        <w:rPr>
          <w:spacing w:val="-29"/>
          <w:sz w:val="28"/>
        </w:rPr>
        <w:t> </w:t>
      </w:r>
      <w:r>
        <w:rPr>
          <w:sz w:val="28"/>
        </w:rPr>
        <w:t>DE PARVOVIRUS</w:t>
      </w:r>
      <w:r>
        <w:rPr>
          <w:spacing w:val="-7"/>
          <w:sz w:val="28"/>
        </w:rPr>
        <w:t> </w:t>
      </w:r>
      <w:r>
        <w:rPr>
          <w:sz w:val="28"/>
        </w:rPr>
        <w:t>CANINO.</w:t>
      </w:r>
    </w:p>
    <w:p>
      <w:pPr>
        <w:pStyle w:val="BodyText"/>
        <w:rPr>
          <w:sz w:val="28"/>
        </w:rPr>
      </w:pPr>
    </w:p>
    <w:p>
      <w:pPr>
        <w:pStyle w:val="BodyText"/>
        <w:spacing w:before="6"/>
        <w:rPr>
          <w:sz w:val="27"/>
        </w:rPr>
      </w:pPr>
    </w:p>
    <w:p>
      <w:pPr>
        <w:tabs>
          <w:tab w:pos="2866" w:val="left" w:leader="none"/>
          <w:tab w:pos="3644" w:val="left" w:leader="none"/>
          <w:tab w:pos="4425" w:val="left" w:leader="none"/>
          <w:tab w:pos="5001" w:val="left" w:leader="none"/>
        </w:tabs>
        <w:spacing w:before="0"/>
        <w:ind w:left="2117" w:right="0" w:firstLine="0"/>
        <w:jc w:val="center"/>
        <w:rPr>
          <w:b/>
          <w:sz w:val="52"/>
        </w:rPr>
      </w:pPr>
      <w:r>
        <w:rPr>
          <w:b/>
          <w:sz w:val="52"/>
        </w:rPr>
        <w:t>T</w:t>
        <w:tab/>
        <w:t>E</w:t>
        <w:tab/>
        <w:t>S</w:t>
        <w:tab/>
        <w:t>I</w:t>
        <w:tab/>
        <w:t>S</w:t>
      </w:r>
    </w:p>
    <w:p>
      <w:pPr>
        <w:pStyle w:val="BodyText"/>
        <w:spacing w:before="6"/>
        <w:rPr>
          <w:b/>
          <w:sz w:val="56"/>
        </w:rPr>
      </w:pPr>
    </w:p>
    <w:p>
      <w:pPr>
        <w:spacing w:before="0"/>
        <w:ind w:left="2518" w:right="408" w:firstLine="0"/>
        <w:jc w:val="center"/>
        <w:rPr>
          <w:sz w:val="28"/>
        </w:rPr>
      </w:pPr>
      <w:r>
        <w:rPr>
          <w:sz w:val="28"/>
        </w:rPr>
        <w:t>QUE PARA OBTENER EL GRADO DE MAESTRO EN CIENCIAS AGROPECUARIAS Y RECURSOS NATURALES</w:t>
      </w:r>
    </w:p>
    <w:p>
      <w:pPr>
        <w:pStyle w:val="BodyText"/>
        <w:rPr>
          <w:sz w:val="28"/>
        </w:rPr>
      </w:pPr>
    </w:p>
    <w:p>
      <w:pPr>
        <w:pStyle w:val="BodyText"/>
        <w:spacing w:before="10"/>
        <w:rPr>
          <w:sz w:val="27"/>
        </w:rPr>
      </w:pPr>
    </w:p>
    <w:p>
      <w:pPr>
        <w:spacing w:before="0"/>
        <w:ind w:left="2518" w:right="403" w:firstLine="0"/>
        <w:jc w:val="center"/>
        <w:rPr>
          <w:sz w:val="28"/>
        </w:rPr>
      </w:pPr>
      <w:r>
        <w:rPr>
          <w:sz w:val="28"/>
        </w:rPr>
        <w:t>P R E S E N T A</w:t>
      </w:r>
    </w:p>
    <w:p>
      <w:pPr>
        <w:pStyle w:val="BodyText"/>
        <w:spacing w:before="4"/>
        <w:rPr>
          <w:sz w:val="28"/>
        </w:rPr>
      </w:pPr>
    </w:p>
    <w:p>
      <w:pPr>
        <w:spacing w:before="0"/>
        <w:ind w:left="1808" w:right="408" w:firstLine="0"/>
        <w:jc w:val="center"/>
        <w:rPr>
          <w:sz w:val="28"/>
        </w:rPr>
      </w:pPr>
      <w:r>
        <w:rPr>
          <w:sz w:val="28"/>
        </w:rPr>
        <w:t>MVZ ESP. MIRNA ELIZABETH AGUILAR FAZ</w:t>
      </w:r>
    </w:p>
    <w:p>
      <w:pPr>
        <w:pStyle w:val="BodyText"/>
        <w:rPr>
          <w:sz w:val="28"/>
        </w:rPr>
      </w:pPr>
    </w:p>
    <w:p>
      <w:pPr>
        <w:pStyle w:val="BodyText"/>
        <w:spacing w:before="11"/>
        <w:rPr>
          <w:sz w:val="27"/>
        </w:rPr>
      </w:pPr>
    </w:p>
    <w:p>
      <w:pPr>
        <w:spacing w:before="0"/>
        <w:ind w:left="2518" w:right="403" w:firstLine="0"/>
        <w:jc w:val="center"/>
        <w:rPr>
          <w:sz w:val="28"/>
        </w:rPr>
      </w:pPr>
      <w:r>
        <w:rPr>
          <w:sz w:val="28"/>
        </w:rPr>
        <w:t>COMITÉ TUTORIAL:</w:t>
      </w:r>
    </w:p>
    <w:p>
      <w:pPr>
        <w:pStyle w:val="BodyText"/>
        <w:spacing w:before="11"/>
        <w:rPr>
          <w:sz w:val="21"/>
        </w:rPr>
      </w:pPr>
    </w:p>
    <w:p>
      <w:pPr>
        <w:spacing w:line="427" w:lineRule="auto" w:before="0"/>
        <w:ind w:left="2411" w:right="276" w:firstLine="67"/>
        <w:jc w:val="left"/>
        <w:rPr>
          <w:sz w:val="22"/>
        </w:rPr>
      </w:pPr>
      <w:r>
        <w:rPr>
          <w:sz w:val="22"/>
        </w:rPr>
        <w:t>DR. JOSÉ SIMÓN MARTÍNEZ CASTAÑEDA. TUTOR ACADÉMICO DR. ISRAEL ALEJANDRO QUIJANO HERNÁNDEZ. TUTOR ADJUNTO PH.D. RAÚL CUAUHTÉMOC FAJARDO MUÑOZ. TUTOR ADJUNTO</w:t>
      </w:r>
    </w:p>
    <w:p>
      <w:pPr>
        <w:pStyle w:val="BodyText"/>
        <w:rPr>
          <w:sz w:val="29"/>
        </w:rPr>
      </w:pPr>
    </w:p>
    <w:p>
      <w:pPr>
        <w:spacing w:before="0"/>
        <w:ind w:left="5883" w:right="0" w:firstLine="0"/>
        <w:jc w:val="left"/>
        <w:rPr>
          <w:sz w:val="28"/>
        </w:rPr>
      </w:pPr>
      <w:r>
        <w:rPr>
          <w:sz w:val="28"/>
        </w:rPr>
        <w:t>Toluca, México, Agosto</w:t>
      </w:r>
      <w:r>
        <w:rPr>
          <w:spacing w:val="66"/>
          <w:sz w:val="28"/>
        </w:rPr>
        <w:t> </w:t>
      </w:r>
      <w:r>
        <w:rPr>
          <w:sz w:val="28"/>
        </w:rPr>
        <w:t>2014.</w:t>
      </w:r>
    </w:p>
    <w:p>
      <w:pPr>
        <w:spacing w:after="0"/>
        <w:jc w:val="left"/>
        <w:rPr>
          <w:sz w:val="28"/>
        </w:rPr>
        <w:sectPr>
          <w:pgSz w:w="12240" w:h="15840"/>
          <w:pgMar w:header="1794" w:footer="0" w:top="3220" w:bottom="280" w:left="1060" w:right="1420"/>
        </w:sectPr>
      </w:pPr>
    </w:p>
    <w:p>
      <w:pPr>
        <w:pStyle w:val="BodyText"/>
        <w:rPr>
          <w:sz w:val="20"/>
        </w:rPr>
      </w:pPr>
    </w:p>
    <w:p>
      <w:pPr>
        <w:pStyle w:val="BodyText"/>
        <w:spacing w:before="1"/>
      </w:pPr>
    </w:p>
    <w:p>
      <w:pPr>
        <w:pStyle w:val="Heading1"/>
        <w:ind w:left="152" w:firstLine="0"/>
      </w:pPr>
      <w:r>
        <w:rPr/>
        <w:t>DEDICATORIA</w:t>
      </w:r>
    </w:p>
    <w:p>
      <w:pPr>
        <w:pStyle w:val="BodyText"/>
        <w:rPr>
          <w:b/>
        </w:rPr>
      </w:pPr>
    </w:p>
    <w:p>
      <w:pPr>
        <w:pStyle w:val="BodyText"/>
        <w:spacing w:before="7"/>
        <w:rPr>
          <w:b/>
          <w:sz w:val="29"/>
        </w:rPr>
      </w:pPr>
    </w:p>
    <w:p>
      <w:pPr>
        <w:pStyle w:val="BodyText"/>
        <w:spacing w:before="1"/>
        <w:ind w:left="152"/>
        <w:jc w:val="both"/>
      </w:pPr>
      <w:r>
        <w:rPr/>
        <w:t>A mis abuelos Natividad  Faz y María de la Luz, que me cuidan desde el cielo.</w:t>
      </w:r>
    </w:p>
    <w:p>
      <w:pPr>
        <w:pStyle w:val="BodyText"/>
      </w:pPr>
    </w:p>
    <w:p>
      <w:pPr>
        <w:pStyle w:val="BodyText"/>
      </w:pPr>
    </w:p>
    <w:p>
      <w:pPr>
        <w:pStyle w:val="BodyText"/>
        <w:spacing w:before="10"/>
        <w:rPr>
          <w:sz w:val="34"/>
        </w:rPr>
      </w:pPr>
    </w:p>
    <w:p>
      <w:pPr>
        <w:pStyle w:val="BodyText"/>
        <w:spacing w:line="360" w:lineRule="auto"/>
        <w:ind w:left="152" w:right="148"/>
        <w:jc w:val="both"/>
      </w:pPr>
      <w:r>
        <w:rPr/>
        <w:t>A María Luisa Faz Contreras, mi madre y la mujer más maravillosa del mundo. Espero que dios me regale la posibilidad de tenerte muchos años a mi lado y llenarte de orgullo y felicidad, te adoro mami.</w:t>
      </w:r>
    </w:p>
    <w:p>
      <w:pPr>
        <w:pStyle w:val="BodyText"/>
      </w:pPr>
    </w:p>
    <w:p>
      <w:pPr>
        <w:pStyle w:val="BodyText"/>
      </w:pPr>
    </w:p>
    <w:p>
      <w:pPr>
        <w:pStyle w:val="BodyText"/>
        <w:spacing w:before="7"/>
        <w:rPr>
          <w:sz w:val="23"/>
        </w:rPr>
      </w:pPr>
    </w:p>
    <w:p>
      <w:pPr>
        <w:pStyle w:val="BodyText"/>
        <w:spacing w:line="355" w:lineRule="auto"/>
        <w:ind w:left="152" w:right="156"/>
        <w:jc w:val="both"/>
      </w:pPr>
      <w:r>
        <w:rPr/>
        <w:t>A mis hermanos Mayra y Gilberto mil gracias por su apoyo, este logro es de los tres, los quiero mucho no lo olviden.</w:t>
      </w:r>
    </w:p>
    <w:p>
      <w:pPr>
        <w:pStyle w:val="BodyText"/>
      </w:pPr>
    </w:p>
    <w:p>
      <w:pPr>
        <w:pStyle w:val="BodyText"/>
      </w:pPr>
    </w:p>
    <w:p>
      <w:pPr>
        <w:pStyle w:val="BodyText"/>
        <w:spacing w:before="1"/>
      </w:pPr>
    </w:p>
    <w:p>
      <w:pPr>
        <w:pStyle w:val="BodyText"/>
        <w:spacing w:line="357" w:lineRule="auto"/>
        <w:ind w:left="152" w:right="148"/>
        <w:jc w:val="both"/>
      </w:pPr>
      <w:r>
        <w:rPr/>
        <w:t>A los bebes de la casa Lessandra, Joana y Gilberto, gracias por inyectarle  frescura y alegría a la familia espero en algún momento poder  ser  un ejemplo para ustedes, los quiero</w:t>
      </w:r>
      <w:r>
        <w:rPr>
          <w:spacing w:val="-15"/>
        </w:rPr>
        <w:t> </w:t>
      </w:r>
      <w:r>
        <w:rPr/>
        <w:t>enanos.</w:t>
      </w:r>
    </w:p>
    <w:p>
      <w:pPr>
        <w:pStyle w:val="BodyText"/>
      </w:pPr>
    </w:p>
    <w:p>
      <w:pPr>
        <w:pStyle w:val="BodyText"/>
      </w:pPr>
    </w:p>
    <w:p>
      <w:pPr>
        <w:pStyle w:val="BodyText"/>
        <w:spacing w:before="10"/>
        <w:rPr>
          <w:sz w:val="23"/>
        </w:rPr>
      </w:pPr>
    </w:p>
    <w:p>
      <w:pPr>
        <w:pStyle w:val="BodyText"/>
        <w:spacing w:line="360" w:lineRule="auto"/>
        <w:ind w:left="152" w:right="153"/>
        <w:jc w:val="both"/>
      </w:pPr>
      <w:r>
        <w:rPr/>
        <w:t>A Vidal Rico, haz estado a </w:t>
      </w:r>
      <w:r>
        <w:rPr>
          <w:spacing w:val="-4"/>
        </w:rPr>
        <w:t>mi </w:t>
      </w:r>
      <w:r>
        <w:rPr/>
        <w:t>lado desde que comenzó esta historia y ahora la vives conmigo, gracias por tu apoyo incondicional, espero la vida </w:t>
      </w:r>
      <w:r>
        <w:rPr>
          <w:spacing w:val="-4"/>
        </w:rPr>
        <w:t>me </w:t>
      </w:r>
      <w:r>
        <w:rPr/>
        <w:t>brinde la oportunidad de estar a tu lado siempre y este sea solo uno de los muchos logros que tendremos, un</w:t>
      </w:r>
      <w:r>
        <w:rPr>
          <w:spacing w:val="56"/>
        </w:rPr>
        <w:t> </w:t>
      </w:r>
      <w:r>
        <w:rPr/>
        <w:t>besito.</w:t>
      </w:r>
    </w:p>
    <w:p>
      <w:pPr>
        <w:spacing w:after="0" w:line="360" w:lineRule="auto"/>
        <w:jc w:val="both"/>
        <w:sectPr>
          <w:headerReference w:type="default" r:id="rId6"/>
          <w:footerReference w:type="default" r:id="rId7"/>
          <w:pgSz w:w="12240" w:h="15840"/>
          <w:pgMar w:header="1154" w:footer="1713" w:top="1520" w:bottom="1900" w:left="1720" w:right="1380"/>
          <w:pgNumType w:start="1"/>
        </w:sectPr>
      </w:pPr>
    </w:p>
    <w:p>
      <w:pPr>
        <w:pStyle w:val="BodyText"/>
        <w:spacing w:before="4"/>
        <w:rPr>
          <w:sz w:val="17"/>
        </w:rPr>
      </w:pPr>
    </w:p>
    <w:p>
      <w:pPr>
        <w:pStyle w:val="Heading1"/>
        <w:ind w:left="152" w:firstLine="0"/>
      </w:pPr>
      <w:r>
        <w:rPr/>
        <w:t>AGRADECIMIENTOS</w:t>
      </w:r>
    </w:p>
    <w:p>
      <w:pPr>
        <w:pStyle w:val="BodyText"/>
        <w:spacing w:before="3"/>
        <w:rPr>
          <w:b/>
          <w:sz w:val="30"/>
        </w:rPr>
      </w:pPr>
    </w:p>
    <w:p>
      <w:pPr>
        <w:pStyle w:val="BodyText"/>
        <w:spacing w:line="360" w:lineRule="auto"/>
        <w:ind w:left="152" w:right="144"/>
        <w:jc w:val="both"/>
      </w:pPr>
      <w:r>
        <w:rPr/>
        <w:t>A la universidad Autónoma del Estado de México, por el financiamiento al proyecto de investigación y particularmente al Centro de Investigación y Estudios Avanzados en Salud Animal (CIESA) de la Facultad de Medicina Veterinaria y Zootecnia, por generar el espacio adecuado para que yo pudiera desarrollar plenamente </w:t>
      </w:r>
      <w:r>
        <w:rPr>
          <w:spacing w:val="-4"/>
        </w:rPr>
        <w:t>mi </w:t>
      </w:r>
      <w:r>
        <w:rPr/>
        <w:t>proyecto de</w:t>
      </w:r>
      <w:r>
        <w:rPr>
          <w:spacing w:val="3"/>
        </w:rPr>
        <w:t> </w:t>
      </w:r>
      <w:r>
        <w:rPr/>
        <w:t>investigación.</w:t>
      </w:r>
    </w:p>
    <w:p>
      <w:pPr>
        <w:pStyle w:val="BodyText"/>
        <w:spacing w:line="360" w:lineRule="auto" w:before="209"/>
        <w:ind w:left="152" w:right="155"/>
        <w:jc w:val="both"/>
      </w:pPr>
      <w:r>
        <w:rPr/>
        <w:t>Al Consejo Nacional de Ciencia y Tecnología (CONACyT) por su apoyo mediante la beca de apoyo a estudiantes de posgrado, que hizo posible el poder concluir con mis</w:t>
      </w:r>
      <w:r>
        <w:rPr>
          <w:spacing w:val="-3"/>
        </w:rPr>
        <w:t> </w:t>
      </w:r>
      <w:r>
        <w:rPr/>
        <w:t>estudios.</w:t>
      </w:r>
    </w:p>
    <w:p>
      <w:pPr>
        <w:pStyle w:val="BodyText"/>
      </w:pPr>
    </w:p>
    <w:p>
      <w:pPr>
        <w:pStyle w:val="BodyText"/>
        <w:spacing w:line="360" w:lineRule="auto" w:before="145"/>
        <w:ind w:left="152" w:right="154"/>
        <w:jc w:val="both"/>
      </w:pPr>
      <w:r>
        <w:rPr/>
        <w:t>Al Dr. José </w:t>
      </w:r>
      <w:r>
        <w:rPr>
          <w:spacing w:val="-3"/>
        </w:rPr>
        <w:t>Simón </w:t>
      </w:r>
      <w:r>
        <w:rPr/>
        <w:t>Martínez Castañeda, por la oportunidad de </w:t>
      </w:r>
      <w:r>
        <w:rPr>
          <w:spacing w:val="-2"/>
        </w:rPr>
        <w:t>formar </w:t>
      </w:r>
      <w:r>
        <w:rPr/>
        <w:t>parte de su equipo de trabajo, por los consejos, las charlas, las llamadas de atención, la exigencia, por mostrarme las cosas bajo su perspectiva y con esa interpretación  de cambio e innovación que quiere dar siempre, he crecido mucho y aprendido más, gracias</w:t>
      </w:r>
      <w:r>
        <w:rPr>
          <w:spacing w:val="-3"/>
        </w:rPr>
        <w:t> </w:t>
      </w:r>
      <w:r>
        <w:rPr/>
        <w:t>doc.</w:t>
      </w:r>
    </w:p>
    <w:p>
      <w:pPr>
        <w:pStyle w:val="BodyText"/>
      </w:pPr>
    </w:p>
    <w:p>
      <w:pPr>
        <w:pStyle w:val="BodyText"/>
        <w:spacing w:line="360" w:lineRule="auto" w:before="139"/>
        <w:ind w:left="152" w:right="152"/>
        <w:jc w:val="both"/>
      </w:pPr>
      <w:r>
        <w:rPr/>
        <w:t>Al Dr. Israel Alejandro Quijano Hernández, gracias por creer en </w:t>
      </w:r>
      <w:r>
        <w:rPr>
          <w:spacing w:val="-3"/>
        </w:rPr>
        <w:t>mí, </w:t>
      </w:r>
      <w:r>
        <w:rPr/>
        <w:t>por su tiempo  y consejos, su visión fue importante desde el primer día que llegue a CIESA y hasta el último día que estuve en el HVPE, gracias por su amistad y el apoyo incondicional de</w:t>
      </w:r>
      <w:r>
        <w:rPr>
          <w:spacing w:val="-10"/>
        </w:rPr>
        <w:t> </w:t>
      </w:r>
      <w:r>
        <w:rPr/>
        <w:t>siempre.</w:t>
      </w:r>
    </w:p>
    <w:p>
      <w:pPr>
        <w:pStyle w:val="BodyText"/>
      </w:pPr>
    </w:p>
    <w:p>
      <w:pPr>
        <w:pStyle w:val="BodyText"/>
        <w:spacing w:line="360" w:lineRule="auto" w:before="140"/>
        <w:ind w:left="152" w:right="143"/>
        <w:jc w:val="both"/>
      </w:pPr>
      <w:r>
        <w:rPr/>
        <w:t>Al PhD. Raúl Fajardo Muñoz, por sus comentarios y guía durante el desarrollo de mi trabajo de investigación, sus comentarios siempre fueron objetivos y de utilidad durante mi formación.</w:t>
      </w:r>
    </w:p>
    <w:p>
      <w:pPr>
        <w:spacing w:after="0" w:line="360" w:lineRule="auto"/>
        <w:jc w:val="both"/>
        <w:sectPr>
          <w:pgSz w:w="12240" w:h="15840"/>
          <w:pgMar w:header="1154" w:footer="1713" w:top="1520" w:bottom="1900" w:left="1720" w:right="1380"/>
        </w:sectPr>
      </w:pPr>
    </w:p>
    <w:p>
      <w:pPr>
        <w:pStyle w:val="BodyText"/>
        <w:spacing w:before="2"/>
        <w:rPr>
          <w:sz w:val="18"/>
        </w:rPr>
      </w:pPr>
    </w:p>
    <w:p>
      <w:pPr>
        <w:pStyle w:val="BodyText"/>
        <w:spacing w:line="360" w:lineRule="auto" w:before="70"/>
        <w:ind w:left="152" w:right="141"/>
        <w:jc w:val="both"/>
      </w:pPr>
      <w:r>
        <w:rPr/>
        <w:t>A los Académicos, residentes y estancias del Hospital Veterinario de Pequeñas Especies de la FMVZ-UAEMéx, por su gran disposición para la colección de información y muestras para mi estudio, se lo que es estar cansado y tener que llenar una hoja más, mil gracias y mucho éxito a todos.</w:t>
      </w:r>
    </w:p>
    <w:p>
      <w:pPr>
        <w:pStyle w:val="BodyText"/>
      </w:pPr>
    </w:p>
    <w:p>
      <w:pPr>
        <w:pStyle w:val="BodyText"/>
        <w:spacing w:line="360" w:lineRule="auto" w:before="139"/>
        <w:ind w:left="152" w:right="146"/>
        <w:jc w:val="both"/>
      </w:pPr>
      <w:r>
        <w:rPr/>
        <w:t>A mis amigos CIESA, Viridiana Camacho, José A. Zepeda, Gabriel Martínez, Eloy Contreras, Waell Hegazi, Esteban Aparicio, Andrea Martínez, Gerardo Mancera, Yaromir Martínez, a las niñas Marcia Garnica y Dulce Madueña, gracias por su amistad, compañía y apoyo. Siempre hicieron que el trabajo fuera leve y aunque las cosas no salieran bien inyectaban un toque de humor para que todo mejorara, mil gracias los quiero.</w:t>
      </w:r>
    </w:p>
    <w:p>
      <w:pPr>
        <w:pStyle w:val="BodyText"/>
      </w:pPr>
    </w:p>
    <w:p>
      <w:pPr>
        <w:pStyle w:val="BodyText"/>
        <w:spacing w:line="360" w:lineRule="auto" w:before="144"/>
        <w:ind w:left="152" w:right="147"/>
        <w:jc w:val="both"/>
      </w:pPr>
      <w:r>
        <w:rPr/>
        <w:t>A mis amigos Carlos Montoya y Linda Reséndiz, gracias por su apoyo y por las porras, siempre ha sido genial su compañía los quiero mucho.</w:t>
      </w:r>
    </w:p>
    <w:p>
      <w:pPr>
        <w:pStyle w:val="BodyText"/>
      </w:pPr>
    </w:p>
    <w:p>
      <w:pPr>
        <w:pStyle w:val="BodyText"/>
        <w:spacing w:line="360" w:lineRule="auto" w:before="144"/>
        <w:ind w:left="152" w:right="143"/>
        <w:jc w:val="both"/>
      </w:pPr>
      <w:r>
        <w:rPr/>
        <w:t>A mis amigos de la generación de la especialidad, de lejos pero siempre apoyando, le inyectan una alegría infinita a </w:t>
      </w:r>
      <w:r>
        <w:rPr>
          <w:spacing w:val="-4"/>
        </w:rPr>
        <w:t>mi </w:t>
      </w:r>
      <w:r>
        <w:rPr/>
        <w:t>vida, gracias por dejarme ser parte de su</w:t>
      </w:r>
      <w:r>
        <w:rPr>
          <w:spacing w:val="-2"/>
        </w:rPr>
        <w:t> </w:t>
      </w:r>
      <w:r>
        <w:rPr/>
        <w:t>historia.</w:t>
      </w:r>
    </w:p>
    <w:p>
      <w:pPr>
        <w:pStyle w:val="BodyText"/>
      </w:pPr>
    </w:p>
    <w:p>
      <w:pPr>
        <w:pStyle w:val="BodyText"/>
        <w:spacing w:line="360" w:lineRule="auto" w:before="144"/>
        <w:ind w:left="152" w:right="156"/>
        <w:jc w:val="both"/>
      </w:pPr>
      <w:r>
        <w:rPr/>
        <w:t>Sin duda debo agradecer a todos los pacientes que forman parte de este estudio, a mis perritas investigadoras con las que inicie este proyecto de maestría taq, poli y mera  mil</w:t>
      </w:r>
      <w:r>
        <w:rPr>
          <w:spacing w:val="-5"/>
        </w:rPr>
        <w:t> </w:t>
      </w:r>
      <w:r>
        <w:rPr/>
        <w:t>gracias.</w:t>
      </w:r>
    </w:p>
    <w:p>
      <w:pPr>
        <w:spacing w:after="0" w:line="360" w:lineRule="auto"/>
        <w:jc w:val="both"/>
        <w:sectPr>
          <w:pgSz w:w="12240" w:h="15840"/>
          <w:pgMar w:header="1154" w:footer="1713" w:top="1520" w:bottom="1900" w:left="1720" w:right="1380"/>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17"/>
        </w:rPr>
      </w:pPr>
    </w:p>
    <w:tbl>
      <w:tblPr>
        <w:tblW w:w="0" w:type="auto"/>
        <w:jc w:val="left"/>
        <w:tblInd w:w="1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151"/>
        <w:gridCol w:w="1478"/>
      </w:tblGrid>
      <w:tr>
        <w:trPr>
          <w:trHeight w:val="317" w:hRule="exact"/>
        </w:trPr>
        <w:tc>
          <w:tcPr>
            <w:tcW w:w="7151" w:type="dxa"/>
          </w:tcPr>
          <w:p>
            <w:pPr>
              <w:pStyle w:val="TableParagraph"/>
              <w:spacing w:line="245" w:lineRule="exact"/>
              <w:ind w:left="200"/>
              <w:rPr>
                <w:b/>
                <w:sz w:val="24"/>
              </w:rPr>
            </w:pPr>
            <w:r>
              <w:rPr>
                <w:b/>
                <w:sz w:val="24"/>
              </w:rPr>
              <w:t>ÍNDICE</w:t>
            </w:r>
          </w:p>
        </w:tc>
        <w:tc>
          <w:tcPr>
            <w:tcW w:w="1478" w:type="dxa"/>
          </w:tcPr>
          <w:p>
            <w:pPr>
              <w:pStyle w:val="TableParagraph"/>
              <w:spacing w:line="245" w:lineRule="exact"/>
              <w:ind w:left="470" w:right="179"/>
              <w:jc w:val="center"/>
              <w:rPr>
                <w:b/>
                <w:sz w:val="24"/>
              </w:rPr>
            </w:pPr>
            <w:r>
              <w:rPr>
                <w:b/>
                <w:sz w:val="24"/>
              </w:rPr>
              <w:t>Página</w:t>
            </w:r>
          </w:p>
        </w:tc>
      </w:tr>
      <w:tr>
        <w:trPr>
          <w:trHeight w:val="392" w:hRule="exact"/>
        </w:trPr>
        <w:tc>
          <w:tcPr>
            <w:tcW w:w="7151" w:type="dxa"/>
          </w:tcPr>
          <w:p>
            <w:pPr>
              <w:pStyle w:val="TableParagraph"/>
              <w:spacing w:before="46"/>
              <w:ind w:left="200"/>
              <w:rPr>
                <w:sz w:val="24"/>
              </w:rPr>
            </w:pPr>
            <w:r>
              <w:rPr>
                <w:sz w:val="24"/>
              </w:rPr>
              <w:t>DEDICATORIA……………………………………………………</w:t>
            </w:r>
          </w:p>
        </w:tc>
        <w:tc>
          <w:tcPr>
            <w:tcW w:w="1478" w:type="dxa"/>
          </w:tcPr>
          <w:p>
            <w:pPr>
              <w:pStyle w:val="TableParagraph"/>
              <w:spacing w:before="46"/>
              <w:ind w:left="298"/>
              <w:jc w:val="center"/>
              <w:rPr>
                <w:sz w:val="24"/>
              </w:rPr>
            </w:pPr>
            <w:r>
              <w:rPr>
                <w:w w:val="99"/>
                <w:sz w:val="24"/>
              </w:rPr>
              <w:t>i</w:t>
            </w:r>
          </w:p>
        </w:tc>
      </w:tr>
      <w:tr>
        <w:trPr>
          <w:trHeight w:val="386" w:hRule="exact"/>
        </w:trPr>
        <w:tc>
          <w:tcPr>
            <w:tcW w:w="7151" w:type="dxa"/>
          </w:tcPr>
          <w:p>
            <w:pPr>
              <w:pStyle w:val="TableParagraph"/>
              <w:spacing w:before="43"/>
              <w:ind w:left="200"/>
              <w:rPr>
                <w:sz w:val="24"/>
              </w:rPr>
            </w:pPr>
            <w:r>
              <w:rPr>
                <w:sz w:val="24"/>
              </w:rPr>
              <w:t>AGRADECIMIENTOS……………………………………………</w:t>
            </w:r>
          </w:p>
        </w:tc>
        <w:tc>
          <w:tcPr>
            <w:tcW w:w="1478" w:type="dxa"/>
          </w:tcPr>
          <w:p>
            <w:pPr>
              <w:pStyle w:val="TableParagraph"/>
              <w:spacing w:before="43"/>
              <w:ind w:left="470" w:right="177"/>
              <w:jc w:val="center"/>
              <w:rPr>
                <w:sz w:val="24"/>
              </w:rPr>
            </w:pPr>
            <w:r>
              <w:rPr>
                <w:sz w:val="24"/>
              </w:rPr>
              <w:t>ii</w:t>
            </w:r>
          </w:p>
        </w:tc>
      </w:tr>
      <w:tr>
        <w:trPr>
          <w:trHeight w:val="386" w:hRule="exact"/>
        </w:trPr>
        <w:tc>
          <w:tcPr>
            <w:tcW w:w="7151" w:type="dxa"/>
          </w:tcPr>
          <w:p>
            <w:pPr>
              <w:pStyle w:val="TableParagraph"/>
              <w:spacing w:before="41"/>
              <w:ind w:left="200"/>
              <w:rPr>
                <w:sz w:val="24"/>
              </w:rPr>
            </w:pPr>
            <w:r>
              <w:rPr>
                <w:sz w:val="24"/>
              </w:rPr>
              <w:t>INDICE…………………………………………………………….</w:t>
            </w:r>
          </w:p>
        </w:tc>
        <w:tc>
          <w:tcPr>
            <w:tcW w:w="1478" w:type="dxa"/>
          </w:tcPr>
          <w:p>
            <w:pPr>
              <w:pStyle w:val="TableParagraph"/>
              <w:spacing w:before="41"/>
              <w:ind w:left="470" w:right="172"/>
              <w:jc w:val="center"/>
              <w:rPr>
                <w:sz w:val="24"/>
              </w:rPr>
            </w:pPr>
            <w:r>
              <w:rPr>
                <w:sz w:val="24"/>
              </w:rPr>
              <w:t>iv</w:t>
            </w:r>
          </w:p>
        </w:tc>
      </w:tr>
      <w:tr>
        <w:trPr>
          <w:trHeight w:val="389" w:hRule="exact"/>
        </w:trPr>
        <w:tc>
          <w:tcPr>
            <w:tcW w:w="7151" w:type="dxa"/>
          </w:tcPr>
          <w:p>
            <w:pPr>
              <w:pStyle w:val="TableParagraph"/>
              <w:spacing w:before="43"/>
              <w:ind w:left="200"/>
              <w:rPr>
                <w:sz w:val="24"/>
              </w:rPr>
            </w:pPr>
            <w:r>
              <w:rPr>
                <w:sz w:val="24"/>
              </w:rPr>
              <w:t>INDICE DE FIGURAS……………………………………………</w:t>
            </w:r>
          </w:p>
        </w:tc>
        <w:tc>
          <w:tcPr>
            <w:tcW w:w="1478" w:type="dxa"/>
          </w:tcPr>
          <w:p>
            <w:pPr>
              <w:pStyle w:val="TableParagraph"/>
              <w:spacing w:before="43"/>
              <w:ind w:left="470" w:right="177"/>
              <w:jc w:val="center"/>
              <w:rPr>
                <w:sz w:val="24"/>
              </w:rPr>
            </w:pPr>
            <w:r>
              <w:rPr>
                <w:sz w:val="24"/>
              </w:rPr>
              <w:t>vi</w:t>
            </w:r>
          </w:p>
        </w:tc>
      </w:tr>
      <w:tr>
        <w:trPr>
          <w:trHeight w:val="387" w:hRule="exact"/>
        </w:trPr>
        <w:tc>
          <w:tcPr>
            <w:tcW w:w="7151" w:type="dxa"/>
          </w:tcPr>
          <w:p>
            <w:pPr>
              <w:pStyle w:val="TableParagraph"/>
              <w:spacing w:before="44"/>
              <w:ind w:left="200"/>
              <w:rPr>
                <w:sz w:val="24"/>
              </w:rPr>
            </w:pPr>
            <w:r>
              <w:rPr>
                <w:sz w:val="24"/>
              </w:rPr>
              <w:t>ÍNDICE DE TABLAS……………………………………………..</w:t>
            </w:r>
          </w:p>
        </w:tc>
        <w:tc>
          <w:tcPr>
            <w:tcW w:w="1478" w:type="dxa"/>
          </w:tcPr>
          <w:p>
            <w:pPr>
              <w:pStyle w:val="TableParagraph"/>
              <w:spacing w:before="44"/>
              <w:ind w:left="470" w:right="172"/>
              <w:jc w:val="center"/>
              <w:rPr>
                <w:sz w:val="24"/>
              </w:rPr>
            </w:pPr>
            <w:r>
              <w:rPr>
                <w:sz w:val="24"/>
              </w:rPr>
              <w:t>vii</w:t>
            </w:r>
          </w:p>
        </w:tc>
      </w:tr>
      <w:tr>
        <w:trPr>
          <w:trHeight w:val="386" w:hRule="exact"/>
        </w:trPr>
        <w:tc>
          <w:tcPr>
            <w:tcW w:w="7151" w:type="dxa"/>
          </w:tcPr>
          <w:p>
            <w:pPr>
              <w:pStyle w:val="TableParagraph"/>
              <w:spacing w:before="41"/>
              <w:ind w:right="507"/>
              <w:jc w:val="right"/>
              <w:rPr>
                <w:sz w:val="24"/>
              </w:rPr>
            </w:pPr>
            <w:r>
              <w:rPr>
                <w:sz w:val="24"/>
              </w:rPr>
              <w:t>ABSTRACT……………………………………………………</w:t>
            </w:r>
          </w:p>
        </w:tc>
        <w:tc>
          <w:tcPr>
            <w:tcW w:w="1478" w:type="dxa"/>
          </w:tcPr>
          <w:p>
            <w:pPr>
              <w:pStyle w:val="TableParagraph"/>
              <w:spacing w:before="41"/>
              <w:ind w:left="470" w:right="177"/>
              <w:jc w:val="center"/>
              <w:rPr>
                <w:sz w:val="24"/>
              </w:rPr>
            </w:pPr>
            <w:r>
              <w:rPr>
                <w:sz w:val="24"/>
              </w:rPr>
              <w:t>viii</w:t>
            </w:r>
          </w:p>
        </w:tc>
      </w:tr>
      <w:tr>
        <w:trPr>
          <w:trHeight w:val="386" w:hRule="exact"/>
        </w:trPr>
        <w:tc>
          <w:tcPr>
            <w:tcW w:w="7151" w:type="dxa"/>
          </w:tcPr>
          <w:p>
            <w:pPr>
              <w:pStyle w:val="TableParagraph"/>
              <w:spacing w:before="43"/>
              <w:ind w:right="522"/>
              <w:jc w:val="right"/>
              <w:rPr>
                <w:sz w:val="24"/>
              </w:rPr>
            </w:pPr>
            <w:r>
              <w:rPr>
                <w:sz w:val="24"/>
              </w:rPr>
              <w:t>RESUMEN…………………………………………………….</w:t>
            </w:r>
          </w:p>
        </w:tc>
        <w:tc>
          <w:tcPr>
            <w:tcW w:w="1478" w:type="dxa"/>
          </w:tcPr>
          <w:p>
            <w:pPr>
              <w:pStyle w:val="TableParagraph"/>
              <w:spacing w:before="43"/>
              <w:ind w:left="470" w:right="168"/>
              <w:jc w:val="center"/>
              <w:rPr>
                <w:sz w:val="24"/>
              </w:rPr>
            </w:pPr>
            <w:r>
              <w:rPr>
                <w:sz w:val="24"/>
              </w:rPr>
              <w:t>ix</w:t>
            </w:r>
          </w:p>
        </w:tc>
      </w:tr>
      <w:tr>
        <w:trPr>
          <w:trHeight w:val="386" w:hRule="exact"/>
        </w:trPr>
        <w:tc>
          <w:tcPr>
            <w:tcW w:w="7151" w:type="dxa"/>
          </w:tcPr>
          <w:p>
            <w:pPr>
              <w:pStyle w:val="TableParagraph"/>
              <w:spacing w:before="41"/>
              <w:ind w:left="200"/>
              <w:rPr>
                <w:sz w:val="24"/>
              </w:rPr>
            </w:pPr>
            <w:r>
              <w:rPr>
                <w:sz w:val="24"/>
              </w:rPr>
              <w:t>1.  INTRODUCCIÓN……………………………………………..</w:t>
            </w:r>
          </w:p>
        </w:tc>
        <w:tc>
          <w:tcPr>
            <w:tcW w:w="1478" w:type="dxa"/>
          </w:tcPr>
          <w:p>
            <w:pPr>
              <w:pStyle w:val="TableParagraph"/>
              <w:spacing w:before="41"/>
              <w:ind w:left="292"/>
              <w:jc w:val="center"/>
              <w:rPr>
                <w:sz w:val="24"/>
              </w:rPr>
            </w:pPr>
            <w:r>
              <w:rPr>
                <w:w w:val="99"/>
                <w:sz w:val="24"/>
              </w:rPr>
              <w:t>1</w:t>
            </w:r>
          </w:p>
        </w:tc>
      </w:tr>
      <w:tr>
        <w:trPr>
          <w:trHeight w:val="389" w:hRule="exact"/>
        </w:trPr>
        <w:tc>
          <w:tcPr>
            <w:tcW w:w="7151" w:type="dxa"/>
          </w:tcPr>
          <w:p>
            <w:pPr>
              <w:pStyle w:val="TableParagraph"/>
              <w:spacing w:before="43"/>
              <w:ind w:left="200"/>
              <w:rPr>
                <w:sz w:val="24"/>
              </w:rPr>
            </w:pPr>
            <w:r>
              <w:rPr>
                <w:sz w:val="24"/>
              </w:rPr>
              <w:t>2.  REVISIÓN DE LITERATURA……………………………….</w:t>
            </w:r>
          </w:p>
        </w:tc>
        <w:tc>
          <w:tcPr>
            <w:tcW w:w="1478" w:type="dxa"/>
          </w:tcPr>
          <w:p>
            <w:pPr>
              <w:pStyle w:val="TableParagraph"/>
              <w:spacing w:before="43"/>
              <w:ind w:left="292"/>
              <w:jc w:val="center"/>
              <w:rPr>
                <w:sz w:val="24"/>
              </w:rPr>
            </w:pPr>
            <w:r>
              <w:rPr>
                <w:w w:val="99"/>
                <w:sz w:val="24"/>
              </w:rPr>
              <w:t>3</w:t>
            </w:r>
          </w:p>
        </w:tc>
      </w:tr>
      <w:tr>
        <w:trPr>
          <w:trHeight w:val="387" w:hRule="exact"/>
        </w:trPr>
        <w:tc>
          <w:tcPr>
            <w:tcW w:w="7151" w:type="dxa"/>
          </w:tcPr>
          <w:p>
            <w:pPr>
              <w:pStyle w:val="TableParagraph"/>
              <w:spacing w:before="44"/>
              <w:ind w:right="491"/>
              <w:jc w:val="right"/>
              <w:rPr>
                <w:sz w:val="24"/>
              </w:rPr>
            </w:pPr>
            <w:r>
              <w:rPr>
                <w:sz w:val="24"/>
              </w:rPr>
              <w:t>2.1 Etiología…………………………………………………..</w:t>
            </w:r>
          </w:p>
        </w:tc>
        <w:tc>
          <w:tcPr>
            <w:tcW w:w="1478" w:type="dxa"/>
          </w:tcPr>
          <w:p>
            <w:pPr>
              <w:pStyle w:val="TableParagraph"/>
              <w:spacing w:before="44"/>
              <w:ind w:left="292"/>
              <w:jc w:val="center"/>
              <w:rPr>
                <w:sz w:val="24"/>
              </w:rPr>
            </w:pPr>
            <w:r>
              <w:rPr>
                <w:w w:val="99"/>
                <w:sz w:val="24"/>
              </w:rPr>
              <w:t>3</w:t>
            </w:r>
          </w:p>
        </w:tc>
      </w:tr>
      <w:tr>
        <w:trPr>
          <w:trHeight w:val="386" w:hRule="exact"/>
        </w:trPr>
        <w:tc>
          <w:tcPr>
            <w:tcW w:w="7151" w:type="dxa"/>
          </w:tcPr>
          <w:p>
            <w:pPr>
              <w:pStyle w:val="TableParagraph"/>
              <w:spacing w:before="41"/>
              <w:ind w:right="537"/>
              <w:jc w:val="right"/>
              <w:rPr>
                <w:sz w:val="24"/>
              </w:rPr>
            </w:pPr>
            <w:r>
              <w:rPr>
                <w:sz w:val="24"/>
              </w:rPr>
              <w:t>2.2 Epidemiologia……………………………………………</w:t>
            </w:r>
          </w:p>
        </w:tc>
        <w:tc>
          <w:tcPr>
            <w:tcW w:w="1478" w:type="dxa"/>
          </w:tcPr>
          <w:p>
            <w:pPr>
              <w:pStyle w:val="TableParagraph"/>
              <w:spacing w:before="41"/>
              <w:ind w:left="292"/>
              <w:jc w:val="center"/>
              <w:rPr>
                <w:sz w:val="24"/>
              </w:rPr>
            </w:pPr>
            <w:r>
              <w:rPr>
                <w:w w:val="99"/>
                <w:sz w:val="24"/>
              </w:rPr>
              <w:t>3</w:t>
            </w:r>
          </w:p>
        </w:tc>
      </w:tr>
      <w:tr>
        <w:trPr>
          <w:trHeight w:val="389" w:hRule="exact"/>
        </w:trPr>
        <w:tc>
          <w:tcPr>
            <w:tcW w:w="7151" w:type="dxa"/>
          </w:tcPr>
          <w:p>
            <w:pPr>
              <w:pStyle w:val="TableParagraph"/>
              <w:spacing w:before="43"/>
              <w:ind w:right="525"/>
              <w:jc w:val="right"/>
              <w:rPr>
                <w:sz w:val="24"/>
              </w:rPr>
            </w:pPr>
            <w:r>
              <w:rPr>
                <w:sz w:val="24"/>
              </w:rPr>
              <w:t>2.3 Patogenia………………………………………………...</w:t>
            </w:r>
          </w:p>
        </w:tc>
        <w:tc>
          <w:tcPr>
            <w:tcW w:w="1478" w:type="dxa"/>
          </w:tcPr>
          <w:p>
            <w:pPr>
              <w:pStyle w:val="TableParagraph"/>
              <w:spacing w:before="43"/>
              <w:ind w:left="292"/>
              <w:jc w:val="center"/>
              <w:rPr>
                <w:sz w:val="24"/>
              </w:rPr>
            </w:pPr>
            <w:r>
              <w:rPr>
                <w:w w:val="99"/>
                <w:sz w:val="24"/>
              </w:rPr>
              <w:t>5</w:t>
            </w:r>
          </w:p>
        </w:tc>
      </w:tr>
      <w:tr>
        <w:trPr>
          <w:trHeight w:val="387" w:hRule="exact"/>
        </w:trPr>
        <w:tc>
          <w:tcPr>
            <w:tcW w:w="7151" w:type="dxa"/>
          </w:tcPr>
          <w:p>
            <w:pPr>
              <w:pStyle w:val="TableParagraph"/>
              <w:spacing w:before="43"/>
              <w:ind w:left="627"/>
              <w:rPr>
                <w:sz w:val="24"/>
              </w:rPr>
            </w:pPr>
            <w:r>
              <w:rPr>
                <w:sz w:val="24"/>
              </w:rPr>
              <w:t>2.4 Semiología………………………………………………</w:t>
            </w:r>
          </w:p>
        </w:tc>
        <w:tc>
          <w:tcPr>
            <w:tcW w:w="1478" w:type="dxa"/>
          </w:tcPr>
          <w:p>
            <w:pPr>
              <w:pStyle w:val="TableParagraph"/>
              <w:spacing w:before="43"/>
              <w:ind w:left="292"/>
              <w:jc w:val="center"/>
              <w:rPr>
                <w:sz w:val="24"/>
              </w:rPr>
            </w:pPr>
            <w:r>
              <w:rPr>
                <w:w w:val="99"/>
                <w:sz w:val="24"/>
              </w:rPr>
              <w:t>7</w:t>
            </w:r>
          </w:p>
        </w:tc>
      </w:tr>
      <w:tr>
        <w:trPr>
          <w:trHeight w:val="387" w:hRule="exact"/>
        </w:trPr>
        <w:tc>
          <w:tcPr>
            <w:tcW w:w="7151" w:type="dxa"/>
          </w:tcPr>
          <w:p>
            <w:pPr>
              <w:pStyle w:val="TableParagraph"/>
              <w:spacing w:before="41"/>
              <w:ind w:right="505"/>
              <w:jc w:val="right"/>
              <w:rPr>
                <w:sz w:val="24"/>
              </w:rPr>
            </w:pPr>
            <w:r>
              <w:rPr>
                <w:sz w:val="24"/>
              </w:rPr>
              <w:t>2.5 lesiones histopatológicas……………………………….</w:t>
            </w:r>
          </w:p>
        </w:tc>
        <w:tc>
          <w:tcPr>
            <w:tcW w:w="1478" w:type="dxa"/>
          </w:tcPr>
          <w:p>
            <w:pPr>
              <w:pStyle w:val="TableParagraph"/>
              <w:spacing w:before="41"/>
              <w:ind w:left="292"/>
              <w:jc w:val="center"/>
              <w:rPr>
                <w:sz w:val="24"/>
              </w:rPr>
            </w:pPr>
            <w:r>
              <w:rPr>
                <w:w w:val="99"/>
                <w:sz w:val="24"/>
              </w:rPr>
              <w:t>8</w:t>
            </w:r>
          </w:p>
        </w:tc>
      </w:tr>
      <w:tr>
        <w:trPr>
          <w:trHeight w:val="386" w:hRule="exact"/>
        </w:trPr>
        <w:tc>
          <w:tcPr>
            <w:tcW w:w="7151" w:type="dxa"/>
          </w:tcPr>
          <w:p>
            <w:pPr>
              <w:pStyle w:val="TableParagraph"/>
              <w:spacing w:before="43"/>
              <w:ind w:right="551"/>
              <w:jc w:val="right"/>
              <w:rPr>
                <w:sz w:val="24"/>
              </w:rPr>
            </w:pPr>
            <w:r>
              <w:rPr>
                <w:sz w:val="24"/>
              </w:rPr>
              <w:t>2.6 Diagnóstico………………………………………………</w:t>
            </w:r>
          </w:p>
        </w:tc>
        <w:tc>
          <w:tcPr>
            <w:tcW w:w="1478" w:type="dxa"/>
          </w:tcPr>
          <w:p>
            <w:pPr>
              <w:pStyle w:val="TableParagraph"/>
              <w:spacing w:before="43"/>
              <w:ind w:left="292"/>
              <w:jc w:val="center"/>
              <w:rPr>
                <w:sz w:val="24"/>
              </w:rPr>
            </w:pPr>
            <w:r>
              <w:rPr>
                <w:w w:val="99"/>
                <w:sz w:val="24"/>
              </w:rPr>
              <w:t>9</w:t>
            </w:r>
          </w:p>
        </w:tc>
      </w:tr>
      <w:tr>
        <w:trPr>
          <w:trHeight w:val="386" w:hRule="exact"/>
        </w:trPr>
        <w:tc>
          <w:tcPr>
            <w:tcW w:w="7151" w:type="dxa"/>
          </w:tcPr>
          <w:p>
            <w:pPr>
              <w:pStyle w:val="TableParagraph"/>
              <w:spacing w:before="41"/>
              <w:ind w:right="523"/>
              <w:jc w:val="right"/>
              <w:rPr>
                <w:sz w:val="24"/>
              </w:rPr>
            </w:pPr>
            <w:r>
              <w:rPr>
                <w:sz w:val="24"/>
              </w:rPr>
              <w:t>2.7 Propiedades del Virión………………………………….</w:t>
            </w:r>
          </w:p>
        </w:tc>
        <w:tc>
          <w:tcPr>
            <w:tcW w:w="1478" w:type="dxa"/>
          </w:tcPr>
          <w:p>
            <w:pPr>
              <w:pStyle w:val="TableParagraph"/>
              <w:spacing w:before="41"/>
              <w:ind w:left="470" w:right="177"/>
              <w:jc w:val="center"/>
              <w:rPr>
                <w:sz w:val="24"/>
              </w:rPr>
            </w:pPr>
            <w:r>
              <w:rPr>
                <w:sz w:val="24"/>
              </w:rPr>
              <w:t>11</w:t>
            </w:r>
          </w:p>
        </w:tc>
      </w:tr>
      <w:tr>
        <w:trPr>
          <w:trHeight w:val="389" w:hRule="exact"/>
        </w:trPr>
        <w:tc>
          <w:tcPr>
            <w:tcW w:w="7151" w:type="dxa"/>
          </w:tcPr>
          <w:p>
            <w:pPr>
              <w:pStyle w:val="TableParagraph"/>
              <w:spacing w:before="43"/>
              <w:ind w:right="537"/>
              <w:jc w:val="right"/>
              <w:rPr>
                <w:sz w:val="24"/>
              </w:rPr>
            </w:pPr>
            <w:r>
              <w:rPr>
                <w:sz w:val="24"/>
              </w:rPr>
              <w:t>2.8 Replicación viral…………………………………………</w:t>
            </w:r>
          </w:p>
        </w:tc>
        <w:tc>
          <w:tcPr>
            <w:tcW w:w="1478" w:type="dxa"/>
          </w:tcPr>
          <w:p>
            <w:pPr>
              <w:pStyle w:val="TableParagraph"/>
              <w:spacing w:before="43"/>
              <w:ind w:left="470" w:right="177"/>
              <w:jc w:val="center"/>
              <w:rPr>
                <w:sz w:val="24"/>
              </w:rPr>
            </w:pPr>
            <w:r>
              <w:rPr>
                <w:sz w:val="24"/>
              </w:rPr>
              <w:t>13</w:t>
            </w:r>
          </w:p>
        </w:tc>
      </w:tr>
      <w:tr>
        <w:trPr>
          <w:trHeight w:val="387" w:hRule="exact"/>
        </w:trPr>
        <w:tc>
          <w:tcPr>
            <w:tcW w:w="7151" w:type="dxa"/>
          </w:tcPr>
          <w:p>
            <w:pPr>
              <w:pStyle w:val="TableParagraph"/>
              <w:spacing w:before="44"/>
              <w:ind w:left="200"/>
              <w:rPr>
                <w:sz w:val="24"/>
              </w:rPr>
            </w:pPr>
            <w:r>
              <w:rPr>
                <w:sz w:val="24"/>
              </w:rPr>
              <w:t>3.  JUSTIFICACIÓN……………………………………………...</w:t>
            </w:r>
          </w:p>
        </w:tc>
        <w:tc>
          <w:tcPr>
            <w:tcW w:w="1478" w:type="dxa"/>
          </w:tcPr>
          <w:p>
            <w:pPr>
              <w:pStyle w:val="TableParagraph"/>
              <w:spacing w:before="44"/>
              <w:ind w:left="470" w:right="177"/>
              <w:jc w:val="center"/>
              <w:rPr>
                <w:sz w:val="24"/>
              </w:rPr>
            </w:pPr>
            <w:r>
              <w:rPr>
                <w:sz w:val="24"/>
              </w:rPr>
              <w:t>16</w:t>
            </w:r>
          </w:p>
        </w:tc>
      </w:tr>
      <w:tr>
        <w:trPr>
          <w:trHeight w:val="386" w:hRule="exact"/>
        </w:trPr>
        <w:tc>
          <w:tcPr>
            <w:tcW w:w="7151" w:type="dxa"/>
          </w:tcPr>
          <w:p>
            <w:pPr>
              <w:pStyle w:val="TableParagraph"/>
              <w:spacing w:before="41"/>
              <w:ind w:left="200"/>
              <w:rPr>
                <w:sz w:val="24"/>
              </w:rPr>
            </w:pPr>
            <w:r>
              <w:rPr>
                <w:sz w:val="24"/>
              </w:rPr>
              <w:t>4.  HIPÓTESIS……………………………………………………</w:t>
            </w:r>
          </w:p>
        </w:tc>
        <w:tc>
          <w:tcPr>
            <w:tcW w:w="1478" w:type="dxa"/>
          </w:tcPr>
          <w:p>
            <w:pPr>
              <w:pStyle w:val="TableParagraph"/>
              <w:spacing w:before="41"/>
              <w:ind w:left="470" w:right="177"/>
              <w:jc w:val="center"/>
              <w:rPr>
                <w:sz w:val="24"/>
              </w:rPr>
            </w:pPr>
            <w:r>
              <w:rPr>
                <w:sz w:val="24"/>
              </w:rPr>
              <w:t>17</w:t>
            </w:r>
          </w:p>
        </w:tc>
      </w:tr>
      <w:tr>
        <w:trPr>
          <w:trHeight w:val="389" w:hRule="exact"/>
        </w:trPr>
        <w:tc>
          <w:tcPr>
            <w:tcW w:w="7151" w:type="dxa"/>
          </w:tcPr>
          <w:p>
            <w:pPr>
              <w:pStyle w:val="TableParagraph"/>
              <w:spacing w:before="43"/>
              <w:ind w:left="200"/>
              <w:rPr>
                <w:sz w:val="24"/>
              </w:rPr>
            </w:pPr>
            <w:r>
              <w:rPr>
                <w:sz w:val="24"/>
              </w:rPr>
              <w:t>5.  OBJETIVOS…………………………………………………..</w:t>
            </w:r>
          </w:p>
        </w:tc>
        <w:tc>
          <w:tcPr>
            <w:tcW w:w="1478" w:type="dxa"/>
          </w:tcPr>
          <w:p>
            <w:pPr>
              <w:pStyle w:val="TableParagraph"/>
              <w:spacing w:before="43"/>
              <w:ind w:left="470" w:right="177"/>
              <w:jc w:val="center"/>
              <w:rPr>
                <w:sz w:val="24"/>
              </w:rPr>
            </w:pPr>
            <w:r>
              <w:rPr>
                <w:sz w:val="24"/>
              </w:rPr>
              <w:t>18</w:t>
            </w:r>
          </w:p>
        </w:tc>
      </w:tr>
      <w:tr>
        <w:trPr>
          <w:trHeight w:val="386" w:hRule="exact"/>
        </w:trPr>
        <w:tc>
          <w:tcPr>
            <w:tcW w:w="7151" w:type="dxa"/>
          </w:tcPr>
          <w:p>
            <w:pPr>
              <w:pStyle w:val="TableParagraph"/>
              <w:spacing w:before="43"/>
              <w:ind w:left="200"/>
              <w:rPr>
                <w:sz w:val="24"/>
              </w:rPr>
            </w:pPr>
            <w:r>
              <w:rPr>
                <w:sz w:val="24"/>
              </w:rPr>
              <w:t>6.  MATERIALES Y METODOS………………………………..</w:t>
            </w:r>
          </w:p>
        </w:tc>
        <w:tc>
          <w:tcPr>
            <w:tcW w:w="1478" w:type="dxa"/>
          </w:tcPr>
          <w:p>
            <w:pPr>
              <w:pStyle w:val="TableParagraph"/>
              <w:spacing w:before="43"/>
              <w:ind w:left="470" w:right="177"/>
              <w:jc w:val="center"/>
              <w:rPr>
                <w:sz w:val="24"/>
              </w:rPr>
            </w:pPr>
            <w:r>
              <w:rPr>
                <w:sz w:val="24"/>
              </w:rPr>
              <w:t>19</w:t>
            </w:r>
          </w:p>
        </w:tc>
      </w:tr>
      <w:tr>
        <w:trPr>
          <w:trHeight w:val="387" w:hRule="exact"/>
        </w:trPr>
        <w:tc>
          <w:tcPr>
            <w:tcW w:w="7151" w:type="dxa"/>
          </w:tcPr>
          <w:p>
            <w:pPr>
              <w:pStyle w:val="TableParagraph"/>
              <w:spacing w:before="41"/>
              <w:ind w:right="491"/>
              <w:jc w:val="right"/>
              <w:rPr>
                <w:sz w:val="24"/>
              </w:rPr>
            </w:pPr>
            <w:r>
              <w:rPr>
                <w:sz w:val="24"/>
              </w:rPr>
              <w:t>6.1 Diagnóstico clínico……………………………………..</w:t>
            </w:r>
          </w:p>
        </w:tc>
        <w:tc>
          <w:tcPr>
            <w:tcW w:w="1478" w:type="dxa"/>
          </w:tcPr>
          <w:p>
            <w:pPr>
              <w:pStyle w:val="TableParagraph"/>
              <w:spacing w:before="41"/>
              <w:ind w:left="470" w:right="177"/>
              <w:jc w:val="center"/>
              <w:rPr>
                <w:sz w:val="24"/>
              </w:rPr>
            </w:pPr>
            <w:r>
              <w:rPr>
                <w:sz w:val="24"/>
              </w:rPr>
              <w:t>20</w:t>
            </w:r>
          </w:p>
        </w:tc>
      </w:tr>
      <w:tr>
        <w:trPr>
          <w:trHeight w:val="387" w:hRule="exact"/>
        </w:trPr>
        <w:tc>
          <w:tcPr>
            <w:tcW w:w="7151" w:type="dxa"/>
          </w:tcPr>
          <w:p>
            <w:pPr>
              <w:pStyle w:val="TableParagraph"/>
              <w:spacing w:before="44"/>
              <w:ind w:right="519"/>
              <w:jc w:val="right"/>
              <w:rPr>
                <w:sz w:val="24"/>
              </w:rPr>
            </w:pPr>
            <w:r>
              <w:rPr>
                <w:sz w:val="24"/>
              </w:rPr>
              <w:t>6.2 Hemograma…………………………………………….</w:t>
            </w:r>
          </w:p>
        </w:tc>
        <w:tc>
          <w:tcPr>
            <w:tcW w:w="1478" w:type="dxa"/>
          </w:tcPr>
          <w:p>
            <w:pPr>
              <w:pStyle w:val="TableParagraph"/>
              <w:spacing w:before="44"/>
              <w:ind w:left="470" w:right="177"/>
              <w:jc w:val="center"/>
              <w:rPr>
                <w:sz w:val="24"/>
              </w:rPr>
            </w:pPr>
            <w:r>
              <w:rPr>
                <w:sz w:val="24"/>
              </w:rPr>
              <w:t>20</w:t>
            </w:r>
          </w:p>
        </w:tc>
      </w:tr>
      <w:tr>
        <w:trPr>
          <w:trHeight w:val="386" w:hRule="exact"/>
        </w:trPr>
        <w:tc>
          <w:tcPr>
            <w:tcW w:w="7151" w:type="dxa"/>
          </w:tcPr>
          <w:p>
            <w:pPr>
              <w:pStyle w:val="TableParagraph"/>
              <w:spacing w:before="41"/>
              <w:ind w:right="528"/>
              <w:jc w:val="right"/>
              <w:rPr>
                <w:sz w:val="24"/>
              </w:rPr>
            </w:pPr>
            <w:r>
              <w:rPr>
                <w:sz w:val="24"/>
              </w:rPr>
              <w:t>6.3 Extracción de DNA…………………………………….</w:t>
            </w:r>
          </w:p>
        </w:tc>
        <w:tc>
          <w:tcPr>
            <w:tcW w:w="1478" w:type="dxa"/>
          </w:tcPr>
          <w:p>
            <w:pPr>
              <w:pStyle w:val="TableParagraph"/>
              <w:spacing w:before="41"/>
              <w:ind w:left="470" w:right="177"/>
              <w:jc w:val="center"/>
              <w:rPr>
                <w:sz w:val="24"/>
              </w:rPr>
            </w:pPr>
            <w:r>
              <w:rPr>
                <w:sz w:val="24"/>
              </w:rPr>
              <w:t>20</w:t>
            </w:r>
          </w:p>
        </w:tc>
      </w:tr>
      <w:tr>
        <w:trPr>
          <w:trHeight w:val="389" w:hRule="exact"/>
        </w:trPr>
        <w:tc>
          <w:tcPr>
            <w:tcW w:w="7151" w:type="dxa"/>
          </w:tcPr>
          <w:p>
            <w:pPr>
              <w:pStyle w:val="TableParagraph"/>
              <w:spacing w:before="43"/>
              <w:ind w:right="524"/>
              <w:jc w:val="right"/>
              <w:rPr>
                <w:sz w:val="24"/>
              </w:rPr>
            </w:pPr>
            <w:r>
              <w:rPr>
                <w:sz w:val="24"/>
              </w:rPr>
              <w:t>6.4 Amplificación PCR simple…………………………….</w:t>
            </w:r>
          </w:p>
        </w:tc>
        <w:tc>
          <w:tcPr>
            <w:tcW w:w="1478" w:type="dxa"/>
          </w:tcPr>
          <w:p>
            <w:pPr>
              <w:pStyle w:val="TableParagraph"/>
              <w:spacing w:before="43"/>
              <w:ind w:left="470" w:right="177"/>
              <w:jc w:val="center"/>
              <w:rPr>
                <w:sz w:val="24"/>
              </w:rPr>
            </w:pPr>
            <w:r>
              <w:rPr>
                <w:sz w:val="24"/>
              </w:rPr>
              <w:t>21</w:t>
            </w:r>
          </w:p>
        </w:tc>
      </w:tr>
      <w:tr>
        <w:trPr>
          <w:trHeight w:val="387" w:hRule="exact"/>
        </w:trPr>
        <w:tc>
          <w:tcPr>
            <w:tcW w:w="7151" w:type="dxa"/>
          </w:tcPr>
          <w:p>
            <w:pPr>
              <w:pStyle w:val="TableParagraph"/>
              <w:spacing w:before="43"/>
              <w:ind w:right="543"/>
              <w:jc w:val="right"/>
              <w:rPr>
                <w:sz w:val="24"/>
              </w:rPr>
            </w:pPr>
            <w:r>
              <w:rPr>
                <w:sz w:val="24"/>
              </w:rPr>
              <w:t>6.5 Amplificación PCR anidada…………………………..</w:t>
            </w:r>
          </w:p>
        </w:tc>
        <w:tc>
          <w:tcPr>
            <w:tcW w:w="1478" w:type="dxa"/>
          </w:tcPr>
          <w:p>
            <w:pPr>
              <w:pStyle w:val="TableParagraph"/>
              <w:spacing w:before="43"/>
              <w:ind w:left="470" w:right="177"/>
              <w:jc w:val="center"/>
              <w:rPr>
                <w:sz w:val="24"/>
              </w:rPr>
            </w:pPr>
            <w:r>
              <w:rPr>
                <w:sz w:val="24"/>
              </w:rPr>
              <w:t>22</w:t>
            </w:r>
          </w:p>
        </w:tc>
      </w:tr>
      <w:tr>
        <w:trPr>
          <w:trHeight w:val="387" w:hRule="exact"/>
        </w:trPr>
        <w:tc>
          <w:tcPr>
            <w:tcW w:w="7151" w:type="dxa"/>
          </w:tcPr>
          <w:p>
            <w:pPr>
              <w:pStyle w:val="TableParagraph"/>
              <w:spacing w:before="41"/>
              <w:ind w:right="519"/>
              <w:jc w:val="right"/>
              <w:rPr>
                <w:sz w:val="24"/>
              </w:rPr>
            </w:pPr>
            <w:r>
              <w:rPr>
                <w:sz w:val="24"/>
              </w:rPr>
              <w:t>6.6 Inmunocromatografía………………………………….</w:t>
            </w:r>
          </w:p>
        </w:tc>
        <w:tc>
          <w:tcPr>
            <w:tcW w:w="1478" w:type="dxa"/>
          </w:tcPr>
          <w:p>
            <w:pPr>
              <w:pStyle w:val="TableParagraph"/>
              <w:spacing w:before="41"/>
              <w:ind w:left="470" w:right="177"/>
              <w:jc w:val="center"/>
              <w:rPr>
                <w:sz w:val="24"/>
              </w:rPr>
            </w:pPr>
            <w:r>
              <w:rPr>
                <w:sz w:val="24"/>
              </w:rPr>
              <w:t>24</w:t>
            </w:r>
          </w:p>
        </w:tc>
      </w:tr>
      <w:tr>
        <w:trPr>
          <w:trHeight w:val="314" w:hRule="exact"/>
        </w:trPr>
        <w:tc>
          <w:tcPr>
            <w:tcW w:w="7151" w:type="dxa"/>
          </w:tcPr>
          <w:p>
            <w:pPr>
              <w:pStyle w:val="TableParagraph"/>
              <w:spacing w:before="43"/>
              <w:ind w:right="571"/>
              <w:jc w:val="right"/>
              <w:rPr>
                <w:sz w:val="24"/>
              </w:rPr>
            </w:pPr>
            <w:r>
              <w:rPr>
                <w:sz w:val="24"/>
              </w:rPr>
              <w:t>6.7 Análisis de datos………………………………………</w:t>
            </w:r>
          </w:p>
        </w:tc>
        <w:tc>
          <w:tcPr>
            <w:tcW w:w="1478" w:type="dxa"/>
          </w:tcPr>
          <w:p>
            <w:pPr>
              <w:pStyle w:val="TableParagraph"/>
              <w:spacing w:before="43"/>
              <w:ind w:left="470" w:right="177"/>
              <w:jc w:val="center"/>
              <w:rPr>
                <w:sz w:val="24"/>
              </w:rPr>
            </w:pPr>
            <w:r>
              <w:rPr>
                <w:sz w:val="24"/>
              </w:rPr>
              <w:t>24</w:t>
            </w:r>
          </w:p>
        </w:tc>
      </w:tr>
    </w:tbl>
    <w:p>
      <w:pPr>
        <w:spacing w:after="0"/>
        <w:jc w:val="center"/>
        <w:rPr>
          <w:sz w:val="24"/>
        </w:rPr>
        <w:sectPr>
          <w:pgSz w:w="12240" w:h="15840"/>
          <w:pgMar w:header="1154" w:footer="1713" w:top="1520" w:bottom="1900" w:left="1720" w:right="1380"/>
        </w:sectPr>
      </w:pPr>
    </w:p>
    <w:tbl>
      <w:tblPr>
        <w:tblW w:w="0" w:type="auto"/>
        <w:jc w:val="left"/>
        <w:tblInd w:w="1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16"/>
        <w:gridCol w:w="1099"/>
      </w:tblGrid>
      <w:tr>
        <w:trPr>
          <w:trHeight w:val="682" w:hRule="exact"/>
        </w:trPr>
        <w:tc>
          <w:tcPr>
            <w:tcW w:w="7316" w:type="dxa"/>
          </w:tcPr>
          <w:p>
            <w:pPr>
              <w:pStyle w:val="TableParagraph"/>
              <w:spacing w:before="3"/>
              <w:rPr>
                <w:rFonts w:ascii="Times New Roman"/>
                <w:sz w:val="29"/>
              </w:rPr>
            </w:pPr>
          </w:p>
          <w:p>
            <w:pPr>
              <w:pStyle w:val="TableParagraph"/>
              <w:ind w:right="677"/>
              <w:jc w:val="right"/>
              <w:rPr>
                <w:sz w:val="24"/>
              </w:rPr>
            </w:pPr>
            <w:r>
              <w:rPr>
                <w:sz w:val="24"/>
              </w:rPr>
              <w:t>6.8 Excreción de partículas virales vacunales………….</w:t>
            </w:r>
          </w:p>
        </w:tc>
        <w:tc>
          <w:tcPr>
            <w:tcW w:w="1099" w:type="dxa"/>
          </w:tcPr>
          <w:p>
            <w:pPr>
              <w:pStyle w:val="TableParagraph"/>
              <w:spacing w:before="3"/>
              <w:rPr>
                <w:rFonts w:ascii="Times New Roman"/>
                <w:sz w:val="29"/>
              </w:rPr>
            </w:pPr>
          </w:p>
          <w:p>
            <w:pPr>
              <w:pStyle w:val="TableParagraph"/>
              <w:ind w:right="199"/>
              <w:jc w:val="right"/>
              <w:rPr>
                <w:sz w:val="24"/>
              </w:rPr>
            </w:pPr>
            <w:r>
              <w:rPr>
                <w:sz w:val="24"/>
              </w:rPr>
              <w:t>24</w:t>
            </w:r>
          </w:p>
        </w:tc>
      </w:tr>
      <w:tr>
        <w:trPr>
          <w:trHeight w:val="389" w:hRule="exact"/>
        </w:trPr>
        <w:tc>
          <w:tcPr>
            <w:tcW w:w="7316" w:type="dxa"/>
          </w:tcPr>
          <w:p>
            <w:pPr>
              <w:pStyle w:val="TableParagraph"/>
              <w:spacing w:before="43"/>
              <w:ind w:right="664"/>
              <w:jc w:val="right"/>
              <w:rPr>
                <w:sz w:val="24"/>
              </w:rPr>
            </w:pPr>
            <w:r>
              <w:rPr>
                <w:sz w:val="24"/>
              </w:rPr>
              <w:t>6.9 Desafío con virus de campo………………………….</w:t>
            </w:r>
          </w:p>
        </w:tc>
        <w:tc>
          <w:tcPr>
            <w:tcW w:w="1099" w:type="dxa"/>
          </w:tcPr>
          <w:p>
            <w:pPr>
              <w:pStyle w:val="TableParagraph"/>
              <w:spacing w:before="43"/>
              <w:ind w:right="199"/>
              <w:jc w:val="right"/>
              <w:rPr>
                <w:sz w:val="24"/>
              </w:rPr>
            </w:pPr>
            <w:r>
              <w:rPr>
                <w:sz w:val="24"/>
              </w:rPr>
              <w:t>25</w:t>
            </w:r>
          </w:p>
        </w:tc>
      </w:tr>
      <w:tr>
        <w:trPr>
          <w:trHeight w:val="387" w:hRule="exact"/>
        </w:trPr>
        <w:tc>
          <w:tcPr>
            <w:tcW w:w="7316" w:type="dxa"/>
          </w:tcPr>
          <w:p>
            <w:pPr>
              <w:pStyle w:val="TableParagraph"/>
              <w:tabs>
                <w:tab w:pos="427" w:val="left" w:leader="none"/>
              </w:tabs>
              <w:spacing w:before="44"/>
              <w:ind w:right="628"/>
              <w:jc w:val="right"/>
              <w:rPr>
                <w:sz w:val="24"/>
              </w:rPr>
            </w:pPr>
            <w:r>
              <w:rPr>
                <w:sz w:val="24"/>
              </w:rPr>
              <w:t>7.</w:t>
              <w:tab/>
              <w:t>RESULTADOS</w:t>
            </w:r>
            <w:r>
              <w:rPr>
                <w:spacing w:val="-2"/>
                <w:sz w:val="24"/>
              </w:rPr>
              <w:t> </w:t>
            </w:r>
            <w:r>
              <w:rPr>
                <w:sz w:val="24"/>
              </w:rPr>
              <w:t>………………………………………………</w:t>
            </w:r>
          </w:p>
        </w:tc>
        <w:tc>
          <w:tcPr>
            <w:tcW w:w="1099" w:type="dxa"/>
          </w:tcPr>
          <w:p>
            <w:pPr>
              <w:pStyle w:val="TableParagraph"/>
              <w:spacing w:before="44"/>
              <w:ind w:right="199"/>
              <w:jc w:val="right"/>
              <w:rPr>
                <w:sz w:val="24"/>
              </w:rPr>
            </w:pPr>
            <w:r>
              <w:rPr>
                <w:sz w:val="24"/>
              </w:rPr>
              <w:t>27</w:t>
            </w:r>
          </w:p>
        </w:tc>
      </w:tr>
      <w:tr>
        <w:trPr>
          <w:trHeight w:val="386" w:hRule="exact"/>
        </w:trPr>
        <w:tc>
          <w:tcPr>
            <w:tcW w:w="7316" w:type="dxa"/>
          </w:tcPr>
          <w:p>
            <w:pPr>
              <w:pStyle w:val="TableParagraph"/>
              <w:spacing w:before="41"/>
              <w:ind w:right="718"/>
              <w:jc w:val="right"/>
              <w:rPr>
                <w:sz w:val="24"/>
              </w:rPr>
            </w:pPr>
            <w:r>
              <w:rPr>
                <w:sz w:val="24"/>
              </w:rPr>
              <w:t>7.1 Articulo recibido y en revisión…………………………</w:t>
            </w:r>
          </w:p>
        </w:tc>
        <w:tc>
          <w:tcPr>
            <w:tcW w:w="1099" w:type="dxa"/>
          </w:tcPr>
          <w:p>
            <w:pPr>
              <w:pStyle w:val="TableParagraph"/>
              <w:spacing w:before="41"/>
              <w:ind w:right="199"/>
              <w:jc w:val="right"/>
              <w:rPr>
                <w:sz w:val="24"/>
              </w:rPr>
            </w:pPr>
            <w:r>
              <w:rPr>
                <w:sz w:val="24"/>
              </w:rPr>
              <w:t>27</w:t>
            </w:r>
          </w:p>
        </w:tc>
      </w:tr>
      <w:tr>
        <w:trPr>
          <w:trHeight w:val="389" w:hRule="exact"/>
        </w:trPr>
        <w:tc>
          <w:tcPr>
            <w:tcW w:w="7316" w:type="dxa"/>
          </w:tcPr>
          <w:p>
            <w:pPr>
              <w:pStyle w:val="TableParagraph"/>
              <w:spacing w:before="43"/>
              <w:ind w:right="697"/>
              <w:jc w:val="right"/>
              <w:rPr>
                <w:sz w:val="24"/>
              </w:rPr>
            </w:pPr>
            <w:r>
              <w:rPr>
                <w:sz w:val="24"/>
              </w:rPr>
              <w:t>7.2 Resultados encuestas………………………………….</w:t>
            </w:r>
          </w:p>
        </w:tc>
        <w:tc>
          <w:tcPr>
            <w:tcW w:w="1099" w:type="dxa"/>
          </w:tcPr>
          <w:p>
            <w:pPr>
              <w:pStyle w:val="TableParagraph"/>
              <w:spacing w:before="43"/>
              <w:ind w:right="199"/>
              <w:jc w:val="right"/>
              <w:rPr>
                <w:sz w:val="24"/>
              </w:rPr>
            </w:pPr>
            <w:r>
              <w:rPr>
                <w:sz w:val="24"/>
              </w:rPr>
              <w:t>49</w:t>
            </w:r>
          </w:p>
        </w:tc>
      </w:tr>
      <w:tr>
        <w:trPr>
          <w:trHeight w:val="387" w:hRule="exact"/>
        </w:trPr>
        <w:tc>
          <w:tcPr>
            <w:tcW w:w="7316" w:type="dxa"/>
          </w:tcPr>
          <w:p>
            <w:pPr>
              <w:pStyle w:val="TableParagraph"/>
              <w:spacing w:before="43"/>
              <w:ind w:right="643"/>
              <w:jc w:val="right"/>
              <w:rPr>
                <w:sz w:val="24"/>
              </w:rPr>
            </w:pPr>
            <w:r>
              <w:rPr>
                <w:sz w:val="24"/>
              </w:rPr>
              <w:t>7.3 Diagnóstico clínico………………………………………</w:t>
            </w:r>
          </w:p>
        </w:tc>
        <w:tc>
          <w:tcPr>
            <w:tcW w:w="1099" w:type="dxa"/>
          </w:tcPr>
          <w:p>
            <w:pPr>
              <w:pStyle w:val="TableParagraph"/>
              <w:spacing w:before="43"/>
              <w:ind w:right="199"/>
              <w:jc w:val="right"/>
              <w:rPr>
                <w:sz w:val="24"/>
              </w:rPr>
            </w:pPr>
            <w:r>
              <w:rPr>
                <w:sz w:val="24"/>
              </w:rPr>
              <w:t>49</w:t>
            </w:r>
          </w:p>
        </w:tc>
      </w:tr>
      <w:tr>
        <w:trPr>
          <w:trHeight w:val="387" w:hRule="exact"/>
        </w:trPr>
        <w:tc>
          <w:tcPr>
            <w:tcW w:w="7316" w:type="dxa"/>
          </w:tcPr>
          <w:p>
            <w:pPr>
              <w:pStyle w:val="TableParagraph"/>
              <w:spacing w:before="41"/>
              <w:ind w:right="628"/>
              <w:jc w:val="right"/>
              <w:rPr>
                <w:sz w:val="24"/>
              </w:rPr>
            </w:pPr>
            <w:r>
              <w:rPr>
                <w:sz w:val="24"/>
              </w:rPr>
              <w:t>7.4 PCR……………………………………………………….</w:t>
            </w:r>
          </w:p>
        </w:tc>
        <w:tc>
          <w:tcPr>
            <w:tcW w:w="1099" w:type="dxa"/>
          </w:tcPr>
          <w:p>
            <w:pPr>
              <w:pStyle w:val="TableParagraph"/>
              <w:spacing w:before="41"/>
              <w:ind w:right="199"/>
              <w:jc w:val="right"/>
              <w:rPr>
                <w:sz w:val="24"/>
              </w:rPr>
            </w:pPr>
            <w:r>
              <w:rPr>
                <w:sz w:val="24"/>
              </w:rPr>
              <w:t>53</w:t>
            </w:r>
          </w:p>
        </w:tc>
      </w:tr>
      <w:tr>
        <w:trPr>
          <w:trHeight w:val="386" w:hRule="exact"/>
        </w:trPr>
        <w:tc>
          <w:tcPr>
            <w:tcW w:w="7316" w:type="dxa"/>
          </w:tcPr>
          <w:p>
            <w:pPr>
              <w:pStyle w:val="TableParagraph"/>
              <w:spacing w:before="43"/>
              <w:ind w:right="714"/>
              <w:jc w:val="right"/>
              <w:rPr>
                <w:sz w:val="24"/>
              </w:rPr>
            </w:pPr>
            <w:r>
              <w:rPr>
                <w:sz w:val="24"/>
              </w:rPr>
              <w:t>7.5 Inmunocromatografía…………………………………..</w:t>
            </w:r>
          </w:p>
        </w:tc>
        <w:tc>
          <w:tcPr>
            <w:tcW w:w="1099" w:type="dxa"/>
          </w:tcPr>
          <w:p>
            <w:pPr>
              <w:pStyle w:val="TableParagraph"/>
              <w:spacing w:before="43"/>
              <w:ind w:right="199"/>
              <w:jc w:val="right"/>
              <w:rPr>
                <w:sz w:val="24"/>
              </w:rPr>
            </w:pPr>
            <w:r>
              <w:rPr>
                <w:sz w:val="24"/>
              </w:rPr>
              <w:t>54</w:t>
            </w:r>
          </w:p>
        </w:tc>
      </w:tr>
      <w:tr>
        <w:trPr>
          <w:trHeight w:val="386" w:hRule="exact"/>
        </w:trPr>
        <w:tc>
          <w:tcPr>
            <w:tcW w:w="7316" w:type="dxa"/>
          </w:tcPr>
          <w:p>
            <w:pPr>
              <w:pStyle w:val="TableParagraph"/>
              <w:spacing w:before="41"/>
              <w:ind w:right="643"/>
              <w:jc w:val="right"/>
              <w:rPr>
                <w:sz w:val="24"/>
              </w:rPr>
            </w:pPr>
            <w:r>
              <w:rPr>
                <w:sz w:val="24"/>
              </w:rPr>
              <w:t>7.6 Excreción de partículas virales vacunales……………</w:t>
            </w:r>
          </w:p>
        </w:tc>
        <w:tc>
          <w:tcPr>
            <w:tcW w:w="1099" w:type="dxa"/>
          </w:tcPr>
          <w:p>
            <w:pPr>
              <w:pStyle w:val="TableParagraph"/>
              <w:spacing w:before="41"/>
              <w:ind w:right="199"/>
              <w:jc w:val="right"/>
              <w:rPr>
                <w:sz w:val="24"/>
              </w:rPr>
            </w:pPr>
            <w:r>
              <w:rPr>
                <w:sz w:val="24"/>
              </w:rPr>
              <w:t>54</w:t>
            </w:r>
          </w:p>
        </w:tc>
      </w:tr>
      <w:tr>
        <w:trPr>
          <w:trHeight w:val="389" w:hRule="exact"/>
        </w:trPr>
        <w:tc>
          <w:tcPr>
            <w:tcW w:w="7316" w:type="dxa"/>
          </w:tcPr>
          <w:p>
            <w:pPr>
              <w:pStyle w:val="TableParagraph"/>
              <w:spacing w:before="43"/>
              <w:ind w:right="669"/>
              <w:jc w:val="right"/>
              <w:rPr>
                <w:sz w:val="24"/>
              </w:rPr>
            </w:pPr>
            <w:r>
              <w:rPr>
                <w:sz w:val="24"/>
              </w:rPr>
              <w:t>7.7 Desafío  con virus de campo…………………………..</w:t>
            </w:r>
          </w:p>
        </w:tc>
        <w:tc>
          <w:tcPr>
            <w:tcW w:w="1099" w:type="dxa"/>
          </w:tcPr>
          <w:p>
            <w:pPr>
              <w:pStyle w:val="TableParagraph"/>
              <w:spacing w:before="43"/>
              <w:ind w:right="199"/>
              <w:jc w:val="right"/>
              <w:rPr>
                <w:sz w:val="24"/>
              </w:rPr>
            </w:pPr>
            <w:r>
              <w:rPr>
                <w:sz w:val="24"/>
              </w:rPr>
              <w:t>55</w:t>
            </w:r>
          </w:p>
        </w:tc>
      </w:tr>
      <w:tr>
        <w:trPr>
          <w:trHeight w:val="387" w:hRule="exact"/>
        </w:trPr>
        <w:tc>
          <w:tcPr>
            <w:tcW w:w="7316" w:type="dxa"/>
          </w:tcPr>
          <w:p>
            <w:pPr>
              <w:pStyle w:val="TableParagraph"/>
              <w:spacing w:before="44"/>
              <w:ind w:right="668"/>
              <w:jc w:val="right"/>
              <w:rPr>
                <w:sz w:val="24"/>
              </w:rPr>
            </w:pPr>
            <w:r>
              <w:rPr>
                <w:sz w:val="24"/>
              </w:rPr>
              <w:t>8.  DISCUSION GENERAL……………………………………..</w:t>
            </w:r>
          </w:p>
        </w:tc>
        <w:tc>
          <w:tcPr>
            <w:tcW w:w="1099" w:type="dxa"/>
          </w:tcPr>
          <w:p>
            <w:pPr>
              <w:pStyle w:val="TableParagraph"/>
              <w:spacing w:before="44"/>
              <w:ind w:right="199"/>
              <w:jc w:val="right"/>
              <w:rPr>
                <w:sz w:val="24"/>
              </w:rPr>
            </w:pPr>
            <w:r>
              <w:rPr>
                <w:sz w:val="24"/>
              </w:rPr>
              <w:t>60</w:t>
            </w:r>
          </w:p>
        </w:tc>
      </w:tr>
      <w:tr>
        <w:trPr>
          <w:trHeight w:val="386" w:hRule="exact"/>
        </w:trPr>
        <w:tc>
          <w:tcPr>
            <w:tcW w:w="7316" w:type="dxa"/>
          </w:tcPr>
          <w:p>
            <w:pPr>
              <w:pStyle w:val="TableParagraph"/>
              <w:spacing w:before="41"/>
              <w:ind w:right="643"/>
              <w:jc w:val="right"/>
              <w:rPr>
                <w:sz w:val="24"/>
              </w:rPr>
            </w:pPr>
            <w:r>
              <w:rPr>
                <w:sz w:val="24"/>
              </w:rPr>
              <w:t>9.  CONCLUSIONES…………………………………………….</w:t>
            </w:r>
          </w:p>
        </w:tc>
        <w:tc>
          <w:tcPr>
            <w:tcW w:w="1099" w:type="dxa"/>
          </w:tcPr>
          <w:p>
            <w:pPr>
              <w:pStyle w:val="TableParagraph"/>
              <w:spacing w:before="41"/>
              <w:ind w:right="199"/>
              <w:jc w:val="right"/>
              <w:rPr>
                <w:sz w:val="24"/>
              </w:rPr>
            </w:pPr>
            <w:r>
              <w:rPr>
                <w:sz w:val="24"/>
              </w:rPr>
              <w:t>65</w:t>
            </w:r>
          </w:p>
        </w:tc>
      </w:tr>
      <w:tr>
        <w:trPr>
          <w:trHeight w:val="389" w:hRule="exact"/>
        </w:trPr>
        <w:tc>
          <w:tcPr>
            <w:tcW w:w="7316" w:type="dxa"/>
          </w:tcPr>
          <w:p>
            <w:pPr>
              <w:pStyle w:val="TableParagraph"/>
              <w:spacing w:before="43"/>
              <w:ind w:right="686"/>
              <w:jc w:val="right"/>
              <w:rPr>
                <w:sz w:val="24"/>
              </w:rPr>
            </w:pPr>
            <w:r>
              <w:rPr>
                <w:sz w:val="24"/>
              </w:rPr>
              <w:t>10.</w:t>
            </w:r>
            <w:r>
              <w:rPr>
                <w:spacing w:val="-51"/>
                <w:sz w:val="24"/>
              </w:rPr>
              <w:t> </w:t>
            </w:r>
            <w:r>
              <w:rPr>
                <w:sz w:val="24"/>
              </w:rPr>
              <w:t>REFERENCIAS………………………………………………</w:t>
            </w:r>
          </w:p>
        </w:tc>
        <w:tc>
          <w:tcPr>
            <w:tcW w:w="1099" w:type="dxa"/>
          </w:tcPr>
          <w:p>
            <w:pPr>
              <w:pStyle w:val="TableParagraph"/>
              <w:spacing w:before="43"/>
              <w:ind w:right="199"/>
              <w:jc w:val="right"/>
              <w:rPr>
                <w:sz w:val="24"/>
              </w:rPr>
            </w:pPr>
            <w:r>
              <w:rPr>
                <w:sz w:val="24"/>
              </w:rPr>
              <w:t>66</w:t>
            </w:r>
          </w:p>
        </w:tc>
      </w:tr>
      <w:tr>
        <w:trPr>
          <w:trHeight w:val="314" w:hRule="exact"/>
        </w:trPr>
        <w:tc>
          <w:tcPr>
            <w:tcW w:w="7316" w:type="dxa"/>
          </w:tcPr>
          <w:p>
            <w:pPr>
              <w:pStyle w:val="TableParagraph"/>
              <w:spacing w:before="43"/>
              <w:ind w:right="671"/>
              <w:jc w:val="right"/>
              <w:rPr>
                <w:sz w:val="24"/>
              </w:rPr>
            </w:pPr>
            <w:r>
              <w:rPr>
                <w:sz w:val="24"/>
              </w:rPr>
              <w:t>11. ANEXOS………………………………………………………</w:t>
            </w:r>
          </w:p>
        </w:tc>
        <w:tc>
          <w:tcPr>
            <w:tcW w:w="1099" w:type="dxa"/>
          </w:tcPr>
          <w:p>
            <w:pPr>
              <w:pStyle w:val="TableParagraph"/>
              <w:spacing w:before="43"/>
              <w:ind w:right="199"/>
              <w:jc w:val="right"/>
              <w:rPr>
                <w:sz w:val="24"/>
              </w:rPr>
            </w:pPr>
            <w:r>
              <w:rPr>
                <w:sz w:val="24"/>
              </w:rPr>
              <w:t>72</w:t>
            </w:r>
          </w:p>
        </w:tc>
      </w:tr>
    </w:tbl>
    <w:p>
      <w:pPr>
        <w:spacing w:after="0"/>
        <w:jc w:val="right"/>
        <w:rPr>
          <w:sz w:val="24"/>
        </w:rPr>
        <w:sectPr>
          <w:pgSz w:w="12240" w:h="15840"/>
          <w:pgMar w:header="1154" w:footer="1713" w:top="1520" w:bottom="1900" w:left="1720" w:right="1380"/>
        </w:sectPr>
      </w:pPr>
    </w:p>
    <w:p>
      <w:pPr>
        <w:pStyle w:val="BodyText"/>
        <w:spacing w:before="4"/>
        <w:rPr>
          <w:rFonts w:ascii="Times New Roman"/>
          <w:sz w:val="17"/>
        </w:rPr>
      </w:pPr>
    </w:p>
    <w:p>
      <w:pPr>
        <w:pStyle w:val="Heading1"/>
        <w:ind w:left="212" w:firstLine="0"/>
        <w:jc w:val="left"/>
      </w:pPr>
      <w:r>
        <w:rPr/>
        <w:t>INDICE DE FIGURAS</w:t>
      </w:r>
    </w:p>
    <w:p>
      <w:pPr>
        <w:pStyle w:val="BodyText"/>
        <w:rPr>
          <w:b/>
          <w:sz w:val="20"/>
        </w:rPr>
      </w:pPr>
    </w:p>
    <w:p>
      <w:pPr>
        <w:pStyle w:val="BodyText"/>
        <w:rPr>
          <w:b/>
          <w:sz w:val="20"/>
        </w:rPr>
      </w:pPr>
    </w:p>
    <w:p>
      <w:pPr>
        <w:pStyle w:val="BodyText"/>
        <w:spacing w:before="7"/>
        <w:rPr>
          <w:b/>
          <w:sz w:val="27"/>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96"/>
        <w:gridCol w:w="6686"/>
        <w:gridCol w:w="1020"/>
      </w:tblGrid>
      <w:tr>
        <w:trPr>
          <w:trHeight w:val="626" w:hRule="exact"/>
        </w:trPr>
        <w:tc>
          <w:tcPr>
            <w:tcW w:w="1296" w:type="dxa"/>
          </w:tcPr>
          <w:p>
            <w:pPr/>
          </w:p>
        </w:tc>
        <w:tc>
          <w:tcPr>
            <w:tcW w:w="6686" w:type="dxa"/>
          </w:tcPr>
          <w:p>
            <w:pPr/>
          </w:p>
        </w:tc>
        <w:tc>
          <w:tcPr>
            <w:tcW w:w="1020" w:type="dxa"/>
          </w:tcPr>
          <w:p>
            <w:pPr>
              <w:pStyle w:val="TableParagraph"/>
              <w:spacing w:line="245" w:lineRule="exact"/>
              <w:ind w:left="51" w:right="180"/>
              <w:jc w:val="center"/>
              <w:rPr>
                <w:sz w:val="24"/>
              </w:rPr>
            </w:pPr>
            <w:r>
              <w:rPr>
                <w:sz w:val="24"/>
              </w:rPr>
              <w:t>Página</w:t>
            </w:r>
          </w:p>
        </w:tc>
      </w:tr>
      <w:tr>
        <w:trPr>
          <w:trHeight w:val="975" w:hRule="exact"/>
        </w:trPr>
        <w:tc>
          <w:tcPr>
            <w:tcW w:w="1296" w:type="dxa"/>
          </w:tcPr>
          <w:p>
            <w:pPr>
              <w:pStyle w:val="TableParagraph"/>
              <w:rPr>
                <w:b/>
                <w:sz w:val="24"/>
              </w:rPr>
            </w:pPr>
          </w:p>
          <w:p>
            <w:pPr>
              <w:pStyle w:val="TableParagraph"/>
              <w:spacing w:before="147"/>
              <w:ind w:right="145"/>
              <w:jc w:val="right"/>
              <w:rPr>
                <w:sz w:val="24"/>
              </w:rPr>
            </w:pPr>
            <w:r>
              <w:rPr>
                <w:sz w:val="24"/>
              </w:rPr>
              <w:t>Figura 1.</w:t>
            </w:r>
          </w:p>
        </w:tc>
        <w:tc>
          <w:tcPr>
            <w:tcW w:w="6686" w:type="dxa"/>
          </w:tcPr>
          <w:p>
            <w:pPr>
              <w:pStyle w:val="TableParagraph"/>
              <w:spacing w:before="10"/>
              <w:rPr>
                <w:b/>
                <w:sz w:val="30"/>
              </w:rPr>
            </w:pPr>
          </w:p>
          <w:p>
            <w:pPr>
              <w:pStyle w:val="TableParagraph"/>
              <w:ind w:left="147" w:right="662"/>
              <w:rPr>
                <w:sz w:val="24"/>
              </w:rPr>
            </w:pPr>
            <w:r>
              <w:rPr>
                <w:sz w:val="24"/>
              </w:rPr>
              <w:t>Modelo de la superficie de la cápside de CPV.</w:t>
            </w:r>
          </w:p>
        </w:tc>
        <w:tc>
          <w:tcPr>
            <w:tcW w:w="1020" w:type="dxa"/>
          </w:tcPr>
          <w:p>
            <w:pPr>
              <w:pStyle w:val="TableParagraph"/>
              <w:rPr>
                <w:b/>
                <w:sz w:val="24"/>
              </w:rPr>
            </w:pPr>
          </w:p>
          <w:p>
            <w:pPr>
              <w:pStyle w:val="TableParagraph"/>
              <w:spacing w:before="147"/>
              <w:ind w:left="49" w:right="180"/>
              <w:jc w:val="center"/>
              <w:rPr>
                <w:sz w:val="24"/>
              </w:rPr>
            </w:pPr>
            <w:r>
              <w:rPr>
                <w:sz w:val="24"/>
              </w:rPr>
              <w:t>12</w:t>
            </w:r>
          </w:p>
        </w:tc>
      </w:tr>
      <w:tr>
        <w:trPr>
          <w:trHeight w:val="1148" w:hRule="exact"/>
        </w:trPr>
        <w:tc>
          <w:tcPr>
            <w:tcW w:w="1296" w:type="dxa"/>
          </w:tcPr>
          <w:p>
            <w:pPr>
              <w:pStyle w:val="TableParagraph"/>
              <w:rPr>
                <w:b/>
                <w:sz w:val="24"/>
              </w:rPr>
            </w:pPr>
          </w:p>
          <w:p>
            <w:pPr>
              <w:pStyle w:val="TableParagraph"/>
              <w:spacing w:before="11"/>
              <w:rPr>
                <w:b/>
                <w:sz w:val="21"/>
              </w:rPr>
            </w:pPr>
          </w:p>
          <w:p>
            <w:pPr>
              <w:pStyle w:val="TableParagraph"/>
              <w:ind w:right="145"/>
              <w:jc w:val="right"/>
              <w:rPr>
                <w:sz w:val="24"/>
              </w:rPr>
            </w:pPr>
            <w:r>
              <w:rPr>
                <w:sz w:val="24"/>
              </w:rPr>
              <w:t>Figura 2.</w:t>
            </w:r>
          </w:p>
        </w:tc>
        <w:tc>
          <w:tcPr>
            <w:tcW w:w="6686" w:type="dxa"/>
          </w:tcPr>
          <w:p>
            <w:pPr>
              <w:pStyle w:val="TableParagraph"/>
              <w:spacing w:before="8"/>
              <w:rPr>
                <w:b/>
                <w:sz w:val="21"/>
              </w:rPr>
            </w:pPr>
          </w:p>
          <w:p>
            <w:pPr>
              <w:pStyle w:val="TableParagraph"/>
              <w:spacing w:line="360" w:lineRule="auto" w:before="1"/>
              <w:ind w:left="147" w:right="662"/>
              <w:rPr>
                <w:sz w:val="24"/>
              </w:rPr>
            </w:pPr>
            <w:r>
              <w:rPr>
                <w:sz w:val="24"/>
              </w:rPr>
              <w:t>DNA genómico de parvovirus canino y su estrategia de transcripción.</w:t>
            </w:r>
          </w:p>
        </w:tc>
        <w:tc>
          <w:tcPr>
            <w:tcW w:w="1020" w:type="dxa"/>
          </w:tcPr>
          <w:p>
            <w:pPr>
              <w:pStyle w:val="TableParagraph"/>
              <w:rPr>
                <w:b/>
                <w:sz w:val="24"/>
              </w:rPr>
            </w:pPr>
          </w:p>
          <w:p>
            <w:pPr>
              <w:pStyle w:val="TableParagraph"/>
              <w:spacing w:before="11"/>
              <w:rPr>
                <w:b/>
                <w:sz w:val="21"/>
              </w:rPr>
            </w:pPr>
          </w:p>
          <w:p>
            <w:pPr>
              <w:pStyle w:val="TableParagraph"/>
              <w:ind w:left="49" w:right="180"/>
              <w:jc w:val="center"/>
              <w:rPr>
                <w:sz w:val="24"/>
              </w:rPr>
            </w:pPr>
            <w:r>
              <w:rPr>
                <w:sz w:val="24"/>
              </w:rPr>
              <w:t>12</w:t>
            </w:r>
          </w:p>
        </w:tc>
      </w:tr>
      <w:tr>
        <w:trPr>
          <w:trHeight w:val="1078" w:hRule="exact"/>
        </w:trPr>
        <w:tc>
          <w:tcPr>
            <w:tcW w:w="1296" w:type="dxa"/>
          </w:tcPr>
          <w:p>
            <w:pPr>
              <w:pStyle w:val="TableParagraph"/>
              <w:rPr>
                <w:b/>
                <w:sz w:val="24"/>
              </w:rPr>
            </w:pPr>
          </w:p>
          <w:p>
            <w:pPr>
              <w:pStyle w:val="TableParagraph"/>
              <w:spacing w:before="181"/>
              <w:ind w:right="145"/>
              <w:jc w:val="right"/>
              <w:rPr>
                <w:sz w:val="24"/>
              </w:rPr>
            </w:pPr>
            <w:r>
              <w:rPr>
                <w:sz w:val="24"/>
              </w:rPr>
              <w:t>Figura 3.</w:t>
            </w:r>
          </w:p>
        </w:tc>
        <w:tc>
          <w:tcPr>
            <w:tcW w:w="6686" w:type="dxa"/>
          </w:tcPr>
          <w:p>
            <w:pPr>
              <w:pStyle w:val="TableParagraph"/>
              <w:spacing w:line="360" w:lineRule="auto" w:before="183"/>
              <w:ind w:left="147" w:right="662"/>
              <w:rPr>
                <w:sz w:val="24"/>
              </w:rPr>
            </w:pPr>
            <w:r>
              <w:rPr>
                <w:sz w:val="24"/>
              </w:rPr>
              <w:t>Gel de agarosa 2x PCR simple utilizando iniciadores ParvoINT2FB y Parvo INT2CR.</w:t>
            </w:r>
          </w:p>
        </w:tc>
        <w:tc>
          <w:tcPr>
            <w:tcW w:w="1020" w:type="dxa"/>
          </w:tcPr>
          <w:p>
            <w:pPr>
              <w:pStyle w:val="TableParagraph"/>
              <w:rPr>
                <w:b/>
                <w:sz w:val="24"/>
              </w:rPr>
            </w:pPr>
          </w:p>
          <w:p>
            <w:pPr>
              <w:pStyle w:val="TableParagraph"/>
              <w:spacing w:before="181"/>
              <w:ind w:left="49" w:right="180"/>
              <w:jc w:val="center"/>
              <w:rPr>
                <w:sz w:val="24"/>
              </w:rPr>
            </w:pPr>
            <w:r>
              <w:rPr>
                <w:sz w:val="24"/>
              </w:rPr>
              <w:t>53</w:t>
            </w:r>
          </w:p>
        </w:tc>
      </w:tr>
      <w:tr>
        <w:trPr>
          <w:trHeight w:val="1078" w:hRule="exact"/>
        </w:trPr>
        <w:tc>
          <w:tcPr>
            <w:tcW w:w="1296" w:type="dxa"/>
          </w:tcPr>
          <w:p>
            <w:pPr>
              <w:pStyle w:val="TableParagraph"/>
              <w:rPr>
                <w:b/>
                <w:sz w:val="24"/>
              </w:rPr>
            </w:pPr>
          </w:p>
          <w:p>
            <w:pPr>
              <w:pStyle w:val="TableParagraph"/>
              <w:spacing w:before="183"/>
              <w:ind w:right="145"/>
              <w:jc w:val="right"/>
              <w:rPr>
                <w:sz w:val="24"/>
              </w:rPr>
            </w:pPr>
            <w:r>
              <w:rPr>
                <w:sz w:val="24"/>
              </w:rPr>
              <w:t>Figura 4.</w:t>
            </w:r>
          </w:p>
        </w:tc>
        <w:tc>
          <w:tcPr>
            <w:tcW w:w="6686" w:type="dxa"/>
          </w:tcPr>
          <w:p>
            <w:pPr>
              <w:pStyle w:val="TableParagraph"/>
              <w:spacing w:line="360" w:lineRule="auto" w:before="180"/>
              <w:ind w:left="147" w:right="769"/>
              <w:rPr>
                <w:sz w:val="24"/>
              </w:rPr>
            </w:pPr>
            <w:r>
              <w:rPr>
                <w:sz w:val="24"/>
              </w:rPr>
              <w:t>Gel de agarosa 2x PCR anidada utilizando iniciadores ParvoINT2FB y Parvo INT2CR.</w:t>
            </w:r>
          </w:p>
        </w:tc>
        <w:tc>
          <w:tcPr>
            <w:tcW w:w="1020" w:type="dxa"/>
          </w:tcPr>
          <w:p>
            <w:pPr>
              <w:pStyle w:val="TableParagraph"/>
              <w:rPr>
                <w:b/>
                <w:sz w:val="24"/>
              </w:rPr>
            </w:pPr>
          </w:p>
          <w:p>
            <w:pPr>
              <w:pStyle w:val="TableParagraph"/>
              <w:spacing w:before="183"/>
              <w:ind w:left="49" w:right="180"/>
              <w:jc w:val="center"/>
              <w:rPr>
                <w:sz w:val="24"/>
              </w:rPr>
            </w:pPr>
            <w:r>
              <w:rPr>
                <w:sz w:val="24"/>
              </w:rPr>
              <w:t>53</w:t>
            </w:r>
          </w:p>
        </w:tc>
      </w:tr>
      <w:tr>
        <w:trPr>
          <w:trHeight w:val="1015" w:hRule="exact"/>
        </w:trPr>
        <w:tc>
          <w:tcPr>
            <w:tcW w:w="1296" w:type="dxa"/>
          </w:tcPr>
          <w:p>
            <w:pPr>
              <w:pStyle w:val="TableParagraph"/>
              <w:rPr>
                <w:b/>
                <w:sz w:val="24"/>
              </w:rPr>
            </w:pPr>
          </w:p>
          <w:p>
            <w:pPr>
              <w:pStyle w:val="TableParagraph"/>
              <w:spacing w:before="180"/>
              <w:ind w:right="145"/>
              <w:jc w:val="right"/>
              <w:rPr>
                <w:sz w:val="24"/>
              </w:rPr>
            </w:pPr>
            <w:r>
              <w:rPr>
                <w:sz w:val="24"/>
              </w:rPr>
              <w:t>Figura 5.</w:t>
            </w:r>
          </w:p>
        </w:tc>
        <w:tc>
          <w:tcPr>
            <w:tcW w:w="6686" w:type="dxa"/>
          </w:tcPr>
          <w:p>
            <w:pPr>
              <w:pStyle w:val="TableParagraph"/>
              <w:spacing w:line="360" w:lineRule="auto" w:before="183"/>
              <w:ind w:left="147" w:right="662"/>
              <w:rPr>
                <w:sz w:val="24"/>
              </w:rPr>
            </w:pPr>
            <w:r>
              <w:rPr>
                <w:sz w:val="24"/>
              </w:rPr>
              <w:t>Resultados positivo y negativos de la prueba de inmunocromatografía IDEXX y Anigen.</w:t>
            </w:r>
          </w:p>
        </w:tc>
        <w:tc>
          <w:tcPr>
            <w:tcW w:w="1020" w:type="dxa"/>
          </w:tcPr>
          <w:p>
            <w:pPr>
              <w:pStyle w:val="TableParagraph"/>
              <w:rPr>
                <w:b/>
                <w:sz w:val="24"/>
              </w:rPr>
            </w:pPr>
          </w:p>
          <w:p>
            <w:pPr>
              <w:pStyle w:val="TableParagraph"/>
              <w:spacing w:before="180"/>
              <w:ind w:left="49" w:right="180"/>
              <w:jc w:val="center"/>
              <w:rPr>
                <w:sz w:val="24"/>
              </w:rPr>
            </w:pPr>
            <w:r>
              <w:rPr>
                <w:sz w:val="24"/>
              </w:rPr>
              <w:t>54</w:t>
            </w:r>
          </w:p>
        </w:tc>
      </w:tr>
      <w:tr>
        <w:trPr>
          <w:trHeight w:val="1220" w:hRule="exact"/>
        </w:trPr>
        <w:tc>
          <w:tcPr>
            <w:tcW w:w="1296" w:type="dxa"/>
          </w:tcPr>
          <w:p>
            <w:pPr>
              <w:pStyle w:val="TableParagraph"/>
              <w:rPr>
                <w:b/>
                <w:sz w:val="24"/>
              </w:rPr>
            </w:pPr>
          </w:p>
          <w:p>
            <w:pPr>
              <w:pStyle w:val="TableParagraph"/>
              <w:spacing w:before="5"/>
              <w:rPr>
                <w:b/>
                <w:sz w:val="28"/>
              </w:rPr>
            </w:pPr>
          </w:p>
          <w:p>
            <w:pPr>
              <w:pStyle w:val="TableParagraph"/>
              <w:ind w:right="145"/>
              <w:jc w:val="right"/>
              <w:rPr>
                <w:sz w:val="24"/>
              </w:rPr>
            </w:pPr>
            <w:r>
              <w:rPr>
                <w:sz w:val="24"/>
              </w:rPr>
              <w:t>Figura 6.</w:t>
            </w:r>
          </w:p>
        </w:tc>
        <w:tc>
          <w:tcPr>
            <w:tcW w:w="6686" w:type="dxa"/>
          </w:tcPr>
          <w:p>
            <w:pPr>
              <w:pStyle w:val="TableParagraph"/>
              <w:spacing w:before="118"/>
              <w:ind w:left="147" w:right="662"/>
              <w:rPr>
                <w:sz w:val="24"/>
              </w:rPr>
            </w:pPr>
            <w:r>
              <w:rPr>
                <w:sz w:val="24"/>
              </w:rPr>
              <w:t>Gel de agarosa 2x PCR simple utilizando iniciadores</w:t>
            </w:r>
          </w:p>
          <w:p>
            <w:pPr>
              <w:pStyle w:val="TableParagraph"/>
              <w:spacing w:line="410" w:lineRule="atLeast" w:before="8"/>
              <w:ind w:left="147" w:right="290"/>
              <w:rPr>
                <w:sz w:val="24"/>
              </w:rPr>
            </w:pPr>
            <w:r>
              <w:rPr>
                <w:sz w:val="24"/>
              </w:rPr>
              <w:t>ParvoINT2FB y Parvo INT2CR amplifican un fragmento de 275 pb muestras de tejido.</w:t>
            </w:r>
          </w:p>
        </w:tc>
        <w:tc>
          <w:tcPr>
            <w:tcW w:w="1020" w:type="dxa"/>
          </w:tcPr>
          <w:p>
            <w:pPr>
              <w:pStyle w:val="TableParagraph"/>
              <w:rPr>
                <w:b/>
                <w:sz w:val="24"/>
              </w:rPr>
            </w:pPr>
          </w:p>
          <w:p>
            <w:pPr>
              <w:pStyle w:val="TableParagraph"/>
              <w:spacing w:before="5"/>
              <w:rPr>
                <w:b/>
                <w:sz w:val="28"/>
              </w:rPr>
            </w:pPr>
          </w:p>
          <w:p>
            <w:pPr>
              <w:pStyle w:val="TableParagraph"/>
              <w:ind w:left="49" w:right="180"/>
              <w:jc w:val="center"/>
              <w:rPr>
                <w:sz w:val="24"/>
              </w:rPr>
            </w:pPr>
            <w:r>
              <w:rPr>
                <w:sz w:val="24"/>
              </w:rPr>
              <w:t>56</w:t>
            </w:r>
          </w:p>
        </w:tc>
      </w:tr>
    </w:tbl>
    <w:p>
      <w:pPr>
        <w:spacing w:after="0"/>
        <w:jc w:val="center"/>
        <w:rPr>
          <w:sz w:val="24"/>
        </w:rPr>
        <w:sectPr>
          <w:pgSz w:w="12240" w:h="15840"/>
          <w:pgMar w:header="1154" w:footer="1713" w:top="1520" w:bottom="1900" w:left="1660" w:right="1340"/>
        </w:sectPr>
      </w:pPr>
    </w:p>
    <w:p>
      <w:pPr>
        <w:pStyle w:val="BodyText"/>
        <w:spacing w:before="4"/>
        <w:rPr>
          <w:b/>
          <w:sz w:val="17"/>
        </w:rPr>
      </w:pPr>
    </w:p>
    <w:p>
      <w:pPr>
        <w:spacing w:before="69"/>
        <w:ind w:left="212" w:right="0" w:firstLine="0"/>
        <w:jc w:val="left"/>
        <w:rPr>
          <w:b/>
          <w:sz w:val="24"/>
        </w:rPr>
      </w:pPr>
      <w:r>
        <w:rPr>
          <w:b/>
          <w:sz w:val="24"/>
        </w:rPr>
        <w:t>INDICE DE TABLAS</w:t>
      </w:r>
    </w:p>
    <w:p>
      <w:pPr>
        <w:pStyle w:val="BodyText"/>
        <w:rPr>
          <w:b/>
          <w:sz w:val="20"/>
        </w:rPr>
      </w:pPr>
    </w:p>
    <w:p>
      <w:pPr>
        <w:pStyle w:val="BodyText"/>
        <w:rPr>
          <w:b/>
          <w:sz w:val="20"/>
        </w:rPr>
      </w:pPr>
    </w:p>
    <w:p>
      <w:pPr>
        <w:pStyle w:val="BodyText"/>
        <w:spacing w:before="7"/>
        <w:rPr>
          <w:b/>
          <w:sz w:val="27"/>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8"/>
        <w:gridCol w:w="6682"/>
        <w:gridCol w:w="1062"/>
      </w:tblGrid>
      <w:tr>
        <w:trPr>
          <w:trHeight w:val="521" w:hRule="exact"/>
        </w:trPr>
        <w:tc>
          <w:tcPr>
            <w:tcW w:w="1258" w:type="dxa"/>
          </w:tcPr>
          <w:p>
            <w:pPr/>
          </w:p>
        </w:tc>
        <w:tc>
          <w:tcPr>
            <w:tcW w:w="6682" w:type="dxa"/>
          </w:tcPr>
          <w:p>
            <w:pPr/>
          </w:p>
        </w:tc>
        <w:tc>
          <w:tcPr>
            <w:tcW w:w="1062" w:type="dxa"/>
          </w:tcPr>
          <w:p>
            <w:pPr>
              <w:pStyle w:val="TableParagraph"/>
              <w:spacing w:line="245" w:lineRule="exact"/>
              <w:ind w:left="94" w:right="181"/>
              <w:jc w:val="center"/>
              <w:rPr>
                <w:sz w:val="24"/>
              </w:rPr>
            </w:pPr>
            <w:r>
              <w:rPr>
                <w:sz w:val="24"/>
              </w:rPr>
              <w:t>Página</w:t>
            </w:r>
          </w:p>
        </w:tc>
      </w:tr>
      <w:tr>
        <w:trPr>
          <w:trHeight w:val="1150" w:hRule="exact"/>
        </w:trPr>
        <w:tc>
          <w:tcPr>
            <w:tcW w:w="1258" w:type="dxa"/>
          </w:tcPr>
          <w:p>
            <w:pPr>
              <w:pStyle w:val="TableParagraph"/>
              <w:rPr>
                <w:b/>
                <w:sz w:val="24"/>
              </w:rPr>
            </w:pPr>
          </w:p>
          <w:p>
            <w:pPr>
              <w:pStyle w:val="TableParagraph"/>
              <w:spacing w:before="185"/>
              <w:ind w:left="200"/>
              <w:rPr>
                <w:sz w:val="24"/>
              </w:rPr>
            </w:pPr>
            <w:r>
              <w:rPr>
                <w:sz w:val="24"/>
              </w:rPr>
              <w:t>Tabla 1.</w:t>
            </w:r>
          </w:p>
        </w:tc>
        <w:tc>
          <w:tcPr>
            <w:tcW w:w="6682" w:type="dxa"/>
          </w:tcPr>
          <w:p>
            <w:pPr>
              <w:pStyle w:val="TableParagraph"/>
              <w:spacing w:before="8"/>
              <w:rPr>
                <w:b/>
                <w:sz w:val="21"/>
              </w:rPr>
            </w:pPr>
          </w:p>
          <w:p>
            <w:pPr>
              <w:pStyle w:val="TableParagraph"/>
              <w:spacing w:line="362" w:lineRule="auto"/>
              <w:ind w:left="185" w:right="247"/>
              <w:rPr>
                <w:sz w:val="24"/>
              </w:rPr>
            </w:pPr>
            <w:r>
              <w:rPr>
                <w:sz w:val="24"/>
              </w:rPr>
              <w:t>Cuadro clínico y características de la diarrea presentado en 100 pacientes positivos a CPV-2.</w:t>
            </w:r>
          </w:p>
        </w:tc>
        <w:tc>
          <w:tcPr>
            <w:tcW w:w="1062" w:type="dxa"/>
          </w:tcPr>
          <w:p>
            <w:pPr>
              <w:pStyle w:val="TableParagraph"/>
              <w:rPr>
                <w:b/>
                <w:sz w:val="24"/>
              </w:rPr>
            </w:pPr>
          </w:p>
          <w:p>
            <w:pPr>
              <w:pStyle w:val="TableParagraph"/>
              <w:spacing w:before="185"/>
              <w:ind w:left="93" w:right="181"/>
              <w:jc w:val="center"/>
              <w:rPr>
                <w:sz w:val="24"/>
              </w:rPr>
            </w:pPr>
            <w:r>
              <w:rPr>
                <w:sz w:val="24"/>
              </w:rPr>
              <w:t>50</w:t>
            </w:r>
          </w:p>
        </w:tc>
      </w:tr>
      <w:tr>
        <w:trPr>
          <w:trHeight w:val="1078" w:hRule="exact"/>
        </w:trPr>
        <w:tc>
          <w:tcPr>
            <w:tcW w:w="1258" w:type="dxa"/>
          </w:tcPr>
          <w:p>
            <w:pPr>
              <w:pStyle w:val="TableParagraph"/>
              <w:spacing w:before="7"/>
              <w:rPr>
                <w:b/>
                <w:sz w:val="33"/>
              </w:rPr>
            </w:pPr>
          </w:p>
          <w:p>
            <w:pPr>
              <w:pStyle w:val="TableParagraph"/>
              <w:ind w:left="200"/>
              <w:rPr>
                <w:sz w:val="24"/>
              </w:rPr>
            </w:pPr>
            <w:r>
              <w:rPr>
                <w:sz w:val="24"/>
              </w:rPr>
              <w:t>Tabla 2.</w:t>
            </w:r>
          </w:p>
        </w:tc>
        <w:tc>
          <w:tcPr>
            <w:tcW w:w="6682" w:type="dxa"/>
          </w:tcPr>
          <w:p>
            <w:pPr>
              <w:pStyle w:val="TableParagraph"/>
              <w:spacing w:line="360" w:lineRule="auto" w:before="180"/>
              <w:ind w:left="185" w:right="1047"/>
              <w:rPr>
                <w:sz w:val="24"/>
              </w:rPr>
            </w:pPr>
            <w:r>
              <w:rPr>
                <w:sz w:val="24"/>
              </w:rPr>
              <w:t>Cuadros clínicos presentados en los 100 pacientes positivos a PVC-2</w:t>
            </w:r>
          </w:p>
        </w:tc>
        <w:tc>
          <w:tcPr>
            <w:tcW w:w="1062" w:type="dxa"/>
          </w:tcPr>
          <w:p>
            <w:pPr>
              <w:pStyle w:val="TableParagraph"/>
              <w:spacing w:before="7"/>
              <w:rPr>
                <w:b/>
                <w:sz w:val="33"/>
              </w:rPr>
            </w:pPr>
          </w:p>
          <w:p>
            <w:pPr>
              <w:pStyle w:val="TableParagraph"/>
              <w:ind w:left="93" w:right="181"/>
              <w:jc w:val="center"/>
              <w:rPr>
                <w:sz w:val="24"/>
              </w:rPr>
            </w:pPr>
            <w:r>
              <w:rPr>
                <w:sz w:val="24"/>
              </w:rPr>
              <w:t>51</w:t>
            </w:r>
          </w:p>
        </w:tc>
      </w:tr>
      <w:tr>
        <w:trPr>
          <w:trHeight w:val="1078" w:hRule="exact"/>
        </w:trPr>
        <w:tc>
          <w:tcPr>
            <w:tcW w:w="1258" w:type="dxa"/>
          </w:tcPr>
          <w:p>
            <w:pPr>
              <w:pStyle w:val="TableParagraph"/>
              <w:spacing w:before="10"/>
              <w:rPr>
                <w:b/>
                <w:sz w:val="33"/>
              </w:rPr>
            </w:pPr>
          </w:p>
          <w:p>
            <w:pPr>
              <w:pStyle w:val="TableParagraph"/>
              <w:ind w:left="200"/>
              <w:rPr>
                <w:sz w:val="24"/>
              </w:rPr>
            </w:pPr>
            <w:r>
              <w:rPr>
                <w:sz w:val="24"/>
              </w:rPr>
              <w:t>Tabla 3.</w:t>
            </w:r>
          </w:p>
        </w:tc>
        <w:tc>
          <w:tcPr>
            <w:tcW w:w="6682" w:type="dxa"/>
          </w:tcPr>
          <w:p>
            <w:pPr>
              <w:pStyle w:val="TableParagraph"/>
              <w:spacing w:line="360" w:lineRule="auto" w:before="183"/>
              <w:ind w:left="185" w:right="247"/>
              <w:rPr>
                <w:sz w:val="24"/>
              </w:rPr>
            </w:pPr>
            <w:r>
              <w:rPr>
                <w:sz w:val="24"/>
              </w:rPr>
              <w:t>Numero de inmunizaciones y características de la diarrea presentadas en 100 pacientes positivos a PVC-2.</w:t>
            </w:r>
          </w:p>
        </w:tc>
        <w:tc>
          <w:tcPr>
            <w:tcW w:w="1062" w:type="dxa"/>
          </w:tcPr>
          <w:p>
            <w:pPr>
              <w:pStyle w:val="TableParagraph"/>
              <w:spacing w:before="10"/>
              <w:rPr>
                <w:b/>
                <w:sz w:val="33"/>
              </w:rPr>
            </w:pPr>
          </w:p>
          <w:p>
            <w:pPr>
              <w:pStyle w:val="TableParagraph"/>
              <w:ind w:left="93" w:right="181"/>
              <w:jc w:val="center"/>
              <w:rPr>
                <w:sz w:val="24"/>
              </w:rPr>
            </w:pPr>
            <w:r>
              <w:rPr>
                <w:sz w:val="24"/>
              </w:rPr>
              <w:t>52</w:t>
            </w:r>
          </w:p>
        </w:tc>
      </w:tr>
      <w:tr>
        <w:trPr>
          <w:trHeight w:val="1078" w:hRule="exact"/>
        </w:trPr>
        <w:tc>
          <w:tcPr>
            <w:tcW w:w="1258" w:type="dxa"/>
          </w:tcPr>
          <w:p>
            <w:pPr>
              <w:pStyle w:val="TableParagraph"/>
              <w:spacing w:before="7"/>
              <w:rPr>
                <w:b/>
                <w:sz w:val="33"/>
              </w:rPr>
            </w:pPr>
          </w:p>
          <w:p>
            <w:pPr>
              <w:pStyle w:val="TableParagraph"/>
              <w:ind w:left="200"/>
              <w:rPr>
                <w:sz w:val="24"/>
              </w:rPr>
            </w:pPr>
            <w:r>
              <w:rPr>
                <w:sz w:val="24"/>
              </w:rPr>
              <w:t>Tabla 4.</w:t>
            </w:r>
          </w:p>
        </w:tc>
        <w:tc>
          <w:tcPr>
            <w:tcW w:w="6682" w:type="dxa"/>
          </w:tcPr>
          <w:p>
            <w:pPr>
              <w:pStyle w:val="TableParagraph"/>
              <w:spacing w:line="360" w:lineRule="auto" w:before="180"/>
              <w:ind w:left="185" w:right="247"/>
              <w:rPr>
                <w:sz w:val="24"/>
              </w:rPr>
            </w:pPr>
            <w:r>
              <w:rPr>
                <w:sz w:val="24"/>
              </w:rPr>
              <w:t>Eliminación de partículas virales vacunales evaluadas por la técnica de PCR y PCR anidado</w:t>
            </w:r>
          </w:p>
        </w:tc>
        <w:tc>
          <w:tcPr>
            <w:tcW w:w="1062" w:type="dxa"/>
          </w:tcPr>
          <w:p>
            <w:pPr>
              <w:pStyle w:val="TableParagraph"/>
              <w:spacing w:before="7"/>
              <w:rPr>
                <w:b/>
                <w:sz w:val="33"/>
              </w:rPr>
            </w:pPr>
          </w:p>
          <w:p>
            <w:pPr>
              <w:pStyle w:val="TableParagraph"/>
              <w:ind w:left="93" w:right="181"/>
              <w:jc w:val="center"/>
              <w:rPr>
                <w:sz w:val="24"/>
              </w:rPr>
            </w:pPr>
            <w:r>
              <w:rPr>
                <w:sz w:val="24"/>
              </w:rPr>
              <w:t>55</w:t>
            </w:r>
          </w:p>
        </w:tc>
      </w:tr>
      <w:tr>
        <w:trPr>
          <w:trHeight w:val="1078" w:hRule="exact"/>
        </w:trPr>
        <w:tc>
          <w:tcPr>
            <w:tcW w:w="1258" w:type="dxa"/>
          </w:tcPr>
          <w:p>
            <w:pPr>
              <w:pStyle w:val="TableParagraph"/>
              <w:spacing w:before="10"/>
              <w:rPr>
                <w:b/>
                <w:sz w:val="33"/>
              </w:rPr>
            </w:pPr>
          </w:p>
          <w:p>
            <w:pPr>
              <w:pStyle w:val="TableParagraph"/>
              <w:ind w:left="200"/>
              <w:rPr>
                <w:sz w:val="24"/>
              </w:rPr>
            </w:pPr>
            <w:r>
              <w:rPr>
                <w:sz w:val="24"/>
              </w:rPr>
              <w:t>Tabla 5</w:t>
            </w:r>
          </w:p>
        </w:tc>
        <w:tc>
          <w:tcPr>
            <w:tcW w:w="6682" w:type="dxa"/>
          </w:tcPr>
          <w:p>
            <w:pPr>
              <w:pStyle w:val="TableParagraph"/>
              <w:spacing w:line="360" w:lineRule="auto" w:before="183"/>
              <w:ind w:left="185" w:right="247"/>
              <w:rPr>
                <w:sz w:val="24"/>
              </w:rPr>
            </w:pPr>
            <w:r>
              <w:rPr>
                <w:sz w:val="24"/>
              </w:rPr>
              <w:t>Signos clínicos y cambios en el hemograma presentados por las pacientes infectadas con PVC-2 , día 0 al 7</w:t>
            </w:r>
          </w:p>
        </w:tc>
        <w:tc>
          <w:tcPr>
            <w:tcW w:w="1062" w:type="dxa"/>
          </w:tcPr>
          <w:p>
            <w:pPr>
              <w:pStyle w:val="TableParagraph"/>
              <w:spacing w:before="10"/>
              <w:rPr>
                <w:b/>
                <w:sz w:val="33"/>
              </w:rPr>
            </w:pPr>
          </w:p>
          <w:p>
            <w:pPr>
              <w:pStyle w:val="TableParagraph"/>
              <w:ind w:left="93" w:right="181"/>
              <w:jc w:val="center"/>
              <w:rPr>
                <w:sz w:val="24"/>
              </w:rPr>
            </w:pPr>
            <w:r>
              <w:rPr>
                <w:sz w:val="24"/>
              </w:rPr>
              <w:t>57</w:t>
            </w:r>
          </w:p>
        </w:tc>
      </w:tr>
      <w:tr>
        <w:trPr>
          <w:trHeight w:val="1018" w:hRule="exact"/>
        </w:trPr>
        <w:tc>
          <w:tcPr>
            <w:tcW w:w="1258" w:type="dxa"/>
          </w:tcPr>
          <w:p>
            <w:pPr>
              <w:pStyle w:val="TableParagraph"/>
              <w:spacing w:before="7"/>
              <w:rPr>
                <w:b/>
                <w:sz w:val="33"/>
              </w:rPr>
            </w:pPr>
          </w:p>
          <w:p>
            <w:pPr>
              <w:pStyle w:val="TableParagraph"/>
              <w:ind w:left="200"/>
              <w:rPr>
                <w:sz w:val="24"/>
              </w:rPr>
            </w:pPr>
            <w:r>
              <w:rPr>
                <w:sz w:val="24"/>
              </w:rPr>
              <w:t>Tabla 6</w:t>
            </w:r>
          </w:p>
        </w:tc>
        <w:tc>
          <w:tcPr>
            <w:tcW w:w="6682" w:type="dxa"/>
          </w:tcPr>
          <w:p>
            <w:pPr>
              <w:pStyle w:val="TableParagraph"/>
              <w:spacing w:line="362" w:lineRule="auto" w:before="180"/>
              <w:ind w:left="185" w:right="247"/>
              <w:rPr>
                <w:sz w:val="24"/>
              </w:rPr>
            </w:pPr>
            <w:r>
              <w:rPr>
                <w:sz w:val="24"/>
              </w:rPr>
              <w:t>Signos clínicos y cambios en el hemograma presentados por las pacientes infectadas con PVC-2 , día 8 al 16</w:t>
            </w:r>
          </w:p>
        </w:tc>
        <w:tc>
          <w:tcPr>
            <w:tcW w:w="1062" w:type="dxa"/>
          </w:tcPr>
          <w:p>
            <w:pPr>
              <w:pStyle w:val="TableParagraph"/>
              <w:spacing w:before="7"/>
              <w:rPr>
                <w:b/>
                <w:sz w:val="33"/>
              </w:rPr>
            </w:pPr>
          </w:p>
          <w:p>
            <w:pPr>
              <w:pStyle w:val="TableParagraph"/>
              <w:ind w:left="93" w:right="181"/>
              <w:jc w:val="center"/>
              <w:rPr>
                <w:sz w:val="24"/>
              </w:rPr>
            </w:pPr>
            <w:r>
              <w:rPr>
                <w:sz w:val="24"/>
              </w:rPr>
              <w:t>58</w:t>
            </w:r>
          </w:p>
        </w:tc>
      </w:tr>
      <w:tr>
        <w:trPr>
          <w:trHeight w:val="1215" w:hRule="exact"/>
        </w:trPr>
        <w:tc>
          <w:tcPr>
            <w:tcW w:w="1258" w:type="dxa"/>
          </w:tcPr>
          <w:p>
            <w:pPr>
              <w:pStyle w:val="TableParagraph"/>
              <w:rPr>
                <w:b/>
                <w:sz w:val="24"/>
              </w:rPr>
            </w:pPr>
          </w:p>
          <w:p>
            <w:pPr>
              <w:pStyle w:val="TableParagraph"/>
              <w:spacing w:before="2"/>
              <w:rPr>
                <w:b/>
                <w:sz w:val="22"/>
              </w:rPr>
            </w:pPr>
          </w:p>
          <w:p>
            <w:pPr>
              <w:pStyle w:val="TableParagraph"/>
              <w:ind w:left="200"/>
              <w:rPr>
                <w:sz w:val="24"/>
              </w:rPr>
            </w:pPr>
            <w:r>
              <w:rPr>
                <w:sz w:val="24"/>
              </w:rPr>
              <w:t>Tabla 7</w:t>
            </w:r>
          </w:p>
        </w:tc>
        <w:tc>
          <w:tcPr>
            <w:tcW w:w="6682" w:type="dxa"/>
          </w:tcPr>
          <w:p>
            <w:pPr>
              <w:pStyle w:val="TableParagraph"/>
              <w:spacing w:line="360" w:lineRule="auto" w:before="118"/>
              <w:ind w:left="185" w:right="247"/>
              <w:rPr>
                <w:sz w:val="24"/>
              </w:rPr>
            </w:pPr>
            <w:r>
              <w:rPr>
                <w:sz w:val="24"/>
              </w:rPr>
              <w:t>Día de evaluación de excreción y diagnostico mediante pruebas rápidas , PCR y PCR anidado en pacientes</w:t>
            </w:r>
          </w:p>
          <w:p>
            <w:pPr>
              <w:pStyle w:val="TableParagraph"/>
              <w:spacing w:before="3"/>
              <w:ind w:left="185" w:right="247"/>
              <w:rPr>
                <w:sz w:val="24"/>
              </w:rPr>
            </w:pPr>
            <w:r>
              <w:rPr>
                <w:sz w:val="24"/>
              </w:rPr>
              <w:t>infectadas con PVC-2</w:t>
            </w:r>
          </w:p>
        </w:tc>
        <w:tc>
          <w:tcPr>
            <w:tcW w:w="1062" w:type="dxa"/>
          </w:tcPr>
          <w:p>
            <w:pPr>
              <w:pStyle w:val="TableParagraph"/>
              <w:rPr>
                <w:b/>
                <w:sz w:val="24"/>
              </w:rPr>
            </w:pPr>
          </w:p>
          <w:p>
            <w:pPr>
              <w:pStyle w:val="TableParagraph"/>
              <w:spacing w:before="2"/>
              <w:rPr>
                <w:b/>
                <w:sz w:val="22"/>
              </w:rPr>
            </w:pPr>
          </w:p>
          <w:p>
            <w:pPr>
              <w:pStyle w:val="TableParagraph"/>
              <w:ind w:left="92" w:right="181"/>
              <w:jc w:val="center"/>
              <w:rPr>
                <w:sz w:val="24"/>
              </w:rPr>
            </w:pPr>
            <w:r>
              <w:rPr>
                <w:sz w:val="24"/>
              </w:rPr>
              <w:t>59</w:t>
            </w:r>
          </w:p>
        </w:tc>
      </w:tr>
    </w:tbl>
    <w:p>
      <w:pPr>
        <w:spacing w:after="0"/>
        <w:jc w:val="center"/>
        <w:rPr>
          <w:sz w:val="24"/>
        </w:rPr>
        <w:sectPr>
          <w:pgSz w:w="12240" w:h="15840"/>
          <w:pgMar w:header="1154" w:footer="1713" w:top="1520" w:bottom="1900" w:left="1660" w:right="1340"/>
        </w:sectPr>
      </w:pPr>
    </w:p>
    <w:p>
      <w:pPr>
        <w:pStyle w:val="BodyText"/>
        <w:spacing w:before="4"/>
        <w:rPr>
          <w:b/>
          <w:sz w:val="17"/>
        </w:rPr>
      </w:pPr>
    </w:p>
    <w:p>
      <w:pPr>
        <w:spacing w:before="69"/>
        <w:ind w:left="152" w:right="0" w:firstLine="0"/>
        <w:jc w:val="both"/>
        <w:rPr>
          <w:b/>
          <w:sz w:val="24"/>
        </w:rPr>
      </w:pPr>
      <w:r>
        <w:rPr>
          <w:b/>
          <w:sz w:val="24"/>
        </w:rPr>
        <w:t>ABSTRACT</w:t>
      </w:r>
    </w:p>
    <w:p>
      <w:pPr>
        <w:pStyle w:val="BodyText"/>
        <w:spacing w:before="3"/>
        <w:rPr>
          <w:b/>
          <w:sz w:val="30"/>
        </w:rPr>
      </w:pPr>
    </w:p>
    <w:p>
      <w:pPr>
        <w:pStyle w:val="BodyText"/>
        <w:spacing w:line="360" w:lineRule="auto"/>
        <w:ind w:left="152" w:right="143"/>
        <w:jc w:val="both"/>
      </w:pPr>
      <w:r>
        <w:rPr/>
        <w:t>Canine parvovirus type 2 (CPV-2) is considered one of the main infectious  diseases that affect dogs, that generates moderate to severe gastroenteric diseases characterized by the presence of vomiting, mucoid </w:t>
      </w:r>
      <w:r>
        <w:rPr>
          <w:spacing w:val="-3"/>
        </w:rPr>
        <w:t>to </w:t>
      </w:r>
      <w:r>
        <w:rPr/>
        <w:t>hemorrhagic diarrhea and hematologic changes, as leucopenia. This virus has suffered mutations in the capsid genes denominated CPV-2a, 2b and 2c. The difference generated by these variants on clinical signs and pathogenicity has resulted controversial, showing a severe clinical signs or even a subclinical disease. There are multiple diagnostic tools for CPV-2 infection; however those own different sensitivities which becomes important to establish a definitive diagnosis, treatment and disease</w:t>
      </w:r>
      <w:r>
        <w:rPr>
          <w:spacing w:val="-8"/>
        </w:rPr>
        <w:t> </w:t>
      </w:r>
      <w:r>
        <w:rPr/>
        <w:t>control.</w:t>
      </w:r>
    </w:p>
    <w:p>
      <w:pPr>
        <w:pStyle w:val="BodyText"/>
        <w:spacing w:line="360" w:lineRule="auto" w:before="209"/>
        <w:ind w:left="152" w:right="141"/>
        <w:jc w:val="both"/>
      </w:pPr>
      <w:r>
        <w:rPr/>
        <w:t>Currently in Mexico those diagnostic methods used by veterinarians for the identification of CPV-2 are not well known. Therefore in this research 1054 veterinarians from our country were interviewed. The data showed that, 16% of those veterinarians only used the medial history (MH) and general physical examination (GPE) did not confirm the diagnosis by laboratory methods,  13%  using MH, GPE and only includes blood cell count (CBC) to identify leukopenia, 59% use MH, GPE and only includes blood cell count to identify leukopenia, 59% use MH, GPE, CBC including inmunochromatography kits, and only 12% were based on a comprehensive diagnosis using PCR to confirm the diagnosis. Once this information is examined, the sensitivity and specificity of the procedures reported by a clinical trial compared by the result of the nested PCR technique in order to evaluate the usefulness of these techniques for the diagnosis of CPV-2 in clinical</w:t>
      </w:r>
      <w:r>
        <w:rPr>
          <w:spacing w:val="-2"/>
        </w:rPr>
        <w:t> </w:t>
      </w:r>
      <w:r>
        <w:rPr/>
        <w:t>practice.</w:t>
      </w:r>
    </w:p>
    <w:p>
      <w:pPr>
        <w:spacing w:after="0" w:line="360" w:lineRule="auto"/>
        <w:jc w:val="both"/>
        <w:sectPr>
          <w:pgSz w:w="12240" w:h="15840"/>
          <w:pgMar w:header="1154" w:footer="1713" w:top="1520" w:bottom="1900" w:left="1720" w:right="1380"/>
        </w:sectPr>
      </w:pPr>
    </w:p>
    <w:p>
      <w:pPr>
        <w:pStyle w:val="BodyText"/>
        <w:spacing w:before="4"/>
        <w:rPr>
          <w:sz w:val="17"/>
        </w:rPr>
      </w:pPr>
    </w:p>
    <w:p>
      <w:pPr>
        <w:pStyle w:val="Heading1"/>
        <w:ind w:left="152" w:firstLine="0"/>
      </w:pPr>
      <w:r>
        <w:rPr/>
        <w:t>RESUMEN</w:t>
      </w:r>
    </w:p>
    <w:p>
      <w:pPr>
        <w:pStyle w:val="BodyText"/>
        <w:spacing w:before="3"/>
        <w:rPr>
          <w:b/>
          <w:sz w:val="30"/>
        </w:rPr>
      </w:pPr>
    </w:p>
    <w:p>
      <w:pPr>
        <w:pStyle w:val="BodyText"/>
        <w:spacing w:line="360" w:lineRule="auto"/>
        <w:ind w:left="152" w:right="141"/>
        <w:jc w:val="both"/>
      </w:pPr>
      <w:r>
        <w:rPr/>
        <w:t>Parvovirus canino tipo 2 (PVC-2) es considerada una de las principales enfermedades infecciosas que afectan a los perros, genera cuadros clínicos gastroentéricos de moderados a severos caracterizados por presencia de vómito, diarrea mucoide a hemorrágica y cambios hematológicos como leucopenia. Este virus ha sufrido mutaciones en los genes de la cápside generando variantes antigénicas denominadas CPV-2a, 2b y 2c. Las diferencias generadas por estas variantes en los hallazgos clínicos y en la patogenicidad han generado  controversia mostrando desde cuadros clínicos severos, a subclínicos. Existen múltiples herramientas de diagnóstico para la infección de PVC-2, sin embargo estas poseen diversa sensibilidad lo cual se vuelve importante para establecer un diagnóstico  definitivo, tratamiento y control  de la</w:t>
      </w:r>
      <w:r>
        <w:rPr>
          <w:spacing w:val="-37"/>
        </w:rPr>
        <w:t> </w:t>
      </w:r>
      <w:r>
        <w:rPr/>
        <w:t>enfermedad.</w:t>
      </w:r>
    </w:p>
    <w:p>
      <w:pPr>
        <w:pStyle w:val="BodyText"/>
        <w:spacing w:line="360" w:lineRule="auto" w:before="209"/>
        <w:ind w:left="152" w:right="145"/>
        <w:jc w:val="both"/>
      </w:pPr>
      <w:r>
        <w:rPr/>
        <w:t>Actualmente en México no se conocen cuáles son los métodos diagnósticos utilizados por los veterinarios para </w:t>
      </w:r>
      <w:r>
        <w:rPr>
          <w:spacing w:val="5"/>
        </w:rPr>
        <w:t>la </w:t>
      </w:r>
      <w:r>
        <w:rPr/>
        <w:t>identificación de PVC-2, por lo tanto en este estudio, se realizaron encuestas a 1054 veterinarios de nuestro país, los datos obtenidos indican que 16% de los médicos veterinarios, solamente utiliza  la historia clínica (HC) y el examen físico general (EFG) y no confirman  su diagnóstico por métodos de laboratorio, un 13% utiliza HC, EFG y solo incluye el hemograma (HG) para identificar leucopenia, el 59% utiliza HC, EFG, HG y además incluye kits de inmunocromatografía, y solamente el 12% </w:t>
      </w:r>
      <w:r>
        <w:rPr>
          <w:spacing w:val="-3"/>
        </w:rPr>
        <w:t>se </w:t>
      </w:r>
      <w:r>
        <w:rPr/>
        <w:t>basa en un diagnóstico integral utilizando además a la PCR para confirmar su diagnóstico.  Una vez obtenida esta información, se analizó, la sensibilidad y la especificidad de los procedimientos reportados mediante un ensayo clínico, comparando el resultado con la técnica de PCR anidada, a fin de evaluar la utilidad que estas técnicas   poseen   para   el   diagnóstico   de   PVC-2   en   la   práctica     </w:t>
      </w:r>
      <w:r>
        <w:rPr>
          <w:spacing w:val="56"/>
        </w:rPr>
        <w:t> </w:t>
      </w:r>
      <w:r>
        <w:rPr/>
        <w:t>clínica.</w:t>
      </w:r>
    </w:p>
    <w:p>
      <w:pPr>
        <w:spacing w:after="0" w:line="360" w:lineRule="auto"/>
        <w:jc w:val="both"/>
        <w:sectPr>
          <w:footerReference w:type="default" r:id="rId8"/>
          <w:pgSz w:w="12240" w:h="15840"/>
          <w:pgMar w:footer="1713" w:header="1154" w:top="1520" w:bottom="1900" w:left="1720" w:right="1380"/>
          <w:pgNumType w:start="9"/>
        </w:sectPr>
      </w:pPr>
    </w:p>
    <w:p>
      <w:pPr>
        <w:pStyle w:val="BodyText"/>
        <w:spacing w:before="4"/>
        <w:rPr>
          <w:sz w:val="17"/>
        </w:rPr>
      </w:pPr>
    </w:p>
    <w:p>
      <w:pPr>
        <w:pStyle w:val="Heading1"/>
        <w:numPr>
          <w:ilvl w:val="0"/>
          <w:numId w:val="1"/>
        </w:numPr>
        <w:tabs>
          <w:tab w:pos="513" w:val="left" w:leader="none"/>
        </w:tabs>
        <w:spacing w:line="240" w:lineRule="auto" w:before="69" w:after="0"/>
        <w:ind w:left="513" w:right="0" w:hanging="361"/>
        <w:jc w:val="both"/>
      </w:pPr>
      <w:r>
        <w:rPr/>
        <w:t>INTRODUCCIÓN</w:t>
      </w:r>
    </w:p>
    <w:p>
      <w:pPr>
        <w:pStyle w:val="BodyText"/>
        <w:spacing w:before="3"/>
        <w:rPr>
          <w:b/>
          <w:sz w:val="30"/>
        </w:rPr>
      </w:pPr>
    </w:p>
    <w:p>
      <w:pPr>
        <w:pStyle w:val="BodyText"/>
        <w:spacing w:line="360" w:lineRule="auto"/>
        <w:ind w:left="152" w:right="140"/>
        <w:jc w:val="both"/>
      </w:pPr>
      <w:r>
        <w:rPr/>
        <w:t>Parvovirus canino tipo 2 (PVC-2) es considerado la mayor causa de morbilidad y mortalidad en perros alrededor del mundo, particularmente cachorros (Ling </w:t>
      </w:r>
      <w:r>
        <w:rPr>
          <w:i/>
        </w:rPr>
        <w:t>et al. </w:t>
      </w:r>
      <w:r>
        <w:rPr/>
        <w:t>2012; Kalli </w:t>
      </w:r>
      <w:r>
        <w:rPr>
          <w:i/>
        </w:rPr>
        <w:t>et al. </w:t>
      </w:r>
      <w:r>
        <w:rPr/>
        <w:t>2010). Fue considerado como un problema clínico en el verano de 1978 y reportado primeramente por Estados Unidos sin embargo los científicos de Europa y Australia reconocieron el virus casi simultáneamente (Charmichael, 2005).</w:t>
      </w:r>
    </w:p>
    <w:p>
      <w:pPr>
        <w:pStyle w:val="BodyText"/>
        <w:spacing w:line="360" w:lineRule="auto" w:before="209"/>
        <w:ind w:left="152" w:right="143"/>
        <w:jc w:val="both"/>
      </w:pPr>
      <w:r>
        <w:rPr/>
        <w:t>La severa epizootia generada por este virus se caracterizó por causar una gastroenteritis severa (diarrea mucoide o hemorrágica), depresión, pérdida del apetito, vómito y leucopenia; el virus fue referido </w:t>
      </w:r>
      <w:r>
        <w:rPr>
          <w:spacing w:val="-4"/>
        </w:rPr>
        <w:t>como </w:t>
      </w:r>
      <w:r>
        <w:rPr/>
        <w:t>CPV-2 para distinguirlo del virus diminuto de los caninos (MVC o PVC-1) responsable de la muerte neonatal en cachorros, con el cual se encuentra genética y antigénicamente relacionado (Mohan </w:t>
      </w:r>
      <w:r>
        <w:rPr>
          <w:i/>
        </w:rPr>
        <w:t>et al., </w:t>
      </w:r>
      <w:r>
        <w:rPr/>
        <w:t>2010; Gallo </w:t>
      </w:r>
      <w:r>
        <w:rPr>
          <w:i/>
        </w:rPr>
        <w:t>et al.</w:t>
      </w:r>
      <w:r>
        <w:rPr/>
        <w:t>2009; Carmichael </w:t>
      </w:r>
      <w:r>
        <w:rPr>
          <w:i/>
        </w:rPr>
        <w:t>et al., </w:t>
      </w:r>
      <w:r>
        <w:rPr/>
        <w:t>1994). Además del cuadro gastroentérico que suele observase en las infecciones por PVC-2 se sabe que posee la capacidad de generar infecciones subclínicas e inaparentes que han sido detectadas en cachorros y adultos con títulos intermedios de anticuerpos  maternos considerados protectores (Decaro </w:t>
      </w:r>
      <w:r>
        <w:rPr>
          <w:i/>
        </w:rPr>
        <w:t>et al.,</w:t>
      </w:r>
      <w:r>
        <w:rPr>
          <w:i/>
          <w:spacing w:val="-17"/>
        </w:rPr>
        <w:t> </w:t>
      </w:r>
      <w:r>
        <w:rPr/>
        <w:t>2005).</w:t>
      </w:r>
    </w:p>
    <w:p>
      <w:pPr>
        <w:pStyle w:val="BodyText"/>
        <w:spacing w:line="360" w:lineRule="auto" w:before="209"/>
        <w:ind w:left="152" w:right="143"/>
        <w:jc w:val="both"/>
      </w:pPr>
      <w:r>
        <w:rPr/>
        <w:t>PVC-2 fue reconocido rápidamente alrededor del mundo pero fue remplazado de forma global a principios de 1980 por una cepa antigénica y genéticamente distinta CPV-2a desde entonces nuevas cepas continúan evolucionando siempre con mutaciones en los genes de la cápside, dos de estas cepas se distinguen por cambios en los aminoácidos y han sido nombrados CPV-2b y CPV-2c (Markovich </w:t>
      </w:r>
      <w:r>
        <w:rPr>
          <w:i/>
        </w:rPr>
        <w:t>et al, </w:t>
      </w:r>
      <w:r>
        <w:rPr/>
        <w:t>2012).Las diferencias generadas por estas variantes en los  hallazgos clínicos y en la patogenicidad actualmente generan controversia; cuando recientemente aparecieron las variantes PVC-2a y PVC-2b se asociaron a cuadros clínicos severos de diarrea hemorrágica, shock y muerte en los pacientes infectados principalmente cachorros, mientras que a PVC-2c      </w:t>
      </w:r>
      <w:r>
        <w:rPr>
          <w:spacing w:val="16"/>
        </w:rPr>
        <w:t> </w:t>
      </w:r>
      <w:r>
        <w:rPr>
          <w:spacing w:val="-3"/>
        </w:rPr>
        <w:t>se </w:t>
      </w:r>
      <w:r>
        <w:rPr/>
        <w:t>le ha señalado</w:t>
      </w:r>
    </w:p>
    <w:p>
      <w:pPr>
        <w:spacing w:after="0" w:line="360" w:lineRule="auto"/>
        <w:jc w:val="both"/>
        <w:sectPr>
          <w:footerReference w:type="default" r:id="rId9"/>
          <w:pgSz w:w="12240" w:h="15840"/>
          <w:pgMar w:footer="1713" w:header="1154" w:top="1520" w:bottom="1900" w:left="1720" w:right="1380"/>
          <w:pgNumType w:start="1"/>
        </w:sectPr>
      </w:pPr>
    </w:p>
    <w:p>
      <w:pPr>
        <w:pStyle w:val="BodyText"/>
        <w:spacing w:before="2"/>
        <w:rPr>
          <w:sz w:val="18"/>
        </w:rPr>
      </w:pPr>
    </w:p>
    <w:p>
      <w:pPr>
        <w:pStyle w:val="BodyText"/>
        <w:spacing w:line="357" w:lineRule="auto" w:before="70"/>
        <w:ind w:left="152" w:right="156"/>
        <w:jc w:val="both"/>
      </w:pPr>
      <w:r>
        <w:rPr/>
        <w:t>como una variante que genera altas tasas de mortalidad y existen reportes de infección en perros adultos, hembras gestantes y pacientes regularmente vacunados (Decaro </w:t>
      </w:r>
      <w:r>
        <w:rPr>
          <w:i/>
        </w:rPr>
        <w:t>et al., </w:t>
      </w:r>
      <w:r>
        <w:rPr/>
        <w:t>2005, Decaro </w:t>
      </w:r>
      <w:r>
        <w:rPr>
          <w:i/>
        </w:rPr>
        <w:t>et al., </w:t>
      </w:r>
      <w:r>
        <w:rPr/>
        <w:t>2008, Buonavoglia  </w:t>
      </w:r>
      <w:r>
        <w:rPr>
          <w:i/>
        </w:rPr>
        <w:t>et al.,</w:t>
      </w:r>
      <w:r>
        <w:rPr/>
        <w:t>2001).</w:t>
      </w:r>
    </w:p>
    <w:p>
      <w:pPr>
        <w:pStyle w:val="BodyText"/>
        <w:spacing w:line="360" w:lineRule="auto" w:before="212"/>
        <w:ind w:left="152" w:right="140"/>
        <w:jc w:val="both"/>
      </w:pPr>
      <w:r>
        <w:rPr/>
        <w:t>El diagnostico de parvovirus canino debe realizarse de manera rápida y eficiente con el objetivo de aislar a pacientes enfermos de pacientes susceptibles y establecer un tratamiento rápido para prevenir infecciones secundarias concomitantes además se considera que siempre debe ser confirmado por exámenes de laboratorio (Desario </w:t>
      </w:r>
      <w:r>
        <w:rPr>
          <w:i/>
        </w:rPr>
        <w:t>et al.</w:t>
      </w:r>
      <w:r>
        <w:rPr/>
        <w:t>, 2005; Decaro </w:t>
      </w:r>
      <w:r>
        <w:rPr>
          <w:i/>
        </w:rPr>
        <w:t>et al., </w:t>
      </w:r>
      <w:r>
        <w:rPr/>
        <w:t>2005; Schmitz </w:t>
      </w:r>
      <w:r>
        <w:rPr>
          <w:i/>
        </w:rPr>
        <w:t>et al.</w:t>
      </w:r>
      <w:r>
        <w:rPr/>
        <w:t>, 2009).</w:t>
      </w:r>
    </w:p>
    <w:p>
      <w:pPr>
        <w:pStyle w:val="BodyText"/>
        <w:spacing w:line="360" w:lineRule="auto" w:before="205"/>
        <w:ind w:left="152" w:right="140"/>
        <w:jc w:val="both"/>
      </w:pPr>
      <w:r>
        <w:rPr/>
        <w:t>Gran cantidad de técnicas han sido desarrolladas para realizar el diagnostico de PVC-2 entre ellas se encuentra la técnica </w:t>
      </w:r>
      <w:r>
        <w:rPr>
          <w:spacing w:val="4"/>
        </w:rPr>
        <w:t>de </w:t>
      </w:r>
      <w:r>
        <w:rPr/>
        <w:t>hemoaglutinación (HA) combinada con inhibición de la hemoaglutinación (HI) (Pirjo </w:t>
      </w:r>
      <w:r>
        <w:rPr>
          <w:i/>
        </w:rPr>
        <w:t>et al., </w:t>
      </w:r>
      <w:r>
        <w:rPr/>
        <w:t>1986; Decaro  y Buonavoglia, 2012), el aislamiento viral (Desario </w:t>
      </w:r>
      <w:r>
        <w:rPr>
          <w:i/>
        </w:rPr>
        <w:t>et al.,</w:t>
      </w:r>
      <w:r>
        <w:rPr/>
        <w:t>2005), los test de inmunocromatografía a los cuales se les considera los </w:t>
      </w:r>
      <w:r>
        <w:rPr>
          <w:spacing w:val="-3"/>
        </w:rPr>
        <w:t>más </w:t>
      </w:r>
      <w:r>
        <w:rPr/>
        <w:t>populares en la práctica clínica (Esfandiari y Klingeborn, 2000; Desario </w:t>
      </w:r>
      <w:r>
        <w:rPr>
          <w:i/>
        </w:rPr>
        <w:t>et al.</w:t>
      </w:r>
      <w:r>
        <w:rPr/>
        <w:t>, 2005;) y finalmente  la reacción en cadena de polimerasa (PCR) la cual ha sido utilizada en los últimos años como herramienta diagnostica con resultados satisfactorios (Schunck </w:t>
      </w:r>
      <w:r>
        <w:rPr>
          <w:i/>
        </w:rPr>
        <w:t>et al., </w:t>
      </w:r>
      <w:r>
        <w:rPr/>
        <w:t>1995;Uwatoko </w:t>
      </w:r>
      <w:r>
        <w:rPr>
          <w:i/>
        </w:rPr>
        <w:t>et al., </w:t>
      </w:r>
      <w:r>
        <w:rPr/>
        <w:t>1995; Pereira </w:t>
      </w:r>
      <w:r>
        <w:rPr>
          <w:i/>
        </w:rPr>
        <w:t>et al., </w:t>
      </w:r>
      <w:r>
        <w:rPr/>
        <w:t>2000) y una derivación a esta, la técnica de PCR anidada la </w:t>
      </w:r>
      <w:r>
        <w:rPr>
          <w:spacing w:val="-3"/>
        </w:rPr>
        <w:t>cual </w:t>
      </w:r>
      <w:r>
        <w:rPr/>
        <w:t>ha sido considerada como la </w:t>
      </w:r>
      <w:r>
        <w:rPr>
          <w:spacing w:val="-3"/>
        </w:rPr>
        <w:t>más </w:t>
      </w:r>
      <w:r>
        <w:rPr/>
        <w:t>sensible (Hirasawa </w:t>
      </w:r>
      <w:r>
        <w:rPr>
          <w:i/>
        </w:rPr>
        <w:t>et </w:t>
      </w:r>
      <w:r>
        <w:rPr>
          <w:i/>
        </w:rPr>
        <w:t>al.,</w:t>
      </w:r>
      <w:r>
        <w:rPr>
          <w:i/>
          <w:spacing w:val="-4"/>
        </w:rPr>
        <w:t> </w:t>
      </w:r>
      <w:r>
        <w:rPr/>
        <w:t>1994)</w:t>
      </w:r>
    </w:p>
    <w:p>
      <w:pPr>
        <w:pStyle w:val="BodyText"/>
        <w:spacing w:line="360" w:lineRule="auto" w:before="209"/>
        <w:ind w:left="152" w:right="142"/>
        <w:jc w:val="both"/>
      </w:pPr>
      <w:r>
        <w:rPr/>
        <w:t>Todas estas técnicas poseen diversa sensibilidad para la detección de CPV-2 y no existe hasta el momento ningún estudio que indique cuales son las herramientas diagnosticas más utilizadas para la identificación de parvovirus canino en nuestro país y cuál es la sensibilidad y especificidad que ofrecen para ser utilizadas en el diagnóstico de PVC-2. Esta información fue vista como un área de oportunidad para realizar este proyecto y que sus resultados sirvan de apoyo para el quehacer profesional del veterinario de perros y gatos</w:t>
      </w:r>
      <w:r>
        <w:rPr>
          <w:color w:val="FF0000"/>
        </w:rPr>
        <w:t>.</w:t>
      </w:r>
    </w:p>
    <w:p>
      <w:pPr>
        <w:spacing w:after="0" w:line="360" w:lineRule="auto"/>
        <w:jc w:val="both"/>
        <w:sectPr>
          <w:pgSz w:w="12240" w:h="15840"/>
          <w:pgMar w:header="1154" w:footer="1713" w:top="1520" w:bottom="1900" w:left="1720" w:right="1380"/>
        </w:sectPr>
      </w:pPr>
    </w:p>
    <w:p>
      <w:pPr>
        <w:pStyle w:val="BodyText"/>
        <w:spacing w:before="9"/>
        <w:rPr>
          <w:sz w:val="17"/>
        </w:rPr>
      </w:pPr>
    </w:p>
    <w:p>
      <w:pPr>
        <w:pStyle w:val="Heading1"/>
        <w:numPr>
          <w:ilvl w:val="0"/>
          <w:numId w:val="1"/>
        </w:numPr>
        <w:tabs>
          <w:tab w:pos="513" w:val="left" w:leader="none"/>
        </w:tabs>
        <w:spacing w:line="240" w:lineRule="auto" w:before="69" w:after="0"/>
        <w:ind w:left="513" w:right="0" w:hanging="361"/>
        <w:jc w:val="both"/>
      </w:pPr>
      <w:r>
        <w:rPr/>
        <w:t>REVISIÓN  DE</w:t>
      </w:r>
      <w:r>
        <w:rPr>
          <w:spacing w:val="-9"/>
        </w:rPr>
        <w:t> </w:t>
      </w:r>
      <w:r>
        <w:rPr/>
        <w:t>LITERATURA</w:t>
      </w:r>
    </w:p>
    <w:p>
      <w:pPr>
        <w:pStyle w:val="BodyText"/>
        <w:rPr>
          <w:b/>
        </w:rPr>
      </w:pPr>
    </w:p>
    <w:p>
      <w:pPr>
        <w:pStyle w:val="BodyText"/>
        <w:spacing w:before="4"/>
        <w:rPr>
          <w:b/>
          <w:sz w:val="23"/>
        </w:rPr>
      </w:pPr>
    </w:p>
    <w:p>
      <w:pPr>
        <w:pStyle w:val="ListParagraph"/>
        <w:numPr>
          <w:ilvl w:val="1"/>
          <w:numId w:val="1"/>
        </w:numPr>
        <w:tabs>
          <w:tab w:pos="513" w:val="left" w:leader="none"/>
        </w:tabs>
        <w:spacing w:line="240" w:lineRule="auto" w:before="1" w:after="0"/>
        <w:ind w:left="513" w:right="0" w:hanging="361"/>
        <w:jc w:val="both"/>
        <w:rPr>
          <w:rFonts w:ascii="Arial" w:hAnsi="Arial"/>
          <w:b/>
          <w:sz w:val="24"/>
        </w:rPr>
      </w:pPr>
      <w:r>
        <w:rPr>
          <w:rFonts w:ascii="Arial" w:hAnsi="Arial"/>
          <w:b/>
          <w:sz w:val="24"/>
        </w:rPr>
        <w:t>Etiología</w:t>
      </w:r>
    </w:p>
    <w:p>
      <w:pPr>
        <w:pStyle w:val="BodyText"/>
        <w:spacing w:before="3"/>
        <w:rPr>
          <w:b/>
          <w:sz w:val="30"/>
        </w:rPr>
      </w:pPr>
    </w:p>
    <w:p>
      <w:pPr>
        <w:pStyle w:val="BodyText"/>
        <w:spacing w:line="360" w:lineRule="auto"/>
        <w:ind w:left="152" w:right="142"/>
        <w:jc w:val="both"/>
      </w:pPr>
      <w:r>
        <w:rPr/>
        <w:t>Parvovirus canino CPV-2,pertenece a la familia </w:t>
      </w:r>
      <w:r>
        <w:rPr>
          <w:i/>
        </w:rPr>
        <w:t>Parvoviridae, </w:t>
      </w:r>
      <w:r>
        <w:rPr/>
        <w:t>subfamilia </w:t>
      </w:r>
      <w:r>
        <w:rPr>
          <w:i/>
        </w:rPr>
        <w:t>Parvovirinae</w:t>
      </w:r>
      <w:r>
        <w:rPr/>
        <w:t>, genero </w:t>
      </w:r>
      <w:r>
        <w:rPr>
          <w:i/>
        </w:rPr>
        <w:t>Protoparvovirus</w:t>
      </w:r>
      <w:r>
        <w:rPr/>
        <w:t>, especie </w:t>
      </w:r>
      <w:r>
        <w:rPr>
          <w:i/>
        </w:rPr>
        <w:t>Protoparvovirus de los carnívoros </w:t>
      </w:r>
      <w:r>
        <w:rPr>
          <w:i/>
        </w:rPr>
        <w:t>1,</w:t>
      </w:r>
      <w:r>
        <w:rPr/>
        <w:t>especie a la que pertenecen actualmente parvovirus canino tipo 2 (PVC-2) y el virus de la panleucopenia felina esto referido por el Comité Internacional de Taxonomía de los Virus en el año 2013. Es un virus no envueltos cuenta con una cápside de 25nm de diámetro la cual envuelve una sola molécula lineal de DNA, la cápside de parvovirus es altamente antigénica y juega un rol importante determinado el rango del hospedador y su tropismo hacia los tejidos (Hoelzer y Parrish, 2010), posee un genoma de alrededor de 5000 nucleótidos, es un virus en constante evolución y debido a su alta tasa de sustitución de nucleótidos requiere de células de división rápida para replicarse (Hoskins,  2000; Moon </w:t>
      </w:r>
      <w:r>
        <w:rPr>
          <w:i/>
        </w:rPr>
        <w:t>et al., </w:t>
      </w:r>
      <w:r>
        <w:rPr/>
        <w:t>2008).</w:t>
      </w:r>
    </w:p>
    <w:p>
      <w:pPr>
        <w:pStyle w:val="Heading1"/>
        <w:numPr>
          <w:ilvl w:val="1"/>
          <w:numId w:val="1"/>
        </w:numPr>
        <w:tabs>
          <w:tab w:pos="556" w:val="left" w:leader="none"/>
        </w:tabs>
        <w:spacing w:line="240" w:lineRule="auto" w:before="199" w:after="0"/>
        <w:ind w:left="555" w:right="0" w:hanging="403"/>
        <w:jc w:val="both"/>
      </w:pPr>
      <w:r>
        <w:rPr/>
        <w:t>Epidemiología</w:t>
      </w:r>
    </w:p>
    <w:p>
      <w:pPr>
        <w:pStyle w:val="BodyText"/>
        <w:spacing w:before="3"/>
        <w:rPr>
          <w:b/>
          <w:sz w:val="30"/>
        </w:rPr>
      </w:pPr>
    </w:p>
    <w:p>
      <w:pPr>
        <w:pStyle w:val="BodyText"/>
        <w:spacing w:line="360" w:lineRule="auto"/>
        <w:ind w:left="152" w:right="143"/>
        <w:jc w:val="both"/>
      </w:pPr>
      <w:r>
        <w:rPr/>
        <w:t>En el año de 1967 parvovirus fue descubierto como la causa de enfermedad gastrointestinal y respiratoria en perros y le fue acuñado el nombre de virus diminuto de los caninos (PVC) al cual </w:t>
      </w:r>
      <w:r>
        <w:rPr>
          <w:spacing w:val="-3"/>
        </w:rPr>
        <w:t>se </w:t>
      </w:r>
      <w:r>
        <w:rPr/>
        <w:t>le considera responsable de la muerte neonatal en cachorros (Lamm y Rezabebek, 2008; Mojan </w:t>
      </w:r>
      <w:r>
        <w:rPr>
          <w:i/>
        </w:rPr>
        <w:t>et al</w:t>
      </w:r>
      <w:r>
        <w:rPr/>
        <w:t>., 2010). Más tarde se le designo como PVC-1 después del surgimiento de parvovirus canino tipo 2(PVC-2)en el año de 1978,el cual fue reconocido como el agente causal de una epizootia severa de gastroenteritis en perros, caracterizada por depresión, pérdida de apetito, vómito, diarrea mucoide o hemorrágica y leucopenia  (Carmichael, 2005; Gallo </w:t>
      </w:r>
      <w:r>
        <w:rPr>
          <w:i/>
        </w:rPr>
        <w:t>et al., </w:t>
      </w:r>
      <w:r>
        <w:rPr/>
        <w:t>2009; Decaro </w:t>
      </w:r>
      <w:r>
        <w:rPr>
          <w:i/>
        </w:rPr>
        <w:t>et al., </w:t>
      </w:r>
      <w:r>
        <w:rPr/>
        <w:t>2007). Estudios realizados sobre la evolución de este virus, estiman que el ancestro de CPV emergió en la población canina 10 años antes (Shackelton </w:t>
      </w:r>
      <w:r>
        <w:rPr>
          <w:i/>
        </w:rPr>
        <w:t>et al., </w:t>
      </w:r>
      <w:r>
        <w:rPr/>
        <w:t>2005) y existen diferentes hipótesis sobre su origen, </w:t>
      </w:r>
      <w:r>
        <w:rPr>
          <w:spacing w:val="-3"/>
        </w:rPr>
        <w:t>se </w:t>
      </w:r>
      <w:r>
        <w:rPr/>
        <w:t>cree que parvovirus canino surgió </w:t>
      </w:r>
      <w:r>
        <w:rPr>
          <w:spacing w:val="-4"/>
        </w:rPr>
        <w:t>como </w:t>
      </w:r>
      <w:r>
        <w:rPr/>
        <w:t>una variante del virus  </w:t>
      </w:r>
      <w:r>
        <w:rPr>
          <w:spacing w:val="61"/>
        </w:rPr>
        <w:t> </w:t>
      </w:r>
      <w:r>
        <w:rPr/>
        <w:t>de la</w:t>
      </w:r>
    </w:p>
    <w:p>
      <w:pPr>
        <w:spacing w:after="0" w:line="360" w:lineRule="auto"/>
        <w:jc w:val="both"/>
        <w:sectPr>
          <w:pgSz w:w="12240" w:h="15840"/>
          <w:pgMar w:header="1154" w:footer="1713" w:top="1520" w:bottom="1900" w:left="1720" w:right="1380"/>
        </w:sectPr>
      </w:pPr>
    </w:p>
    <w:p>
      <w:pPr>
        <w:pStyle w:val="BodyText"/>
        <w:spacing w:before="2"/>
        <w:rPr>
          <w:sz w:val="18"/>
        </w:rPr>
      </w:pPr>
    </w:p>
    <w:p>
      <w:pPr>
        <w:pStyle w:val="BodyText"/>
        <w:spacing w:line="360" w:lineRule="auto" w:before="70"/>
        <w:ind w:left="152" w:right="141"/>
        <w:jc w:val="both"/>
      </w:pPr>
      <w:r>
        <w:rPr/>
        <w:t>panleucopenia felina (VPF) mediante una mutación directa sobre este, otra teoría indica que surgió de una mutación sobre el virus de la vacuna que era utilizada inicialmente para proteger a los perros de la infección y la tercera que el virus se originó a partir de un ancestro viral que se encontraba en carnívoros silvestres (Truyen,1999).</w:t>
      </w:r>
    </w:p>
    <w:p>
      <w:pPr>
        <w:pStyle w:val="BodyText"/>
        <w:spacing w:line="360" w:lineRule="auto" w:before="209"/>
        <w:ind w:left="152" w:right="142"/>
        <w:jc w:val="both"/>
      </w:pPr>
      <w:r>
        <w:rPr/>
        <w:t>Durante los últimos años CPV-2 ha sufrido alteraciones genéticas y ha desarrollado nuevas cepas del virus. En 1980 evoluciona la cepa original CPV-2 hacia el tipo 2a (CPV-2a) en 1984 apareció otra variante designada tipo 2b (CPV- 2b) ambas identificadas mediante anticuerpos monoclonales (Truyen, 2006). En Italia en el año 2001 fue detectada una nueva variante antigénica, PVC-2c que ya ha sido identificada en otros países europeos así como en Asia, África y América (Buonavoglia </w:t>
      </w:r>
      <w:r>
        <w:rPr>
          <w:i/>
        </w:rPr>
        <w:t>et al</w:t>
      </w:r>
      <w:r>
        <w:rPr/>
        <w:t>., 2001, Gallo </w:t>
      </w:r>
      <w:r>
        <w:rPr>
          <w:i/>
        </w:rPr>
        <w:t>et al., </w:t>
      </w:r>
      <w:r>
        <w:rPr/>
        <w:t>2009; Gallo </w:t>
      </w:r>
      <w:r>
        <w:rPr>
          <w:i/>
        </w:rPr>
        <w:t>et al.,</w:t>
      </w:r>
      <w:r>
        <w:rPr>
          <w:i/>
          <w:spacing w:val="-18"/>
        </w:rPr>
        <w:t> </w:t>
      </w:r>
      <w:r>
        <w:rPr/>
        <w:t>2011).</w:t>
      </w:r>
    </w:p>
    <w:p>
      <w:pPr>
        <w:pStyle w:val="BodyText"/>
        <w:spacing w:line="360" w:lineRule="auto" w:before="209"/>
        <w:ind w:left="152" w:right="140"/>
        <w:jc w:val="both"/>
      </w:pPr>
      <w:r>
        <w:rPr/>
        <w:t>Se ha reportado infecciones naturales por CPV-2 en perros domésticos y de matorrales, coyotes, zorras, lobos crinados y es probable que la mayor parte de  los cánidos sea susceptible. Es posible producir infecciones experimentales en hurones y gatos; sin embargo la infección suele curar sola. Los aislados de </w:t>
      </w:r>
      <w:r>
        <w:rPr>
          <w:spacing w:val="2"/>
        </w:rPr>
        <w:t>PVC-2 </w:t>
      </w:r>
      <w:r>
        <w:rPr/>
        <w:t>solo causan infecciones sistémicas e intestinales en perros (Hoskins, 2000), en tanto que las cepas recientes tipo 2a, 2b y 2c pueden infectar felinos en circunstancias experimentales y naturales (Truyen, 1999; Battilani </w:t>
      </w:r>
      <w:r>
        <w:rPr>
          <w:i/>
        </w:rPr>
        <w:t>et al</w:t>
      </w:r>
      <w:r>
        <w:rPr/>
        <w:t>.,</w:t>
      </w:r>
      <w:r>
        <w:rPr>
          <w:spacing w:val="-24"/>
        </w:rPr>
        <w:t> </w:t>
      </w:r>
      <w:r>
        <w:rPr/>
        <w:t>2011).</w:t>
      </w:r>
    </w:p>
    <w:p>
      <w:pPr>
        <w:pStyle w:val="BodyText"/>
        <w:spacing w:line="360" w:lineRule="auto" w:before="209"/>
        <w:ind w:left="152" w:right="142"/>
        <w:jc w:val="both"/>
      </w:pPr>
      <w:r>
        <w:rPr/>
        <w:t>Parvovirus canino tipo 2 es altamente contagioso y casi todas las infecciones resultan de la exposición a heces contaminadas, además, el hombre, instrumentos, insectos y roedores pueden servir como vectores. En perros domésticos, la infección por PVC-2 no necesariamente da por resultado una enfermedad aparente; muchos perros que se infectan en </w:t>
      </w:r>
      <w:r>
        <w:rPr>
          <w:spacing w:val="-3"/>
        </w:rPr>
        <w:t>forma </w:t>
      </w:r>
      <w:r>
        <w:rPr/>
        <w:t>natural, muestran únicamente un cuadro clínico moderado o subclínico (MacLachlan y Dubovi,  2011). Cuando ocurre la enfermedad clínica es </w:t>
      </w:r>
      <w:r>
        <w:rPr>
          <w:spacing w:val="-3"/>
        </w:rPr>
        <w:t>más </w:t>
      </w:r>
      <w:r>
        <w:rPr/>
        <w:t>grave en cachorros jóvenes  en  crecimiento  rápido,  que  alojan  parásitos  intestinales,  protozoarios  y</w:t>
      </w:r>
      <w:r>
        <w:rPr>
          <w:spacing w:val="11"/>
        </w:rPr>
        <w:t> </w:t>
      </w:r>
      <w:r>
        <w:rPr/>
        <w:t>ciertas</w:t>
      </w:r>
    </w:p>
    <w:p>
      <w:pPr>
        <w:spacing w:after="0" w:line="360" w:lineRule="auto"/>
        <w:jc w:val="both"/>
        <w:sectPr>
          <w:pgSz w:w="12240" w:h="15840"/>
          <w:pgMar w:header="1154" w:footer="1713" w:top="1520" w:bottom="1900" w:left="1720" w:right="1380"/>
        </w:sectPr>
      </w:pPr>
    </w:p>
    <w:p>
      <w:pPr>
        <w:pStyle w:val="BodyText"/>
        <w:spacing w:before="2"/>
        <w:rPr>
          <w:sz w:val="18"/>
        </w:rPr>
      </w:pPr>
    </w:p>
    <w:p>
      <w:pPr>
        <w:pStyle w:val="BodyText"/>
        <w:spacing w:line="360" w:lineRule="auto" w:before="70"/>
        <w:ind w:left="152" w:right="141"/>
        <w:jc w:val="both"/>
      </w:pPr>
      <w:r>
        <w:rPr/>
        <w:t>bacterias entéricas, como </w:t>
      </w:r>
      <w:r>
        <w:rPr>
          <w:i/>
        </w:rPr>
        <w:t>Clostridium perfringes </w:t>
      </w:r>
      <w:r>
        <w:rPr/>
        <w:t>y especies de </w:t>
      </w:r>
      <w:r>
        <w:rPr>
          <w:i/>
        </w:rPr>
        <w:t>Campylobacter y </w:t>
      </w:r>
      <w:r>
        <w:rPr>
          <w:i/>
        </w:rPr>
        <w:t>Salmonella </w:t>
      </w:r>
      <w:r>
        <w:rPr/>
        <w:t>(Hoskins, 2000). Es posible observar enteritis aguda por PVC-2 en cualquier raza, edad o sexo pero cachorros entre seis semanas y seis meses de edad parecen ser más susceptibles (Goddard y Leisewitz,2010), entre los factores de riesgo que predisponen a la infección por parvovirus en cachorros incluyen inmunidad deficiente, ambientes contaminado, endoparasitismo y vacunación primaria incompleta o ineficaz debido a la interferencia de anticuerpos maternos (Prittie, 2004, Ling </w:t>
      </w:r>
      <w:r>
        <w:rPr>
          <w:i/>
        </w:rPr>
        <w:t>et al., </w:t>
      </w:r>
      <w:r>
        <w:rPr/>
        <w:t>2012).Los primeros estudios tras la aparición de PVC demostraron interferencia significativa de anticuerpos maternos en la vacunación en cachorros, mediante la técnica de inhibición de la hemoaglutinación (HI) pues títulos ≥ 1:20 son capaces de interferir con una respuesta activa después de la vacunación, pero no previenen contra la infección del virus. En contraste títulos de</w:t>
      </w:r>
    </w:p>
    <w:p>
      <w:pPr>
        <w:pStyle w:val="BodyText"/>
        <w:spacing w:line="360" w:lineRule="auto" w:before="2"/>
        <w:ind w:left="152" w:right="141"/>
        <w:jc w:val="both"/>
      </w:pPr>
      <w:r>
        <w:rPr/>
        <w:t>≥ 1:64 son considerados protectores contra la infección. La ventana de interferencia materna se ha reportado entre la edad de 40 y 69 días (Cramer </w:t>
      </w:r>
      <w:r>
        <w:rPr>
          <w:i/>
        </w:rPr>
        <w:t>et al., </w:t>
      </w:r>
      <w:r>
        <w:rPr/>
        <w:t>2011). Aunque se considera a los perros adultos como resistentes a infecciones por parvovirus canino existen reportes recientes de  adultos  severamente afectados y se ha considerado a la variante PVC-2c como la causante de la enfermedad (Decaro y Buonavoglia, 2012).</w:t>
      </w:r>
    </w:p>
    <w:p>
      <w:pPr>
        <w:pStyle w:val="Heading1"/>
        <w:numPr>
          <w:ilvl w:val="1"/>
          <w:numId w:val="1"/>
        </w:numPr>
        <w:tabs>
          <w:tab w:pos="556" w:val="left" w:leader="none"/>
        </w:tabs>
        <w:spacing w:line="240" w:lineRule="auto" w:before="200" w:after="0"/>
        <w:ind w:left="555" w:right="0" w:hanging="403"/>
        <w:jc w:val="both"/>
      </w:pPr>
      <w:r>
        <w:rPr/>
        <w:t>Patogenia</w:t>
      </w:r>
    </w:p>
    <w:p>
      <w:pPr>
        <w:pStyle w:val="BodyText"/>
        <w:spacing w:before="3"/>
        <w:rPr>
          <w:b/>
          <w:sz w:val="30"/>
        </w:rPr>
      </w:pPr>
    </w:p>
    <w:p>
      <w:pPr>
        <w:pStyle w:val="BodyText"/>
        <w:spacing w:line="360" w:lineRule="auto"/>
        <w:ind w:left="152" w:right="141"/>
        <w:jc w:val="both"/>
      </w:pPr>
      <w:r>
        <w:rPr/>
        <w:t>El parvovirus canino se disemina con rapidez de un perro a otro por exposición oronasal a heces o fómites contaminados. </w:t>
      </w:r>
      <w:r>
        <w:rPr>
          <w:spacing w:val="-4"/>
        </w:rPr>
        <w:t>Se </w:t>
      </w:r>
      <w:r>
        <w:rPr/>
        <w:t>ha observado excreción viral 3 días después de la inoculación experimental con una excreción continua de partículas virales por un periodo de 3 a 4 semanas después de la enfermedad clínica o subclínica (Goddard y Leisewitz, 2010), sin embargo existen reportes  de  excreción de partículas virales hasta por 54 días post infección (Decaro </w:t>
      </w:r>
      <w:r>
        <w:rPr>
          <w:i/>
        </w:rPr>
        <w:t>et al., </w:t>
      </w:r>
      <w:r>
        <w:rPr/>
        <w:t>2005).</w:t>
      </w:r>
    </w:p>
    <w:p>
      <w:pPr>
        <w:spacing w:after="0" w:line="360" w:lineRule="auto"/>
        <w:jc w:val="both"/>
        <w:sectPr>
          <w:pgSz w:w="12240" w:h="15840"/>
          <w:pgMar w:header="1154" w:footer="1713" w:top="1520" w:bottom="1900" w:left="1720" w:right="1380"/>
        </w:sectPr>
      </w:pPr>
    </w:p>
    <w:p>
      <w:pPr>
        <w:pStyle w:val="BodyText"/>
        <w:spacing w:before="2"/>
        <w:rPr>
          <w:sz w:val="18"/>
        </w:rPr>
      </w:pPr>
    </w:p>
    <w:p>
      <w:pPr>
        <w:pStyle w:val="BodyText"/>
        <w:spacing w:line="360" w:lineRule="auto" w:before="70"/>
        <w:ind w:left="152" w:right="149"/>
        <w:jc w:val="both"/>
      </w:pPr>
      <w:r>
        <w:rPr/>
        <w:t>La replicación del virus </w:t>
      </w:r>
      <w:r>
        <w:rPr>
          <w:spacing w:val="-3"/>
        </w:rPr>
        <w:t>se </w:t>
      </w:r>
      <w:r>
        <w:rPr/>
        <w:t>inicia en el tejido linfoide de orofaringe ganglios  linfáticos y mesentéricos y el timo, y se disemina a las criptas intestinales del intestino delgado por viremia; esta última es considerable en el plasma uno a cinco días después de la infección. Posterior ala viremia el virus se localiza predominantemente en el epitelio GI que recubre la lengua la mucosa oral y del esófago y en intestino delgado y tejido linfoide como timo, ganglios linfáticos y medula ósea. También se aísla </w:t>
      </w:r>
      <w:r>
        <w:rPr>
          <w:spacing w:val="3"/>
        </w:rPr>
        <w:t>de </w:t>
      </w:r>
      <w:r>
        <w:rPr/>
        <w:t>pulmones, bazo, hígado y miocardio (Hoskins, 2000).</w:t>
      </w:r>
    </w:p>
    <w:p>
      <w:pPr>
        <w:pStyle w:val="BodyText"/>
        <w:spacing w:line="360" w:lineRule="auto" w:before="209"/>
        <w:ind w:left="152" w:right="140"/>
        <w:jc w:val="both"/>
      </w:pPr>
      <w:r>
        <w:rPr/>
        <w:t>Normalmente, las células epiteliales de las criptas intestinales maduran en  intestino delgado y a continuación migran del epitelio germinal de las criptas intestinales a las puntas de las vellosidades. Al llegar a estas últimas, las células epiteliales intestinales adquieren </w:t>
      </w:r>
      <w:r>
        <w:rPr>
          <w:spacing w:val="-3"/>
        </w:rPr>
        <w:t>su </w:t>
      </w:r>
      <w:r>
        <w:rPr/>
        <w:t>capacidad de absorción y ayudan en la asimilación de nutrientes. Parvovirus canino infecta el epitelio germinal de las criptas intestinales y origina la destrucción y colapso del epitelio, </w:t>
      </w:r>
      <w:r>
        <w:rPr>
          <w:spacing w:val="-4"/>
        </w:rPr>
        <w:t>como </w:t>
      </w:r>
      <w:r>
        <w:rPr/>
        <w:t>resultado  se deteriora el recambio normal de las células (por lo general entre uno a tres días en intestino delgado) y se acortan las vellosidades. Este virus también destruye precursores activos de leucocitos circulantes y células linfoides. En infecciones graves los resultados suelen ser neutropenia y linfopenia. Las infecciones bacterianas secundarias por microflora gram negativa y anaerobia causan complicaciones adicionales relacionadas con daño intestinal, bacteremia, endotoxemia y coagulación intravascular diseminada. Pueden detectarse títulos séricos de anticuerpos 3 a 4 días después dela infección y  permanecer  constantes por lo menos durante un año (Hoskins, 2000; Goddard y Leisewitz, 2010). En cachorros seronegativos de 2-3 semanas de edad PVC es capaz de replicarse en las células cardiacas induciendo una miocarditis mortal. En la actualidad esto se observa con poca frecuencia ya que los cachorros están protegidos por anticuerpos maternos (Prittie, 2004; Decaro y Buonavoglia,</w:t>
      </w:r>
      <w:r>
        <w:rPr>
          <w:spacing w:val="-28"/>
        </w:rPr>
        <w:t> </w:t>
      </w:r>
      <w:r>
        <w:rPr/>
        <w:t>2012).</w:t>
      </w:r>
    </w:p>
    <w:p>
      <w:pPr>
        <w:spacing w:after="0" w:line="360" w:lineRule="auto"/>
        <w:jc w:val="both"/>
        <w:sectPr>
          <w:pgSz w:w="12240" w:h="15840"/>
          <w:pgMar w:header="1154" w:footer="1713" w:top="1520" w:bottom="1900" w:left="1720" w:right="1380"/>
        </w:sectPr>
      </w:pPr>
    </w:p>
    <w:p>
      <w:pPr>
        <w:pStyle w:val="BodyText"/>
        <w:spacing w:before="4"/>
        <w:rPr>
          <w:sz w:val="17"/>
        </w:rPr>
      </w:pPr>
    </w:p>
    <w:p>
      <w:pPr>
        <w:pStyle w:val="Heading1"/>
        <w:numPr>
          <w:ilvl w:val="1"/>
          <w:numId w:val="1"/>
        </w:numPr>
        <w:tabs>
          <w:tab w:pos="556" w:val="left" w:leader="none"/>
        </w:tabs>
        <w:spacing w:line="240" w:lineRule="auto" w:before="69" w:after="0"/>
        <w:ind w:left="555" w:right="0" w:hanging="403"/>
        <w:jc w:val="both"/>
      </w:pPr>
      <w:r>
        <w:rPr/>
        <w:t>Semiología</w:t>
      </w:r>
    </w:p>
    <w:p>
      <w:pPr>
        <w:pStyle w:val="BodyText"/>
        <w:spacing w:before="3"/>
        <w:rPr>
          <w:b/>
          <w:sz w:val="30"/>
        </w:rPr>
      </w:pPr>
    </w:p>
    <w:p>
      <w:pPr>
        <w:pStyle w:val="BodyText"/>
        <w:spacing w:line="360" w:lineRule="auto"/>
        <w:ind w:left="152" w:right="140"/>
        <w:jc w:val="both"/>
      </w:pPr>
      <w:r>
        <w:rPr/>
        <w:t>Los signos clínicos iníciales a la infección en un perro, no son específicos de la enfermedad, estos en muchas ocasiones solamente incluyen anorexia, depresión, letargia y fiebre (Prittie, 2004; Goddard y Leisewitz, 2010); posteriormente, la mayoría de los perros infectados desarrollan vómito, diarrea mucoide o hemorrágica y leucopenia (Meunier </w:t>
      </w:r>
      <w:r>
        <w:rPr>
          <w:i/>
        </w:rPr>
        <w:t>et al., </w:t>
      </w:r>
      <w:r>
        <w:rPr/>
        <w:t>1985, Decaro </w:t>
      </w:r>
      <w:r>
        <w:rPr>
          <w:i/>
        </w:rPr>
        <w:t>et al., </w:t>
      </w:r>
      <w:r>
        <w:rPr/>
        <w:t>2007, Gallo </w:t>
      </w:r>
      <w:r>
        <w:rPr>
          <w:i/>
        </w:rPr>
        <w:t>et al., </w:t>
      </w:r>
      <w:r>
        <w:rPr/>
        <w:t>2009; Schoeman </w:t>
      </w:r>
      <w:r>
        <w:rPr>
          <w:i/>
        </w:rPr>
        <w:t>et al., </w:t>
      </w:r>
      <w:r>
        <w:rPr/>
        <w:t>2013). Debido a la pérdida de sangre entérica puede desarrollarse anemia, e hipoproteinemia que puede ser una consecuencia de hipoalbuminemia o ambas. Los vómitos y la diarrea pueden contribuir a alteraciones electrolíticas severas y deshidratación, que pueden producir una azoemia prerrenal y posible complicación con insuficiencia renal aguda (Sellon, 2007).Se ha reportado la presencia de infecciones subclínicas que cursan con cuadros clínicos inaparentes durante todo el proceso de la infección, esto principalmente en cachorros y adultos con títulos de anticuerpos considerados como protectores (Lamm y Rezabek, 2008, Decaro et al., 2005).</w:t>
      </w:r>
    </w:p>
    <w:p>
      <w:pPr>
        <w:pStyle w:val="BodyText"/>
        <w:spacing w:line="360" w:lineRule="auto" w:before="209"/>
        <w:ind w:left="152" w:right="143"/>
        <w:jc w:val="both"/>
      </w:pPr>
      <w:r>
        <w:rPr/>
        <w:t>En cachorros mayores a dos </w:t>
      </w:r>
      <w:r>
        <w:rPr>
          <w:spacing w:val="-3"/>
        </w:rPr>
        <w:t>semas </w:t>
      </w:r>
      <w:r>
        <w:rPr/>
        <w:t>de edad los tejidos </w:t>
      </w:r>
      <w:r>
        <w:rPr>
          <w:spacing w:val="-3"/>
        </w:rPr>
        <w:t>más </w:t>
      </w:r>
      <w:r>
        <w:rPr/>
        <w:t>afectados por </w:t>
      </w:r>
      <w:r>
        <w:rPr>
          <w:spacing w:val="2"/>
        </w:rPr>
        <w:t>PVC-  </w:t>
      </w:r>
      <w:r>
        <w:rPr/>
        <w:t>2, son el tejido linfoide, el epitelio intestinal y la medula ósea, el virus llega a la mucosa intestinal mediante el torrente sanguíneo, replicando en el epitelio germinal de las criptas intestinales, genera perdida de las vellosidades intestinales y colapsos del epitelio intestinal, perdida de la capacidad de absorción y desarrollo de diarrea hemorrágica cuatro a cinco días después de la exposición oral. La presencia de linfopenia y en casos severos panleucopenia puede ocurrir secundaria a la necrosis del tejido linfoide y destrucción de las células mieloproliferativas en la medula ósea (Prittie,</w:t>
      </w:r>
      <w:r>
        <w:rPr>
          <w:spacing w:val="-22"/>
        </w:rPr>
        <w:t> </w:t>
      </w:r>
      <w:r>
        <w:rPr/>
        <w:t>2004).</w:t>
      </w:r>
    </w:p>
    <w:p>
      <w:pPr>
        <w:pStyle w:val="BodyText"/>
        <w:spacing w:line="360" w:lineRule="auto" w:before="209"/>
        <w:ind w:left="152" w:right="141"/>
        <w:jc w:val="both"/>
      </w:pPr>
      <w:r>
        <w:rPr/>
        <w:t>La miocarditis por parvovirus puede desarrollarse por infección </w:t>
      </w:r>
      <w:r>
        <w:rPr>
          <w:i/>
        </w:rPr>
        <w:t>in útero </w:t>
      </w:r>
      <w:r>
        <w:rPr/>
        <w:t>o en cachorros menores de ocho semanas, por lo general afecta a todos los perros de una camada, con frecuencia los que tienen miocarditis por CPV-2 se encuentran</w:t>
      </w:r>
    </w:p>
    <w:p>
      <w:pPr>
        <w:spacing w:after="0" w:line="360" w:lineRule="auto"/>
        <w:jc w:val="both"/>
        <w:sectPr>
          <w:pgSz w:w="12240" w:h="15840"/>
          <w:pgMar w:header="1154" w:footer="1713" w:top="1520" w:bottom="1900" w:left="1720" w:right="1380"/>
        </w:sectPr>
      </w:pPr>
    </w:p>
    <w:p>
      <w:pPr>
        <w:pStyle w:val="BodyText"/>
        <w:spacing w:before="2"/>
        <w:rPr>
          <w:sz w:val="18"/>
        </w:rPr>
      </w:pPr>
    </w:p>
    <w:p>
      <w:pPr>
        <w:pStyle w:val="BodyText"/>
        <w:spacing w:line="360" w:lineRule="auto" w:before="70"/>
        <w:ind w:left="152" w:right="153"/>
        <w:jc w:val="both"/>
      </w:pPr>
      <w:r>
        <w:rPr/>
        <w:t>muertos o sucumben después de un episodio de disnea, llanto y arcadas. Los signos de distención cardiaca van precedidos por la forma entérica de la enfermedad o bien ocurren de manera súbita sin afección previa aparente (Hoskins, 2000). En la actualidad este tipo de infección es rara debido a la inmunidad materna protectora y a la inmunización frecuente en las hembras (Sagazio </w:t>
      </w:r>
      <w:r>
        <w:rPr>
          <w:i/>
        </w:rPr>
        <w:t>et al., </w:t>
      </w:r>
      <w:r>
        <w:rPr/>
        <w:t>1998, Prittie, 2004).</w:t>
      </w:r>
    </w:p>
    <w:p>
      <w:pPr>
        <w:pStyle w:val="BodyText"/>
        <w:spacing w:line="360" w:lineRule="auto" w:before="209"/>
        <w:ind w:left="152" w:right="140"/>
        <w:jc w:val="both"/>
      </w:pPr>
      <w:r>
        <w:rPr/>
        <w:t>Existen reportes de signos neurológicos presentes en pacientes infectados con parvovirus canino, esta enfermedad neurológica primaria no se debe a PVC-2,  pero ocurre como resultado de hemorragias en SNC, por coagulación intravascular diseminada (CID) o hipoglucemia durante el proceso patológico, la sepsis o a alteraciones ácido-base electrolíticas. Así mismo es posible una infección concurrente con virus </w:t>
      </w:r>
      <w:r>
        <w:rPr>
          <w:spacing w:val="-3"/>
        </w:rPr>
        <w:t>del </w:t>
      </w:r>
      <w:r>
        <w:rPr/>
        <w:t>distemper canino, no se ha publicado hipoplasias cerebelosa, común en gatitos infectados con el virus de la panleucopenia felina antes de nacer o recién nacidos y en cachorros </w:t>
      </w:r>
      <w:r>
        <w:rPr>
          <w:spacing w:val="3"/>
        </w:rPr>
        <w:t>con </w:t>
      </w:r>
      <w:r>
        <w:rPr/>
        <w:t>infección por  parvovirus canino tipo 2 (Hoskins,</w:t>
      </w:r>
      <w:r>
        <w:rPr>
          <w:spacing w:val="-12"/>
        </w:rPr>
        <w:t> </w:t>
      </w:r>
      <w:r>
        <w:rPr/>
        <w:t>2000).</w:t>
      </w:r>
    </w:p>
    <w:p>
      <w:pPr>
        <w:pStyle w:val="Heading1"/>
        <w:numPr>
          <w:ilvl w:val="1"/>
          <w:numId w:val="1"/>
        </w:numPr>
        <w:tabs>
          <w:tab w:pos="556" w:val="left" w:leader="none"/>
        </w:tabs>
        <w:spacing w:line="240" w:lineRule="auto" w:before="199" w:after="0"/>
        <w:ind w:left="555" w:right="0" w:hanging="403"/>
        <w:jc w:val="both"/>
      </w:pPr>
      <w:r>
        <w:rPr/>
        <w:t>Lesiones</w:t>
      </w:r>
      <w:r>
        <w:rPr>
          <w:spacing w:val="-17"/>
        </w:rPr>
        <w:t> </w:t>
      </w:r>
      <w:r>
        <w:rPr/>
        <w:t>histopatológicas</w:t>
      </w:r>
    </w:p>
    <w:p>
      <w:pPr>
        <w:pStyle w:val="BodyText"/>
        <w:spacing w:before="3"/>
        <w:rPr>
          <w:b/>
          <w:sz w:val="30"/>
        </w:rPr>
      </w:pPr>
    </w:p>
    <w:p>
      <w:pPr>
        <w:pStyle w:val="BodyText"/>
        <w:spacing w:line="360" w:lineRule="auto"/>
        <w:ind w:left="152" w:right="152"/>
        <w:jc w:val="both"/>
      </w:pPr>
      <w:r>
        <w:rPr/>
        <w:t>Las lesiones iniciales son más notables en duodeno distal; posteriormente se afecta con mayor gravedad el yeyuno. La pared intestinal suele estar engrosada y con alteraciones segmentarias de coloración, denudación de la mucosa intestinal y presencia de material acuosos oscuro, en ocasiones hay material sanguinolento, en la cavidad gástrica y la luz intestinal. En casos leves las lesiones no se diferencian con facilidad de la enteritis inespecífica. Se ha observado crecimiento y edema de ganglios linfáticos torácicos y abdominales.</w:t>
      </w:r>
    </w:p>
    <w:p>
      <w:pPr>
        <w:pStyle w:val="BodyText"/>
        <w:spacing w:line="360" w:lineRule="auto" w:before="209"/>
        <w:ind w:left="152" w:right="148"/>
        <w:jc w:val="both"/>
      </w:pPr>
      <w:r>
        <w:rPr/>
        <w:t>Las lesiones intestinales se caracterizan por necrosis del epitelio de las criptas del intestino delgado. Es posible observar cuerpos de inclusión viral intranucleares en estas células epiteliales y en la totalidad de los epitelios escamosos del tubo GI superior. Las alteraciones  histopatológicas  varían  de inflamación leve  a enteritis</w:t>
      </w:r>
    </w:p>
    <w:p>
      <w:pPr>
        <w:spacing w:after="0" w:line="360" w:lineRule="auto"/>
        <w:jc w:val="both"/>
        <w:sectPr>
          <w:pgSz w:w="12240" w:h="15840"/>
          <w:pgMar w:header="1154" w:footer="1713" w:top="1520" w:bottom="1900" w:left="1720" w:right="1380"/>
        </w:sectPr>
      </w:pPr>
    </w:p>
    <w:p>
      <w:pPr>
        <w:pStyle w:val="BodyText"/>
        <w:spacing w:before="2"/>
        <w:rPr>
          <w:sz w:val="18"/>
        </w:rPr>
      </w:pPr>
    </w:p>
    <w:p>
      <w:pPr>
        <w:pStyle w:val="BodyText"/>
        <w:spacing w:line="360" w:lineRule="auto" w:before="70"/>
        <w:ind w:left="152" w:right="140"/>
        <w:jc w:val="both"/>
      </w:pPr>
      <w:r>
        <w:rPr/>
        <w:t>hemorrágica difusa. Las vellosidades están acortadas o destruidas debido a la  falta de restitución epitelial por células de la cripta en maduración, que da por resultado el colapso de la lámina propia. Hay necrosis y agotamiento de tejido linfoide (placas de Peyer, ganglios linfáticos, mesentéricos, hígado timo y bazo).  En perros que mueren por complicación septicémica es posible observar edema pulmonar o alveolitis. La lesión miocárdica consiste en miocarditis no supurativa, con infiltración multifocal de linfocitos y células plasmáticas dentro del miocardio (Hoskins,</w:t>
      </w:r>
      <w:r>
        <w:rPr>
          <w:spacing w:val="-3"/>
        </w:rPr>
        <w:t> </w:t>
      </w:r>
      <w:r>
        <w:rPr/>
        <w:t>2000).</w:t>
      </w:r>
    </w:p>
    <w:p>
      <w:pPr>
        <w:pStyle w:val="Heading1"/>
        <w:numPr>
          <w:ilvl w:val="1"/>
          <w:numId w:val="1"/>
        </w:numPr>
        <w:tabs>
          <w:tab w:pos="556" w:val="left" w:leader="none"/>
        </w:tabs>
        <w:spacing w:line="240" w:lineRule="auto" w:before="199" w:after="0"/>
        <w:ind w:left="555" w:right="0" w:hanging="403"/>
        <w:jc w:val="both"/>
      </w:pPr>
      <w:r>
        <w:rPr/>
        <w:t>Diagnóstico</w:t>
      </w:r>
    </w:p>
    <w:p>
      <w:pPr>
        <w:pStyle w:val="BodyText"/>
        <w:spacing w:before="10"/>
        <w:rPr>
          <w:b/>
          <w:sz w:val="29"/>
        </w:rPr>
      </w:pPr>
    </w:p>
    <w:p>
      <w:pPr>
        <w:pStyle w:val="BodyText"/>
        <w:spacing w:line="360" w:lineRule="auto"/>
        <w:ind w:left="152" w:right="143"/>
        <w:jc w:val="both"/>
      </w:pPr>
      <w:r>
        <w:rPr/>
        <w:t>El diagnóstico rápido de infección por CPV es especialmente importante con el fin de aislar perros infectados, prevenir las infecciones de animales susceptibles y establecer el tratamiento </w:t>
      </w:r>
      <w:r>
        <w:rPr>
          <w:spacing w:val="-3"/>
        </w:rPr>
        <w:t>más </w:t>
      </w:r>
      <w:r>
        <w:rPr/>
        <w:t>adecuado. Múltiples técnicas de laboratorio han sido desarrolladas para la identificación de CPV-2, entre ellas se encuentra la técnica de hemoaglutinación (HA) combinada con inhibición de la hemoaglutinación de suero positivo de parvovirus, es una prueba relativamente económica y fácil de realizar se lleva a cabo en laboratorios especializados, requiere de una fuente continua de eritrocitos de cerdo frescos y de alta calidad para </w:t>
      </w:r>
      <w:r>
        <w:rPr>
          <w:spacing w:val="-3"/>
        </w:rPr>
        <w:t>su </w:t>
      </w:r>
      <w:r>
        <w:rPr/>
        <w:t>desarrollo, ya  que la prueba se ve afectada por un coeficiente alterado de sedimentación eritrocitaria, lo que puede deberse a enfermedad de los donadores o estrés al momento del muestreo, (Pirjo </w:t>
      </w:r>
      <w:r>
        <w:rPr>
          <w:i/>
        </w:rPr>
        <w:t>et al., </w:t>
      </w:r>
      <w:r>
        <w:rPr/>
        <w:t>1986; Decaro y Buonavoglia, 2012). Otra técnica utilizada es aislamiento viral esta solo se realiza en laboratorios con personal capacitado, requiere de largos periodos de tiempo </w:t>
      </w:r>
      <w:r>
        <w:rPr>
          <w:spacing w:val="2"/>
        </w:rPr>
        <w:t>(5-10 </w:t>
      </w:r>
      <w:r>
        <w:rPr/>
        <w:t>días) y de exámenes adicionales </w:t>
      </w:r>
      <w:r>
        <w:rPr>
          <w:spacing w:val="-4"/>
        </w:rPr>
        <w:t>como </w:t>
      </w:r>
      <w:r>
        <w:rPr/>
        <w:t>inmunoflerecencia o HA con el fin de detectar el antígeno viral específicamente. La principal desventaja de HA y el aislamiento viral es la baja sensibilidad, que </w:t>
      </w:r>
      <w:r>
        <w:rPr>
          <w:spacing w:val="-3"/>
        </w:rPr>
        <w:t>se </w:t>
      </w:r>
      <w:r>
        <w:rPr/>
        <w:t>obtiene en comparación con técnicas desarrolladas </w:t>
      </w:r>
      <w:r>
        <w:rPr>
          <w:spacing w:val="-3"/>
        </w:rPr>
        <w:t>más </w:t>
      </w:r>
      <w:r>
        <w:rPr/>
        <w:t>recientemente (Desario </w:t>
      </w:r>
      <w:r>
        <w:rPr>
          <w:i/>
        </w:rPr>
        <w:t>et al.,</w:t>
      </w:r>
      <w:r>
        <w:rPr>
          <w:i/>
          <w:spacing w:val="3"/>
        </w:rPr>
        <w:t> </w:t>
      </w:r>
      <w:r>
        <w:rPr/>
        <w:t>2005).</w:t>
      </w:r>
    </w:p>
    <w:p>
      <w:pPr>
        <w:spacing w:after="0" w:line="360" w:lineRule="auto"/>
        <w:jc w:val="both"/>
        <w:sectPr>
          <w:pgSz w:w="12240" w:h="15840"/>
          <w:pgMar w:header="1154" w:footer="1713" w:top="1520" w:bottom="1900" w:left="1720" w:right="1380"/>
        </w:sectPr>
      </w:pPr>
    </w:p>
    <w:p>
      <w:pPr>
        <w:pStyle w:val="BodyText"/>
        <w:spacing w:before="2"/>
        <w:rPr>
          <w:sz w:val="18"/>
        </w:rPr>
      </w:pPr>
    </w:p>
    <w:p>
      <w:pPr>
        <w:pStyle w:val="BodyText"/>
        <w:spacing w:line="360" w:lineRule="auto" w:before="70"/>
        <w:ind w:left="152" w:right="140"/>
        <w:jc w:val="both"/>
      </w:pPr>
      <w:r>
        <w:rPr/>
        <w:t>En la actualidad la técnica de inmunoabsorbencia ELISA para la detección del antígeno viral de parvovirus canino es de uso común en la práctica clínica y </w:t>
      </w:r>
      <w:r>
        <w:rPr>
          <w:spacing w:val="-3"/>
        </w:rPr>
        <w:t>se </w:t>
      </w:r>
      <w:r>
        <w:rPr/>
        <w:t>muestra útil en la detección de parvovirus canino PVC-2 a, b y c (Decaro </w:t>
      </w:r>
      <w:r>
        <w:rPr>
          <w:i/>
        </w:rPr>
        <w:t>et al., </w:t>
      </w:r>
      <w:r>
        <w:rPr/>
        <w:t>2010). Las partículas virales son eliminadas por las heces aproximadamente </w:t>
      </w:r>
      <w:r>
        <w:rPr>
          <w:spacing w:val="7"/>
        </w:rPr>
        <w:t>3- </w:t>
      </w:r>
      <w:r>
        <w:rPr/>
        <w:t>12 días post infección y son fácilmente detectables mediante esta técnica en el pico de la eliminación (4-7 días después de la infección). Entre las desventajas que tiene esta técnica es que se pueden obtener resultados falsos positivos </w:t>
      </w:r>
      <w:r>
        <w:rPr>
          <w:spacing w:val="2"/>
        </w:rPr>
        <w:t>3-10 </w:t>
      </w:r>
      <w:r>
        <w:rPr/>
        <w:t>días después de la vacunación con virus vivo modificado de PVC debido a la eliminación fecal del virus vacunal, requiere de una gran cantidad de antígeno viral en las heces para producir una banda clara y visible y para que la interpretación  de los resultados no pueda verse afectada por la subjetividad del operador (Esfandiari y Klingeborn, 2000; Desario </w:t>
      </w:r>
      <w:r>
        <w:rPr>
          <w:i/>
        </w:rPr>
        <w:t>et al., </w:t>
      </w:r>
      <w:r>
        <w:rPr/>
        <w:t>2005). Los resultados falsos negativos con esta técnica pueden ser secundarios a la unión de anticuerpos neutralizantes del suero con el antígeno en las heces, o bien al cese o  disminución de la eliminación de partículas virales en las heces (Prittie, 2004). Aunque esta prueba, produce resultados de sensibilidad </w:t>
      </w:r>
      <w:r>
        <w:rPr>
          <w:spacing w:val="-3"/>
        </w:rPr>
        <w:t>más </w:t>
      </w:r>
      <w:r>
        <w:rPr/>
        <w:t>eficientes que la hemoaglutinación (Lacheretz </w:t>
      </w:r>
      <w:r>
        <w:rPr>
          <w:i/>
        </w:rPr>
        <w:t>et al., </w:t>
      </w:r>
      <w:r>
        <w:rPr/>
        <w:t>2003), se ha demostrado que es menos eficiente que las técnicas moleculares (Decaro y Buonavoglia, 2012; Schimtz </w:t>
      </w:r>
      <w:r>
        <w:rPr>
          <w:spacing w:val="7"/>
        </w:rPr>
        <w:t>e</w:t>
      </w:r>
      <w:r>
        <w:rPr>
          <w:i/>
          <w:spacing w:val="7"/>
        </w:rPr>
        <w:t>t  </w:t>
      </w:r>
      <w:r>
        <w:rPr>
          <w:i/>
        </w:rPr>
        <w:t>al., </w:t>
      </w:r>
      <w:r>
        <w:rPr/>
        <w:t>2009).Otra técnica comúnmente utilizada es la inmunoabsorción ligada a enzimas (ELISA) en membrana, un ensayo realizados por Desario y cols. 2005, reportó que esta técnica solo fue capaz de detectar al 46% de los pacientes positivos comparada con técnicas moleculares. Estas dos últimas técnicas descritas pueden ser utilizadas directamente en hospitales veterinarios, pero solamente se consideran útiles como primer abordaje diagnóstico y en casos donde el resultado de la prueba no concuerda con los signos clínicos presentados por el paciente se recomienda corroborar los resultados con otras técnicas como PCR o inmunofluorescencia (Schmitz </w:t>
      </w:r>
      <w:r>
        <w:rPr>
          <w:i/>
        </w:rPr>
        <w:t>et al.,</w:t>
      </w:r>
      <w:r>
        <w:rPr/>
        <w:t>2009; Decaro </w:t>
      </w:r>
      <w:r>
        <w:rPr>
          <w:i/>
        </w:rPr>
        <w:t>et</w:t>
      </w:r>
      <w:r>
        <w:rPr>
          <w:i/>
          <w:spacing w:val="-20"/>
        </w:rPr>
        <w:t> </w:t>
      </w:r>
      <w:r>
        <w:rPr>
          <w:i/>
        </w:rPr>
        <w:t>al.,</w:t>
      </w:r>
      <w:r>
        <w:rPr/>
        <w:t>2010).</w:t>
      </w:r>
    </w:p>
    <w:p>
      <w:pPr>
        <w:spacing w:after="0" w:line="360" w:lineRule="auto"/>
        <w:jc w:val="both"/>
        <w:sectPr>
          <w:footerReference w:type="default" r:id="rId10"/>
          <w:pgSz w:w="12240" w:h="15840"/>
          <w:pgMar w:footer="1713" w:header="1154" w:top="1520" w:bottom="1900" w:left="1720" w:right="1380"/>
        </w:sectPr>
      </w:pPr>
    </w:p>
    <w:p>
      <w:pPr>
        <w:pStyle w:val="BodyText"/>
        <w:spacing w:before="2"/>
        <w:rPr>
          <w:sz w:val="18"/>
        </w:rPr>
      </w:pPr>
    </w:p>
    <w:p>
      <w:pPr>
        <w:pStyle w:val="BodyText"/>
        <w:spacing w:line="360" w:lineRule="auto" w:before="70"/>
        <w:ind w:left="152" w:right="141"/>
        <w:jc w:val="both"/>
      </w:pPr>
      <w:r>
        <w:rPr/>
        <w:t>En los últimos años los métodos  de diagnóstico molecular basados en reacción  en cadena de polimerasa (PCR) han tenido gran auge, pues se le considera una técnica altamente sensible y específica para la detección de parvovirus canino en heces, no se ve afectada por la respuesta inmune del paciente y permite detectar  a </w:t>
      </w:r>
      <w:r>
        <w:rPr>
          <w:spacing w:val="-3"/>
        </w:rPr>
        <w:t>más </w:t>
      </w:r>
      <w:r>
        <w:rPr/>
        <w:t>del 90% de los pacientes afectados (Decaro y Buonavoglia, 2012; Lamm y Rezabek, 2008). Cuanta mayor grado de sensibilidad que la técnica de inhibición de la hemaglutinación y es considerada como una valiosa alternativa a la inmunofluorescencia para el diagnóstico de rutina de la infección por parvovirus canino (Schunck </w:t>
      </w:r>
      <w:r>
        <w:rPr>
          <w:i/>
        </w:rPr>
        <w:t>et al., </w:t>
      </w:r>
      <w:r>
        <w:rPr/>
        <w:t>1995; Uwatoko </w:t>
      </w:r>
      <w:r>
        <w:rPr>
          <w:i/>
        </w:rPr>
        <w:t>et al., </w:t>
      </w:r>
      <w:r>
        <w:rPr/>
        <w:t>1995; Pereira </w:t>
      </w:r>
      <w:r>
        <w:rPr>
          <w:i/>
        </w:rPr>
        <w:t>et al., </w:t>
      </w:r>
      <w:r>
        <w:rPr/>
        <w:t>2000). Una derivación a esta, es la técnica de PCR anidada, la cual reporta un incremento en la sensibilidad de hasta el 100% (Hirasawa </w:t>
      </w:r>
      <w:r>
        <w:rPr>
          <w:i/>
        </w:rPr>
        <w:t>et al., </w:t>
      </w:r>
      <w:r>
        <w:rPr/>
        <w:t>1994) lo que permite la  detección  de  parvovirus  canino  aun  cuando  el  virus  se  encuentra </w:t>
      </w:r>
      <w:r>
        <w:rPr>
          <w:spacing w:val="11"/>
        </w:rPr>
        <w:t> </w:t>
      </w:r>
      <w:r>
        <w:rPr/>
        <w:t>inactivado,</w:t>
      </w:r>
    </w:p>
    <w:p>
      <w:pPr>
        <w:pStyle w:val="BodyText"/>
        <w:spacing w:line="279" w:lineRule="exact"/>
        <w:ind w:left="152"/>
        <w:jc w:val="both"/>
      </w:pPr>
      <w:r>
        <w:rPr/>
        <w:t>cuando el número de viriones es menor que 10</w:t>
      </w:r>
      <w:r>
        <w:rPr>
          <w:position w:val="11"/>
          <w:sz w:val="16"/>
        </w:rPr>
        <w:t>6 </w:t>
      </w:r>
      <w:r>
        <w:rPr/>
        <w:t>partículas/ gramos de heces, o</w:t>
      </w:r>
    </w:p>
    <w:p>
      <w:pPr>
        <w:pStyle w:val="BodyText"/>
        <w:spacing w:before="132"/>
        <w:ind w:left="152"/>
        <w:jc w:val="both"/>
      </w:pPr>
      <w:r>
        <w:rPr/>
        <w:t>bien cuando el paciente presenta una infección subclínica (Kumar </w:t>
      </w:r>
      <w:r>
        <w:rPr>
          <w:i/>
        </w:rPr>
        <w:t>et al., </w:t>
      </w:r>
      <w:r>
        <w:rPr/>
        <w:t>2011).</w:t>
      </w:r>
    </w:p>
    <w:p>
      <w:pPr>
        <w:pStyle w:val="BodyText"/>
        <w:rPr>
          <w:sz w:val="29"/>
        </w:rPr>
      </w:pPr>
    </w:p>
    <w:p>
      <w:pPr>
        <w:pStyle w:val="Heading1"/>
        <w:numPr>
          <w:ilvl w:val="1"/>
          <w:numId w:val="1"/>
        </w:numPr>
        <w:tabs>
          <w:tab w:pos="557" w:val="left" w:leader="none"/>
        </w:tabs>
        <w:spacing w:line="240" w:lineRule="auto" w:before="0" w:after="0"/>
        <w:ind w:left="556" w:right="0" w:hanging="404"/>
        <w:jc w:val="both"/>
      </w:pPr>
      <w:r>
        <w:rPr/>
        <w:t>Propiedades del</w:t>
      </w:r>
      <w:r>
        <w:rPr>
          <w:spacing w:val="-15"/>
        </w:rPr>
        <w:t> </w:t>
      </w:r>
      <w:r>
        <w:rPr/>
        <w:t>Virión</w:t>
      </w:r>
    </w:p>
    <w:p>
      <w:pPr>
        <w:pStyle w:val="BodyText"/>
        <w:spacing w:before="3"/>
        <w:rPr>
          <w:b/>
          <w:sz w:val="30"/>
        </w:rPr>
      </w:pPr>
    </w:p>
    <w:p>
      <w:pPr>
        <w:pStyle w:val="BodyText"/>
        <w:spacing w:line="360" w:lineRule="auto"/>
        <w:ind w:left="152" w:right="143"/>
        <w:jc w:val="both"/>
      </w:pPr>
      <w:r>
        <w:rPr/>
        <w:t>Parvovirus canino es un virus no envuelto de 25nm de diámetro, de simetría icosaédrica, está constituido por </w:t>
      </w:r>
      <w:r>
        <w:rPr>
          <w:spacing w:val="-3"/>
        </w:rPr>
        <w:t>más </w:t>
      </w:r>
      <w:r>
        <w:rPr/>
        <w:t>de 60 copias de proteínas que se  encuentran superpuestas designadas como VP1-VP4. Para cada virus existe una proteína de la cápside que forma la mayoría de su estructura, las proteínas de menor importancia forman el núcleo, pero con secuencias adicionales aminoterminales, a pesar de las diferencias en las formas de las proteínas y la baja homología entre algunos de los virus, ahora está claro que </w:t>
      </w:r>
      <w:r>
        <w:rPr>
          <w:spacing w:val="2"/>
        </w:rPr>
        <w:t>varios </w:t>
      </w:r>
      <w:r>
        <w:rPr/>
        <w:t>elementos estructurales en la superficie de la cápside son comunes en la mayoría de los parvovirus. La cápside incluye regiones elevadas en los quíntuples ejes de simetría que en algunos virus podrían formar un poro en la cápside, regiones deprimidas (cañones) que rodean los quíntuples ejes, una a tres protuberancias alrededor de los ejes de simetría (triples espículas) y regiones deprimidas (depresiones) en los ejes de doble simetría (Hueffer y Parrish, 2003).  (Figura</w:t>
      </w:r>
      <w:r>
        <w:rPr>
          <w:spacing w:val="-19"/>
        </w:rPr>
        <w:t> </w:t>
      </w:r>
      <w:r>
        <w:rPr/>
        <w:t>1).</w:t>
      </w:r>
    </w:p>
    <w:p>
      <w:pPr>
        <w:spacing w:after="0" w:line="360" w:lineRule="auto"/>
        <w:jc w:val="both"/>
        <w:sectPr>
          <w:footerReference w:type="default" r:id="rId11"/>
          <w:pgSz w:w="12240" w:h="15840"/>
          <w:pgMar w:footer="1713" w:header="1154" w:top="1520" w:bottom="1900" w:left="1720" w:right="1380"/>
          <w:pgNumType w:start="11"/>
        </w:sectPr>
      </w:pPr>
    </w:p>
    <w:p>
      <w:pPr>
        <w:pStyle w:val="BodyText"/>
        <w:spacing w:before="6" w:after="1"/>
      </w:pPr>
    </w:p>
    <w:p>
      <w:pPr>
        <w:pStyle w:val="BodyText"/>
        <w:ind w:left="1347"/>
        <w:rPr>
          <w:sz w:val="20"/>
        </w:rPr>
      </w:pPr>
      <w:r>
        <w:rPr>
          <w:sz w:val="20"/>
        </w:rPr>
        <w:pict>
          <v:group style="width:319.95pt;height:218pt;mso-position-horizontal-relative:char;mso-position-vertical-relative:line" coordorigin="0,0" coordsize="6399,4360">
            <v:shape style="position:absolute;left:0;top:0;width:6399;height:4360" type="#_x0000_t75" stroked="false">
              <v:imagedata r:id="rId12" o:title=""/>
            </v:shape>
            <v:rect style="position:absolute;left:4234;top:2508;width:1181;height:448" filled="true" fillcolor="#000000" stroked="false">
              <v:fill type="solid"/>
            </v:rect>
            <v:rect style="position:absolute;left:4234;top:2508;width:1181;height:448" filled="false" stroked="true" strokeweight="2pt" strokecolor="#000000"/>
            <v:rect style="position:absolute;left:4396;top:1695;width:1453;height:828" filled="true" fillcolor="#000000" stroked="false">
              <v:fill type="solid"/>
            </v:rect>
            <v:rect style="position:absolute;left:4396;top:1695;width:1453;height:828" filled="false" stroked="true" strokeweight="2pt" strokecolor="#000000"/>
            <v:shape style="position:absolute;left:4399;top:1832;width:979;height:1038" type="#_x0000_t202" filled="false" stroked="false">
              <v:textbox inset="0,0,0,0">
                <w:txbxContent>
                  <w:p>
                    <w:pPr>
                      <w:spacing w:line="225" w:lineRule="exact" w:before="0"/>
                      <w:ind w:left="163" w:right="-17" w:firstLine="0"/>
                      <w:jc w:val="left"/>
                      <w:rPr>
                        <w:rFonts w:ascii="Calibri"/>
                        <w:sz w:val="22"/>
                      </w:rPr>
                    </w:pPr>
                    <w:r>
                      <w:rPr>
                        <w:rFonts w:ascii="Calibri"/>
                        <w:color w:val="FCE9D9"/>
                        <w:sz w:val="22"/>
                      </w:rPr>
                      <w:t>Triples</w:t>
                    </w:r>
                  </w:p>
                  <w:p>
                    <w:pPr>
                      <w:spacing w:before="43"/>
                      <w:ind w:left="163" w:right="-17" w:firstLine="0"/>
                      <w:jc w:val="left"/>
                      <w:rPr>
                        <w:rFonts w:ascii="Calibri" w:hAnsi="Calibri"/>
                        <w:sz w:val="22"/>
                      </w:rPr>
                    </w:pPr>
                    <w:r>
                      <w:rPr>
                        <w:rFonts w:ascii="Calibri" w:hAnsi="Calibri"/>
                        <w:color w:val="FCE9D9"/>
                        <w:sz w:val="22"/>
                      </w:rPr>
                      <w:t>espículas</w:t>
                    </w:r>
                  </w:p>
                  <w:p>
                    <w:pPr>
                      <w:spacing w:line="240" w:lineRule="auto" w:before="5"/>
                      <w:rPr>
                        <w:sz w:val="20"/>
                      </w:rPr>
                    </w:pPr>
                  </w:p>
                  <w:p>
                    <w:pPr>
                      <w:spacing w:line="265" w:lineRule="exact" w:before="1"/>
                      <w:ind w:left="0" w:right="-17" w:firstLine="0"/>
                      <w:jc w:val="left"/>
                      <w:rPr>
                        <w:rFonts w:ascii="Calibri" w:hAnsi="Calibri"/>
                        <w:sz w:val="22"/>
                      </w:rPr>
                    </w:pPr>
                    <w:r>
                      <w:rPr>
                        <w:rFonts w:ascii="Calibri" w:hAnsi="Calibri"/>
                        <w:color w:val="FCE9D9"/>
                        <w:sz w:val="22"/>
                      </w:rPr>
                      <w:t>Cañones</w:t>
                    </w:r>
                  </w:p>
                </w:txbxContent>
              </v:textbox>
              <w10:wrap type="none"/>
            </v:shape>
            <v:shape style="position:absolute;left:3936;top:623;width:1493;height:868" type="#_x0000_t202" filled="true" fillcolor="#000000" stroked="false">
              <v:textbox inset="0,0,0,0">
                <w:txbxContent>
                  <w:p>
                    <w:pPr>
                      <w:spacing w:before="109"/>
                      <w:ind w:left="184" w:right="0" w:firstLine="0"/>
                      <w:jc w:val="left"/>
                      <w:rPr>
                        <w:rFonts w:ascii="Calibri"/>
                        <w:sz w:val="22"/>
                      </w:rPr>
                    </w:pPr>
                    <w:r>
                      <w:rPr>
                        <w:rFonts w:ascii="Calibri"/>
                        <w:color w:val="FCE9D9"/>
                        <w:sz w:val="22"/>
                      </w:rPr>
                      <w:t>Depresiones</w:t>
                    </w:r>
                  </w:p>
                </w:txbxContent>
              </v:textbox>
              <v:fill type="solid"/>
              <w10:wrap type="none"/>
            </v:shape>
            <v:shape style="position:absolute;left:3942;top:3239;width:1928;height:950" type="#_x0000_t202" filled="true" fillcolor="#000000" stroked="false">
              <v:textbox inset="0,0,0,0">
                <w:txbxContent>
                  <w:p>
                    <w:pPr>
                      <w:spacing w:line="273" w:lineRule="auto" w:before="115"/>
                      <w:ind w:left="187" w:right="732" w:firstLine="0"/>
                      <w:jc w:val="left"/>
                      <w:rPr>
                        <w:rFonts w:ascii="Calibri" w:hAnsi="Calibri"/>
                        <w:sz w:val="22"/>
                      </w:rPr>
                    </w:pPr>
                    <w:r>
                      <w:rPr>
                        <w:rFonts w:ascii="Calibri" w:hAnsi="Calibri"/>
                        <w:color w:val="FCE9D9"/>
                        <w:sz w:val="22"/>
                      </w:rPr>
                      <w:t>Poros de la cápside</w:t>
                    </w:r>
                  </w:p>
                </w:txbxContent>
              </v:textbox>
              <v:fill type="solid"/>
              <w10:wrap type="none"/>
            </v:shape>
          </v:group>
        </w:pict>
      </w:r>
      <w:r>
        <w:rPr>
          <w:sz w:val="20"/>
        </w:rPr>
      </w:r>
    </w:p>
    <w:p>
      <w:pPr>
        <w:spacing w:line="360" w:lineRule="auto" w:before="114"/>
        <w:ind w:left="152" w:right="285" w:firstLine="0"/>
        <w:jc w:val="both"/>
        <w:rPr>
          <w:sz w:val="20"/>
        </w:rPr>
      </w:pPr>
      <w:r>
        <w:rPr>
          <w:sz w:val="20"/>
        </w:rPr>
        <w:t>Figura 1. Modelo de la superficie de la cápside de CPV, se muestran sus elementos estructurales, una unidad asimétrica de la cápside se muestra en el triángulo rojo. Modificado de Hueffer y Parrish, 2003.</w:t>
      </w:r>
    </w:p>
    <w:p>
      <w:pPr>
        <w:pStyle w:val="BodyText"/>
        <w:spacing w:before="10"/>
        <w:rPr>
          <w:sz w:val="28"/>
        </w:rPr>
      </w:pPr>
      <w:r>
        <w:rPr/>
        <w:pict>
          <v:group style="position:absolute;margin-left:157.919998pt;margin-top:18.594917pt;width:319.2pt;height:148.35pt;mso-position-horizontal-relative:page;mso-position-vertical-relative:paragraph;z-index:1120;mso-wrap-distance-left:0;mso-wrap-distance-right:0" coordorigin="3158,372" coordsize="6384,2967">
            <v:shape style="position:absolute;left:3158;top:372;width:6384;height:2966" type="#_x0000_t75" stroked="false">
              <v:imagedata r:id="rId13" o:title=""/>
            </v:shape>
            <v:shape style="position:absolute;left:3233;top:448;width:6149;height:2730" type="#_x0000_t75" stroked="false">
              <v:imagedata r:id="rId14" o:title=""/>
            </v:shape>
            <v:rect style="position:absolute;left:3218;top:433;width:6179;height:2760" filled="false" stroked="true" strokeweight="1.5pt" strokecolor="#000000"/>
            <w10:wrap type="topAndBottom"/>
          </v:group>
        </w:pict>
      </w:r>
    </w:p>
    <w:p>
      <w:pPr>
        <w:spacing w:line="360" w:lineRule="auto" w:before="127"/>
        <w:ind w:left="152" w:right="79" w:firstLine="0"/>
        <w:jc w:val="left"/>
        <w:rPr>
          <w:sz w:val="20"/>
        </w:rPr>
      </w:pPr>
      <w:r>
        <w:rPr>
          <w:sz w:val="20"/>
        </w:rPr>
        <w:t>Figura 2. DNA genómico de parvovirus canino y su estrategia de transcripción (MacLachlan y Dubovi 2011)</w:t>
      </w:r>
    </w:p>
    <w:p>
      <w:pPr>
        <w:pStyle w:val="BodyText"/>
        <w:rPr>
          <w:sz w:val="20"/>
        </w:rPr>
      </w:pPr>
    </w:p>
    <w:p>
      <w:pPr>
        <w:pStyle w:val="BodyText"/>
        <w:spacing w:before="9"/>
        <w:rPr>
          <w:sz w:val="27"/>
        </w:rPr>
      </w:pPr>
    </w:p>
    <w:p>
      <w:pPr>
        <w:pStyle w:val="BodyText"/>
        <w:spacing w:line="360" w:lineRule="auto" w:before="69"/>
        <w:ind w:left="152" w:right="214"/>
        <w:jc w:val="both"/>
      </w:pPr>
      <w:r>
        <w:rPr/>
        <w:t>La cápside de parvovirus se compone de un total de 60 moléculas de proteína, aproximadamente el 90% es VP2 y el 10% VP1. Ambas proteínas se forman por corte y empalme alternativo del mismo ARN mensajero (ARNm) y la totalidad de la secuencia  de  VP2 se  codifica  dentro del  gen  VP1,  la  tercera proteína VP3  se</w:t>
      </w:r>
    </w:p>
    <w:p>
      <w:pPr>
        <w:spacing w:after="0" w:line="360" w:lineRule="auto"/>
        <w:jc w:val="both"/>
        <w:sectPr>
          <w:pgSz w:w="12240" w:h="15840"/>
          <w:pgMar w:header="1154" w:footer="1713" w:top="1520" w:bottom="1900" w:left="1720" w:right="1320"/>
        </w:sectPr>
      </w:pPr>
    </w:p>
    <w:p>
      <w:pPr>
        <w:pStyle w:val="BodyText"/>
        <w:spacing w:before="2"/>
        <w:rPr>
          <w:sz w:val="18"/>
        </w:rPr>
      </w:pPr>
    </w:p>
    <w:p>
      <w:pPr>
        <w:pStyle w:val="BodyText"/>
        <w:spacing w:line="360" w:lineRule="auto" w:before="70"/>
        <w:ind w:left="152" w:right="141"/>
        <w:jc w:val="both"/>
      </w:pPr>
      <w:r>
        <w:rPr/>
        <w:t>forma (solo en ADN que contienen cápside) por escisión de un péptido a partir del extremo amino terminal de VP2. Las proteínas de la cápside de parvovirus contienen en el centro ocho hebras antiparalelas barril beta, estas hebras se encuentran unidas por cuatro bucles extensos que forman la mayor parte de la partícula viral y son responsables de la unión al receptor, las propiedades antigénicas y la estabilidad en el medio ambiente. El genoma consiste en una hebra sencilla linear de DNA de 5.2 Kb, algunos parvovirus encápsidan solamente la hebra de DNA de sentido negativo </w:t>
      </w:r>
      <w:r>
        <w:rPr>
          <w:spacing w:val="-4"/>
        </w:rPr>
        <w:t>como </w:t>
      </w:r>
      <w:r>
        <w:rPr/>
        <w:t>parvovirus canino tipo 2. El genoma contiene dos grandes marcos abiertos de lectura, un marco de lectura abierto, en el extremo 3´ del </w:t>
      </w:r>
      <w:r>
        <w:rPr>
          <w:spacing w:val="-2"/>
        </w:rPr>
        <w:t>genoma </w:t>
      </w:r>
      <w:r>
        <w:rPr/>
        <w:t>que codifica las proteínas no estructurales que son requeridas para la transcripción y replicación del DNA, otro marco abierto de lectura hacia el extremo 5´ que codifica las proteínas estructurales (designadas como CAP, VP o S) de la cápside, cuenta con 6 a 10 secuencias palíndromicas, permitiendo a cada extremo formar la estructura de horquilla u otras estructuras necesarias para la replicación viral(Figura 2) (Murphy </w:t>
      </w:r>
      <w:r>
        <w:rPr>
          <w:i/>
        </w:rPr>
        <w:t>et al., </w:t>
      </w:r>
      <w:r>
        <w:rPr/>
        <w:t>1999, MacLachlan y Dubovi,</w:t>
      </w:r>
      <w:r>
        <w:rPr>
          <w:spacing w:val="64"/>
        </w:rPr>
        <w:t> </w:t>
      </w:r>
      <w:r>
        <w:rPr/>
        <w:t>2011).</w:t>
      </w:r>
    </w:p>
    <w:p>
      <w:pPr>
        <w:pStyle w:val="Heading1"/>
        <w:numPr>
          <w:ilvl w:val="1"/>
          <w:numId w:val="1"/>
        </w:numPr>
        <w:tabs>
          <w:tab w:pos="557" w:val="left" w:leader="none"/>
        </w:tabs>
        <w:spacing w:line="240" w:lineRule="auto" w:before="194" w:after="0"/>
        <w:ind w:left="556" w:right="0" w:hanging="404"/>
        <w:jc w:val="both"/>
      </w:pPr>
      <w:r>
        <w:rPr/>
        <w:t>Replicación</w:t>
      </w:r>
      <w:r>
        <w:rPr>
          <w:spacing w:val="-14"/>
        </w:rPr>
        <w:t> </w:t>
      </w:r>
      <w:r>
        <w:rPr/>
        <w:t>Viral</w:t>
      </w:r>
    </w:p>
    <w:p>
      <w:pPr>
        <w:pStyle w:val="BodyText"/>
        <w:spacing w:before="3"/>
        <w:rPr>
          <w:b/>
          <w:sz w:val="30"/>
        </w:rPr>
      </w:pPr>
    </w:p>
    <w:p>
      <w:pPr>
        <w:pStyle w:val="BodyText"/>
        <w:spacing w:line="360" w:lineRule="auto"/>
        <w:ind w:left="152" w:right="141"/>
        <w:jc w:val="both"/>
      </w:pPr>
      <w:r>
        <w:rPr/>
        <w:t>La infección viral de las células susceptibles </w:t>
      </w:r>
      <w:r>
        <w:rPr>
          <w:spacing w:val="-3"/>
        </w:rPr>
        <w:t>se </w:t>
      </w:r>
      <w:r>
        <w:rPr/>
        <w:t>inicia con la unión al receptor en la membrana plasmática, el virus se introduce a la célula por endocitosis. El receptor tranferrina es el receptor para parvovirus canino y virus de la  panleucopenia  felina, la utilización de este receptor facilita la replicación de estos virus. La replicación de parvovirus está íntimamente relacionada con la replicación celular, debido a que ocurre solo en células que </w:t>
      </w:r>
      <w:r>
        <w:rPr>
          <w:spacing w:val="-3"/>
        </w:rPr>
        <w:t>se </w:t>
      </w:r>
      <w:r>
        <w:rPr/>
        <w:t>encuentran en la fase S mitótica. Una vez dentro de las células, los viriones pasan a través de las vías endosomales dentro del citoplasma incluyendo al </w:t>
      </w:r>
      <w:r>
        <w:rPr>
          <w:spacing w:val="-3"/>
        </w:rPr>
        <w:t>endosoma </w:t>
      </w:r>
      <w:r>
        <w:rPr/>
        <w:t>temprano y tardío, exactamente cómo se lleva a cabo la salida de las partículas del sistema endosomal no se encuentra claro, sin embargo la proteína VP1 del virus contiene una fosfolipasa</w:t>
      </w:r>
      <w:r>
        <w:rPr>
          <w:spacing w:val="-3"/>
        </w:rPr>
        <w:t> </w:t>
      </w:r>
      <w:r>
        <w:rPr/>
        <w:t>A2</w:t>
      </w:r>
    </w:p>
    <w:p>
      <w:pPr>
        <w:spacing w:after="0" w:line="360" w:lineRule="auto"/>
        <w:jc w:val="both"/>
        <w:sectPr>
          <w:pgSz w:w="12240" w:h="15840"/>
          <w:pgMar w:header="1154" w:footer="1713" w:top="1520" w:bottom="1900" w:left="1720" w:right="1380"/>
        </w:sectPr>
      </w:pPr>
    </w:p>
    <w:p>
      <w:pPr>
        <w:pStyle w:val="BodyText"/>
        <w:spacing w:before="2"/>
        <w:rPr>
          <w:sz w:val="18"/>
        </w:rPr>
      </w:pPr>
    </w:p>
    <w:p>
      <w:pPr>
        <w:pStyle w:val="BodyText"/>
        <w:spacing w:line="355" w:lineRule="auto" w:before="70"/>
        <w:ind w:left="152" w:right="153"/>
        <w:jc w:val="both"/>
      </w:pPr>
      <w:r>
        <w:rPr/>
        <w:t>en su región única N-terminal que puede estar involucrada en la modificación de  la membrana endosomal facilitando la liberación de la</w:t>
      </w:r>
      <w:r>
        <w:rPr>
          <w:spacing w:val="-28"/>
        </w:rPr>
        <w:t> </w:t>
      </w:r>
      <w:r>
        <w:rPr/>
        <w:t>cápside.</w:t>
      </w:r>
    </w:p>
    <w:p>
      <w:pPr>
        <w:pStyle w:val="BodyText"/>
        <w:spacing w:line="360" w:lineRule="auto" w:before="215"/>
        <w:ind w:left="152" w:right="142"/>
        <w:jc w:val="both"/>
      </w:pPr>
      <w:r>
        <w:rPr/>
        <w:t>Esta única región de VP1 se encuentra dentro de la partícula recién elaborada y por lo tanto la exposición dentro </w:t>
      </w:r>
      <w:r>
        <w:rPr>
          <w:spacing w:val="-3"/>
        </w:rPr>
        <w:t>del endosoma </w:t>
      </w:r>
      <w:r>
        <w:rPr/>
        <w:t>requiere de una transformación estructural de la cápside. Las partículas que entran en el citoplasma son transportadas al poro nuclear y la partícula </w:t>
      </w:r>
      <w:r>
        <w:rPr>
          <w:spacing w:val="-3"/>
        </w:rPr>
        <w:t>más </w:t>
      </w:r>
      <w:r>
        <w:rPr/>
        <w:t>o menos intacta entra al núcleo donde ocurre la replicación. La replicación del ADN viral y el ensamble de la cápside tienen lugar en el núcleo y requieren de la fase S del </w:t>
      </w:r>
      <w:r>
        <w:rPr>
          <w:spacing w:val="2"/>
        </w:rPr>
        <w:t>ciclo </w:t>
      </w:r>
      <w:r>
        <w:rPr/>
        <w:t>celular de la célula huésped para llevar a cabo este proceso, este requisito se basa en que el ADN viral necesita la maquinaria de replicación de la célula anfitriona </w:t>
      </w:r>
      <w:r>
        <w:rPr>
          <w:spacing w:val="-3"/>
        </w:rPr>
        <w:t>ya </w:t>
      </w:r>
      <w:r>
        <w:rPr/>
        <w:t>que el virus no codifica o empaqueta una enzima que realice esta función , por lo tanto  las ADN polimerasas celulares replican el ADN viral para formar un intermediarios de ADN doble cadena el cual se utiliza como molde para la transcripción de los ARNm</w:t>
      </w:r>
      <w:r>
        <w:rPr>
          <w:spacing w:val="-4"/>
        </w:rPr>
        <w:t> </w:t>
      </w:r>
      <w:r>
        <w:rPr/>
        <w:t>virales.</w:t>
      </w:r>
    </w:p>
    <w:p>
      <w:pPr>
        <w:pStyle w:val="BodyText"/>
        <w:spacing w:line="360" w:lineRule="auto" w:before="209"/>
        <w:ind w:left="152" w:right="142"/>
        <w:jc w:val="both"/>
      </w:pPr>
      <w:r>
        <w:rPr/>
        <w:t>El empalme alternativo da lugar a varias especies de RNAm que se traducen en cuatro proteínas principales y proteínas adicionales pequeñas que no </w:t>
      </w:r>
      <w:r>
        <w:rPr>
          <w:spacing w:val="-3"/>
        </w:rPr>
        <w:t>se </w:t>
      </w:r>
      <w:r>
        <w:rPr/>
        <w:t>encuentran bien caracterizadas, el RNAm más abundante se encuentra codificando un marco abierto de lectura hacia el extremo 5´ que codifica las proteínas estructurales, el extremo 3´ del genoma codifica las proteínas no estructurales (NS1) sirve para un numero de funciones: (1) </w:t>
      </w:r>
      <w:r>
        <w:rPr>
          <w:spacing w:val="-3"/>
        </w:rPr>
        <w:t>se </w:t>
      </w:r>
      <w:r>
        <w:rPr/>
        <w:t>une al extremo 5’ del ADN viral durante la replicación; (2) sirve como una helicasa de ADN durante  la replicación y el empaquetamiento de ADN; (3) sirve como un sitio de mella o corte en una hebra simple de ADN; (4) media la detención de la célula en la fase G1 del ciclo celular. El mecanismo de replicación del </w:t>
      </w:r>
      <w:r>
        <w:rPr>
          <w:spacing w:val="-2"/>
        </w:rPr>
        <w:t>genoma </w:t>
      </w:r>
      <w:r>
        <w:rPr/>
        <w:t>es descrito como un modelo de horquilla, se considera un mecanismo complejo y algunos detalles todavía no se encuentran </w:t>
      </w:r>
      <w:r>
        <w:rPr>
          <w:spacing w:val="-3"/>
        </w:rPr>
        <w:t>muy </w:t>
      </w:r>
      <w:r>
        <w:rPr/>
        <w:t>claros. La horquilla 3’ terminal en el ADN del genoma de sentido negativo sirve </w:t>
      </w:r>
      <w:r>
        <w:rPr>
          <w:spacing w:val="-4"/>
        </w:rPr>
        <w:t>como </w:t>
      </w:r>
      <w:r>
        <w:rPr/>
        <w:t>un auto cebador para la iniciación de la síntesis de la doble cadena replicativa </w:t>
      </w:r>
      <w:r>
        <w:rPr>
          <w:spacing w:val="-3"/>
        </w:rPr>
        <w:t>del </w:t>
      </w:r>
      <w:r>
        <w:rPr/>
        <w:t>ADN</w:t>
      </w:r>
      <w:r>
        <w:rPr>
          <w:spacing w:val="-11"/>
        </w:rPr>
        <w:t> </w:t>
      </w:r>
      <w:r>
        <w:rPr/>
        <w:t>intermediario.</w:t>
      </w:r>
    </w:p>
    <w:p>
      <w:pPr>
        <w:spacing w:after="0" w:line="360" w:lineRule="auto"/>
        <w:jc w:val="both"/>
        <w:sectPr>
          <w:pgSz w:w="12240" w:h="15840"/>
          <w:pgMar w:header="1154" w:footer="1713" w:top="1520" w:bottom="1900" w:left="1720" w:right="1380"/>
        </w:sectPr>
      </w:pPr>
    </w:p>
    <w:p>
      <w:pPr>
        <w:pStyle w:val="BodyText"/>
        <w:spacing w:before="2"/>
        <w:rPr>
          <w:sz w:val="18"/>
        </w:rPr>
      </w:pPr>
    </w:p>
    <w:p>
      <w:pPr>
        <w:pStyle w:val="BodyText"/>
        <w:spacing w:line="360" w:lineRule="auto" w:before="70"/>
        <w:ind w:left="152" w:right="143"/>
        <w:jc w:val="both"/>
      </w:pPr>
      <w:r>
        <w:rPr/>
        <w:t>Un importante factor determinate para la patogénesis de los parvovirus es la necesidad de utilizar el ciclo celular para la replicación viral. Las células que se dividen continuamente tales como los precursores hematopoyéticos, linfocitos y células progenitoras de la mucosa intestinal son susceptibles en los animales de todas las edades. Mientras que muchos parvovirus causan infecciones  agudas que duran solo pocos días, otros persisten durante largos periodos de tiempo, a pesar de la respuesta inmune del huésped, este mecanismo de persistencia no se encuentra bien entendido ya que la mayoría de los virus parecen ser susceptibles a la neutralización mediada por anticuerpos (Murphy </w:t>
      </w:r>
      <w:r>
        <w:rPr>
          <w:i/>
        </w:rPr>
        <w:t>et al., </w:t>
      </w:r>
      <w:r>
        <w:rPr/>
        <w:t>1999, MacLachlan y Dubovi,</w:t>
      </w:r>
      <w:r>
        <w:rPr>
          <w:spacing w:val="64"/>
        </w:rPr>
        <w:t> </w:t>
      </w:r>
      <w:r>
        <w:rPr/>
        <w:t>2011).</w:t>
      </w:r>
    </w:p>
    <w:p>
      <w:pPr>
        <w:spacing w:after="0" w:line="360" w:lineRule="auto"/>
        <w:jc w:val="both"/>
        <w:sectPr>
          <w:pgSz w:w="12240" w:h="15840"/>
          <w:pgMar w:header="1154" w:footer="1713" w:top="1520" w:bottom="1900" w:left="1720" w:right="1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p>
    <w:p>
      <w:pPr>
        <w:pStyle w:val="Heading1"/>
        <w:numPr>
          <w:ilvl w:val="0"/>
          <w:numId w:val="1"/>
        </w:numPr>
        <w:tabs>
          <w:tab w:pos="513" w:val="left" w:leader="none"/>
        </w:tabs>
        <w:spacing w:line="240" w:lineRule="auto" w:before="69" w:after="0"/>
        <w:ind w:left="513" w:right="0" w:hanging="361"/>
        <w:jc w:val="left"/>
      </w:pPr>
      <w:r>
        <w:rPr/>
        <w:t>JUSTIFICACIÓN</w:t>
      </w:r>
    </w:p>
    <w:p>
      <w:pPr>
        <w:pStyle w:val="BodyText"/>
        <w:rPr>
          <w:b/>
        </w:rPr>
      </w:pPr>
    </w:p>
    <w:p>
      <w:pPr>
        <w:pStyle w:val="BodyText"/>
        <w:spacing w:before="2"/>
        <w:rPr>
          <w:b/>
        </w:rPr>
      </w:pPr>
    </w:p>
    <w:p>
      <w:pPr>
        <w:pStyle w:val="BodyText"/>
        <w:spacing w:line="360" w:lineRule="auto"/>
        <w:ind w:left="513" w:right="141"/>
        <w:jc w:val="both"/>
      </w:pPr>
      <w:r>
        <w:rPr/>
        <w:t>Parvovirus canino (PVC-2) es una enfermedad viral sistémica distribuida mundialmente, que genera altas tasas de morbilidad y mortalidad en pacientes caninos, en México, a pesar de la aplicación rutinaria de programas de vacunación en las mascotas, la gastroenteritis por PVC-2 sigue siendo una de las principales enfermedades infecciosas que afectan a los perros. Las causas por las cuales no se ha logrado el control de esta enfermedad pueden ser diversas, entre ellas, un proceso diagnóstico erróneo o incompleto, </w:t>
      </w:r>
      <w:r>
        <w:rPr>
          <w:spacing w:val="-3"/>
        </w:rPr>
        <w:t>mal </w:t>
      </w:r>
      <w:r>
        <w:rPr/>
        <w:t>manejo de la enfermedad, la poca accesibilidad a pruebas inmunológicas y  moleculares </w:t>
      </w:r>
      <w:r>
        <w:rPr>
          <w:spacing w:val="-3"/>
        </w:rPr>
        <w:t>más </w:t>
      </w:r>
      <w:r>
        <w:rPr/>
        <w:t>específicas y sensibles y en algunos casos el poco interés  del uso de pruebas de laboratorio por parte de los veterinarios para obtener un diagnóstico</w:t>
      </w:r>
      <w:r>
        <w:rPr>
          <w:spacing w:val="-8"/>
        </w:rPr>
        <w:t> </w:t>
      </w:r>
      <w:r>
        <w:rPr/>
        <w:t>definitivo.</w:t>
      </w:r>
    </w:p>
    <w:p>
      <w:pPr>
        <w:pStyle w:val="BodyText"/>
        <w:spacing w:line="360" w:lineRule="auto" w:before="209"/>
        <w:ind w:left="580" w:right="142"/>
        <w:jc w:val="both"/>
      </w:pPr>
      <w:r>
        <w:rPr/>
        <w:t>Actualmente no existe ningún estudio en nuestro país que determine cuáles son los métodos diagnóstico que utilizan los médicos veterinarios para realizar la identificación de parvovirus canino en la práctica clínica y cuál es la sensibilidad y especificidad que estas herramientas ofrecen para el diagnóstico.</w:t>
      </w:r>
    </w:p>
    <w:p>
      <w:pPr>
        <w:pStyle w:val="BodyText"/>
        <w:spacing w:line="360" w:lineRule="auto" w:before="205"/>
        <w:ind w:left="580" w:right="151" w:firstLine="67"/>
        <w:jc w:val="both"/>
      </w:pPr>
      <w:r>
        <w:rPr/>
        <w:t>Por lo tanto se hace necesario realizar un estudio de investigación en esta área para que esta información permita a los védicos valorar los procedimientos que llevan a cabo y  así  </w:t>
      </w:r>
      <w:r>
        <w:rPr>
          <w:spacing w:val="-4"/>
        </w:rPr>
        <w:t>tomar </w:t>
      </w:r>
      <w:r>
        <w:rPr/>
        <w:t>mejores decisiones en cuanto  a la terapia y pronóstico de sus</w:t>
      </w:r>
      <w:r>
        <w:rPr>
          <w:spacing w:val="-13"/>
        </w:rPr>
        <w:t> </w:t>
      </w:r>
      <w:r>
        <w:rPr/>
        <w:t>pacientes.</w:t>
      </w:r>
    </w:p>
    <w:p>
      <w:pPr>
        <w:spacing w:after="0" w:line="360" w:lineRule="auto"/>
        <w:jc w:val="both"/>
        <w:sectPr>
          <w:pgSz w:w="12240" w:h="15840"/>
          <w:pgMar w:header="1154" w:footer="1713" w:top="1520" w:bottom="1900" w:left="1720" w:right="1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pPr>
    </w:p>
    <w:p>
      <w:pPr>
        <w:pStyle w:val="Heading1"/>
        <w:numPr>
          <w:ilvl w:val="0"/>
          <w:numId w:val="1"/>
        </w:numPr>
        <w:tabs>
          <w:tab w:pos="513" w:val="left" w:leader="none"/>
        </w:tabs>
        <w:spacing w:line="240" w:lineRule="auto" w:before="70" w:after="0"/>
        <w:ind w:left="513" w:right="0" w:hanging="361"/>
        <w:jc w:val="both"/>
      </w:pPr>
      <w:r>
        <w:rPr/>
        <w:t>HIPÓTESIS</w:t>
      </w:r>
    </w:p>
    <w:p>
      <w:pPr>
        <w:pStyle w:val="BodyText"/>
        <w:spacing w:before="3"/>
        <w:rPr>
          <w:b/>
          <w:sz w:val="30"/>
        </w:rPr>
      </w:pPr>
    </w:p>
    <w:p>
      <w:pPr>
        <w:pStyle w:val="BodyText"/>
        <w:spacing w:line="360" w:lineRule="auto"/>
        <w:ind w:left="152" w:right="147"/>
        <w:jc w:val="both"/>
      </w:pPr>
      <w:r>
        <w:rPr/>
        <w:t>Los métodos que actualmente se utilizan en las clínicas veterinarias para el diagnóstico de parvovirus canino poseen una menor sensibilidad que la técnica de PCR.</w:t>
      </w:r>
    </w:p>
    <w:p>
      <w:pPr>
        <w:spacing w:after="0" w:line="360" w:lineRule="auto"/>
        <w:jc w:val="both"/>
        <w:sectPr>
          <w:pgSz w:w="12240" w:h="15840"/>
          <w:pgMar w:header="1154" w:footer="1713" w:top="1520" w:bottom="1900" w:left="1720" w:right="1380"/>
        </w:sectPr>
      </w:pPr>
    </w:p>
    <w:p>
      <w:pPr>
        <w:pStyle w:val="BodyText"/>
        <w:spacing w:before="9"/>
        <w:rPr>
          <w:sz w:val="17"/>
        </w:rPr>
      </w:pPr>
    </w:p>
    <w:p>
      <w:pPr>
        <w:pStyle w:val="Heading1"/>
        <w:numPr>
          <w:ilvl w:val="0"/>
          <w:numId w:val="1"/>
        </w:numPr>
        <w:tabs>
          <w:tab w:pos="513" w:val="left" w:leader="none"/>
        </w:tabs>
        <w:spacing w:line="240" w:lineRule="auto" w:before="69" w:after="0"/>
        <w:ind w:left="513" w:right="0" w:hanging="361"/>
        <w:jc w:val="left"/>
      </w:pPr>
      <w:r>
        <w:rPr/>
        <w:t>OBJETIVOS</w:t>
      </w:r>
    </w:p>
    <w:p>
      <w:pPr>
        <w:pStyle w:val="BodyText"/>
        <w:rPr>
          <w:b/>
        </w:rPr>
      </w:pPr>
    </w:p>
    <w:p>
      <w:pPr>
        <w:pStyle w:val="BodyText"/>
        <w:spacing w:before="3"/>
        <w:rPr>
          <w:b/>
        </w:rPr>
      </w:pPr>
    </w:p>
    <w:p>
      <w:pPr>
        <w:pStyle w:val="BodyText"/>
        <w:spacing w:line="360" w:lineRule="auto"/>
        <w:ind w:left="513" w:right="141"/>
        <w:jc w:val="both"/>
      </w:pPr>
      <w:r>
        <w:rPr/>
        <w:t>Objetivo general: conocer, a través de encuestas, los procedimientos que realizan los clínicos veterinarios de forma rutinaria para diagnosticar la  infección por parvovirus canino. Además, determinar la sensibilidad y especificidad de estos procedimientos, comparándolos con pruebas moleculares; y de esta manera generar datos basados en evidencias que nos permitan conocer cuál es la situación del diagnóstico de PVC-2 en</w:t>
      </w:r>
      <w:r>
        <w:rPr>
          <w:spacing w:val="-17"/>
        </w:rPr>
        <w:t> </w:t>
      </w:r>
      <w:r>
        <w:rPr/>
        <w:t>México.</w:t>
      </w:r>
    </w:p>
    <w:p>
      <w:pPr>
        <w:pStyle w:val="BodyText"/>
      </w:pPr>
    </w:p>
    <w:p>
      <w:pPr>
        <w:pStyle w:val="BodyText"/>
        <w:spacing w:before="3"/>
        <w:rPr>
          <w:sz w:val="29"/>
        </w:rPr>
      </w:pPr>
    </w:p>
    <w:p>
      <w:pPr>
        <w:pStyle w:val="BodyText"/>
        <w:ind w:left="152" w:right="153"/>
      </w:pPr>
      <w:r>
        <w:rPr/>
        <w:t>Objetivos específicos:</w:t>
      </w:r>
    </w:p>
    <w:p>
      <w:pPr>
        <w:pStyle w:val="BodyText"/>
        <w:spacing w:before="7"/>
        <w:rPr>
          <w:sz w:val="29"/>
        </w:rPr>
      </w:pPr>
    </w:p>
    <w:p>
      <w:pPr>
        <w:pStyle w:val="ListParagraph"/>
        <w:numPr>
          <w:ilvl w:val="0"/>
          <w:numId w:val="2"/>
        </w:numPr>
        <w:tabs>
          <w:tab w:pos="513" w:val="left" w:leader="none"/>
        </w:tabs>
        <w:spacing w:line="357" w:lineRule="auto" w:before="1" w:after="0"/>
        <w:ind w:left="513" w:right="141" w:hanging="361"/>
        <w:jc w:val="both"/>
        <w:rPr>
          <w:rFonts w:ascii="Arial" w:hAnsi="Arial"/>
          <w:sz w:val="24"/>
        </w:rPr>
      </w:pPr>
      <w:r>
        <w:rPr>
          <w:rFonts w:ascii="Arial" w:hAnsi="Arial"/>
          <w:sz w:val="24"/>
        </w:rPr>
        <w:t>Realizar cuestionario de investigación a nivel nacional a médicos veterinarios para identificar cuales métodos diagnósticos utilizan para el diagnóstico de parvovirus</w:t>
      </w:r>
      <w:r>
        <w:rPr>
          <w:rFonts w:ascii="Arial" w:hAnsi="Arial"/>
          <w:spacing w:val="-4"/>
          <w:sz w:val="24"/>
        </w:rPr>
        <w:t> </w:t>
      </w:r>
      <w:r>
        <w:rPr>
          <w:rFonts w:ascii="Arial" w:hAnsi="Arial"/>
          <w:sz w:val="24"/>
        </w:rPr>
        <w:t>canino.</w:t>
      </w:r>
    </w:p>
    <w:p>
      <w:pPr>
        <w:pStyle w:val="BodyText"/>
      </w:pPr>
    </w:p>
    <w:p>
      <w:pPr>
        <w:pStyle w:val="ListParagraph"/>
        <w:numPr>
          <w:ilvl w:val="0"/>
          <w:numId w:val="2"/>
        </w:numPr>
        <w:tabs>
          <w:tab w:pos="513" w:val="left" w:leader="none"/>
        </w:tabs>
        <w:spacing w:line="355" w:lineRule="auto" w:before="141" w:after="0"/>
        <w:ind w:left="513" w:right="153" w:hanging="361"/>
        <w:jc w:val="both"/>
        <w:rPr>
          <w:rFonts w:ascii="Arial" w:hAnsi="Arial"/>
          <w:sz w:val="24"/>
        </w:rPr>
      </w:pPr>
      <w:r>
        <w:rPr>
          <w:rFonts w:ascii="Arial" w:hAnsi="Arial"/>
          <w:sz w:val="24"/>
        </w:rPr>
        <w:t>Estandarizar la técnica de PCR y PCR anidada para la identificación de parvovirus canino  y determinar su sensibilidad y</w:t>
      </w:r>
      <w:r>
        <w:rPr>
          <w:rFonts w:ascii="Arial" w:hAnsi="Arial"/>
          <w:spacing w:val="-21"/>
          <w:sz w:val="24"/>
        </w:rPr>
        <w:t> </w:t>
      </w:r>
      <w:r>
        <w:rPr>
          <w:rFonts w:ascii="Arial" w:hAnsi="Arial"/>
          <w:sz w:val="24"/>
        </w:rPr>
        <w:t>especificidad.</w:t>
      </w:r>
    </w:p>
    <w:p>
      <w:pPr>
        <w:pStyle w:val="BodyText"/>
      </w:pPr>
    </w:p>
    <w:p>
      <w:pPr>
        <w:pStyle w:val="BodyText"/>
      </w:pPr>
    </w:p>
    <w:p>
      <w:pPr>
        <w:pStyle w:val="ListParagraph"/>
        <w:numPr>
          <w:ilvl w:val="0"/>
          <w:numId w:val="2"/>
        </w:numPr>
        <w:tabs>
          <w:tab w:pos="513" w:val="left" w:leader="none"/>
        </w:tabs>
        <w:spacing w:line="355" w:lineRule="auto" w:before="184" w:after="0"/>
        <w:ind w:left="513" w:right="150" w:hanging="361"/>
        <w:jc w:val="both"/>
        <w:rPr>
          <w:rFonts w:ascii="Arial" w:hAnsi="Arial"/>
          <w:sz w:val="24"/>
        </w:rPr>
      </w:pPr>
      <w:r>
        <w:rPr>
          <w:rFonts w:ascii="Arial" w:hAnsi="Arial"/>
          <w:sz w:val="24"/>
        </w:rPr>
        <w:t>Determinar la sensibilidad y especificidad del diagnóstico clínico, hemograma, inmunocromatografía  y  PCR comparándolas con la prueba de  PCR</w:t>
      </w:r>
      <w:r>
        <w:rPr>
          <w:rFonts w:ascii="Arial" w:hAnsi="Arial"/>
          <w:spacing w:val="-24"/>
          <w:sz w:val="24"/>
        </w:rPr>
        <w:t> </w:t>
      </w:r>
      <w:r>
        <w:rPr>
          <w:rFonts w:ascii="Arial" w:hAnsi="Arial"/>
          <w:sz w:val="24"/>
        </w:rPr>
        <w:t>anidado.</w:t>
      </w:r>
    </w:p>
    <w:p>
      <w:pPr>
        <w:pStyle w:val="BodyText"/>
      </w:pPr>
    </w:p>
    <w:p>
      <w:pPr>
        <w:pStyle w:val="ListParagraph"/>
        <w:numPr>
          <w:ilvl w:val="0"/>
          <w:numId w:val="2"/>
        </w:numPr>
        <w:tabs>
          <w:tab w:pos="513" w:val="left" w:leader="none"/>
        </w:tabs>
        <w:spacing w:line="355" w:lineRule="auto" w:before="143" w:after="0"/>
        <w:ind w:left="513" w:right="146" w:hanging="361"/>
        <w:jc w:val="both"/>
        <w:rPr>
          <w:rFonts w:ascii="Arial" w:hAnsi="Arial"/>
          <w:sz w:val="24"/>
        </w:rPr>
      </w:pPr>
      <w:r>
        <w:rPr>
          <w:rFonts w:ascii="Arial" w:hAnsi="Arial"/>
          <w:sz w:val="24"/>
        </w:rPr>
        <w:t>Determinar el tiempo de excreción en heces de partículas virales vacunales en pacientes inmunizadas con vacuna</w:t>
      </w:r>
      <w:r>
        <w:rPr>
          <w:rFonts w:ascii="Arial" w:hAnsi="Arial"/>
          <w:spacing w:val="-7"/>
          <w:sz w:val="24"/>
        </w:rPr>
        <w:t> </w:t>
      </w:r>
      <w:r>
        <w:rPr>
          <w:rFonts w:ascii="Arial" w:hAnsi="Arial"/>
          <w:spacing w:val="-3"/>
          <w:sz w:val="24"/>
        </w:rPr>
        <w:t>CPV-2.</w:t>
      </w:r>
    </w:p>
    <w:p>
      <w:pPr>
        <w:pStyle w:val="BodyText"/>
      </w:pPr>
    </w:p>
    <w:p>
      <w:pPr>
        <w:pStyle w:val="BodyText"/>
      </w:pPr>
    </w:p>
    <w:p>
      <w:pPr>
        <w:pStyle w:val="ListParagraph"/>
        <w:numPr>
          <w:ilvl w:val="0"/>
          <w:numId w:val="2"/>
        </w:numPr>
        <w:tabs>
          <w:tab w:pos="581" w:val="left" w:leader="none"/>
        </w:tabs>
        <w:spacing w:line="350" w:lineRule="auto" w:before="189" w:after="0"/>
        <w:ind w:left="513" w:right="153" w:hanging="361"/>
        <w:jc w:val="both"/>
        <w:rPr>
          <w:rFonts w:ascii="Arial"/>
          <w:sz w:val="24"/>
        </w:rPr>
      </w:pPr>
      <w:r>
        <w:rPr>
          <w:rFonts w:ascii="Arial"/>
          <w:sz w:val="24"/>
        </w:rPr>
        <w:t>Identificar </w:t>
      </w:r>
      <w:r>
        <w:rPr>
          <w:rFonts w:ascii="Arial"/>
          <w:spacing w:val="-3"/>
          <w:sz w:val="24"/>
        </w:rPr>
        <w:t>si </w:t>
      </w:r>
      <w:r>
        <w:rPr>
          <w:rFonts w:ascii="Arial"/>
          <w:sz w:val="24"/>
        </w:rPr>
        <w:t>perros vacunados y posteriormente desafiados con virus de campo de parvovirus canino  logran ser</w:t>
      </w:r>
      <w:r>
        <w:rPr>
          <w:rFonts w:ascii="Arial"/>
          <w:spacing w:val="-10"/>
          <w:sz w:val="24"/>
        </w:rPr>
        <w:t> </w:t>
      </w:r>
      <w:r>
        <w:rPr>
          <w:rFonts w:ascii="Arial"/>
          <w:sz w:val="24"/>
        </w:rPr>
        <w:t>infectados.</w:t>
      </w:r>
    </w:p>
    <w:p>
      <w:pPr>
        <w:spacing w:after="0" w:line="350" w:lineRule="auto"/>
        <w:jc w:val="both"/>
        <w:rPr>
          <w:rFonts w:ascii="Arial"/>
          <w:sz w:val="24"/>
        </w:rPr>
        <w:sectPr>
          <w:pgSz w:w="12240" w:h="15840"/>
          <w:pgMar w:header="1154" w:footer="1713" w:top="1520" w:bottom="1900" w:left="1720" w:right="1380"/>
        </w:sectPr>
      </w:pPr>
    </w:p>
    <w:p>
      <w:pPr>
        <w:pStyle w:val="BodyText"/>
        <w:spacing w:before="4"/>
        <w:rPr>
          <w:sz w:val="17"/>
        </w:rPr>
      </w:pPr>
    </w:p>
    <w:p>
      <w:pPr>
        <w:pStyle w:val="Heading1"/>
        <w:numPr>
          <w:ilvl w:val="0"/>
          <w:numId w:val="1"/>
        </w:numPr>
        <w:tabs>
          <w:tab w:pos="513" w:val="left" w:leader="none"/>
        </w:tabs>
        <w:spacing w:line="240" w:lineRule="auto" w:before="69" w:after="0"/>
        <w:ind w:left="513" w:right="0" w:hanging="361"/>
        <w:jc w:val="both"/>
      </w:pPr>
      <w:r>
        <w:rPr/>
        <w:t>MATERIALES Y</w:t>
      </w:r>
      <w:r>
        <w:rPr>
          <w:spacing w:val="-8"/>
        </w:rPr>
        <w:t> </w:t>
      </w:r>
      <w:r>
        <w:rPr/>
        <w:t>METODOS</w:t>
      </w:r>
    </w:p>
    <w:p>
      <w:pPr>
        <w:pStyle w:val="BodyText"/>
        <w:spacing w:before="3"/>
        <w:rPr>
          <w:b/>
          <w:sz w:val="30"/>
        </w:rPr>
      </w:pPr>
    </w:p>
    <w:p>
      <w:pPr>
        <w:pStyle w:val="BodyText"/>
        <w:spacing w:line="360" w:lineRule="auto"/>
        <w:ind w:left="152" w:right="141"/>
        <w:jc w:val="both"/>
      </w:pPr>
      <w:r>
        <w:rPr/>
        <w:t>Para obtener información de los procedimientos y pruebas de laboratorio en los que actualmente se basan los médicos veterinarios para realizar el diagnóstico de parvovirus canino en sus hospitales y clínicas, 1054 de nuestro país respondieron un cuestionario de investigación autoaplicado, en este se utilizaron preguntas cerradas como método de estudio. (Anexo 1).</w:t>
      </w:r>
    </w:p>
    <w:p>
      <w:pPr>
        <w:pStyle w:val="BodyText"/>
        <w:spacing w:line="360" w:lineRule="auto" w:before="2"/>
        <w:ind w:left="152" w:right="140" w:firstLine="67"/>
        <w:jc w:val="both"/>
      </w:pPr>
      <w:r>
        <w:rPr/>
        <w:t>Posteriormente, para determinar la sensibilidad y especificidad de los métodos diagnósticos que fueron reportados en las encuestas, se seleccionó a perros con cuadro clínico sugerente a parvovirus canino o con historia de exposición en ambientes contaminados; entre los criterios de inclusión no habría distinción de raza, sexo o edad, solo se descartaría a pacientes con un periodo posvacunal contra parvovirus canino de 20 días. Una vez identificados los pacientes para verificar si estaban infectados con el virus se tomaron dos hisopados rectales, uno fue utilizado para realizar la extracción de ADN viral y realizar PCR anidada como prueba de diagnóstico, debido a que ha sido reportada como altamente sensible (Hirasawa y </w:t>
      </w:r>
      <w:r>
        <w:rPr>
          <w:i/>
        </w:rPr>
        <w:t>et al., </w:t>
      </w:r>
      <w:r>
        <w:rPr/>
        <w:t>1994), el otro hisopado fue utilizado para las pruebas de inmunocromatografía.</w:t>
      </w:r>
    </w:p>
    <w:p>
      <w:pPr>
        <w:pStyle w:val="BodyText"/>
      </w:pPr>
    </w:p>
    <w:p>
      <w:pPr>
        <w:pStyle w:val="BodyText"/>
        <w:spacing w:line="360" w:lineRule="auto" w:before="144"/>
        <w:ind w:left="152" w:right="141"/>
        <w:jc w:val="both"/>
      </w:pPr>
      <w:r>
        <w:rPr/>
        <w:t>Una vez determinado el estatus de cada perro, se organizaron dos grupos, uno con 100 pacientes positivos a parvovirus canino y otro con 17 pacientes negativos. La valoración clínica de los perros se realizó en el Hospital Veterinario de Pequeñas Especies de la UAEMéx, en el </w:t>
      </w:r>
      <w:r>
        <w:rPr>
          <w:spacing w:val="-3"/>
        </w:rPr>
        <w:t>cual </w:t>
      </w:r>
      <w:r>
        <w:rPr/>
        <w:t>cada uno de los perros fue valorado por tres médicos veterinarios para que emitieran un diagnóstico clínico presuntivo solo en base a sus observaciones clínicas, posteriormente se realizó un hemograma a cada perro, PCR simple y </w:t>
      </w:r>
      <w:r>
        <w:rPr>
          <w:spacing w:val="-3"/>
        </w:rPr>
        <w:t>se </w:t>
      </w:r>
      <w:r>
        <w:rPr/>
        <w:t>seleccionó a 60 perros para ser valorados por la técnica de inmunocromatografía; estos cuatro procedimientos fueron comparados contra la prueba de PCR anidada para determinar su sensibilidad y especificidad para  el diagnóstico de</w:t>
      </w:r>
      <w:r>
        <w:rPr>
          <w:spacing w:val="-13"/>
        </w:rPr>
        <w:t> </w:t>
      </w:r>
      <w:r>
        <w:rPr/>
        <w:t>PVC-2.</w:t>
      </w:r>
    </w:p>
    <w:p>
      <w:pPr>
        <w:spacing w:after="0" w:line="360" w:lineRule="auto"/>
        <w:jc w:val="both"/>
        <w:sectPr>
          <w:pgSz w:w="12240" w:h="15840"/>
          <w:pgMar w:header="1154" w:footer="1713" w:top="1520" w:bottom="1900" w:left="1720" w:right="1380"/>
        </w:sectPr>
      </w:pPr>
    </w:p>
    <w:p>
      <w:pPr>
        <w:pStyle w:val="BodyText"/>
        <w:spacing w:before="9"/>
        <w:rPr>
          <w:sz w:val="17"/>
        </w:rPr>
      </w:pPr>
    </w:p>
    <w:p>
      <w:pPr>
        <w:pStyle w:val="Heading1"/>
        <w:numPr>
          <w:ilvl w:val="1"/>
          <w:numId w:val="1"/>
        </w:numPr>
        <w:tabs>
          <w:tab w:pos="556" w:val="left" w:leader="none"/>
        </w:tabs>
        <w:spacing w:line="240" w:lineRule="auto" w:before="69" w:after="0"/>
        <w:ind w:left="152" w:right="0" w:firstLine="0"/>
        <w:jc w:val="both"/>
      </w:pPr>
      <w:r>
        <w:rPr/>
        <w:t>Diagnóstico</w:t>
      </w:r>
      <w:r>
        <w:rPr>
          <w:spacing w:val="-7"/>
        </w:rPr>
        <w:t> </w:t>
      </w:r>
      <w:r>
        <w:rPr/>
        <w:t>clínico</w:t>
      </w:r>
    </w:p>
    <w:p>
      <w:pPr>
        <w:pStyle w:val="BodyText"/>
        <w:rPr>
          <w:b/>
        </w:rPr>
      </w:pPr>
    </w:p>
    <w:p>
      <w:pPr>
        <w:pStyle w:val="BodyText"/>
        <w:spacing w:before="3"/>
        <w:rPr>
          <w:b/>
        </w:rPr>
      </w:pPr>
    </w:p>
    <w:p>
      <w:pPr>
        <w:pStyle w:val="BodyText"/>
        <w:spacing w:line="360" w:lineRule="auto"/>
        <w:ind w:left="152" w:right="145"/>
        <w:jc w:val="both"/>
      </w:pPr>
      <w:r>
        <w:rPr/>
        <w:t>Cada perro fue examinado por tres médicos veterinarios, los cuales emitieron en forma separada su diagnóstico, utilizando solamente la historia clínica y el examen físico general como herramienta, los hallazgos encontrados eran registrados en un formato que les era entregado al inicio de la evaluación el cual incluía información general del paciente, signos clínicos presentados y un espacio para el registro del diagnóstico clínico. (Anexo 2).</w:t>
      </w:r>
    </w:p>
    <w:p>
      <w:pPr>
        <w:pStyle w:val="BodyText"/>
        <w:spacing w:before="8"/>
        <w:rPr>
          <w:sz w:val="35"/>
        </w:rPr>
      </w:pPr>
    </w:p>
    <w:p>
      <w:pPr>
        <w:pStyle w:val="Heading1"/>
        <w:numPr>
          <w:ilvl w:val="1"/>
          <w:numId w:val="1"/>
        </w:numPr>
        <w:tabs>
          <w:tab w:pos="556" w:val="left" w:leader="none"/>
        </w:tabs>
        <w:spacing w:line="240" w:lineRule="auto" w:before="0" w:after="0"/>
        <w:ind w:left="555" w:right="0" w:hanging="403"/>
        <w:jc w:val="both"/>
      </w:pPr>
      <w:r>
        <w:rPr/>
        <w:t>Hemograma</w:t>
      </w:r>
    </w:p>
    <w:p>
      <w:pPr>
        <w:pStyle w:val="BodyText"/>
        <w:rPr>
          <w:b/>
        </w:rPr>
      </w:pPr>
    </w:p>
    <w:p>
      <w:pPr>
        <w:pStyle w:val="BodyText"/>
        <w:spacing w:before="7"/>
        <w:rPr>
          <w:b/>
        </w:rPr>
      </w:pPr>
    </w:p>
    <w:p>
      <w:pPr>
        <w:pStyle w:val="BodyText"/>
        <w:spacing w:line="360" w:lineRule="auto" w:before="1"/>
        <w:ind w:left="152" w:right="141"/>
        <w:jc w:val="both"/>
      </w:pPr>
      <w:r>
        <w:rPr/>
        <w:t>Fueron tomadas muestras de sangre de la vena yugular, utilizando jeringa y aguja hipodérmica estéril (25 -35 mm), con previa asepsia del área a puncionar, la muestra se colocó en tubos con anticoagulante EDTA (Ácido Etildiaminotetracético), el conteo celular se realizó mediante el analizador automático IDEXX Vet autored y por observación  microscópica  mediante extensión sanguínea previamente teñida con colorante modificado de Wright, para detectar leucopenia, leucocitos totales menores a 6.0x109/L. (Villiers y Dunn, 2000).</w:t>
      </w:r>
    </w:p>
    <w:p>
      <w:pPr>
        <w:pStyle w:val="BodyText"/>
      </w:pPr>
    </w:p>
    <w:p>
      <w:pPr>
        <w:pStyle w:val="Heading1"/>
        <w:numPr>
          <w:ilvl w:val="1"/>
          <w:numId w:val="1"/>
        </w:numPr>
        <w:tabs>
          <w:tab w:pos="556" w:val="left" w:leader="none"/>
        </w:tabs>
        <w:spacing w:line="240" w:lineRule="auto" w:before="139" w:after="0"/>
        <w:ind w:left="555" w:right="0" w:hanging="403"/>
        <w:jc w:val="both"/>
      </w:pPr>
      <w:r>
        <w:rPr/>
        <w:t>Extracción de</w:t>
      </w:r>
      <w:r>
        <w:rPr>
          <w:spacing w:val="-10"/>
        </w:rPr>
        <w:t> </w:t>
      </w:r>
      <w:r>
        <w:rPr/>
        <w:t>DNA</w:t>
      </w:r>
    </w:p>
    <w:p>
      <w:pPr>
        <w:pStyle w:val="BodyText"/>
        <w:rPr>
          <w:b/>
        </w:rPr>
      </w:pPr>
    </w:p>
    <w:p>
      <w:pPr>
        <w:pStyle w:val="BodyText"/>
        <w:spacing w:before="3"/>
        <w:rPr>
          <w:b/>
        </w:rPr>
      </w:pPr>
    </w:p>
    <w:p>
      <w:pPr>
        <w:pStyle w:val="BodyText"/>
        <w:spacing w:line="360" w:lineRule="auto"/>
        <w:ind w:left="152" w:right="154"/>
        <w:jc w:val="both"/>
      </w:pPr>
      <w:r>
        <w:rPr/>
        <w:t>Los hisopados rectales colectados fue homogenizados individualmente en viales estériles con 500μl de agua libre de nucleasas, se realizó agitación en vortex durante 30 segundos para homogenizar la muestra, si existía mucho material fecal que pudiera generar complicaciones durante la purificación, la muestra era centrifugada a 8000 rpm durante 2 minutos y se trabajaría solamente con el sobrenadante. Posteriormente   200μl de este homogenizado se utilizaron para   la</w:t>
      </w:r>
    </w:p>
    <w:p>
      <w:pPr>
        <w:spacing w:after="0" w:line="360" w:lineRule="auto"/>
        <w:jc w:val="both"/>
        <w:sectPr>
          <w:footerReference w:type="default" r:id="rId15"/>
          <w:pgSz w:w="12240" w:h="15840"/>
          <w:pgMar w:footer="1713" w:header="1154" w:top="1520" w:bottom="1900" w:left="1720" w:right="1380"/>
        </w:sectPr>
      </w:pPr>
    </w:p>
    <w:p>
      <w:pPr>
        <w:pStyle w:val="BodyText"/>
        <w:spacing w:before="2"/>
        <w:rPr>
          <w:sz w:val="18"/>
        </w:rPr>
      </w:pPr>
    </w:p>
    <w:p>
      <w:pPr>
        <w:pStyle w:val="BodyText"/>
        <w:spacing w:line="360" w:lineRule="auto" w:before="70"/>
        <w:ind w:left="192" w:right="183"/>
        <w:jc w:val="both"/>
      </w:pPr>
      <w:r>
        <w:rPr/>
        <w:t>purificación de DNA total, el procedimiento se realizó utilizando el kit QIAamp® DNA Stool (Quiagen), siguiendo las instrucciones del fabricante (Anexo 3).El DNA obtenido se conservó a -20ºC hasta su uso.</w:t>
      </w:r>
    </w:p>
    <w:p>
      <w:pPr>
        <w:pStyle w:val="BodyText"/>
        <w:spacing w:line="360" w:lineRule="auto" w:before="7"/>
        <w:ind w:left="192" w:right="193"/>
        <w:jc w:val="both"/>
      </w:pPr>
      <w:r>
        <w:rPr/>
        <w:t>Con el fin de comprobar que no existieran contaminaciones dentro del proceso de extracción de DNA se realizaba una purificación de agua como control negativo siguiendo los pasos establecidos en el kit, el resultado de la extracción fue  utilizado como templado en controles negativos en la técnica de</w:t>
      </w:r>
      <w:r>
        <w:rPr>
          <w:spacing w:val="-31"/>
        </w:rPr>
        <w:t> </w:t>
      </w:r>
      <w:r>
        <w:rPr/>
        <w:t>PCR.</w:t>
      </w:r>
    </w:p>
    <w:p>
      <w:pPr>
        <w:pStyle w:val="BodyText"/>
      </w:pPr>
    </w:p>
    <w:p>
      <w:pPr>
        <w:pStyle w:val="BodyText"/>
        <w:spacing w:before="2"/>
        <w:rPr>
          <w:sz w:val="29"/>
        </w:rPr>
      </w:pPr>
    </w:p>
    <w:p>
      <w:pPr>
        <w:pStyle w:val="Heading1"/>
        <w:numPr>
          <w:ilvl w:val="1"/>
          <w:numId w:val="1"/>
        </w:numPr>
        <w:tabs>
          <w:tab w:pos="596" w:val="left" w:leader="none"/>
        </w:tabs>
        <w:spacing w:line="240" w:lineRule="auto" w:before="1" w:after="0"/>
        <w:ind w:left="595" w:right="0" w:hanging="403"/>
        <w:jc w:val="both"/>
      </w:pPr>
      <w:r>
        <w:rPr/>
        <w:t>Amplificación de PCR</w:t>
      </w:r>
      <w:r>
        <w:rPr>
          <w:spacing w:val="-13"/>
        </w:rPr>
        <w:t> </w:t>
      </w:r>
      <w:r>
        <w:rPr/>
        <w:t>simple</w:t>
      </w:r>
    </w:p>
    <w:p>
      <w:pPr>
        <w:pStyle w:val="BodyText"/>
        <w:rPr>
          <w:b/>
        </w:rPr>
      </w:pPr>
    </w:p>
    <w:p>
      <w:pPr>
        <w:pStyle w:val="BodyText"/>
        <w:rPr>
          <w:b/>
        </w:rPr>
      </w:pPr>
    </w:p>
    <w:p>
      <w:pPr>
        <w:pStyle w:val="BodyText"/>
        <w:spacing w:before="3"/>
        <w:rPr>
          <w:b/>
          <w:sz w:val="35"/>
        </w:rPr>
      </w:pPr>
    </w:p>
    <w:p>
      <w:pPr>
        <w:pStyle w:val="BodyText"/>
        <w:spacing w:before="1"/>
        <w:ind w:left="192"/>
        <w:jc w:val="both"/>
      </w:pPr>
      <w:r>
        <w:rPr/>
        <w:t>Para los ensayos de la PCR fueron diseñados dos pares de iniciadores:</w:t>
      </w:r>
    </w:p>
    <w:p>
      <w:pPr>
        <w:pStyle w:val="BodyText"/>
        <w:rPr>
          <w:sz w:val="20"/>
        </w:rPr>
      </w:pPr>
    </w:p>
    <w:p>
      <w:pPr>
        <w:pStyle w:val="BodyText"/>
        <w:rPr>
          <w:sz w:val="20"/>
        </w:rPr>
      </w:pPr>
    </w:p>
    <w:p>
      <w:pPr>
        <w:pStyle w:val="BodyText"/>
        <w:spacing w:before="5"/>
        <w:rPr>
          <w:sz w:val="10"/>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49"/>
        <w:gridCol w:w="6449"/>
      </w:tblGrid>
      <w:tr>
        <w:trPr>
          <w:trHeight w:val="641" w:hRule="exact"/>
        </w:trPr>
        <w:tc>
          <w:tcPr>
            <w:tcW w:w="2549" w:type="dxa"/>
            <w:tcBorders>
              <w:bottom w:val="single" w:sz="8" w:space="0" w:color="000000"/>
            </w:tcBorders>
          </w:tcPr>
          <w:p>
            <w:pPr/>
          </w:p>
        </w:tc>
        <w:tc>
          <w:tcPr>
            <w:tcW w:w="6449" w:type="dxa"/>
            <w:tcBorders>
              <w:bottom w:val="single" w:sz="8" w:space="0" w:color="000000"/>
            </w:tcBorders>
          </w:tcPr>
          <w:p>
            <w:pPr>
              <w:pStyle w:val="TableParagraph"/>
              <w:spacing w:line="245" w:lineRule="exact"/>
              <w:ind w:left="1681"/>
              <w:rPr>
                <w:b/>
                <w:sz w:val="24"/>
              </w:rPr>
            </w:pPr>
            <w:r>
              <w:rPr>
                <w:b/>
                <w:sz w:val="24"/>
              </w:rPr>
              <w:t>Iniciadores</w:t>
            </w:r>
          </w:p>
        </w:tc>
      </w:tr>
      <w:tr>
        <w:trPr>
          <w:trHeight w:val="881" w:hRule="exact"/>
        </w:trPr>
        <w:tc>
          <w:tcPr>
            <w:tcW w:w="2549" w:type="dxa"/>
            <w:tcBorders>
              <w:top w:val="single" w:sz="8" w:space="0" w:color="000000"/>
            </w:tcBorders>
          </w:tcPr>
          <w:p>
            <w:pPr>
              <w:pStyle w:val="TableParagraph"/>
              <w:spacing w:before="10"/>
              <w:rPr>
                <w:sz w:val="25"/>
              </w:rPr>
            </w:pPr>
          </w:p>
          <w:p>
            <w:pPr>
              <w:pStyle w:val="TableParagraph"/>
              <w:ind w:left="120"/>
              <w:rPr>
                <w:b/>
                <w:sz w:val="24"/>
              </w:rPr>
            </w:pPr>
            <w:r>
              <w:rPr>
                <w:b/>
                <w:sz w:val="24"/>
              </w:rPr>
              <w:t>ParvoINT2FB</w:t>
            </w:r>
          </w:p>
        </w:tc>
        <w:tc>
          <w:tcPr>
            <w:tcW w:w="6449" w:type="dxa"/>
            <w:tcBorders>
              <w:top w:val="single" w:sz="8" w:space="0" w:color="000000"/>
            </w:tcBorders>
          </w:tcPr>
          <w:p>
            <w:pPr>
              <w:pStyle w:val="TableParagraph"/>
              <w:spacing w:before="1"/>
              <w:rPr>
                <w:sz w:val="35"/>
              </w:rPr>
            </w:pPr>
          </w:p>
          <w:p>
            <w:pPr>
              <w:pStyle w:val="TableParagraph"/>
              <w:ind w:left="826"/>
              <w:rPr>
                <w:sz w:val="24"/>
              </w:rPr>
            </w:pPr>
            <w:r>
              <w:rPr>
                <w:sz w:val="24"/>
              </w:rPr>
              <w:t>5’-TCAAGCAGATGGTGATCCAAG-3’</w:t>
            </w:r>
          </w:p>
        </w:tc>
      </w:tr>
      <w:tr>
        <w:trPr>
          <w:trHeight w:val="819" w:hRule="exact"/>
        </w:trPr>
        <w:tc>
          <w:tcPr>
            <w:tcW w:w="2549" w:type="dxa"/>
            <w:tcBorders>
              <w:bottom w:val="single" w:sz="8" w:space="0" w:color="000000"/>
            </w:tcBorders>
          </w:tcPr>
          <w:p>
            <w:pPr>
              <w:pStyle w:val="TableParagraph"/>
              <w:spacing w:before="2"/>
              <w:rPr>
                <w:sz w:val="23"/>
              </w:rPr>
            </w:pPr>
          </w:p>
          <w:p>
            <w:pPr>
              <w:pStyle w:val="TableParagraph"/>
              <w:ind w:left="120"/>
              <w:rPr>
                <w:b/>
                <w:sz w:val="24"/>
              </w:rPr>
            </w:pPr>
            <w:r>
              <w:rPr>
                <w:b/>
                <w:sz w:val="24"/>
              </w:rPr>
              <w:t>Parvo INT2CR</w:t>
            </w:r>
          </w:p>
        </w:tc>
        <w:tc>
          <w:tcPr>
            <w:tcW w:w="6449" w:type="dxa"/>
            <w:tcBorders>
              <w:bottom w:val="single" w:sz="8" w:space="0" w:color="000000"/>
            </w:tcBorders>
          </w:tcPr>
          <w:p>
            <w:pPr>
              <w:pStyle w:val="TableParagraph"/>
              <w:spacing w:before="166"/>
              <w:ind w:left="826"/>
              <w:rPr>
                <w:sz w:val="24"/>
              </w:rPr>
            </w:pPr>
            <w:r>
              <w:rPr>
                <w:sz w:val="24"/>
              </w:rPr>
              <w:t>5’-GGTACATTATTTAATGCAGTTA-3’</w:t>
            </w:r>
          </w:p>
        </w:tc>
      </w:tr>
    </w:tbl>
    <w:p>
      <w:pPr>
        <w:pStyle w:val="BodyText"/>
        <w:rPr>
          <w:sz w:val="20"/>
        </w:rPr>
      </w:pPr>
    </w:p>
    <w:p>
      <w:pPr>
        <w:pStyle w:val="BodyText"/>
        <w:rPr>
          <w:sz w:val="20"/>
        </w:rPr>
      </w:pPr>
    </w:p>
    <w:p>
      <w:pPr>
        <w:pStyle w:val="BodyText"/>
        <w:spacing w:before="4"/>
        <w:rPr>
          <w:sz w:val="25"/>
        </w:rPr>
      </w:pPr>
    </w:p>
    <w:p>
      <w:pPr>
        <w:pStyle w:val="BodyText"/>
        <w:spacing w:line="362" w:lineRule="auto" w:before="70"/>
        <w:ind w:left="192" w:right="188"/>
        <w:jc w:val="both"/>
      </w:pPr>
      <w:r>
        <w:rPr/>
        <w:t>Estos iniciadores amplifican un fragmento de 275 pb y se encuentran localizados en los nucleótidos 1107-1130 y 1360-1382 del gen VP2 de parvovirus canino (Numero de acceso GenBankFJ0051962c).</w:t>
      </w:r>
    </w:p>
    <w:p>
      <w:pPr>
        <w:pStyle w:val="BodyText"/>
        <w:spacing w:before="10"/>
        <w:rPr>
          <w:sz w:val="35"/>
        </w:rPr>
      </w:pPr>
    </w:p>
    <w:p>
      <w:pPr>
        <w:pStyle w:val="BodyText"/>
        <w:spacing w:line="362" w:lineRule="auto"/>
        <w:ind w:left="192" w:right="189"/>
        <w:jc w:val="both"/>
      </w:pPr>
      <w:r>
        <w:rPr/>
        <w:t>Para realizar esta reacción se colocaron en un vial estéril de 200μl los siguientes reactivos  y componentes:</w:t>
      </w:r>
    </w:p>
    <w:p>
      <w:pPr>
        <w:spacing w:after="0" w:line="362" w:lineRule="auto"/>
        <w:jc w:val="both"/>
        <w:sectPr>
          <w:footerReference w:type="default" r:id="rId16"/>
          <w:pgSz w:w="12240" w:h="15840"/>
          <w:pgMar w:footer="1713" w:header="1154" w:top="1520" w:bottom="1900" w:left="1680" w:right="1340"/>
          <w:pgNumType w:start="21"/>
        </w:sectPr>
      </w:pPr>
    </w:p>
    <w:tbl>
      <w:tblPr>
        <w:tblW w:w="0" w:type="auto"/>
        <w:jc w:val="left"/>
        <w:tblInd w:w="1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712"/>
        <w:gridCol w:w="3884"/>
        <w:gridCol w:w="303"/>
      </w:tblGrid>
      <w:tr>
        <w:trPr>
          <w:trHeight w:val="710" w:hRule="exact"/>
        </w:trPr>
        <w:tc>
          <w:tcPr>
            <w:tcW w:w="4712" w:type="dxa"/>
            <w:tcBorders>
              <w:left w:val="nil"/>
              <w:bottom w:val="single" w:sz="8" w:space="0" w:color="000000"/>
              <w:right w:val="nil"/>
            </w:tcBorders>
          </w:tcPr>
          <w:p>
            <w:pPr>
              <w:pStyle w:val="TableParagraph"/>
              <w:spacing w:before="9"/>
              <w:rPr>
                <w:sz w:val="23"/>
              </w:rPr>
            </w:pPr>
          </w:p>
          <w:p>
            <w:pPr>
              <w:pStyle w:val="TableParagraph"/>
              <w:ind w:left="28"/>
              <w:rPr>
                <w:b/>
                <w:sz w:val="24"/>
              </w:rPr>
            </w:pPr>
            <w:r>
              <w:rPr>
                <w:b/>
                <w:sz w:val="24"/>
              </w:rPr>
              <w:t>Componentes</w:t>
            </w:r>
          </w:p>
        </w:tc>
        <w:tc>
          <w:tcPr>
            <w:tcW w:w="3884" w:type="dxa"/>
            <w:tcBorders>
              <w:left w:val="nil"/>
              <w:bottom w:val="single" w:sz="8" w:space="0" w:color="000000"/>
              <w:right w:val="nil"/>
            </w:tcBorders>
          </w:tcPr>
          <w:p>
            <w:pPr>
              <w:pStyle w:val="TableParagraph"/>
              <w:spacing w:before="9"/>
              <w:rPr>
                <w:sz w:val="23"/>
              </w:rPr>
            </w:pPr>
          </w:p>
          <w:p>
            <w:pPr>
              <w:pStyle w:val="TableParagraph"/>
              <w:ind w:left="1773" w:right="1057"/>
              <w:jc w:val="center"/>
              <w:rPr>
                <w:b/>
                <w:sz w:val="24"/>
              </w:rPr>
            </w:pPr>
            <w:r>
              <w:rPr>
                <w:b/>
                <w:sz w:val="24"/>
              </w:rPr>
              <w:t>Volumen</w:t>
            </w:r>
          </w:p>
        </w:tc>
        <w:tc>
          <w:tcPr>
            <w:tcW w:w="303" w:type="dxa"/>
            <w:tcBorders>
              <w:left w:val="nil"/>
              <w:bottom w:val="nil"/>
              <w:right w:val="nil"/>
            </w:tcBorders>
          </w:tcPr>
          <w:p>
            <w:pPr/>
          </w:p>
        </w:tc>
      </w:tr>
      <w:tr>
        <w:trPr>
          <w:trHeight w:val="781" w:hRule="exact"/>
        </w:trPr>
        <w:tc>
          <w:tcPr>
            <w:tcW w:w="4712" w:type="dxa"/>
            <w:tcBorders>
              <w:top w:val="single" w:sz="8" w:space="0" w:color="000000"/>
              <w:left w:val="nil"/>
              <w:bottom w:val="nil"/>
              <w:right w:val="nil"/>
            </w:tcBorders>
          </w:tcPr>
          <w:p>
            <w:pPr>
              <w:pStyle w:val="TableParagraph"/>
              <w:spacing w:before="11"/>
              <w:rPr>
                <w:sz w:val="35"/>
              </w:rPr>
            </w:pPr>
          </w:p>
          <w:p>
            <w:pPr>
              <w:pStyle w:val="TableParagraph"/>
              <w:ind w:left="28"/>
              <w:rPr>
                <w:sz w:val="24"/>
              </w:rPr>
            </w:pPr>
            <w:r>
              <w:rPr>
                <w:sz w:val="24"/>
              </w:rPr>
              <w:t>GoTaq® Green Máster Mix</w:t>
            </w:r>
          </w:p>
        </w:tc>
        <w:tc>
          <w:tcPr>
            <w:tcW w:w="3884" w:type="dxa"/>
            <w:tcBorders>
              <w:top w:val="single" w:sz="8" w:space="0" w:color="000000"/>
              <w:left w:val="nil"/>
              <w:bottom w:val="nil"/>
              <w:right w:val="nil"/>
            </w:tcBorders>
          </w:tcPr>
          <w:p>
            <w:pPr>
              <w:pStyle w:val="TableParagraph"/>
              <w:spacing w:before="11"/>
              <w:rPr>
                <w:sz w:val="35"/>
              </w:rPr>
            </w:pPr>
          </w:p>
          <w:p>
            <w:pPr>
              <w:pStyle w:val="TableParagraph"/>
              <w:ind w:left="1772" w:right="1057"/>
              <w:jc w:val="center"/>
              <w:rPr>
                <w:sz w:val="24"/>
              </w:rPr>
            </w:pPr>
            <w:r>
              <w:rPr>
                <w:sz w:val="24"/>
              </w:rPr>
              <w:t>12.5μl</w:t>
            </w:r>
          </w:p>
        </w:tc>
        <w:tc>
          <w:tcPr>
            <w:tcW w:w="303" w:type="dxa"/>
            <w:tcBorders>
              <w:top w:val="nil"/>
              <w:left w:val="nil"/>
              <w:bottom w:val="nil"/>
              <w:right w:val="nil"/>
            </w:tcBorders>
          </w:tcPr>
          <w:p>
            <w:pPr/>
          </w:p>
        </w:tc>
      </w:tr>
      <w:tr>
        <w:trPr>
          <w:trHeight w:val="413" w:hRule="exact"/>
        </w:trPr>
        <w:tc>
          <w:tcPr>
            <w:tcW w:w="4712" w:type="dxa"/>
            <w:tcBorders>
              <w:top w:val="nil"/>
              <w:left w:val="nil"/>
              <w:bottom w:val="nil"/>
              <w:right w:val="nil"/>
            </w:tcBorders>
          </w:tcPr>
          <w:p>
            <w:pPr>
              <w:pStyle w:val="TableParagraph"/>
              <w:spacing w:before="55"/>
              <w:ind w:left="28"/>
              <w:rPr>
                <w:sz w:val="24"/>
              </w:rPr>
            </w:pPr>
            <w:r>
              <w:rPr>
                <w:sz w:val="24"/>
              </w:rPr>
              <w:t>Iniciadores 20μM</w:t>
            </w:r>
          </w:p>
        </w:tc>
        <w:tc>
          <w:tcPr>
            <w:tcW w:w="3884" w:type="dxa"/>
            <w:tcBorders>
              <w:top w:val="nil"/>
              <w:left w:val="nil"/>
              <w:bottom w:val="nil"/>
              <w:right w:val="nil"/>
            </w:tcBorders>
          </w:tcPr>
          <w:p>
            <w:pPr>
              <w:pStyle w:val="TableParagraph"/>
              <w:spacing w:before="55"/>
              <w:ind w:left="1772" w:right="1057"/>
              <w:jc w:val="center"/>
              <w:rPr>
                <w:sz w:val="24"/>
              </w:rPr>
            </w:pPr>
            <w:r>
              <w:rPr>
                <w:sz w:val="24"/>
              </w:rPr>
              <w:t>2μl</w:t>
            </w:r>
          </w:p>
        </w:tc>
        <w:tc>
          <w:tcPr>
            <w:tcW w:w="303" w:type="dxa"/>
            <w:tcBorders>
              <w:top w:val="nil"/>
              <w:left w:val="nil"/>
              <w:bottom w:val="nil"/>
              <w:right w:val="nil"/>
            </w:tcBorders>
          </w:tcPr>
          <w:p>
            <w:pPr/>
          </w:p>
        </w:tc>
      </w:tr>
      <w:tr>
        <w:trPr>
          <w:trHeight w:val="415" w:hRule="exact"/>
        </w:trPr>
        <w:tc>
          <w:tcPr>
            <w:tcW w:w="4712" w:type="dxa"/>
            <w:tcBorders>
              <w:top w:val="nil"/>
              <w:left w:val="nil"/>
              <w:bottom w:val="nil"/>
              <w:right w:val="nil"/>
            </w:tcBorders>
          </w:tcPr>
          <w:p>
            <w:pPr>
              <w:pStyle w:val="TableParagraph"/>
              <w:spacing w:before="55"/>
              <w:ind w:left="28"/>
              <w:rPr>
                <w:sz w:val="24"/>
              </w:rPr>
            </w:pPr>
            <w:r>
              <w:rPr>
                <w:sz w:val="24"/>
              </w:rPr>
              <w:t>Agua libre de nucleasas</w:t>
            </w:r>
          </w:p>
        </w:tc>
        <w:tc>
          <w:tcPr>
            <w:tcW w:w="3884" w:type="dxa"/>
            <w:tcBorders>
              <w:top w:val="nil"/>
              <w:left w:val="nil"/>
              <w:bottom w:val="nil"/>
              <w:right w:val="nil"/>
            </w:tcBorders>
          </w:tcPr>
          <w:p>
            <w:pPr>
              <w:pStyle w:val="TableParagraph"/>
              <w:spacing w:before="55"/>
              <w:ind w:left="1773" w:right="1055"/>
              <w:jc w:val="center"/>
              <w:rPr>
                <w:sz w:val="24"/>
              </w:rPr>
            </w:pPr>
            <w:r>
              <w:rPr>
                <w:sz w:val="24"/>
              </w:rPr>
              <w:t>28.5μl</w:t>
            </w:r>
          </w:p>
        </w:tc>
        <w:tc>
          <w:tcPr>
            <w:tcW w:w="303" w:type="dxa"/>
            <w:tcBorders>
              <w:top w:val="nil"/>
              <w:left w:val="nil"/>
              <w:bottom w:val="nil"/>
              <w:right w:val="nil"/>
            </w:tcBorders>
          </w:tcPr>
          <w:p>
            <w:pPr/>
          </w:p>
        </w:tc>
      </w:tr>
      <w:tr>
        <w:trPr>
          <w:trHeight w:val="480" w:hRule="exact"/>
        </w:trPr>
        <w:tc>
          <w:tcPr>
            <w:tcW w:w="4712" w:type="dxa"/>
            <w:tcBorders>
              <w:top w:val="nil"/>
              <w:left w:val="nil"/>
              <w:right w:val="nil"/>
            </w:tcBorders>
          </w:tcPr>
          <w:p>
            <w:pPr>
              <w:pStyle w:val="TableParagraph"/>
              <w:spacing w:before="58"/>
              <w:ind w:left="28"/>
              <w:rPr>
                <w:sz w:val="24"/>
              </w:rPr>
            </w:pPr>
            <w:r>
              <w:rPr>
                <w:sz w:val="24"/>
              </w:rPr>
              <w:t>Templado (100ng)</w:t>
            </w:r>
          </w:p>
        </w:tc>
        <w:tc>
          <w:tcPr>
            <w:tcW w:w="3884" w:type="dxa"/>
            <w:tcBorders>
              <w:top w:val="nil"/>
              <w:left w:val="nil"/>
              <w:right w:val="nil"/>
            </w:tcBorders>
          </w:tcPr>
          <w:p>
            <w:pPr>
              <w:pStyle w:val="TableParagraph"/>
              <w:spacing w:before="58"/>
              <w:ind w:left="1772" w:right="1057"/>
              <w:jc w:val="center"/>
              <w:rPr>
                <w:sz w:val="24"/>
              </w:rPr>
            </w:pPr>
            <w:r>
              <w:rPr>
                <w:sz w:val="24"/>
              </w:rPr>
              <w:t>5μl</w:t>
            </w:r>
          </w:p>
        </w:tc>
        <w:tc>
          <w:tcPr>
            <w:tcW w:w="303" w:type="dxa"/>
            <w:tcBorders>
              <w:top w:val="nil"/>
              <w:left w:val="nil"/>
              <w:bottom w:val="nil"/>
              <w:right w:val="nil"/>
            </w:tcBorders>
          </w:tcPr>
          <w:p>
            <w:pPr/>
          </w:p>
        </w:tc>
      </w:tr>
      <w:tr>
        <w:trPr>
          <w:trHeight w:val="271" w:hRule="exact"/>
        </w:trPr>
        <w:tc>
          <w:tcPr>
            <w:tcW w:w="4712" w:type="dxa"/>
            <w:tcBorders>
              <w:left w:val="nil"/>
              <w:bottom w:val="nil"/>
              <w:right w:val="nil"/>
            </w:tcBorders>
          </w:tcPr>
          <w:p>
            <w:pPr>
              <w:pStyle w:val="TableParagraph"/>
              <w:spacing w:line="272" w:lineRule="exact"/>
              <w:ind w:left="28"/>
              <w:rPr>
                <w:sz w:val="24"/>
              </w:rPr>
            </w:pPr>
            <w:r>
              <w:rPr>
                <w:sz w:val="24"/>
              </w:rPr>
              <w:t>Volumen total</w:t>
            </w:r>
          </w:p>
        </w:tc>
        <w:tc>
          <w:tcPr>
            <w:tcW w:w="3884" w:type="dxa"/>
            <w:tcBorders>
              <w:left w:val="nil"/>
              <w:bottom w:val="nil"/>
              <w:right w:val="nil"/>
            </w:tcBorders>
          </w:tcPr>
          <w:p>
            <w:pPr>
              <w:pStyle w:val="TableParagraph"/>
              <w:spacing w:line="272" w:lineRule="exact"/>
              <w:ind w:left="1772" w:right="1057"/>
              <w:jc w:val="center"/>
              <w:rPr>
                <w:sz w:val="24"/>
              </w:rPr>
            </w:pPr>
            <w:r>
              <w:rPr>
                <w:sz w:val="24"/>
              </w:rPr>
              <w:t>50μl</w:t>
            </w:r>
          </w:p>
        </w:tc>
        <w:tc>
          <w:tcPr>
            <w:tcW w:w="303" w:type="dxa"/>
            <w:tcBorders>
              <w:top w:val="nil"/>
              <w:left w:val="nil"/>
              <w:bottom w:val="nil"/>
              <w:right w:val="nil"/>
            </w:tcBorders>
          </w:tcPr>
          <w:p>
            <w:pPr/>
          </w:p>
        </w:tc>
      </w:tr>
    </w:tbl>
    <w:p>
      <w:pPr>
        <w:pStyle w:val="BodyText"/>
        <w:rPr>
          <w:sz w:val="20"/>
        </w:rPr>
      </w:pPr>
    </w:p>
    <w:p>
      <w:pPr>
        <w:pStyle w:val="BodyText"/>
        <w:spacing w:before="7"/>
      </w:pPr>
    </w:p>
    <w:p>
      <w:pPr>
        <w:pStyle w:val="BodyText"/>
        <w:spacing w:line="360" w:lineRule="auto" w:before="69"/>
        <w:ind w:left="212" w:right="183"/>
        <w:jc w:val="both"/>
      </w:pPr>
      <w:r>
        <w:rPr/>
        <w:t>El reactivo GoTaq® Green Máster Mix (Promega, USA), contiene la enzima DNA polimerasa, reacción Buffer (pH 8.5), 400µM de dATP, dGTP, dCTP, dTTP y además 3mM MgCl.</w:t>
      </w:r>
    </w:p>
    <w:p>
      <w:pPr>
        <w:pStyle w:val="BodyText"/>
      </w:pPr>
    </w:p>
    <w:p>
      <w:pPr>
        <w:pStyle w:val="BodyText"/>
        <w:spacing w:line="360" w:lineRule="auto" w:before="144"/>
        <w:ind w:left="212" w:right="181"/>
        <w:jc w:val="both"/>
      </w:pPr>
      <w:r>
        <w:rPr/>
        <w:t>Los viales fueron colocados en un termociclador Eppendorf®  y la reacción se  llevó a cabo bajo las siguientes condiciones de amplificación, 1 ciclo de 94˚C durante 5 minutos para desnaturalización inicial, seguido de 35 ciclos de 94˚C durante 30 segundos, 52˚C durante 1 minuto, 72˚C durante 1 minuto y una extensión final de 72˚C por 5</w:t>
      </w:r>
      <w:r>
        <w:rPr>
          <w:spacing w:val="-8"/>
        </w:rPr>
        <w:t> </w:t>
      </w:r>
      <w:r>
        <w:rPr/>
        <w:t>minutos.</w:t>
      </w:r>
    </w:p>
    <w:p>
      <w:pPr>
        <w:pStyle w:val="BodyText"/>
      </w:pPr>
    </w:p>
    <w:p>
      <w:pPr>
        <w:pStyle w:val="Heading1"/>
        <w:numPr>
          <w:ilvl w:val="1"/>
          <w:numId w:val="1"/>
        </w:numPr>
        <w:tabs>
          <w:tab w:pos="616" w:val="left" w:leader="none"/>
        </w:tabs>
        <w:spacing w:line="240" w:lineRule="auto" w:before="140" w:after="0"/>
        <w:ind w:left="615" w:right="0" w:hanging="403"/>
        <w:jc w:val="both"/>
      </w:pPr>
      <w:r>
        <w:rPr/>
        <w:t>Amplificación PCR</w:t>
      </w:r>
      <w:r>
        <w:rPr>
          <w:spacing w:val="-13"/>
        </w:rPr>
        <w:t> </w:t>
      </w:r>
      <w:r>
        <w:rPr/>
        <w:t>anidada</w:t>
      </w:r>
    </w:p>
    <w:p>
      <w:pPr>
        <w:pStyle w:val="BodyText"/>
        <w:rPr>
          <w:b/>
        </w:rPr>
      </w:pPr>
    </w:p>
    <w:p>
      <w:pPr>
        <w:pStyle w:val="BodyText"/>
        <w:spacing w:before="2"/>
        <w:rPr>
          <w:b/>
        </w:rPr>
      </w:pPr>
    </w:p>
    <w:p>
      <w:pPr>
        <w:pStyle w:val="BodyText"/>
        <w:ind w:left="212"/>
        <w:jc w:val="both"/>
      </w:pPr>
      <w:r>
        <w:rPr/>
        <w:t>Para este ensayo fueron diseñados dos pares de iniciadores:</w:t>
      </w:r>
    </w:p>
    <w:p>
      <w:pPr>
        <w:pStyle w:val="BodyText"/>
        <w:spacing w:before="7" w:after="1"/>
        <w:rPr>
          <w:sz w:val="12"/>
        </w:rPr>
      </w:pPr>
    </w:p>
    <w:tbl>
      <w:tblPr>
        <w:tblW w:w="0" w:type="auto"/>
        <w:jc w:val="left"/>
        <w:tblInd w:w="1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394"/>
        <w:gridCol w:w="6634"/>
      </w:tblGrid>
      <w:tr>
        <w:trPr>
          <w:trHeight w:val="490" w:hRule="exact"/>
        </w:trPr>
        <w:tc>
          <w:tcPr>
            <w:tcW w:w="2394" w:type="dxa"/>
            <w:tcBorders>
              <w:left w:val="nil"/>
              <w:right w:val="nil"/>
            </w:tcBorders>
          </w:tcPr>
          <w:p>
            <w:pPr/>
          </w:p>
        </w:tc>
        <w:tc>
          <w:tcPr>
            <w:tcW w:w="6634" w:type="dxa"/>
            <w:tcBorders>
              <w:left w:val="nil"/>
              <w:right w:val="nil"/>
            </w:tcBorders>
          </w:tcPr>
          <w:p>
            <w:pPr>
              <w:pStyle w:val="TableParagraph"/>
              <w:spacing w:line="267" w:lineRule="exact"/>
              <w:ind w:left="1851"/>
              <w:rPr>
                <w:b/>
                <w:sz w:val="24"/>
              </w:rPr>
            </w:pPr>
            <w:r>
              <w:rPr>
                <w:b/>
                <w:sz w:val="24"/>
              </w:rPr>
              <w:t>Iniciadores</w:t>
            </w:r>
          </w:p>
        </w:tc>
      </w:tr>
      <w:tr>
        <w:trPr>
          <w:trHeight w:val="982" w:hRule="exact"/>
        </w:trPr>
        <w:tc>
          <w:tcPr>
            <w:tcW w:w="2394" w:type="dxa"/>
            <w:tcBorders>
              <w:left w:val="nil"/>
              <w:bottom w:val="nil"/>
              <w:right w:val="nil"/>
            </w:tcBorders>
          </w:tcPr>
          <w:p>
            <w:pPr>
              <w:pStyle w:val="TableParagraph"/>
              <w:spacing w:before="6"/>
              <w:rPr>
                <w:sz w:val="35"/>
              </w:rPr>
            </w:pPr>
          </w:p>
          <w:p>
            <w:pPr>
              <w:pStyle w:val="TableParagraph"/>
              <w:ind w:left="125"/>
              <w:rPr>
                <w:sz w:val="24"/>
              </w:rPr>
            </w:pPr>
            <w:r>
              <w:rPr>
                <w:sz w:val="24"/>
              </w:rPr>
              <w:t>ParvoExt1F</w:t>
            </w:r>
          </w:p>
        </w:tc>
        <w:tc>
          <w:tcPr>
            <w:tcW w:w="6634" w:type="dxa"/>
            <w:tcBorders>
              <w:left w:val="nil"/>
              <w:bottom w:val="nil"/>
              <w:right w:val="nil"/>
            </w:tcBorders>
          </w:tcPr>
          <w:p>
            <w:pPr>
              <w:pStyle w:val="TableParagraph"/>
              <w:spacing w:before="8"/>
              <w:rPr>
                <w:sz w:val="26"/>
              </w:rPr>
            </w:pPr>
          </w:p>
          <w:p>
            <w:pPr>
              <w:pStyle w:val="TableParagraph"/>
              <w:ind w:left="991"/>
              <w:rPr>
                <w:sz w:val="24"/>
              </w:rPr>
            </w:pPr>
            <w:r>
              <w:rPr>
                <w:sz w:val="24"/>
              </w:rPr>
              <w:t>5’-ATGAGTGATGGAGCAGTTCA-3’</w:t>
            </w:r>
          </w:p>
        </w:tc>
      </w:tr>
      <w:tr>
        <w:trPr>
          <w:trHeight w:val="896" w:hRule="exact"/>
        </w:trPr>
        <w:tc>
          <w:tcPr>
            <w:tcW w:w="2394" w:type="dxa"/>
            <w:tcBorders>
              <w:top w:val="nil"/>
              <w:left w:val="nil"/>
              <w:right w:val="nil"/>
            </w:tcBorders>
          </w:tcPr>
          <w:p>
            <w:pPr>
              <w:pStyle w:val="TableParagraph"/>
              <w:rPr>
                <w:sz w:val="32"/>
              </w:rPr>
            </w:pPr>
          </w:p>
          <w:p>
            <w:pPr>
              <w:pStyle w:val="TableParagraph"/>
              <w:ind w:left="125"/>
              <w:rPr>
                <w:sz w:val="24"/>
              </w:rPr>
            </w:pPr>
            <w:r>
              <w:rPr>
                <w:sz w:val="24"/>
              </w:rPr>
              <w:t>ParvoExt3R</w:t>
            </w:r>
          </w:p>
        </w:tc>
        <w:tc>
          <w:tcPr>
            <w:tcW w:w="6634" w:type="dxa"/>
            <w:tcBorders>
              <w:top w:val="nil"/>
              <w:left w:val="nil"/>
              <w:right w:val="nil"/>
            </w:tcBorders>
          </w:tcPr>
          <w:p>
            <w:pPr>
              <w:pStyle w:val="TableParagraph"/>
              <w:spacing w:before="9"/>
              <w:rPr>
                <w:sz w:val="22"/>
              </w:rPr>
            </w:pPr>
          </w:p>
          <w:p>
            <w:pPr>
              <w:pStyle w:val="TableParagraph"/>
              <w:ind w:left="991"/>
              <w:rPr>
                <w:sz w:val="24"/>
              </w:rPr>
            </w:pPr>
            <w:r>
              <w:rPr>
                <w:sz w:val="24"/>
              </w:rPr>
              <w:t>5’AGGTGCTAGTTGAGATTTTTCATATAC-3’</w:t>
            </w:r>
          </w:p>
        </w:tc>
      </w:tr>
    </w:tbl>
    <w:p>
      <w:pPr>
        <w:spacing w:after="0"/>
        <w:rPr>
          <w:sz w:val="24"/>
        </w:rPr>
        <w:sectPr>
          <w:headerReference w:type="default" r:id="rId17"/>
          <w:pgSz w:w="12240" w:h="15840"/>
          <w:pgMar w:header="1154" w:footer="1713" w:top="1480" w:bottom="1900" w:left="1660" w:right="1340"/>
        </w:sectPr>
      </w:pPr>
    </w:p>
    <w:p>
      <w:pPr>
        <w:pStyle w:val="BodyText"/>
        <w:spacing w:before="2"/>
        <w:rPr>
          <w:sz w:val="18"/>
        </w:rPr>
      </w:pPr>
    </w:p>
    <w:p>
      <w:pPr>
        <w:pStyle w:val="BodyText"/>
        <w:spacing w:line="360" w:lineRule="auto" w:before="70"/>
        <w:ind w:left="212" w:right="152"/>
        <w:jc w:val="both"/>
      </w:pPr>
      <w:r>
        <w:rPr/>
        <w:t>Estos iniciadores amplifican un fragmento de 1740 pb y se encuentran localizados en los nucleótidos 1-20 y 1712-1740 del gen VP2 de parvovirus canino (Numero  de acceso GenBank</w:t>
      </w:r>
      <w:r>
        <w:rPr>
          <w:spacing w:val="-7"/>
        </w:rPr>
        <w:t> </w:t>
      </w:r>
      <w:r>
        <w:rPr/>
        <w:t>FJ0051962c).</w:t>
      </w:r>
    </w:p>
    <w:p>
      <w:pPr>
        <w:pStyle w:val="BodyText"/>
      </w:pPr>
    </w:p>
    <w:p>
      <w:pPr>
        <w:pStyle w:val="BodyText"/>
        <w:spacing w:line="360" w:lineRule="auto" w:before="144"/>
        <w:ind w:left="212" w:right="160"/>
        <w:jc w:val="both"/>
      </w:pPr>
      <w:r>
        <w:rPr/>
        <w:t>Para realizar esta reacción se colocaron en un vial de 200μl estéril los siguientes reactivos  y componentes:</w:t>
      </w:r>
    </w:p>
    <w:p>
      <w:pPr>
        <w:pStyle w:val="BodyText"/>
        <w:rPr>
          <w:sz w:val="20"/>
        </w:rPr>
      </w:pPr>
    </w:p>
    <w:p>
      <w:pPr>
        <w:pStyle w:val="BodyText"/>
        <w:spacing w:before="9"/>
        <w:rPr>
          <w:sz w:val="18"/>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143"/>
        <w:gridCol w:w="3774"/>
      </w:tblGrid>
      <w:tr>
        <w:trPr>
          <w:trHeight w:val="401" w:hRule="exact"/>
        </w:trPr>
        <w:tc>
          <w:tcPr>
            <w:tcW w:w="5143" w:type="dxa"/>
            <w:tcBorders>
              <w:bottom w:val="single" w:sz="8" w:space="0" w:color="000000"/>
            </w:tcBorders>
          </w:tcPr>
          <w:p>
            <w:pPr>
              <w:pStyle w:val="TableParagraph"/>
              <w:spacing w:line="245" w:lineRule="exact"/>
              <w:ind w:left="110"/>
              <w:rPr>
                <w:b/>
                <w:sz w:val="24"/>
              </w:rPr>
            </w:pPr>
            <w:r>
              <w:rPr>
                <w:b/>
                <w:sz w:val="24"/>
              </w:rPr>
              <w:t>Componentes</w:t>
            </w:r>
          </w:p>
        </w:tc>
        <w:tc>
          <w:tcPr>
            <w:tcW w:w="3774" w:type="dxa"/>
            <w:tcBorders>
              <w:bottom w:val="single" w:sz="8" w:space="0" w:color="000000"/>
            </w:tcBorders>
          </w:tcPr>
          <w:p>
            <w:pPr>
              <w:pStyle w:val="TableParagraph"/>
              <w:spacing w:line="245" w:lineRule="exact"/>
              <w:ind w:left="1620" w:right="1100"/>
              <w:jc w:val="center"/>
              <w:rPr>
                <w:b/>
                <w:sz w:val="24"/>
              </w:rPr>
            </w:pPr>
            <w:r>
              <w:rPr>
                <w:b/>
                <w:sz w:val="24"/>
              </w:rPr>
              <w:t>Volumen</w:t>
            </w:r>
          </w:p>
        </w:tc>
      </w:tr>
      <w:tr>
        <w:trPr>
          <w:trHeight w:val="778" w:hRule="exact"/>
        </w:trPr>
        <w:tc>
          <w:tcPr>
            <w:tcW w:w="5143" w:type="dxa"/>
            <w:tcBorders>
              <w:top w:val="single" w:sz="8" w:space="0" w:color="000000"/>
            </w:tcBorders>
          </w:tcPr>
          <w:p>
            <w:pPr>
              <w:pStyle w:val="TableParagraph"/>
              <w:spacing w:before="6"/>
              <w:rPr>
                <w:sz w:val="35"/>
              </w:rPr>
            </w:pPr>
          </w:p>
          <w:p>
            <w:pPr>
              <w:pStyle w:val="TableParagraph"/>
              <w:ind w:left="110"/>
              <w:rPr>
                <w:sz w:val="24"/>
              </w:rPr>
            </w:pPr>
            <w:r>
              <w:rPr>
                <w:sz w:val="24"/>
              </w:rPr>
              <w:t>GoTaq® Flexi buffer 5X Green</w:t>
            </w:r>
          </w:p>
        </w:tc>
        <w:tc>
          <w:tcPr>
            <w:tcW w:w="3774" w:type="dxa"/>
            <w:tcBorders>
              <w:top w:val="single" w:sz="8" w:space="0" w:color="000000"/>
            </w:tcBorders>
          </w:tcPr>
          <w:p>
            <w:pPr>
              <w:pStyle w:val="TableParagraph"/>
              <w:spacing w:before="6"/>
              <w:rPr>
                <w:sz w:val="35"/>
              </w:rPr>
            </w:pPr>
          </w:p>
          <w:p>
            <w:pPr>
              <w:pStyle w:val="TableParagraph"/>
              <w:ind w:left="1620" w:right="1096"/>
              <w:jc w:val="center"/>
              <w:rPr>
                <w:sz w:val="24"/>
              </w:rPr>
            </w:pPr>
            <w:r>
              <w:rPr>
                <w:sz w:val="24"/>
              </w:rPr>
              <w:t>5μ</w:t>
            </w:r>
          </w:p>
        </w:tc>
      </w:tr>
      <w:tr>
        <w:trPr>
          <w:trHeight w:val="415" w:hRule="exact"/>
        </w:trPr>
        <w:tc>
          <w:tcPr>
            <w:tcW w:w="5143" w:type="dxa"/>
          </w:tcPr>
          <w:p>
            <w:pPr>
              <w:pStyle w:val="TableParagraph"/>
              <w:spacing w:before="58"/>
              <w:ind w:left="110"/>
              <w:rPr>
                <w:sz w:val="24"/>
              </w:rPr>
            </w:pPr>
            <w:r>
              <w:rPr>
                <w:sz w:val="24"/>
              </w:rPr>
              <w:t>NTP’S 200μM</w:t>
            </w:r>
          </w:p>
        </w:tc>
        <w:tc>
          <w:tcPr>
            <w:tcW w:w="3774" w:type="dxa"/>
          </w:tcPr>
          <w:p>
            <w:pPr>
              <w:pStyle w:val="TableParagraph"/>
              <w:spacing w:before="58"/>
              <w:ind w:left="1620" w:right="1100"/>
              <w:jc w:val="center"/>
              <w:rPr>
                <w:sz w:val="24"/>
              </w:rPr>
            </w:pPr>
            <w:r>
              <w:rPr>
                <w:sz w:val="24"/>
              </w:rPr>
              <w:t>4μl</w:t>
            </w:r>
          </w:p>
        </w:tc>
      </w:tr>
      <w:tr>
        <w:trPr>
          <w:trHeight w:val="415" w:hRule="exact"/>
        </w:trPr>
        <w:tc>
          <w:tcPr>
            <w:tcW w:w="5143" w:type="dxa"/>
          </w:tcPr>
          <w:p>
            <w:pPr>
              <w:pStyle w:val="TableParagraph"/>
              <w:spacing w:before="55"/>
              <w:ind w:left="110"/>
              <w:rPr>
                <w:sz w:val="24"/>
              </w:rPr>
            </w:pPr>
            <w:r>
              <w:rPr>
                <w:sz w:val="24"/>
              </w:rPr>
              <w:t>Cloruro de Magnesio</w:t>
            </w:r>
          </w:p>
        </w:tc>
        <w:tc>
          <w:tcPr>
            <w:tcW w:w="3774" w:type="dxa"/>
          </w:tcPr>
          <w:p>
            <w:pPr>
              <w:pStyle w:val="TableParagraph"/>
              <w:spacing w:before="55"/>
              <w:ind w:left="1620" w:right="1100"/>
              <w:jc w:val="center"/>
              <w:rPr>
                <w:sz w:val="24"/>
              </w:rPr>
            </w:pPr>
            <w:r>
              <w:rPr>
                <w:sz w:val="24"/>
              </w:rPr>
              <w:t>3μl</w:t>
            </w:r>
          </w:p>
        </w:tc>
      </w:tr>
      <w:tr>
        <w:trPr>
          <w:trHeight w:val="418" w:hRule="exact"/>
        </w:trPr>
        <w:tc>
          <w:tcPr>
            <w:tcW w:w="5143" w:type="dxa"/>
          </w:tcPr>
          <w:p>
            <w:pPr>
              <w:pStyle w:val="TableParagraph"/>
              <w:spacing w:before="58"/>
              <w:ind w:left="110"/>
              <w:rPr>
                <w:sz w:val="24"/>
              </w:rPr>
            </w:pPr>
            <w:r>
              <w:rPr>
                <w:sz w:val="24"/>
              </w:rPr>
              <w:t>Iniciadores 20μM,</w:t>
            </w:r>
          </w:p>
        </w:tc>
        <w:tc>
          <w:tcPr>
            <w:tcW w:w="3774" w:type="dxa"/>
          </w:tcPr>
          <w:p>
            <w:pPr>
              <w:pStyle w:val="TableParagraph"/>
              <w:spacing w:before="58"/>
              <w:ind w:left="1620" w:right="1096"/>
              <w:jc w:val="center"/>
              <w:rPr>
                <w:sz w:val="24"/>
              </w:rPr>
            </w:pPr>
            <w:r>
              <w:rPr>
                <w:sz w:val="24"/>
              </w:rPr>
              <w:t>2μ</w:t>
            </w:r>
          </w:p>
        </w:tc>
      </w:tr>
      <w:tr>
        <w:trPr>
          <w:trHeight w:val="418" w:hRule="exact"/>
        </w:trPr>
        <w:tc>
          <w:tcPr>
            <w:tcW w:w="5143" w:type="dxa"/>
          </w:tcPr>
          <w:p>
            <w:pPr>
              <w:pStyle w:val="TableParagraph"/>
              <w:spacing w:before="58"/>
              <w:ind w:left="110"/>
              <w:rPr>
                <w:sz w:val="24"/>
              </w:rPr>
            </w:pPr>
            <w:r>
              <w:rPr>
                <w:sz w:val="24"/>
              </w:rPr>
              <w:t>GoTaq® Flexi DNA Polymerase</w:t>
            </w:r>
          </w:p>
        </w:tc>
        <w:tc>
          <w:tcPr>
            <w:tcW w:w="3774" w:type="dxa"/>
          </w:tcPr>
          <w:p>
            <w:pPr>
              <w:pStyle w:val="TableParagraph"/>
              <w:spacing w:before="58"/>
              <w:ind w:left="1620" w:right="1096"/>
              <w:jc w:val="center"/>
              <w:rPr>
                <w:sz w:val="24"/>
              </w:rPr>
            </w:pPr>
            <w:r>
              <w:rPr>
                <w:sz w:val="24"/>
              </w:rPr>
              <w:t>1μ</w:t>
            </w:r>
          </w:p>
        </w:tc>
      </w:tr>
      <w:tr>
        <w:trPr>
          <w:trHeight w:val="418" w:hRule="exact"/>
        </w:trPr>
        <w:tc>
          <w:tcPr>
            <w:tcW w:w="5143" w:type="dxa"/>
          </w:tcPr>
          <w:p>
            <w:pPr>
              <w:pStyle w:val="TableParagraph"/>
              <w:spacing w:before="58"/>
              <w:ind w:left="110"/>
              <w:rPr>
                <w:sz w:val="24"/>
              </w:rPr>
            </w:pPr>
            <w:r>
              <w:rPr>
                <w:sz w:val="24"/>
              </w:rPr>
              <w:t>Templado (100ng),</w:t>
            </w:r>
          </w:p>
        </w:tc>
        <w:tc>
          <w:tcPr>
            <w:tcW w:w="3774" w:type="dxa"/>
          </w:tcPr>
          <w:p>
            <w:pPr>
              <w:pStyle w:val="TableParagraph"/>
              <w:spacing w:before="58"/>
              <w:ind w:left="1620" w:right="1097"/>
              <w:jc w:val="center"/>
              <w:rPr>
                <w:sz w:val="24"/>
              </w:rPr>
            </w:pPr>
            <w:r>
              <w:rPr>
                <w:sz w:val="24"/>
              </w:rPr>
              <w:t>10μ</w:t>
            </w:r>
          </w:p>
        </w:tc>
      </w:tr>
      <w:tr>
        <w:trPr>
          <w:trHeight w:val="480" w:hRule="exact"/>
        </w:trPr>
        <w:tc>
          <w:tcPr>
            <w:tcW w:w="5143" w:type="dxa"/>
            <w:tcBorders>
              <w:bottom w:val="single" w:sz="4" w:space="0" w:color="000000"/>
            </w:tcBorders>
          </w:tcPr>
          <w:p>
            <w:pPr>
              <w:pStyle w:val="TableParagraph"/>
              <w:spacing w:before="58"/>
              <w:ind w:left="110"/>
              <w:rPr>
                <w:sz w:val="24"/>
              </w:rPr>
            </w:pPr>
            <w:r>
              <w:rPr>
                <w:sz w:val="24"/>
              </w:rPr>
              <w:t>agua libre de nucleasas</w:t>
            </w:r>
          </w:p>
        </w:tc>
        <w:tc>
          <w:tcPr>
            <w:tcW w:w="3774" w:type="dxa"/>
            <w:tcBorders>
              <w:bottom w:val="single" w:sz="4" w:space="0" w:color="000000"/>
            </w:tcBorders>
          </w:tcPr>
          <w:p>
            <w:pPr>
              <w:pStyle w:val="TableParagraph"/>
              <w:spacing w:before="58"/>
              <w:ind w:left="1619" w:right="1100"/>
              <w:jc w:val="center"/>
              <w:rPr>
                <w:sz w:val="24"/>
              </w:rPr>
            </w:pPr>
            <w:r>
              <w:rPr>
                <w:sz w:val="24"/>
              </w:rPr>
              <w:t>23μl</w:t>
            </w:r>
          </w:p>
        </w:tc>
      </w:tr>
      <w:tr>
        <w:trPr>
          <w:trHeight w:val="271" w:hRule="exact"/>
        </w:trPr>
        <w:tc>
          <w:tcPr>
            <w:tcW w:w="5143" w:type="dxa"/>
            <w:tcBorders>
              <w:top w:val="single" w:sz="4" w:space="0" w:color="000000"/>
            </w:tcBorders>
          </w:tcPr>
          <w:p>
            <w:pPr>
              <w:pStyle w:val="TableParagraph"/>
              <w:spacing w:line="272" w:lineRule="exact"/>
              <w:ind w:left="110"/>
              <w:rPr>
                <w:sz w:val="24"/>
              </w:rPr>
            </w:pPr>
            <w:r>
              <w:rPr>
                <w:sz w:val="24"/>
              </w:rPr>
              <w:t>Volumen total</w:t>
            </w:r>
          </w:p>
        </w:tc>
        <w:tc>
          <w:tcPr>
            <w:tcW w:w="3774" w:type="dxa"/>
            <w:tcBorders>
              <w:top w:val="single" w:sz="4" w:space="0" w:color="000000"/>
            </w:tcBorders>
          </w:tcPr>
          <w:p>
            <w:pPr>
              <w:pStyle w:val="TableParagraph"/>
              <w:spacing w:line="272" w:lineRule="exact"/>
              <w:ind w:left="1620" w:right="1100"/>
              <w:jc w:val="center"/>
              <w:rPr>
                <w:sz w:val="24"/>
              </w:rPr>
            </w:pPr>
            <w:r>
              <w:rPr>
                <w:sz w:val="24"/>
              </w:rPr>
              <w:t>50μl</w:t>
            </w:r>
          </w:p>
        </w:tc>
      </w:tr>
    </w:tbl>
    <w:p>
      <w:pPr>
        <w:pStyle w:val="BodyText"/>
        <w:rPr>
          <w:sz w:val="20"/>
        </w:rPr>
      </w:pPr>
    </w:p>
    <w:p>
      <w:pPr>
        <w:pStyle w:val="BodyText"/>
        <w:spacing w:before="1"/>
        <w:rPr>
          <w:sz w:val="23"/>
        </w:rPr>
      </w:pPr>
    </w:p>
    <w:p>
      <w:pPr>
        <w:pStyle w:val="BodyText"/>
        <w:spacing w:line="360" w:lineRule="auto" w:before="69"/>
        <w:ind w:left="212" w:right="140"/>
        <w:jc w:val="both"/>
      </w:pPr>
      <w:r>
        <w:rPr/>
        <w:t>Los viales fueron colocados en un termociclador Eppendorf® y la reacción se llevó a cabo bajo las siguientes condiciones de amplificación, 1 ciclo de 94˚C durante 5 minutos para desnaturalización inicial, seguido de 35 ciclos de 94˚C 30 segundos, 50˚ C durante 45 segundos, 72˚C por 1 minuto y una extensión final de 72˚C durante 5 minutos.</w:t>
      </w:r>
    </w:p>
    <w:p>
      <w:pPr>
        <w:pStyle w:val="BodyText"/>
        <w:spacing w:line="360" w:lineRule="auto" w:before="2"/>
        <w:ind w:left="212" w:right="153"/>
        <w:jc w:val="both"/>
      </w:pPr>
      <w:r>
        <w:rPr/>
        <w:t>Posteriormente la amplificación anidada se llevó acabo utilizando los primersINT2FB yINT2CR usando las condiciones de amplificación descritas para  la PCR simple usando como templado 1μl </w:t>
      </w:r>
      <w:r>
        <w:rPr>
          <w:spacing w:val="-3"/>
        </w:rPr>
        <w:t>del </w:t>
      </w:r>
      <w:r>
        <w:rPr/>
        <w:t>amplificado</w:t>
      </w:r>
      <w:r>
        <w:rPr>
          <w:spacing w:val="-11"/>
        </w:rPr>
        <w:t> </w:t>
      </w:r>
      <w:r>
        <w:rPr/>
        <w:t>anterior.</w:t>
      </w:r>
    </w:p>
    <w:p>
      <w:pPr>
        <w:spacing w:after="0" w:line="360" w:lineRule="auto"/>
        <w:jc w:val="both"/>
        <w:sectPr>
          <w:headerReference w:type="default" r:id="rId18"/>
          <w:pgSz w:w="12240" w:h="15840"/>
          <w:pgMar w:header="1154" w:footer="1713" w:top="1520" w:bottom="1900" w:left="1660" w:right="1380"/>
        </w:sectPr>
      </w:pPr>
    </w:p>
    <w:p>
      <w:pPr>
        <w:pStyle w:val="BodyText"/>
        <w:spacing w:before="2"/>
        <w:rPr>
          <w:sz w:val="18"/>
        </w:rPr>
      </w:pPr>
    </w:p>
    <w:p>
      <w:pPr>
        <w:pStyle w:val="BodyText"/>
        <w:spacing w:line="360" w:lineRule="auto" w:before="70"/>
        <w:ind w:left="152" w:right="141"/>
        <w:jc w:val="both"/>
      </w:pPr>
      <w:r>
        <w:rPr/>
        <w:t>Todos los productos de amplificación fueron identificados por electroforesis horizontal en gel de agarosa al 2% teñido con 0.5 μg/ml de bromuro de etidio y visualizados bajo luz ultravioleta en el foto documentador transiluninador MiniBis Pro.</w:t>
      </w:r>
    </w:p>
    <w:p>
      <w:pPr>
        <w:pStyle w:val="BodyText"/>
        <w:spacing w:before="8"/>
        <w:rPr>
          <w:sz w:val="35"/>
        </w:rPr>
      </w:pPr>
    </w:p>
    <w:p>
      <w:pPr>
        <w:pStyle w:val="Heading1"/>
        <w:numPr>
          <w:ilvl w:val="1"/>
          <w:numId w:val="1"/>
        </w:numPr>
        <w:tabs>
          <w:tab w:pos="556" w:val="left" w:leader="none"/>
        </w:tabs>
        <w:spacing w:line="240" w:lineRule="auto" w:before="0" w:after="0"/>
        <w:ind w:left="555" w:right="0" w:hanging="403"/>
        <w:jc w:val="both"/>
      </w:pPr>
      <w:r>
        <w:rPr/>
        <w:t>Inmunocromatografía</w:t>
      </w:r>
    </w:p>
    <w:p>
      <w:pPr>
        <w:pStyle w:val="BodyText"/>
        <w:spacing w:line="360" w:lineRule="auto" w:before="142"/>
        <w:ind w:left="152" w:right="140"/>
        <w:jc w:val="both"/>
      </w:pPr>
      <w:r>
        <w:rPr/>
        <w:t>Para realizar esta prueba </w:t>
      </w:r>
      <w:r>
        <w:rPr>
          <w:spacing w:val="-3"/>
        </w:rPr>
        <w:t>se </w:t>
      </w:r>
      <w:r>
        <w:rPr/>
        <w:t>seleccionó a 60 pacientes; 49 perros positivos y 11 negativos, todos identificados previamente por PCR anidada. Las pruebas se realizaron siguiendo las instrucciones del fabricante usando el segundo hisopado tomado a los pacientes para ser homogenizado con la solución buffer del kit diagnóstico. En este estudio </w:t>
      </w:r>
      <w:r>
        <w:rPr>
          <w:spacing w:val="-3"/>
        </w:rPr>
        <w:t>se </w:t>
      </w:r>
      <w:r>
        <w:rPr/>
        <w:t>evaluaron dos marcas comerciales de pruebas rápidas, PVC Ag Anigen (Anexo 4) y SNAP® Parvo (laboratorios IDEXX) (Anexo 5), ambas son utilizadas de forma frecuente en la práctica clínica de nuestro</w:t>
      </w:r>
      <w:r>
        <w:rPr>
          <w:spacing w:val="-35"/>
        </w:rPr>
        <w:t> </w:t>
      </w:r>
      <w:r>
        <w:rPr/>
        <w:t>país</w:t>
      </w:r>
    </w:p>
    <w:p>
      <w:pPr>
        <w:pStyle w:val="BodyText"/>
        <w:spacing w:before="8"/>
        <w:rPr>
          <w:sz w:val="35"/>
        </w:rPr>
      </w:pPr>
    </w:p>
    <w:p>
      <w:pPr>
        <w:pStyle w:val="Heading1"/>
        <w:numPr>
          <w:ilvl w:val="1"/>
          <w:numId w:val="1"/>
        </w:numPr>
        <w:tabs>
          <w:tab w:pos="556" w:val="left" w:leader="none"/>
        </w:tabs>
        <w:spacing w:line="240" w:lineRule="auto" w:before="0" w:after="0"/>
        <w:ind w:left="555" w:right="0" w:hanging="403"/>
        <w:jc w:val="both"/>
      </w:pPr>
      <w:r>
        <w:rPr/>
        <w:t>Análisis de los</w:t>
      </w:r>
      <w:r>
        <w:rPr>
          <w:spacing w:val="-9"/>
        </w:rPr>
        <w:t> </w:t>
      </w:r>
      <w:r>
        <w:rPr/>
        <w:t>datos</w:t>
      </w:r>
    </w:p>
    <w:p>
      <w:pPr>
        <w:pStyle w:val="BodyText"/>
        <w:rPr>
          <w:b/>
        </w:rPr>
      </w:pPr>
    </w:p>
    <w:p>
      <w:pPr>
        <w:pStyle w:val="BodyText"/>
        <w:spacing w:before="7"/>
        <w:rPr>
          <w:b/>
        </w:rPr>
      </w:pPr>
    </w:p>
    <w:p>
      <w:pPr>
        <w:pStyle w:val="BodyText"/>
        <w:spacing w:line="360" w:lineRule="auto"/>
        <w:ind w:left="152" w:right="145"/>
        <w:jc w:val="both"/>
      </w:pPr>
      <w:r>
        <w:rPr/>
        <w:t>El análisis de los resultados obtenidos en la evaluación clínica, hemograma, PCR y pruebas de inmunocromatografía, se llevó a cabo mediante una matriz de variables codificadas según Sánchez y col (2006) y fueron elaboradas tablas de contingencia para determinar la propiedad de la prueba diagnóstica según lo propuesto por  Jaramillo y Martínez</w:t>
      </w:r>
      <w:r>
        <w:rPr>
          <w:spacing w:val="-20"/>
        </w:rPr>
        <w:t> </w:t>
      </w:r>
      <w:r>
        <w:rPr/>
        <w:t>(2010).</w:t>
      </w:r>
    </w:p>
    <w:p>
      <w:pPr>
        <w:pStyle w:val="BodyText"/>
      </w:pPr>
    </w:p>
    <w:p>
      <w:pPr>
        <w:pStyle w:val="BodyText"/>
        <w:spacing w:before="3"/>
        <w:rPr>
          <w:sz w:val="29"/>
        </w:rPr>
      </w:pPr>
    </w:p>
    <w:p>
      <w:pPr>
        <w:pStyle w:val="Heading1"/>
        <w:numPr>
          <w:ilvl w:val="1"/>
          <w:numId w:val="1"/>
        </w:numPr>
        <w:tabs>
          <w:tab w:pos="575" w:val="left" w:leader="none"/>
        </w:tabs>
        <w:spacing w:line="360" w:lineRule="auto" w:before="0" w:after="0"/>
        <w:ind w:left="152" w:right="155" w:firstLine="0"/>
        <w:jc w:val="both"/>
      </w:pPr>
      <w:r>
        <w:rPr/>
        <w:t>Excreción de partículas virales vacúnales en pacientes inmunizadas con vacuna</w:t>
      </w:r>
      <w:r>
        <w:rPr>
          <w:spacing w:val="-8"/>
        </w:rPr>
        <w:t> </w:t>
      </w:r>
      <w:r>
        <w:rPr>
          <w:spacing w:val="-3"/>
        </w:rPr>
        <w:t>CPV-2</w:t>
      </w:r>
    </w:p>
    <w:p>
      <w:pPr>
        <w:pStyle w:val="BodyText"/>
        <w:rPr>
          <w:b/>
        </w:rPr>
      </w:pPr>
    </w:p>
    <w:p>
      <w:pPr>
        <w:pStyle w:val="BodyText"/>
        <w:spacing w:before="1"/>
        <w:rPr>
          <w:b/>
          <w:sz w:val="30"/>
        </w:rPr>
      </w:pPr>
    </w:p>
    <w:p>
      <w:pPr>
        <w:pStyle w:val="BodyText"/>
        <w:spacing w:line="360" w:lineRule="auto"/>
        <w:ind w:left="152" w:right="142"/>
        <w:jc w:val="both"/>
      </w:pPr>
      <w:r>
        <w:rPr/>
        <w:t>Se realizó un estudio piloto para evaluar la excreción de partículas virales vacunales en pacientes inmunizados con la vacuna Nobivac® Parvo-C, cepa 154. Para realizar este estudio fueron identificadas tres pacientes caninas de mes y</w:t>
      </w:r>
    </w:p>
    <w:p>
      <w:pPr>
        <w:spacing w:after="0" w:line="360" w:lineRule="auto"/>
        <w:jc w:val="both"/>
        <w:sectPr>
          <w:pgSz w:w="12240" w:h="15840"/>
          <w:pgMar w:header="1154" w:footer="1713" w:top="1520" w:bottom="1900" w:left="1720" w:right="1380"/>
        </w:sectPr>
      </w:pPr>
    </w:p>
    <w:p>
      <w:pPr>
        <w:pStyle w:val="BodyText"/>
        <w:spacing w:before="2"/>
        <w:rPr>
          <w:sz w:val="18"/>
        </w:rPr>
      </w:pPr>
    </w:p>
    <w:p>
      <w:pPr>
        <w:pStyle w:val="BodyText"/>
        <w:spacing w:line="360" w:lineRule="auto" w:before="70"/>
        <w:ind w:left="152" w:right="140"/>
        <w:jc w:val="both"/>
      </w:pPr>
      <w:r>
        <w:rPr/>
        <w:t>medio de edad, raza mestiza. Para poder ingresar al estudio se mantuvo a las pacientes bajo observación durante un periodo de 15 días, les fue realizo un hemograma y estudio coproparasitoscopico por flotación, </w:t>
      </w:r>
      <w:r>
        <w:rPr>
          <w:spacing w:val="-2"/>
        </w:rPr>
        <w:t>además </w:t>
      </w:r>
      <w:r>
        <w:rPr/>
        <w:t>de un kit de inmunocromatografía para identificación de anticuerpos de PVC-2, 15 días después al haber obtenido un resultado de &lt;1:10 de títulos de anticuerpos consideranos como no protectores, las pacientes fueron inmunizadas vía subcutánea interescapular y les fueron tomadas muestras de sangre  y  heces cada tercer día para evaluar excreción de partículas virales vacunales siguiendo el calendario que se encuentra en el anexo 6.Durante esta evaluación las pacientes fueron mantenidas en el bioterio del Hospital veterinario de Pequeñas especies UAEMex, bajo un ambiente controlado durante 60 días. Las muestras de sangre, colectadas fueron centrifugadas a 10 000 rpm, fue separado el suero y congelado a -20ºC. Los hisopados obtenidos fueron homogenizados individualmente en  viales estériles con 500μl de agua libre de nucleasas, la extracción de ADN, PCR y PCR Anidado se realizó según el procedimiento antes</w:t>
      </w:r>
      <w:r>
        <w:rPr>
          <w:spacing w:val="-24"/>
        </w:rPr>
        <w:t> </w:t>
      </w:r>
      <w:r>
        <w:rPr/>
        <w:t>descrito.</w:t>
      </w:r>
    </w:p>
    <w:p>
      <w:pPr>
        <w:pStyle w:val="BodyText"/>
      </w:pPr>
    </w:p>
    <w:p>
      <w:pPr>
        <w:pStyle w:val="BodyText"/>
      </w:pPr>
    </w:p>
    <w:p>
      <w:pPr>
        <w:pStyle w:val="BodyText"/>
        <w:spacing w:before="2"/>
        <w:rPr>
          <w:sz w:val="23"/>
        </w:rPr>
      </w:pPr>
    </w:p>
    <w:p>
      <w:pPr>
        <w:pStyle w:val="Heading1"/>
        <w:numPr>
          <w:ilvl w:val="1"/>
          <w:numId w:val="1"/>
        </w:numPr>
        <w:tabs>
          <w:tab w:pos="556" w:val="left" w:leader="none"/>
        </w:tabs>
        <w:spacing w:line="240" w:lineRule="auto" w:before="0" w:after="0"/>
        <w:ind w:left="555" w:right="0" w:hanging="403"/>
        <w:jc w:val="both"/>
      </w:pPr>
      <w:r>
        <w:rPr/>
        <w:t>Desafío con virus de</w:t>
      </w:r>
      <w:r>
        <w:rPr>
          <w:spacing w:val="-17"/>
        </w:rPr>
        <w:t> </w:t>
      </w:r>
      <w:r>
        <w:rPr/>
        <w:t>campo</w:t>
      </w:r>
    </w:p>
    <w:p>
      <w:pPr>
        <w:pStyle w:val="BodyText"/>
        <w:rPr>
          <w:b/>
        </w:rPr>
      </w:pPr>
    </w:p>
    <w:p>
      <w:pPr>
        <w:pStyle w:val="BodyText"/>
        <w:rPr>
          <w:b/>
        </w:rPr>
      </w:pPr>
    </w:p>
    <w:p>
      <w:pPr>
        <w:pStyle w:val="BodyText"/>
        <w:spacing w:line="360" w:lineRule="auto" w:before="204"/>
        <w:ind w:left="152" w:right="141"/>
        <w:jc w:val="both"/>
      </w:pPr>
      <w:r>
        <w:rPr/>
        <w:t>El objetivo de este estudio era valuar mediante PCR y PCR anidado, </w:t>
      </w:r>
      <w:r>
        <w:rPr>
          <w:spacing w:val="-3"/>
        </w:rPr>
        <w:t>si </w:t>
      </w:r>
      <w:r>
        <w:rPr/>
        <w:t>perros vacunados y posteriormente desafiados con virus de campo lograban ser infectados y presentar un cuadro clínico típico. En este ensayo se incluyó a las pacientes del estudio piloto anterior. Primeramente se evaluó mediante pruebas  de anticuerpos de inmunocromatografía que las pacientes mostraran respuesta protectora contra el virus, se observaron títulos de1:80-1:320 considerados como títulos medios protectores contra la infección de CPV-2.Posteriormente para realizar la infección se identificó una muestra de heces positiva a CPV-2 por PCR simple,</w:t>
      </w:r>
      <w:r>
        <w:rPr>
          <w:spacing w:val="49"/>
        </w:rPr>
        <w:t> </w:t>
      </w:r>
      <w:r>
        <w:rPr/>
        <w:t>1</w:t>
      </w:r>
      <w:r>
        <w:rPr>
          <w:spacing w:val="48"/>
        </w:rPr>
        <w:t> </w:t>
      </w:r>
      <w:r>
        <w:rPr>
          <w:spacing w:val="-3"/>
        </w:rPr>
        <w:t>gramo</w:t>
      </w:r>
      <w:r>
        <w:rPr>
          <w:spacing w:val="48"/>
        </w:rPr>
        <w:t> </w:t>
      </w:r>
      <w:r>
        <w:rPr/>
        <w:t>de</w:t>
      </w:r>
      <w:r>
        <w:rPr>
          <w:spacing w:val="48"/>
        </w:rPr>
        <w:t> </w:t>
      </w:r>
      <w:r>
        <w:rPr/>
        <w:t>estas</w:t>
      </w:r>
      <w:r>
        <w:rPr>
          <w:spacing w:val="47"/>
        </w:rPr>
        <w:t> </w:t>
      </w:r>
      <w:r>
        <w:rPr/>
        <w:t>heces</w:t>
      </w:r>
      <w:r>
        <w:rPr>
          <w:spacing w:val="47"/>
        </w:rPr>
        <w:t> </w:t>
      </w:r>
      <w:r>
        <w:rPr/>
        <w:t>fue</w:t>
      </w:r>
      <w:r>
        <w:rPr>
          <w:spacing w:val="48"/>
        </w:rPr>
        <w:t> </w:t>
      </w:r>
      <w:r>
        <w:rPr/>
        <w:t>homogeinizado</w:t>
      </w:r>
      <w:r>
        <w:rPr>
          <w:spacing w:val="48"/>
        </w:rPr>
        <w:t> </w:t>
      </w:r>
      <w:r>
        <w:rPr/>
        <w:t>en</w:t>
      </w:r>
      <w:r>
        <w:rPr>
          <w:spacing w:val="43"/>
        </w:rPr>
        <w:t> </w:t>
      </w:r>
      <w:r>
        <w:rPr>
          <w:spacing w:val="-3"/>
        </w:rPr>
        <w:t>3ml</w:t>
      </w:r>
      <w:r>
        <w:rPr>
          <w:spacing w:val="51"/>
        </w:rPr>
        <w:t> </w:t>
      </w:r>
      <w:r>
        <w:rPr/>
        <w:t>de</w:t>
      </w:r>
      <w:r>
        <w:rPr>
          <w:spacing w:val="48"/>
        </w:rPr>
        <w:t> </w:t>
      </w:r>
      <w:r>
        <w:rPr/>
        <w:t>agua</w:t>
      </w:r>
      <w:r>
        <w:rPr>
          <w:spacing w:val="48"/>
        </w:rPr>
        <w:t> </w:t>
      </w:r>
      <w:r>
        <w:rPr/>
        <w:t>y</w:t>
      </w:r>
      <w:r>
        <w:rPr>
          <w:spacing w:val="42"/>
        </w:rPr>
        <w:t> </w:t>
      </w:r>
      <w:r>
        <w:rPr/>
        <w:t>les</w:t>
      </w:r>
      <w:r>
        <w:rPr>
          <w:spacing w:val="48"/>
        </w:rPr>
        <w:t> </w:t>
      </w:r>
      <w:r>
        <w:rPr/>
        <w:t>fue</w:t>
      </w:r>
    </w:p>
    <w:p>
      <w:pPr>
        <w:spacing w:after="0" w:line="360" w:lineRule="auto"/>
        <w:jc w:val="both"/>
        <w:sectPr>
          <w:pgSz w:w="12240" w:h="15840"/>
          <w:pgMar w:header="1154" w:footer="1713" w:top="1520" w:bottom="1900" w:left="1720" w:right="1380"/>
        </w:sectPr>
      </w:pPr>
    </w:p>
    <w:p>
      <w:pPr>
        <w:pStyle w:val="BodyText"/>
        <w:spacing w:before="2"/>
        <w:rPr>
          <w:sz w:val="18"/>
        </w:rPr>
      </w:pPr>
    </w:p>
    <w:p>
      <w:pPr>
        <w:pStyle w:val="BodyText"/>
        <w:spacing w:line="360" w:lineRule="auto" w:before="70"/>
        <w:ind w:left="152" w:right="141"/>
        <w:jc w:val="both"/>
      </w:pPr>
      <w:r>
        <w:rPr/>
        <w:t>administrado vía oral 1 ml de esta suspensión a cada una de las pacientes, fueron tomadas muestras de sangre para realizar hemograma control y evaluar la presentación de cambios hematológicos como leucopenia y linfopenia generados por la infección de PVC-2 cada 48 horas y se tomaron hisopados rectales para evaluar la excreción de partículas virales de esta cepa de campo. Durante los 15 días que duro este ensayo, diariamente se realizó examen físico general para detectar modificaciones en las constantes fisiológicas y evaluar el estado general de las pacientes.Los hisopados obtenidos de ambos estudios fueron homogenizados individual mente en viales estériles con 500μl de agua libre de nucleasas, estos fueron utilizados para la evaluación de los kits de inmunocromatografía de las marca IDEXX y Anigen así como para la extracción de ADN para realizar PCR y PCR Anidado siguiendo el procedimiento antes descrito.</w:t>
      </w:r>
    </w:p>
    <w:p>
      <w:pPr>
        <w:pStyle w:val="BodyText"/>
      </w:pPr>
    </w:p>
    <w:p>
      <w:pPr>
        <w:pStyle w:val="BodyText"/>
        <w:spacing w:line="360" w:lineRule="auto" w:before="139"/>
        <w:ind w:left="152" w:right="142"/>
        <w:jc w:val="both"/>
      </w:pPr>
      <w:r>
        <w:rPr/>
        <w:t>Debido a que una de las pacientes presento una leucopenia severa a la infección por PVC-2 se efectuó eutanasia humanitaria mediante sobredosis con barbitúricos, según lo establecido por la Norma Oficial Mexicana NOM-062-ZOO-1999. Se realizó necropsia y se tomaron muestras de tejido para evaluar la replicación viral en órganos linfoides e intestino.</w:t>
      </w:r>
    </w:p>
    <w:p>
      <w:pPr>
        <w:spacing w:after="0" w:line="360" w:lineRule="auto"/>
        <w:jc w:val="both"/>
        <w:sectPr>
          <w:pgSz w:w="12240" w:h="15840"/>
          <w:pgMar w:header="1154" w:footer="1713" w:top="1520" w:bottom="1900" w:left="1720" w:right="1380"/>
        </w:sectPr>
      </w:pPr>
    </w:p>
    <w:p>
      <w:pPr>
        <w:pStyle w:val="BodyText"/>
        <w:spacing w:before="4"/>
        <w:rPr>
          <w:sz w:val="17"/>
        </w:rPr>
      </w:pPr>
    </w:p>
    <w:p>
      <w:pPr>
        <w:pStyle w:val="Heading1"/>
        <w:numPr>
          <w:ilvl w:val="0"/>
          <w:numId w:val="1"/>
        </w:numPr>
        <w:tabs>
          <w:tab w:pos="422" w:val="left" w:leader="none"/>
        </w:tabs>
        <w:spacing w:line="240" w:lineRule="auto" w:before="69" w:after="0"/>
        <w:ind w:left="421" w:right="0" w:hanging="269"/>
        <w:jc w:val="left"/>
      </w:pPr>
      <w:r>
        <w:rPr/>
        <w:t>RESULTADOS</w:t>
      </w:r>
    </w:p>
    <w:p>
      <w:pPr>
        <w:pStyle w:val="BodyText"/>
        <w:spacing w:before="5"/>
        <w:rPr>
          <w:b/>
          <w:sz w:val="29"/>
        </w:rPr>
      </w:pPr>
    </w:p>
    <w:p>
      <w:pPr>
        <w:pStyle w:val="ListParagraph"/>
        <w:numPr>
          <w:ilvl w:val="1"/>
          <w:numId w:val="1"/>
        </w:numPr>
        <w:tabs>
          <w:tab w:pos="556" w:val="left" w:leader="none"/>
        </w:tabs>
        <w:spacing w:line="240" w:lineRule="auto" w:before="0" w:after="0"/>
        <w:ind w:left="555" w:right="0" w:hanging="403"/>
        <w:jc w:val="left"/>
        <w:rPr>
          <w:rFonts w:ascii="Arial" w:hAnsi="Arial"/>
          <w:b/>
          <w:sz w:val="24"/>
        </w:rPr>
      </w:pPr>
      <w:r>
        <w:rPr>
          <w:rFonts w:ascii="Arial" w:hAnsi="Arial"/>
          <w:b/>
          <w:sz w:val="24"/>
        </w:rPr>
        <w:t>Articulo recibido y en</w:t>
      </w:r>
      <w:r>
        <w:rPr>
          <w:rFonts w:ascii="Arial" w:hAnsi="Arial"/>
          <w:b/>
          <w:spacing w:val="-18"/>
          <w:sz w:val="24"/>
        </w:rPr>
        <w:t> </w:t>
      </w:r>
      <w:r>
        <w:rPr>
          <w:rFonts w:ascii="Arial" w:hAnsi="Arial"/>
          <w:b/>
          <w:sz w:val="24"/>
        </w:rPr>
        <w:t>revisión</w:t>
      </w:r>
    </w:p>
    <w:p>
      <w:pPr>
        <w:pStyle w:val="BodyText"/>
        <w:spacing w:before="4"/>
        <w:rPr>
          <w:b/>
          <w:sz w:val="28"/>
        </w:rPr>
      </w:pPr>
      <w:r>
        <w:rPr/>
        <w:pict>
          <v:group style="position:absolute;margin-left:94.300003pt;margin-top:18.252043pt;width:446pt;height:528.15pt;mso-position-horizontal-relative:page;mso-position-vertical-relative:paragraph;z-index:1144;mso-wrap-distance-left:0;mso-wrap-distance-right:0" coordorigin="1886,365" coordsize="8920,10563">
            <v:shape style="position:absolute;left:1901;top:380;width:8890;height:10533" type="#_x0000_t75" stroked="false">
              <v:imagedata r:id="rId19" o:title=""/>
            </v:shape>
            <v:rect style="position:absolute;left:1894;top:373;width:8905;height:10548" filled="false" stroked="true" strokeweight=".75pt" strokecolor="#c4bc96"/>
            <w10:wrap type="topAndBottom"/>
          </v:group>
        </w:pict>
      </w:r>
    </w:p>
    <w:p>
      <w:pPr>
        <w:spacing w:after="0"/>
        <w:rPr>
          <w:sz w:val="28"/>
        </w:rPr>
        <w:sectPr>
          <w:pgSz w:w="12240" w:h="15840"/>
          <w:pgMar w:header="1154" w:footer="1713" w:top="1520" w:bottom="1900" w:left="1720" w:right="1320"/>
        </w:sectPr>
      </w:pPr>
    </w:p>
    <w:p>
      <w:pPr>
        <w:pStyle w:val="BodyText"/>
        <w:spacing w:before="3"/>
        <w:rPr>
          <w:b/>
          <w:sz w:val="20"/>
        </w:rPr>
      </w:pPr>
    </w:p>
    <w:p>
      <w:pPr>
        <w:spacing w:before="56"/>
        <w:ind w:left="222" w:right="0" w:firstLine="0"/>
        <w:jc w:val="left"/>
        <w:rPr>
          <w:rFonts w:ascii="Calibri"/>
          <w:sz w:val="22"/>
        </w:rPr>
      </w:pPr>
      <w:r>
        <w:rPr>
          <w:rFonts w:ascii="Calibri"/>
          <w:w w:val="100"/>
          <w:sz w:val="22"/>
        </w:rPr>
        <w:t>1</w:t>
      </w:r>
    </w:p>
    <w:p>
      <w:pPr>
        <w:pStyle w:val="BodyText"/>
        <w:spacing w:before="4"/>
        <w:rPr>
          <w:rFonts w:ascii="Calibri"/>
          <w:sz w:val="28"/>
        </w:rPr>
      </w:pPr>
    </w:p>
    <w:p>
      <w:pPr>
        <w:spacing w:before="0"/>
        <w:ind w:left="222" w:right="0" w:firstLine="0"/>
        <w:jc w:val="left"/>
        <w:rPr>
          <w:rFonts w:ascii="Calibri"/>
          <w:sz w:val="22"/>
        </w:rPr>
      </w:pPr>
      <w:r>
        <w:rPr>
          <w:rFonts w:ascii="Calibri"/>
          <w:w w:val="100"/>
          <w:sz w:val="22"/>
        </w:rPr>
        <w:t>2</w:t>
      </w:r>
    </w:p>
    <w:p>
      <w:pPr>
        <w:pStyle w:val="BodyText"/>
        <w:spacing w:before="4"/>
        <w:rPr>
          <w:rFonts w:ascii="Calibri"/>
          <w:sz w:val="28"/>
        </w:rPr>
      </w:pPr>
    </w:p>
    <w:p>
      <w:pPr>
        <w:spacing w:before="0"/>
        <w:ind w:left="222" w:right="0" w:firstLine="0"/>
        <w:jc w:val="left"/>
        <w:rPr>
          <w:rFonts w:ascii="Calibri"/>
          <w:sz w:val="22"/>
        </w:rPr>
      </w:pPr>
      <w:r>
        <w:rPr>
          <w:rFonts w:ascii="Calibri"/>
          <w:w w:val="100"/>
          <w:sz w:val="22"/>
        </w:rPr>
        <w:t>3</w:t>
      </w:r>
    </w:p>
    <w:p>
      <w:pPr>
        <w:pStyle w:val="BodyText"/>
        <w:spacing w:before="4"/>
        <w:rPr>
          <w:rFonts w:ascii="Calibri"/>
          <w:sz w:val="28"/>
        </w:rPr>
      </w:pPr>
    </w:p>
    <w:p>
      <w:pPr>
        <w:spacing w:before="0"/>
        <w:ind w:left="222" w:right="0" w:firstLine="0"/>
        <w:jc w:val="left"/>
        <w:rPr>
          <w:rFonts w:ascii="Calibri"/>
          <w:sz w:val="22"/>
        </w:rPr>
      </w:pPr>
      <w:r>
        <w:rPr>
          <w:rFonts w:ascii="Calibri"/>
          <w:w w:val="100"/>
          <w:sz w:val="22"/>
        </w:rPr>
        <w:t>4</w:t>
      </w:r>
    </w:p>
    <w:p>
      <w:pPr>
        <w:pStyle w:val="BodyText"/>
        <w:spacing w:before="11"/>
        <w:rPr>
          <w:rFonts w:ascii="Calibri"/>
          <w:sz w:val="21"/>
        </w:rPr>
      </w:pPr>
    </w:p>
    <w:p>
      <w:pPr>
        <w:pStyle w:val="Heading1"/>
        <w:numPr>
          <w:ilvl w:val="0"/>
          <w:numId w:val="3"/>
        </w:numPr>
        <w:tabs>
          <w:tab w:pos="865" w:val="left" w:leader="none"/>
          <w:tab w:pos="866" w:val="left" w:leader="none"/>
        </w:tabs>
        <w:spacing w:line="240" w:lineRule="auto" w:before="69" w:after="0"/>
        <w:ind w:left="865" w:right="0" w:hanging="643"/>
        <w:jc w:val="left"/>
        <w:rPr>
          <w:rFonts w:ascii="Times New Roman" w:hAnsi="Times New Roman"/>
        </w:rPr>
      </w:pPr>
      <w:r>
        <w:rPr>
          <w:rFonts w:ascii="Times New Roman" w:hAnsi="Times New Roman"/>
        </w:rPr>
        <w:t>Valoración de los procedimientos utilizados comúnmente en hospitales</w:t>
      </w:r>
      <w:r>
        <w:rPr>
          <w:rFonts w:ascii="Times New Roman" w:hAnsi="Times New Roman"/>
          <w:spacing w:val="-34"/>
        </w:rPr>
        <w:t> </w:t>
      </w:r>
      <w:r>
        <w:rPr>
          <w:rFonts w:ascii="Times New Roman" w:hAnsi="Times New Roman"/>
        </w:rPr>
        <w:t>veterinarios</w:t>
      </w:r>
    </w:p>
    <w:p>
      <w:pPr>
        <w:pStyle w:val="ListParagraph"/>
        <w:numPr>
          <w:ilvl w:val="0"/>
          <w:numId w:val="3"/>
        </w:numPr>
        <w:tabs>
          <w:tab w:pos="2478" w:val="left" w:leader="none"/>
          <w:tab w:pos="2479" w:val="left" w:leader="none"/>
        </w:tabs>
        <w:spacing w:line="240" w:lineRule="auto" w:before="125" w:after="0"/>
        <w:ind w:left="2479" w:right="0" w:hanging="2257"/>
        <w:jc w:val="left"/>
        <w:rPr>
          <w:b/>
          <w:sz w:val="24"/>
        </w:rPr>
      </w:pPr>
      <w:r>
        <w:rPr>
          <w:b/>
          <w:sz w:val="24"/>
        </w:rPr>
        <w:t>para el diagnóstico de parvovirus canino en</w:t>
      </w:r>
      <w:r>
        <w:rPr>
          <w:b/>
          <w:spacing w:val="-14"/>
          <w:sz w:val="24"/>
        </w:rPr>
        <w:t> </w:t>
      </w:r>
      <w:r>
        <w:rPr>
          <w:b/>
          <w:sz w:val="24"/>
        </w:rPr>
        <w:t>México</w:t>
      </w:r>
    </w:p>
    <w:p>
      <w:pPr>
        <w:pStyle w:val="BodyText"/>
        <w:spacing w:before="2"/>
        <w:rPr>
          <w:rFonts w:ascii="Times New Roman"/>
          <w:b/>
          <w:sz w:val="23"/>
        </w:rPr>
      </w:pPr>
    </w:p>
    <w:p>
      <w:pPr>
        <w:pStyle w:val="ListParagraph"/>
        <w:numPr>
          <w:ilvl w:val="0"/>
          <w:numId w:val="3"/>
        </w:numPr>
        <w:tabs>
          <w:tab w:pos="721" w:val="left" w:leader="none"/>
          <w:tab w:pos="722" w:val="left" w:leader="none"/>
        </w:tabs>
        <w:spacing w:line="240" w:lineRule="auto" w:before="69" w:after="0"/>
        <w:ind w:left="721" w:right="0" w:hanging="499"/>
        <w:jc w:val="left"/>
        <w:rPr>
          <w:b/>
          <w:sz w:val="24"/>
        </w:rPr>
      </w:pPr>
      <w:r>
        <w:rPr>
          <w:b/>
          <w:sz w:val="24"/>
        </w:rPr>
        <w:t>Assessment of the procedures commonly used in veterinary hospitals for the</w:t>
      </w:r>
      <w:r>
        <w:rPr>
          <w:b/>
          <w:spacing w:val="-33"/>
          <w:sz w:val="24"/>
        </w:rPr>
        <w:t> </w:t>
      </w:r>
      <w:r>
        <w:rPr>
          <w:b/>
          <w:sz w:val="24"/>
        </w:rPr>
        <w:t>diagnosis</w:t>
      </w:r>
    </w:p>
    <w:p>
      <w:pPr>
        <w:pStyle w:val="ListParagraph"/>
        <w:numPr>
          <w:ilvl w:val="0"/>
          <w:numId w:val="3"/>
        </w:numPr>
        <w:tabs>
          <w:tab w:pos="3525" w:val="left" w:leader="none"/>
          <w:tab w:pos="3526" w:val="left" w:leader="none"/>
        </w:tabs>
        <w:spacing w:line="240" w:lineRule="auto" w:before="125" w:after="0"/>
        <w:ind w:left="3526" w:right="0" w:hanging="3304"/>
        <w:jc w:val="left"/>
        <w:rPr>
          <w:b/>
          <w:sz w:val="24"/>
        </w:rPr>
      </w:pPr>
      <w:r>
        <w:rPr>
          <w:b/>
          <w:sz w:val="24"/>
        </w:rPr>
        <w:t>of canine parvovirus in</w:t>
      </w:r>
      <w:r>
        <w:rPr>
          <w:b/>
          <w:spacing w:val="-8"/>
          <w:sz w:val="24"/>
        </w:rPr>
        <w:t> </w:t>
      </w:r>
      <w:r>
        <w:rPr>
          <w:b/>
          <w:sz w:val="24"/>
        </w:rPr>
        <w:t>Mexico</w:t>
      </w:r>
    </w:p>
    <w:p>
      <w:pPr>
        <w:pStyle w:val="BodyText"/>
        <w:rPr>
          <w:rFonts w:ascii="Times New Roman"/>
          <w:b/>
          <w:sz w:val="30"/>
        </w:rPr>
      </w:pPr>
    </w:p>
    <w:p>
      <w:pPr>
        <w:spacing w:before="1"/>
        <w:ind w:left="222" w:right="0" w:firstLine="0"/>
        <w:jc w:val="left"/>
        <w:rPr>
          <w:rFonts w:ascii="Calibri"/>
          <w:sz w:val="22"/>
        </w:rPr>
      </w:pPr>
      <w:r>
        <w:rPr>
          <w:rFonts w:ascii="Calibri"/>
          <w:w w:val="100"/>
          <w:sz w:val="22"/>
        </w:rPr>
        <w:t>9</w:t>
      </w:r>
    </w:p>
    <w:p>
      <w:pPr>
        <w:pStyle w:val="BodyText"/>
        <w:spacing w:before="5"/>
        <w:rPr>
          <w:rFonts w:ascii="Calibri"/>
          <w:sz w:val="17"/>
        </w:rPr>
      </w:pPr>
    </w:p>
    <w:p>
      <w:pPr>
        <w:pStyle w:val="ListParagraph"/>
        <w:numPr>
          <w:ilvl w:val="0"/>
          <w:numId w:val="4"/>
        </w:numPr>
        <w:tabs>
          <w:tab w:pos="692" w:val="left" w:leader="none"/>
          <w:tab w:pos="693" w:val="left" w:leader="none"/>
        </w:tabs>
        <w:spacing w:line="240" w:lineRule="auto" w:before="78" w:after="0"/>
        <w:ind w:left="692" w:right="0" w:hanging="581"/>
        <w:jc w:val="left"/>
        <w:rPr>
          <w:sz w:val="16"/>
        </w:rPr>
      </w:pPr>
      <w:r>
        <w:rPr>
          <w:sz w:val="24"/>
        </w:rPr>
        <w:t>MFaz</w:t>
      </w:r>
      <w:r>
        <w:rPr>
          <w:position w:val="11"/>
          <w:sz w:val="16"/>
        </w:rPr>
        <w:t>a</w:t>
      </w:r>
      <w:r>
        <w:rPr>
          <w:sz w:val="24"/>
        </w:rPr>
        <w:t>, JS Martínez-Castañeda</w:t>
      </w:r>
      <w:r>
        <w:rPr>
          <w:position w:val="11"/>
          <w:sz w:val="16"/>
        </w:rPr>
        <w:t>a</w:t>
      </w:r>
      <w:r>
        <w:rPr>
          <w:sz w:val="24"/>
        </w:rPr>
        <w:t>*, IA Quijano</w:t>
      </w:r>
      <w:r>
        <w:rPr>
          <w:position w:val="11"/>
          <w:sz w:val="16"/>
        </w:rPr>
        <w:t>b</w:t>
      </w:r>
      <w:r>
        <w:rPr>
          <w:sz w:val="24"/>
        </w:rPr>
        <w:t>, RC</w:t>
      </w:r>
      <w:r>
        <w:rPr>
          <w:spacing w:val="-19"/>
          <w:sz w:val="24"/>
        </w:rPr>
        <w:t> </w:t>
      </w:r>
      <w:r>
        <w:rPr>
          <w:sz w:val="24"/>
        </w:rPr>
        <w:t>Fajardo</w:t>
      </w:r>
      <w:r>
        <w:rPr>
          <w:position w:val="11"/>
          <w:sz w:val="16"/>
        </w:rPr>
        <w:t>a</w:t>
      </w:r>
    </w:p>
    <w:p>
      <w:pPr>
        <w:pStyle w:val="BodyText"/>
        <w:spacing w:before="4"/>
        <w:rPr>
          <w:rFonts w:ascii="Times New Roman"/>
          <w:sz w:val="19"/>
        </w:rPr>
      </w:pPr>
    </w:p>
    <w:p>
      <w:pPr>
        <w:pStyle w:val="ListParagraph"/>
        <w:numPr>
          <w:ilvl w:val="0"/>
          <w:numId w:val="4"/>
        </w:numPr>
        <w:tabs>
          <w:tab w:pos="692" w:val="left" w:leader="none"/>
          <w:tab w:pos="693" w:val="left" w:leader="none"/>
        </w:tabs>
        <w:spacing w:line="240" w:lineRule="auto" w:before="78" w:after="0"/>
        <w:ind w:left="692" w:right="0" w:hanging="581"/>
        <w:jc w:val="left"/>
        <w:rPr>
          <w:sz w:val="24"/>
        </w:rPr>
      </w:pPr>
      <w:r>
        <w:rPr>
          <w:position w:val="11"/>
          <w:sz w:val="16"/>
        </w:rPr>
        <w:t>a</w:t>
      </w:r>
      <w:r>
        <w:rPr>
          <w:sz w:val="24"/>
        </w:rPr>
        <w:t>Centro  de Investigación y Estudios Avanzados en Salud  Animal,  Facultad  de  </w:t>
      </w:r>
      <w:r>
        <w:rPr>
          <w:spacing w:val="4"/>
          <w:sz w:val="24"/>
        </w:rPr>
        <w:t> </w:t>
      </w:r>
      <w:r>
        <w:rPr>
          <w:sz w:val="24"/>
        </w:rPr>
        <w:t>Medicina</w:t>
      </w:r>
    </w:p>
    <w:p>
      <w:pPr>
        <w:pStyle w:val="ListParagraph"/>
        <w:numPr>
          <w:ilvl w:val="0"/>
          <w:numId w:val="4"/>
        </w:numPr>
        <w:tabs>
          <w:tab w:pos="692" w:val="left" w:leader="none"/>
          <w:tab w:pos="693" w:val="left" w:leader="none"/>
        </w:tabs>
        <w:spacing w:line="240" w:lineRule="auto" w:before="129" w:after="0"/>
        <w:ind w:left="692" w:right="0" w:hanging="581"/>
        <w:jc w:val="left"/>
        <w:rPr>
          <w:sz w:val="24"/>
        </w:rPr>
      </w:pPr>
      <w:r>
        <w:rPr>
          <w:sz w:val="24"/>
        </w:rPr>
        <w:t>Veterinaria y Zootecnia, Universidad Autónoma del Estado de México, Toluca, Estado  </w:t>
      </w:r>
      <w:r>
        <w:rPr>
          <w:spacing w:val="44"/>
          <w:sz w:val="24"/>
        </w:rPr>
        <w:t> </w:t>
      </w:r>
      <w:r>
        <w:rPr>
          <w:sz w:val="24"/>
        </w:rPr>
        <w:t>de</w:t>
      </w:r>
    </w:p>
    <w:p>
      <w:pPr>
        <w:pStyle w:val="ListParagraph"/>
        <w:numPr>
          <w:ilvl w:val="0"/>
          <w:numId w:val="4"/>
        </w:numPr>
        <w:tabs>
          <w:tab w:pos="692" w:val="left" w:leader="none"/>
          <w:tab w:pos="693" w:val="left" w:leader="none"/>
        </w:tabs>
        <w:spacing w:line="240" w:lineRule="auto" w:before="125" w:after="0"/>
        <w:ind w:left="692" w:right="0" w:hanging="581"/>
        <w:jc w:val="left"/>
        <w:rPr>
          <w:sz w:val="24"/>
        </w:rPr>
      </w:pPr>
      <w:r>
        <w:rPr>
          <w:sz w:val="24"/>
        </w:rPr>
        <w:t>México.</w:t>
      </w:r>
    </w:p>
    <w:p>
      <w:pPr>
        <w:pStyle w:val="BodyText"/>
        <w:spacing w:before="3"/>
        <w:rPr>
          <w:rFonts w:ascii="Times New Roman"/>
          <w:sz w:val="19"/>
        </w:rPr>
      </w:pPr>
    </w:p>
    <w:p>
      <w:pPr>
        <w:pStyle w:val="ListParagraph"/>
        <w:numPr>
          <w:ilvl w:val="0"/>
          <w:numId w:val="4"/>
        </w:numPr>
        <w:tabs>
          <w:tab w:pos="692" w:val="left" w:leader="none"/>
          <w:tab w:pos="693" w:val="left" w:leader="none"/>
        </w:tabs>
        <w:spacing w:line="240" w:lineRule="auto" w:before="79" w:after="0"/>
        <w:ind w:left="692" w:right="0" w:hanging="581"/>
        <w:jc w:val="left"/>
        <w:rPr>
          <w:sz w:val="24"/>
        </w:rPr>
      </w:pPr>
      <w:r>
        <w:rPr>
          <w:position w:val="11"/>
          <w:sz w:val="16"/>
        </w:rPr>
        <w:t>b</w:t>
      </w:r>
      <w:r>
        <w:rPr>
          <w:sz w:val="24"/>
        </w:rPr>
        <w:t>Hospital Veterinario de Pequeñas especies, Facultad de Medicina Veterinaria y</w:t>
      </w:r>
      <w:r>
        <w:rPr>
          <w:spacing w:val="51"/>
          <w:sz w:val="24"/>
        </w:rPr>
        <w:t> </w:t>
      </w:r>
      <w:r>
        <w:rPr>
          <w:sz w:val="24"/>
        </w:rPr>
        <w:t>Zootecnia,</w:t>
      </w:r>
    </w:p>
    <w:p>
      <w:pPr>
        <w:pStyle w:val="ListParagraph"/>
        <w:numPr>
          <w:ilvl w:val="0"/>
          <w:numId w:val="4"/>
        </w:numPr>
        <w:tabs>
          <w:tab w:pos="692" w:val="left" w:leader="none"/>
          <w:tab w:pos="693" w:val="left" w:leader="none"/>
        </w:tabs>
        <w:spacing w:line="240" w:lineRule="auto" w:before="125" w:after="0"/>
        <w:ind w:left="692" w:right="0" w:hanging="581"/>
        <w:jc w:val="left"/>
        <w:rPr>
          <w:sz w:val="24"/>
        </w:rPr>
      </w:pPr>
      <w:r>
        <w:rPr>
          <w:sz w:val="24"/>
        </w:rPr>
        <w:t>Universidad Autónoma del Estado de México, Toluca, Estado de</w:t>
      </w:r>
      <w:r>
        <w:rPr>
          <w:spacing w:val="-31"/>
          <w:sz w:val="24"/>
        </w:rPr>
        <w:t> </w:t>
      </w:r>
      <w:r>
        <w:rPr>
          <w:sz w:val="24"/>
        </w:rPr>
        <w:t>México.</w:t>
      </w:r>
    </w:p>
    <w:p>
      <w:pPr>
        <w:pStyle w:val="BodyText"/>
        <w:spacing w:before="5"/>
        <w:rPr>
          <w:rFonts w:ascii="Times New Roman"/>
          <w:sz w:val="30"/>
        </w:rPr>
      </w:pPr>
    </w:p>
    <w:p>
      <w:pPr>
        <w:spacing w:before="0"/>
        <w:ind w:left="111" w:right="0" w:firstLine="0"/>
        <w:jc w:val="left"/>
        <w:rPr>
          <w:rFonts w:ascii="Calibri"/>
          <w:sz w:val="22"/>
        </w:rPr>
      </w:pPr>
      <w:r>
        <w:rPr>
          <w:rFonts w:ascii="Calibri"/>
          <w:sz w:val="22"/>
        </w:rPr>
        <w:t>16</w:t>
      </w:r>
    </w:p>
    <w:p>
      <w:pPr>
        <w:spacing w:before="144"/>
        <w:ind w:left="111" w:right="0" w:firstLine="0"/>
        <w:jc w:val="left"/>
        <w:rPr>
          <w:rFonts w:ascii="Calibri"/>
          <w:sz w:val="22"/>
        </w:rPr>
      </w:pPr>
      <w:r>
        <w:rPr>
          <w:rFonts w:ascii="Calibri"/>
          <w:sz w:val="22"/>
        </w:rPr>
        <w:t>17</w:t>
      </w:r>
    </w:p>
    <w:p>
      <w:pPr>
        <w:spacing w:before="149"/>
        <w:ind w:left="111" w:right="0" w:firstLine="0"/>
        <w:jc w:val="left"/>
        <w:rPr>
          <w:rFonts w:ascii="Calibri"/>
          <w:sz w:val="22"/>
        </w:rPr>
      </w:pPr>
      <w:r>
        <w:rPr>
          <w:rFonts w:ascii="Calibri"/>
          <w:sz w:val="22"/>
        </w:rPr>
        <w:t>18</w:t>
      </w:r>
    </w:p>
    <w:p>
      <w:pPr>
        <w:spacing w:before="144"/>
        <w:ind w:left="111" w:right="0" w:firstLine="0"/>
        <w:jc w:val="left"/>
        <w:rPr>
          <w:rFonts w:ascii="Calibri"/>
          <w:sz w:val="22"/>
        </w:rPr>
      </w:pPr>
      <w:r>
        <w:rPr>
          <w:rFonts w:ascii="Calibri"/>
          <w:sz w:val="22"/>
        </w:rPr>
        <w:t>19</w:t>
      </w:r>
    </w:p>
    <w:p>
      <w:pPr>
        <w:spacing w:before="144"/>
        <w:ind w:left="111" w:right="0" w:firstLine="0"/>
        <w:jc w:val="left"/>
        <w:rPr>
          <w:rFonts w:ascii="Calibri"/>
          <w:sz w:val="22"/>
        </w:rPr>
      </w:pPr>
      <w:r>
        <w:rPr>
          <w:rFonts w:ascii="Calibri"/>
          <w:sz w:val="22"/>
        </w:rPr>
        <w:t>20</w:t>
      </w:r>
    </w:p>
    <w:p>
      <w:pPr>
        <w:spacing w:before="144"/>
        <w:ind w:left="111" w:right="0" w:firstLine="0"/>
        <w:jc w:val="left"/>
        <w:rPr>
          <w:rFonts w:ascii="Calibri"/>
          <w:sz w:val="22"/>
        </w:rPr>
      </w:pPr>
      <w:r>
        <w:rPr>
          <w:rFonts w:ascii="Calibri"/>
          <w:sz w:val="22"/>
        </w:rPr>
        <w:t>21</w:t>
      </w:r>
    </w:p>
    <w:p>
      <w:pPr>
        <w:spacing w:before="149"/>
        <w:ind w:left="111" w:right="0" w:firstLine="0"/>
        <w:jc w:val="left"/>
        <w:rPr>
          <w:rFonts w:ascii="Calibri"/>
          <w:sz w:val="22"/>
        </w:rPr>
      </w:pPr>
      <w:r>
        <w:rPr>
          <w:rFonts w:ascii="Calibri"/>
          <w:sz w:val="22"/>
        </w:rPr>
        <w:t>22</w:t>
      </w:r>
    </w:p>
    <w:p>
      <w:pPr>
        <w:pStyle w:val="ListParagraph"/>
        <w:numPr>
          <w:ilvl w:val="0"/>
          <w:numId w:val="5"/>
        </w:numPr>
        <w:tabs>
          <w:tab w:pos="692" w:val="left" w:leader="none"/>
          <w:tab w:pos="693" w:val="left" w:leader="none"/>
        </w:tabs>
        <w:spacing w:line="240" w:lineRule="auto" w:before="129" w:after="0"/>
        <w:ind w:left="692" w:right="0" w:hanging="581"/>
        <w:jc w:val="left"/>
        <w:rPr>
          <w:sz w:val="24"/>
        </w:rPr>
      </w:pPr>
      <w:r>
        <w:rPr>
          <w:sz w:val="24"/>
        </w:rPr>
        <w:t>*Carretera de cuota Toluca-Atlacomulco kilómetro 15.5, código postal 50200</w:t>
      </w:r>
      <w:r>
        <w:rPr>
          <w:spacing w:val="-37"/>
          <w:sz w:val="24"/>
        </w:rPr>
        <w:t> </w:t>
      </w:r>
      <w:r>
        <w:rPr>
          <w:sz w:val="24"/>
        </w:rPr>
        <w:t>Toluca,</w:t>
      </w:r>
    </w:p>
    <w:p>
      <w:pPr>
        <w:pStyle w:val="ListParagraph"/>
        <w:numPr>
          <w:ilvl w:val="0"/>
          <w:numId w:val="5"/>
        </w:numPr>
        <w:tabs>
          <w:tab w:pos="692" w:val="left" w:leader="none"/>
          <w:tab w:pos="693" w:val="left" w:leader="none"/>
        </w:tabs>
        <w:spacing w:line="240" w:lineRule="auto" w:before="129" w:after="0"/>
        <w:ind w:left="692" w:right="0" w:hanging="581"/>
        <w:jc w:val="left"/>
        <w:rPr>
          <w:sz w:val="24"/>
        </w:rPr>
      </w:pPr>
      <w:r>
        <w:rPr>
          <w:sz w:val="24"/>
        </w:rPr>
        <w:t>Estado de México;</w:t>
      </w:r>
      <w:r>
        <w:rPr>
          <w:spacing w:val="-21"/>
          <w:sz w:val="24"/>
        </w:rPr>
        <w:t> </w:t>
      </w:r>
      <w:hyperlink r:id="rId20">
        <w:r>
          <w:rPr>
            <w:sz w:val="24"/>
          </w:rPr>
          <w:t>jsmartinezc@uaemex.mx</w:t>
        </w:r>
      </w:hyperlink>
    </w:p>
    <w:p>
      <w:pPr>
        <w:spacing w:after="0" w:line="240" w:lineRule="auto"/>
        <w:jc w:val="left"/>
        <w:rPr>
          <w:sz w:val="24"/>
        </w:rPr>
        <w:sectPr>
          <w:pgSz w:w="12240" w:h="15840"/>
          <w:pgMar w:header="1154" w:footer="1713" w:top="1520" w:bottom="1900" w:left="1180" w:right="1380"/>
        </w:sectPr>
      </w:pPr>
    </w:p>
    <w:p>
      <w:pPr>
        <w:pStyle w:val="BodyText"/>
        <w:spacing w:before="5"/>
        <w:rPr>
          <w:rFonts w:ascii="Times New Roman"/>
          <w:sz w:val="17"/>
        </w:rPr>
      </w:pPr>
    </w:p>
    <w:p>
      <w:pPr>
        <w:pStyle w:val="ListParagraph"/>
        <w:numPr>
          <w:ilvl w:val="0"/>
          <w:numId w:val="6"/>
        </w:numPr>
        <w:tabs>
          <w:tab w:pos="692" w:val="left" w:leader="none"/>
          <w:tab w:pos="693" w:val="left" w:leader="none"/>
        </w:tabs>
        <w:spacing w:line="240" w:lineRule="auto" w:before="70" w:after="0"/>
        <w:ind w:left="692" w:right="0" w:hanging="470"/>
        <w:jc w:val="left"/>
        <w:rPr>
          <w:sz w:val="24"/>
        </w:rPr>
      </w:pPr>
      <w:r>
        <w:rPr>
          <w:sz w:val="24"/>
        </w:rPr>
        <w:t>SUMMARY</w:t>
      </w:r>
    </w:p>
    <w:p>
      <w:pPr>
        <w:pStyle w:val="BodyText"/>
        <w:spacing w:before="3"/>
        <w:rPr>
          <w:rFonts w:ascii="Times New Roman"/>
          <w:sz w:val="23"/>
        </w:rPr>
      </w:pPr>
    </w:p>
    <w:p>
      <w:pPr>
        <w:pStyle w:val="ListParagraph"/>
        <w:numPr>
          <w:ilvl w:val="0"/>
          <w:numId w:val="6"/>
        </w:numPr>
        <w:tabs>
          <w:tab w:pos="985" w:val="left" w:leader="none"/>
          <w:tab w:pos="986" w:val="left" w:leader="none"/>
        </w:tabs>
        <w:spacing w:line="240" w:lineRule="auto" w:before="69" w:after="0"/>
        <w:ind w:left="985" w:right="0" w:hanging="763"/>
        <w:jc w:val="left"/>
        <w:rPr>
          <w:sz w:val="24"/>
        </w:rPr>
      </w:pPr>
      <w:r>
        <w:rPr>
          <w:spacing w:val="3"/>
          <w:sz w:val="24"/>
        </w:rPr>
        <w:t>In  </w:t>
      </w:r>
      <w:r>
        <w:rPr>
          <w:sz w:val="24"/>
        </w:rPr>
        <w:t>Mexico,  infection  by  CPV-2  </w:t>
      </w:r>
      <w:r>
        <w:rPr>
          <w:spacing w:val="-3"/>
          <w:sz w:val="24"/>
        </w:rPr>
        <w:t>is  </w:t>
      </w:r>
      <w:r>
        <w:rPr>
          <w:sz w:val="24"/>
        </w:rPr>
        <w:t>considered  one  of  the  </w:t>
      </w:r>
      <w:r>
        <w:rPr>
          <w:spacing w:val="-3"/>
          <w:sz w:val="24"/>
        </w:rPr>
        <w:t>most  </w:t>
      </w:r>
      <w:r>
        <w:rPr>
          <w:sz w:val="24"/>
        </w:rPr>
        <w:t>important</w:t>
      </w:r>
      <w:r>
        <w:rPr>
          <w:spacing w:val="9"/>
          <w:sz w:val="24"/>
        </w:rPr>
        <w:t> </w:t>
      </w:r>
      <w:r>
        <w:rPr>
          <w:sz w:val="24"/>
        </w:rPr>
        <w:t>infectious</w:t>
      </w:r>
    </w:p>
    <w:p>
      <w:pPr>
        <w:pStyle w:val="ListParagraph"/>
        <w:numPr>
          <w:ilvl w:val="0"/>
          <w:numId w:val="6"/>
        </w:numPr>
        <w:tabs>
          <w:tab w:pos="692" w:val="left" w:leader="none"/>
          <w:tab w:pos="693" w:val="left" w:leader="none"/>
        </w:tabs>
        <w:spacing w:line="240" w:lineRule="auto" w:before="129" w:after="0"/>
        <w:ind w:left="692" w:right="0" w:hanging="470"/>
        <w:jc w:val="left"/>
        <w:rPr>
          <w:sz w:val="24"/>
        </w:rPr>
      </w:pPr>
      <w:r>
        <w:rPr>
          <w:sz w:val="24"/>
        </w:rPr>
        <w:t>diseases</w:t>
      </w:r>
      <w:r>
        <w:rPr>
          <w:spacing w:val="21"/>
          <w:sz w:val="24"/>
        </w:rPr>
        <w:t> </w:t>
      </w:r>
      <w:r>
        <w:rPr>
          <w:sz w:val="24"/>
        </w:rPr>
        <w:t>that</w:t>
      </w:r>
      <w:r>
        <w:rPr>
          <w:spacing w:val="27"/>
          <w:sz w:val="24"/>
        </w:rPr>
        <w:t> </w:t>
      </w:r>
      <w:r>
        <w:rPr>
          <w:sz w:val="24"/>
        </w:rPr>
        <w:t>affect</w:t>
      </w:r>
      <w:r>
        <w:rPr>
          <w:spacing w:val="27"/>
          <w:sz w:val="24"/>
        </w:rPr>
        <w:t> </w:t>
      </w:r>
      <w:r>
        <w:rPr>
          <w:sz w:val="24"/>
        </w:rPr>
        <w:t>dogs.</w:t>
      </w:r>
      <w:r>
        <w:rPr>
          <w:spacing w:val="24"/>
          <w:sz w:val="24"/>
        </w:rPr>
        <w:t> </w:t>
      </w:r>
      <w:r>
        <w:rPr>
          <w:sz w:val="24"/>
        </w:rPr>
        <w:t>For</w:t>
      </w:r>
      <w:r>
        <w:rPr>
          <w:spacing w:val="19"/>
          <w:sz w:val="24"/>
        </w:rPr>
        <w:t> </w:t>
      </w:r>
      <w:r>
        <w:rPr>
          <w:sz w:val="24"/>
        </w:rPr>
        <w:t>this</w:t>
      </w:r>
      <w:r>
        <w:rPr>
          <w:spacing w:val="21"/>
          <w:sz w:val="24"/>
        </w:rPr>
        <w:t> </w:t>
      </w:r>
      <w:r>
        <w:rPr>
          <w:sz w:val="24"/>
        </w:rPr>
        <w:t>reason,</w:t>
      </w:r>
      <w:r>
        <w:rPr>
          <w:spacing w:val="24"/>
          <w:sz w:val="24"/>
        </w:rPr>
        <w:t> </w:t>
      </w:r>
      <w:r>
        <w:rPr>
          <w:sz w:val="24"/>
        </w:rPr>
        <w:t>to</w:t>
      </w:r>
      <w:r>
        <w:rPr>
          <w:spacing w:val="27"/>
          <w:sz w:val="24"/>
        </w:rPr>
        <w:t> </w:t>
      </w:r>
      <w:r>
        <w:rPr>
          <w:sz w:val="24"/>
        </w:rPr>
        <w:t>know</w:t>
      </w:r>
      <w:r>
        <w:rPr>
          <w:spacing w:val="22"/>
          <w:sz w:val="24"/>
        </w:rPr>
        <w:t> </w:t>
      </w:r>
      <w:r>
        <w:rPr>
          <w:sz w:val="24"/>
        </w:rPr>
        <w:t>the</w:t>
      </w:r>
      <w:r>
        <w:rPr>
          <w:spacing w:val="22"/>
          <w:sz w:val="24"/>
        </w:rPr>
        <w:t> </w:t>
      </w:r>
      <w:r>
        <w:rPr>
          <w:sz w:val="24"/>
        </w:rPr>
        <w:t>procedures</w:t>
      </w:r>
      <w:r>
        <w:rPr>
          <w:spacing w:val="21"/>
          <w:sz w:val="24"/>
        </w:rPr>
        <w:t> </w:t>
      </w:r>
      <w:r>
        <w:rPr>
          <w:sz w:val="24"/>
        </w:rPr>
        <w:t>used</w:t>
      </w:r>
      <w:r>
        <w:rPr>
          <w:spacing w:val="23"/>
          <w:sz w:val="24"/>
        </w:rPr>
        <w:t> </w:t>
      </w:r>
      <w:r>
        <w:rPr>
          <w:sz w:val="24"/>
        </w:rPr>
        <w:t>commonly</w:t>
      </w:r>
      <w:r>
        <w:rPr>
          <w:spacing w:val="23"/>
          <w:sz w:val="24"/>
        </w:rPr>
        <w:t> </w:t>
      </w:r>
      <w:r>
        <w:rPr>
          <w:sz w:val="24"/>
        </w:rPr>
        <w:t>by</w:t>
      </w:r>
      <w:r>
        <w:rPr>
          <w:spacing w:val="18"/>
          <w:sz w:val="24"/>
        </w:rPr>
        <w:t> </w:t>
      </w:r>
      <w:r>
        <w:rPr>
          <w:sz w:val="24"/>
        </w:rPr>
        <w:t>the</w:t>
      </w:r>
    </w:p>
    <w:p>
      <w:pPr>
        <w:pStyle w:val="ListParagraph"/>
        <w:numPr>
          <w:ilvl w:val="0"/>
          <w:numId w:val="6"/>
        </w:numPr>
        <w:tabs>
          <w:tab w:pos="692" w:val="left" w:leader="none"/>
          <w:tab w:pos="693" w:val="left" w:leader="none"/>
        </w:tabs>
        <w:spacing w:line="240" w:lineRule="auto" w:before="129" w:after="0"/>
        <w:ind w:left="692" w:right="0" w:hanging="470"/>
        <w:jc w:val="left"/>
        <w:rPr>
          <w:sz w:val="24"/>
        </w:rPr>
      </w:pPr>
      <w:r>
        <w:rPr>
          <w:sz w:val="24"/>
        </w:rPr>
        <w:t>veterinarians</w:t>
      </w:r>
      <w:r>
        <w:rPr>
          <w:spacing w:val="31"/>
          <w:sz w:val="24"/>
        </w:rPr>
        <w:t> </w:t>
      </w:r>
      <w:r>
        <w:rPr>
          <w:spacing w:val="2"/>
          <w:sz w:val="24"/>
        </w:rPr>
        <w:t>to</w:t>
      </w:r>
      <w:r>
        <w:rPr>
          <w:spacing w:val="33"/>
          <w:sz w:val="24"/>
        </w:rPr>
        <w:t> </w:t>
      </w:r>
      <w:r>
        <w:rPr>
          <w:sz w:val="24"/>
        </w:rPr>
        <w:t>obtain</w:t>
      </w:r>
      <w:r>
        <w:rPr>
          <w:spacing w:val="28"/>
          <w:sz w:val="24"/>
        </w:rPr>
        <w:t> </w:t>
      </w:r>
      <w:r>
        <w:rPr>
          <w:sz w:val="24"/>
        </w:rPr>
        <w:t>a</w:t>
      </w:r>
      <w:r>
        <w:rPr>
          <w:spacing w:val="32"/>
          <w:sz w:val="24"/>
        </w:rPr>
        <w:t> </w:t>
      </w:r>
      <w:r>
        <w:rPr>
          <w:sz w:val="24"/>
        </w:rPr>
        <w:t>definitive</w:t>
      </w:r>
      <w:r>
        <w:rPr>
          <w:spacing w:val="32"/>
          <w:sz w:val="24"/>
        </w:rPr>
        <w:t> </w:t>
      </w:r>
      <w:r>
        <w:rPr>
          <w:sz w:val="24"/>
        </w:rPr>
        <w:t>diagnosis</w:t>
      </w:r>
      <w:r>
        <w:rPr>
          <w:spacing w:val="31"/>
          <w:sz w:val="24"/>
        </w:rPr>
        <w:t> </w:t>
      </w:r>
      <w:r>
        <w:rPr>
          <w:spacing w:val="4"/>
          <w:sz w:val="24"/>
        </w:rPr>
        <w:t>of</w:t>
      </w:r>
      <w:r>
        <w:rPr>
          <w:spacing w:val="25"/>
          <w:sz w:val="24"/>
        </w:rPr>
        <w:t> </w:t>
      </w:r>
      <w:r>
        <w:rPr>
          <w:sz w:val="24"/>
        </w:rPr>
        <w:t>the</w:t>
      </w:r>
      <w:r>
        <w:rPr>
          <w:spacing w:val="32"/>
          <w:sz w:val="24"/>
        </w:rPr>
        <w:t> </w:t>
      </w:r>
      <w:r>
        <w:rPr>
          <w:sz w:val="24"/>
        </w:rPr>
        <w:t>disease,</w:t>
      </w:r>
      <w:r>
        <w:rPr>
          <w:spacing w:val="50"/>
          <w:sz w:val="24"/>
        </w:rPr>
        <w:t> </w:t>
      </w:r>
      <w:r>
        <w:rPr>
          <w:spacing w:val="-3"/>
          <w:sz w:val="24"/>
        </w:rPr>
        <w:t>in</w:t>
      </w:r>
      <w:r>
        <w:rPr>
          <w:spacing w:val="33"/>
          <w:sz w:val="24"/>
        </w:rPr>
        <w:t> </w:t>
      </w:r>
      <w:r>
        <w:rPr>
          <w:sz w:val="24"/>
        </w:rPr>
        <w:t>this</w:t>
      </w:r>
      <w:r>
        <w:rPr>
          <w:spacing w:val="31"/>
          <w:sz w:val="24"/>
        </w:rPr>
        <w:t> </w:t>
      </w:r>
      <w:r>
        <w:rPr>
          <w:sz w:val="24"/>
        </w:rPr>
        <w:t>work</w:t>
      </w:r>
      <w:r>
        <w:rPr>
          <w:spacing w:val="33"/>
          <w:sz w:val="24"/>
        </w:rPr>
        <w:t> </w:t>
      </w:r>
      <w:r>
        <w:rPr>
          <w:sz w:val="24"/>
        </w:rPr>
        <w:t>we</w:t>
      </w:r>
      <w:r>
        <w:rPr>
          <w:spacing w:val="32"/>
          <w:sz w:val="24"/>
        </w:rPr>
        <w:t> </w:t>
      </w:r>
      <w:r>
        <w:rPr>
          <w:sz w:val="24"/>
        </w:rPr>
        <w:t>realized</w:t>
      </w:r>
      <w:r>
        <w:rPr>
          <w:spacing w:val="33"/>
          <w:sz w:val="24"/>
        </w:rPr>
        <w:t> </w:t>
      </w:r>
      <w:r>
        <w:rPr>
          <w:sz w:val="24"/>
        </w:rPr>
        <w:t>an</w:t>
      </w:r>
    </w:p>
    <w:p>
      <w:pPr>
        <w:pStyle w:val="ListParagraph"/>
        <w:numPr>
          <w:ilvl w:val="0"/>
          <w:numId w:val="6"/>
        </w:numPr>
        <w:tabs>
          <w:tab w:pos="692" w:val="left" w:leader="none"/>
          <w:tab w:pos="693" w:val="left" w:leader="none"/>
        </w:tabs>
        <w:spacing w:line="240" w:lineRule="auto" w:before="134" w:after="0"/>
        <w:ind w:left="692" w:right="0" w:hanging="470"/>
        <w:jc w:val="left"/>
        <w:rPr>
          <w:sz w:val="24"/>
        </w:rPr>
      </w:pPr>
      <w:r>
        <w:rPr>
          <w:sz w:val="24"/>
        </w:rPr>
        <w:t>exploratory  study,  interviewing  1054  veterinarians.  The  data  indicated  that,  16%    </w:t>
      </w:r>
      <w:r>
        <w:rPr>
          <w:spacing w:val="41"/>
          <w:sz w:val="24"/>
        </w:rPr>
        <w:t> </w:t>
      </w:r>
      <w:r>
        <w:rPr>
          <w:sz w:val="24"/>
        </w:rPr>
        <w:t>of</w:t>
      </w:r>
    </w:p>
    <w:p>
      <w:pPr>
        <w:pStyle w:val="ListParagraph"/>
        <w:numPr>
          <w:ilvl w:val="0"/>
          <w:numId w:val="6"/>
        </w:numPr>
        <w:tabs>
          <w:tab w:pos="692" w:val="left" w:leader="none"/>
          <w:tab w:pos="693" w:val="left" w:leader="none"/>
        </w:tabs>
        <w:spacing w:line="240" w:lineRule="auto" w:before="130" w:after="0"/>
        <w:ind w:left="692" w:right="0" w:hanging="470"/>
        <w:jc w:val="left"/>
        <w:rPr>
          <w:sz w:val="24"/>
        </w:rPr>
      </w:pPr>
      <w:r>
        <w:rPr>
          <w:sz w:val="24"/>
        </w:rPr>
        <w:t>veterinarians only uses the medical history (MH) and general physical examination  </w:t>
      </w:r>
      <w:r>
        <w:rPr>
          <w:spacing w:val="26"/>
          <w:sz w:val="24"/>
        </w:rPr>
        <w:t> </w:t>
      </w:r>
      <w:r>
        <w:rPr>
          <w:sz w:val="24"/>
        </w:rPr>
        <w:t>(GPE)</w:t>
      </w:r>
    </w:p>
    <w:p>
      <w:pPr>
        <w:pStyle w:val="ListParagraph"/>
        <w:numPr>
          <w:ilvl w:val="0"/>
          <w:numId w:val="6"/>
        </w:numPr>
        <w:tabs>
          <w:tab w:pos="692" w:val="left" w:leader="none"/>
          <w:tab w:pos="693" w:val="left" w:leader="none"/>
        </w:tabs>
        <w:spacing w:line="240" w:lineRule="auto" w:before="129" w:after="0"/>
        <w:ind w:left="692" w:right="0" w:hanging="470"/>
        <w:jc w:val="left"/>
        <w:rPr>
          <w:sz w:val="24"/>
        </w:rPr>
      </w:pPr>
      <w:r>
        <w:rPr>
          <w:sz w:val="24"/>
        </w:rPr>
        <w:t>and does not  confirm the diagnosis  by laboratory methods,  13% use MH, GPE and   </w:t>
      </w:r>
      <w:r>
        <w:rPr>
          <w:spacing w:val="17"/>
          <w:sz w:val="24"/>
        </w:rPr>
        <w:t> </w:t>
      </w:r>
      <w:r>
        <w:rPr>
          <w:sz w:val="24"/>
        </w:rPr>
        <w:t>only</w:t>
      </w:r>
    </w:p>
    <w:p>
      <w:pPr>
        <w:pStyle w:val="ListParagraph"/>
        <w:numPr>
          <w:ilvl w:val="0"/>
          <w:numId w:val="6"/>
        </w:numPr>
        <w:tabs>
          <w:tab w:pos="692" w:val="left" w:leader="none"/>
          <w:tab w:pos="693" w:val="left" w:leader="none"/>
        </w:tabs>
        <w:spacing w:line="240" w:lineRule="auto" w:before="129" w:after="0"/>
        <w:ind w:left="692" w:right="0" w:hanging="470"/>
        <w:jc w:val="left"/>
        <w:rPr>
          <w:sz w:val="24"/>
        </w:rPr>
      </w:pPr>
      <w:r>
        <w:rPr>
          <w:sz w:val="24"/>
        </w:rPr>
        <w:t>includes blood  cell counts (CBC) to  identify  leukopenia,  59%  use MH,  GPE,  CBC</w:t>
      </w:r>
      <w:r>
        <w:rPr>
          <w:spacing w:val="50"/>
          <w:sz w:val="24"/>
        </w:rPr>
        <w:t> </w:t>
      </w:r>
      <w:r>
        <w:rPr>
          <w:sz w:val="24"/>
        </w:rPr>
        <w:t>and</w:t>
      </w:r>
    </w:p>
    <w:p>
      <w:pPr>
        <w:pStyle w:val="ListParagraph"/>
        <w:numPr>
          <w:ilvl w:val="0"/>
          <w:numId w:val="6"/>
        </w:numPr>
        <w:tabs>
          <w:tab w:pos="692" w:val="left" w:leader="none"/>
          <w:tab w:pos="693" w:val="left" w:leader="none"/>
        </w:tabs>
        <w:spacing w:line="240" w:lineRule="auto" w:before="134" w:after="0"/>
        <w:ind w:left="692" w:right="0" w:hanging="470"/>
        <w:jc w:val="left"/>
        <w:rPr>
          <w:sz w:val="24"/>
        </w:rPr>
      </w:pPr>
      <w:r>
        <w:rPr>
          <w:sz w:val="24"/>
        </w:rPr>
        <w:t>include   immunochromatography  tests,   and  only  12%   utilized  above  procedures  </w:t>
      </w:r>
      <w:r>
        <w:rPr>
          <w:spacing w:val="10"/>
          <w:sz w:val="24"/>
        </w:rPr>
        <w:t> </w:t>
      </w:r>
      <w:r>
        <w:rPr>
          <w:sz w:val="24"/>
        </w:rPr>
        <w:t>and</w:t>
      </w:r>
    </w:p>
    <w:p>
      <w:pPr>
        <w:pStyle w:val="ListParagraph"/>
        <w:numPr>
          <w:ilvl w:val="0"/>
          <w:numId w:val="6"/>
        </w:numPr>
        <w:tabs>
          <w:tab w:pos="692" w:val="left" w:leader="none"/>
          <w:tab w:pos="693" w:val="left" w:leader="none"/>
        </w:tabs>
        <w:spacing w:line="240" w:lineRule="auto" w:before="130" w:after="0"/>
        <w:ind w:left="692" w:right="0" w:hanging="581"/>
        <w:jc w:val="left"/>
        <w:rPr>
          <w:sz w:val="24"/>
        </w:rPr>
      </w:pPr>
      <w:r>
        <w:rPr>
          <w:sz w:val="24"/>
        </w:rPr>
        <w:t>included</w:t>
      </w:r>
      <w:r>
        <w:rPr>
          <w:spacing w:val="32"/>
          <w:sz w:val="24"/>
        </w:rPr>
        <w:t> </w:t>
      </w:r>
      <w:r>
        <w:rPr>
          <w:sz w:val="24"/>
        </w:rPr>
        <w:t>PCR</w:t>
      </w:r>
      <w:r>
        <w:rPr>
          <w:spacing w:val="31"/>
          <w:sz w:val="24"/>
        </w:rPr>
        <w:t> </w:t>
      </w:r>
      <w:r>
        <w:rPr>
          <w:sz w:val="24"/>
        </w:rPr>
        <w:t>to</w:t>
      </w:r>
      <w:r>
        <w:rPr>
          <w:spacing w:val="37"/>
          <w:sz w:val="24"/>
        </w:rPr>
        <w:t> </w:t>
      </w:r>
      <w:r>
        <w:rPr>
          <w:sz w:val="24"/>
        </w:rPr>
        <w:t>confirm</w:t>
      </w:r>
      <w:r>
        <w:rPr>
          <w:spacing w:val="23"/>
          <w:sz w:val="24"/>
        </w:rPr>
        <w:t> </w:t>
      </w:r>
      <w:r>
        <w:rPr>
          <w:sz w:val="24"/>
        </w:rPr>
        <w:t>the</w:t>
      </w:r>
      <w:r>
        <w:rPr>
          <w:spacing w:val="36"/>
          <w:sz w:val="24"/>
        </w:rPr>
        <w:t> </w:t>
      </w:r>
      <w:r>
        <w:rPr>
          <w:sz w:val="24"/>
        </w:rPr>
        <w:t>CPV-2</w:t>
      </w:r>
      <w:r>
        <w:rPr>
          <w:spacing w:val="32"/>
          <w:sz w:val="24"/>
        </w:rPr>
        <w:t> </w:t>
      </w:r>
      <w:r>
        <w:rPr>
          <w:sz w:val="24"/>
        </w:rPr>
        <w:t>diagnosis.</w:t>
      </w:r>
      <w:r>
        <w:rPr>
          <w:spacing w:val="34"/>
          <w:sz w:val="24"/>
        </w:rPr>
        <w:t> </w:t>
      </w:r>
      <w:r>
        <w:rPr>
          <w:sz w:val="24"/>
        </w:rPr>
        <w:t>Once</w:t>
      </w:r>
      <w:r>
        <w:rPr>
          <w:spacing w:val="31"/>
          <w:sz w:val="24"/>
        </w:rPr>
        <w:t> </w:t>
      </w:r>
      <w:r>
        <w:rPr>
          <w:sz w:val="24"/>
        </w:rPr>
        <w:t>this</w:t>
      </w:r>
      <w:r>
        <w:rPr>
          <w:spacing w:val="35"/>
          <w:sz w:val="24"/>
        </w:rPr>
        <w:t> </w:t>
      </w:r>
      <w:r>
        <w:rPr>
          <w:sz w:val="24"/>
        </w:rPr>
        <w:t>information</w:t>
      </w:r>
      <w:r>
        <w:rPr>
          <w:spacing w:val="27"/>
          <w:sz w:val="24"/>
        </w:rPr>
        <w:t> </w:t>
      </w:r>
      <w:r>
        <w:rPr>
          <w:sz w:val="24"/>
        </w:rPr>
        <w:t>was</w:t>
      </w:r>
      <w:r>
        <w:rPr>
          <w:spacing w:val="30"/>
          <w:sz w:val="24"/>
        </w:rPr>
        <w:t> </w:t>
      </w:r>
      <w:r>
        <w:rPr>
          <w:sz w:val="24"/>
        </w:rPr>
        <w:t>obtained,</w:t>
      </w:r>
      <w:r>
        <w:rPr>
          <w:spacing w:val="34"/>
          <w:sz w:val="24"/>
        </w:rPr>
        <w:t> </w:t>
      </w:r>
      <w:r>
        <w:rPr>
          <w:sz w:val="24"/>
        </w:rPr>
        <w:t>the</w:t>
      </w:r>
    </w:p>
    <w:p>
      <w:pPr>
        <w:pStyle w:val="ListParagraph"/>
        <w:numPr>
          <w:ilvl w:val="0"/>
          <w:numId w:val="6"/>
        </w:numPr>
        <w:tabs>
          <w:tab w:pos="692" w:val="left" w:leader="none"/>
          <w:tab w:pos="693" w:val="left" w:leader="none"/>
        </w:tabs>
        <w:spacing w:line="240" w:lineRule="auto" w:before="129" w:after="0"/>
        <w:ind w:left="692" w:right="0" w:hanging="581"/>
        <w:jc w:val="left"/>
        <w:rPr>
          <w:sz w:val="24"/>
        </w:rPr>
      </w:pPr>
      <w:r>
        <w:rPr>
          <w:sz w:val="24"/>
        </w:rPr>
        <w:t>sensitivity  and   specificity  </w:t>
      </w:r>
      <w:r>
        <w:rPr>
          <w:spacing w:val="4"/>
          <w:sz w:val="24"/>
        </w:rPr>
        <w:t>of  </w:t>
      </w:r>
      <w:r>
        <w:rPr>
          <w:sz w:val="24"/>
        </w:rPr>
        <w:t>the  reported  procedures  were  analyzed.  To  fulfill    </w:t>
      </w:r>
      <w:r>
        <w:rPr>
          <w:spacing w:val="5"/>
          <w:sz w:val="24"/>
        </w:rPr>
        <w:t> </w:t>
      </w:r>
      <w:r>
        <w:rPr>
          <w:sz w:val="24"/>
        </w:rPr>
        <w:t>this</w:t>
      </w:r>
    </w:p>
    <w:p>
      <w:pPr>
        <w:pStyle w:val="ListParagraph"/>
        <w:numPr>
          <w:ilvl w:val="0"/>
          <w:numId w:val="6"/>
        </w:numPr>
        <w:tabs>
          <w:tab w:pos="692" w:val="left" w:leader="none"/>
          <w:tab w:pos="693" w:val="left" w:leader="none"/>
        </w:tabs>
        <w:spacing w:line="240" w:lineRule="auto" w:before="129" w:after="0"/>
        <w:ind w:left="692" w:right="0" w:hanging="581"/>
        <w:jc w:val="left"/>
        <w:rPr>
          <w:sz w:val="24"/>
        </w:rPr>
      </w:pPr>
      <w:r>
        <w:rPr>
          <w:sz w:val="24"/>
        </w:rPr>
        <w:t>objective,</w:t>
      </w:r>
      <w:r>
        <w:rPr>
          <w:spacing w:val="25"/>
          <w:sz w:val="24"/>
        </w:rPr>
        <w:t> </w:t>
      </w:r>
      <w:r>
        <w:rPr>
          <w:sz w:val="24"/>
        </w:rPr>
        <w:t>117</w:t>
      </w:r>
      <w:r>
        <w:rPr>
          <w:spacing w:val="22"/>
          <w:sz w:val="24"/>
        </w:rPr>
        <w:t> </w:t>
      </w:r>
      <w:r>
        <w:rPr>
          <w:sz w:val="24"/>
        </w:rPr>
        <w:t>patients</w:t>
      </w:r>
      <w:r>
        <w:rPr>
          <w:spacing w:val="20"/>
          <w:sz w:val="24"/>
        </w:rPr>
        <w:t> </w:t>
      </w:r>
      <w:r>
        <w:rPr>
          <w:sz w:val="24"/>
        </w:rPr>
        <w:t>diagnosed</w:t>
      </w:r>
      <w:r>
        <w:rPr>
          <w:spacing w:val="22"/>
          <w:sz w:val="24"/>
        </w:rPr>
        <w:t> </w:t>
      </w:r>
      <w:r>
        <w:rPr>
          <w:sz w:val="24"/>
        </w:rPr>
        <w:t>with</w:t>
      </w:r>
      <w:r>
        <w:rPr>
          <w:spacing w:val="17"/>
          <w:sz w:val="24"/>
        </w:rPr>
        <w:t> </w:t>
      </w:r>
      <w:r>
        <w:rPr>
          <w:sz w:val="24"/>
        </w:rPr>
        <w:t>parvoviruses</w:t>
      </w:r>
      <w:r>
        <w:rPr>
          <w:spacing w:val="20"/>
          <w:sz w:val="24"/>
        </w:rPr>
        <w:t> </w:t>
      </w:r>
      <w:r>
        <w:rPr>
          <w:spacing w:val="2"/>
          <w:sz w:val="24"/>
        </w:rPr>
        <w:t>by</w:t>
      </w:r>
      <w:r>
        <w:rPr>
          <w:spacing w:val="22"/>
          <w:sz w:val="24"/>
        </w:rPr>
        <w:t> </w:t>
      </w:r>
      <w:r>
        <w:rPr>
          <w:sz w:val="24"/>
        </w:rPr>
        <w:t>nested</w:t>
      </w:r>
      <w:r>
        <w:rPr>
          <w:spacing w:val="22"/>
          <w:sz w:val="24"/>
        </w:rPr>
        <w:t> </w:t>
      </w:r>
      <w:r>
        <w:rPr>
          <w:sz w:val="24"/>
        </w:rPr>
        <w:t>PCR</w:t>
      </w:r>
      <w:r>
        <w:rPr>
          <w:spacing w:val="20"/>
          <w:sz w:val="24"/>
        </w:rPr>
        <w:t> </w:t>
      </w:r>
      <w:r>
        <w:rPr>
          <w:sz w:val="24"/>
        </w:rPr>
        <w:t>were</w:t>
      </w:r>
      <w:r>
        <w:rPr>
          <w:spacing w:val="21"/>
          <w:sz w:val="24"/>
        </w:rPr>
        <w:t> </w:t>
      </w:r>
      <w:r>
        <w:rPr>
          <w:sz w:val="24"/>
        </w:rPr>
        <w:t>selected;</w:t>
      </w:r>
      <w:r>
        <w:rPr>
          <w:spacing w:val="17"/>
          <w:sz w:val="24"/>
        </w:rPr>
        <w:t> </w:t>
      </w:r>
      <w:r>
        <w:rPr>
          <w:sz w:val="24"/>
        </w:rPr>
        <w:t>results</w:t>
      </w:r>
    </w:p>
    <w:p>
      <w:pPr>
        <w:pStyle w:val="ListParagraph"/>
        <w:numPr>
          <w:ilvl w:val="0"/>
          <w:numId w:val="6"/>
        </w:numPr>
        <w:tabs>
          <w:tab w:pos="692" w:val="left" w:leader="none"/>
          <w:tab w:pos="693" w:val="left" w:leader="none"/>
        </w:tabs>
        <w:spacing w:line="240" w:lineRule="auto" w:before="129" w:after="0"/>
        <w:ind w:left="692" w:right="0" w:hanging="581"/>
        <w:jc w:val="left"/>
        <w:rPr>
          <w:sz w:val="24"/>
        </w:rPr>
      </w:pPr>
      <w:r>
        <w:rPr>
          <w:sz w:val="24"/>
        </w:rPr>
        <w:t>obtained of CBC, immunochromatography and PCR as well as MH and GPE were  </w:t>
      </w:r>
      <w:r>
        <w:rPr>
          <w:spacing w:val="47"/>
          <w:sz w:val="24"/>
        </w:rPr>
        <w:t> </w:t>
      </w:r>
      <w:r>
        <w:rPr>
          <w:sz w:val="24"/>
        </w:rPr>
        <w:t>further</w:t>
      </w:r>
    </w:p>
    <w:p>
      <w:pPr>
        <w:pStyle w:val="ListParagraph"/>
        <w:numPr>
          <w:ilvl w:val="0"/>
          <w:numId w:val="6"/>
        </w:numPr>
        <w:tabs>
          <w:tab w:pos="692" w:val="left" w:leader="none"/>
          <w:tab w:pos="693" w:val="left" w:leader="none"/>
        </w:tabs>
        <w:spacing w:line="240" w:lineRule="auto" w:before="135" w:after="0"/>
        <w:ind w:left="692" w:right="0" w:hanging="581"/>
        <w:jc w:val="left"/>
        <w:rPr>
          <w:sz w:val="24"/>
        </w:rPr>
      </w:pPr>
      <w:r>
        <w:rPr>
          <w:sz w:val="24"/>
        </w:rPr>
        <w:t>analyzed. The evaluation </w:t>
      </w:r>
      <w:r>
        <w:rPr>
          <w:spacing w:val="4"/>
          <w:sz w:val="24"/>
        </w:rPr>
        <w:t>of </w:t>
      </w:r>
      <w:r>
        <w:rPr>
          <w:sz w:val="24"/>
        </w:rPr>
        <w:t>the test show that although specificity </w:t>
      </w:r>
      <w:r>
        <w:rPr>
          <w:spacing w:val="-3"/>
          <w:sz w:val="24"/>
        </w:rPr>
        <w:t>is </w:t>
      </w:r>
      <w:r>
        <w:rPr>
          <w:sz w:val="24"/>
        </w:rPr>
        <w:t>very high,  </w:t>
      </w:r>
      <w:r>
        <w:rPr>
          <w:spacing w:val="12"/>
          <w:sz w:val="24"/>
        </w:rPr>
        <w:t> </w:t>
      </w:r>
      <w:r>
        <w:rPr>
          <w:sz w:val="24"/>
        </w:rPr>
        <w:t>sensitivity</w:t>
      </w:r>
    </w:p>
    <w:p>
      <w:pPr>
        <w:pStyle w:val="ListParagraph"/>
        <w:numPr>
          <w:ilvl w:val="0"/>
          <w:numId w:val="6"/>
        </w:numPr>
        <w:tabs>
          <w:tab w:pos="692" w:val="left" w:leader="none"/>
          <w:tab w:pos="693" w:val="left" w:leader="none"/>
        </w:tabs>
        <w:spacing w:line="240" w:lineRule="auto" w:before="125" w:after="0"/>
        <w:ind w:left="692" w:right="0" w:hanging="581"/>
        <w:jc w:val="left"/>
        <w:rPr>
          <w:sz w:val="24"/>
        </w:rPr>
      </w:pPr>
      <w:r>
        <w:rPr>
          <w:sz w:val="24"/>
        </w:rPr>
        <w:t>of test varies, from very low (CBC) to 63% for immunochromatography and 83% for</w:t>
      </w:r>
      <w:r>
        <w:rPr>
          <w:spacing w:val="-35"/>
          <w:sz w:val="24"/>
        </w:rPr>
        <w:t> </w:t>
      </w:r>
      <w:r>
        <w:rPr>
          <w:sz w:val="24"/>
        </w:rPr>
        <w:t>PCR.</w:t>
      </w:r>
    </w:p>
    <w:p>
      <w:pPr>
        <w:pStyle w:val="BodyText"/>
        <w:spacing w:before="2"/>
        <w:rPr>
          <w:rFonts w:ascii="Times New Roman"/>
          <w:sz w:val="23"/>
        </w:rPr>
      </w:pPr>
    </w:p>
    <w:p>
      <w:pPr>
        <w:pStyle w:val="ListParagraph"/>
        <w:numPr>
          <w:ilvl w:val="0"/>
          <w:numId w:val="6"/>
        </w:numPr>
        <w:tabs>
          <w:tab w:pos="976" w:val="left" w:leader="none"/>
          <w:tab w:pos="977" w:val="left" w:leader="none"/>
        </w:tabs>
        <w:spacing w:line="240" w:lineRule="auto" w:before="69" w:after="0"/>
        <w:ind w:left="976" w:right="0" w:hanging="865"/>
        <w:jc w:val="left"/>
        <w:rPr>
          <w:sz w:val="24"/>
        </w:rPr>
      </w:pPr>
      <w:r>
        <w:rPr>
          <w:sz w:val="24"/>
        </w:rPr>
        <w:t>This  indicated  that  </w:t>
      </w:r>
      <w:r>
        <w:rPr>
          <w:spacing w:val="-3"/>
          <w:sz w:val="24"/>
        </w:rPr>
        <w:t>in  </w:t>
      </w:r>
      <w:r>
        <w:rPr>
          <w:sz w:val="24"/>
        </w:rPr>
        <w:t>Mexico,  the  </w:t>
      </w:r>
      <w:r>
        <w:rPr>
          <w:spacing w:val="-3"/>
          <w:sz w:val="24"/>
        </w:rPr>
        <w:t>most   </w:t>
      </w:r>
      <w:r>
        <w:rPr>
          <w:sz w:val="24"/>
        </w:rPr>
        <w:t>common  diagnostic  procedures  used    </w:t>
      </w:r>
      <w:r>
        <w:rPr>
          <w:spacing w:val="40"/>
          <w:sz w:val="24"/>
        </w:rPr>
        <w:t> </w:t>
      </w:r>
      <w:r>
        <w:rPr>
          <w:sz w:val="24"/>
        </w:rPr>
        <w:t>by</w:t>
      </w:r>
    </w:p>
    <w:p>
      <w:pPr>
        <w:pStyle w:val="ListParagraph"/>
        <w:numPr>
          <w:ilvl w:val="0"/>
          <w:numId w:val="6"/>
        </w:numPr>
        <w:tabs>
          <w:tab w:pos="692" w:val="left" w:leader="none"/>
          <w:tab w:pos="693" w:val="left" w:leader="none"/>
        </w:tabs>
        <w:spacing w:line="240" w:lineRule="auto" w:before="129" w:after="0"/>
        <w:ind w:left="692" w:right="0" w:hanging="581"/>
        <w:jc w:val="left"/>
        <w:rPr>
          <w:sz w:val="24"/>
        </w:rPr>
      </w:pPr>
      <w:r>
        <w:rPr>
          <w:sz w:val="24"/>
        </w:rPr>
        <w:t>veterinarians have low sensitivity </w:t>
      </w:r>
      <w:r>
        <w:rPr>
          <w:spacing w:val="2"/>
          <w:sz w:val="24"/>
        </w:rPr>
        <w:t>to </w:t>
      </w:r>
      <w:r>
        <w:rPr>
          <w:sz w:val="24"/>
        </w:rPr>
        <w:t>identify PVC-2, generating   </w:t>
      </w:r>
      <w:r>
        <w:rPr>
          <w:spacing w:val="45"/>
          <w:sz w:val="24"/>
        </w:rPr>
        <w:t> </w:t>
      </w:r>
      <w:r>
        <w:rPr>
          <w:sz w:val="24"/>
        </w:rPr>
        <w:t>false-negative cases ,this</w:t>
      </w:r>
    </w:p>
    <w:p>
      <w:pPr>
        <w:pStyle w:val="ListParagraph"/>
        <w:numPr>
          <w:ilvl w:val="0"/>
          <w:numId w:val="6"/>
        </w:numPr>
        <w:tabs>
          <w:tab w:pos="692" w:val="left" w:leader="none"/>
          <w:tab w:pos="693" w:val="left" w:leader="none"/>
        </w:tabs>
        <w:spacing w:line="240" w:lineRule="auto" w:before="130" w:after="0"/>
        <w:ind w:left="692" w:right="0" w:hanging="581"/>
        <w:jc w:val="left"/>
        <w:rPr>
          <w:sz w:val="24"/>
        </w:rPr>
      </w:pPr>
      <w:r>
        <w:rPr>
          <w:sz w:val="24"/>
        </w:rPr>
        <w:t>maybe affecting the therapeutic approach and methods for disease control, which </w:t>
      </w:r>
      <w:r>
        <w:rPr>
          <w:spacing w:val="34"/>
          <w:sz w:val="24"/>
        </w:rPr>
        <w:t> </w:t>
      </w:r>
      <w:r>
        <w:rPr>
          <w:sz w:val="24"/>
        </w:rPr>
        <w:t>probably</w:t>
      </w:r>
    </w:p>
    <w:p>
      <w:pPr>
        <w:pStyle w:val="ListParagraph"/>
        <w:numPr>
          <w:ilvl w:val="0"/>
          <w:numId w:val="6"/>
        </w:numPr>
        <w:tabs>
          <w:tab w:pos="692" w:val="left" w:leader="none"/>
          <w:tab w:pos="693" w:val="left" w:leader="none"/>
        </w:tabs>
        <w:spacing w:line="240" w:lineRule="auto" w:before="129" w:after="0"/>
        <w:ind w:left="692" w:right="0" w:hanging="581"/>
        <w:jc w:val="left"/>
        <w:rPr>
          <w:sz w:val="24"/>
        </w:rPr>
      </w:pPr>
      <w:r>
        <w:rPr>
          <w:sz w:val="24"/>
        </w:rPr>
        <w:t>leads to increasing the mortality rate and spread of disease </w:t>
      </w:r>
      <w:r>
        <w:rPr>
          <w:spacing w:val="-3"/>
          <w:sz w:val="24"/>
        </w:rPr>
        <w:t>in </w:t>
      </w:r>
      <w:r>
        <w:rPr>
          <w:sz w:val="24"/>
        </w:rPr>
        <w:t>populations of</w:t>
      </w:r>
      <w:r>
        <w:rPr>
          <w:spacing w:val="-22"/>
          <w:sz w:val="24"/>
        </w:rPr>
        <w:t> </w:t>
      </w:r>
      <w:r>
        <w:rPr>
          <w:sz w:val="24"/>
        </w:rPr>
        <w:t>dogs.</w:t>
      </w:r>
    </w:p>
    <w:p>
      <w:pPr>
        <w:pStyle w:val="BodyText"/>
        <w:rPr>
          <w:rFonts w:ascii="Times New Roman"/>
          <w:sz w:val="30"/>
        </w:rPr>
      </w:pPr>
    </w:p>
    <w:p>
      <w:pPr>
        <w:spacing w:before="1"/>
        <w:ind w:left="111" w:right="0" w:firstLine="0"/>
        <w:jc w:val="left"/>
        <w:rPr>
          <w:rFonts w:ascii="Calibri"/>
          <w:sz w:val="22"/>
        </w:rPr>
      </w:pPr>
      <w:r>
        <w:rPr>
          <w:rFonts w:ascii="Calibri"/>
          <w:sz w:val="22"/>
        </w:rPr>
        <w:t>20</w:t>
      </w:r>
    </w:p>
    <w:p>
      <w:pPr>
        <w:pStyle w:val="BodyText"/>
        <w:spacing w:before="1"/>
        <w:rPr>
          <w:rFonts w:ascii="Calibri"/>
          <w:sz w:val="21"/>
        </w:rPr>
      </w:pPr>
    </w:p>
    <w:p>
      <w:pPr>
        <w:pStyle w:val="BodyText"/>
        <w:tabs>
          <w:tab w:pos="692" w:val="left" w:leader="none"/>
        </w:tabs>
        <w:spacing w:before="69"/>
        <w:ind w:left="111"/>
        <w:rPr>
          <w:rFonts w:ascii="Times New Roman"/>
        </w:rPr>
      </w:pPr>
      <w:r>
        <w:rPr>
          <w:rFonts w:ascii="Calibri"/>
          <w:sz w:val="22"/>
        </w:rPr>
        <w:t>21</w:t>
        <w:tab/>
      </w:r>
      <w:r>
        <w:rPr>
          <w:rFonts w:ascii="Times New Roman"/>
        </w:rPr>
        <w:t>Key words: Diagnostic test, Immunochromatography, PCR, Canine</w:t>
      </w:r>
      <w:r>
        <w:rPr>
          <w:rFonts w:ascii="Times New Roman"/>
          <w:spacing w:val="-30"/>
        </w:rPr>
        <w:t> </w:t>
      </w:r>
      <w:r>
        <w:rPr>
          <w:rFonts w:ascii="Times New Roman"/>
        </w:rPr>
        <w:t>parvovirus.</w:t>
      </w:r>
    </w:p>
    <w:p>
      <w:pPr>
        <w:pStyle w:val="BodyText"/>
        <w:rPr>
          <w:rFonts w:ascii="Times New Roman"/>
          <w:sz w:val="30"/>
        </w:rPr>
      </w:pPr>
    </w:p>
    <w:p>
      <w:pPr>
        <w:spacing w:before="1"/>
        <w:ind w:left="111" w:right="0" w:firstLine="0"/>
        <w:jc w:val="left"/>
        <w:rPr>
          <w:rFonts w:ascii="Calibri"/>
          <w:sz w:val="22"/>
        </w:rPr>
      </w:pPr>
      <w:r>
        <w:rPr>
          <w:rFonts w:ascii="Calibri"/>
          <w:sz w:val="22"/>
        </w:rPr>
        <w:t>22</w:t>
      </w:r>
    </w:p>
    <w:p>
      <w:pPr>
        <w:pStyle w:val="BodyText"/>
        <w:spacing w:before="4"/>
        <w:rPr>
          <w:rFonts w:ascii="Calibri"/>
          <w:sz w:val="28"/>
        </w:rPr>
      </w:pPr>
    </w:p>
    <w:p>
      <w:pPr>
        <w:spacing w:before="0"/>
        <w:ind w:left="111" w:right="0" w:firstLine="0"/>
        <w:jc w:val="left"/>
        <w:rPr>
          <w:rFonts w:ascii="Calibri"/>
          <w:sz w:val="22"/>
        </w:rPr>
      </w:pPr>
      <w:r>
        <w:rPr>
          <w:rFonts w:ascii="Calibri"/>
          <w:sz w:val="22"/>
        </w:rPr>
        <w:t>23</w:t>
      </w:r>
    </w:p>
    <w:p>
      <w:pPr>
        <w:pStyle w:val="BodyText"/>
        <w:spacing w:before="4"/>
        <w:rPr>
          <w:rFonts w:ascii="Calibri"/>
          <w:sz w:val="28"/>
        </w:rPr>
      </w:pPr>
    </w:p>
    <w:p>
      <w:pPr>
        <w:spacing w:before="0"/>
        <w:ind w:left="111" w:right="0" w:firstLine="0"/>
        <w:jc w:val="left"/>
        <w:rPr>
          <w:rFonts w:ascii="Calibri"/>
          <w:sz w:val="22"/>
        </w:rPr>
      </w:pPr>
      <w:r>
        <w:rPr>
          <w:rFonts w:ascii="Calibri"/>
          <w:sz w:val="22"/>
        </w:rPr>
        <w:t>24</w:t>
      </w:r>
    </w:p>
    <w:p>
      <w:pPr>
        <w:pStyle w:val="BodyText"/>
        <w:spacing w:before="4"/>
        <w:rPr>
          <w:rFonts w:ascii="Calibri"/>
          <w:sz w:val="28"/>
        </w:rPr>
      </w:pPr>
    </w:p>
    <w:p>
      <w:pPr>
        <w:spacing w:before="0"/>
        <w:ind w:left="111" w:right="0" w:firstLine="0"/>
        <w:jc w:val="left"/>
        <w:rPr>
          <w:rFonts w:ascii="Calibri"/>
          <w:sz w:val="22"/>
        </w:rPr>
      </w:pPr>
      <w:r>
        <w:rPr>
          <w:rFonts w:ascii="Calibri"/>
          <w:sz w:val="22"/>
        </w:rPr>
        <w:t>25</w:t>
      </w:r>
    </w:p>
    <w:p>
      <w:pPr>
        <w:spacing w:after="0"/>
        <w:jc w:val="left"/>
        <w:rPr>
          <w:rFonts w:ascii="Calibri"/>
          <w:sz w:val="22"/>
        </w:rPr>
        <w:sectPr>
          <w:pgSz w:w="12240" w:h="15840"/>
          <w:pgMar w:header="1154" w:footer="1713" w:top="1520" w:bottom="1900" w:left="1180" w:right="1380"/>
        </w:sectPr>
      </w:pPr>
    </w:p>
    <w:p>
      <w:pPr>
        <w:pStyle w:val="BodyText"/>
        <w:spacing w:before="5"/>
        <w:rPr>
          <w:rFonts w:ascii="Calibri"/>
          <w:sz w:val="16"/>
        </w:rPr>
      </w:pPr>
    </w:p>
    <w:p>
      <w:pPr>
        <w:pStyle w:val="ListParagraph"/>
        <w:numPr>
          <w:ilvl w:val="0"/>
          <w:numId w:val="7"/>
        </w:numPr>
        <w:tabs>
          <w:tab w:pos="692" w:val="left" w:leader="none"/>
          <w:tab w:pos="693" w:val="left" w:leader="none"/>
        </w:tabs>
        <w:spacing w:line="240" w:lineRule="auto" w:before="70" w:after="0"/>
        <w:ind w:left="692" w:right="0" w:hanging="470"/>
        <w:jc w:val="left"/>
        <w:rPr>
          <w:sz w:val="24"/>
        </w:rPr>
      </w:pPr>
      <w:r>
        <w:rPr>
          <w:sz w:val="24"/>
        </w:rPr>
        <w:t>INTRODUCCIÓN</w:t>
      </w:r>
    </w:p>
    <w:p>
      <w:pPr>
        <w:pStyle w:val="BodyText"/>
        <w:spacing w:before="3"/>
        <w:rPr>
          <w:rFonts w:ascii="Times New Roman"/>
          <w:sz w:val="23"/>
        </w:rPr>
      </w:pPr>
    </w:p>
    <w:p>
      <w:pPr>
        <w:pStyle w:val="ListParagraph"/>
        <w:numPr>
          <w:ilvl w:val="0"/>
          <w:numId w:val="7"/>
        </w:numPr>
        <w:tabs>
          <w:tab w:pos="990" w:val="left" w:leader="none"/>
          <w:tab w:pos="991" w:val="left" w:leader="none"/>
        </w:tabs>
        <w:spacing w:line="240" w:lineRule="auto" w:before="69" w:after="0"/>
        <w:ind w:left="990" w:right="0" w:hanging="768"/>
        <w:jc w:val="left"/>
        <w:rPr>
          <w:sz w:val="24"/>
        </w:rPr>
      </w:pPr>
      <w:r>
        <w:rPr>
          <w:sz w:val="24"/>
        </w:rPr>
        <w:t>La gastroenteritis por Parvovirus canino   tipo 2 (PVC-2) </w:t>
      </w:r>
      <w:r>
        <w:rPr>
          <w:spacing w:val="-3"/>
          <w:sz w:val="24"/>
        </w:rPr>
        <w:t>fue </w:t>
      </w:r>
      <w:r>
        <w:rPr>
          <w:sz w:val="24"/>
        </w:rPr>
        <w:t>reportada por primera  </w:t>
      </w:r>
      <w:r>
        <w:rPr>
          <w:spacing w:val="15"/>
          <w:sz w:val="24"/>
        </w:rPr>
        <w:t> </w:t>
      </w:r>
      <w:r>
        <w:rPr>
          <w:sz w:val="24"/>
        </w:rPr>
        <w:t>vez</w:t>
      </w:r>
    </w:p>
    <w:p>
      <w:pPr>
        <w:pStyle w:val="ListParagraph"/>
        <w:numPr>
          <w:ilvl w:val="0"/>
          <w:numId w:val="7"/>
        </w:numPr>
        <w:tabs>
          <w:tab w:pos="692" w:val="left" w:leader="none"/>
          <w:tab w:pos="693" w:val="left" w:leader="none"/>
        </w:tabs>
        <w:spacing w:line="240" w:lineRule="auto" w:before="129" w:after="0"/>
        <w:ind w:left="692" w:right="0" w:hanging="470"/>
        <w:jc w:val="left"/>
        <w:rPr>
          <w:sz w:val="24"/>
        </w:rPr>
      </w:pPr>
      <w:r>
        <w:rPr>
          <w:sz w:val="24"/>
        </w:rPr>
        <w:t>en 1978, estudios realizados sobre </w:t>
      </w:r>
      <w:r>
        <w:rPr>
          <w:spacing w:val="-3"/>
          <w:sz w:val="24"/>
        </w:rPr>
        <w:t>la </w:t>
      </w:r>
      <w:r>
        <w:rPr>
          <w:sz w:val="24"/>
        </w:rPr>
        <w:t>evolución      </w:t>
      </w:r>
      <w:r>
        <w:rPr>
          <w:spacing w:val="8"/>
          <w:sz w:val="24"/>
        </w:rPr>
        <w:t> </w:t>
      </w:r>
      <w:r>
        <w:rPr>
          <w:sz w:val="24"/>
        </w:rPr>
        <w:t>de este virus, estiman que el ancestro de</w:t>
      </w:r>
    </w:p>
    <w:p>
      <w:pPr>
        <w:pStyle w:val="ListParagraph"/>
        <w:numPr>
          <w:ilvl w:val="0"/>
          <w:numId w:val="7"/>
        </w:numPr>
        <w:tabs>
          <w:tab w:pos="692" w:val="left" w:leader="none"/>
          <w:tab w:pos="693" w:val="left" w:leader="none"/>
        </w:tabs>
        <w:spacing w:line="240" w:lineRule="auto" w:before="129" w:after="0"/>
        <w:ind w:left="692" w:right="0" w:hanging="470"/>
        <w:jc w:val="left"/>
        <w:rPr>
          <w:sz w:val="24"/>
        </w:rPr>
      </w:pPr>
      <w:r>
        <w:rPr>
          <w:sz w:val="24"/>
        </w:rPr>
        <w:t>PVC-2 emergió en </w:t>
      </w:r>
      <w:r>
        <w:rPr>
          <w:spacing w:val="-3"/>
          <w:sz w:val="24"/>
        </w:rPr>
        <w:t>la </w:t>
      </w:r>
      <w:r>
        <w:rPr>
          <w:sz w:val="24"/>
        </w:rPr>
        <w:t>población canina 10 años antes de este primer   </w:t>
      </w:r>
      <w:r>
        <w:rPr>
          <w:spacing w:val="9"/>
          <w:sz w:val="24"/>
        </w:rPr>
        <w:t> </w:t>
      </w:r>
      <w:r>
        <w:rPr>
          <w:sz w:val="24"/>
        </w:rPr>
        <w:t>reporte (Shackelton y</w:t>
      </w:r>
    </w:p>
    <w:p>
      <w:pPr>
        <w:pStyle w:val="ListParagraph"/>
        <w:numPr>
          <w:ilvl w:val="0"/>
          <w:numId w:val="7"/>
        </w:numPr>
        <w:tabs>
          <w:tab w:pos="692" w:val="left" w:leader="none"/>
          <w:tab w:pos="693" w:val="left" w:leader="none"/>
        </w:tabs>
        <w:spacing w:line="240" w:lineRule="auto" w:before="134" w:after="0"/>
        <w:ind w:left="692" w:right="0" w:hanging="470"/>
        <w:jc w:val="left"/>
        <w:rPr>
          <w:sz w:val="24"/>
        </w:rPr>
      </w:pPr>
      <w:r>
        <w:rPr>
          <w:sz w:val="24"/>
        </w:rPr>
        <w:t>col 2005). Actualmente, existen diferentes hipótesis sobre el origen del </w:t>
      </w:r>
      <w:r>
        <w:rPr>
          <w:spacing w:val="2"/>
          <w:sz w:val="24"/>
        </w:rPr>
        <w:t>PVC-2, </w:t>
      </w:r>
      <w:r>
        <w:rPr>
          <w:sz w:val="24"/>
        </w:rPr>
        <w:t>se cree </w:t>
      </w:r>
      <w:r>
        <w:rPr>
          <w:spacing w:val="1"/>
          <w:sz w:val="24"/>
        </w:rPr>
        <w:t> </w:t>
      </w:r>
      <w:r>
        <w:rPr>
          <w:sz w:val="24"/>
        </w:rPr>
        <w:t>que</w:t>
      </w:r>
    </w:p>
    <w:p>
      <w:pPr>
        <w:pStyle w:val="ListParagraph"/>
        <w:numPr>
          <w:ilvl w:val="0"/>
          <w:numId w:val="7"/>
        </w:numPr>
        <w:tabs>
          <w:tab w:pos="692" w:val="left" w:leader="none"/>
          <w:tab w:pos="693" w:val="left" w:leader="none"/>
        </w:tabs>
        <w:spacing w:line="240" w:lineRule="auto" w:before="130" w:after="0"/>
        <w:ind w:left="692" w:right="0" w:hanging="470"/>
        <w:jc w:val="left"/>
        <w:rPr>
          <w:sz w:val="24"/>
        </w:rPr>
      </w:pPr>
      <w:r>
        <w:rPr>
          <w:sz w:val="24"/>
        </w:rPr>
        <w:t>este surgió  como  una variante del virus de  </w:t>
      </w:r>
      <w:r>
        <w:rPr>
          <w:spacing w:val="-5"/>
          <w:sz w:val="24"/>
        </w:rPr>
        <w:t>la  </w:t>
      </w:r>
      <w:r>
        <w:rPr>
          <w:sz w:val="24"/>
        </w:rPr>
        <w:t>panleucopenia  felina (VPF)  mediante  </w:t>
      </w:r>
      <w:r>
        <w:rPr>
          <w:spacing w:val="13"/>
          <w:sz w:val="24"/>
        </w:rPr>
        <w:t> </w:t>
      </w:r>
      <w:r>
        <w:rPr>
          <w:sz w:val="24"/>
        </w:rPr>
        <w:t>una</w:t>
      </w:r>
    </w:p>
    <w:p>
      <w:pPr>
        <w:pStyle w:val="ListParagraph"/>
        <w:numPr>
          <w:ilvl w:val="0"/>
          <w:numId w:val="7"/>
        </w:numPr>
        <w:tabs>
          <w:tab w:pos="692" w:val="left" w:leader="none"/>
          <w:tab w:pos="693" w:val="left" w:leader="none"/>
          <w:tab w:pos="6278" w:val="left" w:leader="none"/>
        </w:tabs>
        <w:spacing w:line="240" w:lineRule="auto" w:before="129" w:after="0"/>
        <w:ind w:left="692" w:right="0" w:hanging="470"/>
        <w:jc w:val="left"/>
        <w:rPr>
          <w:sz w:val="24"/>
        </w:rPr>
      </w:pPr>
      <w:r>
        <w:rPr>
          <w:sz w:val="24"/>
        </w:rPr>
        <w:t>mutación  directa  sobre  este,  también, </w:t>
      </w:r>
      <w:r>
        <w:rPr>
          <w:spacing w:val="17"/>
          <w:sz w:val="24"/>
        </w:rPr>
        <w:t> </w:t>
      </w:r>
      <w:r>
        <w:rPr>
          <w:sz w:val="24"/>
        </w:rPr>
        <w:t>una </w:t>
      </w:r>
      <w:r>
        <w:rPr>
          <w:spacing w:val="9"/>
          <w:sz w:val="24"/>
        </w:rPr>
        <w:t> </w:t>
      </w:r>
      <w:r>
        <w:rPr>
          <w:sz w:val="24"/>
        </w:rPr>
        <w:t>mutación</w:t>
        <w:tab/>
        <w:t>sobre  el  virus  de  </w:t>
      </w:r>
      <w:r>
        <w:rPr>
          <w:spacing w:val="-5"/>
          <w:sz w:val="24"/>
        </w:rPr>
        <w:t>la  </w:t>
      </w:r>
      <w:r>
        <w:rPr>
          <w:sz w:val="24"/>
        </w:rPr>
        <w:t>vacuna </w:t>
      </w:r>
      <w:r>
        <w:rPr>
          <w:spacing w:val="56"/>
          <w:sz w:val="24"/>
        </w:rPr>
        <w:t> </w:t>
      </w:r>
      <w:r>
        <w:rPr>
          <w:sz w:val="24"/>
        </w:rPr>
        <w:t>de</w:t>
      </w:r>
    </w:p>
    <w:p>
      <w:pPr>
        <w:pStyle w:val="ListParagraph"/>
        <w:numPr>
          <w:ilvl w:val="0"/>
          <w:numId w:val="7"/>
        </w:numPr>
        <w:tabs>
          <w:tab w:pos="692" w:val="left" w:leader="none"/>
          <w:tab w:pos="693" w:val="left" w:leader="none"/>
        </w:tabs>
        <w:spacing w:line="240" w:lineRule="auto" w:before="129" w:after="0"/>
        <w:ind w:left="692" w:right="0" w:hanging="470"/>
        <w:jc w:val="left"/>
        <w:rPr>
          <w:sz w:val="24"/>
        </w:rPr>
      </w:pPr>
      <w:r>
        <w:rPr>
          <w:sz w:val="24"/>
        </w:rPr>
        <w:t>panleucopenia</w:t>
      </w:r>
      <w:r>
        <w:rPr>
          <w:spacing w:val="41"/>
          <w:sz w:val="24"/>
        </w:rPr>
        <w:t> </w:t>
      </w:r>
      <w:r>
        <w:rPr>
          <w:sz w:val="24"/>
        </w:rPr>
        <w:t>felina,</w:t>
      </w:r>
      <w:r>
        <w:rPr>
          <w:spacing w:val="39"/>
          <w:sz w:val="24"/>
        </w:rPr>
        <w:t> </w:t>
      </w:r>
      <w:r>
        <w:rPr>
          <w:sz w:val="24"/>
        </w:rPr>
        <w:t>permitió</w:t>
      </w:r>
      <w:r>
        <w:rPr>
          <w:spacing w:val="42"/>
          <w:sz w:val="24"/>
        </w:rPr>
        <w:t> </w:t>
      </w:r>
      <w:r>
        <w:rPr>
          <w:sz w:val="24"/>
        </w:rPr>
        <w:t>que</w:t>
      </w:r>
      <w:r>
        <w:rPr>
          <w:spacing w:val="36"/>
          <w:sz w:val="24"/>
        </w:rPr>
        <w:t> </w:t>
      </w:r>
      <w:r>
        <w:rPr>
          <w:sz w:val="24"/>
        </w:rPr>
        <w:t>este</w:t>
      </w:r>
      <w:r>
        <w:rPr>
          <w:spacing w:val="36"/>
          <w:sz w:val="24"/>
        </w:rPr>
        <w:t> </w:t>
      </w:r>
      <w:r>
        <w:rPr>
          <w:sz w:val="24"/>
        </w:rPr>
        <w:t>variante</w:t>
      </w:r>
      <w:r>
        <w:rPr>
          <w:spacing w:val="36"/>
          <w:sz w:val="24"/>
        </w:rPr>
        <w:t> </w:t>
      </w:r>
      <w:r>
        <w:rPr>
          <w:sz w:val="24"/>
        </w:rPr>
        <w:t>pudiera</w:t>
      </w:r>
      <w:r>
        <w:rPr>
          <w:spacing w:val="41"/>
          <w:sz w:val="24"/>
        </w:rPr>
        <w:t> </w:t>
      </w:r>
      <w:r>
        <w:rPr>
          <w:sz w:val="24"/>
        </w:rPr>
        <w:t>infectar</w:t>
      </w:r>
      <w:r>
        <w:rPr>
          <w:spacing w:val="39"/>
          <w:sz w:val="24"/>
        </w:rPr>
        <w:t> </w:t>
      </w:r>
      <w:r>
        <w:rPr>
          <w:sz w:val="24"/>
        </w:rPr>
        <w:t>a</w:t>
      </w:r>
      <w:r>
        <w:rPr>
          <w:spacing w:val="41"/>
          <w:sz w:val="24"/>
        </w:rPr>
        <w:t> </w:t>
      </w:r>
      <w:r>
        <w:rPr>
          <w:sz w:val="24"/>
        </w:rPr>
        <w:t>los</w:t>
      </w:r>
      <w:r>
        <w:rPr>
          <w:spacing w:val="35"/>
          <w:sz w:val="24"/>
        </w:rPr>
        <w:t> </w:t>
      </w:r>
      <w:r>
        <w:rPr>
          <w:sz w:val="24"/>
        </w:rPr>
        <w:t>perros,</w:t>
      </w:r>
      <w:r>
        <w:rPr>
          <w:spacing w:val="39"/>
          <w:sz w:val="24"/>
        </w:rPr>
        <w:t> </w:t>
      </w:r>
      <w:r>
        <w:rPr>
          <w:spacing w:val="-5"/>
          <w:sz w:val="24"/>
        </w:rPr>
        <w:t>la</w:t>
      </w:r>
      <w:r>
        <w:rPr>
          <w:spacing w:val="36"/>
          <w:sz w:val="24"/>
        </w:rPr>
        <w:t> </w:t>
      </w:r>
      <w:r>
        <w:rPr>
          <w:sz w:val="24"/>
        </w:rPr>
        <w:t>tercera</w:t>
      </w:r>
    </w:p>
    <w:p>
      <w:pPr>
        <w:pStyle w:val="ListParagraph"/>
        <w:numPr>
          <w:ilvl w:val="0"/>
          <w:numId w:val="7"/>
        </w:numPr>
        <w:tabs>
          <w:tab w:pos="692" w:val="left" w:leader="none"/>
          <w:tab w:pos="693" w:val="left" w:leader="none"/>
        </w:tabs>
        <w:spacing w:line="240" w:lineRule="auto" w:before="134" w:after="0"/>
        <w:ind w:left="692" w:right="0" w:hanging="470"/>
        <w:jc w:val="left"/>
        <w:rPr>
          <w:sz w:val="24"/>
        </w:rPr>
      </w:pPr>
      <w:r>
        <w:rPr>
          <w:sz w:val="24"/>
        </w:rPr>
        <w:t>hipótesis,</w:t>
      </w:r>
      <w:r>
        <w:rPr>
          <w:spacing w:val="20"/>
          <w:sz w:val="24"/>
        </w:rPr>
        <w:t> </w:t>
      </w:r>
      <w:r>
        <w:rPr>
          <w:sz w:val="24"/>
        </w:rPr>
        <w:t>señala</w:t>
      </w:r>
      <w:r>
        <w:rPr>
          <w:spacing w:val="17"/>
          <w:sz w:val="24"/>
        </w:rPr>
        <w:t> </w:t>
      </w:r>
      <w:r>
        <w:rPr>
          <w:sz w:val="24"/>
        </w:rPr>
        <w:t>que</w:t>
      </w:r>
      <w:r>
        <w:rPr>
          <w:spacing w:val="17"/>
          <w:sz w:val="24"/>
        </w:rPr>
        <w:t> </w:t>
      </w:r>
      <w:r>
        <w:rPr>
          <w:sz w:val="24"/>
        </w:rPr>
        <w:t>el</w:t>
      </w:r>
      <w:r>
        <w:rPr>
          <w:spacing w:val="14"/>
          <w:sz w:val="24"/>
        </w:rPr>
        <w:t> </w:t>
      </w:r>
      <w:r>
        <w:rPr>
          <w:sz w:val="24"/>
        </w:rPr>
        <w:t>virus</w:t>
      </w:r>
      <w:r>
        <w:rPr>
          <w:spacing w:val="16"/>
          <w:sz w:val="24"/>
        </w:rPr>
        <w:t> </w:t>
      </w:r>
      <w:r>
        <w:rPr>
          <w:sz w:val="24"/>
        </w:rPr>
        <w:t>se</w:t>
      </w:r>
      <w:r>
        <w:rPr>
          <w:spacing w:val="17"/>
          <w:sz w:val="24"/>
        </w:rPr>
        <w:t> </w:t>
      </w:r>
      <w:r>
        <w:rPr>
          <w:sz w:val="24"/>
        </w:rPr>
        <w:t>originó</w:t>
      </w:r>
      <w:r>
        <w:rPr>
          <w:spacing w:val="21"/>
          <w:sz w:val="24"/>
        </w:rPr>
        <w:t> </w:t>
      </w:r>
      <w:r>
        <w:rPr>
          <w:sz w:val="24"/>
        </w:rPr>
        <w:t>a</w:t>
      </w:r>
      <w:r>
        <w:rPr>
          <w:spacing w:val="17"/>
          <w:sz w:val="24"/>
        </w:rPr>
        <w:t> </w:t>
      </w:r>
      <w:r>
        <w:rPr>
          <w:sz w:val="24"/>
        </w:rPr>
        <w:t>partir</w:t>
      </w:r>
      <w:r>
        <w:rPr>
          <w:spacing w:val="19"/>
          <w:sz w:val="24"/>
        </w:rPr>
        <w:t> </w:t>
      </w:r>
      <w:r>
        <w:rPr>
          <w:sz w:val="24"/>
        </w:rPr>
        <w:t>de</w:t>
      </w:r>
      <w:r>
        <w:rPr>
          <w:spacing w:val="17"/>
          <w:sz w:val="24"/>
        </w:rPr>
        <w:t> </w:t>
      </w:r>
      <w:r>
        <w:rPr>
          <w:sz w:val="24"/>
        </w:rPr>
        <w:t>un</w:t>
      </w:r>
      <w:r>
        <w:rPr>
          <w:spacing w:val="13"/>
          <w:sz w:val="24"/>
        </w:rPr>
        <w:t> </w:t>
      </w:r>
      <w:r>
        <w:rPr>
          <w:sz w:val="24"/>
        </w:rPr>
        <w:t>ancestro</w:t>
      </w:r>
      <w:r>
        <w:rPr>
          <w:spacing w:val="18"/>
          <w:sz w:val="24"/>
        </w:rPr>
        <w:t> </w:t>
      </w:r>
      <w:r>
        <w:rPr>
          <w:sz w:val="24"/>
        </w:rPr>
        <w:t>viral</w:t>
      </w:r>
      <w:r>
        <w:rPr>
          <w:spacing w:val="14"/>
          <w:sz w:val="24"/>
        </w:rPr>
        <w:t> </w:t>
      </w:r>
      <w:r>
        <w:rPr>
          <w:sz w:val="24"/>
        </w:rPr>
        <w:t>que</w:t>
      </w:r>
      <w:r>
        <w:rPr>
          <w:spacing w:val="17"/>
          <w:sz w:val="24"/>
        </w:rPr>
        <w:t> </w:t>
      </w:r>
      <w:r>
        <w:rPr>
          <w:sz w:val="24"/>
        </w:rPr>
        <w:t>se</w:t>
      </w:r>
      <w:r>
        <w:rPr>
          <w:spacing w:val="27"/>
          <w:sz w:val="24"/>
        </w:rPr>
        <w:t> </w:t>
      </w:r>
      <w:r>
        <w:rPr>
          <w:sz w:val="24"/>
        </w:rPr>
        <w:t>encontraba</w:t>
      </w:r>
      <w:r>
        <w:rPr>
          <w:spacing w:val="17"/>
          <w:sz w:val="24"/>
        </w:rPr>
        <w:t> </w:t>
      </w:r>
      <w:r>
        <w:rPr>
          <w:sz w:val="24"/>
        </w:rPr>
        <w:t>en</w:t>
      </w:r>
    </w:p>
    <w:p>
      <w:pPr>
        <w:pStyle w:val="ListParagraph"/>
        <w:numPr>
          <w:ilvl w:val="0"/>
          <w:numId w:val="7"/>
        </w:numPr>
        <w:tabs>
          <w:tab w:pos="692" w:val="left" w:leader="none"/>
          <w:tab w:pos="693" w:val="left" w:leader="none"/>
        </w:tabs>
        <w:spacing w:line="240" w:lineRule="auto" w:before="130" w:after="0"/>
        <w:ind w:left="692" w:right="0" w:hanging="581"/>
        <w:jc w:val="left"/>
        <w:rPr>
          <w:sz w:val="24"/>
        </w:rPr>
      </w:pPr>
      <w:r>
        <w:rPr>
          <w:sz w:val="24"/>
        </w:rPr>
        <w:t>carnívoros   silvestres   (Truyen   1999).   Durante   los   últimos   años   PVC-2   </w:t>
      </w:r>
      <w:r>
        <w:rPr>
          <w:spacing w:val="-3"/>
          <w:sz w:val="24"/>
        </w:rPr>
        <w:t>ha</w:t>
      </w:r>
      <w:r>
        <w:rPr>
          <w:spacing w:val="47"/>
          <w:sz w:val="24"/>
        </w:rPr>
        <w:t> </w:t>
      </w:r>
      <w:r>
        <w:rPr>
          <w:sz w:val="24"/>
        </w:rPr>
        <w:t>sufrido</w:t>
      </w:r>
    </w:p>
    <w:p>
      <w:pPr>
        <w:pStyle w:val="ListParagraph"/>
        <w:numPr>
          <w:ilvl w:val="0"/>
          <w:numId w:val="7"/>
        </w:numPr>
        <w:tabs>
          <w:tab w:pos="692" w:val="left" w:leader="none"/>
          <w:tab w:pos="693" w:val="left" w:leader="none"/>
          <w:tab w:pos="2039" w:val="left" w:leader="none"/>
        </w:tabs>
        <w:spacing w:line="240" w:lineRule="auto" w:before="129" w:after="0"/>
        <w:ind w:left="692" w:right="0" w:hanging="581"/>
        <w:jc w:val="left"/>
        <w:rPr>
          <w:sz w:val="24"/>
        </w:rPr>
      </w:pPr>
      <w:r>
        <w:rPr>
          <w:sz w:val="24"/>
        </w:rPr>
        <w:t>alteraciones</w:t>
        <w:tab/>
        <w:t>genéticas y ha desarrollado  nuevas variantes antigénicas. </w:t>
      </w:r>
      <w:r>
        <w:rPr>
          <w:spacing w:val="3"/>
          <w:sz w:val="24"/>
        </w:rPr>
        <w:t>En </w:t>
      </w:r>
      <w:r>
        <w:rPr>
          <w:sz w:val="24"/>
        </w:rPr>
        <w:t>1980  </w:t>
      </w:r>
      <w:r>
        <w:rPr>
          <w:spacing w:val="-3"/>
          <w:sz w:val="24"/>
        </w:rPr>
        <w:t>la    </w:t>
      </w:r>
      <w:r>
        <w:rPr>
          <w:spacing w:val="43"/>
          <w:sz w:val="24"/>
        </w:rPr>
        <w:t> </w:t>
      </w:r>
      <w:r>
        <w:rPr>
          <w:sz w:val="24"/>
        </w:rPr>
        <w:t>cepa</w:t>
      </w:r>
    </w:p>
    <w:p>
      <w:pPr>
        <w:pStyle w:val="ListParagraph"/>
        <w:numPr>
          <w:ilvl w:val="0"/>
          <w:numId w:val="7"/>
        </w:numPr>
        <w:tabs>
          <w:tab w:pos="692" w:val="left" w:leader="none"/>
          <w:tab w:pos="693" w:val="left" w:leader="none"/>
        </w:tabs>
        <w:spacing w:line="240" w:lineRule="auto" w:before="129" w:after="0"/>
        <w:ind w:left="692" w:right="0" w:hanging="581"/>
        <w:jc w:val="left"/>
        <w:rPr>
          <w:sz w:val="24"/>
        </w:rPr>
      </w:pPr>
      <w:r>
        <w:rPr>
          <w:sz w:val="24"/>
        </w:rPr>
        <w:t>original de PVC -2 evolucionó  hacia el tipo  2a (CPV-2a) en 1984 apareció  otra   </w:t>
      </w:r>
      <w:r>
        <w:rPr>
          <w:spacing w:val="26"/>
          <w:sz w:val="24"/>
        </w:rPr>
        <w:t> </w:t>
      </w:r>
      <w:r>
        <w:rPr>
          <w:sz w:val="24"/>
        </w:rPr>
        <w:t>variante</w:t>
      </w:r>
    </w:p>
    <w:p>
      <w:pPr>
        <w:pStyle w:val="ListParagraph"/>
        <w:numPr>
          <w:ilvl w:val="0"/>
          <w:numId w:val="7"/>
        </w:numPr>
        <w:tabs>
          <w:tab w:pos="692" w:val="left" w:leader="none"/>
          <w:tab w:pos="693" w:val="left" w:leader="none"/>
        </w:tabs>
        <w:spacing w:line="240" w:lineRule="auto" w:before="129" w:after="0"/>
        <w:ind w:left="692" w:right="0" w:hanging="581"/>
        <w:jc w:val="left"/>
        <w:rPr>
          <w:sz w:val="24"/>
        </w:rPr>
      </w:pPr>
      <w:r>
        <w:rPr>
          <w:sz w:val="24"/>
        </w:rPr>
        <w:t>designada  tipo  2b  (PVC-2b)  ambas  identificadas  mediante  anticuerpos   </w:t>
      </w:r>
      <w:r>
        <w:rPr>
          <w:spacing w:val="38"/>
          <w:sz w:val="24"/>
        </w:rPr>
        <w:t> </w:t>
      </w:r>
      <w:r>
        <w:rPr>
          <w:sz w:val="24"/>
        </w:rPr>
        <w:t>monoclonales</w:t>
      </w:r>
    </w:p>
    <w:p>
      <w:pPr>
        <w:pStyle w:val="ListParagraph"/>
        <w:numPr>
          <w:ilvl w:val="0"/>
          <w:numId w:val="7"/>
        </w:numPr>
        <w:tabs>
          <w:tab w:pos="692" w:val="left" w:leader="none"/>
          <w:tab w:pos="693" w:val="left" w:leader="none"/>
        </w:tabs>
        <w:spacing w:line="240" w:lineRule="auto" w:before="135" w:after="0"/>
        <w:ind w:left="692" w:right="0" w:hanging="581"/>
        <w:jc w:val="left"/>
        <w:rPr>
          <w:sz w:val="24"/>
        </w:rPr>
      </w:pPr>
      <w:r>
        <w:rPr>
          <w:sz w:val="24"/>
        </w:rPr>
        <w:t>(Truyen 2006). En Italia en el año 2001 </w:t>
      </w:r>
      <w:r>
        <w:rPr>
          <w:spacing w:val="-3"/>
          <w:sz w:val="24"/>
        </w:rPr>
        <w:t>fue </w:t>
      </w:r>
      <w:r>
        <w:rPr>
          <w:sz w:val="24"/>
        </w:rPr>
        <w:t>detectada una nueva variante antigénica, PVC</w:t>
      </w:r>
      <w:r>
        <w:rPr>
          <w:spacing w:val="44"/>
          <w:sz w:val="24"/>
        </w:rPr>
        <w:t> </w:t>
      </w:r>
      <w:r>
        <w:rPr>
          <w:sz w:val="24"/>
        </w:rPr>
        <w:t>-</w:t>
      </w:r>
    </w:p>
    <w:p>
      <w:pPr>
        <w:pStyle w:val="ListParagraph"/>
        <w:numPr>
          <w:ilvl w:val="0"/>
          <w:numId w:val="7"/>
        </w:numPr>
        <w:tabs>
          <w:tab w:pos="692" w:val="left" w:leader="none"/>
          <w:tab w:pos="693" w:val="left" w:leader="none"/>
        </w:tabs>
        <w:spacing w:line="240" w:lineRule="auto" w:before="129" w:after="0"/>
        <w:ind w:left="692" w:right="0" w:hanging="581"/>
        <w:jc w:val="left"/>
        <w:rPr>
          <w:sz w:val="24"/>
        </w:rPr>
      </w:pPr>
      <w:r>
        <w:rPr>
          <w:sz w:val="24"/>
        </w:rPr>
        <w:t>2c que </w:t>
      </w:r>
      <w:r>
        <w:rPr>
          <w:spacing w:val="-3"/>
          <w:sz w:val="24"/>
        </w:rPr>
        <w:t>ya ha </w:t>
      </w:r>
      <w:r>
        <w:rPr>
          <w:sz w:val="24"/>
        </w:rPr>
        <w:t>sido identificada en otros países europeos así como en Asia, África y </w:t>
      </w:r>
      <w:r>
        <w:rPr>
          <w:spacing w:val="1"/>
          <w:sz w:val="24"/>
        </w:rPr>
        <w:t> </w:t>
      </w:r>
      <w:r>
        <w:rPr>
          <w:sz w:val="24"/>
        </w:rPr>
        <w:t>América</w:t>
      </w:r>
    </w:p>
    <w:p>
      <w:pPr>
        <w:pStyle w:val="ListParagraph"/>
        <w:numPr>
          <w:ilvl w:val="0"/>
          <w:numId w:val="7"/>
        </w:numPr>
        <w:tabs>
          <w:tab w:pos="692" w:val="left" w:leader="none"/>
          <w:tab w:pos="693" w:val="left" w:leader="none"/>
        </w:tabs>
        <w:spacing w:line="240" w:lineRule="auto" w:before="129" w:after="0"/>
        <w:ind w:left="692" w:right="0" w:hanging="581"/>
        <w:jc w:val="left"/>
        <w:rPr>
          <w:sz w:val="24"/>
        </w:rPr>
      </w:pPr>
      <w:r>
        <w:rPr>
          <w:sz w:val="24"/>
        </w:rPr>
        <w:t>(Buonavoglia y </w:t>
      </w:r>
      <w:r>
        <w:rPr>
          <w:spacing w:val="2"/>
          <w:sz w:val="24"/>
        </w:rPr>
        <w:t>col </w:t>
      </w:r>
      <w:r>
        <w:rPr>
          <w:sz w:val="24"/>
        </w:rPr>
        <w:t>2001, </w:t>
      </w:r>
      <w:r>
        <w:rPr>
          <w:spacing w:val="-3"/>
          <w:sz w:val="24"/>
        </w:rPr>
        <w:t>Gallo </w:t>
      </w:r>
      <w:r>
        <w:rPr>
          <w:sz w:val="24"/>
        </w:rPr>
        <w:t>y </w:t>
      </w:r>
      <w:r>
        <w:rPr>
          <w:spacing w:val="2"/>
          <w:sz w:val="24"/>
        </w:rPr>
        <w:t>col </w:t>
      </w:r>
      <w:r>
        <w:rPr>
          <w:sz w:val="24"/>
        </w:rPr>
        <w:t>2009; Gallo y </w:t>
      </w:r>
      <w:r>
        <w:rPr>
          <w:spacing w:val="2"/>
          <w:sz w:val="24"/>
        </w:rPr>
        <w:t>col</w:t>
      </w:r>
      <w:r>
        <w:rPr>
          <w:spacing w:val="-18"/>
          <w:sz w:val="24"/>
        </w:rPr>
        <w:t> </w:t>
      </w:r>
      <w:r>
        <w:rPr>
          <w:sz w:val="24"/>
        </w:rPr>
        <w:t>2011).</w:t>
      </w:r>
    </w:p>
    <w:p>
      <w:pPr>
        <w:pStyle w:val="BodyText"/>
        <w:rPr>
          <w:rFonts w:ascii="Times New Roman"/>
          <w:sz w:val="14"/>
        </w:rPr>
      </w:pPr>
    </w:p>
    <w:p>
      <w:pPr>
        <w:pStyle w:val="ListParagraph"/>
        <w:numPr>
          <w:ilvl w:val="0"/>
          <w:numId w:val="7"/>
        </w:numPr>
        <w:tabs>
          <w:tab w:pos="990" w:val="left" w:leader="none"/>
          <w:tab w:pos="991" w:val="left" w:leader="none"/>
        </w:tabs>
        <w:spacing w:line="240" w:lineRule="auto" w:before="69" w:after="0"/>
        <w:ind w:left="990" w:right="0" w:hanging="879"/>
        <w:jc w:val="left"/>
        <w:rPr>
          <w:sz w:val="24"/>
        </w:rPr>
      </w:pPr>
      <w:r>
        <w:rPr>
          <w:sz w:val="24"/>
        </w:rPr>
        <w:t>A pesar de </w:t>
      </w:r>
      <w:r>
        <w:rPr>
          <w:spacing w:val="-3"/>
          <w:sz w:val="24"/>
        </w:rPr>
        <w:t>la </w:t>
      </w:r>
      <w:r>
        <w:rPr>
          <w:sz w:val="24"/>
        </w:rPr>
        <w:t>existencia de estas tres variantes antigénicas, actualmente se reconoce </w:t>
      </w:r>
      <w:r>
        <w:rPr>
          <w:spacing w:val="14"/>
          <w:sz w:val="24"/>
        </w:rPr>
        <w:t> </w:t>
      </w:r>
      <w:r>
        <w:rPr>
          <w:sz w:val="24"/>
        </w:rPr>
        <w:t>que</w:t>
      </w:r>
    </w:p>
    <w:p>
      <w:pPr>
        <w:pStyle w:val="ListParagraph"/>
        <w:numPr>
          <w:ilvl w:val="0"/>
          <w:numId w:val="7"/>
        </w:numPr>
        <w:tabs>
          <w:tab w:pos="692" w:val="left" w:leader="none"/>
          <w:tab w:pos="693" w:val="left" w:leader="none"/>
        </w:tabs>
        <w:spacing w:line="240" w:lineRule="auto" w:before="135" w:after="0"/>
        <w:ind w:left="692" w:right="0" w:hanging="581"/>
        <w:jc w:val="left"/>
        <w:rPr>
          <w:sz w:val="24"/>
        </w:rPr>
      </w:pPr>
      <w:r>
        <w:rPr>
          <w:spacing w:val="-3"/>
          <w:sz w:val="24"/>
        </w:rPr>
        <w:t>solo </w:t>
      </w:r>
      <w:r>
        <w:rPr>
          <w:sz w:val="24"/>
        </w:rPr>
        <w:t>existe un serotipo de parvovirus canino y las diferencias generadas por estas  </w:t>
      </w:r>
      <w:r>
        <w:rPr>
          <w:spacing w:val="7"/>
          <w:sz w:val="24"/>
        </w:rPr>
        <w:t> </w:t>
      </w:r>
      <w:r>
        <w:rPr>
          <w:sz w:val="24"/>
        </w:rPr>
        <w:t>variantes</w:t>
      </w:r>
    </w:p>
    <w:p>
      <w:pPr>
        <w:pStyle w:val="ListParagraph"/>
        <w:numPr>
          <w:ilvl w:val="0"/>
          <w:numId w:val="7"/>
        </w:numPr>
        <w:tabs>
          <w:tab w:pos="692" w:val="left" w:leader="none"/>
          <w:tab w:pos="693" w:val="left" w:leader="none"/>
          <w:tab w:pos="1191" w:val="left" w:leader="none"/>
        </w:tabs>
        <w:spacing w:line="240" w:lineRule="auto" w:before="129" w:after="0"/>
        <w:ind w:left="692" w:right="0" w:hanging="581"/>
        <w:jc w:val="left"/>
        <w:rPr>
          <w:sz w:val="24"/>
        </w:rPr>
      </w:pPr>
      <w:r>
        <w:rPr>
          <w:sz w:val="24"/>
        </w:rPr>
        <w:t>en</w:t>
        <w:tab/>
        <w:t>los  hallazgos  clínicos  y  en  </w:t>
      </w:r>
      <w:r>
        <w:rPr>
          <w:spacing w:val="-3"/>
          <w:sz w:val="24"/>
        </w:rPr>
        <w:t>la  </w:t>
      </w:r>
      <w:r>
        <w:rPr>
          <w:sz w:val="24"/>
        </w:rPr>
        <w:t>patogenicidad  son  causa  de  controversia;   </w:t>
      </w:r>
      <w:r>
        <w:rPr>
          <w:spacing w:val="35"/>
          <w:sz w:val="24"/>
        </w:rPr>
        <w:t> </w:t>
      </w:r>
      <w:r>
        <w:rPr>
          <w:sz w:val="24"/>
        </w:rPr>
        <w:t>cuando</w:t>
      </w:r>
    </w:p>
    <w:p>
      <w:pPr>
        <w:pStyle w:val="ListParagraph"/>
        <w:numPr>
          <w:ilvl w:val="0"/>
          <w:numId w:val="7"/>
        </w:numPr>
        <w:tabs>
          <w:tab w:pos="692" w:val="left" w:leader="none"/>
          <w:tab w:pos="693" w:val="left" w:leader="none"/>
        </w:tabs>
        <w:spacing w:line="240" w:lineRule="auto" w:before="129" w:after="0"/>
        <w:ind w:left="692" w:right="0" w:hanging="581"/>
        <w:jc w:val="left"/>
        <w:rPr>
          <w:sz w:val="24"/>
        </w:rPr>
      </w:pPr>
      <w:r>
        <w:rPr>
          <w:sz w:val="24"/>
        </w:rPr>
        <w:t>recientemente aparecieron </w:t>
      </w:r>
      <w:r>
        <w:rPr>
          <w:spacing w:val="-3"/>
          <w:sz w:val="24"/>
        </w:rPr>
        <w:t>las </w:t>
      </w:r>
      <w:r>
        <w:rPr>
          <w:sz w:val="24"/>
        </w:rPr>
        <w:t>variantes PVC-2a y PVC-2b, se asociaron a cuadros </w:t>
      </w:r>
      <w:r>
        <w:rPr>
          <w:spacing w:val="32"/>
          <w:sz w:val="24"/>
        </w:rPr>
        <w:t> </w:t>
      </w:r>
      <w:r>
        <w:rPr>
          <w:sz w:val="24"/>
        </w:rPr>
        <w:t>clínicos</w:t>
      </w:r>
    </w:p>
    <w:p>
      <w:pPr>
        <w:pStyle w:val="ListParagraph"/>
        <w:numPr>
          <w:ilvl w:val="0"/>
          <w:numId w:val="7"/>
        </w:numPr>
        <w:tabs>
          <w:tab w:pos="692" w:val="left" w:leader="none"/>
          <w:tab w:pos="693" w:val="left" w:leader="none"/>
        </w:tabs>
        <w:spacing w:line="240" w:lineRule="auto" w:before="129" w:after="0"/>
        <w:ind w:left="692" w:right="0" w:hanging="581"/>
        <w:jc w:val="left"/>
        <w:rPr>
          <w:sz w:val="24"/>
        </w:rPr>
      </w:pPr>
      <w:r>
        <w:rPr>
          <w:sz w:val="24"/>
        </w:rPr>
        <w:t>severos de diarrea hemorrágica, shock y muerte en los pacientes infectados,</w:t>
      </w:r>
      <w:r>
        <w:rPr>
          <w:spacing w:val="38"/>
          <w:sz w:val="24"/>
        </w:rPr>
        <w:t> </w:t>
      </w:r>
      <w:r>
        <w:rPr>
          <w:sz w:val="24"/>
        </w:rPr>
        <w:t>principalmente</w:t>
      </w:r>
    </w:p>
    <w:p>
      <w:pPr>
        <w:pStyle w:val="ListParagraph"/>
        <w:numPr>
          <w:ilvl w:val="0"/>
          <w:numId w:val="7"/>
        </w:numPr>
        <w:tabs>
          <w:tab w:pos="692" w:val="left" w:leader="none"/>
          <w:tab w:pos="693" w:val="left" w:leader="none"/>
        </w:tabs>
        <w:spacing w:line="240" w:lineRule="auto" w:before="135" w:after="0"/>
        <w:ind w:left="692" w:right="0" w:hanging="581"/>
        <w:jc w:val="left"/>
        <w:rPr>
          <w:sz w:val="24"/>
        </w:rPr>
      </w:pPr>
      <w:r>
        <w:rPr>
          <w:sz w:val="24"/>
        </w:rPr>
        <w:t>cachorros, mientras que a PVC-2c     </w:t>
      </w:r>
      <w:r>
        <w:rPr>
          <w:spacing w:val="54"/>
          <w:sz w:val="24"/>
        </w:rPr>
        <w:t> </w:t>
      </w:r>
      <w:r>
        <w:rPr>
          <w:sz w:val="24"/>
        </w:rPr>
        <w:t>se </w:t>
      </w:r>
      <w:r>
        <w:rPr>
          <w:spacing w:val="-3"/>
          <w:sz w:val="24"/>
        </w:rPr>
        <w:t>le </w:t>
      </w:r>
      <w:r>
        <w:rPr>
          <w:sz w:val="24"/>
        </w:rPr>
        <w:t>ha señalado </w:t>
      </w:r>
      <w:r>
        <w:rPr>
          <w:spacing w:val="-3"/>
          <w:sz w:val="24"/>
        </w:rPr>
        <w:t>como  </w:t>
      </w:r>
      <w:r>
        <w:rPr>
          <w:sz w:val="24"/>
        </w:rPr>
        <w:t>una variante que actualmente</w:t>
      </w:r>
    </w:p>
    <w:p>
      <w:pPr>
        <w:pStyle w:val="ListParagraph"/>
        <w:numPr>
          <w:ilvl w:val="0"/>
          <w:numId w:val="7"/>
        </w:numPr>
        <w:tabs>
          <w:tab w:pos="692" w:val="left" w:leader="none"/>
          <w:tab w:pos="693" w:val="left" w:leader="none"/>
        </w:tabs>
        <w:spacing w:line="240" w:lineRule="auto" w:before="129" w:after="0"/>
        <w:ind w:left="692" w:right="0" w:hanging="581"/>
        <w:jc w:val="left"/>
        <w:rPr>
          <w:sz w:val="24"/>
        </w:rPr>
      </w:pPr>
      <w:r>
        <w:rPr>
          <w:sz w:val="24"/>
        </w:rPr>
        <w:t>genera altas tasas de mortalidad y   existen reportes de infección en perros tanto  </w:t>
      </w:r>
      <w:r>
        <w:rPr>
          <w:spacing w:val="45"/>
          <w:sz w:val="24"/>
        </w:rPr>
        <w:t> </w:t>
      </w:r>
      <w:r>
        <w:rPr>
          <w:sz w:val="24"/>
        </w:rPr>
        <w:t>cachorros</w:t>
      </w:r>
    </w:p>
    <w:p>
      <w:pPr>
        <w:pStyle w:val="ListParagraph"/>
        <w:numPr>
          <w:ilvl w:val="0"/>
          <w:numId w:val="7"/>
        </w:numPr>
        <w:tabs>
          <w:tab w:pos="692" w:val="left" w:leader="none"/>
          <w:tab w:pos="693" w:val="left" w:leader="none"/>
        </w:tabs>
        <w:spacing w:line="240" w:lineRule="auto" w:before="129" w:after="0"/>
        <w:ind w:left="692" w:right="0" w:hanging="581"/>
        <w:jc w:val="left"/>
        <w:rPr>
          <w:sz w:val="24"/>
        </w:rPr>
      </w:pPr>
      <w:r>
        <w:rPr>
          <w:sz w:val="24"/>
        </w:rPr>
        <w:t>como adultos, hembras gestantes  y  pacientes regularmente vacunados (Decaro y </w:t>
      </w:r>
      <w:r>
        <w:rPr>
          <w:spacing w:val="2"/>
          <w:sz w:val="24"/>
        </w:rPr>
        <w:t>col</w:t>
      </w:r>
      <w:r>
        <w:rPr>
          <w:spacing w:val="23"/>
          <w:sz w:val="24"/>
        </w:rPr>
        <w:t> </w:t>
      </w:r>
      <w:r>
        <w:rPr>
          <w:sz w:val="24"/>
        </w:rPr>
        <w:t>2005,</w:t>
      </w:r>
    </w:p>
    <w:p>
      <w:pPr>
        <w:pStyle w:val="ListParagraph"/>
        <w:numPr>
          <w:ilvl w:val="0"/>
          <w:numId w:val="7"/>
        </w:numPr>
        <w:tabs>
          <w:tab w:pos="692" w:val="left" w:leader="none"/>
          <w:tab w:pos="693" w:val="left" w:leader="none"/>
        </w:tabs>
        <w:spacing w:line="240" w:lineRule="auto" w:before="129" w:after="0"/>
        <w:ind w:left="692" w:right="0" w:hanging="581"/>
        <w:jc w:val="left"/>
        <w:rPr>
          <w:sz w:val="24"/>
        </w:rPr>
      </w:pPr>
      <w:r>
        <w:rPr>
          <w:sz w:val="24"/>
        </w:rPr>
        <w:t>Decaro  y </w:t>
      </w:r>
      <w:r>
        <w:rPr>
          <w:spacing w:val="2"/>
          <w:sz w:val="24"/>
        </w:rPr>
        <w:t>col </w:t>
      </w:r>
      <w:r>
        <w:rPr>
          <w:sz w:val="24"/>
        </w:rPr>
        <w:t>2008,  Buonavoglia  y </w:t>
      </w:r>
      <w:r>
        <w:rPr>
          <w:spacing w:val="2"/>
          <w:sz w:val="24"/>
        </w:rPr>
        <w:t>col </w:t>
      </w:r>
      <w:r>
        <w:rPr>
          <w:sz w:val="24"/>
        </w:rPr>
        <w:t>2001).  Sin embargo,   en ensayos  realizados </w:t>
      </w:r>
      <w:r>
        <w:rPr>
          <w:spacing w:val="27"/>
          <w:sz w:val="24"/>
        </w:rPr>
        <w:t> </w:t>
      </w:r>
      <w:r>
        <w:rPr>
          <w:sz w:val="24"/>
        </w:rPr>
        <w:t>para</w:t>
      </w:r>
    </w:p>
    <w:p>
      <w:pPr>
        <w:pStyle w:val="ListParagraph"/>
        <w:numPr>
          <w:ilvl w:val="0"/>
          <w:numId w:val="7"/>
        </w:numPr>
        <w:tabs>
          <w:tab w:pos="692" w:val="left" w:leader="none"/>
          <w:tab w:pos="693" w:val="left" w:leader="none"/>
        </w:tabs>
        <w:spacing w:line="240" w:lineRule="auto" w:before="130" w:after="0"/>
        <w:ind w:left="692" w:right="0" w:hanging="581"/>
        <w:jc w:val="left"/>
        <w:rPr>
          <w:sz w:val="24"/>
        </w:rPr>
      </w:pPr>
      <w:r>
        <w:rPr>
          <w:sz w:val="24"/>
        </w:rPr>
        <w:t>evaluar </w:t>
      </w:r>
      <w:r>
        <w:rPr>
          <w:spacing w:val="-3"/>
          <w:sz w:val="24"/>
        </w:rPr>
        <w:t>la </w:t>
      </w:r>
      <w:r>
        <w:rPr>
          <w:sz w:val="24"/>
        </w:rPr>
        <w:t>capacidad de replicación del virus se </w:t>
      </w:r>
      <w:r>
        <w:rPr>
          <w:spacing w:val="-3"/>
          <w:sz w:val="24"/>
        </w:rPr>
        <w:t>ha </w:t>
      </w:r>
      <w:r>
        <w:rPr>
          <w:sz w:val="24"/>
        </w:rPr>
        <w:t>observado que PVC 2a, 2b y 2c tienen</w:t>
      </w:r>
      <w:r>
        <w:rPr>
          <w:spacing w:val="43"/>
          <w:sz w:val="24"/>
        </w:rPr>
        <w:t> </w:t>
      </w:r>
      <w:r>
        <w:rPr>
          <w:sz w:val="24"/>
        </w:rPr>
        <w:t>el</w:t>
      </w:r>
    </w:p>
    <w:p>
      <w:pPr>
        <w:pStyle w:val="ListParagraph"/>
        <w:numPr>
          <w:ilvl w:val="0"/>
          <w:numId w:val="7"/>
        </w:numPr>
        <w:tabs>
          <w:tab w:pos="692" w:val="left" w:leader="none"/>
          <w:tab w:pos="693" w:val="left" w:leader="none"/>
        </w:tabs>
        <w:spacing w:line="240" w:lineRule="auto" w:before="134" w:after="0"/>
        <w:ind w:left="692" w:right="0" w:hanging="581"/>
        <w:jc w:val="left"/>
        <w:rPr>
          <w:sz w:val="24"/>
        </w:rPr>
      </w:pPr>
      <w:r>
        <w:rPr>
          <w:spacing w:val="-3"/>
          <w:sz w:val="24"/>
        </w:rPr>
        <w:t>mismo </w:t>
      </w:r>
      <w:r>
        <w:rPr>
          <w:sz w:val="24"/>
        </w:rPr>
        <w:t>comportamiento biológico que el ancestro PVC-2 (Decaro y </w:t>
      </w:r>
      <w:r>
        <w:rPr>
          <w:spacing w:val="2"/>
          <w:sz w:val="24"/>
        </w:rPr>
        <w:t>col </w:t>
      </w:r>
      <w:r>
        <w:rPr>
          <w:sz w:val="24"/>
        </w:rPr>
        <w:t>2007). Por </w:t>
      </w:r>
      <w:r>
        <w:rPr>
          <w:spacing w:val="-5"/>
          <w:sz w:val="24"/>
        </w:rPr>
        <w:t>lo  </w:t>
      </w:r>
      <w:r>
        <w:rPr>
          <w:spacing w:val="12"/>
          <w:sz w:val="24"/>
        </w:rPr>
        <w:t> </w:t>
      </w:r>
      <w:r>
        <w:rPr>
          <w:sz w:val="24"/>
        </w:rPr>
        <w:t>tanto</w:t>
      </w:r>
    </w:p>
    <w:p>
      <w:pPr>
        <w:pStyle w:val="ListParagraph"/>
        <w:numPr>
          <w:ilvl w:val="0"/>
          <w:numId w:val="7"/>
        </w:numPr>
        <w:tabs>
          <w:tab w:pos="692" w:val="left" w:leader="none"/>
          <w:tab w:pos="693" w:val="left" w:leader="none"/>
        </w:tabs>
        <w:spacing w:line="240" w:lineRule="auto" w:before="129" w:after="0"/>
        <w:ind w:left="692" w:right="0" w:hanging="581"/>
        <w:jc w:val="left"/>
        <w:rPr>
          <w:sz w:val="24"/>
        </w:rPr>
      </w:pPr>
      <w:r>
        <w:rPr>
          <w:spacing w:val="-3"/>
          <w:sz w:val="24"/>
        </w:rPr>
        <w:t>no </w:t>
      </w:r>
      <w:r>
        <w:rPr>
          <w:sz w:val="24"/>
        </w:rPr>
        <w:t>se </w:t>
      </w:r>
      <w:r>
        <w:rPr>
          <w:spacing w:val="-3"/>
          <w:sz w:val="24"/>
        </w:rPr>
        <w:t>ha </w:t>
      </w:r>
      <w:r>
        <w:rPr>
          <w:sz w:val="24"/>
        </w:rPr>
        <w:t>demostrado si las variantes antigénicas de este virus pueden o </w:t>
      </w:r>
      <w:r>
        <w:rPr>
          <w:spacing w:val="-3"/>
          <w:sz w:val="24"/>
        </w:rPr>
        <w:t>no </w:t>
      </w:r>
      <w:r>
        <w:rPr>
          <w:sz w:val="24"/>
        </w:rPr>
        <w:t>generar  </w:t>
      </w:r>
      <w:r>
        <w:rPr>
          <w:spacing w:val="51"/>
          <w:sz w:val="24"/>
        </w:rPr>
        <w:t> </w:t>
      </w:r>
      <w:r>
        <w:rPr>
          <w:sz w:val="24"/>
        </w:rPr>
        <w:t>cuadros</w:t>
      </w:r>
    </w:p>
    <w:p>
      <w:pPr>
        <w:spacing w:after="0" w:line="240" w:lineRule="auto"/>
        <w:jc w:val="left"/>
        <w:rPr>
          <w:sz w:val="24"/>
        </w:rPr>
        <w:sectPr>
          <w:footerReference w:type="default" r:id="rId21"/>
          <w:pgSz w:w="12240" w:h="15840"/>
          <w:pgMar w:footer="1713" w:header="1154" w:top="1520" w:bottom="1900" w:left="1180" w:right="1380"/>
        </w:sectPr>
      </w:pPr>
    </w:p>
    <w:p>
      <w:pPr>
        <w:pStyle w:val="BodyText"/>
        <w:spacing w:before="10"/>
        <w:rPr>
          <w:rFonts w:ascii="Times New Roman"/>
          <w:sz w:val="17"/>
        </w:rPr>
      </w:pPr>
    </w:p>
    <w:p>
      <w:pPr>
        <w:pStyle w:val="ListParagraph"/>
        <w:numPr>
          <w:ilvl w:val="0"/>
          <w:numId w:val="8"/>
        </w:numPr>
        <w:tabs>
          <w:tab w:pos="692" w:val="left" w:leader="none"/>
          <w:tab w:pos="693" w:val="left" w:leader="none"/>
        </w:tabs>
        <w:spacing w:line="240" w:lineRule="auto" w:before="69" w:after="0"/>
        <w:ind w:left="692" w:right="0" w:hanging="470"/>
        <w:jc w:val="left"/>
        <w:rPr>
          <w:sz w:val="24"/>
        </w:rPr>
      </w:pPr>
      <w:r>
        <w:rPr>
          <w:sz w:val="24"/>
        </w:rPr>
        <w:t>clínicos específicos, Por esta razón, actualmente, los clínicos veterinarios </w:t>
      </w:r>
      <w:r>
        <w:rPr>
          <w:spacing w:val="-3"/>
          <w:sz w:val="24"/>
        </w:rPr>
        <w:t>no </w:t>
      </w:r>
      <w:r>
        <w:rPr>
          <w:sz w:val="24"/>
        </w:rPr>
        <w:t>pueden </w:t>
      </w:r>
      <w:r>
        <w:rPr>
          <w:spacing w:val="20"/>
          <w:sz w:val="24"/>
        </w:rPr>
        <w:t> </w:t>
      </w:r>
      <w:r>
        <w:rPr>
          <w:sz w:val="24"/>
        </w:rPr>
        <w:t>emitir</w:t>
      </w:r>
    </w:p>
    <w:p>
      <w:pPr>
        <w:pStyle w:val="ListParagraph"/>
        <w:numPr>
          <w:ilvl w:val="0"/>
          <w:numId w:val="8"/>
        </w:numPr>
        <w:tabs>
          <w:tab w:pos="692" w:val="left" w:leader="none"/>
          <w:tab w:pos="693" w:val="left" w:leader="none"/>
        </w:tabs>
        <w:spacing w:line="240" w:lineRule="auto" w:before="129" w:after="0"/>
        <w:ind w:left="692" w:right="0" w:hanging="470"/>
        <w:jc w:val="left"/>
        <w:rPr>
          <w:sz w:val="24"/>
        </w:rPr>
      </w:pPr>
      <w:r>
        <w:rPr>
          <w:sz w:val="24"/>
        </w:rPr>
        <w:t>un diagnóstico  preciso, que  </w:t>
      </w:r>
      <w:r>
        <w:rPr>
          <w:spacing w:val="-4"/>
          <w:sz w:val="24"/>
        </w:rPr>
        <w:t>les  </w:t>
      </w:r>
      <w:r>
        <w:rPr>
          <w:sz w:val="24"/>
        </w:rPr>
        <w:t>permita diferenciar  </w:t>
      </w:r>
      <w:r>
        <w:rPr>
          <w:spacing w:val="-5"/>
          <w:sz w:val="24"/>
        </w:rPr>
        <w:t>la  </w:t>
      </w:r>
      <w:r>
        <w:rPr>
          <w:sz w:val="24"/>
        </w:rPr>
        <w:t>infección producida por alguna </w:t>
      </w:r>
      <w:r>
        <w:rPr>
          <w:spacing w:val="59"/>
          <w:sz w:val="24"/>
        </w:rPr>
        <w:t> </w:t>
      </w:r>
      <w:r>
        <w:rPr>
          <w:sz w:val="24"/>
        </w:rPr>
        <w:t>de</w:t>
      </w:r>
    </w:p>
    <w:p>
      <w:pPr>
        <w:pStyle w:val="ListParagraph"/>
        <w:numPr>
          <w:ilvl w:val="0"/>
          <w:numId w:val="8"/>
        </w:numPr>
        <w:tabs>
          <w:tab w:pos="692" w:val="left" w:leader="none"/>
          <w:tab w:pos="693" w:val="left" w:leader="none"/>
        </w:tabs>
        <w:spacing w:line="240" w:lineRule="auto" w:before="130" w:after="0"/>
        <w:ind w:left="692" w:right="0" w:hanging="470"/>
        <w:jc w:val="left"/>
        <w:rPr>
          <w:sz w:val="24"/>
        </w:rPr>
      </w:pPr>
      <w:r>
        <w:rPr>
          <w:sz w:val="24"/>
        </w:rPr>
        <w:t>estas variantes de PVC-2, basándose solamente en </w:t>
      </w:r>
      <w:r>
        <w:rPr>
          <w:spacing w:val="-5"/>
          <w:sz w:val="24"/>
        </w:rPr>
        <w:t>la </w:t>
      </w:r>
      <w:r>
        <w:rPr>
          <w:sz w:val="24"/>
        </w:rPr>
        <w:t>historia clínica de </w:t>
      </w:r>
      <w:r>
        <w:rPr>
          <w:spacing w:val="-3"/>
          <w:sz w:val="24"/>
        </w:rPr>
        <w:t>la </w:t>
      </w:r>
      <w:r>
        <w:rPr>
          <w:sz w:val="24"/>
        </w:rPr>
        <w:t>enfermedad y </w:t>
      </w:r>
      <w:r>
        <w:rPr>
          <w:spacing w:val="38"/>
          <w:sz w:val="24"/>
        </w:rPr>
        <w:t> </w:t>
      </w:r>
      <w:r>
        <w:rPr>
          <w:sz w:val="24"/>
        </w:rPr>
        <w:t>en</w:t>
      </w:r>
    </w:p>
    <w:p>
      <w:pPr>
        <w:pStyle w:val="ListParagraph"/>
        <w:numPr>
          <w:ilvl w:val="0"/>
          <w:numId w:val="8"/>
        </w:numPr>
        <w:tabs>
          <w:tab w:pos="692" w:val="left" w:leader="none"/>
          <w:tab w:pos="693" w:val="left" w:leader="none"/>
        </w:tabs>
        <w:spacing w:line="240" w:lineRule="auto" w:before="134" w:after="0"/>
        <w:ind w:left="692" w:right="0" w:hanging="470"/>
        <w:jc w:val="left"/>
        <w:rPr>
          <w:sz w:val="24"/>
        </w:rPr>
      </w:pPr>
      <w:r>
        <w:rPr>
          <w:sz w:val="24"/>
        </w:rPr>
        <w:t>el examen general del paciente,  además,  </w:t>
      </w:r>
      <w:r>
        <w:rPr>
          <w:spacing w:val="-3"/>
          <w:sz w:val="24"/>
        </w:rPr>
        <w:t>la  </w:t>
      </w:r>
      <w:r>
        <w:rPr>
          <w:sz w:val="24"/>
        </w:rPr>
        <w:t>diversidad  de  los  hallazgos clínicos en    </w:t>
      </w:r>
      <w:r>
        <w:rPr>
          <w:spacing w:val="29"/>
          <w:sz w:val="24"/>
        </w:rPr>
        <w:t> </w:t>
      </w:r>
      <w:r>
        <w:rPr>
          <w:sz w:val="24"/>
        </w:rPr>
        <w:t>los</w:t>
      </w:r>
    </w:p>
    <w:p>
      <w:pPr>
        <w:pStyle w:val="ListParagraph"/>
        <w:numPr>
          <w:ilvl w:val="0"/>
          <w:numId w:val="8"/>
        </w:numPr>
        <w:tabs>
          <w:tab w:pos="692" w:val="left" w:leader="none"/>
          <w:tab w:pos="693" w:val="left" w:leader="none"/>
        </w:tabs>
        <w:spacing w:line="240" w:lineRule="auto" w:before="129" w:after="0"/>
        <w:ind w:left="692" w:right="0" w:hanging="470"/>
        <w:jc w:val="left"/>
        <w:rPr>
          <w:sz w:val="24"/>
        </w:rPr>
      </w:pPr>
      <w:r>
        <w:rPr>
          <w:sz w:val="24"/>
        </w:rPr>
        <w:t>pacientes caninos  está determinada por diferentes factores como  </w:t>
      </w:r>
      <w:r>
        <w:rPr>
          <w:spacing w:val="-5"/>
          <w:sz w:val="24"/>
        </w:rPr>
        <w:t>la </w:t>
      </w:r>
      <w:r>
        <w:rPr>
          <w:sz w:val="24"/>
        </w:rPr>
        <w:t>edad, inmunidad,  </w:t>
      </w:r>
      <w:r>
        <w:rPr>
          <w:spacing w:val="26"/>
          <w:sz w:val="24"/>
        </w:rPr>
        <w:t> </w:t>
      </w:r>
      <w:r>
        <w:rPr>
          <w:sz w:val="24"/>
        </w:rPr>
        <w:t>ruta</w:t>
      </w:r>
    </w:p>
    <w:p>
      <w:pPr>
        <w:pStyle w:val="ListParagraph"/>
        <w:numPr>
          <w:ilvl w:val="0"/>
          <w:numId w:val="8"/>
        </w:numPr>
        <w:tabs>
          <w:tab w:pos="692" w:val="left" w:leader="none"/>
          <w:tab w:pos="693" w:val="left" w:leader="none"/>
        </w:tabs>
        <w:spacing w:line="240" w:lineRule="auto" w:before="129" w:after="0"/>
        <w:ind w:left="692" w:right="0" w:hanging="470"/>
        <w:jc w:val="left"/>
        <w:rPr>
          <w:sz w:val="24"/>
        </w:rPr>
      </w:pPr>
      <w:r>
        <w:rPr>
          <w:sz w:val="24"/>
        </w:rPr>
        <w:t>de</w:t>
      </w:r>
      <w:r>
        <w:rPr>
          <w:spacing w:val="23"/>
          <w:sz w:val="24"/>
        </w:rPr>
        <w:t> </w:t>
      </w:r>
      <w:r>
        <w:rPr>
          <w:sz w:val="24"/>
        </w:rPr>
        <w:t>exposición,</w:t>
      </w:r>
      <w:r>
        <w:rPr>
          <w:spacing w:val="26"/>
          <w:sz w:val="24"/>
        </w:rPr>
        <w:t> </w:t>
      </w:r>
      <w:r>
        <w:rPr>
          <w:sz w:val="24"/>
        </w:rPr>
        <w:t>dosis</w:t>
      </w:r>
      <w:r>
        <w:rPr>
          <w:spacing w:val="26"/>
          <w:sz w:val="24"/>
        </w:rPr>
        <w:t> </w:t>
      </w:r>
      <w:r>
        <w:rPr>
          <w:sz w:val="24"/>
        </w:rPr>
        <w:t>viral</w:t>
      </w:r>
      <w:r>
        <w:rPr>
          <w:spacing w:val="24"/>
          <w:sz w:val="24"/>
        </w:rPr>
        <w:t> </w:t>
      </w:r>
      <w:r>
        <w:rPr>
          <w:sz w:val="24"/>
        </w:rPr>
        <w:t>y</w:t>
      </w:r>
      <w:r>
        <w:rPr>
          <w:spacing w:val="24"/>
          <w:sz w:val="24"/>
        </w:rPr>
        <w:t> </w:t>
      </w:r>
      <w:r>
        <w:rPr>
          <w:sz w:val="24"/>
        </w:rPr>
        <w:t>virulencia</w:t>
      </w:r>
      <w:r>
        <w:rPr>
          <w:spacing w:val="23"/>
          <w:sz w:val="24"/>
        </w:rPr>
        <w:t> </w:t>
      </w:r>
      <w:r>
        <w:rPr>
          <w:sz w:val="24"/>
        </w:rPr>
        <w:t>de</w:t>
      </w:r>
      <w:r>
        <w:rPr>
          <w:spacing w:val="32"/>
          <w:sz w:val="24"/>
        </w:rPr>
        <w:t> </w:t>
      </w:r>
      <w:r>
        <w:rPr>
          <w:spacing w:val="-3"/>
          <w:sz w:val="24"/>
        </w:rPr>
        <w:t>la</w:t>
      </w:r>
      <w:r>
        <w:rPr>
          <w:spacing w:val="23"/>
          <w:sz w:val="24"/>
        </w:rPr>
        <w:t> </w:t>
      </w:r>
      <w:r>
        <w:rPr>
          <w:sz w:val="24"/>
        </w:rPr>
        <w:t>cepa,</w:t>
      </w:r>
      <w:r>
        <w:rPr>
          <w:spacing w:val="26"/>
          <w:sz w:val="24"/>
        </w:rPr>
        <w:t> </w:t>
      </w:r>
      <w:r>
        <w:rPr>
          <w:sz w:val="24"/>
        </w:rPr>
        <w:t>entre</w:t>
      </w:r>
      <w:r>
        <w:rPr>
          <w:spacing w:val="23"/>
          <w:sz w:val="24"/>
        </w:rPr>
        <w:t> </w:t>
      </w:r>
      <w:r>
        <w:rPr>
          <w:sz w:val="24"/>
        </w:rPr>
        <w:t>otros</w:t>
      </w:r>
      <w:r>
        <w:rPr>
          <w:spacing w:val="26"/>
          <w:sz w:val="24"/>
        </w:rPr>
        <w:t> </w:t>
      </w:r>
      <w:r>
        <w:rPr>
          <w:sz w:val="24"/>
        </w:rPr>
        <w:t>factores</w:t>
      </w:r>
      <w:r>
        <w:rPr>
          <w:spacing w:val="22"/>
          <w:sz w:val="24"/>
        </w:rPr>
        <w:t> </w:t>
      </w:r>
      <w:r>
        <w:rPr>
          <w:sz w:val="24"/>
        </w:rPr>
        <w:t>(Lamm</w:t>
      </w:r>
      <w:r>
        <w:rPr>
          <w:spacing w:val="24"/>
          <w:sz w:val="24"/>
        </w:rPr>
        <w:t> </w:t>
      </w:r>
      <w:r>
        <w:rPr>
          <w:sz w:val="24"/>
        </w:rPr>
        <w:t>y</w:t>
      </w:r>
      <w:r>
        <w:rPr>
          <w:spacing w:val="24"/>
          <w:sz w:val="24"/>
        </w:rPr>
        <w:t> </w:t>
      </w:r>
      <w:r>
        <w:rPr>
          <w:sz w:val="24"/>
        </w:rPr>
        <w:t>Rezabek</w:t>
      </w:r>
    </w:p>
    <w:p>
      <w:pPr>
        <w:pStyle w:val="ListParagraph"/>
        <w:numPr>
          <w:ilvl w:val="0"/>
          <w:numId w:val="8"/>
        </w:numPr>
        <w:tabs>
          <w:tab w:pos="692" w:val="left" w:leader="none"/>
          <w:tab w:pos="693" w:val="left" w:leader="none"/>
        </w:tabs>
        <w:spacing w:line="240" w:lineRule="auto" w:before="130" w:after="0"/>
        <w:ind w:left="692" w:right="0" w:hanging="470"/>
        <w:jc w:val="left"/>
        <w:rPr>
          <w:sz w:val="24"/>
        </w:rPr>
      </w:pPr>
      <w:r>
        <w:rPr>
          <w:sz w:val="24"/>
        </w:rPr>
        <w:t>2008;  Decaro  y  Buonavoglia  2012).  Por  otro  lado,  los  signos  clínicos  iníciales  a   </w:t>
      </w:r>
      <w:r>
        <w:rPr>
          <w:spacing w:val="14"/>
          <w:sz w:val="24"/>
        </w:rPr>
        <w:t> </w:t>
      </w:r>
      <w:r>
        <w:rPr>
          <w:spacing w:val="-5"/>
          <w:sz w:val="24"/>
        </w:rPr>
        <w:t>la</w:t>
      </w:r>
    </w:p>
    <w:p>
      <w:pPr>
        <w:pStyle w:val="ListParagraph"/>
        <w:numPr>
          <w:ilvl w:val="0"/>
          <w:numId w:val="8"/>
        </w:numPr>
        <w:tabs>
          <w:tab w:pos="692" w:val="left" w:leader="none"/>
          <w:tab w:pos="693" w:val="left" w:leader="none"/>
        </w:tabs>
        <w:spacing w:line="240" w:lineRule="auto" w:before="134" w:after="0"/>
        <w:ind w:left="692" w:right="0" w:hanging="470"/>
        <w:jc w:val="left"/>
        <w:rPr>
          <w:sz w:val="24"/>
        </w:rPr>
      </w:pPr>
      <w:r>
        <w:rPr>
          <w:sz w:val="24"/>
        </w:rPr>
        <w:t>infección </w:t>
      </w:r>
      <w:r>
        <w:rPr>
          <w:spacing w:val="2"/>
          <w:sz w:val="24"/>
        </w:rPr>
        <w:t>en </w:t>
      </w:r>
      <w:r>
        <w:rPr>
          <w:sz w:val="24"/>
        </w:rPr>
        <w:t>un perro,  </w:t>
      </w:r>
      <w:r>
        <w:rPr>
          <w:spacing w:val="-3"/>
          <w:sz w:val="24"/>
        </w:rPr>
        <w:t>no  </w:t>
      </w:r>
      <w:r>
        <w:rPr>
          <w:sz w:val="24"/>
        </w:rPr>
        <w:t>son específicos  de  </w:t>
      </w:r>
      <w:r>
        <w:rPr>
          <w:spacing w:val="-3"/>
          <w:sz w:val="24"/>
        </w:rPr>
        <w:t>la  </w:t>
      </w:r>
      <w:r>
        <w:rPr>
          <w:sz w:val="24"/>
        </w:rPr>
        <w:t>enfermedad,  estos  en  muchas</w:t>
      </w:r>
      <w:r>
        <w:rPr>
          <w:spacing w:val="25"/>
          <w:sz w:val="24"/>
        </w:rPr>
        <w:t> </w:t>
      </w:r>
      <w:r>
        <w:rPr>
          <w:sz w:val="24"/>
        </w:rPr>
        <w:t>ocasiones</w:t>
      </w:r>
    </w:p>
    <w:p>
      <w:pPr>
        <w:pStyle w:val="ListParagraph"/>
        <w:numPr>
          <w:ilvl w:val="0"/>
          <w:numId w:val="8"/>
        </w:numPr>
        <w:tabs>
          <w:tab w:pos="692" w:val="left" w:leader="none"/>
          <w:tab w:pos="693" w:val="left" w:leader="none"/>
        </w:tabs>
        <w:spacing w:line="240" w:lineRule="auto" w:before="129" w:after="0"/>
        <w:ind w:left="692" w:right="0" w:hanging="470"/>
        <w:jc w:val="left"/>
        <w:rPr>
          <w:sz w:val="24"/>
        </w:rPr>
      </w:pPr>
      <w:r>
        <w:rPr>
          <w:sz w:val="24"/>
        </w:rPr>
        <w:t>solamente   incluyen  anorexia,   depresión,   letargia   y   fiebre   (Prittie   2004;  Goddard</w:t>
      </w:r>
      <w:r>
        <w:rPr>
          <w:spacing w:val="6"/>
          <w:sz w:val="24"/>
        </w:rPr>
        <w:t> </w:t>
      </w:r>
      <w:r>
        <w:rPr>
          <w:sz w:val="24"/>
        </w:rPr>
        <w:t>y</w:t>
      </w:r>
    </w:p>
    <w:p>
      <w:pPr>
        <w:pStyle w:val="ListParagraph"/>
        <w:numPr>
          <w:ilvl w:val="0"/>
          <w:numId w:val="8"/>
        </w:numPr>
        <w:tabs>
          <w:tab w:pos="692" w:val="left" w:leader="none"/>
          <w:tab w:pos="693" w:val="left" w:leader="none"/>
        </w:tabs>
        <w:spacing w:line="240" w:lineRule="auto" w:before="129" w:after="0"/>
        <w:ind w:left="692" w:right="0" w:hanging="581"/>
        <w:jc w:val="left"/>
        <w:rPr>
          <w:sz w:val="24"/>
        </w:rPr>
      </w:pPr>
      <w:r>
        <w:rPr>
          <w:sz w:val="24"/>
        </w:rPr>
        <w:t>Leisewitz 2010) y aunque posteriormente, </w:t>
      </w:r>
      <w:r>
        <w:rPr>
          <w:spacing w:val="-5"/>
          <w:sz w:val="24"/>
        </w:rPr>
        <w:t>la  </w:t>
      </w:r>
      <w:r>
        <w:rPr>
          <w:sz w:val="24"/>
        </w:rPr>
        <w:t>mayoría de los perros infectados  </w:t>
      </w:r>
      <w:r>
        <w:rPr>
          <w:spacing w:val="55"/>
          <w:sz w:val="24"/>
        </w:rPr>
        <w:t> </w:t>
      </w:r>
      <w:r>
        <w:rPr>
          <w:sz w:val="24"/>
        </w:rPr>
        <w:t>desarrollan</w:t>
      </w:r>
    </w:p>
    <w:p>
      <w:pPr>
        <w:pStyle w:val="ListParagraph"/>
        <w:numPr>
          <w:ilvl w:val="0"/>
          <w:numId w:val="8"/>
        </w:numPr>
        <w:tabs>
          <w:tab w:pos="692" w:val="left" w:leader="none"/>
          <w:tab w:pos="693" w:val="left" w:leader="none"/>
        </w:tabs>
        <w:spacing w:line="240" w:lineRule="auto" w:before="130" w:after="0"/>
        <w:ind w:left="692" w:right="0" w:hanging="581"/>
        <w:jc w:val="left"/>
        <w:rPr>
          <w:sz w:val="24"/>
        </w:rPr>
      </w:pPr>
      <w:r>
        <w:rPr>
          <w:sz w:val="24"/>
        </w:rPr>
        <w:t>vómito,  diarrea  catarral o  hemorrágica  y leucopenia  (Meunier  y </w:t>
      </w:r>
      <w:r>
        <w:rPr>
          <w:spacing w:val="2"/>
          <w:sz w:val="24"/>
        </w:rPr>
        <w:t>col </w:t>
      </w:r>
      <w:r>
        <w:rPr>
          <w:sz w:val="24"/>
        </w:rPr>
        <w:t>1985,  Decaro  y</w:t>
      </w:r>
      <w:r>
        <w:rPr>
          <w:spacing w:val="-13"/>
          <w:sz w:val="24"/>
        </w:rPr>
        <w:t> </w:t>
      </w:r>
      <w:r>
        <w:rPr>
          <w:spacing w:val="2"/>
          <w:sz w:val="24"/>
        </w:rPr>
        <w:t>col</w:t>
      </w:r>
    </w:p>
    <w:p>
      <w:pPr>
        <w:pStyle w:val="ListParagraph"/>
        <w:numPr>
          <w:ilvl w:val="0"/>
          <w:numId w:val="8"/>
        </w:numPr>
        <w:tabs>
          <w:tab w:pos="692" w:val="left" w:leader="none"/>
          <w:tab w:pos="693" w:val="left" w:leader="none"/>
        </w:tabs>
        <w:spacing w:line="240" w:lineRule="auto" w:before="134" w:after="0"/>
        <w:ind w:left="692" w:right="0" w:hanging="581"/>
        <w:jc w:val="left"/>
        <w:rPr>
          <w:sz w:val="24"/>
        </w:rPr>
      </w:pPr>
      <w:r>
        <w:rPr>
          <w:sz w:val="24"/>
        </w:rPr>
        <w:t>2007,Gallo  y </w:t>
      </w:r>
      <w:r>
        <w:rPr>
          <w:spacing w:val="2"/>
          <w:sz w:val="24"/>
        </w:rPr>
        <w:t>col </w:t>
      </w:r>
      <w:r>
        <w:rPr>
          <w:sz w:val="24"/>
        </w:rPr>
        <w:t>2009; Schoeman  y </w:t>
      </w:r>
      <w:r>
        <w:rPr>
          <w:spacing w:val="2"/>
          <w:sz w:val="24"/>
        </w:rPr>
        <w:t>col </w:t>
      </w:r>
      <w:r>
        <w:rPr>
          <w:sz w:val="24"/>
        </w:rPr>
        <w:t>2013), también   se  </w:t>
      </w:r>
      <w:r>
        <w:rPr>
          <w:spacing w:val="-3"/>
          <w:sz w:val="24"/>
        </w:rPr>
        <w:t>ha  </w:t>
      </w:r>
      <w:r>
        <w:rPr>
          <w:sz w:val="24"/>
        </w:rPr>
        <w:t>reportado  </w:t>
      </w:r>
      <w:r>
        <w:rPr>
          <w:spacing w:val="-5"/>
          <w:sz w:val="24"/>
        </w:rPr>
        <w:t>la  </w:t>
      </w:r>
      <w:r>
        <w:rPr>
          <w:sz w:val="24"/>
        </w:rPr>
        <w:t>presencia</w:t>
      </w:r>
      <w:r>
        <w:rPr>
          <w:spacing w:val="15"/>
          <w:sz w:val="24"/>
        </w:rPr>
        <w:t> </w:t>
      </w:r>
      <w:r>
        <w:rPr>
          <w:sz w:val="24"/>
        </w:rPr>
        <w:t>de</w:t>
      </w:r>
    </w:p>
    <w:p>
      <w:pPr>
        <w:pStyle w:val="ListParagraph"/>
        <w:numPr>
          <w:ilvl w:val="0"/>
          <w:numId w:val="8"/>
        </w:numPr>
        <w:tabs>
          <w:tab w:pos="692" w:val="left" w:leader="none"/>
          <w:tab w:pos="693" w:val="left" w:leader="none"/>
          <w:tab w:pos="3244" w:val="left" w:leader="none"/>
        </w:tabs>
        <w:spacing w:line="240" w:lineRule="auto" w:before="129" w:after="0"/>
        <w:ind w:left="692" w:right="0" w:hanging="581"/>
        <w:jc w:val="left"/>
        <w:rPr>
          <w:sz w:val="24"/>
        </w:rPr>
      </w:pPr>
      <w:r>
        <w:rPr>
          <w:sz w:val="24"/>
        </w:rPr>
        <w:t>infecciones </w:t>
      </w:r>
      <w:r>
        <w:rPr>
          <w:spacing w:val="4"/>
          <w:sz w:val="24"/>
        </w:rPr>
        <w:t> </w:t>
      </w:r>
      <w:r>
        <w:rPr>
          <w:sz w:val="24"/>
        </w:rPr>
        <w:t>subclínicas</w:t>
        <w:tab/>
        <w:t>que  cursan  con  cuadros  clínicos  inaparentes  durante  todo  </w:t>
      </w:r>
      <w:r>
        <w:rPr>
          <w:spacing w:val="24"/>
          <w:sz w:val="24"/>
        </w:rPr>
        <w:t> </w:t>
      </w:r>
      <w:r>
        <w:rPr>
          <w:sz w:val="24"/>
        </w:rPr>
        <w:t>el</w:t>
      </w:r>
    </w:p>
    <w:p>
      <w:pPr>
        <w:pStyle w:val="ListParagraph"/>
        <w:numPr>
          <w:ilvl w:val="0"/>
          <w:numId w:val="8"/>
        </w:numPr>
        <w:tabs>
          <w:tab w:pos="692" w:val="left" w:leader="none"/>
          <w:tab w:pos="693" w:val="left" w:leader="none"/>
        </w:tabs>
        <w:spacing w:line="240" w:lineRule="auto" w:before="129" w:after="0"/>
        <w:ind w:left="692" w:right="0" w:hanging="581"/>
        <w:jc w:val="left"/>
        <w:rPr>
          <w:sz w:val="24"/>
        </w:rPr>
      </w:pPr>
      <w:r>
        <w:rPr>
          <w:sz w:val="24"/>
        </w:rPr>
        <w:t>proceso   de  </w:t>
      </w:r>
      <w:r>
        <w:rPr>
          <w:spacing w:val="-5"/>
          <w:sz w:val="24"/>
        </w:rPr>
        <w:t>la   </w:t>
      </w:r>
      <w:r>
        <w:rPr>
          <w:sz w:val="24"/>
        </w:rPr>
        <w:t>infección,  esto   principalmente  en  cachorros  y  adultos  con  títulos   </w:t>
      </w:r>
      <w:r>
        <w:rPr>
          <w:spacing w:val="15"/>
          <w:sz w:val="24"/>
        </w:rPr>
        <w:t> </w:t>
      </w:r>
      <w:r>
        <w:rPr>
          <w:sz w:val="24"/>
        </w:rPr>
        <w:t>de</w:t>
      </w:r>
    </w:p>
    <w:p>
      <w:pPr>
        <w:pStyle w:val="ListParagraph"/>
        <w:numPr>
          <w:ilvl w:val="0"/>
          <w:numId w:val="8"/>
        </w:numPr>
        <w:tabs>
          <w:tab w:pos="692" w:val="left" w:leader="none"/>
          <w:tab w:pos="693" w:val="left" w:leader="none"/>
        </w:tabs>
        <w:spacing w:line="240" w:lineRule="auto" w:before="130" w:after="0"/>
        <w:ind w:left="692" w:right="0" w:hanging="581"/>
        <w:jc w:val="left"/>
        <w:rPr>
          <w:sz w:val="24"/>
        </w:rPr>
      </w:pPr>
      <w:r>
        <w:rPr>
          <w:sz w:val="24"/>
        </w:rPr>
        <w:t>anticuerpos considerados como protectores (Lamm y Rezabek 2008, Decaro    </w:t>
      </w:r>
      <w:r>
        <w:rPr>
          <w:spacing w:val="33"/>
          <w:sz w:val="24"/>
        </w:rPr>
        <w:t> </w:t>
      </w:r>
      <w:r>
        <w:rPr>
          <w:sz w:val="24"/>
        </w:rPr>
        <w:t>y </w:t>
      </w:r>
      <w:r>
        <w:rPr>
          <w:spacing w:val="2"/>
          <w:sz w:val="24"/>
        </w:rPr>
        <w:t>col </w:t>
      </w:r>
      <w:r>
        <w:rPr>
          <w:sz w:val="24"/>
        </w:rPr>
        <w:t>2005).</w:t>
      </w:r>
    </w:p>
    <w:p>
      <w:pPr>
        <w:pStyle w:val="ListParagraph"/>
        <w:numPr>
          <w:ilvl w:val="0"/>
          <w:numId w:val="8"/>
        </w:numPr>
        <w:tabs>
          <w:tab w:pos="692" w:val="left" w:leader="none"/>
          <w:tab w:pos="693" w:val="left" w:leader="none"/>
          <w:tab w:pos="6499" w:val="left" w:leader="none"/>
        </w:tabs>
        <w:spacing w:line="240" w:lineRule="auto" w:before="134" w:after="0"/>
        <w:ind w:left="692" w:right="0" w:hanging="581"/>
        <w:jc w:val="left"/>
        <w:rPr>
          <w:sz w:val="24"/>
        </w:rPr>
      </w:pPr>
      <w:r>
        <w:rPr>
          <w:sz w:val="24"/>
        </w:rPr>
        <w:t>La  miocarditis  por  parvovirus  ocurre  </w:t>
      </w:r>
      <w:r>
        <w:rPr>
          <w:spacing w:val="-3"/>
          <w:sz w:val="24"/>
        </w:rPr>
        <w:t>solo</w:t>
      </w:r>
      <w:r>
        <w:rPr>
          <w:spacing w:val="27"/>
          <w:sz w:val="24"/>
        </w:rPr>
        <w:t> </w:t>
      </w:r>
      <w:r>
        <w:rPr>
          <w:sz w:val="24"/>
        </w:rPr>
        <w:t>en</w:t>
      </w:r>
      <w:r>
        <w:rPr>
          <w:spacing w:val="53"/>
          <w:sz w:val="24"/>
        </w:rPr>
        <w:t> </w:t>
      </w:r>
      <w:r>
        <w:rPr>
          <w:sz w:val="24"/>
        </w:rPr>
        <w:t>neonatos</w:t>
        <w:tab/>
        <w:t>que  son  infectados  durante</w:t>
      </w:r>
      <w:r>
        <w:rPr>
          <w:spacing w:val="38"/>
          <w:sz w:val="24"/>
        </w:rPr>
        <w:t> </w:t>
      </w:r>
      <w:r>
        <w:rPr>
          <w:sz w:val="24"/>
        </w:rPr>
        <w:t>el</w:t>
      </w:r>
    </w:p>
    <w:p>
      <w:pPr>
        <w:pStyle w:val="ListParagraph"/>
        <w:numPr>
          <w:ilvl w:val="0"/>
          <w:numId w:val="8"/>
        </w:numPr>
        <w:tabs>
          <w:tab w:pos="692" w:val="left" w:leader="none"/>
          <w:tab w:pos="693" w:val="left" w:leader="none"/>
        </w:tabs>
        <w:spacing w:line="240" w:lineRule="auto" w:before="129" w:after="0"/>
        <w:ind w:left="692" w:right="0" w:hanging="581"/>
        <w:jc w:val="left"/>
        <w:rPr>
          <w:sz w:val="24"/>
        </w:rPr>
      </w:pPr>
      <w:r>
        <w:rPr>
          <w:sz w:val="24"/>
        </w:rPr>
        <w:t>periodo  de  proliferación de  las  células  miocárdicas,  pero  en  </w:t>
      </w:r>
      <w:r>
        <w:rPr>
          <w:spacing w:val="-5"/>
          <w:sz w:val="24"/>
        </w:rPr>
        <w:t>la  </w:t>
      </w:r>
      <w:r>
        <w:rPr>
          <w:sz w:val="24"/>
        </w:rPr>
        <w:t>actualidad  este tipo </w:t>
      </w:r>
      <w:r>
        <w:rPr>
          <w:spacing w:val="15"/>
          <w:sz w:val="24"/>
        </w:rPr>
        <w:t> </w:t>
      </w:r>
      <w:r>
        <w:rPr>
          <w:sz w:val="24"/>
        </w:rPr>
        <w:t>de</w:t>
      </w:r>
    </w:p>
    <w:p>
      <w:pPr>
        <w:pStyle w:val="ListParagraph"/>
        <w:numPr>
          <w:ilvl w:val="0"/>
          <w:numId w:val="8"/>
        </w:numPr>
        <w:tabs>
          <w:tab w:pos="692" w:val="left" w:leader="none"/>
          <w:tab w:pos="693" w:val="left" w:leader="none"/>
        </w:tabs>
        <w:spacing w:line="240" w:lineRule="auto" w:before="129" w:after="0"/>
        <w:ind w:left="692" w:right="0" w:hanging="581"/>
        <w:jc w:val="left"/>
        <w:rPr>
          <w:sz w:val="24"/>
        </w:rPr>
      </w:pPr>
      <w:r>
        <w:rPr>
          <w:sz w:val="24"/>
        </w:rPr>
        <w:t>infección   es rara debido  a  </w:t>
      </w:r>
      <w:r>
        <w:rPr>
          <w:spacing w:val="-3"/>
          <w:sz w:val="24"/>
        </w:rPr>
        <w:t>la  </w:t>
      </w:r>
      <w:r>
        <w:rPr>
          <w:sz w:val="24"/>
        </w:rPr>
        <w:t>inmunidad  materna protectora (Sagazio  y col 1998, </w:t>
      </w:r>
      <w:r>
        <w:rPr>
          <w:spacing w:val="8"/>
          <w:sz w:val="24"/>
        </w:rPr>
        <w:t> </w:t>
      </w:r>
      <w:r>
        <w:rPr>
          <w:sz w:val="24"/>
        </w:rPr>
        <w:t>Prittie</w:t>
      </w:r>
    </w:p>
    <w:p>
      <w:pPr>
        <w:pStyle w:val="ListParagraph"/>
        <w:numPr>
          <w:ilvl w:val="0"/>
          <w:numId w:val="8"/>
        </w:numPr>
        <w:tabs>
          <w:tab w:pos="692" w:val="left" w:leader="none"/>
          <w:tab w:pos="693" w:val="left" w:leader="none"/>
        </w:tabs>
        <w:spacing w:line="240" w:lineRule="auto" w:before="130" w:after="0"/>
        <w:ind w:left="692" w:right="0" w:hanging="581"/>
        <w:jc w:val="left"/>
        <w:rPr>
          <w:sz w:val="24"/>
        </w:rPr>
      </w:pPr>
      <w:r>
        <w:rPr>
          <w:sz w:val="24"/>
        </w:rPr>
        <w:t>2004, Hall y Herman 2007). Por </w:t>
      </w:r>
      <w:r>
        <w:rPr>
          <w:spacing w:val="-5"/>
          <w:sz w:val="24"/>
        </w:rPr>
        <w:t>lo  </w:t>
      </w:r>
      <w:r>
        <w:rPr>
          <w:sz w:val="24"/>
        </w:rPr>
        <w:t>tanto, el diagnóstico  clínico  basado  solamente en    </w:t>
      </w:r>
      <w:r>
        <w:rPr>
          <w:spacing w:val="8"/>
          <w:sz w:val="24"/>
        </w:rPr>
        <w:t> </w:t>
      </w:r>
      <w:r>
        <w:rPr>
          <w:spacing w:val="-3"/>
          <w:sz w:val="24"/>
        </w:rPr>
        <w:t>la</w:t>
      </w:r>
    </w:p>
    <w:p>
      <w:pPr>
        <w:pStyle w:val="ListParagraph"/>
        <w:numPr>
          <w:ilvl w:val="0"/>
          <w:numId w:val="8"/>
        </w:numPr>
        <w:tabs>
          <w:tab w:pos="692" w:val="left" w:leader="none"/>
          <w:tab w:pos="693" w:val="left" w:leader="none"/>
        </w:tabs>
        <w:spacing w:line="240" w:lineRule="auto" w:before="134" w:after="0"/>
        <w:ind w:left="692" w:right="0" w:hanging="581"/>
        <w:jc w:val="left"/>
        <w:rPr>
          <w:sz w:val="24"/>
        </w:rPr>
      </w:pPr>
      <w:r>
        <w:rPr>
          <w:sz w:val="24"/>
        </w:rPr>
        <w:t>anamnesis y signos clínicos </w:t>
      </w:r>
      <w:r>
        <w:rPr>
          <w:spacing w:val="-3"/>
          <w:sz w:val="24"/>
        </w:rPr>
        <w:t>no  </w:t>
      </w:r>
      <w:r>
        <w:rPr>
          <w:sz w:val="24"/>
        </w:rPr>
        <w:t>es suficiente para determinar  </w:t>
      </w:r>
      <w:r>
        <w:rPr>
          <w:spacing w:val="-3"/>
          <w:sz w:val="24"/>
        </w:rPr>
        <w:t>la  </w:t>
      </w:r>
      <w:r>
        <w:rPr>
          <w:sz w:val="24"/>
        </w:rPr>
        <w:t>infección por   </w:t>
      </w:r>
      <w:r>
        <w:rPr>
          <w:spacing w:val="19"/>
          <w:sz w:val="24"/>
        </w:rPr>
        <w:t> </w:t>
      </w:r>
      <w:r>
        <w:rPr>
          <w:sz w:val="24"/>
        </w:rPr>
        <w:t>parvovirus</w:t>
      </w:r>
    </w:p>
    <w:p>
      <w:pPr>
        <w:pStyle w:val="ListParagraph"/>
        <w:numPr>
          <w:ilvl w:val="0"/>
          <w:numId w:val="8"/>
        </w:numPr>
        <w:tabs>
          <w:tab w:pos="692" w:val="left" w:leader="none"/>
          <w:tab w:pos="693" w:val="left" w:leader="none"/>
        </w:tabs>
        <w:spacing w:line="240" w:lineRule="auto" w:before="129" w:after="0"/>
        <w:ind w:left="692" w:right="0" w:hanging="581"/>
        <w:jc w:val="left"/>
        <w:rPr>
          <w:sz w:val="24"/>
        </w:rPr>
      </w:pPr>
      <w:r>
        <w:rPr>
          <w:sz w:val="24"/>
        </w:rPr>
        <w:t>canino, por </w:t>
      </w:r>
      <w:r>
        <w:rPr>
          <w:spacing w:val="-5"/>
          <w:sz w:val="24"/>
        </w:rPr>
        <w:t>lo  </w:t>
      </w:r>
      <w:r>
        <w:rPr>
          <w:sz w:val="24"/>
        </w:rPr>
        <w:t>que se  vuelve necesario utilizar pruebas de diagnóstico de  laboratorio  </w:t>
      </w:r>
      <w:r>
        <w:rPr>
          <w:spacing w:val="53"/>
          <w:sz w:val="24"/>
        </w:rPr>
        <w:t> </w:t>
      </w:r>
      <w:r>
        <w:rPr>
          <w:sz w:val="24"/>
        </w:rPr>
        <w:t>que</w:t>
      </w:r>
    </w:p>
    <w:p>
      <w:pPr>
        <w:pStyle w:val="ListParagraph"/>
        <w:numPr>
          <w:ilvl w:val="0"/>
          <w:numId w:val="8"/>
        </w:numPr>
        <w:tabs>
          <w:tab w:pos="692" w:val="left" w:leader="none"/>
          <w:tab w:pos="693" w:val="left" w:leader="none"/>
        </w:tabs>
        <w:spacing w:line="240" w:lineRule="auto" w:before="129" w:after="0"/>
        <w:ind w:left="692" w:right="0" w:hanging="581"/>
        <w:jc w:val="left"/>
        <w:rPr>
          <w:sz w:val="24"/>
        </w:rPr>
      </w:pPr>
      <w:r>
        <w:rPr>
          <w:sz w:val="24"/>
        </w:rPr>
        <w:t>permitan confirmar </w:t>
      </w:r>
      <w:r>
        <w:rPr>
          <w:spacing w:val="-3"/>
          <w:sz w:val="24"/>
        </w:rPr>
        <w:t>la </w:t>
      </w:r>
      <w:r>
        <w:rPr>
          <w:sz w:val="24"/>
        </w:rPr>
        <w:t>infección y posteriormente determinar el tipo de variante  </w:t>
      </w:r>
      <w:r>
        <w:rPr>
          <w:spacing w:val="33"/>
          <w:sz w:val="24"/>
        </w:rPr>
        <w:t> </w:t>
      </w:r>
      <w:r>
        <w:rPr>
          <w:sz w:val="24"/>
        </w:rPr>
        <w:t>antigénica</w:t>
      </w:r>
    </w:p>
    <w:p>
      <w:pPr>
        <w:pStyle w:val="ListParagraph"/>
        <w:numPr>
          <w:ilvl w:val="0"/>
          <w:numId w:val="8"/>
        </w:numPr>
        <w:tabs>
          <w:tab w:pos="692" w:val="left" w:leader="none"/>
          <w:tab w:pos="693" w:val="left" w:leader="none"/>
        </w:tabs>
        <w:spacing w:line="240" w:lineRule="auto" w:before="125" w:after="0"/>
        <w:ind w:left="692" w:right="0" w:hanging="581"/>
        <w:jc w:val="left"/>
        <w:rPr>
          <w:sz w:val="24"/>
        </w:rPr>
      </w:pPr>
      <w:r>
        <w:rPr>
          <w:sz w:val="24"/>
        </w:rPr>
        <w:t>de</w:t>
      </w:r>
      <w:r>
        <w:rPr>
          <w:spacing w:val="-13"/>
          <w:sz w:val="24"/>
        </w:rPr>
        <w:t> </w:t>
      </w:r>
      <w:r>
        <w:rPr>
          <w:sz w:val="24"/>
        </w:rPr>
        <w:t>parvovirus.</w:t>
      </w:r>
    </w:p>
    <w:p>
      <w:pPr>
        <w:pStyle w:val="BodyText"/>
        <w:spacing w:before="2"/>
        <w:rPr>
          <w:rFonts w:ascii="Times New Roman"/>
          <w:sz w:val="23"/>
        </w:rPr>
      </w:pPr>
    </w:p>
    <w:p>
      <w:pPr>
        <w:pStyle w:val="ListParagraph"/>
        <w:numPr>
          <w:ilvl w:val="0"/>
          <w:numId w:val="8"/>
        </w:numPr>
        <w:tabs>
          <w:tab w:pos="990" w:val="left" w:leader="none"/>
          <w:tab w:pos="991" w:val="left" w:leader="none"/>
        </w:tabs>
        <w:spacing w:line="240" w:lineRule="auto" w:before="69" w:after="0"/>
        <w:ind w:left="990" w:right="0" w:hanging="879"/>
        <w:jc w:val="left"/>
        <w:rPr>
          <w:sz w:val="24"/>
        </w:rPr>
      </w:pPr>
      <w:r>
        <w:rPr>
          <w:sz w:val="24"/>
        </w:rPr>
        <w:t>Múltiples técnicas de laboratorio han sido desarrolladas para </w:t>
      </w:r>
      <w:r>
        <w:rPr>
          <w:spacing w:val="-3"/>
          <w:sz w:val="24"/>
        </w:rPr>
        <w:t>la </w:t>
      </w:r>
      <w:r>
        <w:rPr>
          <w:sz w:val="24"/>
        </w:rPr>
        <w:t>identificación de</w:t>
      </w:r>
      <w:r>
        <w:rPr>
          <w:spacing w:val="8"/>
          <w:sz w:val="24"/>
        </w:rPr>
        <w:t> </w:t>
      </w:r>
      <w:r>
        <w:rPr>
          <w:sz w:val="24"/>
        </w:rPr>
        <w:t>CPV-2.</w:t>
      </w:r>
    </w:p>
    <w:p>
      <w:pPr>
        <w:pStyle w:val="ListParagraph"/>
        <w:numPr>
          <w:ilvl w:val="0"/>
          <w:numId w:val="8"/>
        </w:numPr>
        <w:tabs>
          <w:tab w:pos="692" w:val="left" w:leader="none"/>
          <w:tab w:pos="693" w:val="left" w:leader="none"/>
        </w:tabs>
        <w:spacing w:line="240" w:lineRule="auto" w:before="129" w:after="0"/>
        <w:ind w:left="692" w:right="0" w:hanging="581"/>
        <w:jc w:val="left"/>
        <w:rPr>
          <w:sz w:val="24"/>
        </w:rPr>
      </w:pPr>
      <w:r>
        <w:rPr>
          <w:sz w:val="24"/>
        </w:rPr>
        <w:t>La  técnica  de  Hemoaglutinación  (HA)  se  lleva  a  cabo  en  laboratorios</w:t>
      </w:r>
      <w:r>
        <w:rPr>
          <w:spacing w:val="58"/>
          <w:sz w:val="24"/>
        </w:rPr>
        <w:t> </w:t>
      </w:r>
      <w:r>
        <w:rPr>
          <w:sz w:val="24"/>
        </w:rPr>
        <w:t>especializados,</w:t>
      </w:r>
    </w:p>
    <w:p>
      <w:pPr>
        <w:pStyle w:val="ListParagraph"/>
        <w:numPr>
          <w:ilvl w:val="0"/>
          <w:numId w:val="8"/>
        </w:numPr>
        <w:tabs>
          <w:tab w:pos="692" w:val="left" w:leader="none"/>
          <w:tab w:pos="693" w:val="left" w:leader="none"/>
        </w:tabs>
        <w:spacing w:line="240" w:lineRule="auto" w:before="134" w:after="0"/>
        <w:ind w:left="692" w:right="0" w:hanging="581"/>
        <w:jc w:val="left"/>
        <w:rPr>
          <w:sz w:val="24"/>
        </w:rPr>
      </w:pPr>
      <w:r>
        <w:rPr>
          <w:sz w:val="24"/>
        </w:rPr>
        <w:t>requiere</w:t>
      </w:r>
      <w:r>
        <w:rPr>
          <w:spacing w:val="18"/>
          <w:sz w:val="24"/>
        </w:rPr>
        <w:t> </w:t>
      </w:r>
      <w:r>
        <w:rPr>
          <w:sz w:val="24"/>
        </w:rPr>
        <w:t>de</w:t>
      </w:r>
      <w:r>
        <w:rPr>
          <w:spacing w:val="18"/>
          <w:sz w:val="24"/>
        </w:rPr>
        <w:t> </w:t>
      </w:r>
      <w:r>
        <w:rPr>
          <w:sz w:val="24"/>
        </w:rPr>
        <w:t>eritrocitos</w:t>
      </w:r>
      <w:r>
        <w:rPr>
          <w:spacing w:val="22"/>
          <w:sz w:val="24"/>
        </w:rPr>
        <w:t> </w:t>
      </w:r>
      <w:r>
        <w:rPr>
          <w:sz w:val="24"/>
        </w:rPr>
        <w:t>frescos</w:t>
      </w:r>
      <w:r>
        <w:rPr>
          <w:spacing w:val="22"/>
          <w:sz w:val="24"/>
        </w:rPr>
        <w:t> </w:t>
      </w:r>
      <w:r>
        <w:rPr>
          <w:sz w:val="24"/>
        </w:rPr>
        <w:t>y</w:t>
      </w:r>
      <w:r>
        <w:rPr>
          <w:spacing w:val="14"/>
          <w:sz w:val="24"/>
        </w:rPr>
        <w:t> </w:t>
      </w:r>
      <w:r>
        <w:rPr>
          <w:sz w:val="24"/>
        </w:rPr>
        <w:t>de</w:t>
      </w:r>
      <w:r>
        <w:rPr>
          <w:spacing w:val="18"/>
          <w:sz w:val="24"/>
        </w:rPr>
        <w:t> </w:t>
      </w:r>
      <w:r>
        <w:rPr>
          <w:sz w:val="24"/>
        </w:rPr>
        <w:t>alta</w:t>
      </w:r>
      <w:r>
        <w:rPr>
          <w:spacing w:val="23"/>
          <w:sz w:val="24"/>
        </w:rPr>
        <w:t> </w:t>
      </w:r>
      <w:r>
        <w:rPr>
          <w:sz w:val="24"/>
        </w:rPr>
        <w:t>calidad</w:t>
      </w:r>
      <w:r>
        <w:rPr>
          <w:spacing w:val="19"/>
          <w:sz w:val="24"/>
        </w:rPr>
        <w:t> </w:t>
      </w:r>
      <w:r>
        <w:rPr>
          <w:spacing w:val="2"/>
          <w:sz w:val="24"/>
        </w:rPr>
        <w:t>para</w:t>
      </w:r>
      <w:r>
        <w:rPr>
          <w:spacing w:val="18"/>
          <w:sz w:val="24"/>
        </w:rPr>
        <w:t> </w:t>
      </w:r>
      <w:r>
        <w:rPr>
          <w:sz w:val="24"/>
        </w:rPr>
        <w:t>su</w:t>
      </w:r>
      <w:r>
        <w:rPr>
          <w:spacing w:val="19"/>
          <w:sz w:val="24"/>
        </w:rPr>
        <w:t> </w:t>
      </w:r>
      <w:r>
        <w:rPr>
          <w:sz w:val="24"/>
        </w:rPr>
        <w:t>desarrollo,</w:t>
      </w:r>
      <w:r>
        <w:rPr>
          <w:spacing w:val="26"/>
          <w:sz w:val="24"/>
        </w:rPr>
        <w:t> </w:t>
      </w:r>
      <w:r>
        <w:rPr>
          <w:spacing w:val="-5"/>
          <w:sz w:val="24"/>
        </w:rPr>
        <w:t>ya</w:t>
      </w:r>
      <w:r>
        <w:rPr>
          <w:spacing w:val="23"/>
          <w:sz w:val="24"/>
        </w:rPr>
        <w:t> </w:t>
      </w:r>
      <w:r>
        <w:rPr>
          <w:sz w:val="24"/>
        </w:rPr>
        <w:t>que</w:t>
      </w:r>
      <w:r>
        <w:rPr>
          <w:spacing w:val="23"/>
          <w:sz w:val="24"/>
        </w:rPr>
        <w:t> </w:t>
      </w:r>
      <w:r>
        <w:rPr>
          <w:spacing w:val="-3"/>
          <w:sz w:val="24"/>
        </w:rPr>
        <w:t>la</w:t>
      </w:r>
      <w:r>
        <w:rPr>
          <w:spacing w:val="18"/>
          <w:sz w:val="24"/>
        </w:rPr>
        <w:t> </w:t>
      </w:r>
      <w:r>
        <w:rPr>
          <w:sz w:val="24"/>
        </w:rPr>
        <w:t>prueba</w:t>
      </w:r>
      <w:r>
        <w:rPr>
          <w:spacing w:val="23"/>
          <w:sz w:val="24"/>
        </w:rPr>
        <w:t> </w:t>
      </w:r>
      <w:r>
        <w:rPr>
          <w:sz w:val="24"/>
        </w:rPr>
        <w:t>se</w:t>
      </w:r>
      <w:r>
        <w:rPr>
          <w:spacing w:val="23"/>
          <w:sz w:val="24"/>
        </w:rPr>
        <w:t> </w:t>
      </w:r>
      <w:r>
        <w:rPr>
          <w:spacing w:val="-3"/>
          <w:sz w:val="24"/>
        </w:rPr>
        <w:t>ve</w:t>
      </w:r>
    </w:p>
    <w:p>
      <w:pPr>
        <w:pStyle w:val="ListParagraph"/>
        <w:numPr>
          <w:ilvl w:val="0"/>
          <w:numId w:val="8"/>
        </w:numPr>
        <w:tabs>
          <w:tab w:pos="692" w:val="left" w:leader="none"/>
          <w:tab w:pos="693" w:val="left" w:leader="none"/>
        </w:tabs>
        <w:spacing w:line="240" w:lineRule="auto" w:before="130" w:after="0"/>
        <w:ind w:left="692" w:right="0" w:hanging="581"/>
        <w:jc w:val="left"/>
        <w:rPr>
          <w:sz w:val="24"/>
        </w:rPr>
      </w:pPr>
      <w:r>
        <w:rPr>
          <w:sz w:val="24"/>
        </w:rPr>
        <w:t>afectada por un coeficiente alterado de sedimentación eritrocitaria, </w:t>
      </w:r>
      <w:r>
        <w:rPr>
          <w:spacing w:val="-5"/>
          <w:sz w:val="24"/>
        </w:rPr>
        <w:t>lo </w:t>
      </w:r>
      <w:r>
        <w:rPr>
          <w:sz w:val="24"/>
        </w:rPr>
        <w:t>que puede deberse  </w:t>
      </w:r>
      <w:r>
        <w:rPr>
          <w:spacing w:val="47"/>
          <w:sz w:val="24"/>
        </w:rPr>
        <w:t> </w:t>
      </w:r>
      <w:r>
        <w:rPr>
          <w:sz w:val="24"/>
        </w:rPr>
        <w:t>a</w:t>
      </w:r>
    </w:p>
    <w:p>
      <w:pPr>
        <w:pStyle w:val="ListParagraph"/>
        <w:numPr>
          <w:ilvl w:val="0"/>
          <w:numId w:val="8"/>
        </w:numPr>
        <w:tabs>
          <w:tab w:pos="692" w:val="left" w:leader="none"/>
          <w:tab w:pos="693" w:val="left" w:leader="none"/>
        </w:tabs>
        <w:spacing w:line="240" w:lineRule="auto" w:before="129" w:after="0"/>
        <w:ind w:left="692" w:right="0" w:hanging="581"/>
        <w:jc w:val="left"/>
        <w:rPr>
          <w:sz w:val="24"/>
        </w:rPr>
      </w:pPr>
      <w:r>
        <w:rPr>
          <w:sz w:val="24"/>
        </w:rPr>
        <w:t>enfermedad</w:t>
      </w:r>
      <w:r>
        <w:rPr>
          <w:spacing w:val="23"/>
          <w:sz w:val="24"/>
        </w:rPr>
        <w:t> </w:t>
      </w:r>
      <w:r>
        <w:rPr>
          <w:sz w:val="24"/>
        </w:rPr>
        <w:t>de</w:t>
      </w:r>
      <w:r>
        <w:rPr>
          <w:spacing w:val="26"/>
          <w:sz w:val="24"/>
        </w:rPr>
        <w:t> </w:t>
      </w:r>
      <w:r>
        <w:rPr>
          <w:sz w:val="24"/>
        </w:rPr>
        <w:t>los</w:t>
      </w:r>
      <w:r>
        <w:rPr>
          <w:spacing w:val="21"/>
          <w:sz w:val="24"/>
        </w:rPr>
        <w:t> </w:t>
      </w:r>
      <w:r>
        <w:rPr>
          <w:sz w:val="24"/>
        </w:rPr>
        <w:t>donadores</w:t>
      </w:r>
      <w:r>
        <w:rPr>
          <w:spacing w:val="16"/>
          <w:sz w:val="24"/>
        </w:rPr>
        <w:t> </w:t>
      </w:r>
      <w:r>
        <w:rPr>
          <w:sz w:val="24"/>
        </w:rPr>
        <w:t>o</w:t>
      </w:r>
      <w:r>
        <w:rPr>
          <w:spacing w:val="26"/>
          <w:sz w:val="24"/>
        </w:rPr>
        <w:t> </w:t>
      </w:r>
      <w:r>
        <w:rPr>
          <w:sz w:val="24"/>
        </w:rPr>
        <w:t>estrés</w:t>
      </w:r>
      <w:r>
        <w:rPr>
          <w:spacing w:val="21"/>
          <w:sz w:val="24"/>
        </w:rPr>
        <w:t> </w:t>
      </w:r>
      <w:r>
        <w:rPr>
          <w:sz w:val="24"/>
        </w:rPr>
        <w:t>al</w:t>
      </w:r>
      <w:r>
        <w:rPr>
          <w:spacing w:val="18"/>
          <w:sz w:val="24"/>
        </w:rPr>
        <w:t> </w:t>
      </w:r>
      <w:r>
        <w:rPr>
          <w:sz w:val="24"/>
        </w:rPr>
        <w:t>momento</w:t>
      </w:r>
      <w:r>
        <w:rPr>
          <w:spacing w:val="26"/>
          <w:sz w:val="24"/>
        </w:rPr>
        <w:t> </w:t>
      </w:r>
      <w:r>
        <w:rPr>
          <w:sz w:val="24"/>
        </w:rPr>
        <w:t>del</w:t>
      </w:r>
      <w:r>
        <w:rPr>
          <w:spacing w:val="18"/>
          <w:sz w:val="24"/>
        </w:rPr>
        <w:t> </w:t>
      </w:r>
      <w:r>
        <w:rPr>
          <w:sz w:val="24"/>
        </w:rPr>
        <w:t>muestreo.</w:t>
      </w:r>
      <w:r>
        <w:rPr>
          <w:spacing w:val="25"/>
          <w:sz w:val="24"/>
        </w:rPr>
        <w:t> </w:t>
      </w:r>
      <w:r>
        <w:rPr>
          <w:sz w:val="24"/>
        </w:rPr>
        <w:t>Otra</w:t>
      </w:r>
      <w:r>
        <w:rPr>
          <w:spacing w:val="17"/>
          <w:sz w:val="24"/>
        </w:rPr>
        <w:t> </w:t>
      </w:r>
      <w:r>
        <w:rPr>
          <w:sz w:val="24"/>
        </w:rPr>
        <w:t>técnica</w:t>
      </w:r>
      <w:r>
        <w:rPr>
          <w:spacing w:val="22"/>
          <w:sz w:val="24"/>
        </w:rPr>
        <w:t> </w:t>
      </w:r>
      <w:r>
        <w:rPr>
          <w:sz w:val="24"/>
        </w:rPr>
        <w:t>utilizada</w:t>
      </w:r>
      <w:r>
        <w:rPr>
          <w:spacing w:val="22"/>
          <w:sz w:val="24"/>
        </w:rPr>
        <w:t> </w:t>
      </w:r>
      <w:r>
        <w:rPr>
          <w:sz w:val="24"/>
        </w:rPr>
        <w:t>es</w:t>
      </w:r>
    </w:p>
    <w:p>
      <w:pPr>
        <w:spacing w:after="0" w:line="240" w:lineRule="auto"/>
        <w:jc w:val="left"/>
        <w:rPr>
          <w:sz w:val="24"/>
        </w:rPr>
        <w:sectPr>
          <w:footerReference w:type="default" r:id="rId22"/>
          <w:pgSz w:w="12240" w:h="15840"/>
          <w:pgMar w:footer="1713" w:header="1154" w:top="1520" w:bottom="1900" w:left="1180" w:right="1380"/>
          <w:pgNumType w:start="31"/>
        </w:sectPr>
      </w:pPr>
    </w:p>
    <w:p>
      <w:pPr>
        <w:pStyle w:val="BodyText"/>
        <w:spacing w:before="10"/>
        <w:rPr>
          <w:rFonts w:ascii="Times New Roman"/>
          <w:sz w:val="17"/>
        </w:rPr>
      </w:pPr>
    </w:p>
    <w:p>
      <w:pPr>
        <w:pStyle w:val="ListParagraph"/>
        <w:numPr>
          <w:ilvl w:val="0"/>
          <w:numId w:val="9"/>
        </w:numPr>
        <w:tabs>
          <w:tab w:pos="692" w:val="left" w:leader="none"/>
          <w:tab w:pos="693" w:val="left" w:leader="none"/>
        </w:tabs>
        <w:spacing w:line="240" w:lineRule="auto" w:before="69" w:after="0"/>
        <w:ind w:left="692" w:right="0" w:hanging="470"/>
        <w:jc w:val="left"/>
        <w:rPr>
          <w:sz w:val="24"/>
        </w:rPr>
      </w:pPr>
      <w:r>
        <w:rPr>
          <w:sz w:val="24"/>
        </w:rPr>
        <w:t>aislamiento viral esta   </w:t>
      </w:r>
      <w:r>
        <w:rPr>
          <w:spacing w:val="-3"/>
          <w:sz w:val="24"/>
        </w:rPr>
        <w:t>sólo </w:t>
      </w:r>
      <w:r>
        <w:rPr>
          <w:sz w:val="24"/>
        </w:rPr>
        <w:t>se realiza en laboratorios con personal capacitado, requiere  </w:t>
      </w:r>
      <w:r>
        <w:rPr>
          <w:spacing w:val="58"/>
          <w:sz w:val="24"/>
        </w:rPr>
        <w:t> </w:t>
      </w:r>
      <w:r>
        <w:rPr>
          <w:sz w:val="24"/>
        </w:rPr>
        <w:t>de</w:t>
      </w:r>
    </w:p>
    <w:p>
      <w:pPr>
        <w:pStyle w:val="ListParagraph"/>
        <w:numPr>
          <w:ilvl w:val="0"/>
          <w:numId w:val="9"/>
        </w:numPr>
        <w:tabs>
          <w:tab w:pos="692" w:val="left" w:leader="none"/>
          <w:tab w:pos="693" w:val="left" w:leader="none"/>
        </w:tabs>
        <w:spacing w:line="240" w:lineRule="auto" w:before="129" w:after="0"/>
        <w:ind w:left="692" w:right="0" w:hanging="470"/>
        <w:jc w:val="left"/>
        <w:rPr>
          <w:sz w:val="24"/>
        </w:rPr>
      </w:pPr>
      <w:r>
        <w:rPr>
          <w:sz w:val="24"/>
        </w:rPr>
        <w:t>largos periodos de tiempo (5-10 </w:t>
      </w:r>
      <w:r>
        <w:rPr>
          <w:spacing w:val="-3"/>
          <w:sz w:val="24"/>
        </w:rPr>
        <w:t>días) </w:t>
      </w:r>
      <w:r>
        <w:rPr>
          <w:sz w:val="24"/>
        </w:rPr>
        <w:t>y de exámenes adicionales  como </w:t>
      </w:r>
      <w:r>
        <w:rPr>
          <w:spacing w:val="49"/>
          <w:sz w:val="24"/>
        </w:rPr>
        <w:t> </w:t>
      </w:r>
      <w:r>
        <w:rPr>
          <w:sz w:val="24"/>
        </w:rPr>
        <w:t>inmunoflerecencia</w:t>
      </w:r>
    </w:p>
    <w:p>
      <w:pPr>
        <w:pStyle w:val="ListParagraph"/>
        <w:numPr>
          <w:ilvl w:val="0"/>
          <w:numId w:val="9"/>
        </w:numPr>
        <w:tabs>
          <w:tab w:pos="692" w:val="left" w:leader="none"/>
          <w:tab w:pos="693" w:val="left" w:leader="none"/>
        </w:tabs>
        <w:spacing w:line="240" w:lineRule="auto" w:before="130" w:after="0"/>
        <w:ind w:left="692" w:right="0" w:hanging="470"/>
        <w:jc w:val="left"/>
        <w:rPr>
          <w:sz w:val="24"/>
        </w:rPr>
      </w:pPr>
      <w:r>
        <w:rPr>
          <w:sz w:val="24"/>
        </w:rPr>
        <w:t>o</w:t>
      </w:r>
      <w:r>
        <w:rPr>
          <w:spacing w:val="29"/>
          <w:sz w:val="24"/>
        </w:rPr>
        <w:t> </w:t>
      </w:r>
      <w:r>
        <w:rPr>
          <w:sz w:val="24"/>
        </w:rPr>
        <w:t>HA</w:t>
      </w:r>
      <w:r>
        <w:rPr>
          <w:spacing w:val="19"/>
          <w:sz w:val="24"/>
        </w:rPr>
        <w:t> </w:t>
      </w:r>
      <w:r>
        <w:rPr>
          <w:sz w:val="24"/>
        </w:rPr>
        <w:t>con</w:t>
      </w:r>
      <w:r>
        <w:rPr>
          <w:spacing w:val="20"/>
          <w:sz w:val="24"/>
        </w:rPr>
        <w:t> </w:t>
      </w:r>
      <w:r>
        <w:rPr>
          <w:sz w:val="24"/>
        </w:rPr>
        <w:t>el</w:t>
      </w:r>
      <w:r>
        <w:rPr>
          <w:spacing w:val="20"/>
          <w:sz w:val="24"/>
        </w:rPr>
        <w:t> </w:t>
      </w:r>
      <w:r>
        <w:rPr>
          <w:sz w:val="24"/>
        </w:rPr>
        <w:t>fin</w:t>
      </w:r>
      <w:r>
        <w:rPr>
          <w:spacing w:val="25"/>
          <w:sz w:val="24"/>
        </w:rPr>
        <w:t> </w:t>
      </w:r>
      <w:r>
        <w:rPr>
          <w:sz w:val="24"/>
        </w:rPr>
        <w:t>de</w:t>
      </w:r>
      <w:r>
        <w:rPr>
          <w:spacing w:val="24"/>
          <w:sz w:val="24"/>
        </w:rPr>
        <w:t> </w:t>
      </w:r>
      <w:r>
        <w:rPr>
          <w:sz w:val="24"/>
        </w:rPr>
        <w:t>detectar</w:t>
      </w:r>
      <w:r>
        <w:rPr>
          <w:spacing w:val="26"/>
          <w:sz w:val="24"/>
        </w:rPr>
        <w:t> </w:t>
      </w:r>
      <w:r>
        <w:rPr>
          <w:sz w:val="24"/>
        </w:rPr>
        <w:t>el</w:t>
      </w:r>
      <w:r>
        <w:rPr>
          <w:spacing w:val="16"/>
          <w:sz w:val="24"/>
        </w:rPr>
        <w:t> </w:t>
      </w:r>
      <w:r>
        <w:rPr>
          <w:sz w:val="24"/>
        </w:rPr>
        <w:t>antígeno</w:t>
      </w:r>
      <w:r>
        <w:rPr>
          <w:spacing w:val="29"/>
          <w:sz w:val="24"/>
        </w:rPr>
        <w:t> </w:t>
      </w:r>
      <w:r>
        <w:rPr>
          <w:sz w:val="24"/>
        </w:rPr>
        <w:t>viral</w:t>
      </w:r>
      <w:r>
        <w:rPr>
          <w:spacing w:val="20"/>
          <w:sz w:val="24"/>
        </w:rPr>
        <w:t> </w:t>
      </w:r>
      <w:r>
        <w:rPr>
          <w:sz w:val="24"/>
        </w:rPr>
        <w:t>específicamente.</w:t>
      </w:r>
      <w:r>
        <w:rPr>
          <w:spacing w:val="27"/>
          <w:sz w:val="24"/>
        </w:rPr>
        <w:t> </w:t>
      </w:r>
      <w:r>
        <w:rPr>
          <w:sz w:val="24"/>
        </w:rPr>
        <w:t>La</w:t>
      </w:r>
      <w:r>
        <w:rPr>
          <w:spacing w:val="24"/>
          <w:sz w:val="24"/>
        </w:rPr>
        <w:t> </w:t>
      </w:r>
      <w:r>
        <w:rPr>
          <w:sz w:val="24"/>
        </w:rPr>
        <w:t>principal</w:t>
      </w:r>
      <w:r>
        <w:rPr>
          <w:spacing w:val="20"/>
          <w:sz w:val="24"/>
        </w:rPr>
        <w:t> </w:t>
      </w:r>
      <w:r>
        <w:rPr>
          <w:sz w:val="24"/>
        </w:rPr>
        <w:t>desventaja</w:t>
      </w:r>
      <w:r>
        <w:rPr>
          <w:spacing w:val="24"/>
          <w:sz w:val="24"/>
        </w:rPr>
        <w:t> </w:t>
      </w:r>
      <w:r>
        <w:rPr>
          <w:sz w:val="24"/>
        </w:rPr>
        <w:t>de</w:t>
      </w:r>
    </w:p>
    <w:p>
      <w:pPr>
        <w:pStyle w:val="ListParagraph"/>
        <w:numPr>
          <w:ilvl w:val="0"/>
          <w:numId w:val="9"/>
        </w:numPr>
        <w:tabs>
          <w:tab w:pos="692" w:val="left" w:leader="none"/>
          <w:tab w:pos="693" w:val="left" w:leader="none"/>
        </w:tabs>
        <w:spacing w:line="240" w:lineRule="auto" w:before="134" w:after="0"/>
        <w:ind w:left="692" w:right="0" w:hanging="470"/>
        <w:jc w:val="left"/>
        <w:rPr>
          <w:sz w:val="24"/>
        </w:rPr>
      </w:pPr>
      <w:r>
        <w:rPr>
          <w:sz w:val="24"/>
        </w:rPr>
        <w:t>HA</w:t>
      </w:r>
      <w:r>
        <w:rPr>
          <w:spacing w:val="52"/>
          <w:sz w:val="24"/>
        </w:rPr>
        <w:t> </w:t>
      </w:r>
      <w:r>
        <w:rPr>
          <w:sz w:val="24"/>
        </w:rPr>
        <w:t>y</w:t>
      </w:r>
      <w:r>
        <w:rPr>
          <w:spacing w:val="48"/>
          <w:sz w:val="24"/>
        </w:rPr>
        <w:t> </w:t>
      </w:r>
      <w:r>
        <w:rPr>
          <w:sz w:val="24"/>
        </w:rPr>
        <w:t>el</w:t>
      </w:r>
      <w:r>
        <w:rPr>
          <w:spacing w:val="48"/>
          <w:sz w:val="24"/>
        </w:rPr>
        <w:t> </w:t>
      </w:r>
      <w:r>
        <w:rPr>
          <w:sz w:val="24"/>
        </w:rPr>
        <w:t>aislamiento  viral</w:t>
      </w:r>
      <w:r>
        <w:rPr>
          <w:spacing w:val="48"/>
          <w:sz w:val="24"/>
        </w:rPr>
        <w:t> </w:t>
      </w:r>
      <w:r>
        <w:rPr>
          <w:sz w:val="24"/>
        </w:rPr>
        <w:t>es</w:t>
      </w:r>
      <w:r>
        <w:rPr>
          <w:spacing w:val="55"/>
          <w:sz w:val="24"/>
        </w:rPr>
        <w:t> </w:t>
      </w:r>
      <w:r>
        <w:rPr>
          <w:spacing w:val="-3"/>
          <w:sz w:val="24"/>
        </w:rPr>
        <w:t>la</w:t>
      </w:r>
      <w:r>
        <w:rPr>
          <w:spacing w:val="52"/>
          <w:sz w:val="24"/>
        </w:rPr>
        <w:t> </w:t>
      </w:r>
      <w:r>
        <w:rPr>
          <w:sz w:val="24"/>
        </w:rPr>
        <w:t>baja</w:t>
      </w:r>
      <w:r>
        <w:rPr>
          <w:spacing w:val="52"/>
          <w:sz w:val="24"/>
        </w:rPr>
        <w:t> </w:t>
      </w:r>
      <w:r>
        <w:rPr>
          <w:sz w:val="24"/>
        </w:rPr>
        <w:t>sensibilidad,</w:t>
      </w:r>
      <w:r>
        <w:rPr>
          <w:spacing w:val="59"/>
          <w:sz w:val="24"/>
        </w:rPr>
        <w:t> </w:t>
      </w:r>
      <w:r>
        <w:rPr>
          <w:sz w:val="24"/>
        </w:rPr>
        <w:t>que</w:t>
      </w:r>
      <w:r>
        <w:rPr>
          <w:spacing w:val="52"/>
          <w:sz w:val="24"/>
        </w:rPr>
        <w:t> </w:t>
      </w:r>
      <w:r>
        <w:rPr>
          <w:sz w:val="24"/>
        </w:rPr>
        <w:t>se</w:t>
      </w:r>
      <w:r>
        <w:rPr>
          <w:spacing w:val="52"/>
          <w:sz w:val="24"/>
        </w:rPr>
        <w:t> </w:t>
      </w:r>
      <w:r>
        <w:rPr>
          <w:sz w:val="24"/>
        </w:rPr>
        <w:t>obtiene</w:t>
      </w:r>
      <w:r>
        <w:rPr>
          <w:spacing w:val="52"/>
          <w:sz w:val="24"/>
        </w:rPr>
        <w:t> </w:t>
      </w:r>
      <w:r>
        <w:rPr>
          <w:sz w:val="24"/>
        </w:rPr>
        <w:t>en</w:t>
      </w:r>
      <w:r>
        <w:rPr>
          <w:spacing w:val="48"/>
          <w:sz w:val="24"/>
        </w:rPr>
        <w:t> </w:t>
      </w:r>
      <w:r>
        <w:rPr>
          <w:sz w:val="24"/>
        </w:rPr>
        <w:t>comparación</w:t>
      </w:r>
      <w:r>
        <w:rPr>
          <w:spacing w:val="48"/>
          <w:sz w:val="24"/>
        </w:rPr>
        <w:t> </w:t>
      </w:r>
      <w:r>
        <w:rPr>
          <w:spacing w:val="2"/>
          <w:sz w:val="24"/>
        </w:rPr>
        <w:t>con</w:t>
      </w:r>
    </w:p>
    <w:p>
      <w:pPr>
        <w:pStyle w:val="ListParagraph"/>
        <w:numPr>
          <w:ilvl w:val="0"/>
          <w:numId w:val="9"/>
        </w:numPr>
        <w:tabs>
          <w:tab w:pos="692" w:val="left" w:leader="none"/>
          <w:tab w:pos="693" w:val="left" w:leader="none"/>
          <w:tab w:pos="1772" w:val="left" w:leader="none"/>
          <w:tab w:pos="3354" w:val="left" w:leader="none"/>
          <w:tab w:pos="4050" w:val="left" w:leader="none"/>
          <w:tab w:pos="5709" w:val="left" w:leader="none"/>
          <w:tab w:pos="6858" w:val="left" w:leader="none"/>
          <w:tab w:pos="7285" w:val="left" w:leader="none"/>
          <w:tab w:pos="7890" w:val="left" w:leader="none"/>
          <w:tab w:pos="9363" w:val="left" w:leader="none"/>
        </w:tabs>
        <w:spacing w:line="240" w:lineRule="auto" w:before="129" w:after="0"/>
        <w:ind w:left="692" w:right="0" w:hanging="470"/>
        <w:jc w:val="left"/>
        <w:rPr>
          <w:sz w:val="24"/>
        </w:rPr>
      </w:pPr>
      <w:r>
        <w:rPr>
          <w:sz w:val="24"/>
        </w:rPr>
        <w:t>técnicas</w:t>
        <w:tab/>
        <w:t>desarrolladas</w:t>
        <w:tab/>
        <w:t>más</w:t>
        <w:tab/>
        <w:t>recientemente</w:t>
        <w:tab/>
        <w:t>(Desario</w:t>
        <w:tab/>
        <w:t>y</w:t>
        <w:tab/>
      </w:r>
      <w:r>
        <w:rPr>
          <w:spacing w:val="2"/>
          <w:sz w:val="24"/>
        </w:rPr>
        <w:t>col</w:t>
        <w:tab/>
      </w:r>
      <w:r>
        <w:rPr>
          <w:sz w:val="24"/>
        </w:rPr>
        <w:t>2005),como</w:t>
        <w:tab/>
      </w:r>
      <w:r>
        <w:rPr>
          <w:spacing w:val="-5"/>
          <w:sz w:val="24"/>
        </w:rPr>
        <w:t>la</w:t>
      </w:r>
    </w:p>
    <w:p>
      <w:pPr>
        <w:pStyle w:val="ListParagraph"/>
        <w:numPr>
          <w:ilvl w:val="0"/>
          <w:numId w:val="9"/>
        </w:numPr>
        <w:tabs>
          <w:tab w:pos="692" w:val="left" w:leader="none"/>
          <w:tab w:pos="693" w:val="left" w:leader="none"/>
        </w:tabs>
        <w:spacing w:line="240" w:lineRule="auto" w:before="129" w:after="0"/>
        <w:ind w:left="692" w:right="0" w:hanging="470"/>
        <w:jc w:val="left"/>
        <w:rPr>
          <w:sz w:val="24"/>
        </w:rPr>
      </w:pPr>
      <w:r>
        <w:rPr>
          <w:sz w:val="24"/>
        </w:rPr>
        <w:t>inmunocromatografía, que es un procedimiento simple,   rápido  y que puede ser  </w:t>
      </w:r>
      <w:r>
        <w:rPr>
          <w:spacing w:val="17"/>
          <w:sz w:val="24"/>
        </w:rPr>
        <w:t> </w:t>
      </w:r>
      <w:r>
        <w:rPr>
          <w:sz w:val="24"/>
        </w:rPr>
        <w:t>realizado</w:t>
      </w:r>
    </w:p>
    <w:p>
      <w:pPr>
        <w:pStyle w:val="ListParagraph"/>
        <w:numPr>
          <w:ilvl w:val="0"/>
          <w:numId w:val="9"/>
        </w:numPr>
        <w:tabs>
          <w:tab w:pos="692" w:val="left" w:leader="none"/>
          <w:tab w:pos="693" w:val="left" w:leader="none"/>
        </w:tabs>
        <w:spacing w:line="240" w:lineRule="auto" w:before="130" w:after="0"/>
        <w:ind w:left="692" w:right="0" w:hanging="470"/>
        <w:jc w:val="left"/>
        <w:rPr>
          <w:sz w:val="24"/>
        </w:rPr>
      </w:pPr>
      <w:r>
        <w:rPr>
          <w:sz w:val="24"/>
        </w:rPr>
        <w:t>por el médico veterinarios en su consultorio; como principal desventaja es que requiere  </w:t>
      </w:r>
      <w:r>
        <w:rPr>
          <w:spacing w:val="21"/>
          <w:sz w:val="24"/>
        </w:rPr>
        <w:t> </w:t>
      </w:r>
      <w:r>
        <w:rPr>
          <w:sz w:val="24"/>
        </w:rPr>
        <w:t>de</w:t>
      </w:r>
    </w:p>
    <w:p>
      <w:pPr>
        <w:pStyle w:val="ListParagraph"/>
        <w:numPr>
          <w:ilvl w:val="0"/>
          <w:numId w:val="9"/>
        </w:numPr>
        <w:tabs>
          <w:tab w:pos="692" w:val="left" w:leader="none"/>
          <w:tab w:pos="693" w:val="left" w:leader="none"/>
        </w:tabs>
        <w:spacing w:line="240" w:lineRule="auto" w:before="134" w:after="0"/>
        <w:ind w:left="692" w:right="0" w:hanging="470"/>
        <w:jc w:val="left"/>
        <w:rPr>
          <w:sz w:val="24"/>
        </w:rPr>
      </w:pPr>
      <w:r>
        <w:rPr>
          <w:sz w:val="24"/>
        </w:rPr>
        <w:t>una gran cantidad de antígeno viral en las heces para producir      </w:t>
      </w:r>
      <w:r>
        <w:rPr>
          <w:spacing w:val="2"/>
          <w:sz w:val="24"/>
        </w:rPr>
        <w:t> </w:t>
      </w:r>
      <w:r>
        <w:rPr>
          <w:sz w:val="24"/>
        </w:rPr>
        <w:t>una banda clara y visible,</w:t>
      </w:r>
    </w:p>
    <w:p>
      <w:pPr>
        <w:pStyle w:val="ListParagraph"/>
        <w:numPr>
          <w:ilvl w:val="0"/>
          <w:numId w:val="9"/>
        </w:numPr>
        <w:tabs>
          <w:tab w:pos="692" w:val="left" w:leader="none"/>
          <w:tab w:pos="693" w:val="left" w:leader="none"/>
        </w:tabs>
        <w:spacing w:line="240" w:lineRule="auto" w:before="129" w:after="0"/>
        <w:ind w:left="692" w:right="0" w:hanging="470"/>
        <w:jc w:val="left"/>
        <w:rPr>
          <w:sz w:val="24"/>
        </w:rPr>
      </w:pPr>
      <w:r>
        <w:rPr>
          <w:sz w:val="24"/>
        </w:rPr>
        <w:t>para que </w:t>
      </w:r>
      <w:r>
        <w:rPr>
          <w:spacing w:val="-5"/>
          <w:sz w:val="24"/>
        </w:rPr>
        <w:t>la </w:t>
      </w:r>
      <w:r>
        <w:rPr>
          <w:sz w:val="24"/>
        </w:rPr>
        <w:t>interpretación de los resultados </w:t>
      </w:r>
      <w:r>
        <w:rPr>
          <w:spacing w:val="-3"/>
          <w:sz w:val="24"/>
        </w:rPr>
        <w:t>no </w:t>
      </w:r>
      <w:r>
        <w:rPr>
          <w:sz w:val="24"/>
        </w:rPr>
        <w:t>pueda verse afectada por </w:t>
      </w:r>
      <w:r>
        <w:rPr>
          <w:spacing w:val="-5"/>
          <w:sz w:val="24"/>
        </w:rPr>
        <w:t>la   </w:t>
      </w:r>
      <w:r>
        <w:rPr>
          <w:spacing w:val="3"/>
          <w:sz w:val="24"/>
        </w:rPr>
        <w:t> </w:t>
      </w:r>
      <w:r>
        <w:rPr>
          <w:sz w:val="24"/>
        </w:rPr>
        <w:t>subjetividad </w:t>
      </w:r>
      <w:r>
        <w:rPr>
          <w:spacing w:val="2"/>
          <w:sz w:val="24"/>
        </w:rPr>
        <w:t>del</w:t>
      </w:r>
    </w:p>
    <w:p>
      <w:pPr>
        <w:pStyle w:val="ListParagraph"/>
        <w:numPr>
          <w:ilvl w:val="0"/>
          <w:numId w:val="9"/>
        </w:numPr>
        <w:tabs>
          <w:tab w:pos="692" w:val="left" w:leader="none"/>
          <w:tab w:pos="693" w:val="left" w:leader="none"/>
        </w:tabs>
        <w:spacing w:line="240" w:lineRule="auto" w:before="129" w:after="0"/>
        <w:ind w:left="692" w:right="0" w:hanging="581"/>
        <w:jc w:val="left"/>
        <w:rPr>
          <w:sz w:val="24"/>
        </w:rPr>
      </w:pPr>
      <w:r>
        <w:rPr>
          <w:sz w:val="24"/>
        </w:rPr>
        <w:t>operador (Esfandiari y Klingeborn 2000;Desario y col 2005). Aunque esta prueba, </w:t>
      </w:r>
      <w:r>
        <w:rPr>
          <w:spacing w:val="13"/>
          <w:sz w:val="24"/>
        </w:rPr>
        <w:t> </w:t>
      </w:r>
      <w:r>
        <w:rPr>
          <w:sz w:val="24"/>
        </w:rPr>
        <w:t>produce</w:t>
      </w:r>
    </w:p>
    <w:p>
      <w:pPr>
        <w:pStyle w:val="ListParagraph"/>
        <w:numPr>
          <w:ilvl w:val="0"/>
          <w:numId w:val="9"/>
        </w:numPr>
        <w:tabs>
          <w:tab w:pos="692" w:val="left" w:leader="none"/>
          <w:tab w:pos="693" w:val="left" w:leader="none"/>
        </w:tabs>
        <w:spacing w:line="240" w:lineRule="auto" w:before="130" w:after="0"/>
        <w:ind w:left="692" w:right="0" w:hanging="581"/>
        <w:jc w:val="left"/>
        <w:rPr>
          <w:sz w:val="24"/>
        </w:rPr>
      </w:pPr>
      <w:r>
        <w:rPr>
          <w:sz w:val="24"/>
        </w:rPr>
        <w:t>resultados de sensibilidad más eficientes que </w:t>
      </w:r>
      <w:r>
        <w:rPr>
          <w:spacing w:val="-3"/>
          <w:sz w:val="24"/>
        </w:rPr>
        <w:t>la </w:t>
      </w:r>
      <w:r>
        <w:rPr>
          <w:sz w:val="24"/>
        </w:rPr>
        <w:t>hemoaglutinación (Lacheretz   </w:t>
      </w:r>
      <w:r>
        <w:rPr>
          <w:spacing w:val="18"/>
          <w:sz w:val="24"/>
        </w:rPr>
        <w:t> </w:t>
      </w:r>
      <w:r>
        <w:rPr>
          <w:sz w:val="24"/>
        </w:rPr>
        <w:t>y </w:t>
      </w:r>
      <w:r>
        <w:rPr>
          <w:spacing w:val="2"/>
          <w:sz w:val="24"/>
        </w:rPr>
        <w:t>col </w:t>
      </w:r>
      <w:r>
        <w:rPr>
          <w:sz w:val="24"/>
        </w:rPr>
        <w:t>2003),</w:t>
      </w:r>
    </w:p>
    <w:p>
      <w:pPr>
        <w:pStyle w:val="ListParagraph"/>
        <w:numPr>
          <w:ilvl w:val="0"/>
          <w:numId w:val="9"/>
        </w:numPr>
        <w:tabs>
          <w:tab w:pos="692" w:val="left" w:leader="none"/>
          <w:tab w:pos="693" w:val="left" w:leader="none"/>
        </w:tabs>
        <w:spacing w:line="240" w:lineRule="auto" w:before="134" w:after="0"/>
        <w:ind w:left="692" w:right="0" w:hanging="581"/>
        <w:jc w:val="left"/>
        <w:rPr>
          <w:sz w:val="24"/>
        </w:rPr>
      </w:pPr>
      <w:r>
        <w:rPr>
          <w:sz w:val="24"/>
        </w:rPr>
        <w:t>se  </w:t>
      </w:r>
      <w:r>
        <w:rPr>
          <w:spacing w:val="-3"/>
          <w:sz w:val="24"/>
        </w:rPr>
        <w:t>ha   </w:t>
      </w:r>
      <w:r>
        <w:rPr>
          <w:sz w:val="24"/>
        </w:rPr>
        <w:t>demostrado  que  es  menos  eficiente  que  </w:t>
      </w:r>
      <w:r>
        <w:rPr>
          <w:spacing w:val="-3"/>
          <w:sz w:val="24"/>
        </w:rPr>
        <w:t>las   </w:t>
      </w:r>
      <w:r>
        <w:rPr>
          <w:sz w:val="24"/>
        </w:rPr>
        <w:t>técnicas  moleculares  (Decaro     </w:t>
      </w:r>
      <w:r>
        <w:rPr>
          <w:spacing w:val="57"/>
          <w:sz w:val="24"/>
        </w:rPr>
        <w:t> </w:t>
      </w:r>
      <w:r>
        <w:rPr>
          <w:sz w:val="24"/>
        </w:rPr>
        <w:t>y</w:t>
      </w:r>
    </w:p>
    <w:p>
      <w:pPr>
        <w:pStyle w:val="ListParagraph"/>
        <w:numPr>
          <w:ilvl w:val="0"/>
          <w:numId w:val="9"/>
        </w:numPr>
        <w:tabs>
          <w:tab w:pos="692" w:val="left" w:leader="none"/>
          <w:tab w:pos="693" w:val="left" w:leader="none"/>
        </w:tabs>
        <w:spacing w:line="240" w:lineRule="auto" w:before="129" w:after="0"/>
        <w:ind w:left="692" w:right="0" w:hanging="581"/>
        <w:jc w:val="left"/>
        <w:rPr>
          <w:sz w:val="24"/>
        </w:rPr>
      </w:pPr>
      <w:r>
        <w:rPr>
          <w:sz w:val="24"/>
        </w:rPr>
        <w:t>Buonavoglia   2012,   Schimtz   y  </w:t>
      </w:r>
      <w:r>
        <w:rPr>
          <w:spacing w:val="2"/>
          <w:sz w:val="24"/>
        </w:rPr>
        <w:t>col  </w:t>
      </w:r>
      <w:r>
        <w:rPr>
          <w:sz w:val="24"/>
        </w:rPr>
        <w:t>2009).Otra   técnica   comúnmente   utilizada   es </w:t>
      </w:r>
      <w:r>
        <w:rPr>
          <w:spacing w:val="56"/>
          <w:sz w:val="24"/>
        </w:rPr>
        <w:t> </w:t>
      </w:r>
      <w:r>
        <w:rPr>
          <w:sz w:val="24"/>
        </w:rPr>
        <w:t>el</w:t>
      </w:r>
    </w:p>
    <w:p>
      <w:pPr>
        <w:pStyle w:val="ListParagraph"/>
        <w:numPr>
          <w:ilvl w:val="0"/>
          <w:numId w:val="9"/>
        </w:numPr>
        <w:tabs>
          <w:tab w:pos="692" w:val="left" w:leader="none"/>
          <w:tab w:pos="693" w:val="left" w:leader="none"/>
        </w:tabs>
        <w:spacing w:line="240" w:lineRule="auto" w:before="129" w:after="0"/>
        <w:ind w:left="692" w:right="0" w:hanging="581"/>
        <w:jc w:val="left"/>
        <w:rPr>
          <w:sz w:val="24"/>
        </w:rPr>
      </w:pPr>
      <w:r>
        <w:rPr>
          <w:sz w:val="24"/>
        </w:rPr>
        <w:t>inmunoensayo ligada a enzimas (ELISA) en membrana, es otra técnica utilizada de  </w:t>
      </w:r>
      <w:r>
        <w:rPr>
          <w:spacing w:val="58"/>
          <w:sz w:val="24"/>
        </w:rPr>
        <w:t> </w:t>
      </w:r>
      <w:r>
        <w:rPr>
          <w:sz w:val="24"/>
        </w:rPr>
        <w:t>forma</w:t>
      </w:r>
    </w:p>
    <w:p>
      <w:pPr>
        <w:pStyle w:val="ListParagraph"/>
        <w:numPr>
          <w:ilvl w:val="0"/>
          <w:numId w:val="9"/>
        </w:numPr>
        <w:tabs>
          <w:tab w:pos="692" w:val="left" w:leader="none"/>
          <w:tab w:pos="693" w:val="left" w:leader="none"/>
        </w:tabs>
        <w:spacing w:line="240" w:lineRule="auto" w:before="130" w:after="0"/>
        <w:ind w:left="692" w:right="0" w:hanging="581"/>
        <w:jc w:val="left"/>
        <w:rPr>
          <w:sz w:val="24"/>
        </w:rPr>
      </w:pPr>
      <w:r>
        <w:rPr>
          <w:sz w:val="24"/>
        </w:rPr>
        <w:t>común en </w:t>
      </w:r>
      <w:r>
        <w:rPr>
          <w:spacing w:val="-3"/>
          <w:sz w:val="24"/>
        </w:rPr>
        <w:t>la  </w:t>
      </w:r>
      <w:r>
        <w:rPr>
          <w:sz w:val="24"/>
        </w:rPr>
        <w:t>práctica  clínica,  sin embargo  un ensayo  realizados por  Desario  y </w:t>
      </w:r>
      <w:r>
        <w:rPr>
          <w:spacing w:val="2"/>
          <w:sz w:val="24"/>
        </w:rPr>
        <w:t>col</w:t>
      </w:r>
      <w:r>
        <w:rPr>
          <w:spacing w:val="19"/>
          <w:sz w:val="24"/>
        </w:rPr>
        <w:t> </w:t>
      </w:r>
      <w:r>
        <w:rPr>
          <w:sz w:val="24"/>
        </w:rPr>
        <w:t>2005,</w:t>
      </w:r>
    </w:p>
    <w:p>
      <w:pPr>
        <w:pStyle w:val="ListParagraph"/>
        <w:numPr>
          <w:ilvl w:val="0"/>
          <w:numId w:val="9"/>
        </w:numPr>
        <w:tabs>
          <w:tab w:pos="692" w:val="left" w:leader="none"/>
          <w:tab w:pos="693" w:val="left" w:leader="none"/>
        </w:tabs>
        <w:spacing w:line="240" w:lineRule="auto" w:before="134" w:after="0"/>
        <w:ind w:left="692" w:right="0" w:hanging="581"/>
        <w:jc w:val="left"/>
        <w:rPr>
          <w:sz w:val="24"/>
        </w:rPr>
      </w:pPr>
      <w:r>
        <w:rPr>
          <w:sz w:val="24"/>
        </w:rPr>
        <w:t>reportó  que esta técnica  </w:t>
      </w:r>
      <w:r>
        <w:rPr>
          <w:spacing w:val="-3"/>
          <w:sz w:val="24"/>
        </w:rPr>
        <w:t>solo </w:t>
      </w:r>
      <w:r>
        <w:rPr>
          <w:sz w:val="24"/>
        </w:rPr>
        <w:t>pudo detectar al 46% de los pacientes  positivos   </w:t>
      </w:r>
      <w:r>
        <w:rPr>
          <w:spacing w:val="15"/>
          <w:sz w:val="24"/>
        </w:rPr>
        <w:t> </w:t>
      </w:r>
      <w:r>
        <w:rPr>
          <w:sz w:val="24"/>
        </w:rPr>
        <w:t>comparada</w:t>
      </w:r>
    </w:p>
    <w:p>
      <w:pPr>
        <w:pStyle w:val="ListParagraph"/>
        <w:numPr>
          <w:ilvl w:val="0"/>
          <w:numId w:val="9"/>
        </w:numPr>
        <w:tabs>
          <w:tab w:pos="692" w:val="left" w:leader="none"/>
          <w:tab w:pos="693" w:val="left" w:leader="none"/>
        </w:tabs>
        <w:spacing w:line="240" w:lineRule="auto" w:before="129" w:after="0"/>
        <w:ind w:left="692" w:right="0" w:hanging="581"/>
        <w:jc w:val="left"/>
        <w:rPr>
          <w:sz w:val="24"/>
        </w:rPr>
      </w:pPr>
      <w:r>
        <w:rPr>
          <w:sz w:val="24"/>
        </w:rPr>
        <w:t>con   técnicas  moleculares. Por </w:t>
      </w:r>
      <w:r>
        <w:rPr>
          <w:spacing w:val="-5"/>
          <w:sz w:val="24"/>
        </w:rPr>
        <w:t>lo  </w:t>
      </w:r>
      <w:r>
        <w:rPr>
          <w:sz w:val="24"/>
        </w:rPr>
        <w:t>tanto, estas últimas  técnicas  que pueden ser  </w:t>
      </w:r>
      <w:r>
        <w:rPr>
          <w:spacing w:val="38"/>
          <w:sz w:val="24"/>
        </w:rPr>
        <w:t> </w:t>
      </w:r>
      <w:r>
        <w:rPr>
          <w:sz w:val="24"/>
        </w:rPr>
        <w:t>utilizadas</w:t>
      </w:r>
    </w:p>
    <w:p>
      <w:pPr>
        <w:pStyle w:val="ListParagraph"/>
        <w:numPr>
          <w:ilvl w:val="0"/>
          <w:numId w:val="9"/>
        </w:numPr>
        <w:tabs>
          <w:tab w:pos="692" w:val="left" w:leader="none"/>
          <w:tab w:pos="693" w:val="left" w:leader="none"/>
        </w:tabs>
        <w:spacing w:line="240" w:lineRule="auto" w:before="129" w:after="0"/>
        <w:ind w:left="692" w:right="0" w:hanging="581"/>
        <w:jc w:val="left"/>
        <w:rPr>
          <w:sz w:val="24"/>
        </w:rPr>
      </w:pPr>
      <w:r>
        <w:rPr>
          <w:sz w:val="24"/>
        </w:rPr>
        <w:t>directamente  en  hospitales  veterinarios,  solamente  se  consideran  útiles  como    </w:t>
      </w:r>
      <w:r>
        <w:rPr>
          <w:spacing w:val="2"/>
          <w:sz w:val="24"/>
        </w:rPr>
        <w:t> </w:t>
      </w:r>
      <w:r>
        <w:rPr>
          <w:sz w:val="24"/>
        </w:rPr>
        <w:t>primer</w:t>
      </w:r>
    </w:p>
    <w:p>
      <w:pPr>
        <w:pStyle w:val="ListParagraph"/>
        <w:numPr>
          <w:ilvl w:val="0"/>
          <w:numId w:val="9"/>
        </w:numPr>
        <w:tabs>
          <w:tab w:pos="692" w:val="left" w:leader="none"/>
          <w:tab w:pos="693" w:val="left" w:leader="none"/>
        </w:tabs>
        <w:spacing w:line="240" w:lineRule="auto" w:before="130" w:after="0"/>
        <w:ind w:left="692" w:right="0" w:hanging="581"/>
        <w:jc w:val="left"/>
        <w:rPr>
          <w:sz w:val="24"/>
        </w:rPr>
      </w:pPr>
      <w:r>
        <w:rPr>
          <w:sz w:val="24"/>
        </w:rPr>
        <w:t>abordaje  diagnóstico  y en  casos  donde  el resultado  de  </w:t>
      </w:r>
      <w:r>
        <w:rPr>
          <w:spacing w:val="-5"/>
          <w:sz w:val="24"/>
        </w:rPr>
        <w:t>la  </w:t>
      </w:r>
      <w:r>
        <w:rPr>
          <w:sz w:val="24"/>
        </w:rPr>
        <w:t>prueba  </w:t>
      </w:r>
      <w:r>
        <w:rPr>
          <w:spacing w:val="-3"/>
          <w:sz w:val="24"/>
        </w:rPr>
        <w:t>no  </w:t>
      </w:r>
      <w:r>
        <w:rPr>
          <w:sz w:val="24"/>
        </w:rPr>
        <w:t>concuerda  con</w:t>
      </w:r>
      <w:r>
        <w:rPr>
          <w:spacing w:val="-13"/>
          <w:sz w:val="24"/>
        </w:rPr>
        <w:t> </w:t>
      </w:r>
      <w:r>
        <w:rPr>
          <w:sz w:val="24"/>
        </w:rPr>
        <w:t>los</w:t>
      </w:r>
    </w:p>
    <w:p>
      <w:pPr>
        <w:pStyle w:val="ListParagraph"/>
        <w:numPr>
          <w:ilvl w:val="0"/>
          <w:numId w:val="9"/>
        </w:numPr>
        <w:tabs>
          <w:tab w:pos="692" w:val="left" w:leader="none"/>
          <w:tab w:pos="693" w:val="left" w:leader="none"/>
        </w:tabs>
        <w:spacing w:line="240" w:lineRule="auto" w:before="134" w:after="0"/>
        <w:ind w:left="692" w:right="0" w:hanging="581"/>
        <w:jc w:val="left"/>
        <w:rPr>
          <w:sz w:val="24"/>
        </w:rPr>
      </w:pPr>
      <w:r>
        <w:rPr>
          <w:sz w:val="24"/>
        </w:rPr>
        <w:t>signos clínicos de </w:t>
      </w:r>
      <w:r>
        <w:rPr>
          <w:spacing w:val="-3"/>
          <w:sz w:val="24"/>
        </w:rPr>
        <w:t>la </w:t>
      </w:r>
      <w:r>
        <w:rPr>
          <w:sz w:val="24"/>
        </w:rPr>
        <w:t>enfermedad se recomienda corroborar los resultados con otras</w:t>
      </w:r>
      <w:r>
        <w:rPr>
          <w:spacing w:val="27"/>
          <w:sz w:val="24"/>
        </w:rPr>
        <w:t> </w:t>
      </w:r>
      <w:r>
        <w:rPr>
          <w:sz w:val="24"/>
        </w:rPr>
        <w:t>técnicas</w:t>
      </w:r>
    </w:p>
    <w:p>
      <w:pPr>
        <w:pStyle w:val="ListParagraph"/>
        <w:numPr>
          <w:ilvl w:val="0"/>
          <w:numId w:val="9"/>
        </w:numPr>
        <w:tabs>
          <w:tab w:pos="692" w:val="left" w:leader="none"/>
          <w:tab w:pos="693" w:val="left" w:leader="none"/>
        </w:tabs>
        <w:spacing w:line="240" w:lineRule="auto" w:before="129" w:after="0"/>
        <w:ind w:left="692" w:right="0" w:hanging="581"/>
        <w:jc w:val="left"/>
        <w:rPr>
          <w:sz w:val="24"/>
        </w:rPr>
      </w:pPr>
      <w:r>
        <w:rPr>
          <w:sz w:val="24"/>
        </w:rPr>
        <w:t>como PCR o inmunofluorescencia (Schmitz y </w:t>
      </w:r>
      <w:r>
        <w:rPr>
          <w:spacing w:val="2"/>
          <w:sz w:val="24"/>
        </w:rPr>
        <w:t>col </w:t>
      </w:r>
      <w:r>
        <w:rPr>
          <w:sz w:val="24"/>
        </w:rPr>
        <w:t>2009; Decaro y </w:t>
      </w:r>
      <w:r>
        <w:rPr>
          <w:spacing w:val="2"/>
          <w:sz w:val="24"/>
        </w:rPr>
        <w:t>col </w:t>
      </w:r>
      <w:r>
        <w:rPr>
          <w:sz w:val="24"/>
        </w:rPr>
        <w:t>2010). La técnica  </w:t>
      </w:r>
      <w:r>
        <w:rPr>
          <w:spacing w:val="5"/>
          <w:sz w:val="24"/>
        </w:rPr>
        <w:t> </w:t>
      </w:r>
      <w:r>
        <w:rPr>
          <w:sz w:val="24"/>
        </w:rPr>
        <w:t>de</w:t>
      </w:r>
    </w:p>
    <w:p>
      <w:pPr>
        <w:pStyle w:val="ListParagraph"/>
        <w:numPr>
          <w:ilvl w:val="0"/>
          <w:numId w:val="9"/>
        </w:numPr>
        <w:tabs>
          <w:tab w:pos="692" w:val="left" w:leader="none"/>
          <w:tab w:pos="693" w:val="left" w:leader="none"/>
        </w:tabs>
        <w:spacing w:line="240" w:lineRule="auto" w:before="129" w:after="0"/>
        <w:ind w:left="692" w:right="0" w:hanging="581"/>
        <w:jc w:val="left"/>
        <w:rPr>
          <w:sz w:val="24"/>
        </w:rPr>
      </w:pPr>
      <w:r>
        <w:rPr>
          <w:sz w:val="24"/>
        </w:rPr>
        <w:t>PCR es altamente  sensible  y específica para  </w:t>
      </w:r>
      <w:r>
        <w:rPr>
          <w:spacing w:val="-3"/>
          <w:sz w:val="24"/>
        </w:rPr>
        <w:t>la  </w:t>
      </w:r>
      <w:r>
        <w:rPr>
          <w:sz w:val="24"/>
        </w:rPr>
        <w:t>detección de  parvovirus canino  en</w:t>
      </w:r>
      <w:r>
        <w:rPr>
          <w:spacing w:val="17"/>
          <w:sz w:val="24"/>
        </w:rPr>
        <w:t> </w:t>
      </w:r>
      <w:r>
        <w:rPr>
          <w:sz w:val="24"/>
        </w:rPr>
        <w:t>heces,</w:t>
      </w:r>
    </w:p>
    <w:p>
      <w:pPr>
        <w:pStyle w:val="ListParagraph"/>
        <w:numPr>
          <w:ilvl w:val="0"/>
          <w:numId w:val="9"/>
        </w:numPr>
        <w:tabs>
          <w:tab w:pos="692" w:val="left" w:leader="none"/>
          <w:tab w:pos="693" w:val="left" w:leader="none"/>
        </w:tabs>
        <w:spacing w:line="240" w:lineRule="auto" w:before="130" w:after="0"/>
        <w:ind w:left="692" w:right="0" w:hanging="581"/>
        <w:jc w:val="left"/>
        <w:rPr>
          <w:sz w:val="24"/>
        </w:rPr>
      </w:pPr>
      <w:r>
        <w:rPr>
          <w:sz w:val="24"/>
        </w:rPr>
        <w:t>tiene</w:t>
      </w:r>
      <w:r>
        <w:rPr>
          <w:spacing w:val="21"/>
          <w:sz w:val="24"/>
        </w:rPr>
        <w:t> </w:t>
      </w:r>
      <w:r>
        <w:rPr>
          <w:sz w:val="24"/>
        </w:rPr>
        <w:t>mayor</w:t>
      </w:r>
      <w:r>
        <w:rPr>
          <w:spacing w:val="18"/>
          <w:sz w:val="24"/>
        </w:rPr>
        <w:t> </w:t>
      </w:r>
      <w:r>
        <w:rPr>
          <w:sz w:val="24"/>
        </w:rPr>
        <w:t>grado</w:t>
      </w:r>
      <w:r>
        <w:rPr>
          <w:spacing w:val="21"/>
          <w:sz w:val="24"/>
        </w:rPr>
        <w:t> </w:t>
      </w:r>
      <w:r>
        <w:rPr>
          <w:sz w:val="24"/>
        </w:rPr>
        <w:t>de</w:t>
      </w:r>
      <w:r>
        <w:rPr>
          <w:spacing w:val="16"/>
          <w:sz w:val="24"/>
        </w:rPr>
        <w:t> </w:t>
      </w:r>
      <w:r>
        <w:rPr>
          <w:sz w:val="24"/>
        </w:rPr>
        <w:t>sensibilidad</w:t>
      </w:r>
      <w:r>
        <w:rPr>
          <w:spacing w:val="17"/>
          <w:sz w:val="24"/>
        </w:rPr>
        <w:t> </w:t>
      </w:r>
      <w:r>
        <w:rPr>
          <w:sz w:val="24"/>
        </w:rPr>
        <w:t>que</w:t>
      </w:r>
      <w:r>
        <w:rPr>
          <w:spacing w:val="21"/>
          <w:sz w:val="24"/>
        </w:rPr>
        <w:t> </w:t>
      </w:r>
      <w:r>
        <w:rPr>
          <w:spacing w:val="-3"/>
          <w:sz w:val="24"/>
        </w:rPr>
        <w:t>la</w:t>
      </w:r>
      <w:r>
        <w:rPr>
          <w:spacing w:val="16"/>
          <w:sz w:val="24"/>
        </w:rPr>
        <w:t> </w:t>
      </w:r>
      <w:r>
        <w:rPr>
          <w:sz w:val="24"/>
        </w:rPr>
        <w:t>técnica</w:t>
      </w:r>
      <w:r>
        <w:rPr>
          <w:spacing w:val="21"/>
          <w:sz w:val="24"/>
        </w:rPr>
        <w:t> </w:t>
      </w:r>
      <w:r>
        <w:rPr>
          <w:sz w:val="24"/>
        </w:rPr>
        <w:t>de</w:t>
      </w:r>
      <w:r>
        <w:rPr>
          <w:spacing w:val="21"/>
          <w:sz w:val="24"/>
        </w:rPr>
        <w:t> </w:t>
      </w:r>
      <w:r>
        <w:rPr>
          <w:sz w:val="24"/>
        </w:rPr>
        <w:t>inhibición</w:t>
      </w:r>
      <w:r>
        <w:rPr>
          <w:spacing w:val="12"/>
          <w:sz w:val="24"/>
        </w:rPr>
        <w:t> </w:t>
      </w:r>
      <w:r>
        <w:rPr>
          <w:sz w:val="24"/>
        </w:rPr>
        <w:t>de</w:t>
      </w:r>
      <w:r>
        <w:rPr>
          <w:spacing w:val="21"/>
          <w:sz w:val="24"/>
        </w:rPr>
        <w:t> </w:t>
      </w:r>
      <w:r>
        <w:rPr>
          <w:spacing w:val="-5"/>
          <w:sz w:val="24"/>
        </w:rPr>
        <w:t>la</w:t>
      </w:r>
      <w:r>
        <w:rPr>
          <w:spacing w:val="21"/>
          <w:sz w:val="24"/>
        </w:rPr>
        <w:t> </w:t>
      </w:r>
      <w:r>
        <w:rPr>
          <w:sz w:val="24"/>
        </w:rPr>
        <w:t>hemaglutinación</w:t>
      </w:r>
      <w:r>
        <w:rPr>
          <w:spacing w:val="17"/>
          <w:sz w:val="24"/>
        </w:rPr>
        <w:t> </w:t>
      </w:r>
      <w:r>
        <w:rPr>
          <w:sz w:val="24"/>
        </w:rPr>
        <w:t>y</w:t>
      </w:r>
      <w:r>
        <w:rPr>
          <w:spacing w:val="12"/>
          <w:sz w:val="24"/>
        </w:rPr>
        <w:t> </w:t>
      </w:r>
      <w:r>
        <w:rPr>
          <w:sz w:val="24"/>
        </w:rPr>
        <w:t>es</w:t>
      </w:r>
    </w:p>
    <w:p>
      <w:pPr>
        <w:pStyle w:val="ListParagraph"/>
        <w:numPr>
          <w:ilvl w:val="0"/>
          <w:numId w:val="9"/>
        </w:numPr>
        <w:tabs>
          <w:tab w:pos="692" w:val="left" w:leader="none"/>
          <w:tab w:pos="693" w:val="left" w:leader="none"/>
        </w:tabs>
        <w:spacing w:line="240" w:lineRule="auto" w:before="129" w:after="0"/>
        <w:ind w:left="692" w:right="0" w:hanging="581"/>
        <w:jc w:val="left"/>
        <w:rPr>
          <w:sz w:val="24"/>
        </w:rPr>
      </w:pPr>
      <w:r>
        <w:rPr>
          <w:sz w:val="24"/>
        </w:rPr>
        <w:t>considerada como una valiosa alternativa a </w:t>
      </w:r>
      <w:r>
        <w:rPr>
          <w:spacing w:val="-5"/>
          <w:sz w:val="24"/>
        </w:rPr>
        <w:t>la  </w:t>
      </w:r>
      <w:r>
        <w:rPr>
          <w:sz w:val="24"/>
        </w:rPr>
        <w:t>inmunofluorescencia  para el diagnóstico   de</w:t>
      </w:r>
    </w:p>
    <w:p>
      <w:pPr>
        <w:pStyle w:val="ListParagraph"/>
        <w:numPr>
          <w:ilvl w:val="0"/>
          <w:numId w:val="9"/>
        </w:numPr>
        <w:tabs>
          <w:tab w:pos="692" w:val="left" w:leader="none"/>
          <w:tab w:pos="693" w:val="left" w:leader="none"/>
        </w:tabs>
        <w:spacing w:line="240" w:lineRule="auto" w:before="134" w:after="0"/>
        <w:ind w:left="692" w:right="0" w:hanging="581"/>
        <w:jc w:val="left"/>
        <w:rPr>
          <w:sz w:val="24"/>
        </w:rPr>
      </w:pPr>
      <w:r>
        <w:rPr>
          <w:sz w:val="24"/>
        </w:rPr>
        <w:t>rutina de  </w:t>
      </w:r>
      <w:r>
        <w:rPr>
          <w:spacing w:val="-3"/>
          <w:sz w:val="24"/>
        </w:rPr>
        <w:t>la  </w:t>
      </w:r>
      <w:r>
        <w:rPr>
          <w:sz w:val="24"/>
        </w:rPr>
        <w:t>infección por  parvovirus canino  (Schunck  y </w:t>
      </w:r>
      <w:r>
        <w:rPr>
          <w:spacing w:val="2"/>
          <w:sz w:val="24"/>
        </w:rPr>
        <w:t>col </w:t>
      </w:r>
      <w:r>
        <w:rPr>
          <w:sz w:val="24"/>
        </w:rPr>
        <w:t>1995,  Uwatoko  y </w:t>
      </w:r>
      <w:r>
        <w:rPr>
          <w:spacing w:val="2"/>
          <w:sz w:val="24"/>
        </w:rPr>
        <w:t>col</w:t>
      </w:r>
      <w:r>
        <w:rPr>
          <w:spacing w:val="17"/>
          <w:sz w:val="24"/>
        </w:rPr>
        <w:t> </w:t>
      </w:r>
      <w:r>
        <w:rPr>
          <w:sz w:val="24"/>
        </w:rPr>
        <w:t>1995,</w:t>
      </w:r>
    </w:p>
    <w:p>
      <w:pPr>
        <w:pStyle w:val="ListParagraph"/>
        <w:numPr>
          <w:ilvl w:val="0"/>
          <w:numId w:val="9"/>
        </w:numPr>
        <w:tabs>
          <w:tab w:pos="692" w:val="left" w:leader="none"/>
          <w:tab w:pos="693" w:val="left" w:leader="none"/>
        </w:tabs>
        <w:spacing w:line="240" w:lineRule="auto" w:before="129" w:after="0"/>
        <w:ind w:left="692" w:right="0" w:hanging="581"/>
        <w:jc w:val="left"/>
        <w:rPr>
          <w:sz w:val="24"/>
        </w:rPr>
      </w:pPr>
      <w:r>
        <w:rPr>
          <w:sz w:val="24"/>
        </w:rPr>
        <w:t>Pereira  y </w:t>
      </w:r>
      <w:r>
        <w:rPr>
          <w:spacing w:val="2"/>
          <w:sz w:val="24"/>
        </w:rPr>
        <w:t>col </w:t>
      </w:r>
      <w:r>
        <w:rPr>
          <w:sz w:val="24"/>
        </w:rPr>
        <w:t>2000).  Además,  </w:t>
      </w:r>
      <w:r>
        <w:rPr>
          <w:spacing w:val="-5"/>
          <w:sz w:val="24"/>
        </w:rPr>
        <w:t>la  </w:t>
      </w:r>
      <w:r>
        <w:rPr>
          <w:sz w:val="24"/>
        </w:rPr>
        <w:t>técnica  de  PCR  anidada  reporta  un  incremento  en </w:t>
      </w:r>
      <w:r>
        <w:rPr>
          <w:spacing w:val="26"/>
          <w:sz w:val="24"/>
        </w:rPr>
        <w:t> </w:t>
      </w:r>
      <w:r>
        <w:rPr>
          <w:spacing w:val="-5"/>
          <w:sz w:val="24"/>
        </w:rPr>
        <w:t>la</w:t>
      </w:r>
    </w:p>
    <w:p>
      <w:pPr>
        <w:pStyle w:val="ListParagraph"/>
        <w:numPr>
          <w:ilvl w:val="0"/>
          <w:numId w:val="9"/>
        </w:numPr>
        <w:tabs>
          <w:tab w:pos="692" w:val="left" w:leader="none"/>
          <w:tab w:pos="693" w:val="left" w:leader="none"/>
        </w:tabs>
        <w:spacing w:line="240" w:lineRule="auto" w:before="130" w:after="0"/>
        <w:ind w:left="692" w:right="0" w:hanging="581"/>
        <w:jc w:val="left"/>
        <w:rPr>
          <w:sz w:val="24"/>
        </w:rPr>
      </w:pPr>
      <w:r>
        <w:rPr>
          <w:sz w:val="24"/>
        </w:rPr>
        <w:t>sensibilidad  de  hasta  el  100%  (Hirasawa   y  </w:t>
      </w:r>
      <w:r>
        <w:rPr>
          <w:spacing w:val="2"/>
          <w:sz w:val="24"/>
        </w:rPr>
        <w:t>col  </w:t>
      </w:r>
      <w:r>
        <w:rPr>
          <w:sz w:val="24"/>
        </w:rPr>
        <w:t>1994)  esto  permite  </w:t>
      </w:r>
      <w:r>
        <w:rPr>
          <w:spacing w:val="-3"/>
          <w:sz w:val="24"/>
        </w:rPr>
        <w:t>la  </w:t>
      </w:r>
      <w:r>
        <w:rPr>
          <w:sz w:val="24"/>
        </w:rPr>
        <w:t>detección    </w:t>
      </w:r>
      <w:r>
        <w:rPr>
          <w:spacing w:val="16"/>
          <w:sz w:val="24"/>
        </w:rPr>
        <w:t> </w:t>
      </w:r>
      <w:r>
        <w:rPr>
          <w:sz w:val="24"/>
        </w:rPr>
        <w:t>de</w:t>
      </w:r>
    </w:p>
    <w:p>
      <w:pPr>
        <w:pStyle w:val="ListParagraph"/>
        <w:numPr>
          <w:ilvl w:val="0"/>
          <w:numId w:val="9"/>
        </w:numPr>
        <w:tabs>
          <w:tab w:pos="692" w:val="left" w:leader="none"/>
          <w:tab w:pos="693" w:val="left" w:leader="none"/>
        </w:tabs>
        <w:spacing w:line="240" w:lineRule="auto" w:before="129" w:after="0"/>
        <w:ind w:left="692" w:right="0" w:hanging="581"/>
        <w:jc w:val="left"/>
        <w:rPr>
          <w:sz w:val="24"/>
        </w:rPr>
      </w:pPr>
      <w:r>
        <w:rPr>
          <w:sz w:val="24"/>
        </w:rPr>
        <w:t>parvovirus  canino  aun  cuando  el  virus  se  encuentra  inactivado,  cuando  el  número</w:t>
      </w:r>
      <w:r>
        <w:rPr>
          <w:spacing w:val="46"/>
          <w:sz w:val="24"/>
        </w:rPr>
        <w:t> </w:t>
      </w:r>
      <w:r>
        <w:rPr>
          <w:sz w:val="24"/>
        </w:rPr>
        <w:t>de</w:t>
      </w:r>
    </w:p>
    <w:p>
      <w:pPr>
        <w:spacing w:after="0" w:line="240" w:lineRule="auto"/>
        <w:jc w:val="left"/>
        <w:rPr>
          <w:sz w:val="24"/>
        </w:rPr>
        <w:sectPr>
          <w:pgSz w:w="12240" w:h="15840"/>
          <w:pgMar w:header="1154" w:footer="1713" w:top="1520" w:bottom="1900" w:left="1180" w:right="1380"/>
        </w:sectPr>
      </w:pPr>
    </w:p>
    <w:p>
      <w:pPr>
        <w:pStyle w:val="BodyText"/>
        <w:rPr>
          <w:rFonts w:ascii="Times New Roman"/>
          <w:sz w:val="14"/>
        </w:rPr>
      </w:pPr>
    </w:p>
    <w:p>
      <w:pPr>
        <w:pStyle w:val="ListParagraph"/>
        <w:numPr>
          <w:ilvl w:val="0"/>
          <w:numId w:val="10"/>
        </w:numPr>
        <w:tabs>
          <w:tab w:pos="692" w:val="left" w:leader="none"/>
          <w:tab w:pos="693" w:val="left" w:leader="none"/>
        </w:tabs>
        <w:spacing w:line="240" w:lineRule="auto" w:before="79" w:after="0"/>
        <w:ind w:left="692" w:right="0" w:hanging="470"/>
        <w:jc w:val="left"/>
        <w:rPr>
          <w:sz w:val="24"/>
        </w:rPr>
      </w:pPr>
      <w:r>
        <w:rPr>
          <w:sz w:val="24"/>
        </w:rPr>
        <w:t>viriones</w:t>
      </w:r>
      <w:r>
        <w:rPr>
          <w:spacing w:val="12"/>
          <w:sz w:val="24"/>
        </w:rPr>
        <w:t> </w:t>
      </w:r>
      <w:r>
        <w:rPr>
          <w:sz w:val="24"/>
        </w:rPr>
        <w:t>es</w:t>
      </w:r>
      <w:r>
        <w:rPr>
          <w:spacing w:val="17"/>
          <w:sz w:val="24"/>
        </w:rPr>
        <w:t> </w:t>
      </w:r>
      <w:r>
        <w:rPr>
          <w:sz w:val="24"/>
        </w:rPr>
        <w:t>menor</w:t>
      </w:r>
      <w:r>
        <w:rPr>
          <w:spacing w:val="16"/>
          <w:sz w:val="24"/>
        </w:rPr>
        <w:t> </w:t>
      </w:r>
      <w:r>
        <w:rPr>
          <w:sz w:val="24"/>
        </w:rPr>
        <w:t>que</w:t>
      </w:r>
      <w:r>
        <w:rPr>
          <w:spacing w:val="13"/>
          <w:sz w:val="24"/>
        </w:rPr>
        <w:t> </w:t>
      </w:r>
      <w:r>
        <w:rPr>
          <w:sz w:val="24"/>
        </w:rPr>
        <w:t>10</w:t>
      </w:r>
      <w:r>
        <w:rPr>
          <w:position w:val="11"/>
          <w:sz w:val="16"/>
        </w:rPr>
        <w:t>6</w:t>
      </w:r>
      <w:r>
        <w:rPr>
          <w:spacing w:val="18"/>
          <w:position w:val="11"/>
          <w:sz w:val="16"/>
        </w:rPr>
        <w:t> </w:t>
      </w:r>
      <w:r>
        <w:rPr>
          <w:sz w:val="24"/>
        </w:rPr>
        <w:t>partículas/</w:t>
      </w:r>
      <w:r>
        <w:rPr>
          <w:spacing w:val="15"/>
          <w:sz w:val="24"/>
        </w:rPr>
        <w:t> </w:t>
      </w:r>
      <w:r>
        <w:rPr>
          <w:sz w:val="24"/>
        </w:rPr>
        <w:t>gramos</w:t>
      </w:r>
      <w:r>
        <w:rPr>
          <w:spacing w:val="12"/>
          <w:sz w:val="24"/>
        </w:rPr>
        <w:t> </w:t>
      </w:r>
      <w:r>
        <w:rPr>
          <w:sz w:val="24"/>
        </w:rPr>
        <w:t>de</w:t>
      </w:r>
      <w:r>
        <w:rPr>
          <w:spacing w:val="18"/>
          <w:sz w:val="24"/>
        </w:rPr>
        <w:t> </w:t>
      </w:r>
      <w:r>
        <w:rPr>
          <w:sz w:val="24"/>
        </w:rPr>
        <w:t>heces,</w:t>
      </w:r>
      <w:r>
        <w:rPr>
          <w:spacing w:val="16"/>
          <w:sz w:val="24"/>
        </w:rPr>
        <w:t> </w:t>
      </w:r>
      <w:r>
        <w:rPr>
          <w:sz w:val="24"/>
        </w:rPr>
        <w:t>o</w:t>
      </w:r>
      <w:r>
        <w:rPr>
          <w:spacing w:val="19"/>
          <w:sz w:val="24"/>
        </w:rPr>
        <w:t> </w:t>
      </w:r>
      <w:r>
        <w:rPr>
          <w:sz w:val="24"/>
        </w:rPr>
        <w:t>bien</w:t>
      </w:r>
      <w:r>
        <w:rPr>
          <w:spacing w:val="9"/>
          <w:sz w:val="24"/>
        </w:rPr>
        <w:t> </w:t>
      </w:r>
      <w:r>
        <w:rPr>
          <w:sz w:val="24"/>
        </w:rPr>
        <w:t>cuando</w:t>
      </w:r>
      <w:r>
        <w:rPr>
          <w:spacing w:val="19"/>
          <w:sz w:val="24"/>
        </w:rPr>
        <w:t> </w:t>
      </w:r>
      <w:r>
        <w:rPr>
          <w:sz w:val="24"/>
        </w:rPr>
        <w:t>el</w:t>
      </w:r>
      <w:r>
        <w:rPr>
          <w:spacing w:val="5"/>
          <w:sz w:val="24"/>
        </w:rPr>
        <w:t> </w:t>
      </w:r>
      <w:r>
        <w:rPr>
          <w:sz w:val="24"/>
        </w:rPr>
        <w:t>paciente</w:t>
      </w:r>
      <w:r>
        <w:rPr>
          <w:spacing w:val="13"/>
          <w:sz w:val="24"/>
        </w:rPr>
        <w:t> </w:t>
      </w:r>
      <w:r>
        <w:rPr>
          <w:sz w:val="24"/>
        </w:rPr>
        <w:t>presenta</w:t>
      </w:r>
    </w:p>
    <w:p>
      <w:pPr>
        <w:pStyle w:val="ListParagraph"/>
        <w:numPr>
          <w:ilvl w:val="0"/>
          <w:numId w:val="10"/>
        </w:numPr>
        <w:tabs>
          <w:tab w:pos="692" w:val="left" w:leader="none"/>
          <w:tab w:pos="693" w:val="left" w:leader="none"/>
        </w:tabs>
        <w:spacing w:line="240" w:lineRule="auto" w:before="125" w:after="0"/>
        <w:ind w:left="692" w:right="0" w:hanging="470"/>
        <w:jc w:val="left"/>
        <w:rPr>
          <w:sz w:val="24"/>
        </w:rPr>
      </w:pPr>
      <w:r>
        <w:rPr>
          <w:sz w:val="24"/>
        </w:rPr>
        <w:t>una infección subclínica (Kumar y </w:t>
      </w:r>
      <w:r>
        <w:rPr>
          <w:spacing w:val="2"/>
          <w:sz w:val="24"/>
        </w:rPr>
        <w:t>col</w:t>
      </w:r>
      <w:r>
        <w:rPr>
          <w:spacing w:val="-20"/>
          <w:sz w:val="24"/>
        </w:rPr>
        <w:t> </w:t>
      </w:r>
      <w:r>
        <w:rPr>
          <w:sz w:val="24"/>
        </w:rPr>
        <w:t>2011).</w:t>
      </w:r>
    </w:p>
    <w:p>
      <w:pPr>
        <w:pStyle w:val="BodyText"/>
        <w:spacing w:before="3"/>
        <w:rPr>
          <w:rFonts w:ascii="Times New Roman"/>
          <w:sz w:val="23"/>
        </w:rPr>
      </w:pPr>
    </w:p>
    <w:p>
      <w:pPr>
        <w:pStyle w:val="ListParagraph"/>
        <w:numPr>
          <w:ilvl w:val="0"/>
          <w:numId w:val="10"/>
        </w:numPr>
        <w:tabs>
          <w:tab w:pos="985" w:val="left" w:leader="none"/>
          <w:tab w:pos="986" w:val="left" w:leader="none"/>
        </w:tabs>
        <w:spacing w:line="240" w:lineRule="auto" w:before="69" w:after="0"/>
        <w:ind w:left="985" w:right="0" w:hanging="763"/>
        <w:jc w:val="left"/>
        <w:rPr>
          <w:sz w:val="24"/>
        </w:rPr>
      </w:pPr>
      <w:r>
        <w:rPr>
          <w:spacing w:val="3"/>
          <w:sz w:val="24"/>
        </w:rPr>
        <w:t>En  </w:t>
      </w:r>
      <w:r>
        <w:rPr>
          <w:sz w:val="24"/>
        </w:rPr>
        <w:t>México,  a  pesar  de  </w:t>
      </w:r>
      <w:r>
        <w:rPr>
          <w:spacing w:val="-3"/>
          <w:sz w:val="24"/>
        </w:rPr>
        <w:t>la  </w:t>
      </w:r>
      <w:r>
        <w:rPr>
          <w:sz w:val="24"/>
        </w:rPr>
        <w:t>aplicación  rutinaria  de  programas  de  vacunación  en </w:t>
      </w:r>
      <w:r>
        <w:rPr>
          <w:spacing w:val="26"/>
          <w:sz w:val="24"/>
        </w:rPr>
        <w:t> </w:t>
      </w:r>
      <w:r>
        <w:rPr>
          <w:sz w:val="24"/>
        </w:rPr>
        <w:t>las</w:t>
      </w:r>
    </w:p>
    <w:p>
      <w:pPr>
        <w:pStyle w:val="ListParagraph"/>
        <w:numPr>
          <w:ilvl w:val="0"/>
          <w:numId w:val="10"/>
        </w:numPr>
        <w:tabs>
          <w:tab w:pos="692" w:val="left" w:leader="none"/>
          <w:tab w:pos="693" w:val="left" w:leader="none"/>
        </w:tabs>
        <w:spacing w:line="240" w:lineRule="auto" w:before="129" w:after="0"/>
        <w:ind w:left="692" w:right="0" w:hanging="470"/>
        <w:jc w:val="left"/>
        <w:rPr>
          <w:sz w:val="24"/>
        </w:rPr>
      </w:pPr>
      <w:r>
        <w:rPr>
          <w:sz w:val="24"/>
        </w:rPr>
        <w:t>mascotas,  </w:t>
      </w:r>
      <w:r>
        <w:rPr>
          <w:spacing w:val="-5"/>
          <w:sz w:val="24"/>
        </w:rPr>
        <w:t>la  </w:t>
      </w:r>
      <w:r>
        <w:rPr>
          <w:sz w:val="24"/>
        </w:rPr>
        <w:t>gastroenteritis por  PVC-2 sigue siendo  una de  las principales</w:t>
      </w:r>
      <w:r>
        <w:rPr>
          <w:spacing w:val="43"/>
          <w:sz w:val="24"/>
        </w:rPr>
        <w:t> </w:t>
      </w:r>
      <w:r>
        <w:rPr>
          <w:sz w:val="24"/>
        </w:rPr>
        <w:t>enfermedades</w:t>
      </w:r>
    </w:p>
    <w:p>
      <w:pPr>
        <w:pStyle w:val="ListParagraph"/>
        <w:numPr>
          <w:ilvl w:val="0"/>
          <w:numId w:val="10"/>
        </w:numPr>
        <w:tabs>
          <w:tab w:pos="692" w:val="left" w:leader="none"/>
          <w:tab w:pos="693" w:val="left" w:leader="none"/>
        </w:tabs>
        <w:spacing w:line="240" w:lineRule="auto" w:before="134" w:after="0"/>
        <w:ind w:left="692" w:right="0" w:hanging="470"/>
        <w:jc w:val="left"/>
        <w:rPr>
          <w:sz w:val="24"/>
        </w:rPr>
      </w:pPr>
      <w:r>
        <w:rPr>
          <w:sz w:val="24"/>
        </w:rPr>
        <w:t>infecciosas que afectan a los perros. Las causas por las cuales </w:t>
      </w:r>
      <w:r>
        <w:rPr>
          <w:spacing w:val="-3"/>
          <w:sz w:val="24"/>
        </w:rPr>
        <w:t>no </w:t>
      </w:r>
      <w:r>
        <w:rPr>
          <w:sz w:val="24"/>
        </w:rPr>
        <w:t>se </w:t>
      </w:r>
      <w:r>
        <w:rPr>
          <w:spacing w:val="-3"/>
          <w:sz w:val="24"/>
        </w:rPr>
        <w:t>ha </w:t>
      </w:r>
      <w:r>
        <w:rPr>
          <w:sz w:val="24"/>
        </w:rPr>
        <w:t>logrado el control</w:t>
      </w:r>
      <w:r>
        <w:rPr>
          <w:spacing w:val="5"/>
          <w:sz w:val="24"/>
        </w:rPr>
        <w:t> </w:t>
      </w:r>
      <w:r>
        <w:rPr>
          <w:sz w:val="24"/>
        </w:rPr>
        <w:t>de</w:t>
      </w:r>
    </w:p>
    <w:p>
      <w:pPr>
        <w:pStyle w:val="ListParagraph"/>
        <w:numPr>
          <w:ilvl w:val="0"/>
          <w:numId w:val="10"/>
        </w:numPr>
        <w:tabs>
          <w:tab w:pos="692" w:val="left" w:leader="none"/>
          <w:tab w:pos="693" w:val="left" w:leader="none"/>
        </w:tabs>
        <w:spacing w:line="240" w:lineRule="auto" w:before="130" w:after="0"/>
        <w:ind w:left="692" w:right="0" w:hanging="470"/>
        <w:jc w:val="left"/>
        <w:rPr>
          <w:sz w:val="24"/>
        </w:rPr>
      </w:pPr>
      <w:r>
        <w:rPr>
          <w:sz w:val="24"/>
        </w:rPr>
        <w:t>esta  enfermedad  pueden  ser  diversas,  entre  ellas,  un  proceso  diagnóstico  erróneo    </w:t>
      </w:r>
      <w:r>
        <w:rPr>
          <w:spacing w:val="57"/>
          <w:sz w:val="24"/>
        </w:rPr>
        <w:t> </w:t>
      </w:r>
      <w:r>
        <w:rPr>
          <w:sz w:val="24"/>
        </w:rPr>
        <w:t>o</w:t>
      </w:r>
    </w:p>
    <w:p>
      <w:pPr>
        <w:pStyle w:val="ListParagraph"/>
        <w:numPr>
          <w:ilvl w:val="0"/>
          <w:numId w:val="10"/>
        </w:numPr>
        <w:tabs>
          <w:tab w:pos="692" w:val="left" w:leader="none"/>
          <w:tab w:pos="693" w:val="left" w:leader="none"/>
        </w:tabs>
        <w:spacing w:line="240" w:lineRule="auto" w:before="129" w:after="0"/>
        <w:ind w:left="692" w:right="0" w:hanging="470"/>
        <w:jc w:val="left"/>
        <w:rPr>
          <w:sz w:val="24"/>
        </w:rPr>
      </w:pPr>
      <w:r>
        <w:rPr>
          <w:sz w:val="24"/>
        </w:rPr>
        <w:t>incompleto, </w:t>
      </w:r>
      <w:r>
        <w:rPr>
          <w:spacing w:val="-3"/>
          <w:sz w:val="24"/>
        </w:rPr>
        <w:t>mal </w:t>
      </w:r>
      <w:r>
        <w:rPr>
          <w:sz w:val="24"/>
        </w:rPr>
        <w:t>manejo de </w:t>
      </w:r>
      <w:r>
        <w:rPr>
          <w:spacing w:val="-3"/>
          <w:sz w:val="24"/>
        </w:rPr>
        <w:t>la </w:t>
      </w:r>
      <w:r>
        <w:rPr>
          <w:sz w:val="24"/>
        </w:rPr>
        <w:t>enfermedad, </w:t>
      </w:r>
      <w:r>
        <w:rPr>
          <w:spacing w:val="-3"/>
          <w:sz w:val="24"/>
        </w:rPr>
        <w:t>la </w:t>
      </w:r>
      <w:r>
        <w:rPr>
          <w:sz w:val="24"/>
        </w:rPr>
        <w:t>poca accesibilidad a pruebas inmunológicas</w:t>
      </w:r>
      <w:r>
        <w:rPr>
          <w:spacing w:val="47"/>
          <w:sz w:val="24"/>
        </w:rPr>
        <w:t> </w:t>
      </w:r>
      <w:r>
        <w:rPr>
          <w:sz w:val="24"/>
        </w:rPr>
        <w:t>y</w:t>
      </w:r>
    </w:p>
    <w:p>
      <w:pPr>
        <w:pStyle w:val="ListParagraph"/>
        <w:numPr>
          <w:ilvl w:val="0"/>
          <w:numId w:val="10"/>
        </w:numPr>
        <w:tabs>
          <w:tab w:pos="692" w:val="left" w:leader="none"/>
          <w:tab w:pos="693" w:val="left" w:leader="none"/>
        </w:tabs>
        <w:spacing w:line="240" w:lineRule="auto" w:before="129" w:after="0"/>
        <w:ind w:left="692" w:right="0" w:hanging="470"/>
        <w:jc w:val="left"/>
        <w:rPr>
          <w:sz w:val="24"/>
        </w:rPr>
      </w:pPr>
      <w:r>
        <w:rPr>
          <w:sz w:val="24"/>
        </w:rPr>
        <w:t>moleculares</w:t>
      </w:r>
      <w:r>
        <w:rPr>
          <w:spacing w:val="18"/>
          <w:sz w:val="24"/>
        </w:rPr>
        <w:t> </w:t>
      </w:r>
      <w:r>
        <w:rPr>
          <w:sz w:val="24"/>
        </w:rPr>
        <w:t>más</w:t>
      </w:r>
      <w:r>
        <w:rPr>
          <w:spacing w:val="13"/>
          <w:sz w:val="24"/>
        </w:rPr>
        <w:t> </w:t>
      </w:r>
      <w:r>
        <w:rPr>
          <w:sz w:val="24"/>
        </w:rPr>
        <w:t>específicas</w:t>
      </w:r>
      <w:r>
        <w:rPr>
          <w:spacing w:val="22"/>
          <w:sz w:val="24"/>
        </w:rPr>
        <w:t> </w:t>
      </w:r>
      <w:r>
        <w:rPr>
          <w:sz w:val="24"/>
        </w:rPr>
        <w:t>y</w:t>
      </w:r>
      <w:r>
        <w:rPr>
          <w:spacing w:val="15"/>
          <w:sz w:val="24"/>
        </w:rPr>
        <w:t> </w:t>
      </w:r>
      <w:r>
        <w:rPr>
          <w:sz w:val="24"/>
        </w:rPr>
        <w:t>sensibles</w:t>
      </w:r>
      <w:r>
        <w:rPr>
          <w:spacing w:val="18"/>
          <w:sz w:val="24"/>
        </w:rPr>
        <w:t> </w:t>
      </w:r>
      <w:r>
        <w:rPr>
          <w:sz w:val="24"/>
        </w:rPr>
        <w:t>y</w:t>
      </w:r>
      <w:r>
        <w:rPr>
          <w:spacing w:val="15"/>
          <w:sz w:val="24"/>
        </w:rPr>
        <w:t> </w:t>
      </w:r>
      <w:r>
        <w:rPr>
          <w:sz w:val="24"/>
        </w:rPr>
        <w:t>en</w:t>
      </w:r>
      <w:r>
        <w:rPr>
          <w:spacing w:val="15"/>
          <w:sz w:val="24"/>
        </w:rPr>
        <w:t> </w:t>
      </w:r>
      <w:r>
        <w:rPr>
          <w:sz w:val="24"/>
        </w:rPr>
        <w:t>algunos</w:t>
      </w:r>
      <w:r>
        <w:rPr>
          <w:spacing w:val="13"/>
          <w:sz w:val="24"/>
        </w:rPr>
        <w:t> </w:t>
      </w:r>
      <w:r>
        <w:rPr>
          <w:sz w:val="24"/>
        </w:rPr>
        <w:t>casos</w:t>
      </w:r>
      <w:r>
        <w:rPr>
          <w:spacing w:val="13"/>
          <w:sz w:val="24"/>
        </w:rPr>
        <w:t> </w:t>
      </w:r>
      <w:r>
        <w:rPr>
          <w:sz w:val="24"/>
        </w:rPr>
        <w:t>por</w:t>
      </w:r>
      <w:r>
        <w:rPr>
          <w:spacing w:val="17"/>
          <w:sz w:val="24"/>
        </w:rPr>
        <w:t> </w:t>
      </w:r>
      <w:r>
        <w:rPr>
          <w:sz w:val="24"/>
        </w:rPr>
        <w:t>el</w:t>
      </w:r>
      <w:r>
        <w:rPr>
          <w:spacing w:val="6"/>
          <w:sz w:val="24"/>
        </w:rPr>
        <w:t> </w:t>
      </w:r>
      <w:r>
        <w:rPr>
          <w:sz w:val="24"/>
        </w:rPr>
        <w:t>poco</w:t>
      </w:r>
      <w:r>
        <w:rPr>
          <w:spacing w:val="24"/>
          <w:sz w:val="24"/>
        </w:rPr>
        <w:t> </w:t>
      </w:r>
      <w:r>
        <w:rPr>
          <w:sz w:val="24"/>
        </w:rPr>
        <w:t>interés</w:t>
      </w:r>
      <w:r>
        <w:rPr>
          <w:spacing w:val="13"/>
          <w:sz w:val="24"/>
        </w:rPr>
        <w:t> </w:t>
      </w:r>
      <w:r>
        <w:rPr>
          <w:sz w:val="24"/>
        </w:rPr>
        <w:t>del</w:t>
      </w:r>
      <w:r>
        <w:rPr>
          <w:spacing w:val="11"/>
          <w:sz w:val="24"/>
        </w:rPr>
        <w:t> </w:t>
      </w:r>
      <w:r>
        <w:rPr>
          <w:sz w:val="24"/>
        </w:rPr>
        <w:t>uso</w:t>
      </w:r>
      <w:r>
        <w:rPr>
          <w:spacing w:val="20"/>
          <w:sz w:val="24"/>
        </w:rPr>
        <w:t> </w:t>
      </w:r>
      <w:r>
        <w:rPr>
          <w:sz w:val="24"/>
        </w:rPr>
        <w:t>de</w:t>
      </w:r>
    </w:p>
    <w:p>
      <w:pPr>
        <w:pStyle w:val="ListParagraph"/>
        <w:numPr>
          <w:ilvl w:val="0"/>
          <w:numId w:val="10"/>
        </w:numPr>
        <w:tabs>
          <w:tab w:pos="692" w:val="left" w:leader="none"/>
          <w:tab w:pos="693" w:val="left" w:leader="none"/>
        </w:tabs>
        <w:spacing w:line="240" w:lineRule="auto" w:before="129" w:after="0"/>
        <w:ind w:left="692" w:right="0" w:hanging="470"/>
        <w:jc w:val="left"/>
        <w:rPr>
          <w:sz w:val="24"/>
        </w:rPr>
      </w:pPr>
      <w:r>
        <w:rPr>
          <w:sz w:val="24"/>
        </w:rPr>
        <w:t>laboratorio por parte de los veterinarios para obtener un</w:t>
      </w:r>
      <w:r>
        <w:rPr>
          <w:spacing w:val="-41"/>
          <w:sz w:val="24"/>
        </w:rPr>
        <w:t> </w:t>
      </w:r>
      <w:r>
        <w:rPr>
          <w:sz w:val="24"/>
        </w:rPr>
        <w:t>diagnóstico definitivo.</w:t>
      </w:r>
    </w:p>
    <w:p>
      <w:pPr>
        <w:pStyle w:val="BodyText"/>
        <w:spacing w:before="9"/>
        <w:rPr>
          <w:rFonts w:ascii="Times New Roman"/>
          <w:sz w:val="22"/>
        </w:rPr>
      </w:pPr>
    </w:p>
    <w:p>
      <w:pPr>
        <w:pStyle w:val="ListParagraph"/>
        <w:numPr>
          <w:ilvl w:val="0"/>
          <w:numId w:val="10"/>
        </w:numPr>
        <w:tabs>
          <w:tab w:pos="985" w:val="left" w:leader="none"/>
          <w:tab w:pos="986" w:val="left" w:leader="none"/>
        </w:tabs>
        <w:spacing w:line="240" w:lineRule="auto" w:before="70" w:after="0"/>
        <w:ind w:left="985" w:right="0" w:hanging="874"/>
        <w:jc w:val="left"/>
        <w:rPr>
          <w:sz w:val="24"/>
        </w:rPr>
      </w:pPr>
      <w:r>
        <w:rPr>
          <w:spacing w:val="3"/>
          <w:sz w:val="24"/>
        </w:rPr>
        <w:t>El </w:t>
      </w:r>
      <w:r>
        <w:rPr>
          <w:sz w:val="24"/>
        </w:rPr>
        <w:t>objetivo  de este trabajo  es  conocer, a través de encuestas,  los procedimientos   </w:t>
      </w:r>
      <w:r>
        <w:rPr>
          <w:spacing w:val="22"/>
          <w:sz w:val="24"/>
        </w:rPr>
        <w:t> </w:t>
      </w:r>
      <w:r>
        <w:rPr>
          <w:sz w:val="24"/>
        </w:rPr>
        <w:t>que</w:t>
      </w:r>
    </w:p>
    <w:p>
      <w:pPr>
        <w:pStyle w:val="ListParagraph"/>
        <w:numPr>
          <w:ilvl w:val="0"/>
          <w:numId w:val="10"/>
        </w:numPr>
        <w:tabs>
          <w:tab w:pos="692" w:val="left" w:leader="none"/>
          <w:tab w:pos="693" w:val="left" w:leader="none"/>
        </w:tabs>
        <w:spacing w:line="240" w:lineRule="auto" w:before="134" w:after="0"/>
        <w:ind w:left="692" w:right="0" w:hanging="581"/>
        <w:jc w:val="left"/>
        <w:rPr>
          <w:sz w:val="24"/>
        </w:rPr>
      </w:pPr>
      <w:r>
        <w:rPr>
          <w:sz w:val="24"/>
        </w:rPr>
        <w:t>realizan los clínicos veterinarios de forma rutinaria para diagnosticar </w:t>
      </w:r>
      <w:r>
        <w:rPr>
          <w:spacing w:val="-3"/>
          <w:sz w:val="24"/>
        </w:rPr>
        <w:t>la </w:t>
      </w:r>
      <w:r>
        <w:rPr>
          <w:sz w:val="24"/>
        </w:rPr>
        <w:t>parvovirosis</w:t>
      </w:r>
      <w:r>
        <w:rPr>
          <w:spacing w:val="-19"/>
          <w:sz w:val="24"/>
        </w:rPr>
        <w:t> </w:t>
      </w:r>
      <w:r>
        <w:rPr>
          <w:sz w:val="24"/>
        </w:rPr>
        <w:t>canina.</w:t>
      </w:r>
    </w:p>
    <w:p>
      <w:pPr>
        <w:pStyle w:val="ListParagraph"/>
        <w:numPr>
          <w:ilvl w:val="0"/>
          <w:numId w:val="10"/>
        </w:numPr>
        <w:tabs>
          <w:tab w:pos="692" w:val="left" w:leader="none"/>
          <w:tab w:pos="693" w:val="left" w:leader="none"/>
        </w:tabs>
        <w:spacing w:line="240" w:lineRule="auto" w:before="129" w:after="0"/>
        <w:ind w:left="692" w:right="0" w:hanging="581"/>
        <w:jc w:val="left"/>
        <w:rPr>
          <w:sz w:val="24"/>
        </w:rPr>
      </w:pPr>
      <w:r>
        <w:rPr>
          <w:sz w:val="24"/>
        </w:rPr>
        <w:t>Además, determinar </w:t>
      </w:r>
      <w:r>
        <w:rPr>
          <w:spacing w:val="-5"/>
          <w:sz w:val="24"/>
        </w:rPr>
        <w:t>la </w:t>
      </w:r>
      <w:r>
        <w:rPr>
          <w:sz w:val="24"/>
        </w:rPr>
        <w:t>sensibilidad y especificidad de estos procedimientos</w:t>
      </w:r>
      <w:r>
        <w:rPr>
          <w:spacing w:val="26"/>
          <w:sz w:val="24"/>
        </w:rPr>
        <w:t> </w:t>
      </w:r>
      <w:r>
        <w:rPr>
          <w:sz w:val="24"/>
        </w:rPr>
        <w:t>comparándolos</w:t>
      </w:r>
    </w:p>
    <w:p>
      <w:pPr>
        <w:pStyle w:val="ListParagraph"/>
        <w:numPr>
          <w:ilvl w:val="0"/>
          <w:numId w:val="10"/>
        </w:numPr>
        <w:tabs>
          <w:tab w:pos="692" w:val="left" w:leader="none"/>
          <w:tab w:pos="693" w:val="left" w:leader="none"/>
        </w:tabs>
        <w:spacing w:line="240" w:lineRule="auto" w:before="129" w:after="0"/>
        <w:ind w:left="692" w:right="0" w:hanging="581"/>
        <w:jc w:val="left"/>
        <w:rPr>
          <w:sz w:val="24"/>
        </w:rPr>
      </w:pPr>
      <w:r>
        <w:rPr>
          <w:sz w:val="24"/>
        </w:rPr>
        <w:t>con pruebas  moleculares; y de  esta  manera generar  datos basados en evidencias que  </w:t>
      </w:r>
      <w:r>
        <w:rPr>
          <w:spacing w:val="14"/>
          <w:sz w:val="24"/>
        </w:rPr>
        <w:t> </w:t>
      </w:r>
      <w:r>
        <w:rPr>
          <w:sz w:val="24"/>
        </w:rPr>
        <w:t>nos</w:t>
      </w:r>
    </w:p>
    <w:p>
      <w:pPr>
        <w:pStyle w:val="ListParagraph"/>
        <w:numPr>
          <w:ilvl w:val="0"/>
          <w:numId w:val="10"/>
        </w:numPr>
        <w:tabs>
          <w:tab w:pos="692" w:val="left" w:leader="none"/>
          <w:tab w:pos="693" w:val="left" w:leader="none"/>
        </w:tabs>
        <w:spacing w:line="240" w:lineRule="auto" w:before="125" w:after="0"/>
        <w:ind w:left="692" w:right="0" w:hanging="581"/>
        <w:jc w:val="left"/>
        <w:rPr>
          <w:sz w:val="24"/>
        </w:rPr>
      </w:pPr>
      <w:r>
        <w:rPr>
          <w:sz w:val="24"/>
        </w:rPr>
        <w:t>permitan conocer cuál es </w:t>
      </w:r>
      <w:r>
        <w:rPr>
          <w:spacing w:val="-3"/>
          <w:sz w:val="24"/>
        </w:rPr>
        <w:t>la </w:t>
      </w:r>
      <w:r>
        <w:rPr>
          <w:sz w:val="24"/>
        </w:rPr>
        <w:t>situación del diagnóstico de PVC-2 en</w:t>
      </w:r>
      <w:r>
        <w:rPr>
          <w:spacing w:val="-19"/>
          <w:sz w:val="24"/>
        </w:rPr>
        <w:t> </w:t>
      </w:r>
      <w:r>
        <w:rPr>
          <w:sz w:val="24"/>
        </w:rPr>
        <w:t>México</w:t>
      </w:r>
    </w:p>
    <w:p>
      <w:pPr>
        <w:pStyle w:val="BodyText"/>
        <w:spacing w:before="2"/>
        <w:rPr>
          <w:rFonts w:ascii="Times New Roman"/>
          <w:sz w:val="23"/>
        </w:rPr>
      </w:pPr>
    </w:p>
    <w:p>
      <w:pPr>
        <w:pStyle w:val="Heading1"/>
        <w:numPr>
          <w:ilvl w:val="0"/>
          <w:numId w:val="10"/>
        </w:numPr>
        <w:tabs>
          <w:tab w:pos="692" w:val="left" w:leader="none"/>
          <w:tab w:pos="693" w:val="left" w:leader="none"/>
        </w:tabs>
        <w:spacing w:line="240" w:lineRule="auto" w:before="69" w:after="0"/>
        <w:ind w:left="692" w:right="0" w:hanging="581"/>
        <w:jc w:val="left"/>
        <w:rPr>
          <w:rFonts w:ascii="Times New Roman" w:hAnsi="Times New Roman"/>
        </w:rPr>
      </w:pPr>
      <w:r>
        <w:rPr>
          <w:rFonts w:ascii="Times New Roman" w:hAnsi="Times New Roman"/>
        </w:rPr>
        <w:t>MATERIALES Y</w:t>
      </w:r>
      <w:r>
        <w:rPr>
          <w:rFonts w:ascii="Times New Roman" w:hAnsi="Times New Roman"/>
          <w:spacing w:val="-8"/>
        </w:rPr>
        <w:t> </w:t>
      </w:r>
      <w:r>
        <w:rPr>
          <w:rFonts w:ascii="Times New Roman" w:hAnsi="Times New Roman"/>
        </w:rPr>
        <w:t>MÉTODOS</w:t>
      </w:r>
    </w:p>
    <w:p>
      <w:pPr>
        <w:pStyle w:val="BodyText"/>
        <w:spacing w:before="9"/>
        <w:rPr>
          <w:rFonts w:ascii="Times New Roman"/>
          <w:b/>
          <w:sz w:val="22"/>
        </w:rPr>
      </w:pPr>
    </w:p>
    <w:p>
      <w:pPr>
        <w:pStyle w:val="ListParagraph"/>
        <w:numPr>
          <w:ilvl w:val="0"/>
          <w:numId w:val="10"/>
        </w:numPr>
        <w:tabs>
          <w:tab w:pos="985" w:val="left" w:leader="none"/>
          <w:tab w:pos="986" w:val="left" w:leader="none"/>
        </w:tabs>
        <w:spacing w:line="240" w:lineRule="auto" w:before="69" w:after="0"/>
        <w:ind w:left="985" w:right="0" w:hanging="874"/>
        <w:jc w:val="left"/>
        <w:rPr>
          <w:sz w:val="24"/>
        </w:rPr>
      </w:pPr>
      <w:r>
        <w:rPr>
          <w:sz w:val="24"/>
        </w:rPr>
        <w:t>Para</w:t>
      </w:r>
      <w:r>
        <w:rPr>
          <w:spacing w:val="16"/>
          <w:sz w:val="24"/>
        </w:rPr>
        <w:t> </w:t>
      </w:r>
      <w:r>
        <w:rPr>
          <w:sz w:val="24"/>
        </w:rPr>
        <w:t>obtener</w:t>
      </w:r>
      <w:r>
        <w:rPr>
          <w:spacing w:val="23"/>
          <w:sz w:val="24"/>
        </w:rPr>
        <w:t> </w:t>
      </w:r>
      <w:r>
        <w:rPr>
          <w:sz w:val="24"/>
        </w:rPr>
        <w:t>información</w:t>
      </w:r>
      <w:r>
        <w:rPr>
          <w:spacing w:val="12"/>
          <w:sz w:val="24"/>
        </w:rPr>
        <w:t> </w:t>
      </w:r>
      <w:r>
        <w:rPr>
          <w:sz w:val="24"/>
        </w:rPr>
        <w:t>de</w:t>
      </w:r>
      <w:r>
        <w:rPr>
          <w:spacing w:val="21"/>
          <w:sz w:val="24"/>
        </w:rPr>
        <w:t> </w:t>
      </w:r>
      <w:r>
        <w:rPr>
          <w:sz w:val="24"/>
        </w:rPr>
        <w:t>los</w:t>
      </w:r>
      <w:r>
        <w:rPr>
          <w:spacing w:val="15"/>
          <w:sz w:val="24"/>
        </w:rPr>
        <w:t> </w:t>
      </w:r>
      <w:r>
        <w:rPr>
          <w:sz w:val="24"/>
        </w:rPr>
        <w:t>procedimientos</w:t>
      </w:r>
      <w:r>
        <w:rPr>
          <w:spacing w:val="20"/>
          <w:sz w:val="24"/>
        </w:rPr>
        <w:t> </w:t>
      </w:r>
      <w:r>
        <w:rPr>
          <w:sz w:val="24"/>
        </w:rPr>
        <w:t>y</w:t>
      </w:r>
      <w:r>
        <w:rPr>
          <w:spacing w:val="8"/>
          <w:sz w:val="24"/>
        </w:rPr>
        <w:t> </w:t>
      </w:r>
      <w:r>
        <w:rPr>
          <w:sz w:val="24"/>
        </w:rPr>
        <w:t>pruebas</w:t>
      </w:r>
      <w:r>
        <w:rPr>
          <w:spacing w:val="15"/>
          <w:sz w:val="24"/>
        </w:rPr>
        <w:t> </w:t>
      </w:r>
      <w:r>
        <w:rPr>
          <w:sz w:val="24"/>
        </w:rPr>
        <w:t>de</w:t>
      </w:r>
      <w:r>
        <w:rPr>
          <w:spacing w:val="21"/>
          <w:sz w:val="24"/>
        </w:rPr>
        <w:t> </w:t>
      </w:r>
      <w:r>
        <w:rPr>
          <w:sz w:val="24"/>
        </w:rPr>
        <w:t>laboratorio</w:t>
      </w:r>
      <w:r>
        <w:rPr>
          <w:spacing w:val="21"/>
          <w:sz w:val="24"/>
        </w:rPr>
        <w:t> </w:t>
      </w:r>
      <w:r>
        <w:rPr>
          <w:sz w:val="24"/>
        </w:rPr>
        <w:t>en</w:t>
      </w:r>
      <w:r>
        <w:rPr>
          <w:spacing w:val="17"/>
          <w:sz w:val="24"/>
        </w:rPr>
        <w:t> </w:t>
      </w:r>
      <w:r>
        <w:rPr>
          <w:sz w:val="24"/>
        </w:rPr>
        <w:t>los</w:t>
      </w:r>
      <w:r>
        <w:rPr>
          <w:spacing w:val="15"/>
          <w:sz w:val="24"/>
        </w:rPr>
        <w:t> </w:t>
      </w:r>
      <w:r>
        <w:rPr>
          <w:sz w:val="24"/>
        </w:rPr>
        <w:t>que</w:t>
      </w:r>
      <w:r>
        <w:rPr>
          <w:spacing w:val="16"/>
          <w:sz w:val="24"/>
        </w:rPr>
        <w:t> </w:t>
      </w:r>
      <w:r>
        <w:rPr>
          <w:sz w:val="24"/>
        </w:rPr>
        <w:t>se</w:t>
      </w:r>
    </w:p>
    <w:p>
      <w:pPr>
        <w:pStyle w:val="ListParagraph"/>
        <w:numPr>
          <w:ilvl w:val="0"/>
          <w:numId w:val="10"/>
        </w:numPr>
        <w:tabs>
          <w:tab w:pos="692" w:val="left" w:leader="none"/>
          <w:tab w:pos="693" w:val="left" w:leader="none"/>
        </w:tabs>
        <w:spacing w:line="240" w:lineRule="auto" w:before="130" w:after="0"/>
        <w:ind w:left="692" w:right="0" w:hanging="581"/>
        <w:jc w:val="left"/>
        <w:rPr>
          <w:sz w:val="24"/>
        </w:rPr>
      </w:pPr>
      <w:r>
        <w:rPr>
          <w:sz w:val="24"/>
        </w:rPr>
        <w:t>basan los  médicos veterinarios para realizar el diagnóstico  de  parvovirus canino  en    </w:t>
      </w:r>
      <w:r>
        <w:rPr>
          <w:spacing w:val="9"/>
          <w:sz w:val="24"/>
        </w:rPr>
        <w:t> </w:t>
      </w:r>
      <w:r>
        <w:rPr>
          <w:sz w:val="24"/>
        </w:rPr>
        <w:t>sus</w:t>
      </w:r>
    </w:p>
    <w:p>
      <w:pPr>
        <w:pStyle w:val="ListParagraph"/>
        <w:numPr>
          <w:ilvl w:val="0"/>
          <w:numId w:val="10"/>
        </w:numPr>
        <w:tabs>
          <w:tab w:pos="692" w:val="left" w:leader="none"/>
          <w:tab w:pos="693" w:val="left" w:leader="none"/>
        </w:tabs>
        <w:spacing w:line="240" w:lineRule="auto" w:before="134" w:after="0"/>
        <w:ind w:left="692" w:right="0" w:hanging="581"/>
        <w:jc w:val="left"/>
        <w:rPr>
          <w:sz w:val="24"/>
        </w:rPr>
      </w:pPr>
      <w:r>
        <w:rPr>
          <w:sz w:val="24"/>
        </w:rPr>
        <w:t>hospitales y clínicas, se realizaron1054 cuestionarios a médicos  veterinarios  </w:t>
      </w:r>
      <w:r>
        <w:rPr>
          <w:spacing w:val="39"/>
          <w:sz w:val="24"/>
        </w:rPr>
        <w:t> </w:t>
      </w:r>
      <w:r>
        <w:rPr>
          <w:sz w:val="24"/>
        </w:rPr>
        <w:t>provenientes</w:t>
      </w:r>
    </w:p>
    <w:p>
      <w:pPr>
        <w:pStyle w:val="ListParagraph"/>
        <w:numPr>
          <w:ilvl w:val="0"/>
          <w:numId w:val="10"/>
        </w:numPr>
        <w:tabs>
          <w:tab w:pos="692" w:val="left" w:leader="none"/>
          <w:tab w:pos="693" w:val="left" w:leader="none"/>
        </w:tabs>
        <w:spacing w:line="240" w:lineRule="auto" w:before="129" w:after="0"/>
        <w:ind w:left="692" w:right="0" w:hanging="581"/>
        <w:jc w:val="left"/>
        <w:rPr>
          <w:sz w:val="24"/>
        </w:rPr>
      </w:pPr>
      <w:r>
        <w:rPr>
          <w:sz w:val="24"/>
        </w:rPr>
        <w:t>de los 32 estados de México. En el cuestionario de investigación autoaplicado se </w:t>
      </w:r>
      <w:r>
        <w:rPr>
          <w:spacing w:val="29"/>
          <w:sz w:val="24"/>
        </w:rPr>
        <w:t> </w:t>
      </w:r>
      <w:r>
        <w:rPr>
          <w:sz w:val="24"/>
        </w:rPr>
        <w:t>utilizaron</w:t>
      </w:r>
    </w:p>
    <w:p>
      <w:pPr>
        <w:pStyle w:val="ListParagraph"/>
        <w:numPr>
          <w:ilvl w:val="0"/>
          <w:numId w:val="10"/>
        </w:numPr>
        <w:tabs>
          <w:tab w:pos="692" w:val="left" w:leader="none"/>
          <w:tab w:pos="693" w:val="left" w:leader="none"/>
          <w:tab w:pos="3537" w:val="left" w:leader="none"/>
        </w:tabs>
        <w:spacing w:line="240" w:lineRule="auto" w:before="129" w:after="0"/>
        <w:ind w:left="692" w:right="0" w:hanging="581"/>
        <w:jc w:val="left"/>
        <w:rPr>
          <w:sz w:val="24"/>
        </w:rPr>
      </w:pPr>
      <w:r>
        <w:rPr>
          <w:sz w:val="24"/>
        </w:rPr>
        <w:t>preguntas  </w:t>
      </w:r>
      <w:r>
        <w:rPr>
          <w:spacing w:val="7"/>
          <w:sz w:val="24"/>
        </w:rPr>
        <w:t> </w:t>
      </w:r>
      <w:r>
        <w:rPr>
          <w:sz w:val="24"/>
        </w:rPr>
        <w:t>cerradas  </w:t>
      </w:r>
      <w:r>
        <w:rPr>
          <w:spacing w:val="7"/>
          <w:sz w:val="24"/>
        </w:rPr>
        <w:t> </w:t>
      </w:r>
      <w:r>
        <w:rPr>
          <w:sz w:val="24"/>
        </w:rPr>
        <w:t>como</w:t>
        <w:tab/>
        <w:t>método   de   estudio.   Posteriormente,   para   determinar  </w:t>
      </w:r>
      <w:r>
        <w:rPr>
          <w:spacing w:val="50"/>
          <w:sz w:val="24"/>
        </w:rPr>
        <w:t> </w:t>
      </w:r>
      <w:r>
        <w:rPr>
          <w:spacing w:val="-3"/>
          <w:sz w:val="24"/>
        </w:rPr>
        <w:t>la</w:t>
      </w:r>
    </w:p>
    <w:p>
      <w:pPr>
        <w:pStyle w:val="ListParagraph"/>
        <w:numPr>
          <w:ilvl w:val="0"/>
          <w:numId w:val="10"/>
        </w:numPr>
        <w:tabs>
          <w:tab w:pos="692" w:val="left" w:leader="none"/>
          <w:tab w:pos="693" w:val="left" w:leader="none"/>
        </w:tabs>
        <w:spacing w:line="240" w:lineRule="auto" w:before="130" w:after="0"/>
        <w:ind w:left="692" w:right="0" w:hanging="581"/>
        <w:jc w:val="left"/>
        <w:rPr>
          <w:sz w:val="24"/>
        </w:rPr>
      </w:pPr>
      <w:r>
        <w:rPr>
          <w:sz w:val="24"/>
        </w:rPr>
        <w:t>sensibilidad y especificidad de los métodos diagnósticos reportados en los cuestionarios </w:t>
      </w:r>
      <w:r>
        <w:rPr>
          <w:spacing w:val="37"/>
          <w:sz w:val="24"/>
        </w:rPr>
        <w:t> </w:t>
      </w:r>
      <w:r>
        <w:rPr>
          <w:sz w:val="24"/>
        </w:rPr>
        <w:t>se</w:t>
      </w:r>
    </w:p>
    <w:p>
      <w:pPr>
        <w:pStyle w:val="ListParagraph"/>
        <w:numPr>
          <w:ilvl w:val="0"/>
          <w:numId w:val="10"/>
        </w:numPr>
        <w:tabs>
          <w:tab w:pos="692" w:val="left" w:leader="none"/>
          <w:tab w:pos="693" w:val="left" w:leader="none"/>
        </w:tabs>
        <w:spacing w:line="240" w:lineRule="auto" w:before="134" w:after="0"/>
        <w:ind w:left="692" w:right="0" w:hanging="581"/>
        <w:jc w:val="left"/>
        <w:rPr>
          <w:sz w:val="24"/>
        </w:rPr>
      </w:pPr>
      <w:r>
        <w:rPr>
          <w:sz w:val="24"/>
        </w:rPr>
        <w:t>seleccionó</w:t>
      </w:r>
      <w:r>
        <w:rPr>
          <w:spacing w:val="45"/>
          <w:sz w:val="24"/>
        </w:rPr>
        <w:t> </w:t>
      </w:r>
      <w:r>
        <w:rPr>
          <w:sz w:val="24"/>
        </w:rPr>
        <w:t>a</w:t>
      </w:r>
      <w:r>
        <w:rPr>
          <w:spacing w:val="40"/>
          <w:sz w:val="24"/>
        </w:rPr>
        <w:t> </w:t>
      </w:r>
      <w:r>
        <w:rPr>
          <w:sz w:val="24"/>
        </w:rPr>
        <w:t>perros</w:t>
      </w:r>
      <w:r>
        <w:rPr>
          <w:spacing w:val="39"/>
          <w:sz w:val="24"/>
        </w:rPr>
        <w:t> </w:t>
      </w:r>
      <w:r>
        <w:rPr>
          <w:sz w:val="24"/>
        </w:rPr>
        <w:t>con</w:t>
      </w:r>
      <w:r>
        <w:rPr>
          <w:spacing w:val="36"/>
          <w:sz w:val="24"/>
        </w:rPr>
        <w:t> </w:t>
      </w:r>
      <w:r>
        <w:rPr>
          <w:sz w:val="24"/>
        </w:rPr>
        <w:t>cuadro</w:t>
      </w:r>
      <w:r>
        <w:rPr>
          <w:spacing w:val="41"/>
          <w:sz w:val="24"/>
        </w:rPr>
        <w:t> </w:t>
      </w:r>
      <w:r>
        <w:rPr>
          <w:sz w:val="24"/>
        </w:rPr>
        <w:t>clínico</w:t>
      </w:r>
      <w:r>
        <w:rPr>
          <w:spacing w:val="45"/>
          <w:sz w:val="24"/>
        </w:rPr>
        <w:t> </w:t>
      </w:r>
      <w:r>
        <w:rPr>
          <w:sz w:val="24"/>
        </w:rPr>
        <w:t>sugerente</w:t>
      </w:r>
      <w:r>
        <w:rPr>
          <w:spacing w:val="40"/>
          <w:sz w:val="24"/>
        </w:rPr>
        <w:t> </w:t>
      </w:r>
      <w:r>
        <w:rPr>
          <w:sz w:val="24"/>
        </w:rPr>
        <w:t>a</w:t>
      </w:r>
      <w:r>
        <w:rPr>
          <w:spacing w:val="40"/>
          <w:sz w:val="24"/>
        </w:rPr>
        <w:t> </w:t>
      </w:r>
      <w:r>
        <w:rPr>
          <w:sz w:val="24"/>
        </w:rPr>
        <w:t>parvovirus</w:t>
      </w:r>
      <w:r>
        <w:rPr>
          <w:spacing w:val="39"/>
          <w:sz w:val="24"/>
        </w:rPr>
        <w:t> </w:t>
      </w:r>
      <w:r>
        <w:rPr>
          <w:sz w:val="24"/>
        </w:rPr>
        <w:t>canino</w:t>
      </w:r>
      <w:r>
        <w:rPr>
          <w:spacing w:val="45"/>
          <w:sz w:val="24"/>
        </w:rPr>
        <w:t> </w:t>
      </w:r>
      <w:r>
        <w:rPr>
          <w:sz w:val="24"/>
        </w:rPr>
        <w:t>o</w:t>
      </w:r>
      <w:r>
        <w:rPr>
          <w:spacing w:val="45"/>
          <w:sz w:val="24"/>
        </w:rPr>
        <w:t> </w:t>
      </w:r>
      <w:r>
        <w:rPr>
          <w:sz w:val="24"/>
        </w:rPr>
        <w:t>con</w:t>
      </w:r>
      <w:r>
        <w:rPr>
          <w:spacing w:val="36"/>
          <w:sz w:val="24"/>
        </w:rPr>
        <w:t> </w:t>
      </w:r>
      <w:r>
        <w:rPr>
          <w:sz w:val="24"/>
        </w:rPr>
        <w:t>historia</w:t>
      </w:r>
      <w:r>
        <w:rPr>
          <w:spacing w:val="40"/>
          <w:sz w:val="24"/>
        </w:rPr>
        <w:t> </w:t>
      </w:r>
      <w:r>
        <w:rPr>
          <w:sz w:val="24"/>
        </w:rPr>
        <w:t>de</w:t>
      </w:r>
    </w:p>
    <w:p>
      <w:pPr>
        <w:pStyle w:val="ListParagraph"/>
        <w:numPr>
          <w:ilvl w:val="0"/>
          <w:numId w:val="10"/>
        </w:numPr>
        <w:tabs>
          <w:tab w:pos="692" w:val="left" w:leader="none"/>
          <w:tab w:pos="693" w:val="left" w:leader="none"/>
        </w:tabs>
        <w:spacing w:line="240" w:lineRule="auto" w:before="129" w:after="0"/>
        <w:ind w:left="692" w:right="0" w:hanging="581"/>
        <w:jc w:val="left"/>
        <w:rPr>
          <w:sz w:val="24"/>
        </w:rPr>
      </w:pPr>
      <w:r>
        <w:rPr>
          <w:sz w:val="24"/>
        </w:rPr>
        <w:t>exposición en ambientes contaminados; para verificar si los perros estaban infectados   </w:t>
      </w:r>
      <w:r>
        <w:rPr>
          <w:spacing w:val="7"/>
          <w:sz w:val="24"/>
        </w:rPr>
        <w:t> </w:t>
      </w:r>
      <w:r>
        <w:rPr>
          <w:sz w:val="24"/>
        </w:rPr>
        <w:t>con</w:t>
      </w:r>
    </w:p>
    <w:p>
      <w:pPr>
        <w:pStyle w:val="ListParagraph"/>
        <w:numPr>
          <w:ilvl w:val="0"/>
          <w:numId w:val="10"/>
        </w:numPr>
        <w:tabs>
          <w:tab w:pos="692" w:val="left" w:leader="none"/>
          <w:tab w:pos="693" w:val="left" w:leader="none"/>
        </w:tabs>
        <w:spacing w:line="240" w:lineRule="auto" w:before="129" w:after="0"/>
        <w:ind w:left="692" w:right="0" w:hanging="581"/>
        <w:jc w:val="left"/>
        <w:rPr>
          <w:sz w:val="24"/>
        </w:rPr>
      </w:pPr>
      <w:r>
        <w:rPr>
          <w:sz w:val="24"/>
        </w:rPr>
        <w:t>el virus se utilizó PCR anidada como prueba de    </w:t>
      </w:r>
      <w:r>
        <w:rPr>
          <w:spacing w:val="38"/>
          <w:sz w:val="24"/>
        </w:rPr>
        <w:t> </w:t>
      </w:r>
      <w:r>
        <w:rPr>
          <w:sz w:val="24"/>
        </w:rPr>
        <w:t>diagnóstico, debido a que esta técnica </w:t>
      </w:r>
      <w:r>
        <w:rPr>
          <w:spacing w:val="-3"/>
          <w:sz w:val="24"/>
        </w:rPr>
        <w:t>ha</w:t>
      </w:r>
    </w:p>
    <w:p>
      <w:pPr>
        <w:pStyle w:val="ListParagraph"/>
        <w:numPr>
          <w:ilvl w:val="0"/>
          <w:numId w:val="10"/>
        </w:numPr>
        <w:tabs>
          <w:tab w:pos="692" w:val="left" w:leader="none"/>
          <w:tab w:pos="693" w:val="left" w:leader="none"/>
        </w:tabs>
        <w:spacing w:line="240" w:lineRule="auto" w:before="130" w:after="0"/>
        <w:ind w:left="692" w:right="0" w:hanging="581"/>
        <w:jc w:val="left"/>
        <w:rPr>
          <w:sz w:val="24"/>
        </w:rPr>
      </w:pPr>
      <w:r>
        <w:rPr>
          <w:sz w:val="24"/>
        </w:rPr>
        <w:t>sido  reportada como  altamente sensible  (Hirasawa  y </w:t>
      </w:r>
      <w:r>
        <w:rPr>
          <w:spacing w:val="2"/>
          <w:sz w:val="24"/>
        </w:rPr>
        <w:t>col </w:t>
      </w:r>
      <w:r>
        <w:rPr>
          <w:sz w:val="24"/>
        </w:rPr>
        <w:t>1994). Una  vez  determinado</w:t>
      </w:r>
      <w:r>
        <w:rPr>
          <w:spacing w:val="52"/>
          <w:sz w:val="24"/>
        </w:rPr>
        <w:t> </w:t>
      </w:r>
      <w:r>
        <w:rPr>
          <w:sz w:val="24"/>
        </w:rPr>
        <w:t>el</w:t>
      </w:r>
    </w:p>
    <w:p>
      <w:pPr>
        <w:pStyle w:val="ListParagraph"/>
        <w:numPr>
          <w:ilvl w:val="0"/>
          <w:numId w:val="10"/>
        </w:numPr>
        <w:tabs>
          <w:tab w:pos="692" w:val="left" w:leader="none"/>
          <w:tab w:pos="693" w:val="left" w:leader="none"/>
        </w:tabs>
        <w:spacing w:line="240" w:lineRule="auto" w:before="134" w:after="0"/>
        <w:ind w:left="692" w:right="0" w:hanging="581"/>
        <w:jc w:val="left"/>
        <w:rPr>
          <w:sz w:val="24"/>
        </w:rPr>
      </w:pPr>
      <w:r>
        <w:rPr>
          <w:sz w:val="24"/>
        </w:rPr>
        <w:t>estatus  de  cada  perro,  se  organizaron  dos  grupos,  uno  con  100  pacientes  positivos </w:t>
      </w:r>
      <w:r>
        <w:rPr>
          <w:spacing w:val="37"/>
          <w:sz w:val="24"/>
        </w:rPr>
        <w:t> </w:t>
      </w:r>
      <w:r>
        <w:rPr>
          <w:sz w:val="24"/>
        </w:rPr>
        <w:t>a</w:t>
      </w:r>
    </w:p>
    <w:p>
      <w:pPr>
        <w:pStyle w:val="ListParagraph"/>
        <w:numPr>
          <w:ilvl w:val="0"/>
          <w:numId w:val="10"/>
        </w:numPr>
        <w:tabs>
          <w:tab w:pos="692" w:val="left" w:leader="none"/>
          <w:tab w:pos="693" w:val="left" w:leader="none"/>
        </w:tabs>
        <w:spacing w:line="240" w:lineRule="auto" w:before="129" w:after="0"/>
        <w:ind w:left="692" w:right="0" w:hanging="581"/>
        <w:jc w:val="left"/>
        <w:rPr>
          <w:sz w:val="24"/>
        </w:rPr>
      </w:pPr>
      <w:r>
        <w:rPr>
          <w:sz w:val="24"/>
        </w:rPr>
        <w:t>parvovirus canino y otro con 17 pacientes negativos. La valoración clínica de los perros </w:t>
      </w:r>
      <w:r>
        <w:rPr>
          <w:spacing w:val="51"/>
          <w:sz w:val="24"/>
        </w:rPr>
        <w:t> </w:t>
      </w:r>
      <w:r>
        <w:rPr>
          <w:sz w:val="24"/>
        </w:rPr>
        <w:t>se</w:t>
      </w:r>
    </w:p>
    <w:p>
      <w:pPr>
        <w:spacing w:after="0" w:line="240" w:lineRule="auto"/>
        <w:jc w:val="left"/>
        <w:rPr>
          <w:sz w:val="24"/>
        </w:rPr>
        <w:sectPr>
          <w:pgSz w:w="12240" w:h="15840"/>
          <w:pgMar w:header="1154" w:footer="1713" w:top="1520" w:bottom="1900" w:left="1180" w:right="1380"/>
        </w:sectPr>
      </w:pPr>
    </w:p>
    <w:p>
      <w:pPr>
        <w:pStyle w:val="BodyText"/>
        <w:spacing w:before="10"/>
        <w:rPr>
          <w:rFonts w:ascii="Times New Roman"/>
          <w:sz w:val="17"/>
        </w:rPr>
      </w:pPr>
    </w:p>
    <w:p>
      <w:pPr>
        <w:pStyle w:val="ListParagraph"/>
        <w:numPr>
          <w:ilvl w:val="0"/>
          <w:numId w:val="11"/>
        </w:numPr>
        <w:tabs>
          <w:tab w:pos="692" w:val="left" w:leader="none"/>
          <w:tab w:pos="693" w:val="left" w:leader="none"/>
        </w:tabs>
        <w:spacing w:line="240" w:lineRule="auto" w:before="69" w:after="0"/>
        <w:ind w:left="692" w:right="0" w:hanging="470"/>
        <w:jc w:val="left"/>
        <w:rPr>
          <w:sz w:val="24"/>
        </w:rPr>
      </w:pPr>
      <w:r>
        <w:rPr>
          <w:sz w:val="24"/>
        </w:rPr>
        <w:t>realizó en un hospital de referencia (Hospital  Veterinario de Pequeñas Especies</w:t>
      </w:r>
      <w:r>
        <w:rPr>
          <w:spacing w:val="-23"/>
          <w:sz w:val="24"/>
        </w:rPr>
        <w:t> </w:t>
      </w:r>
      <w:r>
        <w:rPr>
          <w:sz w:val="24"/>
        </w:rPr>
        <w:t>UAEMex),</w:t>
      </w:r>
    </w:p>
    <w:p>
      <w:pPr>
        <w:pStyle w:val="ListParagraph"/>
        <w:numPr>
          <w:ilvl w:val="0"/>
          <w:numId w:val="11"/>
        </w:numPr>
        <w:tabs>
          <w:tab w:pos="692" w:val="left" w:leader="none"/>
          <w:tab w:pos="693" w:val="left" w:leader="none"/>
        </w:tabs>
        <w:spacing w:line="240" w:lineRule="auto" w:before="129" w:after="0"/>
        <w:ind w:left="692" w:right="0" w:hanging="470"/>
        <w:jc w:val="left"/>
        <w:rPr>
          <w:sz w:val="24"/>
        </w:rPr>
      </w:pPr>
      <w:r>
        <w:rPr>
          <w:sz w:val="24"/>
        </w:rPr>
        <w:t>en</w:t>
      </w:r>
      <w:r>
        <w:rPr>
          <w:spacing w:val="18"/>
          <w:sz w:val="24"/>
        </w:rPr>
        <w:t> </w:t>
      </w:r>
      <w:r>
        <w:rPr>
          <w:sz w:val="24"/>
        </w:rPr>
        <w:t>el</w:t>
      </w:r>
      <w:r>
        <w:rPr>
          <w:spacing w:val="18"/>
          <w:sz w:val="24"/>
        </w:rPr>
        <w:t> </w:t>
      </w:r>
      <w:r>
        <w:rPr>
          <w:sz w:val="24"/>
        </w:rPr>
        <w:t>cual,</w:t>
      </w:r>
      <w:r>
        <w:rPr>
          <w:spacing w:val="25"/>
          <w:sz w:val="24"/>
        </w:rPr>
        <w:t> </w:t>
      </w:r>
      <w:r>
        <w:rPr>
          <w:sz w:val="24"/>
        </w:rPr>
        <w:t>cada</w:t>
      </w:r>
      <w:r>
        <w:rPr>
          <w:spacing w:val="22"/>
          <w:sz w:val="24"/>
        </w:rPr>
        <w:t> </w:t>
      </w:r>
      <w:r>
        <w:rPr>
          <w:sz w:val="24"/>
        </w:rPr>
        <w:t>uno</w:t>
      </w:r>
      <w:r>
        <w:rPr>
          <w:spacing w:val="27"/>
          <w:sz w:val="24"/>
        </w:rPr>
        <w:t> </w:t>
      </w:r>
      <w:r>
        <w:rPr>
          <w:sz w:val="24"/>
        </w:rPr>
        <w:t>de</w:t>
      </w:r>
      <w:r>
        <w:rPr>
          <w:spacing w:val="27"/>
          <w:sz w:val="24"/>
        </w:rPr>
        <w:t> </w:t>
      </w:r>
      <w:r>
        <w:rPr>
          <w:sz w:val="24"/>
        </w:rPr>
        <w:t>los</w:t>
      </w:r>
      <w:r>
        <w:rPr>
          <w:spacing w:val="21"/>
          <w:sz w:val="24"/>
        </w:rPr>
        <w:t> </w:t>
      </w:r>
      <w:r>
        <w:rPr>
          <w:sz w:val="24"/>
        </w:rPr>
        <w:t>perros</w:t>
      </w:r>
      <w:r>
        <w:rPr>
          <w:spacing w:val="21"/>
          <w:sz w:val="24"/>
        </w:rPr>
        <w:t> </w:t>
      </w:r>
      <w:r>
        <w:rPr>
          <w:spacing w:val="-3"/>
          <w:sz w:val="24"/>
        </w:rPr>
        <w:t>fue</w:t>
      </w:r>
      <w:r>
        <w:rPr>
          <w:spacing w:val="27"/>
          <w:sz w:val="24"/>
        </w:rPr>
        <w:t> </w:t>
      </w:r>
      <w:r>
        <w:rPr>
          <w:sz w:val="24"/>
        </w:rPr>
        <w:t>valorado</w:t>
      </w:r>
      <w:r>
        <w:rPr>
          <w:spacing w:val="27"/>
          <w:sz w:val="24"/>
        </w:rPr>
        <w:t> </w:t>
      </w:r>
      <w:r>
        <w:rPr>
          <w:sz w:val="24"/>
        </w:rPr>
        <w:t>por</w:t>
      </w:r>
      <w:r>
        <w:rPr>
          <w:spacing w:val="15"/>
          <w:sz w:val="24"/>
        </w:rPr>
        <w:t> </w:t>
      </w:r>
      <w:r>
        <w:rPr>
          <w:sz w:val="24"/>
        </w:rPr>
        <w:t>tres</w:t>
      </w:r>
      <w:r>
        <w:rPr>
          <w:spacing w:val="21"/>
          <w:sz w:val="24"/>
        </w:rPr>
        <w:t> </w:t>
      </w:r>
      <w:r>
        <w:rPr>
          <w:sz w:val="24"/>
        </w:rPr>
        <w:t>médicos</w:t>
      </w:r>
      <w:r>
        <w:rPr>
          <w:spacing w:val="25"/>
          <w:sz w:val="24"/>
        </w:rPr>
        <w:t> </w:t>
      </w:r>
      <w:r>
        <w:rPr>
          <w:sz w:val="24"/>
        </w:rPr>
        <w:t>veterinarios</w:t>
      </w:r>
      <w:r>
        <w:rPr>
          <w:spacing w:val="21"/>
          <w:sz w:val="24"/>
        </w:rPr>
        <w:t> </w:t>
      </w:r>
      <w:r>
        <w:rPr>
          <w:sz w:val="24"/>
        </w:rPr>
        <w:t>por</w:t>
      </w:r>
      <w:r>
        <w:rPr>
          <w:spacing w:val="24"/>
          <w:sz w:val="24"/>
        </w:rPr>
        <w:t> </w:t>
      </w:r>
      <w:r>
        <w:rPr>
          <w:sz w:val="24"/>
        </w:rPr>
        <w:t>ocasión</w:t>
      </w:r>
    </w:p>
    <w:p>
      <w:pPr>
        <w:pStyle w:val="ListParagraph"/>
        <w:numPr>
          <w:ilvl w:val="0"/>
          <w:numId w:val="11"/>
        </w:numPr>
        <w:tabs>
          <w:tab w:pos="692" w:val="left" w:leader="none"/>
          <w:tab w:pos="693" w:val="left" w:leader="none"/>
        </w:tabs>
        <w:spacing w:line="240" w:lineRule="auto" w:before="130" w:after="0"/>
        <w:ind w:left="692" w:right="0" w:hanging="470"/>
        <w:jc w:val="left"/>
        <w:rPr>
          <w:sz w:val="24"/>
        </w:rPr>
      </w:pPr>
      <w:r>
        <w:rPr>
          <w:sz w:val="24"/>
        </w:rPr>
        <w:t>para que emitieran un diagnóstico  clínico  presuntivo,  posteriormente,  un hemograma </w:t>
      </w:r>
      <w:r>
        <w:rPr>
          <w:spacing w:val="57"/>
          <w:sz w:val="24"/>
        </w:rPr>
        <w:t> </w:t>
      </w:r>
      <w:r>
        <w:rPr>
          <w:sz w:val="24"/>
        </w:rPr>
        <w:t>de</w:t>
      </w:r>
    </w:p>
    <w:p>
      <w:pPr>
        <w:pStyle w:val="ListParagraph"/>
        <w:numPr>
          <w:ilvl w:val="0"/>
          <w:numId w:val="11"/>
        </w:numPr>
        <w:tabs>
          <w:tab w:pos="692" w:val="left" w:leader="none"/>
          <w:tab w:pos="693" w:val="left" w:leader="none"/>
        </w:tabs>
        <w:spacing w:line="240" w:lineRule="auto" w:before="134" w:after="0"/>
        <w:ind w:left="692" w:right="0" w:hanging="470"/>
        <w:jc w:val="left"/>
        <w:rPr>
          <w:sz w:val="24"/>
        </w:rPr>
      </w:pPr>
      <w:r>
        <w:rPr>
          <w:sz w:val="24"/>
        </w:rPr>
        <w:t>cada</w:t>
      </w:r>
      <w:r>
        <w:rPr>
          <w:spacing w:val="17"/>
          <w:sz w:val="24"/>
        </w:rPr>
        <w:t> </w:t>
      </w:r>
      <w:r>
        <w:rPr>
          <w:sz w:val="24"/>
        </w:rPr>
        <w:t>perro</w:t>
      </w:r>
      <w:r>
        <w:rPr>
          <w:spacing w:val="18"/>
          <w:sz w:val="24"/>
        </w:rPr>
        <w:t> </w:t>
      </w:r>
      <w:r>
        <w:rPr>
          <w:spacing w:val="-3"/>
          <w:sz w:val="24"/>
        </w:rPr>
        <w:t>fue</w:t>
      </w:r>
      <w:r>
        <w:rPr>
          <w:spacing w:val="17"/>
          <w:sz w:val="24"/>
        </w:rPr>
        <w:t> </w:t>
      </w:r>
      <w:r>
        <w:rPr>
          <w:sz w:val="24"/>
        </w:rPr>
        <w:t>obtenido,</w:t>
      </w:r>
      <w:r>
        <w:rPr>
          <w:spacing w:val="20"/>
          <w:sz w:val="24"/>
        </w:rPr>
        <w:t> </w:t>
      </w:r>
      <w:r>
        <w:rPr>
          <w:sz w:val="24"/>
        </w:rPr>
        <w:t>así</w:t>
      </w:r>
      <w:r>
        <w:rPr>
          <w:spacing w:val="10"/>
          <w:sz w:val="24"/>
        </w:rPr>
        <w:t> </w:t>
      </w:r>
      <w:r>
        <w:rPr>
          <w:sz w:val="24"/>
        </w:rPr>
        <w:t>como</w:t>
      </w:r>
      <w:r>
        <w:rPr>
          <w:spacing w:val="22"/>
          <w:sz w:val="24"/>
        </w:rPr>
        <w:t> </w:t>
      </w:r>
      <w:r>
        <w:rPr>
          <w:sz w:val="24"/>
        </w:rPr>
        <w:t>una</w:t>
      </w:r>
      <w:r>
        <w:rPr>
          <w:spacing w:val="17"/>
          <w:sz w:val="24"/>
        </w:rPr>
        <w:t> </w:t>
      </w:r>
      <w:r>
        <w:rPr>
          <w:sz w:val="24"/>
        </w:rPr>
        <w:t>prueba</w:t>
      </w:r>
      <w:r>
        <w:rPr>
          <w:spacing w:val="17"/>
          <w:sz w:val="24"/>
        </w:rPr>
        <w:t> </w:t>
      </w:r>
      <w:r>
        <w:rPr>
          <w:sz w:val="24"/>
        </w:rPr>
        <w:t>de</w:t>
      </w:r>
      <w:r>
        <w:rPr>
          <w:spacing w:val="17"/>
          <w:sz w:val="24"/>
        </w:rPr>
        <w:t> </w:t>
      </w:r>
      <w:r>
        <w:rPr>
          <w:sz w:val="24"/>
        </w:rPr>
        <w:t>PCR</w:t>
      </w:r>
      <w:r>
        <w:rPr>
          <w:spacing w:val="17"/>
          <w:sz w:val="24"/>
        </w:rPr>
        <w:t> </w:t>
      </w:r>
      <w:r>
        <w:rPr>
          <w:sz w:val="24"/>
        </w:rPr>
        <w:t>simple</w:t>
      </w:r>
      <w:r>
        <w:rPr>
          <w:spacing w:val="22"/>
          <w:sz w:val="24"/>
        </w:rPr>
        <w:t> </w:t>
      </w:r>
      <w:r>
        <w:rPr>
          <w:sz w:val="24"/>
        </w:rPr>
        <w:t>y</w:t>
      </w:r>
      <w:r>
        <w:rPr>
          <w:spacing w:val="14"/>
          <w:sz w:val="24"/>
        </w:rPr>
        <w:t> </w:t>
      </w:r>
      <w:r>
        <w:rPr>
          <w:sz w:val="24"/>
        </w:rPr>
        <w:t>aproximadamente</w:t>
      </w:r>
      <w:r>
        <w:rPr>
          <w:spacing w:val="17"/>
          <w:sz w:val="24"/>
        </w:rPr>
        <w:t> </w:t>
      </w:r>
      <w:r>
        <w:rPr>
          <w:sz w:val="24"/>
        </w:rPr>
        <w:t>el</w:t>
      </w:r>
      <w:r>
        <w:rPr>
          <w:spacing w:val="10"/>
          <w:sz w:val="24"/>
        </w:rPr>
        <w:t> </w:t>
      </w:r>
      <w:r>
        <w:rPr>
          <w:sz w:val="24"/>
        </w:rPr>
        <w:t>50%</w:t>
      </w:r>
    </w:p>
    <w:p>
      <w:pPr>
        <w:pStyle w:val="ListParagraph"/>
        <w:numPr>
          <w:ilvl w:val="0"/>
          <w:numId w:val="11"/>
        </w:numPr>
        <w:tabs>
          <w:tab w:pos="692" w:val="left" w:leader="none"/>
          <w:tab w:pos="693" w:val="left" w:leader="none"/>
        </w:tabs>
        <w:spacing w:line="240" w:lineRule="auto" w:before="129" w:after="0"/>
        <w:ind w:left="692" w:right="0" w:hanging="470"/>
        <w:jc w:val="left"/>
        <w:rPr>
          <w:sz w:val="24"/>
        </w:rPr>
      </w:pPr>
      <w:r>
        <w:rPr>
          <w:sz w:val="24"/>
        </w:rPr>
        <w:t>del   total   de   los   perros   fueron   valorados   por   inmunocromatografía;   estos   </w:t>
      </w:r>
      <w:r>
        <w:rPr>
          <w:spacing w:val="9"/>
          <w:sz w:val="24"/>
        </w:rPr>
        <w:t> </w:t>
      </w:r>
      <w:r>
        <w:rPr>
          <w:sz w:val="24"/>
        </w:rPr>
        <w:t>cuatro</w:t>
      </w:r>
    </w:p>
    <w:p>
      <w:pPr>
        <w:pStyle w:val="ListParagraph"/>
        <w:numPr>
          <w:ilvl w:val="0"/>
          <w:numId w:val="11"/>
        </w:numPr>
        <w:tabs>
          <w:tab w:pos="692" w:val="left" w:leader="none"/>
          <w:tab w:pos="693" w:val="left" w:leader="none"/>
        </w:tabs>
        <w:spacing w:line="240" w:lineRule="auto" w:before="129" w:after="0"/>
        <w:ind w:left="692" w:right="0" w:hanging="470"/>
        <w:jc w:val="left"/>
        <w:rPr>
          <w:sz w:val="24"/>
        </w:rPr>
      </w:pPr>
      <w:r>
        <w:rPr>
          <w:sz w:val="24"/>
        </w:rPr>
        <w:t>procedimientos fueron comparados contra </w:t>
      </w:r>
      <w:r>
        <w:rPr>
          <w:spacing w:val="-5"/>
          <w:sz w:val="24"/>
        </w:rPr>
        <w:t>la </w:t>
      </w:r>
      <w:r>
        <w:rPr>
          <w:sz w:val="24"/>
        </w:rPr>
        <w:t>prueba de PCR</w:t>
      </w:r>
      <w:r>
        <w:rPr>
          <w:spacing w:val="-6"/>
          <w:sz w:val="24"/>
        </w:rPr>
        <w:t> </w:t>
      </w:r>
      <w:r>
        <w:rPr>
          <w:sz w:val="24"/>
        </w:rPr>
        <w:t>anidada.</w:t>
      </w:r>
    </w:p>
    <w:p>
      <w:pPr>
        <w:pStyle w:val="ListParagraph"/>
        <w:numPr>
          <w:ilvl w:val="0"/>
          <w:numId w:val="11"/>
        </w:numPr>
        <w:tabs>
          <w:tab w:pos="692" w:val="left" w:leader="none"/>
          <w:tab w:pos="693" w:val="left" w:leader="none"/>
        </w:tabs>
        <w:spacing w:line="240" w:lineRule="auto" w:before="130" w:after="0"/>
        <w:ind w:left="692" w:right="0" w:hanging="470"/>
        <w:jc w:val="left"/>
        <w:rPr>
          <w:sz w:val="24"/>
        </w:rPr>
      </w:pPr>
      <w:r>
        <w:rPr>
          <w:sz w:val="24"/>
        </w:rPr>
        <w:t>Obtención del diagnóstico</w:t>
      </w:r>
      <w:r>
        <w:rPr>
          <w:spacing w:val="-24"/>
          <w:sz w:val="24"/>
        </w:rPr>
        <w:t> </w:t>
      </w:r>
      <w:r>
        <w:rPr>
          <w:sz w:val="24"/>
        </w:rPr>
        <w:t>clínico</w:t>
      </w:r>
    </w:p>
    <w:p>
      <w:pPr>
        <w:pStyle w:val="ListParagraph"/>
        <w:numPr>
          <w:ilvl w:val="0"/>
          <w:numId w:val="11"/>
        </w:numPr>
        <w:tabs>
          <w:tab w:pos="990" w:val="left" w:leader="none"/>
          <w:tab w:pos="991" w:val="left" w:leader="none"/>
        </w:tabs>
        <w:spacing w:line="240" w:lineRule="auto" w:before="134" w:after="0"/>
        <w:ind w:left="990" w:right="0" w:hanging="768"/>
        <w:jc w:val="left"/>
        <w:rPr>
          <w:sz w:val="24"/>
        </w:rPr>
      </w:pPr>
      <w:r>
        <w:rPr>
          <w:sz w:val="24"/>
        </w:rPr>
        <w:t>Cada perro  </w:t>
      </w:r>
      <w:r>
        <w:rPr>
          <w:spacing w:val="-3"/>
          <w:sz w:val="24"/>
        </w:rPr>
        <w:t>fue  </w:t>
      </w:r>
      <w:r>
        <w:rPr>
          <w:sz w:val="24"/>
        </w:rPr>
        <w:t>examinado  por tres médicos,  los cuales emitieron en forma secreta  </w:t>
      </w:r>
      <w:r>
        <w:rPr>
          <w:spacing w:val="11"/>
          <w:sz w:val="24"/>
        </w:rPr>
        <w:t> </w:t>
      </w:r>
      <w:r>
        <w:rPr>
          <w:sz w:val="24"/>
        </w:rPr>
        <w:t>su</w:t>
      </w:r>
    </w:p>
    <w:p>
      <w:pPr>
        <w:pStyle w:val="ListParagraph"/>
        <w:numPr>
          <w:ilvl w:val="0"/>
          <w:numId w:val="11"/>
        </w:numPr>
        <w:tabs>
          <w:tab w:pos="692" w:val="left" w:leader="none"/>
          <w:tab w:pos="693" w:val="left" w:leader="none"/>
        </w:tabs>
        <w:spacing w:line="240" w:lineRule="auto" w:before="129" w:after="0"/>
        <w:ind w:left="692" w:right="0" w:hanging="470"/>
        <w:jc w:val="left"/>
        <w:rPr>
          <w:sz w:val="24"/>
        </w:rPr>
      </w:pPr>
      <w:r>
        <w:rPr>
          <w:sz w:val="24"/>
        </w:rPr>
        <w:t>diagnóstico,  utilizando  solamente  </w:t>
      </w:r>
      <w:r>
        <w:rPr>
          <w:spacing w:val="-3"/>
          <w:sz w:val="24"/>
        </w:rPr>
        <w:t>la  </w:t>
      </w:r>
      <w:r>
        <w:rPr>
          <w:sz w:val="24"/>
        </w:rPr>
        <w:t>historia  clínica  y  el  examen  físico  general </w:t>
      </w:r>
      <w:r>
        <w:rPr>
          <w:spacing w:val="38"/>
          <w:sz w:val="24"/>
        </w:rPr>
        <w:t> </w:t>
      </w:r>
      <w:r>
        <w:rPr>
          <w:sz w:val="24"/>
        </w:rPr>
        <w:t>como</w:t>
      </w:r>
    </w:p>
    <w:p>
      <w:pPr>
        <w:pStyle w:val="ListParagraph"/>
        <w:numPr>
          <w:ilvl w:val="0"/>
          <w:numId w:val="11"/>
        </w:numPr>
        <w:tabs>
          <w:tab w:pos="692" w:val="left" w:leader="none"/>
          <w:tab w:pos="693" w:val="left" w:leader="none"/>
        </w:tabs>
        <w:spacing w:line="240" w:lineRule="auto" w:before="129" w:after="0"/>
        <w:ind w:left="692" w:right="0" w:hanging="581"/>
        <w:jc w:val="left"/>
        <w:rPr>
          <w:sz w:val="24"/>
        </w:rPr>
      </w:pPr>
      <w:r>
        <w:rPr>
          <w:sz w:val="24"/>
        </w:rPr>
        <w:t>herramienta.</w:t>
      </w:r>
    </w:p>
    <w:p>
      <w:pPr>
        <w:pStyle w:val="ListParagraph"/>
        <w:numPr>
          <w:ilvl w:val="0"/>
          <w:numId w:val="11"/>
        </w:numPr>
        <w:tabs>
          <w:tab w:pos="692" w:val="left" w:leader="none"/>
          <w:tab w:pos="693" w:val="left" w:leader="none"/>
        </w:tabs>
        <w:spacing w:line="240" w:lineRule="auto" w:before="130" w:after="0"/>
        <w:ind w:left="692" w:right="0" w:hanging="581"/>
        <w:jc w:val="left"/>
        <w:rPr>
          <w:sz w:val="24"/>
        </w:rPr>
      </w:pPr>
      <w:r>
        <w:rPr>
          <w:sz w:val="24"/>
        </w:rPr>
        <w:t>Hemograma</w:t>
      </w:r>
    </w:p>
    <w:p>
      <w:pPr>
        <w:pStyle w:val="ListParagraph"/>
        <w:numPr>
          <w:ilvl w:val="0"/>
          <w:numId w:val="11"/>
        </w:numPr>
        <w:tabs>
          <w:tab w:pos="990" w:val="left" w:leader="none"/>
          <w:tab w:pos="991" w:val="left" w:leader="none"/>
        </w:tabs>
        <w:spacing w:line="240" w:lineRule="auto" w:before="134" w:after="0"/>
        <w:ind w:left="990" w:right="0" w:hanging="879"/>
        <w:jc w:val="left"/>
        <w:rPr>
          <w:sz w:val="24"/>
        </w:rPr>
      </w:pPr>
      <w:r>
        <w:rPr>
          <w:sz w:val="24"/>
        </w:rPr>
        <w:t>Fueron</w:t>
      </w:r>
      <w:r>
        <w:rPr>
          <w:spacing w:val="27"/>
          <w:sz w:val="24"/>
        </w:rPr>
        <w:t> </w:t>
      </w:r>
      <w:r>
        <w:rPr>
          <w:sz w:val="24"/>
        </w:rPr>
        <w:t>tomadas</w:t>
      </w:r>
      <w:r>
        <w:rPr>
          <w:spacing w:val="35"/>
          <w:sz w:val="24"/>
        </w:rPr>
        <w:t> </w:t>
      </w:r>
      <w:r>
        <w:rPr>
          <w:sz w:val="24"/>
        </w:rPr>
        <w:t>muestras</w:t>
      </w:r>
      <w:r>
        <w:rPr>
          <w:spacing w:val="25"/>
          <w:sz w:val="24"/>
        </w:rPr>
        <w:t> </w:t>
      </w:r>
      <w:r>
        <w:rPr>
          <w:sz w:val="24"/>
        </w:rPr>
        <w:t>de</w:t>
      </w:r>
      <w:r>
        <w:rPr>
          <w:spacing w:val="31"/>
          <w:sz w:val="24"/>
        </w:rPr>
        <w:t> </w:t>
      </w:r>
      <w:r>
        <w:rPr>
          <w:sz w:val="24"/>
        </w:rPr>
        <w:t>sangre</w:t>
      </w:r>
      <w:r>
        <w:rPr>
          <w:spacing w:val="27"/>
          <w:sz w:val="24"/>
        </w:rPr>
        <w:t> </w:t>
      </w:r>
      <w:r>
        <w:rPr>
          <w:sz w:val="24"/>
        </w:rPr>
        <w:t>de</w:t>
      </w:r>
      <w:r>
        <w:rPr>
          <w:spacing w:val="31"/>
          <w:sz w:val="24"/>
        </w:rPr>
        <w:t> </w:t>
      </w:r>
      <w:r>
        <w:rPr>
          <w:spacing w:val="-3"/>
          <w:sz w:val="24"/>
        </w:rPr>
        <w:t>la</w:t>
      </w:r>
      <w:r>
        <w:rPr>
          <w:spacing w:val="36"/>
          <w:sz w:val="24"/>
        </w:rPr>
        <w:t> </w:t>
      </w:r>
      <w:r>
        <w:rPr>
          <w:sz w:val="24"/>
        </w:rPr>
        <w:t>vena</w:t>
      </w:r>
      <w:r>
        <w:rPr>
          <w:spacing w:val="31"/>
          <w:sz w:val="24"/>
        </w:rPr>
        <w:t> </w:t>
      </w:r>
      <w:r>
        <w:rPr>
          <w:sz w:val="24"/>
        </w:rPr>
        <w:t>yugular,</w:t>
      </w:r>
      <w:r>
        <w:rPr>
          <w:spacing w:val="30"/>
          <w:sz w:val="24"/>
        </w:rPr>
        <w:t> </w:t>
      </w:r>
      <w:r>
        <w:rPr>
          <w:sz w:val="24"/>
        </w:rPr>
        <w:t>utilizando</w:t>
      </w:r>
      <w:r>
        <w:rPr>
          <w:spacing w:val="32"/>
          <w:sz w:val="24"/>
        </w:rPr>
        <w:t> </w:t>
      </w:r>
      <w:r>
        <w:rPr>
          <w:sz w:val="24"/>
        </w:rPr>
        <w:t>aguja</w:t>
      </w:r>
      <w:r>
        <w:rPr>
          <w:spacing w:val="31"/>
          <w:sz w:val="24"/>
        </w:rPr>
        <w:t> </w:t>
      </w:r>
      <w:r>
        <w:rPr>
          <w:sz w:val="24"/>
        </w:rPr>
        <w:t>hipodérmica</w:t>
      </w:r>
    </w:p>
    <w:p>
      <w:pPr>
        <w:pStyle w:val="ListParagraph"/>
        <w:numPr>
          <w:ilvl w:val="0"/>
          <w:numId w:val="11"/>
        </w:numPr>
        <w:tabs>
          <w:tab w:pos="692" w:val="left" w:leader="none"/>
          <w:tab w:pos="693" w:val="left" w:leader="none"/>
        </w:tabs>
        <w:spacing w:line="240" w:lineRule="auto" w:before="129" w:after="0"/>
        <w:ind w:left="692" w:right="0" w:hanging="581"/>
        <w:jc w:val="left"/>
        <w:rPr>
          <w:sz w:val="24"/>
        </w:rPr>
      </w:pPr>
      <w:r>
        <w:rPr>
          <w:sz w:val="24"/>
        </w:rPr>
        <w:t>estéril, </w:t>
      </w:r>
      <w:r>
        <w:rPr>
          <w:spacing w:val="-5"/>
          <w:sz w:val="24"/>
        </w:rPr>
        <w:t>la </w:t>
      </w:r>
      <w:r>
        <w:rPr>
          <w:sz w:val="24"/>
        </w:rPr>
        <w:t>muestra se colocó en tubos con anticoagulante EDTA, el conteo celular se</w:t>
      </w:r>
      <w:r>
        <w:rPr>
          <w:spacing w:val="35"/>
          <w:sz w:val="24"/>
        </w:rPr>
        <w:t> </w:t>
      </w:r>
      <w:r>
        <w:rPr>
          <w:sz w:val="24"/>
        </w:rPr>
        <w:t>realizó</w:t>
      </w:r>
    </w:p>
    <w:p>
      <w:pPr>
        <w:pStyle w:val="ListParagraph"/>
        <w:numPr>
          <w:ilvl w:val="0"/>
          <w:numId w:val="11"/>
        </w:numPr>
        <w:tabs>
          <w:tab w:pos="692" w:val="left" w:leader="none"/>
          <w:tab w:pos="693" w:val="left" w:leader="none"/>
        </w:tabs>
        <w:spacing w:line="240" w:lineRule="auto" w:before="129" w:after="0"/>
        <w:ind w:left="692" w:right="0" w:hanging="581"/>
        <w:jc w:val="left"/>
        <w:rPr>
          <w:sz w:val="24"/>
        </w:rPr>
      </w:pPr>
      <w:r>
        <w:rPr>
          <w:sz w:val="24"/>
        </w:rPr>
        <w:t>mediante  el analizador  automático  IDEXX  Vet  autored  y por  observación</w:t>
      </w:r>
      <w:r>
        <w:rPr>
          <w:spacing w:val="-22"/>
          <w:sz w:val="24"/>
        </w:rPr>
        <w:t> </w:t>
      </w:r>
      <w:r>
        <w:rPr>
          <w:sz w:val="24"/>
        </w:rPr>
        <w:t>microscópica</w:t>
      </w:r>
    </w:p>
    <w:p>
      <w:pPr>
        <w:pStyle w:val="ListParagraph"/>
        <w:numPr>
          <w:ilvl w:val="0"/>
          <w:numId w:val="11"/>
        </w:numPr>
        <w:tabs>
          <w:tab w:pos="692" w:val="left" w:leader="none"/>
          <w:tab w:pos="693" w:val="left" w:leader="none"/>
        </w:tabs>
        <w:spacing w:line="240" w:lineRule="auto" w:before="94" w:after="0"/>
        <w:ind w:left="692" w:right="0" w:hanging="581"/>
        <w:jc w:val="left"/>
        <w:rPr>
          <w:sz w:val="24"/>
        </w:rPr>
      </w:pPr>
      <w:r>
        <w:rPr>
          <w:sz w:val="24"/>
        </w:rPr>
        <w:t>para detectar  leucopenia,  leucocitos totales menores a</w:t>
      </w:r>
      <w:r>
        <w:rPr>
          <w:spacing w:val="-15"/>
          <w:sz w:val="24"/>
        </w:rPr>
        <w:t> </w:t>
      </w:r>
      <w:r>
        <w:rPr>
          <w:sz w:val="24"/>
        </w:rPr>
        <w:t>6.0x10</w:t>
      </w:r>
      <w:r>
        <w:rPr>
          <w:position w:val="11"/>
          <w:sz w:val="16"/>
        </w:rPr>
        <w:t>9</w:t>
      </w:r>
      <w:r>
        <w:rPr>
          <w:sz w:val="24"/>
        </w:rPr>
        <w:t>/L.</w:t>
      </w:r>
    </w:p>
    <w:p>
      <w:pPr>
        <w:pStyle w:val="ListParagraph"/>
        <w:numPr>
          <w:ilvl w:val="0"/>
          <w:numId w:val="11"/>
        </w:numPr>
        <w:tabs>
          <w:tab w:pos="692" w:val="left" w:leader="none"/>
          <w:tab w:pos="693" w:val="left" w:leader="none"/>
        </w:tabs>
        <w:spacing w:line="240" w:lineRule="auto" w:before="134" w:after="0"/>
        <w:ind w:left="692" w:right="0" w:hanging="581"/>
        <w:jc w:val="left"/>
        <w:rPr>
          <w:sz w:val="24"/>
        </w:rPr>
      </w:pPr>
      <w:r>
        <w:rPr>
          <w:sz w:val="24"/>
        </w:rPr>
        <w:t>PCR  y PCR</w:t>
      </w:r>
      <w:r>
        <w:rPr>
          <w:spacing w:val="-14"/>
          <w:sz w:val="24"/>
        </w:rPr>
        <w:t> </w:t>
      </w:r>
      <w:r>
        <w:rPr>
          <w:sz w:val="24"/>
        </w:rPr>
        <w:t>anidado</w:t>
      </w:r>
    </w:p>
    <w:p>
      <w:pPr>
        <w:pStyle w:val="ListParagraph"/>
        <w:numPr>
          <w:ilvl w:val="0"/>
          <w:numId w:val="11"/>
        </w:numPr>
        <w:tabs>
          <w:tab w:pos="985" w:val="left" w:leader="none"/>
          <w:tab w:pos="986" w:val="left" w:leader="none"/>
        </w:tabs>
        <w:spacing w:line="240" w:lineRule="auto" w:before="129" w:after="0"/>
        <w:ind w:left="985" w:right="0" w:hanging="874"/>
        <w:jc w:val="left"/>
        <w:rPr>
          <w:sz w:val="24"/>
        </w:rPr>
      </w:pPr>
      <w:r>
        <w:rPr>
          <w:sz w:val="24"/>
        </w:rPr>
        <w:t>Se</w:t>
      </w:r>
      <w:r>
        <w:rPr>
          <w:spacing w:val="48"/>
          <w:sz w:val="24"/>
        </w:rPr>
        <w:t> </w:t>
      </w:r>
      <w:r>
        <w:rPr>
          <w:sz w:val="24"/>
        </w:rPr>
        <w:t>colectaron</w:t>
      </w:r>
      <w:r>
        <w:rPr>
          <w:spacing w:val="46"/>
          <w:sz w:val="24"/>
        </w:rPr>
        <w:t> </w:t>
      </w:r>
      <w:r>
        <w:rPr>
          <w:sz w:val="24"/>
        </w:rPr>
        <w:t>hisopados</w:t>
      </w:r>
      <w:r>
        <w:rPr>
          <w:spacing w:val="47"/>
          <w:sz w:val="24"/>
        </w:rPr>
        <w:t> </w:t>
      </w:r>
      <w:r>
        <w:rPr>
          <w:sz w:val="24"/>
        </w:rPr>
        <w:t>rectales</w:t>
      </w:r>
      <w:r>
        <w:rPr>
          <w:spacing w:val="47"/>
          <w:sz w:val="24"/>
        </w:rPr>
        <w:t> </w:t>
      </w:r>
      <w:r>
        <w:rPr>
          <w:sz w:val="24"/>
        </w:rPr>
        <w:t>de</w:t>
      </w:r>
      <w:r>
        <w:rPr>
          <w:spacing w:val="48"/>
          <w:sz w:val="24"/>
        </w:rPr>
        <w:t> </w:t>
      </w:r>
      <w:r>
        <w:rPr>
          <w:sz w:val="24"/>
        </w:rPr>
        <w:t>todos</w:t>
      </w:r>
      <w:r>
        <w:rPr>
          <w:spacing w:val="47"/>
          <w:sz w:val="24"/>
        </w:rPr>
        <w:t> </w:t>
      </w:r>
      <w:r>
        <w:rPr>
          <w:sz w:val="24"/>
        </w:rPr>
        <w:t>los</w:t>
      </w:r>
      <w:r>
        <w:rPr>
          <w:spacing w:val="47"/>
          <w:sz w:val="24"/>
        </w:rPr>
        <w:t> </w:t>
      </w:r>
      <w:r>
        <w:rPr>
          <w:sz w:val="24"/>
        </w:rPr>
        <w:t>perros</w:t>
      </w:r>
      <w:r>
        <w:rPr>
          <w:spacing w:val="47"/>
          <w:sz w:val="24"/>
        </w:rPr>
        <w:t> </w:t>
      </w:r>
      <w:r>
        <w:rPr>
          <w:sz w:val="24"/>
        </w:rPr>
        <w:t>que</w:t>
      </w:r>
      <w:r>
        <w:rPr>
          <w:spacing w:val="48"/>
          <w:sz w:val="24"/>
        </w:rPr>
        <w:t> </w:t>
      </w:r>
      <w:r>
        <w:rPr>
          <w:sz w:val="24"/>
        </w:rPr>
        <w:t>formaron</w:t>
      </w:r>
      <w:r>
        <w:rPr>
          <w:spacing w:val="44"/>
          <w:sz w:val="24"/>
        </w:rPr>
        <w:t> </w:t>
      </w:r>
      <w:r>
        <w:rPr>
          <w:sz w:val="24"/>
        </w:rPr>
        <w:t>parte</w:t>
      </w:r>
      <w:r>
        <w:rPr>
          <w:spacing w:val="48"/>
          <w:sz w:val="24"/>
        </w:rPr>
        <w:t> </w:t>
      </w:r>
      <w:r>
        <w:rPr>
          <w:sz w:val="24"/>
        </w:rPr>
        <w:t>de</w:t>
      </w:r>
      <w:r>
        <w:rPr>
          <w:spacing w:val="48"/>
          <w:sz w:val="24"/>
        </w:rPr>
        <w:t> </w:t>
      </w:r>
      <w:r>
        <w:rPr>
          <w:sz w:val="24"/>
        </w:rPr>
        <w:t>los</w:t>
      </w:r>
      <w:r>
        <w:rPr>
          <w:spacing w:val="47"/>
          <w:sz w:val="24"/>
        </w:rPr>
        <w:t> </w:t>
      </w:r>
      <w:r>
        <w:rPr>
          <w:sz w:val="24"/>
        </w:rPr>
        <w:t>dos</w:t>
      </w:r>
    </w:p>
    <w:p>
      <w:pPr>
        <w:pStyle w:val="ListParagraph"/>
        <w:numPr>
          <w:ilvl w:val="0"/>
          <w:numId w:val="11"/>
        </w:numPr>
        <w:tabs>
          <w:tab w:pos="692" w:val="left" w:leader="none"/>
          <w:tab w:pos="693" w:val="left" w:leader="none"/>
        </w:tabs>
        <w:spacing w:line="240" w:lineRule="auto" w:before="129" w:after="0"/>
        <w:ind w:left="692" w:right="0" w:hanging="581"/>
        <w:jc w:val="left"/>
        <w:rPr>
          <w:sz w:val="24"/>
        </w:rPr>
      </w:pPr>
      <w:r>
        <w:rPr>
          <w:sz w:val="24"/>
        </w:rPr>
        <w:t>grupos, enseguida cada   hisopo   </w:t>
      </w:r>
      <w:r>
        <w:rPr>
          <w:spacing w:val="-3"/>
          <w:sz w:val="24"/>
        </w:rPr>
        <w:t>fue  </w:t>
      </w:r>
      <w:r>
        <w:rPr>
          <w:sz w:val="24"/>
        </w:rPr>
        <w:t>homogenizado  en 500μl de agua  libre de </w:t>
      </w:r>
      <w:r>
        <w:rPr>
          <w:spacing w:val="47"/>
          <w:sz w:val="24"/>
        </w:rPr>
        <w:t> </w:t>
      </w:r>
      <w:r>
        <w:rPr>
          <w:sz w:val="24"/>
        </w:rPr>
        <w:t>nucleasas,</w:t>
      </w:r>
    </w:p>
    <w:p>
      <w:pPr>
        <w:pStyle w:val="ListParagraph"/>
        <w:numPr>
          <w:ilvl w:val="0"/>
          <w:numId w:val="11"/>
        </w:numPr>
        <w:tabs>
          <w:tab w:pos="692" w:val="left" w:leader="none"/>
          <w:tab w:pos="693" w:val="left" w:leader="none"/>
        </w:tabs>
        <w:spacing w:line="240" w:lineRule="auto" w:before="130" w:after="0"/>
        <w:ind w:left="692" w:right="0" w:hanging="581"/>
        <w:jc w:val="left"/>
        <w:rPr>
          <w:sz w:val="24"/>
        </w:rPr>
      </w:pPr>
      <w:r>
        <w:rPr>
          <w:sz w:val="24"/>
        </w:rPr>
        <w:t>solamente</w:t>
      </w:r>
      <w:r>
        <w:rPr>
          <w:spacing w:val="15"/>
          <w:sz w:val="24"/>
        </w:rPr>
        <w:t> </w:t>
      </w:r>
      <w:r>
        <w:rPr>
          <w:sz w:val="24"/>
        </w:rPr>
        <w:t>200μl</w:t>
      </w:r>
      <w:r>
        <w:rPr>
          <w:spacing w:val="7"/>
          <w:sz w:val="24"/>
        </w:rPr>
        <w:t> </w:t>
      </w:r>
      <w:r>
        <w:rPr>
          <w:sz w:val="24"/>
        </w:rPr>
        <w:t>de</w:t>
      </w:r>
      <w:r>
        <w:rPr>
          <w:spacing w:val="20"/>
          <w:sz w:val="24"/>
        </w:rPr>
        <w:t> </w:t>
      </w:r>
      <w:r>
        <w:rPr>
          <w:sz w:val="24"/>
        </w:rPr>
        <w:t>este</w:t>
      </w:r>
      <w:r>
        <w:rPr>
          <w:spacing w:val="20"/>
          <w:sz w:val="24"/>
        </w:rPr>
        <w:t> </w:t>
      </w:r>
      <w:r>
        <w:rPr>
          <w:sz w:val="24"/>
        </w:rPr>
        <w:t>homogenizado</w:t>
      </w:r>
      <w:r>
        <w:rPr>
          <w:spacing w:val="21"/>
          <w:sz w:val="24"/>
        </w:rPr>
        <w:t> </w:t>
      </w:r>
      <w:r>
        <w:rPr>
          <w:sz w:val="24"/>
        </w:rPr>
        <w:t>se</w:t>
      </w:r>
      <w:r>
        <w:rPr>
          <w:spacing w:val="20"/>
          <w:sz w:val="24"/>
        </w:rPr>
        <w:t> </w:t>
      </w:r>
      <w:r>
        <w:rPr>
          <w:sz w:val="24"/>
        </w:rPr>
        <w:t>utilizaron</w:t>
      </w:r>
      <w:r>
        <w:rPr>
          <w:spacing w:val="11"/>
          <w:sz w:val="24"/>
        </w:rPr>
        <w:t> </w:t>
      </w:r>
      <w:r>
        <w:rPr>
          <w:sz w:val="24"/>
        </w:rPr>
        <w:t>para</w:t>
      </w:r>
      <w:r>
        <w:rPr>
          <w:spacing w:val="20"/>
          <w:sz w:val="24"/>
        </w:rPr>
        <w:t> </w:t>
      </w:r>
      <w:r>
        <w:rPr>
          <w:spacing w:val="-3"/>
          <w:sz w:val="24"/>
        </w:rPr>
        <w:t>la</w:t>
      </w:r>
      <w:r>
        <w:rPr>
          <w:spacing w:val="15"/>
          <w:sz w:val="24"/>
        </w:rPr>
        <w:t> </w:t>
      </w:r>
      <w:r>
        <w:rPr>
          <w:sz w:val="24"/>
        </w:rPr>
        <w:t>purificación</w:t>
      </w:r>
      <w:r>
        <w:rPr>
          <w:spacing w:val="11"/>
          <w:sz w:val="24"/>
        </w:rPr>
        <w:t> </w:t>
      </w:r>
      <w:r>
        <w:rPr>
          <w:sz w:val="24"/>
        </w:rPr>
        <w:t>de</w:t>
      </w:r>
      <w:r>
        <w:rPr>
          <w:spacing w:val="15"/>
          <w:sz w:val="24"/>
        </w:rPr>
        <w:t> </w:t>
      </w:r>
      <w:r>
        <w:rPr>
          <w:sz w:val="24"/>
        </w:rPr>
        <w:t>DNA</w:t>
      </w:r>
      <w:r>
        <w:rPr>
          <w:spacing w:val="16"/>
          <w:sz w:val="24"/>
        </w:rPr>
        <w:t> </w:t>
      </w:r>
      <w:r>
        <w:rPr>
          <w:sz w:val="24"/>
        </w:rPr>
        <w:t>total,</w:t>
      </w:r>
      <w:r>
        <w:rPr>
          <w:spacing w:val="18"/>
          <w:sz w:val="24"/>
        </w:rPr>
        <w:t> </w:t>
      </w:r>
      <w:r>
        <w:rPr>
          <w:spacing w:val="4"/>
          <w:sz w:val="24"/>
        </w:rPr>
        <w:t>el</w:t>
      </w:r>
    </w:p>
    <w:p>
      <w:pPr>
        <w:pStyle w:val="ListParagraph"/>
        <w:numPr>
          <w:ilvl w:val="0"/>
          <w:numId w:val="11"/>
        </w:numPr>
        <w:tabs>
          <w:tab w:pos="692" w:val="left" w:leader="none"/>
          <w:tab w:pos="693" w:val="left" w:leader="none"/>
        </w:tabs>
        <w:spacing w:line="240" w:lineRule="auto" w:before="134" w:after="0"/>
        <w:ind w:left="692" w:right="0" w:hanging="581"/>
        <w:jc w:val="left"/>
        <w:rPr>
          <w:sz w:val="24"/>
        </w:rPr>
      </w:pPr>
      <w:r>
        <w:rPr>
          <w:sz w:val="24"/>
        </w:rPr>
        <w:t>procedimiento</w:t>
      </w:r>
      <w:r>
        <w:rPr>
          <w:spacing w:val="21"/>
          <w:sz w:val="24"/>
        </w:rPr>
        <w:t> </w:t>
      </w:r>
      <w:r>
        <w:rPr>
          <w:sz w:val="24"/>
        </w:rPr>
        <w:t>se</w:t>
      </w:r>
      <w:r>
        <w:rPr>
          <w:spacing w:val="20"/>
          <w:sz w:val="24"/>
        </w:rPr>
        <w:t> </w:t>
      </w:r>
      <w:r>
        <w:rPr>
          <w:sz w:val="24"/>
        </w:rPr>
        <w:t>realizó</w:t>
      </w:r>
      <w:r>
        <w:rPr>
          <w:spacing w:val="25"/>
          <w:sz w:val="24"/>
        </w:rPr>
        <w:t> </w:t>
      </w:r>
      <w:r>
        <w:rPr>
          <w:sz w:val="24"/>
        </w:rPr>
        <w:t>utilizando</w:t>
      </w:r>
      <w:r>
        <w:rPr>
          <w:spacing w:val="25"/>
          <w:sz w:val="24"/>
        </w:rPr>
        <w:t> </w:t>
      </w:r>
      <w:r>
        <w:rPr>
          <w:sz w:val="24"/>
        </w:rPr>
        <w:t>el</w:t>
      </w:r>
      <w:r>
        <w:rPr>
          <w:spacing w:val="13"/>
          <w:sz w:val="24"/>
        </w:rPr>
        <w:t> </w:t>
      </w:r>
      <w:r>
        <w:rPr>
          <w:sz w:val="24"/>
        </w:rPr>
        <w:t>kit</w:t>
      </w:r>
      <w:r>
        <w:rPr>
          <w:spacing w:val="26"/>
          <w:sz w:val="24"/>
        </w:rPr>
        <w:t> </w:t>
      </w:r>
      <w:r>
        <w:rPr>
          <w:sz w:val="24"/>
        </w:rPr>
        <w:t>QIAamp®</w:t>
      </w:r>
      <w:r>
        <w:rPr>
          <w:spacing w:val="21"/>
          <w:sz w:val="24"/>
        </w:rPr>
        <w:t> </w:t>
      </w:r>
      <w:r>
        <w:rPr>
          <w:sz w:val="24"/>
        </w:rPr>
        <w:t>DNA</w:t>
      </w:r>
      <w:r>
        <w:rPr>
          <w:spacing w:val="15"/>
          <w:sz w:val="24"/>
        </w:rPr>
        <w:t> </w:t>
      </w:r>
      <w:r>
        <w:rPr>
          <w:sz w:val="24"/>
        </w:rPr>
        <w:t>Stool</w:t>
      </w:r>
      <w:r>
        <w:rPr>
          <w:spacing w:val="13"/>
          <w:sz w:val="24"/>
        </w:rPr>
        <w:t> </w:t>
      </w:r>
      <w:r>
        <w:rPr>
          <w:sz w:val="24"/>
        </w:rPr>
        <w:t>(Quiagen),</w:t>
      </w:r>
      <w:r>
        <w:rPr>
          <w:spacing w:val="23"/>
          <w:sz w:val="24"/>
        </w:rPr>
        <w:t> </w:t>
      </w:r>
      <w:r>
        <w:rPr>
          <w:sz w:val="24"/>
        </w:rPr>
        <w:t>siguiendo</w:t>
      </w:r>
      <w:r>
        <w:rPr>
          <w:spacing w:val="25"/>
          <w:sz w:val="24"/>
        </w:rPr>
        <w:t> </w:t>
      </w:r>
      <w:r>
        <w:rPr>
          <w:sz w:val="24"/>
        </w:rPr>
        <w:t>las</w:t>
      </w:r>
    </w:p>
    <w:p>
      <w:pPr>
        <w:pStyle w:val="ListParagraph"/>
        <w:numPr>
          <w:ilvl w:val="0"/>
          <w:numId w:val="11"/>
        </w:numPr>
        <w:tabs>
          <w:tab w:pos="692" w:val="left" w:leader="none"/>
          <w:tab w:pos="693" w:val="left" w:leader="none"/>
        </w:tabs>
        <w:spacing w:line="240" w:lineRule="auto" w:before="129" w:after="0"/>
        <w:ind w:left="692" w:right="0" w:hanging="581"/>
        <w:jc w:val="left"/>
        <w:rPr>
          <w:sz w:val="24"/>
        </w:rPr>
      </w:pPr>
      <w:r>
        <w:rPr>
          <w:sz w:val="24"/>
        </w:rPr>
        <w:t>instrucciones</w:t>
      </w:r>
      <w:r>
        <w:rPr>
          <w:spacing w:val="36"/>
          <w:sz w:val="24"/>
        </w:rPr>
        <w:t> </w:t>
      </w:r>
      <w:r>
        <w:rPr>
          <w:sz w:val="24"/>
        </w:rPr>
        <w:t>del</w:t>
      </w:r>
      <w:r>
        <w:rPr>
          <w:spacing w:val="39"/>
          <w:sz w:val="24"/>
        </w:rPr>
        <w:t> </w:t>
      </w:r>
      <w:r>
        <w:rPr>
          <w:sz w:val="24"/>
        </w:rPr>
        <w:t>fabricante.</w:t>
      </w:r>
      <w:r>
        <w:rPr>
          <w:spacing w:val="45"/>
          <w:sz w:val="24"/>
        </w:rPr>
        <w:t> </w:t>
      </w:r>
      <w:r>
        <w:rPr>
          <w:sz w:val="24"/>
        </w:rPr>
        <w:t>Para</w:t>
      </w:r>
      <w:r>
        <w:rPr>
          <w:spacing w:val="37"/>
          <w:sz w:val="24"/>
        </w:rPr>
        <w:t> </w:t>
      </w:r>
      <w:r>
        <w:rPr>
          <w:sz w:val="24"/>
        </w:rPr>
        <w:t>los</w:t>
      </w:r>
      <w:r>
        <w:rPr>
          <w:spacing w:val="36"/>
          <w:sz w:val="24"/>
        </w:rPr>
        <w:t> </w:t>
      </w:r>
      <w:r>
        <w:rPr>
          <w:sz w:val="24"/>
        </w:rPr>
        <w:t>ensayos</w:t>
      </w:r>
      <w:r>
        <w:rPr>
          <w:spacing w:val="36"/>
          <w:sz w:val="24"/>
        </w:rPr>
        <w:t> </w:t>
      </w:r>
      <w:r>
        <w:rPr>
          <w:sz w:val="24"/>
        </w:rPr>
        <w:t>de</w:t>
      </w:r>
      <w:r>
        <w:rPr>
          <w:spacing w:val="47"/>
          <w:sz w:val="24"/>
        </w:rPr>
        <w:t> </w:t>
      </w:r>
      <w:r>
        <w:rPr>
          <w:spacing w:val="-5"/>
          <w:sz w:val="24"/>
        </w:rPr>
        <w:t>la</w:t>
      </w:r>
      <w:r>
        <w:rPr>
          <w:spacing w:val="37"/>
          <w:sz w:val="24"/>
        </w:rPr>
        <w:t> </w:t>
      </w:r>
      <w:r>
        <w:rPr>
          <w:sz w:val="24"/>
        </w:rPr>
        <w:t>PCR</w:t>
      </w:r>
      <w:r>
        <w:rPr>
          <w:spacing w:val="41"/>
          <w:sz w:val="24"/>
        </w:rPr>
        <w:t> </w:t>
      </w:r>
      <w:r>
        <w:rPr>
          <w:sz w:val="24"/>
        </w:rPr>
        <w:t>fueron</w:t>
      </w:r>
      <w:r>
        <w:rPr>
          <w:spacing w:val="33"/>
          <w:sz w:val="24"/>
        </w:rPr>
        <w:t> </w:t>
      </w:r>
      <w:r>
        <w:rPr>
          <w:sz w:val="24"/>
        </w:rPr>
        <w:t>diseñados</w:t>
      </w:r>
      <w:r>
        <w:rPr>
          <w:spacing w:val="36"/>
          <w:sz w:val="24"/>
        </w:rPr>
        <w:t> </w:t>
      </w:r>
      <w:r>
        <w:rPr>
          <w:sz w:val="24"/>
        </w:rPr>
        <w:t>dos</w:t>
      </w:r>
      <w:r>
        <w:rPr>
          <w:spacing w:val="36"/>
          <w:sz w:val="24"/>
        </w:rPr>
        <w:t> </w:t>
      </w:r>
      <w:r>
        <w:rPr>
          <w:sz w:val="24"/>
        </w:rPr>
        <w:t>pares</w:t>
      </w:r>
      <w:r>
        <w:rPr>
          <w:spacing w:val="36"/>
          <w:sz w:val="24"/>
        </w:rPr>
        <w:t> </w:t>
      </w:r>
      <w:r>
        <w:rPr>
          <w:sz w:val="24"/>
        </w:rPr>
        <w:t>de</w:t>
      </w:r>
    </w:p>
    <w:p>
      <w:pPr>
        <w:pStyle w:val="ListParagraph"/>
        <w:numPr>
          <w:ilvl w:val="0"/>
          <w:numId w:val="11"/>
        </w:numPr>
        <w:tabs>
          <w:tab w:pos="692" w:val="left" w:leader="none"/>
          <w:tab w:pos="693" w:val="left" w:leader="none"/>
        </w:tabs>
        <w:spacing w:line="240" w:lineRule="auto" w:before="129" w:after="0"/>
        <w:ind w:left="692" w:right="0" w:hanging="581"/>
        <w:jc w:val="left"/>
        <w:rPr>
          <w:sz w:val="24"/>
        </w:rPr>
      </w:pPr>
      <w:r>
        <w:rPr>
          <w:sz w:val="24"/>
        </w:rPr>
        <w:t>iniciadores; para realizar  PCR simple se seleccionaron  los  iniciadores Parvo  Int2FB </w:t>
      </w:r>
      <w:r>
        <w:rPr>
          <w:spacing w:val="46"/>
          <w:sz w:val="24"/>
        </w:rPr>
        <w:t> </w:t>
      </w:r>
      <w:r>
        <w:rPr>
          <w:sz w:val="24"/>
        </w:rPr>
        <w:t>(5’-</w:t>
      </w:r>
    </w:p>
    <w:p>
      <w:pPr>
        <w:pStyle w:val="ListParagraph"/>
        <w:numPr>
          <w:ilvl w:val="0"/>
          <w:numId w:val="11"/>
        </w:numPr>
        <w:tabs>
          <w:tab w:pos="692" w:val="left" w:leader="none"/>
          <w:tab w:pos="693" w:val="left" w:leader="none"/>
          <w:tab w:pos="5345" w:val="left" w:leader="none"/>
          <w:tab w:pos="6276" w:val="left" w:leader="none"/>
          <w:tab w:pos="7650" w:val="left" w:leader="none"/>
          <w:tab w:pos="9167" w:val="left" w:leader="none"/>
        </w:tabs>
        <w:spacing w:line="240" w:lineRule="auto" w:before="130" w:after="0"/>
        <w:ind w:left="692" w:right="0" w:hanging="581"/>
        <w:jc w:val="left"/>
        <w:rPr>
          <w:sz w:val="24"/>
        </w:rPr>
      </w:pPr>
      <w:r>
        <w:rPr>
          <w:sz w:val="24"/>
        </w:rPr>
        <w:t>TCAAGCAGATGGTGATCCAAG-3’)</w:t>
        <w:tab/>
        <w:t>y</w:t>
        <w:tab/>
        <w:t>Parvo</w:t>
        <w:tab/>
        <w:t>Int2CR</w:t>
        <w:tab/>
        <w:t>(5’-</w:t>
      </w:r>
    </w:p>
    <w:p>
      <w:pPr>
        <w:pStyle w:val="ListParagraph"/>
        <w:numPr>
          <w:ilvl w:val="0"/>
          <w:numId w:val="11"/>
        </w:numPr>
        <w:tabs>
          <w:tab w:pos="692" w:val="left" w:leader="none"/>
          <w:tab w:pos="693" w:val="left" w:leader="none"/>
        </w:tabs>
        <w:spacing w:line="240" w:lineRule="auto" w:before="129" w:after="0"/>
        <w:ind w:left="692" w:right="0" w:hanging="581"/>
        <w:jc w:val="left"/>
        <w:rPr>
          <w:sz w:val="24"/>
        </w:rPr>
      </w:pPr>
      <w:r>
        <w:rPr>
          <w:sz w:val="24"/>
        </w:rPr>
        <w:t>GGTACATTATTTAATGCAGTTA-3’) localizados en los nucleótidos 1107-1130 y </w:t>
      </w:r>
      <w:r>
        <w:rPr>
          <w:spacing w:val="6"/>
          <w:sz w:val="24"/>
        </w:rPr>
        <w:t> </w:t>
      </w:r>
      <w:r>
        <w:rPr>
          <w:sz w:val="24"/>
        </w:rPr>
        <w:t>1360-</w:t>
      </w:r>
    </w:p>
    <w:p>
      <w:pPr>
        <w:pStyle w:val="ListParagraph"/>
        <w:numPr>
          <w:ilvl w:val="0"/>
          <w:numId w:val="11"/>
        </w:numPr>
        <w:tabs>
          <w:tab w:pos="692" w:val="left" w:leader="none"/>
          <w:tab w:pos="693" w:val="left" w:leader="none"/>
        </w:tabs>
        <w:spacing w:line="240" w:lineRule="auto" w:before="134" w:after="0"/>
        <w:ind w:left="692" w:right="0" w:hanging="581"/>
        <w:jc w:val="left"/>
        <w:rPr>
          <w:sz w:val="24"/>
        </w:rPr>
      </w:pPr>
      <w:r>
        <w:rPr>
          <w:sz w:val="24"/>
        </w:rPr>
        <w:t>1382 del gen VP2 (Número de acceso GenBank FJ0051962c), amplificando un  </w:t>
      </w:r>
      <w:r>
        <w:rPr>
          <w:spacing w:val="39"/>
          <w:sz w:val="24"/>
        </w:rPr>
        <w:t> </w:t>
      </w:r>
      <w:r>
        <w:rPr>
          <w:sz w:val="24"/>
        </w:rPr>
        <w:t>fragmento</w:t>
      </w:r>
    </w:p>
    <w:p>
      <w:pPr>
        <w:pStyle w:val="ListParagraph"/>
        <w:numPr>
          <w:ilvl w:val="0"/>
          <w:numId w:val="11"/>
        </w:numPr>
        <w:tabs>
          <w:tab w:pos="692" w:val="left" w:leader="none"/>
          <w:tab w:pos="693" w:val="left" w:leader="none"/>
        </w:tabs>
        <w:spacing w:line="240" w:lineRule="auto" w:before="129" w:after="0"/>
        <w:ind w:left="692" w:right="0" w:hanging="581"/>
        <w:jc w:val="left"/>
        <w:rPr>
          <w:sz w:val="24"/>
        </w:rPr>
      </w:pPr>
      <w:r>
        <w:rPr>
          <w:sz w:val="24"/>
        </w:rPr>
        <w:t>de 275 pb. La reacciones se llevaron a cabo en un volumen final de 50μl,  utilizando</w:t>
      </w:r>
      <w:r>
        <w:rPr>
          <w:spacing w:val="57"/>
          <w:sz w:val="24"/>
        </w:rPr>
        <w:t> </w:t>
      </w:r>
      <w:r>
        <w:rPr>
          <w:sz w:val="24"/>
        </w:rPr>
        <w:t>12.5μl</w:t>
      </w:r>
    </w:p>
    <w:p>
      <w:pPr>
        <w:pStyle w:val="ListParagraph"/>
        <w:numPr>
          <w:ilvl w:val="0"/>
          <w:numId w:val="11"/>
        </w:numPr>
        <w:tabs>
          <w:tab w:pos="692" w:val="left" w:leader="none"/>
          <w:tab w:pos="693" w:val="left" w:leader="none"/>
        </w:tabs>
        <w:spacing w:line="240" w:lineRule="auto" w:before="130" w:after="0"/>
        <w:ind w:left="692" w:right="0" w:hanging="581"/>
        <w:jc w:val="left"/>
        <w:rPr>
          <w:sz w:val="24"/>
        </w:rPr>
      </w:pPr>
      <w:r>
        <w:rPr>
          <w:sz w:val="24"/>
        </w:rPr>
        <w:t>de GoTaq® Green Máster </w:t>
      </w:r>
      <w:r>
        <w:rPr>
          <w:spacing w:val="-3"/>
          <w:sz w:val="24"/>
        </w:rPr>
        <w:t>Mix </w:t>
      </w:r>
      <w:r>
        <w:rPr>
          <w:sz w:val="24"/>
        </w:rPr>
        <w:t>(Promega, USA), que contiene </w:t>
      </w:r>
      <w:r>
        <w:rPr>
          <w:spacing w:val="-3"/>
          <w:sz w:val="24"/>
        </w:rPr>
        <w:t>la </w:t>
      </w:r>
      <w:r>
        <w:rPr>
          <w:sz w:val="24"/>
        </w:rPr>
        <w:t>enzima DNA </w:t>
      </w:r>
      <w:r>
        <w:rPr>
          <w:spacing w:val="40"/>
          <w:sz w:val="24"/>
        </w:rPr>
        <w:t> </w:t>
      </w:r>
      <w:r>
        <w:rPr>
          <w:sz w:val="24"/>
        </w:rPr>
        <w:t>polimerasa,</w:t>
      </w:r>
    </w:p>
    <w:p>
      <w:pPr>
        <w:pStyle w:val="ListParagraph"/>
        <w:numPr>
          <w:ilvl w:val="0"/>
          <w:numId w:val="11"/>
        </w:numPr>
        <w:tabs>
          <w:tab w:pos="692" w:val="left" w:leader="none"/>
          <w:tab w:pos="693" w:val="left" w:leader="none"/>
        </w:tabs>
        <w:spacing w:line="240" w:lineRule="auto" w:before="129" w:after="0"/>
        <w:ind w:left="692" w:right="0" w:hanging="581"/>
        <w:jc w:val="left"/>
        <w:rPr>
          <w:sz w:val="24"/>
        </w:rPr>
      </w:pPr>
      <w:r>
        <w:rPr>
          <w:sz w:val="24"/>
        </w:rPr>
        <w:t>reacción Buffer (pH 8.5), 400µM de cada nucleótido dATP, dGTP, dCTP, dTTP así  </w:t>
      </w:r>
      <w:r>
        <w:rPr>
          <w:spacing w:val="23"/>
          <w:sz w:val="24"/>
        </w:rPr>
        <w:t> </w:t>
      </w:r>
      <w:r>
        <w:rPr>
          <w:sz w:val="24"/>
        </w:rPr>
        <w:t>como</w:t>
      </w:r>
    </w:p>
    <w:p>
      <w:pPr>
        <w:spacing w:after="0" w:line="240" w:lineRule="auto"/>
        <w:jc w:val="left"/>
        <w:rPr>
          <w:sz w:val="24"/>
        </w:rPr>
        <w:sectPr>
          <w:pgSz w:w="12240" w:h="15840"/>
          <w:pgMar w:header="1154" w:footer="1713" w:top="1520" w:bottom="1900" w:left="1180" w:right="1380"/>
        </w:sectPr>
      </w:pPr>
    </w:p>
    <w:p>
      <w:pPr>
        <w:pStyle w:val="BodyText"/>
        <w:spacing w:before="10"/>
        <w:rPr>
          <w:rFonts w:ascii="Times New Roman"/>
          <w:sz w:val="17"/>
        </w:rPr>
      </w:pPr>
    </w:p>
    <w:p>
      <w:pPr>
        <w:pStyle w:val="ListParagraph"/>
        <w:numPr>
          <w:ilvl w:val="0"/>
          <w:numId w:val="12"/>
        </w:numPr>
        <w:tabs>
          <w:tab w:pos="692" w:val="left" w:leader="none"/>
          <w:tab w:pos="693" w:val="left" w:leader="none"/>
        </w:tabs>
        <w:spacing w:line="240" w:lineRule="auto" w:before="69" w:after="0"/>
        <w:ind w:left="692" w:right="0" w:hanging="470"/>
        <w:jc w:val="left"/>
        <w:rPr>
          <w:sz w:val="24"/>
        </w:rPr>
      </w:pPr>
      <w:r>
        <w:rPr>
          <w:sz w:val="24"/>
        </w:rPr>
        <w:t>3mM MgCl2; 2μl de los iniciadores sentido y anti-sentido a una concentración de    </w:t>
      </w:r>
      <w:r>
        <w:rPr>
          <w:spacing w:val="29"/>
          <w:sz w:val="24"/>
        </w:rPr>
        <w:t> </w:t>
      </w:r>
      <w:r>
        <w:rPr>
          <w:sz w:val="24"/>
        </w:rPr>
        <w:t>20μM,</w:t>
      </w:r>
    </w:p>
    <w:p>
      <w:pPr>
        <w:pStyle w:val="ListParagraph"/>
        <w:numPr>
          <w:ilvl w:val="0"/>
          <w:numId w:val="12"/>
        </w:numPr>
        <w:tabs>
          <w:tab w:pos="692" w:val="left" w:leader="none"/>
          <w:tab w:pos="693" w:val="left" w:leader="none"/>
        </w:tabs>
        <w:spacing w:line="240" w:lineRule="auto" w:before="129" w:after="0"/>
        <w:ind w:left="692" w:right="0" w:hanging="470"/>
        <w:jc w:val="left"/>
        <w:rPr>
          <w:sz w:val="24"/>
        </w:rPr>
      </w:pPr>
      <w:r>
        <w:rPr>
          <w:sz w:val="24"/>
        </w:rPr>
        <w:t>5μl de  DNA a  una  concentración total de100ng  y 28.5μl de  agua  libre  de  nucleasas.</w:t>
      </w:r>
      <w:r>
        <w:rPr>
          <w:spacing w:val="2"/>
          <w:sz w:val="24"/>
        </w:rPr>
        <w:t> </w:t>
      </w:r>
      <w:r>
        <w:rPr>
          <w:sz w:val="24"/>
        </w:rPr>
        <w:t>La</w:t>
      </w:r>
    </w:p>
    <w:p>
      <w:pPr>
        <w:pStyle w:val="ListParagraph"/>
        <w:numPr>
          <w:ilvl w:val="0"/>
          <w:numId w:val="12"/>
        </w:numPr>
        <w:tabs>
          <w:tab w:pos="692" w:val="left" w:leader="none"/>
          <w:tab w:pos="693" w:val="left" w:leader="none"/>
        </w:tabs>
        <w:spacing w:line="240" w:lineRule="auto" w:before="130" w:after="0"/>
        <w:ind w:left="692" w:right="0" w:hanging="470"/>
        <w:jc w:val="left"/>
        <w:rPr>
          <w:sz w:val="24"/>
        </w:rPr>
      </w:pPr>
      <w:r>
        <w:rPr>
          <w:sz w:val="24"/>
        </w:rPr>
        <w:t>reacción se </w:t>
      </w:r>
      <w:r>
        <w:rPr>
          <w:spacing w:val="-3"/>
          <w:sz w:val="24"/>
        </w:rPr>
        <w:t>llevó </w:t>
      </w:r>
      <w:r>
        <w:rPr>
          <w:sz w:val="24"/>
        </w:rPr>
        <w:t>a cabo  </w:t>
      </w:r>
      <w:r>
        <w:rPr>
          <w:spacing w:val="-3"/>
          <w:sz w:val="24"/>
        </w:rPr>
        <w:t>bajo   </w:t>
      </w:r>
      <w:r>
        <w:rPr>
          <w:spacing w:val="13"/>
          <w:sz w:val="24"/>
        </w:rPr>
        <w:t> </w:t>
      </w:r>
      <w:r>
        <w:rPr>
          <w:sz w:val="24"/>
        </w:rPr>
        <w:t>las siguientes condiciones de amplificación, 1 ciclo de 94˚C</w:t>
      </w:r>
    </w:p>
    <w:p>
      <w:pPr>
        <w:pStyle w:val="ListParagraph"/>
        <w:numPr>
          <w:ilvl w:val="0"/>
          <w:numId w:val="12"/>
        </w:numPr>
        <w:tabs>
          <w:tab w:pos="692" w:val="left" w:leader="none"/>
          <w:tab w:pos="693" w:val="left" w:leader="none"/>
        </w:tabs>
        <w:spacing w:line="240" w:lineRule="auto" w:before="134" w:after="0"/>
        <w:ind w:left="692" w:right="0" w:hanging="470"/>
        <w:jc w:val="left"/>
        <w:rPr>
          <w:sz w:val="24"/>
        </w:rPr>
      </w:pPr>
      <w:r>
        <w:rPr>
          <w:sz w:val="24"/>
        </w:rPr>
        <w:t>por 5 minutos para desnaturalización inicial, seguida de 35 ciclos de 94˚C por 30</w:t>
      </w:r>
      <w:r>
        <w:rPr>
          <w:spacing w:val="14"/>
          <w:sz w:val="24"/>
        </w:rPr>
        <w:t> </w:t>
      </w:r>
      <w:r>
        <w:rPr>
          <w:sz w:val="24"/>
        </w:rPr>
        <w:t>segundos,</w:t>
      </w:r>
    </w:p>
    <w:p>
      <w:pPr>
        <w:pStyle w:val="ListParagraph"/>
        <w:numPr>
          <w:ilvl w:val="0"/>
          <w:numId w:val="12"/>
        </w:numPr>
        <w:tabs>
          <w:tab w:pos="692" w:val="left" w:leader="none"/>
          <w:tab w:pos="693" w:val="left" w:leader="none"/>
        </w:tabs>
        <w:spacing w:line="240" w:lineRule="auto" w:before="129" w:after="0"/>
        <w:ind w:left="692" w:right="0" w:hanging="470"/>
        <w:jc w:val="left"/>
        <w:rPr>
          <w:sz w:val="24"/>
        </w:rPr>
      </w:pPr>
      <w:r>
        <w:rPr>
          <w:sz w:val="24"/>
        </w:rPr>
        <w:t>52˚C 1 minuto, 72˚C por 1 minuto y un ciclo de extensión final de 72˚Cpor 5</w:t>
      </w:r>
      <w:r>
        <w:rPr>
          <w:spacing w:val="-28"/>
          <w:sz w:val="24"/>
        </w:rPr>
        <w:t> </w:t>
      </w:r>
      <w:r>
        <w:rPr>
          <w:sz w:val="24"/>
        </w:rPr>
        <w:t>minutos.</w:t>
      </w:r>
    </w:p>
    <w:p>
      <w:pPr>
        <w:pStyle w:val="ListParagraph"/>
        <w:numPr>
          <w:ilvl w:val="0"/>
          <w:numId w:val="12"/>
        </w:numPr>
        <w:tabs>
          <w:tab w:pos="692" w:val="left" w:leader="none"/>
          <w:tab w:pos="693" w:val="left" w:leader="none"/>
        </w:tabs>
        <w:spacing w:line="240" w:lineRule="auto" w:before="129" w:after="0"/>
        <w:ind w:left="692" w:right="0" w:hanging="470"/>
        <w:jc w:val="left"/>
        <w:rPr>
          <w:sz w:val="24"/>
        </w:rPr>
      </w:pPr>
      <w:r>
        <w:rPr>
          <w:sz w:val="24"/>
        </w:rPr>
        <w:t>La técnica de PCR anidada   se realizó   inicialmente con los iniciadores   </w:t>
      </w:r>
      <w:r>
        <w:rPr>
          <w:spacing w:val="29"/>
          <w:sz w:val="24"/>
        </w:rPr>
        <w:t> </w:t>
      </w:r>
      <w:r>
        <w:rPr>
          <w:sz w:val="24"/>
        </w:rPr>
        <w:t>Parvo  Ext1F(5’-</w:t>
      </w:r>
    </w:p>
    <w:p>
      <w:pPr>
        <w:pStyle w:val="ListParagraph"/>
        <w:numPr>
          <w:ilvl w:val="0"/>
          <w:numId w:val="12"/>
        </w:numPr>
        <w:tabs>
          <w:tab w:pos="692" w:val="left" w:leader="none"/>
          <w:tab w:pos="693" w:val="left" w:leader="none"/>
          <w:tab w:pos="5657" w:val="left" w:leader="none"/>
          <w:tab w:pos="7064" w:val="left" w:leader="none"/>
          <w:tab w:pos="8918" w:val="left" w:leader="none"/>
        </w:tabs>
        <w:spacing w:line="240" w:lineRule="auto" w:before="130" w:after="0"/>
        <w:ind w:left="692" w:right="0" w:hanging="470"/>
        <w:jc w:val="left"/>
        <w:rPr>
          <w:sz w:val="24"/>
        </w:rPr>
      </w:pPr>
      <w:r>
        <w:rPr>
          <w:sz w:val="24"/>
        </w:rPr>
        <w:t>ATGAGTGATGGAGCAGTTCA-3’)</w:t>
        <w:tab/>
        <w:t>y</w:t>
        <w:tab/>
        <w:t>Parvo</w:t>
        <w:tab/>
        <w:t>Ext3R</w:t>
      </w:r>
    </w:p>
    <w:p>
      <w:pPr>
        <w:pStyle w:val="ListParagraph"/>
        <w:numPr>
          <w:ilvl w:val="0"/>
          <w:numId w:val="12"/>
        </w:numPr>
        <w:tabs>
          <w:tab w:pos="692" w:val="left" w:leader="none"/>
          <w:tab w:pos="693" w:val="left" w:leader="none"/>
          <w:tab w:pos="6991" w:val="left" w:leader="none"/>
          <w:tab w:pos="8785" w:val="left" w:leader="none"/>
          <w:tab w:pos="9250" w:val="left" w:leader="none"/>
        </w:tabs>
        <w:spacing w:line="240" w:lineRule="auto" w:before="134" w:after="0"/>
        <w:ind w:left="692" w:right="0" w:hanging="470"/>
        <w:jc w:val="left"/>
        <w:rPr>
          <w:sz w:val="24"/>
        </w:rPr>
      </w:pPr>
      <w:r>
        <w:rPr>
          <w:sz w:val="24"/>
        </w:rPr>
        <w:t>(5’AGGTGCTAGTTGAGATTTTTCATATAC-3’)localizados</w:t>
        <w:tab/>
        <w:t>respectivamente</w:t>
        <w:tab/>
        <w:t>en</w:t>
        <w:tab/>
        <w:t>los</w:t>
      </w:r>
    </w:p>
    <w:p>
      <w:pPr>
        <w:pStyle w:val="ListParagraph"/>
        <w:numPr>
          <w:ilvl w:val="0"/>
          <w:numId w:val="12"/>
        </w:numPr>
        <w:tabs>
          <w:tab w:pos="692" w:val="left" w:leader="none"/>
          <w:tab w:pos="693" w:val="left" w:leader="none"/>
        </w:tabs>
        <w:spacing w:line="240" w:lineRule="auto" w:before="129" w:after="0"/>
        <w:ind w:left="692" w:right="0" w:hanging="470"/>
        <w:jc w:val="left"/>
        <w:rPr>
          <w:sz w:val="24"/>
        </w:rPr>
      </w:pPr>
      <w:r>
        <w:rPr>
          <w:sz w:val="24"/>
        </w:rPr>
        <w:t>nucleótidos  1-20  y  1712-1740  del  gen  VP2  de  parvovirus  canino  (Número  de</w:t>
      </w:r>
      <w:r>
        <w:rPr>
          <w:spacing w:val="35"/>
          <w:sz w:val="24"/>
        </w:rPr>
        <w:t> </w:t>
      </w:r>
      <w:r>
        <w:rPr>
          <w:sz w:val="24"/>
        </w:rPr>
        <w:t>acceso</w:t>
      </w:r>
    </w:p>
    <w:p>
      <w:pPr>
        <w:pStyle w:val="ListParagraph"/>
        <w:numPr>
          <w:ilvl w:val="0"/>
          <w:numId w:val="12"/>
        </w:numPr>
        <w:tabs>
          <w:tab w:pos="692" w:val="left" w:leader="none"/>
          <w:tab w:pos="693" w:val="left" w:leader="none"/>
        </w:tabs>
        <w:spacing w:line="240" w:lineRule="auto" w:before="129" w:after="0"/>
        <w:ind w:left="692" w:right="0" w:hanging="581"/>
        <w:jc w:val="left"/>
        <w:rPr>
          <w:sz w:val="24"/>
        </w:rPr>
      </w:pPr>
      <w:r>
        <w:rPr>
          <w:sz w:val="24"/>
        </w:rPr>
        <w:t>GenBank FJ0051962c),amplificando un fragmento de 1740 pb, esta </w:t>
      </w:r>
      <w:r>
        <w:rPr>
          <w:spacing w:val="-3"/>
          <w:sz w:val="24"/>
        </w:rPr>
        <w:t>fue </w:t>
      </w:r>
      <w:r>
        <w:rPr>
          <w:sz w:val="24"/>
        </w:rPr>
        <w:t>estandarizada a </w:t>
      </w:r>
      <w:r>
        <w:rPr>
          <w:spacing w:val="45"/>
          <w:sz w:val="24"/>
        </w:rPr>
        <w:t> </w:t>
      </w:r>
      <w:r>
        <w:rPr>
          <w:sz w:val="24"/>
        </w:rPr>
        <w:t>un</w:t>
      </w:r>
    </w:p>
    <w:p>
      <w:pPr>
        <w:pStyle w:val="ListParagraph"/>
        <w:numPr>
          <w:ilvl w:val="0"/>
          <w:numId w:val="12"/>
        </w:numPr>
        <w:tabs>
          <w:tab w:pos="692" w:val="left" w:leader="none"/>
          <w:tab w:pos="693" w:val="left" w:leader="none"/>
        </w:tabs>
        <w:spacing w:line="240" w:lineRule="auto" w:before="130" w:after="0"/>
        <w:ind w:left="692" w:right="0" w:hanging="581"/>
        <w:jc w:val="left"/>
        <w:rPr>
          <w:sz w:val="24"/>
        </w:rPr>
      </w:pPr>
      <w:r>
        <w:rPr>
          <w:sz w:val="24"/>
        </w:rPr>
        <w:t>volumen de  50μl  y  </w:t>
      </w:r>
      <w:r>
        <w:rPr>
          <w:spacing w:val="-3"/>
          <w:sz w:val="24"/>
        </w:rPr>
        <w:t>la  </w:t>
      </w:r>
      <w:r>
        <w:rPr>
          <w:sz w:val="24"/>
        </w:rPr>
        <w:t>mezcla  de  </w:t>
      </w:r>
      <w:r>
        <w:rPr>
          <w:spacing w:val="-3"/>
          <w:sz w:val="24"/>
        </w:rPr>
        <w:t>la  </w:t>
      </w:r>
      <w:r>
        <w:rPr>
          <w:sz w:val="24"/>
        </w:rPr>
        <w:t>reacción  consistió  en  1μl de  GoTaq®  Flexi</w:t>
      </w:r>
      <w:r>
        <w:rPr>
          <w:spacing w:val="45"/>
          <w:sz w:val="24"/>
        </w:rPr>
        <w:t> </w:t>
      </w:r>
      <w:r>
        <w:rPr>
          <w:sz w:val="24"/>
        </w:rPr>
        <w:t>DNA</w:t>
      </w:r>
    </w:p>
    <w:p>
      <w:pPr>
        <w:pStyle w:val="ListParagraph"/>
        <w:numPr>
          <w:ilvl w:val="0"/>
          <w:numId w:val="12"/>
        </w:numPr>
        <w:tabs>
          <w:tab w:pos="692" w:val="left" w:leader="none"/>
          <w:tab w:pos="693" w:val="left" w:leader="none"/>
        </w:tabs>
        <w:spacing w:line="240" w:lineRule="auto" w:before="134" w:after="0"/>
        <w:ind w:left="692" w:right="0" w:hanging="581"/>
        <w:jc w:val="left"/>
        <w:rPr>
          <w:sz w:val="24"/>
        </w:rPr>
      </w:pPr>
      <w:r>
        <w:rPr>
          <w:sz w:val="24"/>
        </w:rPr>
        <w:t>Polymerase 5u/µl (Promega, USA), 5μl de GoTaq® Flexi buffer 5X Green, 3μl de </w:t>
      </w:r>
      <w:r>
        <w:rPr>
          <w:spacing w:val="29"/>
          <w:sz w:val="24"/>
        </w:rPr>
        <w:t> </w:t>
      </w:r>
      <w:r>
        <w:rPr>
          <w:sz w:val="24"/>
        </w:rPr>
        <w:t>Cloruro</w:t>
      </w:r>
    </w:p>
    <w:p>
      <w:pPr>
        <w:pStyle w:val="ListParagraph"/>
        <w:numPr>
          <w:ilvl w:val="0"/>
          <w:numId w:val="12"/>
        </w:numPr>
        <w:tabs>
          <w:tab w:pos="692" w:val="left" w:leader="none"/>
          <w:tab w:pos="693" w:val="left" w:leader="none"/>
        </w:tabs>
        <w:spacing w:line="240" w:lineRule="auto" w:before="129" w:after="0"/>
        <w:ind w:left="692" w:right="0" w:hanging="581"/>
        <w:jc w:val="left"/>
        <w:rPr>
          <w:sz w:val="24"/>
        </w:rPr>
      </w:pPr>
      <w:r>
        <w:rPr>
          <w:sz w:val="24"/>
        </w:rPr>
        <w:t>de Magnesio  25mM,  4μl dNTP’S 200μM, 2μl de  los iniciadores sentido  y anti-sentido  </w:t>
      </w:r>
      <w:r>
        <w:rPr>
          <w:spacing w:val="4"/>
          <w:sz w:val="24"/>
        </w:rPr>
        <w:t> </w:t>
      </w:r>
      <w:r>
        <w:rPr>
          <w:sz w:val="24"/>
        </w:rPr>
        <w:t>a</w:t>
      </w:r>
    </w:p>
    <w:p>
      <w:pPr>
        <w:pStyle w:val="ListParagraph"/>
        <w:numPr>
          <w:ilvl w:val="0"/>
          <w:numId w:val="12"/>
        </w:numPr>
        <w:tabs>
          <w:tab w:pos="692" w:val="left" w:leader="none"/>
          <w:tab w:pos="693" w:val="left" w:leader="none"/>
        </w:tabs>
        <w:spacing w:line="240" w:lineRule="auto" w:before="129" w:after="0"/>
        <w:ind w:left="692" w:right="0" w:hanging="581"/>
        <w:jc w:val="left"/>
        <w:rPr>
          <w:sz w:val="24"/>
        </w:rPr>
      </w:pPr>
      <w:r>
        <w:rPr>
          <w:sz w:val="24"/>
        </w:rPr>
        <w:t>una concentración de 20μM, 10μl de DNA concentración final 100ng y 23μl  de agua </w:t>
      </w:r>
      <w:r>
        <w:rPr>
          <w:spacing w:val="44"/>
          <w:sz w:val="24"/>
        </w:rPr>
        <w:t> </w:t>
      </w:r>
      <w:r>
        <w:rPr>
          <w:sz w:val="24"/>
        </w:rPr>
        <w:t>libre</w:t>
      </w:r>
    </w:p>
    <w:p>
      <w:pPr>
        <w:pStyle w:val="ListParagraph"/>
        <w:numPr>
          <w:ilvl w:val="0"/>
          <w:numId w:val="12"/>
        </w:numPr>
        <w:tabs>
          <w:tab w:pos="692" w:val="left" w:leader="none"/>
          <w:tab w:pos="693" w:val="left" w:leader="none"/>
        </w:tabs>
        <w:spacing w:line="240" w:lineRule="auto" w:before="130" w:after="0"/>
        <w:ind w:left="692" w:right="0" w:hanging="581"/>
        <w:jc w:val="left"/>
        <w:rPr>
          <w:sz w:val="24"/>
        </w:rPr>
      </w:pPr>
      <w:r>
        <w:rPr>
          <w:sz w:val="24"/>
        </w:rPr>
        <w:t>de nucleasas, </w:t>
      </w:r>
      <w:r>
        <w:rPr>
          <w:spacing w:val="-3"/>
          <w:sz w:val="24"/>
        </w:rPr>
        <w:t>la </w:t>
      </w:r>
      <w:r>
        <w:rPr>
          <w:sz w:val="24"/>
        </w:rPr>
        <w:t>reacción se llevó a cabo   </w:t>
      </w:r>
      <w:r>
        <w:rPr>
          <w:spacing w:val="36"/>
          <w:sz w:val="24"/>
        </w:rPr>
        <w:t> </w:t>
      </w:r>
      <w:r>
        <w:rPr>
          <w:spacing w:val="-3"/>
          <w:sz w:val="24"/>
        </w:rPr>
        <w:t>bajo  </w:t>
      </w:r>
      <w:r>
        <w:rPr>
          <w:sz w:val="24"/>
        </w:rPr>
        <w:t>las siguientes condiciones de amplificación</w:t>
      </w:r>
    </w:p>
    <w:p>
      <w:pPr>
        <w:pStyle w:val="ListParagraph"/>
        <w:numPr>
          <w:ilvl w:val="0"/>
          <w:numId w:val="12"/>
        </w:numPr>
        <w:tabs>
          <w:tab w:pos="692" w:val="left" w:leader="none"/>
          <w:tab w:pos="693" w:val="left" w:leader="none"/>
        </w:tabs>
        <w:spacing w:line="240" w:lineRule="auto" w:before="134" w:after="0"/>
        <w:ind w:left="692" w:right="0" w:hanging="581"/>
        <w:jc w:val="left"/>
        <w:rPr>
          <w:sz w:val="24"/>
        </w:rPr>
      </w:pPr>
      <w:r>
        <w:rPr>
          <w:sz w:val="24"/>
        </w:rPr>
        <w:t>que</w:t>
      </w:r>
      <w:r>
        <w:rPr>
          <w:spacing w:val="21"/>
          <w:sz w:val="24"/>
        </w:rPr>
        <w:t> </w:t>
      </w:r>
      <w:r>
        <w:rPr>
          <w:sz w:val="24"/>
        </w:rPr>
        <w:t>incluyen,</w:t>
      </w:r>
      <w:r>
        <w:rPr>
          <w:spacing w:val="19"/>
          <w:sz w:val="24"/>
        </w:rPr>
        <w:t> </w:t>
      </w:r>
      <w:r>
        <w:rPr>
          <w:sz w:val="24"/>
        </w:rPr>
        <w:t>1</w:t>
      </w:r>
      <w:r>
        <w:rPr>
          <w:spacing w:val="17"/>
          <w:sz w:val="24"/>
        </w:rPr>
        <w:t> </w:t>
      </w:r>
      <w:r>
        <w:rPr>
          <w:sz w:val="24"/>
        </w:rPr>
        <w:t>ciclo</w:t>
      </w:r>
      <w:r>
        <w:rPr>
          <w:spacing w:val="21"/>
          <w:sz w:val="24"/>
        </w:rPr>
        <w:t> </w:t>
      </w:r>
      <w:r>
        <w:rPr>
          <w:sz w:val="24"/>
        </w:rPr>
        <w:t>de</w:t>
      </w:r>
      <w:r>
        <w:rPr>
          <w:spacing w:val="16"/>
          <w:sz w:val="24"/>
        </w:rPr>
        <w:t> </w:t>
      </w:r>
      <w:r>
        <w:rPr>
          <w:sz w:val="24"/>
        </w:rPr>
        <w:t>94˚C</w:t>
      </w:r>
      <w:r>
        <w:rPr>
          <w:spacing w:val="15"/>
          <w:sz w:val="24"/>
        </w:rPr>
        <w:t> </w:t>
      </w:r>
      <w:r>
        <w:rPr>
          <w:sz w:val="24"/>
        </w:rPr>
        <w:t>por</w:t>
      </w:r>
      <w:r>
        <w:rPr>
          <w:spacing w:val="18"/>
          <w:sz w:val="24"/>
        </w:rPr>
        <w:t> </w:t>
      </w:r>
      <w:r>
        <w:rPr>
          <w:sz w:val="24"/>
        </w:rPr>
        <w:t>5</w:t>
      </w:r>
      <w:r>
        <w:rPr>
          <w:spacing w:val="17"/>
          <w:sz w:val="24"/>
        </w:rPr>
        <w:t> </w:t>
      </w:r>
      <w:r>
        <w:rPr>
          <w:sz w:val="24"/>
        </w:rPr>
        <w:t>minutos</w:t>
      </w:r>
      <w:r>
        <w:rPr>
          <w:spacing w:val="15"/>
          <w:sz w:val="24"/>
        </w:rPr>
        <w:t> </w:t>
      </w:r>
      <w:r>
        <w:rPr>
          <w:sz w:val="24"/>
        </w:rPr>
        <w:t>para</w:t>
      </w:r>
      <w:r>
        <w:rPr>
          <w:spacing w:val="16"/>
          <w:sz w:val="24"/>
        </w:rPr>
        <w:t> </w:t>
      </w:r>
      <w:r>
        <w:rPr>
          <w:sz w:val="24"/>
        </w:rPr>
        <w:t>desnaturalización</w:t>
      </w:r>
      <w:r>
        <w:rPr>
          <w:spacing w:val="17"/>
          <w:sz w:val="24"/>
        </w:rPr>
        <w:t> </w:t>
      </w:r>
      <w:r>
        <w:rPr>
          <w:sz w:val="24"/>
        </w:rPr>
        <w:t>inicial,</w:t>
      </w:r>
      <w:r>
        <w:rPr>
          <w:spacing w:val="19"/>
          <w:sz w:val="24"/>
        </w:rPr>
        <w:t> </w:t>
      </w:r>
      <w:r>
        <w:rPr>
          <w:sz w:val="24"/>
        </w:rPr>
        <w:t>seguido</w:t>
      </w:r>
      <w:r>
        <w:rPr>
          <w:spacing w:val="21"/>
          <w:sz w:val="24"/>
        </w:rPr>
        <w:t> </w:t>
      </w:r>
      <w:r>
        <w:rPr>
          <w:sz w:val="24"/>
        </w:rPr>
        <w:t>de</w:t>
      </w:r>
      <w:r>
        <w:rPr>
          <w:spacing w:val="16"/>
          <w:sz w:val="24"/>
        </w:rPr>
        <w:t> </w:t>
      </w:r>
      <w:r>
        <w:rPr>
          <w:sz w:val="24"/>
        </w:rPr>
        <w:t>35</w:t>
      </w:r>
    </w:p>
    <w:p>
      <w:pPr>
        <w:pStyle w:val="ListParagraph"/>
        <w:numPr>
          <w:ilvl w:val="0"/>
          <w:numId w:val="12"/>
        </w:numPr>
        <w:tabs>
          <w:tab w:pos="692" w:val="left" w:leader="none"/>
          <w:tab w:pos="693" w:val="left" w:leader="none"/>
        </w:tabs>
        <w:spacing w:line="240" w:lineRule="auto" w:before="129" w:after="0"/>
        <w:ind w:left="692" w:right="0" w:hanging="581"/>
        <w:jc w:val="left"/>
        <w:rPr>
          <w:sz w:val="24"/>
        </w:rPr>
      </w:pPr>
      <w:r>
        <w:rPr>
          <w:sz w:val="24"/>
        </w:rPr>
        <w:t>ciclos de  94˚  por  30 segundos,  50˚C por  45 segundos,72˚C por  1  minuto  y un ciclo </w:t>
      </w:r>
      <w:r>
        <w:rPr>
          <w:spacing w:val="41"/>
          <w:sz w:val="24"/>
        </w:rPr>
        <w:t> </w:t>
      </w:r>
      <w:r>
        <w:rPr>
          <w:sz w:val="24"/>
        </w:rPr>
        <w:t>de</w:t>
      </w:r>
    </w:p>
    <w:p>
      <w:pPr>
        <w:pStyle w:val="ListParagraph"/>
        <w:numPr>
          <w:ilvl w:val="0"/>
          <w:numId w:val="12"/>
        </w:numPr>
        <w:tabs>
          <w:tab w:pos="692" w:val="left" w:leader="none"/>
          <w:tab w:pos="693" w:val="left" w:leader="none"/>
        </w:tabs>
        <w:spacing w:line="240" w:lineRule="auto" w:before="129" w:after="0"/>
        <w:ind w:left="692" w:right="0" w:hanging="581"/>
        <w:jc w:val="left"/>
        <w:rPr>
          <w:sz w:val="24"/>
        </w:rPr>
      </w:pPr>
      <w:r>
        <w:rPr>
          <w:sz w:val="24"/>
        </w:rPr>
        <w:t>extensión final de 72˚C por 5 minutos.  Una vez  terminado  este proceso  </w:t>
      </w:r>
      <w:r>
        <w:rPr>
          <w:spacing w:val="-5"/>
          <w:sz w:val="24"/>
        </w:rPr>
        <w:t>la  </w:t>
      </w:r>
      <w:r>
        <w:rPr>
          <w:spacing w:val="23"/>
          <w:sz w:val="24"/>
        </w:rPr>
        <w:t> </w:t>
      </w:r>
      <w:r>
        <w:rPr>
          <w:sz w:val="24"/>
        </w:rPr>
        <w:t>amplificación</w:t>
      </w:r>
    </w:p>
    <w:p>
      <w:pPr>
        <w:pStyle w:val="ListParagraph"/>
        <w:numPr>
          <w:ilvl w:val="0"/>
          <w:numId w:val="12"/>
        </w:numPr>
        <w:tabs>
          <w:tab w:pos="692" w:val="left" w:leader="none"/>
          <w:tab w:pos="693" w:val="left" w:leader="none"/>
        </w:tabs>
        <w:spacing w:line="240" w:lineRule="auto" w:before="130" w:after="0"/>
        <w:ind w:left="692" w:right="0" w:hanging="581"/>
        <w:jc w:val="left"/>
        <w:rPr>
          <w:sz w:val="24"/>
        </w:rPr>
      </w:pPr>
      <w:r>
        <w:rPr>
          <w:sz w:val="24"/>
        </w:rPr>
        <w:t>anidada se </w:t>
      </w:r>
      <w:r>
        <w:rPr>
          <w:spacing w:val="-3"/>
          <w:sz w:val="24"/>
        </w:rPr>
        <w:t>llevó </w:t>
      </w:r>
      <w:r>
        <w:rPr>
          <w:sz w:val="24"/>
        </w:rPr>
        <w:t>acabo utilizando los iniciadores Int2FB yInt2CR usando </w:t>
      </w:r>
      <w:r>
        <w:rPr>
          <w:spacing w:val="-3"/>
          <w:sz w:val="24"/>
        </w:rPr>
        <w:t>las </w:t>
      </w:r>
      <w:r>
        <w:rPr>
          <w:sz w:val="24"/>
        </w:rPr>
        <w:t>condiciones</w:t>
      </w:r>
      <w:r>
        <w:rPr>
          <w:spacing w:val="3"/>
          <w:sz w:val="24"/>
        </w:rPr>
        <w:t> </w:t>
      </w:r>
      <w:r>
        <w:rPr>
          <w:sz w:val="24"/>
        </w:rPr>
        <w:t>de</w:t>
      </w:r>
    </w:p>
    <w:p>
      <w:pPr>
        <w:pStyle w:val="ListParagraph"/>
        <w:numPr>
          <w:ilvl w:val="0"/>
          <w:numId w:val="12"/>
        </w:numPr>
        <w:tabs>
          <w:tab w:pos="692" w:val="left" w:leader="none"/>
          <w:tab w:pos="693" w:val="left" w:leader="none"/>
        </w:tabs>
        <w:spacing w:line="240" w:lineRule="auto" w:before="134" w:after="0"/>
        <w:ind w:left="692" w:right="0" w:hanging="581"/>
        <w:jc w:val="left"/>
        <w:rPr>
          <w:sz w:val="24"/>
        </w:rPr>
      </w:pPr>
      <w:r>
        <w:rPr>
          <w:sz w:val="24"/>
        </w:rPr>
        <w:t>amplificación descritas para </w:t>
      </w:r>
      <w:r>
        <w:rPr>
          <w:spacing w:val="-3"/>
          <w:sz w:val="24"/>
        </w:rPr>
        <w:t>la </w:t>
      </w:r>
      <w:r>
        <w:rPr>
          <w:sz w:val="24"/>
        </w:rPr>
        <w:t>PCR simple y usando como   </w:t>
      </w:r>
      <w:r>
        <w:rPr>
          <w:spacing w:val="34"/>
          <w:sz w:val="24"/>
        </w:rPr>
        <w:t> </w:t>
      </w:r>
      <w:r>
        <w:rPr>
          <w:sz w:val="24"/>
        </w:rPr>
        <w:t>templado  1μl del amplificado</w:t>
      </w:r>
    </w:p>
    <w:p>
      <w:pPr>
        <w:pStyle w:val="ListParagraph"/>
        <w:numPr>
          <w:ilvl w:val="0"/>
          <w:numId w:val="12"/>
        </w:numPr>
        <w:tabs>
          <w:tab w:pos="692" w:val="left" w:leader="none"/>
          <w:tab w:pos="693" w:val="left" w:leader="none"/>
        </w:tabs>
        <w:spacing w:line="240" w:lineRule="auto" w:before="129" w:after="0"/>
        <w:ind w:left="692" w:right="0" w:hanging="581"/>
        <w:jc w:val="left"/>
        <w:rPr>
          <w:sz w:val="24"/>
        </w:rPr>
      </w:pPr>
      <w:r>
        <w:rPr>
          <w:sz w:val="24"/>
        </w:rPr>
        <w:t>obtenido   con   los   iniciadores   ParvoExt1F   y   ParvoExt3R.   Todos   los   productos</w:t>
      </w:r>
      <w:r>
        <w:rPr>
          <w:spacing w:val="53"/>
          <w:sz w:val="24"/>
        </w:rPr>
        <w:t> </w:t>
      </w:r>
      <w:r>
        <w:rPr>
          <w:sz w:val="24"/>
        </w:rPr>
        <w:t>de</w:t>
      </w:r>
    </w:p>
    <w:p>
      <w:pPr>
        <w:pStyle w:val="ListParagraph"/>
        <w:numPr>
          <w:ilvl w:val="0"/>
          <w:numId w:val="12"/>
        </w:numPr>
        <w:tabs>
          <w:tab w:pos="692" w:val="left" w:leader="none"/>
          <w:tab w:pos="693" w:val="left" w:leader="none"/>
        </w:tabs>
        <w:spacing w:line="240" w:lineRule="auto" w:before="129" w:after="0"/>
        <w:ind w:left="692" w:right="0" w:hanging="581"/>
        <w:jc w:val="left"/>
        <w:rPr>
          <w:sz w:val="24"/>
        </w:rPr>
      </w:pPr>
      <w:r>
        <w:rPr>
          <w:sz w:val="24"/>
        </w:rPr>
        <w:t>amplificación fueron identificados por  electroforesis   horizontal en gel de agarosa al   </w:t>
      </w:r>
      <w:r>
        <w:rPr>
          <w:spacing w:val="29"/>
          <w:sz w:val="24"/>
        </w:rPr>
        <w:t> </w:t>
      </w:r>
      <w:r>
        <w:rPr>
          <w:sz w:val="24"/>
        </w:rPr>
        <w:t>2%</w:t>
      </w:r>
    </w:p>
    <w:p>
      <w:pPr>
        <w:pStyle w:val="ListParagraph"/>
        <w:numPr>
          <w:ilvl w:val="0"/>
          <w:numId w:val="12"/>
        </w:numPr>
        <w:tabs>
          <w:tab w:pos="692" w:val="left" w:leader="none"/>
          <w:tab w:pos="693" w:val="left" w:leader="none"/>
        </w:tabs>
        <w:spacing w:line="240" w:lineRule="auto" w:before="130" w:after="0"/>
        <w:ind w:left="692" w:right="0" w:hanging="581"/>
        <w:jc w:val="left"/>
        <w:rPr>
          <w:sz w:val="24"/>
        </w:rPr>
      </w:pPr>
      <w:r>
        <w:rPr>
          <w:sz w:val="24"/>
        </w:rPr>
        <w:t>teñido con de bromuro de </w:t>
      </w:r>
      <w:r>
        <w:rPr>
          <w:spacing w:val="-3"/>
          <w:sz w:val="24"/>
        </w:rPr>
        <w:t>etidio </w:t>
      </w:r>
      <w:r>
        <w:rPr>
          <w:sz w:val="24"/>
        </w:rPr>
        <w:t>0.5μg/ml y visualizados en transiluminador</w:t>
      </w:r>
      <w:r>
        <w:rPr>
          <w:spacing w:val="1"/>
          <w:sz w:val="24"/>
        </w:rPr>
        <w:t> </w:t>
      </w:r>
      <w:r>
        <w:rPr>
          <w:sz w:val="24"/>
        </w:rPr>
        <w:t>UV.</w:t>
      </w:r>
    </w:p>
    <w:p>
      <w:pPr>
        <w:pStyle w:val="ListParagraph"/>
        <w:numPr>
          <w:ilvl w:val="0"/>
          <w:numId w:val="12"/>
        </w:numPr>
        <w:tabs>
          <w:tab w:pos="692" w:val="left" w:leader="none"/>
          <w:tab w:pos="693" w:val="left" w:leader="none"/>
        </w:tabs>
        <w:spacing w:line="240" w:lineRule="auto" w:before="129" w:after="0"/>
        <w:ind w:left="692" w:right="0" w:hanging="581"/>
        <w:jc w:val="left"/>
        <w:rPr>
          <w:sz w:val="24"/>
        </w:rPr>
      </w:pPr>
      <w:r>
        <w:rPr>
          <w:sz w:val="24"/>
        </w:rPr>
        <w:t>Inmunocromatografía</w:t>
      </w:r>
    </w:p>
    <w:p>
      <w:pPr>
        <w:pStyle w:val="ListParagraph"/>
        <w:numPr>
          <w:ilvl w:val="0"/>
          <w:numId w:val="12"/>
        </w:numPr>
        <w:tabs>
          <w:tab w:pos="985" w:val="left" w:leader="none"/>
          <w:tab w:pos="986" w:val="left" w:leader="none"/>
        </w:tabs>
        <w:spacing w:line="240" w:lineRule="auto" w:before="134" w:after="0"/>
        <w:ind w:left="985" w:right="0" w:hanging="874"/>
        <w:jc w:val="left"/>
        <w:rPr>
          <w:sz w:val="24"/>
        </w:rPr>
      </w:pPr>
      <w:r>
        <w:rPr>
          <w:sz w:val="24"/>
        </w:rPr>
        <w:t>Para el análisis de esta herramienta diagnóstica, se seleccionó a 60 pacientes; 49  </w:t>
      </w:r>
      <w:r>
        <w:rPr>
          <w:spacing w:val="23"/>
          <w:sz w:val="24"/>
        </w:rPr>
        <w:t> </w:t>
      </w:r>
      <w:r>
        <w:rPr>
          <w:sz w:val="24"/>
        </w:rPr>
        <w:t>perros</w:t>
      </w:r>
    </w:p>
    <w:p>
      <w:pPr>
        <w:pStyle w:val="ListParagraph"/>
        <w:numPr>
          <w:ilvl w:val="0"/>
          <w:numId w:val="12"/>
        </w:numPr>
        <w:tabs>
          <w:tab w:pos="692" w:val="left" w:leader="none"/>
          <w:tab w:pos="693" w:val="left" w:leader="none"/>
        </w:tabs>
        <w:spacing w:line="240" w:lineRule="auto" w:before="129" w:after="0"/>
        <w:ind w:left="692" w:right="0" w:hanging="581"/>
        <w:jc w:val="left"/>
        <w:rPr>
          <w:sz w:val="24"/>
        </w:rPr>
      </w:pPr>
      <w:r>
        <w:rPr>
          <w:sz w:val="24"/>
        </w:rPr>
        <w:t>positivos y 11 negativos, todos identificados previamente por  PCR anidada. Las pruebas</w:t>
      </w:r>
      <w:r>
        <w:rPr>
          <w:spacing w:val="2"/>
          <w:sz w:val="24"/>
        </w:rPr>
        <w:t> </w:t>
      </w:r>
      <w:r>
        <w:rPr>
          <w:sz w:val="24"/>
        </w:rPr>
        <w:t>se</w:t>
      </w:r>
    </w:p>
    <w:p>
      <w:pPr>
        <w:pStyle w:val="ListParagraph"/>
        <w:numPr>
          <w:ilvl w:val="0"/>
          <w:numId w:val="12"/>
        </w:numPr>
        <w:tabs>
          <w:tab w:pos="692" w:val="left" w:leader="none"/>
          <w:tab w:pos="693" w:val="left" w:leader="none"/>
        </w:tabs>
        <w:spacing w:line="240" w:lineRule="auto" w:before="130" w:after="0"/>
        <w:ind w:left="692" w:right="0" w:hanging="581"/>
        <w:jc w:val="left"/>
        <w:rPr>
          <w:sz w:val="24"/>
        </w:rPr>
      </w:pPr>
      <w:r>
        <w:rPr>
          <w:sz w:val="24"/>
        </w:rPr>
        <w:t>realizaron siguiendo </w:t>
      </w:r>
      <w:r>
        <w:rPr>
          <w:spacing w:val="-3"/>
          <w:sz w:val="24"/>
        </w:rPr>
        <w:t>las </w:t>
      </w:r>
      <w:r>
        <w:rPr>
          <w:sz w:val="24"/>
        </w:rPr>
        <w:t>instrucciones del</w:t>
      </w:r>
      <w:r>
        <w:rPr>
          <w:spacing w:val="-12"/>
          <w:sz w:val="24"/>
        </w:rPr>
        <w:t> </w:t>
      </w:r>
      <w:r>
        <w:rPr>
          <w:sz w:val="24"/>
        </w:rPr>
        <w:t>fabricante.</w:t>
      </w:r>
    </w:p>
    <w:p>
      <w:pPr>
        <w:pStyle w:val="ListParagraph"/>
        <w:numPr>
          <w:ilvl w:val="0"/>
          <w:numId w:val="12"/>
        </w:numPr>
        <w:tabs>
          <w:tab w:pos="692" w:val="left" w:leader="none"/>
          <w:tab w:pos="693" w:val="left" w:leader="none"/>
        </w:tabs>
        <w:spacing w:line="240" w:lineRule="auto" w:before="129" w:after="0"/>
        <w:ind w:left="692" w:right="0" w:hanging="581"/>
        <w:jc w:val="left"/>
        <w:rPr>
          <w:sz w:val="24"/>
        </w:rPr>
      </w:pPr>
      <w:r>
        <w:rPr>
          <w:sz w:val="24"/>
        </w:rPr>
        <w:t>Análisis de los</w:t>
      </w:r>
      <w:r>
        <w:rPr>
          <w:spacing w:val="-3"/>
          <w:sz w:val="24"/>
        </w:rPr>
        <w:t> </w:t>
      </w:r>
      <w:r>
        <w:rPr>
          <w:sz w:val="24"/>
        </w:rPr>
        <w:t>datos</w:t>
      </w:r>
    </w:p>
    <w:p>
      <w:pPr>
        <w:spacing w:after="0" w:line="240" w:lineRule="auto"/>
        <w:jc w:val="left"/>
        <w:rPr>
          <w:sz w:val="24"/>
        </w:rPr>
        <w:sectPr>
          <w:pgSz w:w="12240" w:h="15840"/>
          <w:pgMar w:header="1154" w:footer="1713" w:top="1520" w:bottom="1900" w:left="1180" w:right="1380"/>
        </w:sectPr>
      </w:pPr>
    </w:p>
    <w:p>
      <w:pPr>
        <w:pStyle w:val="BodyText"/>
        <w:spacing w:before="10"/>
        <w:rPr>
          <w:rFonts w:ascii="Times New Roman"/>
          <w:sz w:val="17"/>
        </w:rPr>
      </w:pPr>
    </w:p>
    <w:p>
      <w:pPr>
        <w:pStyle w:val="ListParagraph"/>
        <w:numPr>
          <w:ilvl w:val="1"/>
          <w:numId w:val="12"/>
        </w:numPr>
        <w:tabs>
          <w:tab w:pos="1048" w:val="left" w:leader="none"/>
          <w:tab w:pos="1049" w:val="left" w:leader="none"/>
        </w:tabs>
        <w:spacing w:line="240" w:lineRule="auto" w:before="69" w:after="0"/>
        <w:ind w:left="1048" w:right="0" w:hanging="826"/>
        <w:jc w:val="left"/>
        <w:rPr>
          <w:sz w:val="24"/>
        </w:rPr>
      </w:pPr>
      <w:r>
        <w:rPr>
          <w:spacing w:val="3"/>
          <w:sz w:val="24"/>
        </w:rPr>
        <w:t>El </w:t>
      </w:r>
      <w:r>
        <w:rPr>
          <w:sz w:val="24"/>
        </w:rPr>
        <w:t>análisis de  los resultados obtenidos en   </w:t>
      </w:r>
      <w:r>
        <w:rPr>
          <w:spacing w:val="-5"/>
          <w:sz w:val="24"/>
        </w:rPr>
        <w:t>la  </w:t>
      </w:r>
      <w:r>
        <w:rPr>
          <w:sz w:val="24"/>
        </w:rPr>
        <w:t>evaluación clínica, hemograma, PCR    </w:t>
      </w:r>
      <w:r>
        <w:rPr>
          <w:spacing w:val="5"/>
          <w:sz w:val="24"/>
        </w:rPr>
        <w:t> </w:t>
      </w:r>
      <w:r>
        <w:rPr>
          <w:sz w:val="24"/>
        </w:rPr>
        <w:t>y</w:t>
      </w:r>
    </w:p>
    <w:p>
      <w:pPr>
        <w:pStyle w:val="ListParagraph"/>
        <w:numPr>
          <w:ilvl w:val="1"/>
          <w:numId w:val="12"/>
        </w:numPr>
        <w:tabs>
          <w:tab w:pos="692" w:val="left" w:leader="none"/>
          <w:tab w:pos="693" w:val="left" w:leader="none"/>
        </w:tabs>
        <w:spacing w:line="240" w:lineRule="auto" w:before="129" w:after="0"/>
        <w:ind w:left="692" w:right="0" w:hanging="470"/>
        <w:jc w:val="left"/>
        <w:rPr>
          <w:sz w:val="24"/>
        </w:rPr>
      </w:pPr>
      <w:r>
        <w:rPr>
          <w:sz w:val="24"/>
        </w:rPr>
        <w:t>pruebas  de  inmunocromatografía,  se  </w:t>
      </w:r>
      <w:r>
        <w:rPr>
          <w:spacing w:val="-3"/>
          <w:sz w:val="24"/>
        </w:rPr>
        <w:t>llevó  </w:t>
      </w:r>
      <w:r>
        <w:rPr>
          <w:sz w:val="24"/>
        </w:rPr>
        <w:t>a  cabo  mediante  una  matriz  de    </w:t>
      </w:r>
      <w:r>
        <w:rPr>
          <w:spacing w:val="38"/>
          <w:sz w:val="24"/>
        </w:rPr>
        <w:t> </w:t>
      </w:r>
      <w:r>
        <w:rPr>
          <w:sz w:val="24"/>
        </w:rPr>
        <w:t>variables</w:t>
      </w:r>
    </w:p>
    <w:p>
      <w:pPr>
        <w:pStyle w:val="ListParagraph"/>
        <w:numPr>
          <w:ilvl w:val="1"/>
          <w:numId w:val="12"/>
        </w:numPr>
        <w:tabs>
          <w:tab w:pos="692" w:val="left" w:leader="none"/>
          <w:tab w:pos="693" w:val="left" w:leader="none"/>
        </w:tabs>
        <w:spacing w:line="240" w:lineRule="auto" w:before="130" w:after="0"/>
        <w:ind w:left="692" w:right="0" w:hanging="470"/>
        <w:jc w:val="left"/>
        <w:rPr>
          <w:sz w:val="24"/>
        </w:rPr>
      </w:pPr>
      <w:r>
        <w:rPr>
          <w:sz w:val="24"/>
        </w:rPr>
        <w:t>codificadas  (Sánchez   y  </w:t>
      </w:r>
      <w:r>
        <w:rPr>
          <w:spacing w:val="2"/>
          <w:sz w:val="24"/>
        </w:rPr>
        <w:t>col  </w:t>
      </w:r>
      <w:r>
        <w:rPr>
          <w:sz w:val="24"/>
        </w:rPr>
        <w:t>2006)   y   fueron  elaboradas  tablas  de   contingencia  </w:t>
      </w:r>
      <w:r>
        <w:rPr>
          <w:spacing w:val="33"/>
          <w:sz w:val="24"/>
        </w:rPr>
        <w:t> </w:t>
      </w:r>
      <w:r>
        <w:rPr>
          <w:sz w:val="24"/>
        </w:rPr>
        <w:t>para</w:t>
      </w:r>
    </w:p>
    <w:p>
      <w:pPr>
        <w:pStyle w:val="ListParagraph"/>
        <w:numPr>
          <w:ilvl w:val="1"/>
          <w:numId w:val="12"/>
        </w:numPr>
        <w:tabs>
          <w:tab w:pos="692" w:val="left" w:leader="none"/>
          <w:tab w:pos="693" w:val="left" w:leader="none"/>
        </w:tabs>
        <w:spacing w:line="240" w:lineRule="auto" w:before="129" w:after="0"/>
        <w:ind w:left="692" w:right="0" w:hanging="470"/>
        <w:jc w:val="left"/>
        <w:rPr>
          <w:sz w:val="24"/>
        </w:rPr>
      </w:pPr>
      <w:r>
        <w:rPr>
          <w:sz w:val="24"/>
        </w:rPr>
        <w:t>determinar </w:t>
      </w:r>
      <w:r>
        <w:rPr>
          <w:spacing w:val="-3"/>
          <w:sz w:val="24"/>
        </w:rPr>
        <w:t>las </w:t>
      </w:r>
      <w:r>
        <w:rPr>
          <w:sz w:val="24"/>
        </w:rPr>
        <w:t>propiedades de </w:t>
      </w:r>
      <w:r>
        <w:rPr>
          <w:spacing w:val="-5"/>
          <w:sz w:val="24"/>
        </w:rPr>
        <w:t>la </w:t>
      </w:r>
      <w:r>
        <w:rPr>
          <w:sz w:val="24"/>
        </w:rPr>
        <w:t>prueba diagnóstica (Jaramillo y Martínez</w:t>
      </w:r>
      <w:r>
        <w:rPr>
          <w:spacing w:val="4"/>
          <w:sz w:val="24"/>
        </w:rPr>
        <w:t> </w:t>
      </w:r>
      <w:r>
        <w:rPr>
          <w:sz w:val="24"/>
        </w:rPr>
        <w:t>2010).</w:t>
      </w:r>
    </w:p>
    <w:p>
      <w:pPr>
        <w:pStyle w:val="BodyText"/>
        <w:spacing w:before="2"/>
        <w:rPr>
          <w:rFonts w:ascii="Times New Roman"/>
          <w:sz w:val="23"/>
        </w:rPr>
      </w:pPr>
    </w:p>
    <w:p>
      <w:pPr>
        <w:pStyle w:val="Heading1"/>
        <w:numPr>
          <w:ilvl w:val="1"/>
          <w:numId w:val="12"/>
        </w:numPr>
        <w:tabs>
          <w:tab w:pos="692" w:val="left" w:leader="none"/>
          <w:tab w:pos="693" w:val="left" w:leader="none"/>
        </w:tabs>
        <w:spacing w:line="240" w:lineRule="auto" w:before="69" w:after="0"/>
        <w:ind w:left="692" w:right="0" w:hanging="470"/>
        <w:jc w:val="left"/>
        <w:rPr>
          <w:rFonts w:ascii="Times New Roman"/>
        </w:rPr>
      </w:pPr>
      <w:r>
        <w:rPr>
          <w:rFonts w:ascii="Times New Roman"/>
        </w:rPr>
        <w:t>RESULTADOS</w:t>
      </w:r>
    </w:p>
    <w:p>
      <w:pPr>
        <w:pStyle w:val="BodyText"/>
        <w:spacing w:before="4"/>
        <w:rPr>
          <w:rFonts w:ascii="Times New Roman"/>
          <w:b/>
          <w:sz w:val="22"/>
        </w:rPr>
      </w:pPr>
    </w:p>
    <w:p>
      <w:pPr>
        <w:pStyle w:val="ListParagraph"/>
        <w:numPr>
          <w:ilvl w:val="1"/>
          <w:numId w:val="12"/>
        </w:numPr>
        <w:tabs>
          <w:tab w:pos="976" w:val="left" w:leader="none"/>
          <w:tab w:pos="977" w:val="left" w:leader="none"/>
        </w:tabs>
        <w:spacing w:line="240" w:lineRule="auto" w:before="70" w:after="0"/>
        <w:ind w:left="976" w:right="0" w:hanging="754"/>
        <w:jc w:val="left"/>
        <w:rPr>
          <w:sz w:val="24"/>
        </w:rPr>
      </w:pPr>
      <w:r>
        <w:rPr>
          <w:sz w:val="24"/>
        </w:rPr>
        <w:t>En este  estudio,  identificamos  que  en  México,  en general,  los  médicos </w:t>
      </w:r>
      <w:r>
        <w:rPr>
          <w:spacing w:val="37"/>
          <w:sz w:val="24"/>
        </w:rPr>
        <w:t> </w:t>
      </w:r>
      <w:r>
        <w:rPr>
          <w:sz w:val="24"/>
        </w:rPr>
        <w:t>veterinarios</w:t>
      </w:r>
    </w:p>
    <w:p>
      <w:pPr>
        <w:pStyle w:val="ListParagraph"/>
        <w:numPr>
          <w:ilvl w:val="1"/>
          <w:numId w:val="12"/>
        </w:numPr>
        <w:tabs>
          <w:tab w:pos="692" w:val="left" w:leader="none"/>
          <w:tab w:pos="693" w:val="left" w:leader="none"/>
          <w:tab w:pos="1618" w:val="left" w:leader="none"/>
          <w:tab w:pos="4630" w:val="left" w:leader="none"/>
        </w:tabs>
        <w:spacing w:line="240" w:lineRule="auto" w:before="134" w:after="0"/>
        <w:ind w:left="692" w:right="0" w:hanging="470"/>
        <w:jc w:val="left"/>
        <w:rPr>
          <w:sz w:val="24"/>
        </w:rPr>
      </w:pPr>
      <w:r>
        <w:rPr>
          <w:sz w:val="24"/>
        </w:rPr>
        <w:t>utilizan</w:t>
        <w:tab/>
      </w:r>
      <w:r>
        <w:rPr>
          <w:spacing w:val="-3"/>
          <w:sz w:val="24"/>
        </w:rPr>
        <w:t>la  </w:t>
      </w:r>
      <w:r>
        <w:rPr>
          <w:sz w:val="24"/>
        </w:rPr>
        <w:t>historia  clínica</w:t>
      </w:r>
      <w:r>
        <w:rPr>
          <w:spacing w:val="13"/>
          <w:sz w:val="24"/>
        </w:rPr>
        <w:t> </w:t>
      </w:r>
      <w:r>
        <w:rPr>
          <w:sz w:val="24"/>
        </w:rPr>
        <w:t>y</w:t>
      </w:r>
      <w:r>
        <w:rPr>
          <w:spacing w:val="38"/>
          <w:sz w:val="24"/>
        </w:rPr>
        <w:t> </w:t>
      </w:r>
      <w:r>
        <w:rPr>
          <w:sz w:val="24"/>
        </w:rPr>
        <w:t>examen</w:t>
        <w:tab/>
        <w:t>físico del paciente  como primera  herramienta  </w:t>
      </w:r>
      <w:r>
        <w:rPr>
          <w:spacing w:val="1"/>
          <w:sz w:val="24"/>
        </w:rPr>
        <w:t> </w:t>
      </w:r>
      <w:r>
        <w:rPr>
          <w:sz w:val="24"/>
        </w:rPr>
        <w:t>de</w:t>
      </w:r>
    </w:p>
    <w:p>
      <w:pPr>
        <w:pStyle w:val="ListParagraph"/>
        <w:numPr>
          <w:ilvl w:val="1"/>
          <w:numId w:val="12"/>
        </w:numPr>
        <w:tabs>
          <w:tab w:pos="692" w:val="left" w:leader="none"/>
          <w:tab w:pos="693" w:val="left" w:leader="none"/>
        </w:tabs>
        <w:spacing w:line="240" w:lineRule="auto" w:before="129" w:after="0"/>
        <w:ind w:left="692" w:right="0" w:hanging="470"/>
        <w:jc w:val="left"/>
        <w:rPr>
          <w:sz w:val="24"/>
        </w:rPr>
      </w:pPr>
      <w:r>
        <w:rPr>
          <w:sz w:val="24"/>
        </w:rPr>
        <w:t>diagnóstico; sin embargo se detectó que solamente 16% considera esta opción como</w:t>
      </w:r>
      <w:r>
        <w:rPr>
          <w:spacing w:val="-1"/>
          <w:sz w:val="24"/>
        </w:rPr>
        <w:t> </w:t>
      </w:r>
      <w:r>
        <w:rPr>
          <w:sz w:val="24"/>
        </w:rPr>
        <w:t>prueba</w:t>
      </w:r>
    </w:p>
    <w:p>
      <w:pPr>
        <w:pStyle w:val="ListParagraph"/>
        <w:numPr>
          <w:ilvl w:val="1"/>
          <w:numId w:val="12"/>
        </w:numPr>
        <w:tabs>
          <w:tab w:pos="692" w:val="left" w:leader="none"/>
          <w:tab w:pos="693" w:val="left" w:leader="none"/>
        </w:tabs>
        <w:spacing w:line="240" w:lineRule="auto" w:before="129" w:after="0"/>
        <w:ind w:left="692" w:right="0" w:hanging="470"/>
        <w:jc w:val="left"/>
        <w:rPr>
          <w:sz w:val="24"/>
        </w:rPr>
      </w:pPr>
      <w:r>
        <w:rPr>
          <w:sz w:val="24"/>
        </w:rPr>
        <w:t>diagnóstica  definitiva.  </w:t>
      </w:r>
      <w:r>
        <w:rPr>
          <w:spacing w:val="3"/>
          <w:sz w:val="24"/>
        </w:rPr>
        <w:t>El </w:t>
      </w:r>
      <w:r>
        <w:rPr>
          <w:sz w:val="24"/>
        </w:rPr>
        <w:t>84%  que  utiliza  pruebas  diagnósticas  </w:t>
      </w:r>
      <w:r>
        <w:rPr>
          <w:spacing w:val="-5"/>
          <w:sz w:val="24"/>
        </w:rPr>
        <w:t>lo  </w:t>
      </w:r>
      <w:r>
        <w:rPr>
          <w:sz w:val="24"/>
        </w:rPr>
        <w:t>hace  de  </w:t>
      </w:r>
      <w:r>
        <w:rPr>
          <w:spacing w:val="-3"/>
          <w:sz w:val="24"/>
        </w:rPr>
        <w:t>la</w:t>
      </w:r>
      <w:r>
        <w:rPr>
          <w:spacing w:val="-6"/>
          <w:sz w:val="24"/>
        </w:rPr>
        <w:t> </w:t>
      </w:r>
      <w:r>
        <w:rPr>
          <w:sz w:val="24"/>
        </w:rPr>
        <w:t>siguiente</w:t>
      </w:r>
    </w:p>
    <w:p>
      <w:pPr>
        <w:pStyle w:val="ListParagraph"/>
        <w:numPr>
          <w:ilvl w:val="1"/>
          <w:numId w:val="12"/>
        </w:numPr>
        <w:tabs>
          <w:tab w:pos="692" w:val="left" w:leader="none"/>
          <w:tab w:pos="693" w:val="left" w:leader="none"/>
        </w:tabs>
        <w:spacing w:line="240" w:lineRule="auto" w:before="130" w:after="0"/>
        <w:ind w:left="692" w:right="0" w:hanging="581"/>
        <w:jc w:val="left"/>
        <w:rPr>
          <w:sz w:val="24"/>
        </w:rPr>
      </w:pPr>
      <w:r>
        <w:rPr>
          <w:sz w:val="24"/>
        </w:rPr>
        <w:t>manera:  13%  solo  incluye  al  hemograma  para  identificar  leucopenia,  el  59% </w:t>
      </w:r>
      <w:r>
        <w:rPr>
          <w:spacing w:val="22"/>
          <w:sz w:val="24"/>
        </w:rPr>
        <w:t> </w:t>
      </w:r>
      <w:r>
        <w:rPr>
          <w:sz w:val="24"/>
        </w:rPr>
        <w:t>además</w:t>
      </w:r>
    </w:p>
    <w:p>
      <w:pPr>
        <w:pStyle w:val="ListParagraph"/>
        <w:numPr>
          <w:ilvl w:val="1"/>
          <w:numId w:val="12"/>
        </w:numPr>
        <w:tabs>
          <w:tab w:pos="692" w:val="left" w:leader="none"/>
          <w:tab w:pos="693" w:val="left" w:leader="none"/>
        </w:tabs>
        <w:spacing w:line="240" w:lineRule="auto" w:before="134" w:after="0"/>
        <w:ind w:left="692" w:right="0" w:hanging="581"/>
        <w:jc w:val="left"/>
        <w:rPr>
          <w:sz w:val="24"/>
        </w:rPr>
      </w:pPr>
      <w:r>
        <w:rPr>
          <w:sz w:val="24"/>
        </w:rPr>
        <w:t>incluye</w:t>
      </w:r>
      <w:r>
        <w:rPr>
          <w:spacing w:val="25"/>
          <w:sz w:val="24"/>
        </w:rPr>
        <w:t> </w:t>
      </w:r>
      <w:r>
        <w:rPr>
          <w:sz w:val="24"/>
        </w:rPr>
        <w:t>inmunocromatografía</w:t>
      </w:r>
      <w:r>
        <w:rPr>
          <w:spacing w:val="29"/>
          <w:sz w:val="24"/>
        </w:rPr>
        <w:t> </w:t>
      </w:r>
      <w:r>
        <w:rPr>
          <w:sz w:val="24"/>
        </w:rPr>
        <w:t>y</w:t>
      </w:r>
      <w:r>
        <w:rPr>
          <w:spacing w:val="17"/>
          <w:sz w:val="24"/>
        </w:rPr>
        <w:t> </w:t>
      </w:r>
      <w:r>
        <w:rPr>
          <w:sz w:val="24"/>
        </w:rPr>
        <w:t>solamente</w:t>
      </w:r>
      <w:r>
        <w:rPr>
          <w:spacing w:val="21"/>
          <w:sz w:val="24"/>
        </w:rPr>
        <w:t> </w:t>
      </w:r>
      <w:r>
        <w:rPr>
          <w:sz w:val="24"/>
        </w:rPr>
        <w:t>un12%</w:t>
      </w:r>
      <w:r>
        <w:rPr>
          <w:spacing w:val="23"/>
          <w:sz w:val="24"/>
        </w:rPr>
        <w:t> </w:t>
      </w:r>
      <w:r>
        <w:rPr>
          <w:sz w:val="24"/>
        </w:rPr>
        <w:t>de</w:t>
      </w:r>
      <w:r>
        <w:rPr>
          <w:spacing w:val="25"/>
          <w:sz w:val="24"/>
        </w:rPr>
        <w:t> </w:t>
      </w:r>
      <w:r>
        <w:rPr>
          <w:sz w:val="24"/>
        </w:rPr>
        <w:t>los</w:t>
      </w:r>
      <w:r>
        <w:rPr>
          <w:spacing w:val="23"/>
          <w:sz w:val="24"/>
        </w:rPr>
        <w:t> </w:t>
      </w:r>
      <w:r>
        <w:rPr>
          <w:sz w:val="24"/>
        </w:rPr>
        <w:t>médicos</w:t>
      </w:r>
      <w:r>
        <w:rPr>
          <w:spacing w:val="23"/>
          <w:sz w:val="24"/>
        </w:rPr>
        <w:t> </w:t>
      </w:r>
      <w:r>
        <w:rPr>
          <w:sz w:val="24"/>
        </w:rPr>
        <w:t>veterinarios</w:t>
      </w:r>
      <w:r>
        <w:rPr>
          <w:spacing w:val="20"/>
          <w:sz w:val="24"/>
        </w:rPr>
        <w:t> </w:t>
      </w:r>
      <w:r>
        <w:rPr>
          <w:sz w:val="24"/>
        </w:rPr>
        <w:t>utiliza</w:t>
      </w:r>
      <w:r>
        <w:rPr>
          <w:spacing w:val="21"/>
          <w:sz w:val="24"/>
        </w:rPr>
        <w:t> </w:t>
      </w:r>
      <w:r>
        <w:rPr>
          <w:sz w:val="24"/>
        </w:rPr>
        <w:t>a</w:t>
      </w:r>
      <w:r>
        <w:rPr>
          <w:spacing w:val="29"/>
          <w:sz w:val="24"/>
        </w:rPr>
        <w:t> </w:t>
      </w:r>
      <w:r>
        <w:rPr>
          <w:spacing w:val="-3"/>
          <w:sz w:val="24"/>
        </w:rPr>
        <w:t>la</w:t>
      </w:r>
    </w:p>
    <w:p>
      <w:pPr>
        <w:pStyle w:val="ListParagraph"/>
        <w:numPr>
          <w:ilvl w:val="1"/>
          <w:numId w:val="12"/>
        </w:numPr>
        <w:tabs>
          <w:tab w:pos="692" w:val="left" w:leader="none"/>
          <w:tab w:pos="693" w:val="left" w:leader="none"/>
        </w:tabs>
        <w:spacing w:line="240" w:lineRule="auto" w:before="129" w:after="0"/>
        <w:ind w:left="692" w:right="0" w:hanging="581"/>
        <w:jc w:val="left"/>
        <w:rPr>
          <w:sz w:val="24"/>
        </w:rPr>
      </w:pPr>
      <w:r>
        <w:rPr>
          <w:sz w:val="24"/>
        </w:rPr>
        <w:t>PCR para  verificar  su  diagnóstico  (Figura 1).  Con respecto  a  los signos clínicos que</w:t>
      </w:r>
      <w:r>
        <w:rPr>
          <w:spacing w:val="-6"/>
          <w:sz w:val="24"/>
        </w:rPr>
        <w:t> </w:t>
      </w:r>
      <w:r>
        <w:rPr>
          <w:sz w:val="24"/>
        </w:rPr>
        <w:t>los</w:t>
      </w:r>
    </w:p>
    <w:p>
      <w:pPr>
        <w:pStyle w:val="ListParagraph"/>
        <w:numPr>
          <w:ilvl w:val="1"/>
          <w:numId w:val="12"/>
        </w:numPr>
        <w:tabs>
          <w:tab w:pos="692" w:val="left" w:leader="none"/>
          <w:tab w:pos="693" w:val="left" w:leader="none"/>
        </w:tabs>
        <w:spacing w:line="240" w:lineRule="auto" w:before="129" w:after="0"/>
        <w:ind w:left="692" w:right="0" w:hanging="581"/>
        <w:jc w:val="left"/>
        <w:rPr>
          <w:sz w:val="24"/>
        </w:rPr>
      </w:pPr>
      <w:r>
        <w:rPr>
          <w:sz w:val="24"/>
        </w:rPr>
        <w:t>médicos  veterinarios  consideran para emitir  un diagnóstico  de  PVC-2  </w:t>
      </w:r>
      <w:r>
        <w:rPr>
          <w:spacing w:val="-3"/>
          <w:sz w:val="24"/>
        </w:rPr>
        <w:t>la  </w:t>
      </w:r>
      <w:r>
        <w:rPr>
          <w:sz w:val="24"/>
        </w:rPr>
        <w:t>mayoría</w:t>
      </w:r>
      <w:r>
        <w:rPr>
          <w:spacing w:val="-20"/>
          <w:sz w:val="24"/>
        </w:rPr>
        <w:t> </w:t>
      </w:r>
      <w:r>
        <w:rPr>
          <w:sz w:val="24"/>
        </w:rPr>
        <w:t>(64%)</w:t>
      </w:r>
    </w:p>
    <w:p>
      <w:pPr>
        <w:pStyle w:val="ListParagraph"/>
        <w:numPr>
          <w:ilvl w:val="1"/>
          <w:numId w:val="12"/>
        </w:numPr>
        <w:tabs>
          <w:tab w:pos="692" w:val="left" w:leader="none"/>
          <w:tab w:pos="693" w:val="left" w:leader="none"/>
        </w:tabs>
        <w:spacing w:line="240" w:lineRule="auto" w:before="130" w:after="0"/>
        <w:ind w:left="692" w:right="0" w:hanging="581"/>
        <w:jc w:val="left"/>
        <w:rPr>
          <w:sz w:val="24"/>
        </w:rPr>
      </w:pPr>
      <w:r>
        <w:rPr>
          <w:sz w:val="24"/>
        </w:rPr>
        <w:t>indicó que debe de observar vómito, diarrea sanguinolenta y leucopenia para considerar </w:t>
      </w:r>
      <w:r>
        <w:rPr>
          <w:spacing w:val="25"/>
          <w:sz w:val="24"/>
        </w:rPr>
        <w:t> </w:t>
      </w:r>
      <w:r>
        <w:rPr>
          <w:sz w:val="24"/>
        </w:rPr>
        <w:t>un</w:t>
      </w:r>
    </w:p>
    <w:p>
      <w:pPr>
        <w:pStyle w:val="ListParagraph"/>
        <w:numPr>
          <w:ilvl w:val="1"/>
          <w:numId w:val="12"/>
        </w:numPr>
        <w:tabs>
          <w:tab w:pos="692" w:val="left" w:leader="none"/>
          <w:tab w:pos="693" w:val="left" w:leader="none"/>
        </w:tabs>
        <w:spacing w:line="240" w:lineRule="auto" w:before="134" w:after="0"/>
        <w:ind w:left="692" w:right="0" w:hanging="581"/>
        <w:jc w:val="left"/>
        <w:rPr>
          <w:sz w:val="24"/>
        </w:rPr>
      </w:pPr>
      <w:r>
        <w:rPr>
          <w:sz w:val="24"/>
        </w:rPr>
        <w:t>diagnóstico presuntivo de esta enfermedad. Sin embargo, para valorar </w:t>
      </w:r>
      <w:r>
        <w:rPr>
          <w:spacing w:val="-5"/>
          <w:sz w:val="24"/>
        </w:rPr>
        <w:t>la </w:t>
      </w:r>
      <w:r>
        <w:rPr>
          <w:sz w:val="24"/>
        </w:rPr>
        <w:t>frecuencia </w:t>
      </w:r>
      <w:r>
        <w:rPr>
          <w:spacing w:val="5"/>
          <w:sz w:val="24"/>
        </w:rPr>
        <w:t>con</w:t>
      </w:r>
      <w:r>
        <w:rPr>
          <w:spacing w:val="-1"/>
          <w:sz w:val="24"/>
        </w:rPr>
        <w:t> </w:t>
      </w:r>
      <w:r>
        <w:rPr>
          <w:sz w:val="24"/>
        </w:rPr>
        <w:t>que</w:t>
      </w:r>
    </w:p>
    <w:p>
      <w:pPr>
        <w:pStyle w:val="ListParagraph"/>
        <w:numPr>
          <w:ilvl w:val="1"/>
          <w:numId w:val="12"/>
        </w:numPr>
        <w:tabs>
          <w:tab w:pos="692" w:val="left" w:leader="none"/>
          <w:tab w:pos="693" w:val="left" w:leader="none"/>
        </w:tabs>
        <w:spacing w:line="240" w:lineRule="auto" w:before="129" w:after="0"/>
        <w:ind w:left="692" w:right="0" w:hanging="581"/>
        <w:jc w:val="left"/>
        <w:rPr>
          <w:sz w:val="24"/>
        </w:rPr>
      </w:pPr>
      <w:r>
        <w:rPr>
          <w:sz w:val="24"/>
        </w:rPr>
        <w:t>estos cuadros clínicos llegan a observarse en </w:t>
      </w:r>
      <w:r>
        <w:rPr>
          <w:spacing w:val="-3"/>
          <w:sz w:val="24"/>
        </w:rPr>
        <w:t>la </w:t>
      </w:r>
      <w:r>
        <w:rPr>
          <w:sz w:val="24"/>
        </w:rPr>
        <w:t>consulta veterinaria, 100 perros positivos </w:t>
      </w:r>
      <w:r>
        <w:rPr>
          <w:spacing w:val="46"/>
          <w:sz w:val="24"/>
        </w:rPr>
        <w:t> </w:t>
      </w:r>
      <w:r>
        <w:rPr>
          <w:sz w:val="24"/>
        </w:rPr>
        <w:t>a</w:t>
      </w:r>
    </w:p>
    <w:p>
      <w:pPr>
        <w:pStyle w:val="ListParagraph"/>
        <w:numPr>
          <w:ilvl w:val="1"/>
          <w:numId w:val="12"/>
        </w:numPr>
        <w:tabs>
          <w:tab w:pos="692" w:val="left" w:leader="none"/>
          <w:tab w:pos="693" w:val="left" w:leader="none"/>
          <w:tab w:pos="4323" w:val="left" w:leader="none"/>
        </w:tabs>
        <w:spacing w:line="240" w:lineRule="auto" w:before="129" w:after="0"/>
        <w:ind w:left="692" w:right="0" w:hanging="581"/>
        <w:jc w:val="left"/>
        <w:rPr>
          <w:sz w:val="24"/>
        </w:rPr>
      </w:pPr>
      <w:r>
        <w:rPr>
          <w:sz w:val="24"/>
        </w:rPr>
        <w:t>parvovirus  mediante  </w:t>
      </w:r>
      <w:r>
        <w:rPr>
          <w:spacing w:val="-5"/>
          <w:sz w:val="24"/>
        </w:rPr>
        <w:t>la</w:t>
      </w:r>
      <w:r>
        <w:rPr>
          <w:spacing w:val="24"/>
          <w:sz w:val="24"/>
        </w:rPr>
        <w:t> </w:t>
      </w:r>
      <w:r>
        <w:rPr>
          <w:sz w:val="24"/>
        </w:rPr>
        <w:t>técnica</w:t>
      </w:r>
      <w:r>
        <w:rPr>
          <w:spacing w:val="45"/>
          <w:sz w:val="24"/>
        </w:rPr>
        <w:t> </w:t>
      </w:r>
      <w:r>
        <w:rPr>
          <w:sz w:val="24"/>
        </w:rPr>
        <w:t>de</w:t>
        <w:tab/>
        <w:t>PCR  anidada,  fueron  seleccionados  y agrupados</w:t>
      </w:r>
      <w:r>
        <w:rPr>
          <w:spacing w:val="33"/>
          <w:sz w:val="24"/>
        </w:rPr>
        <w:t> </w:t>
      </w:r>
      <w:r>
        <w:rPr>
          <w:sz w:val="24"/>
        </w:rPr>
        <w:t>de</w:t>
      </w:r>
    </w:p>
    <w:p>
      <w:pPr>
        <w:pStyle w:val="ListParagraph"/>
        <w:numPr>
          <w:ilvl w:val="1"/>
          <w:numId w:val="12"/>
        </w:numPr>
        <w:tabs>
          <w:tab w:pos="692" w:val="left" w:leader="none"/>
          <w:tab w:pos="693" w:val="left" w:leader="none"/>
        </w:tabs>
        <w:spacing w:line="240" w:lineRule="auto" w:before="130" w:after="0"/>
        <w:ind w:left="692" w:right="0" w:hanging="581"/>
        <w:jc w:val="left"/>
        <w:rPr>
          <w:sz w:val="24"/>
        </w:rPr>
      </w:pPr>
      <w:r>
        <w:rPr>
          <w:sz w:val="24"/>
        </w:rPr>
        <w:t>acuerdo  al  cuadro  clínico  que  presentaron;  de  esta  forma,  en  general,  </w:t>
      </w:r>
      <w:r>
        <w:rPr>
          <w:spacing w:val="3"/>
          <w:sz w:val="24"/>
        </w:rPr>
        <w:t>los  </w:t>
      </w:r>
      <w:r>
        <w:rPr>
          <w:sz w:val="24"/>
        </w:rPr>
        <w:t>perros   </w:t>
      </w:r>
      <w:r>
        <w:rPr>
          <w:spacing w:val="39"/>
          <w:sz w:val="24"/>
        </w:rPr>
        <w:t> </w:t>
      </w:r>
      <w:r>
        <w:rPr>
          <w:sz w:val="24"/>
        </w:rPr>
        <w:t>se</w:t>
      </w:r>
    </w:p>
    <w:p>
      <w:pPr>
        <w:pStyle w:val="ListParagraph"/>
        <w:numPr>
          <w:ilvl w:val="1"/>
          <w:numId w:val="12"/>
        </w:numPr>
        <w:tabs>
          <w:tab w:pos="692" w:val="left" w:leader="none"/>
          <w:tab w:pos="693" w:val="left" w:leader="none"/>
        </w:tabs>
        <w:spacing w:line="240" w:lineRule="auto" w:before="134" w:after="0"/>
        <w:ind w:left="692" w:right="0" w:hanging="581"/>
        <w:jc w:val="left"/>
        <w:rPr>
          <w:sz w:val="24"/>
        </w:rPr>
      </w:pPr>
      <w:r>
        <w:rPr>
          <w:sz w:val="24"/>
        </w:rPr>
        <w:t>organizaron</w:t>
      </w:r>
      <w:r>
        <w:rPr>
          <w:spacing w:val="10"/>
          <w:sz w:val="24"/>
        </w:rPr>
        <w:t> </w:t>
      </w:r>
      <w:r>
        <w:rPr>
          <w:sz w:val="24"/>
        </w:rPr>
        <w:t>en</w:t>
      </w:r>
      <w:r>
        <w:rPr>
          <w:spacing w:val="10"/>
          <w:sz w:val="24"/>
        </w:rPr>
        <w:t> </w:t>
      </w:r>
      <w:r>
        <w:rPr>
          <w:sz w:val="24"/>
        </w:rPr>
        <w:t>tres</w:t>
      </w:r>
      <w:r>
        <w:rPr>
          <w:spacing w:val="13"/>
          <w:sz w:val="24"/>
        </w:rPr>
        <w:t> </w:t>
      </w:r>
      <w:r>
        <w:rPr>
          <w:sz w:val="24"/>
        </w:rPr>
        <w:t>cuadros</w:t>
      </w:r>
      <w:r>
        <w:rPr>
          <w:spacing w:val="13"/>
          <w:sz w:val="24"/>
        </w:rPr>
        <w:t> </w:t>
      </w:r>
      <w:r>
        <w:rPr>
          <w:sz w:val="24"/>
        </w:rPr>
        <w:t>clínicos:</w:t>
      </w:r>
      <w:r>
        <w:rPr>
          <w:spacing w:val="15"/>
          <w:sz w:val="24"/>
        </w:rPr>
        <w:t> </w:t>
      </w:r>
      <w:r>
        <w:rPr>
          <w:sz w:val="24"/>
        </w:rPr>
        <w:t>cuadro</w:t>
      </w:r>
      <w:r>
        <w:rPr>
          <w:spacing w:val="19"/>
          <w:sz w:val="24"/>
        </w:rPr>
        <w:t> </w:t>
      </w:r>
      <w:r>
        <w:rPr>
          <w:sz w:val="24"/>
        </w:rPr>
        <w:t>típico</w:t>
      </w:r>
      <w:r>
        <w:rPr>
          <w:spacing w:val="19"/>
          <w:sz w:val="24"/>
        </w:rPr>
        <w:t> </w:t>
      </w:r>
      <w:r>
        <w:rPr>
          <w:sz w:val="24"/>
        </w:rPr>
        <w:t>(diarrea</w:t>
      </w:r>
      <w:r>
        <w:rPr>
          <w:spacing w:val="14"/>
          <w:sz w:val="24"/>
        </w:rPr>
        <w:t> </w:t>
      </w:r>
      <w:r>
        <w:rPr>
          <w:sz w:val="24"/>
        </w:rPr>
        <w:t>con</w:t>
      </w:r>
      <w:r>
        <w:rPr>
          <w:spacing w:val="10"/>
          <w:sz w:val="24"/>
        </w:rPr>
        <w:t> </w:t>
      </w:r>
      <w:r>
        <w:rPr>
          <w:sz w:val="24"/>
        </w:rPr>
        <w:t>o</w:t>
      </w:r>
      <w:r>
        <w:rPr>
          <w:spacing w:val="19"/>
          <w:sz w:val="24"/>
        </w:rPr>
        <w:t> </w:t>
      </w:r>
      <w:r>
        <w:rPr>
          <w:sz w:val="24"/>
        </w:rPr>
        <w:t>sin</w:t>
      </w:r>
      <w:r>
        <w:rPr>
          <w:spacing w:val="19"/>
          <w:sz w:val="24"/>
        </w:rPr>
        <w:t> </w:t>
      </w:r>
      <w:r>
        <w:rPr>
          <w:sz w:val="24"/>
        </w:rPr>
        <w:t>sangre</w:t>
      </w:r>
      <w:r>
        <w:rPr>
          <w:spacing w:val="18"/>
          <w:sz w:val="24"/>
        </w:rPr>
        <w:t> </w:t>
      </w:r>
      <w:r>
        <w:rPr>
          <w:sz w:val="24"/>
        </w:rPr>
        <w:t>y</w:t>
      </w:r>
      <w:r>
        <w:rPr>
          <w:spacing w:val="10"/>
          <w:sz w:val="24"/>
        </w:rPr>
        <w:t> </w:t>
      </w:r>
      <w:r>
        <w:rPr>
          <w:sz w:val="24"/>
        </w:rPr>
        <w:t>presencia</w:t>
      </w:r>
      <w:r>
        <w:rPr>
          <w:spacing w:val="14"/>
          <w:sz w:val="24"/>
        </w:rPr>
        <w:t> </w:t>
      </w:r>
      <w:r>
        <w:rPr>
          <w:sz w:val="24"/>
        </w:rPr>
        <w:t>o</w:t>
      </w:r>
    </w:p>
    <w:p>
      <w:pPr>
        <w:pStyle w:val="ListParagraph"/>
        <w:numPr>
          <w:ilvl w:val="1"/>
          <w:numId w:val="12"/>
        </w:numPr>
        <w:tabs>
          <w:tab w:pos="692" w:val="left" w:leader="none"/>
          <w:tab w:pos="693" w:val="left" w:leader="none"/>
        </w:tabs>
        <w:spacing w:line="240" w:lineRule="auto" w:before="129" w:after="0"/>
        <w:ind w:left="692" w:right="0" w:hanging="581"/>
        <w:jc w:val="left"/>
        <w:rPr>
          <w:sz w:val="24"/>
        </w:rPr>
      </w:pPr>
      <w:r>
        <w:rPr>
          <w:sz w:val="24"/>
        </w:rPr>
        <w:t>ausencia de vómito), cuadro subtípico (diarrea catarral con presencia o ausencia de</w:t>
      </w:r>
      <w:r>
        <w:rPr>
          <w:spacing w:val="22"/>
          <w:sz w:val="24"/>
        </w:rPr>
        <w:t> </w:t>
      </w:r>
      <w:r>
        <w:rPr>
          <w:sz w:val="24"/>
        </w:rPr>
        <w:t>vómito)</w:t>
      </w:r>
    </w:p>
    <w:p>
      <w:pPr>
        <w:pStyle w:val="ListParagraph"/>
        <w:numPr>
          <w:ilvl w:val="1"/>
          <w:numId w:val="12"/>
        </w:numPr>
        <w:tabs>
          <w:tab w:pos="692" w:val="left" w:leader="none"/>
          <w:tab w:pos="693" w:val="left" w:leader="none"/>
        </w:tabs>
        <w:spacing w:line="240" w:lineRule="auto" w:before="129" w:after="0"/>
        <w:ind w:left="692" w:right="0" w:hanging="581"/>
        <w:jc w:val="left"/>
        <w:rPr>
          <w:sz w:val="24"/>
        </w:rPr>
      </w:pPr>
      <w:r>
        <w:rPr>
          <w:sz w:val="24"/>
        </w:rPr>
        <w:t>y cuadro atípico   (pacientes que presentan solo vómito o ningún signo de </w:t>
      </w:r>
      <w:r>
        <w:rPr>
          <w:spacing w:val="-3"/>
          <w:sz w:val="24"/>
        </w:rPr>
        <w:t>la   </w:t>
      </w:r>
      <w:r>
        <w:rPr>
          <w:spacing w:val="15"/>
          <w:sz w:val="24"/>
        </w:rPr>
        <w:t> </w:t>
      </w:r>
      <w:r>
        <w:rPr>
          <w:sz w:val="24"/>
        </w:rPr>
        <w:t>enfermedad);</w:t>
      </w:r>
    </w:p>
    <w:p>
      <w:pPr>
        <w:pStyle w:val="ListParagraph"/>
        <w:numPr>
          <w:ilvl w:val="1"/>
          <w:numId w:val="12"/>
        </w:numPr>
        <w:tabs>
          <w:tab w:pos="692" w:val="left" w:leader="none"/>
          <w:tab w:pos="693" w:val="left" w:leader="none"/>
        </w:tabs>
        <w:spacing w:line="240" w:lineRule="auto" w:before="125" w:after="0"/>
        <w:ind w:left="692" w:right="0" w:hanging="581"/>
        <w:jc w:val="left"/>
        <w:rPr>
          <w:sz w:val="24"/>
        </w:rPr>
      </w:pPr>
      <w:r>
        <w:rPr>
          <w:sz w:val="24"/>
        </w:rPr>
        <w:t>las frecuencias observadas fueron: 76%, 9% y 15%</w:t>
      </w:r>
      <w:r>
        <w:rPr>
          <w:spacing w:val="-26"/>
          <w:sz w:val="24"/>
        </w:rPr>
        <w:t> </w:t>
      </w:r>
      <w:r>
        <w:rPr>
          <w:sz w:val="24"/>
        </w:rPr>
        <w:t>respectivamente.</w:t>
      </w:r>
    </w:p>
    <w:p>
      <w:pPr>
        <w:pStyle w:val="BodyText"/>
        <w:spacing w:before="2"/>
        <w:rPr>
          <w:rFonts w:ascii="Times New Roman"/>
          <w:sz w:val="23"/>
        </w:rPr>
      </w:pPr>
    </w:p>
    <w:p>
      <w:pPr>
        <w:pStyle w:val="ListParagraph"/>
        <w:numPr>
          <w:ilvl w:val="1"/>
          <w:numId w:val="12"/>
        </w:numPr>
        <w:tabs>
          <w:tab w:pos="976" w:val="left" w:leader="none"/>
          <w:tab w:pos="977" w:val="left" w:leader="none"/>
        </w:tabs>
        <w:spacing w:line="240" w:lineRule="auto" w:before="69" w:after="0"/>
        <w:ind w:left="976" w:right="0" w:hanging="865"/>
        <w:jc w:val="left"/>
        <w:rPr>
          <w:sz w:val="24"/>
        </w:rPr>
      </w:pPr>
      <w:r>
        <w:rPr>
          <w:sz w:val="24"/>
        </w:rPr>
        <w:t>Para valorar </w:t>
      </w:r>
      <w:r>
        <w:rPr>
          <w:spacing w:val="-5"/>
          <w:sz w:val="24"/>
        </w:rPr>
        <w:t>la </w:t>
      </w:r>
      <w:r>
        <w:rPr>
          <w:sz w:val="24"/>
        </w:rPr>
        <w:t>sensibilidad del diagnóstico que obtiene el médico veterinario,</w:t>
      </w:r>
      <w:r>
        <w:rPr>
          <w:spacing w:val="46"/>
          <w:sz w:val="24"/>
        </w:rPr>
        <w:t> </w:t>
      </w:r>
      <w:r>
        <w:rPr>
          <w:sz w:val="24"/>
        </w:rPr>
        <w:t>utilizando</w:t>
      </w:r>
    </w:p>
    <w:p>
      <w:pPr>
        <w:pStyle w:val="ListParagraph"/>
        <w:numPr>
          <w:ilvl w:val="1"/>
          <w:numId w:val="12"/>
        </w:numPr>
        <w:tabs>
          <w:tab w:pos="692" w:val="left" w:leader="none"/>
          <w:tab w:pos="693" w:val="left" w:leader="none"/>
        </w:tabs>
        <w:spacing w:line="240" w:lineRule="auto" w:before="129" w:after="0"/>
        <w:ind w:left="692" w:right="0" w:hanging="581"/>
        <w:jc w:val="left"/>
        <w:rPr>
          <w:sz w:val="24"/>
        </w:rPr>
      </w:pPr>
      <w:r>
        <w:rPr>
          <w:spacing w:val="-3"/>
          <w:sz w:val="24"/>
        </w:rPr>
        <w:t>solo  </w:t>
      </w:r>
      <w:r>
        <w:rPr>
          <w:spacing w:val="-5"/>
          <w:sz w:val="24"/>
        </w:rPr>
        <w:t>la  </w:t>
      </w:r>
      <w:r>
        <w:rPr>
          <w:sz w:val="24"/>
        </w:rPr>
        <w:t>historia clínica y el examen general como herramienta, se  registró el    </w:t>
      </w:r>
      <w:r>
        <w:rPr>
          <w:spacing w:val="2"/>
          <w:sz w:val="24"/>
        </w:rPr>
        <w:t> </w:t>
      </w:r>
      <w:r>
        <w:rPr>
          <w:sz w:val="24"/>
        </w:rPr>
        <w:t>diagnóstico</w:t>
      </w:r>
    </w:p>
    <w:p>
      <w:pPr>
        <w:pStyle w:val="ListParagraph"/>
        <w:numPr>
          <w:ilvl w:val="1"/>
          <w:numId w:val="12"/>
        </w:numPr>
        <w:tabs>
          <w:tab w:pos="692" w:val="left" w:leader="none"/>
          <w:tab w:pos="693" w:val="left" w:leader="none"/>
        </w:tabs>
        <w:spacing w:line="240" w:lineRule="auto" w:before="134" w:after="0"/>
        <w:ind w:left="692" w:right="0" w:hanging="581"/>
        <w:jc w:val="left"/>
        <w:rPr>
          <w:sz w:val="24"/>
        </w:rPr>
      </w:pPr>
      <w:r>
        <w:rPr>
          <w:sz w:val="24"/>
        </w:rPr>
        <w:t>emitido</w:t>
      </w:r>
      <w:r>
        <w:rPr>
          <w:spacing w:val="24"/>
          <w:sz w:val="24"/>
        </w:rPr>
        <w:t> </w:t>
      </w:r>
      <w:r>
        <w:rPr>
          <w:sz w:val="24"/>
        </w:rPr>
        <w:t>por</w:t>
      </w:r>
      <w:r>
        <w:rPr>
          <w:spacing w:val="17"/>
          <w:sz w:val="24"/>
        </w:rPr>
        <w:t> </w:t>
      </w:r>
      <w:r>
        <w:rPr>
          <w:sz w:val="24"/>
        </w:rPr>
        <w:t>tres</w:t>
      </w:r>
      <w:r>
        <w:rPr>
          <w:spacing w:val="18"/>
          <w:sz w:val="24"/>
        </w:rPr>
        <w:t> </w:t>
      </w:r>
      <w:r>
        <w:rPr>
          <w:sz w:val="24"/>
        </w:rPr>
        <w:t>médicos</w:t>
      </w:r>
      <w:r>
        <w:rPr>
          <w:spacing w:val="18"/>
          <w:sz w:val="24"/>
        </w:rPr>
        <w:t> </w:t>
      </w:r>
      <w:r>
        <w:rPr>
          <w:sz w:val="24"/>
        </w:rPr>
        <w:t>diferentes</w:t>
      </w:r>
      <w:r>
        <w:rPr>
          <w:spacing w:val="18"/>
          <w:sz w:val="24"/>
        </w:rPr>
        <w:t> </w:t>
      </w:r>
      <w:r>
        <w:rPr>
          <w:sz w:val="24"/>
        </w:rPr>
        <w:t>para</w:t>
      </w:r>
      <w:r>
        <w:rPr>
          <w:spacing w:val="19"/>
          <w:sz w:val="24"/>
        </w:rPr>
        <w:t> </w:t>
      </w:r>
      <w:r>
        <w:rPr>
          <w:sz w:val="24"/>
        </w:rPr>
        <w:t>cada</w:t>
      </w:r>
      <w:r>
        <w:rPr>
          <w:spacing w:val="19"/>
          <w:sz w:val="24"/>
        </w:rPr>
        <w:t> </w:t>
      </w:r>
      <w:r>
        <w:rPr>
          <w:sz w:val="24"/>
        </w:rPr>
        <w:t>uno</w:t>
      </w:r>
      <w:r>
        <w:rPr>
          <w:spacing w:val="24"/>
          <w:sz w:val="24"/>
        </w:rPr>
        <w:t> </w:t>
      </w:r>
      <w:r>
        <w:rPr>
          <w:sz w:val="24"/>
        </w:rPr>
        <w:t>de</w:t>
      </w:r>
      <w:r>
        <w:rPr>
          <w:spacing w:val="19"/>
          <w:sz w:val="24"/>
        </w:rPr>
        <w:t> </w:t>
      </w:r>
      <w:r>
        <w:rPr>
          <w:sz w:val="24"/>
        </w:rPr>
        <w:t>los</w:t>
      </w:r>
      <w:r>
        <w:rPr>
          <w:spacing w:val="18"/>
          <w:sz w:val="24"/>
        </w:rPr>
        <w:t> </w:t>
      </w:r>
      <w:r>
        <w:rPr>
          <w:sz w:val="24"/>
        </w:rPr>
        <w:t>117</w:t>
      </w:r>
      <w:r>
        <w:rPr>
          <w:spacing w:val="20"/>
          <w:sz w:val="24"/>
        </w:rPr>
        <w:t> </w:t>
      </w:r>
      <w:r>
        <w:rPr>
          <w:sz w:val="24"/>
        </w:rPr>
        <w:t>perros;</w:t>
      </w:r>
      <w:r>
        <w:rPr>
          <w:spacing w:val="16"/>
          <w:sz w:val="24"/>
        </w:rPr>
        <w:t> </w:t>
      </w:r>
      <w:r>
        <w:rPr>
          <w:sz w:val="24"/>
        </w:rPr>
        <w:t>por</w:t>
      </w:r>
      <w:r>
        <w:rPr>
          <w:spacing w:val="21"/>
          <w:sz w:val="24"/>
        </w:rPr>
        <w:t> </w:t>
      </w:r>
      <w:r>
        <w:rPr>
          <w:spacing w:val="-5"/>
          <w:sz w:val="24"/>
        </w:rPr>
        <w:t>lo</w:t>
      </w:r>
      <w:r>
        <w:rPr>
          <w:spacing w:val="24"/>
          <w:sz w:val="24"/>
        </w:rPr>
        <w:t> </w:t>
      </w:r>
      <w:r>
        <w:rPr>
          <w:sz w:val="24"/>
        </w:rPr>
        <w:t>tanto</w:t>
      </w:r>
      <w:r>
        <w:rPr>
          <w:spacing w:val="24"/>
          <w:sz w:val="24"/>
        </w:rPr>
        <w:t> </w:t>
      </w:r>
      <w:r>
        <w:rPr>
          <w:sz w:val="24"/>
        </w:rPr>
        <w:t>un</w:t>
      </w:r>
      <w:r>
        <w:rPr>
          <w:spacing w:val="10"/>
          <w:sz w:val="24"/>
        </w:rPr>
        <w:t> </w:t>
      </w:r>
      <w:r>
        <w:rPr>
          <w:sz w:val="24"/>
        </w:rPr>
        <w:t>total</w:t>
      </w:r>
    </w:p>
    <w:p>
      <w:pPr>
        <w:pStyle w:val="ListParagraph"/>
        <w:numPr>
          <w:ilvl w:val="1"/>
          <w:numId w:val="12"/>
        </w:numPr>
        <w:tabs>
          <w:tab w:pos="692" w:val="left" w:leader="none"/>
          <w:tab w:pos="693" w:val="left" w:leader="none"/>
        </w:tabs>
        <w:spacing w:line="240" w:lineRule="auto" w:before="130" w:after="0"/>
        <w:ind w:left="692" w:right="0" w:hanging="581"/>
        <w:jc w:val="left"/>
        <w:rPr>
          <w:sz w:val="24"/>
        </w:rPr>
      </w:pPr>
      <w:r>
        <w:rPr>
          <w:sz w:val="24"/>
        </w:rPr>
        <w:t>de351 diagnósticos clínicos  fueron recabados,  300 para  los perros positivos a  </w:t>
      </w:r>
      <w:r>
        <w:rPr>
          <w:spacing w:val="1"/>
          <w:sz w:val="24"/>
        </w:rPr>
        <w:t> </w:t>
      </w:r>
      <w:r>
        <w:rPr>
          <w:sz w:val="24"/>
        </w:rPr>
        <w:t>parvovirus</w:t>
      </w:r>
    </w:p>
    <w:p>
      <w:pPr>
        <w:pStyle w:val="ListParagraph"/>
        <w:numPr>
          <w:ilvl w:val="1"/>
          <w:numId w:val="12"/>
        </w:numPr>
        <w:tabs>
          <w:tab w:pos="692" w:val="left" w:leader="none"/>
          <w:tab w:pos="693" w:val="left" w:leader="none"/>
        </w:tabs>
        <w:spacing w:line="240" w:lineRule="auto" w:before="129" w:after="0"/>
        <w:ind w:left="692" w:right="0" w:hanging="581"/>
        <w:jc w:val="left"/>
        <w:rPr>
          <w:sz w:val="24"/>
        </w:rPr>
      </w:pPr>
      <w:r>
        <w:rPr>
          <w:sz w:val="24"/>
        </w:rPr>
        <w:t>canino y 51 para los negativos. Para los perros positivos, los resultados indicaron que  </w:t>
      </w:r>
      <w:r>
        <w:rPr>
          <w:spacing w:val="23"/>
          <w:sz w:val="24"/>
        </w:rPr>
        <w:t> </w:t>
      </w:r>
      <w:r>
        <w:rPr>
          <w:sz w:val="24"/>
        </w:rPr>
        <w:t>solo</w:t>
      </w:r>
    </w:p>
    <w:p>
      <w:pPr>
        <w:spacing w:after="0" w:line="240" w:lineRule="auto"/>
        <w:jc w:val="left"/>
        <w:rPr>
          <w:sz w:val="24"/>
        </w:rPr>
        <w:sectPr>
          <w:pgSz w:w="12240" w:h="15840"/>
          <w:pgMar w:header="1154" w:footer="1713" w:top="1520" w:bottom="1900" w:left="1180" w:right="1380"/>
        </w:sectPr>
      </w:pPr>
    </w:p>
    <w:p>
      <w:pPr>
        <w:pStyle w:val="BodyText"/>
        <w:spacing w:before="10"/>
        <w:rPr>
          <w:rFonts w:ascii="Times New Roman"/>
          <w:sz w:val="17"/>
        </w:rPr>
      </w:pPr>
    </w:p>
    <w:p>
      <w:pPr>
        <w:pStyle w:val="ListParagraph"/>
        <w:numPr>
          <w:ilvl w:val="0"/>
          <w:numId w:val="13"/>
        </w:numPr>
        <w:tabs>
          <w:tab w:pos="692" w:val="left" w:leader="none"/>
          <w:tab w:pos="693" w:val="left" w:leader="none"/>
        </w:tabs>
        <w:spacing w:line="240" w:lineRule="auto" w:before="69" w:after="0"/>
        <w:ind w:left="692" w:right="0" w:hanging="470"/>
        <w:jc w:val="left"/>
        <w:rPr>
          <w:sz w:val="24"/>
        </w:rPr>
      </w:pPr>
      <w:r>
        <w:rPr>
          <w:sz w:val="24"/>
        </w:rPr>
        <w:t>el 48.6% (146/300) de los diagnósticos clínicos   </w:t>
      </w:r>
      <w:r>
        <w:rPr>
          <w:spacing w:val="51"/>
          <w:sz w:val="24"/>
        </w:rPr>
        <w:t> </w:t>
      </w:r>
      <w:r>
        <w:rPr>
          <w:sz w:val="24"/>
        </w:rPr>
        <w:t>fueron concordantes con </w:t>
      </w:r>
      <w:r>
        <w:rPr>
          <w:spacing w:val="-5"/>
          <w:sz w:val="24"/>
        </w:rPr>
        <w:t>la </w:t>
      </w:r>
      <w:r>
        <w:rPr>
          <w:sz w:val="24"/>
        </w:rPr>
        <w:t>PCR anidada.</w:t>
      </w:r>
    </w:p>
    <w:p>
      <w:pPr>
        <w:pStyle w:val="ListParagraph"/>
        <w:numPr>
          <w:ilvl w:val="0"/>
          <w:numId w:val="13"/>
        </w:numPr>
        <w:tabs>
          <w:tab w:pos="692" w:val="left" w:leader="none"/>
          <w:tab w:pos="693" w:val="left" w:leader="none"/>
        </w:tabs>
        <w:spacing w:line="240" w:lineRule="auto" w:before="129" w:after="0"/>
        <w:ind w:left="692" w:right="0" w:hanging="470"/>
        <w:jc w:val="left"/>
        <w:rPr>
          <w:sz w:val="24"/>
        </w:rPr>
      </w:pPr>
      <w:r>
        <w:rPr>
          <w:sz w:val="24"/>
        </w:rPr>
        <w:t>El 51.3% (154/300) restante </w:t>
      </w:r>
      <w:r>
        <w:rPr>
          <w:spacing w:val="-3"/>
          <w:sz w:val="24"/>
        </w:rPr>
        <w:t>emitió  </w:t>
      </w:r>
      <w:r>
        <w:rPr>
          <w:sz w:val="24"/>
        </w:rPr>
        <w:t>un diagnóstico  diferente a parvovirus   </w:t>
      </w:r>
      <w:r>
        <w:rPr>
          <w:spacing w:val="50"/>
          <w:sz w:val="24"/>
        </w:rPr>
        <w:t> </w:t>
      </w:r>
      <w:r>
        <w:rPr>
          <w:sz w:val="24"/>
        </w:rPr>
        <w:t>canino; y en </w:t>
      </w:r>
      <w:r>
        <w:rPr>
          <w:spacing w:val="4"/>
          <w:sz w:val="24"/>
        </w:rPr>
        <w:t>el</w:t>
      </w:r>
    </w:p>
    <w:p>
      <w:pPr>
        <w:pStyle w:val="ListParagraph"/>
        <w:numPr>
          <w:ilvl w:val="0"/>
          <w:numId w:val="13"/>
        </w:numPr>
        <w:tabs>
          <w:tab w:pos="692" w:val="left" w:leader="none"/>
          <w:tab w:pos="693" w:val="left" w:leader="none"/>
        </w:tabs>
        <w:spacing w:line="240" w:lineRule="auto" w:before="130" w:after="0"/>
        <w:ind w:left="692" w:right="0" w:hanging="470"/>
        <w:jc w:val="left"/>
        <w:rPr>
          <w:sz w:val="24"/>
        </w:rPr>
      </w:pPr>
      <w:r>
        <w:rPr>
          <w:sz w:val="24"/>
        </w:rPr>
        <w:t>caso de los pacientes negativos el 100% (51/51) fueron concordantes con el diagnóstico</w:t>
      </w:r>
      <w:r>
        <w:rPr>
          <w:spacing w:val="7"/>
          <w:sz w:val="24"/>
        </w:rPr>
        <w:t> </w:t>
      </w:r>
      <w:r>
        <w:rPr>
          <w:sz w:val="24"/>
        </w:rPr>
        <w:t>por</w:t>
      </w:r>
    </w:p>
    <w:p>
      <w:pPr>
        <w:pStyle w:val="ListParagraph"/>
        <w:numPr>
          <w:ilvl w:val="0"/>
          <w:numId w:val="13"/>
        </w:numPr>
        <w:tabs>
          <w:tab w:pos="692" w:val="left" w:leader="none"/>
          <w:tab w:pos="693" w:val="left" w:leader="none"/>
        </w:tabs>
        <w:spacing w:line="240" w:lineRule="auto" w:before="134" w:after="0"/>
        <w:ind w:left="692" w:right="0" w:hanging="470"/>
        <w:jc w:val="left"/>
        <w:rPr>
          <w:sz w:val="24"/>
        </w:rPr>
      </w:pPr>
      <w:r>
        <w:rPr>
          <w:sz w:val="24"/>
        </w:rPr>
        <w:t>PCR anidado, por </w:t>
      </w:r>
      <w:r>
        <w:rPr>
          <w:spacing w:val="-5"/>
          <w:sz w:val="24"/>
        </w:rPr>
        <w:t>lo  </w:t>
      </w:r>
      <w:r>
        <w:rPr>
          <w:sz w:val="24"/>
        </w:rPr>
        <w:t>tanto el diagnóstico clínico  muestra una sensibilidad del 48%   </w:t>
      </w:r>
      <w:r>
        <w:rPr>
          <w:spacing w:val="37"/>
          <w:sz w:val="24"/>
        </w:rPr>
        <w:t> </w:t>
      </w:r>
      <w:r>
        <w:rPr>
          <w:sz w:val="24"/>
        </w:rPr>
        <w:t>y una</w:t>
      </w:r>
    </w:p>
    <w:p>
      <w:pPr>
        <w:pStyle w:val="ListParagraph"/>
        <w:numPr>
          <w:ilvl w:val="0"/>
          <w:numId w:val="13"/>
        </w:numPr>
        <w:tabs>
          <w:tab w:pos="692" w:val="left" w:leader="none"/>
          <w:tab w:pos="693" w:val="left" w:leader="none"/>
        </w:tabs>
        <w:spacing w:line="240" w:lineRule="auto" w:before="129" w:after="0"/>
        <w:ind w:left="692" w:right="0" w:hanging="470"/>
        <w:jc w:val="left"/>
        <w:rPr>
          <w:sz w:val="24"/>
        </w:rPr>
      </w:pPr>
      <w:r>
        <w:rPr>
          <w:sz w:val="24"/>
        </w:rPr>
        <w:t>especificidad</w:t>
      </w:r>
      <w:r>
        <w:rPr>
          <w:spacing w:val="13"/>
          <w:sz w:val="24"/>
        </w:rPr>
        <w:t> </w:t>
      </w:r>
      <w:r>
        <w:rPr>
          <w:sz w:val="24"/>
        </w:rPr>
        <w:t>del</w:t>
      </w:r>
      <w:r>
        <w:rPr>
          <w:spacing w:val="9"/>
          <w:sz w:val="24"/>
        </w:rPr>
        <w:t> </w:t>
      </w:r>
      <w:r>
        <w:rPr>
          <w:sz w:val="24"/>
        </w:rPr>
        <w:t>100%.</w:t>
      </w:r>
      <w:r>
        <w:rPr>
          <w:spacing w:val="15"/>
          <w:sz w:val="24"/>
        </w:rPr>
        <w:t> </w:t>
      </w:r>
      <w:r>
        <w:rPr>
          <w:sz w:val="24"/>
        </w:rPr>
        <w:t>Debido</w:t>
      </w:r>
      <w:r>
        <w:rPr>
          <w:spacing w:val="18"/>
          <w:sz w:val="24"/>
        </w:rPr>
        <w:t> </w:t>
      </w:r>
      <w:r>
        <w:rPr>
          <w:sz w:val="24"/>
        </w:rPr>
        <w:t>a</w:t>
      </w:r>
      <w:r>
        <w:rPr>
          <w:spacing w:val="12"/>
          <w:sz w:val="24"/>
        </w:rPr>
        <w:t> </w:t>
      </w:r>
      <w:r>
        <w:rPr>
          <w:sz w:val="24"/>
        </w:rPr>
        <w:t>que</w:t>
      </w:r>
      <w:r>
        <w:rPr>
          <w:spacing w:val="12"/>
          <w:sz w:val="24"/>
        </w:rPr>
        <w:t> </w:t>
      </w:r>
      <w:r>
        <w:rPr>
          <w:sz w:val="24"/>
        </w:rPr>
        <w:t>se</w:t>
      </w:r>
      <w:r>
        <w:rPr>
          <w:spacing w:val="17"/>
          <w:sz w:val="24"/>
        </w:rPr>
        <w:t> </w:t>
      </w:r>
      <w:r>
        <w:rPr>
          <w:sz w:val="24"/>
        </w:rPr>
        <w:t>identificó</w:t>
      </w:r>
      <w:r>
        <w:rPr>
          <w:spacing w:val="18"/>
          <w:sz w:val="24"/>
        </w:rPr>
        <w:t> </w:t>
      </w:r>
      <w:r>
        <w:rPr>
          <w:sz w:val="24"/>
        </w:rPr>
        <w:t>en</w:t>
      </w:r>
      <w:r>
        <w:rPr>
          <w:spacing w:val="13"/>
          <w:sz w:val="24"/>
        </w:rPr>
        <w:t> </w:t>
      </w:r>
      <w:r>
        <w:rPr>
          <w:sz w:val="24"/>
        </w:rPr>
        <w:t>los</w:t>
      </w:r>
      <w:r>
        <w:rPr>
          <w:spacing w:val="11"/>
          <w:sz w:val="24"/>
        </w:rPr>
        <w:t> </w:t>
      </w:r>
      <w:r>
        <w:rPr>
          <w:sz w:val="24"/>
        </w:rPr>
        <w:t>cuestionarios</w:t>
      </w:r>
      <w:r>
        <w:rPr>
          <w:spacing w:val="11"/>
          <w:sz w:val="24"/>
        </w:rPr>
        <w:t> </w:t>
      </w:r>
      <w:r>
        <w:rPr>
          <w:sz w:val="24"/>
        </w:rPr>
        <w:t>que</w:t>
      </w:r>
      <w:r>
        <w:rPr>
          <w:spacing w:val="17"/>
          <w:sz w:val="24"/>
        </w:rPr>
        <w:t> </w:t>
      </w:r>
      <w:r>
        <w:rPr>
          <w:spacing w:val="-3"/>
          <w:sz w:val="24"/>
        </w:rPr>
        <w:t>la</w:t>
      </w:r>
      <w:r>
        <w:rPr>
          <w:spacing w:val="17"/>
          <w:sz w:val="24"/>
        </w:rPr>
        <w:t> </w:t>
      </w:r>
      <w:r>
        <w:rPr>
          <w:sz w:val="24"/>
        </w:rPr>
        <w:t>mayoría</w:t>
      </w:r>
      <w:r>
        <w:rPr>
          <w:spacing w:val="12"/>
          <w:sz w:val="24"/>
        </w:rPr>
        <w:t> </w:t>
      </w:r>
      <w:r>
        <w:rPr>
          <w:sz w:val="24"/>
        </w:rPr>
        <w:t>de</w:t>
      </w:r>
    </w:p>
    <w:p>
      <w:pPr>
        <w:pStyle w:val="ListParagraph"/>
        <w:numPr>
          <w:ilvl w:val="0"/>
          <w:numId w:val="13"/>
        </w:numPr>
        <w:tabs>
          <w:tab w:pos="692" w:val="left" w:leader="none"/>
          <w:tab w:pos="693" w:val="left" w:leader="none"/>
        </w:tabs>
        <w:spacing w:line="240" w:lineRule="auto" w:before="129" w:after="0"/>
        <w:ind w:left="692" w:right="0" w:hanging="470"/>
        <w:jc w:val="left"/>
        <w:rPr>
          <w:sz w:val="24"/>
        </w:rPr>
      </w:pPr>
      <w:r>
        <w:rPr>
          <w:sz w:val="24"/>
        </w:rPr>
        <w:t>los  veterinarios consideran a  </w:t>
      </w:r>
      <w:r>
        <w:rPr>
          <w:spacing w:val="-3"/>
          <w:sz w:val="24"/>
        </w:rPr>
        <w:t>la  </w:t>
      </w:r>
      <w:r>
        <w:rPr>
          <w:sz w:val="24"/>
        </w:rPr>
        <w:t>leucopenia  como  un criterio  de diagnóstico  para</w:t>
      </w:r>
      <w:r>
        <w:rPr>
          <w:spacing w:val="43"/>
          <w:sz w:val="24"/>
        </w:rPr>
        <w:t> </w:t>
      </w:r>
      <w:r>
        <w:rPr>
          <w:sz w:val="24"/>
        </w:rPr>
        <w:t>PVC2,</w:t>
      </w:r>
    </w:p>
    <w:p>
      <w:pPr>
        <w:pStyle w:val="ListParagraph"/>
        <w:numPr>
          <w:ilvl w:val="0"/>
          <w:numId w:val="13"/>
        </w:numPr>
        <w:tabs>
          <w:tab w:pos="692" w:val="left" w:leader="none"/>
          <w:tab w:pos="693" w:val="left" w:leader="none"/>
        </w:tabs>
        <w:spacing w:line="240" w:lineRule="auto" w:before="130" w:after="0"/>
        <w:ind w:left="692" w:right="0" w:hanging="470"/>
        <w:jc w:val="left"/>
        <w:rPr>
          <w:sz w:val="24"/>
        </w:rPr>
      </w:pPr>
      <w:r>
        <w:rPr>
          <w:sz w:val="24"/>
        </w:rPr>
        <w:t>nosotros</w:t>
      </w:r>
      <w:r>
        <w:rPr>
          <w:spacing w:val="21"/>
          <w:sz w:val="24"/>
        </w:rPr>
        <w:t> </w:t>
      </w:r>
      <w:r>
        <w:rPr>
          <w:sz w:val="24"/>
        </w:rPr>
        <w:t>valoramos</w:t>
      </w:r>
      <w:r>
        <w:rPr>
          <w:spacing w:val="21"/>
          <w:sz w:val="24"/>
        </w:rPr>
        <w:t> </w:t>
      </w:r>
      <w:r>
        <w:rPr>
          <w:sz w:val="24"/>
        </w:rPr>
        <w:t>este</w:t>
      </w:r>
      <w:r>
        <w:rPr>
          <w:spacing w:val="22"/>
          <w:sz w:val="24"/>
        </w:rPr>
        <w:t> </w:t>
      </w:r>
      <w:r>
        <w:rPr>
          <w:sz w:val="24"/>
        </w:rPr>
        <w:t>parámetro</w:t>
      </w:r>
      <w:r>
        <w:rPr>
          <w:spacing w:val="27"/>
          <w:sz w:val="24"/>
        </w:rPr>
        <w:t> </w:t>
      </w:r>
      <w:r>
        <w:rPr>
          <w:sz w:val="24"/>
        </w:rPr>
        <w:t>en</w:t>
      </w:r>
      <w:r>
        <w:rPr>
          <w:spacing w:val="23"/>
          <w:sz w:val="24"/>
        </w:rPr>
        <w:t> </w:t>
      </w:r>
      <w:r>
        <w:rPr>
          <w:sz w:val="24"/>
        </w:rPr>
        <w:t>los</w:t>
      </w:r>
      <w:r>
        <w:rPr>
          <w:spacing w:val="21"/>
          <w:sz w:val="24"/>
        </w:rPr>
        <w:t> </w:t>
      </w:r>
      <w:r>
        <w:rPr>
          <w:sz w:val="24"/>
        </w:rPr>
        <w:t>perros</w:t>
      </w:r>
      <w:r>
        <w:rPr>
          <w:spacing w:val="21"/>
          <w:sz w:val="24"/>
        </w:rPr>
        <w:t> </w:t>
      </w:r>
      <w:r>
        <w:rPr>
          <w:sz w:val="24"/>
        </w:rPr>
        <w:t>positivos.</w:t>
      </w:r>
      <w:r>
        <w:rPr>
          <w:spacing w:val="25"/>
          <w:sz w:val="24"/>
        </w:rPr>
        <w:t> </w:t>
      </w:r>
      <w:r>
        <w:rPr>
          <w:sz w:val="24"/>
        </w:rPr>
        <w:t>Los</w:t>
      </w:r>
      <w:r>
        <w:rPr>
          <w:spacing w:val="21"/>
          <w:sz w:val="24"/>
        </w:rPr>
        <w:t> </w:t>
      </w:r>
      <w:r>
        <w:rPr>
          <w:sz w:val="24"/>
        </w:rPr>
        <w:t>datos</w:t>
      </w:r>
      <w:r>
        <w:rPr>
          <w:spacing w:val="21"/>
          <w:sz w:val="24"/>
        </w:rPr>
        <w:t> </w:t>
      </w:r>
      <w:r>
        <w:rPr>
          <w:sz w:val="24"/>
        </w:rPr>
        <w:t>de</w:t>
      </w:r>
      <w:r>
        <w:rPr>
          <w:spacing w:val="27"/>
          <w:sz w:val="24"/>
        </w:rPr>
        <w:t> </w:t>
      </w:r>
      <w:r>
        <w:rPr>
          <w:sz w:val="24"/>
        </w:rPr>
        <w:t>los</w:t>
      </w:r>
      <w:r>
        <w:rPr>
          <w:spacing w:val="37"/>
          <w:sz w:val="24"/>
        </w:rPr>
        <w:t> </w:t>
      </w:r>
      <w:r>
        <w:rPr>
          <w:sz w:val="24"/>
        </w:rPr>
        <w:t>hemogramas</w:t>
      </w:r>
    </w:p>
    <w:p>
      <w:pPr>
        <w:pStyle w:val="ListParagraph"/>
        <w:numPr>
          <w:ilvl w:val="0"/>
          <w:numId w:val="13"/>
        </w:numPr>
        <w:tabs>
          <w:tab w:pos="692" w:val="left" w:leader="none"/>
          <w:tab w:pos="693" w:val="left" w:leader="none"/>
        </w:tabs>
        <w:spacing w:line="240" w:lineRule="auto" w:before="134" w:after="0"/>
        <w:ind w:left="692" w:right="0" w:hanging="470"/>
        <w:jc w:val="left"/>
        <w:rPr>
          <w:sz w:val="24"/>
        </w:rPr>
      </w:pPr>
      <w:r>
        <w:rPr>
          <w:sz w:val="24"/>
        </w:rPr>
        <w:t>indicaron que solo el 45% de los perros presentaron leucopenia y/o panleucopenia,  </w:t>
      </w:r>
      <w:r>
        <w:rPr>
          <w:spacing w:val="57"/>
          <w:sz w:val="24"/>
        </w:rPr>
        <w:t> </w:t>
      </w:r>
      <w:r>
        <w:rPr>
          <w:sz w:val="24"/>
        </w:rPr>
        <w:t>un 7%</w:t>
      </w:r>
    </w:p>
    <w:p>
      <w:pPr>
        <w:pStyle w:val="ListParagraph"/>
        <w:numPr>
          <w:ilvl w:val="0"/>
          <w:numId w:val="13"/>
        </w:numPr>
        <w:tabs>
          <w:tab w:pos="692" w:val="left" w:leader="none"/>
          <w:tab w:pos="693" w:val="left" w:leader="none"/>
        </w:tabs>
        <w:spacing w:line="240" w:lineRule="auto" w:before="129" w:after="0"/>
        <w:ind w:left="692" w:right="0" w:hanging="470"/>
        <w:jc w:val="left"/>
        <w:rPr>
          <w:sz w:val="24"/>
        </w:rPr>
      </w:pPr>
      <w:r>
        <w:rPr>
          <w:sz w:val="24"/>
        </w:rPr>
        <w:t>de  los  pacientes  presentó  únicamente  linfopenia,  el 3%  presentó  </w:t>
      </w:r>
      <w:r>
        <w:rPr>
          <w:spacing w:val="-4"/>
          <w:sz w:val="24"/>
        </w:rPr>
        <w:t>solo  </w:t>
      </w:r>
      <w:r>
        <w:rPr>
          <w:sz w:val="24"/>
        </w:rPr>
        <w:t>linfocitosis,</w:t>
      </w:r>
      <w:r>
        <w:rPr>
          <w:spacing w:val="-7"/>
          <w:sz w:val="24"/>
        </w:rPr>
        <w:t> </w:t>
      </w:r>
      <w:r>
        <w:rPr>
          <w:sz w:val="24"/>
        </w:rPr>
        <w:t>11%</w:t>
      </w:r>
    </w:p>
    <w:p>
      <w:pPr>
        <w:pStyle w:val="ListParagraph"/>
        <w:numPr>
          <w:ilvl w:val="0"/>
          <w:numId w:val="13"/>
        </w:numPr>
        <w:tabs>
          <w:tab w:pos="692" w:val="left" w:leader="none"/>
          <w:tab w:pos="693" w:val="left" w:leader="none"/>
        </w:tabs>
        <w:spacing w:line="240" w:lineRule="auto" w:before="129" w:after="0"/>
        <w:ind w:left="692" w:right="0" w:hanging="581"/>
        <w:jc w:val="left"/>
        <w:rPr>
          <w:sz w:val="24"/>
        </w:rPr>
      </w:pPr>
      <w:r>
        <w:rPr>
          <w:sz w:val="24"/>
        </w:rPr>
        <w:t>presentó leucocitosis y neutrofilia y el 34% de los pacientes presentó un hemograma</w:t>
      </w:r>
      <w:r>
        <w:rPr>
          <w:spacing w:val="25"/>
          <w:sz w:val="24"/>
        </w:rPr>
        <w:t> </w:t>
      </w:r>
      <w:r>
        <w:rPr>
          <w:sz w:val="24"/>
        </w:rPr>
        <w:t>dentro</w:t>
      </w:r>
    </w:p>
    <w:p>
      <w:pPr>
        <w:pStyle w:val="ListParagraph"/>
        <w:numPr>
          <w:ilvl w:val="0"/>
          <w:numId w:val="13"/>
        </w:numPr>
        <w:tabs>
          <w:tab w:pos="692" w:val="left" w:leader="none"/>
          <w:tab w:pos="693" w:val="left" w:leader="none"/>
        </w:tabs>
        <w:spacing w:line="240" w:lineRule="auto" w:before="130" w:after="0"/>
        <w:ind w:left="692" w:right="0" w:hanging="581"/>
        <w:jc w:val="left"/>
        <w:rPr>
          <w:sz w:val="24"/>
        </w:rPr>
      </w:pPr>
      <w:r>
        <w:rPr>
          <w:sz w:val="24"/>
        </w:rPr>
        <w:t>de rangos normales.   En los 17 pacientes negativos el hemograma se encontró siempre  </w:t>
      </w:r>
      <w:r>
        <w:rPr>
          <w:spacing w:val="40"/>
          <w:sz w:val="24"/>
        </w:rPr>
        <w:t> </w:t>
      </w:r>
      <w:r>
        <w:rPr>
          <w:sz w:val="24"/>
        </w:rPr>
        <w:t>en</w:t>
      </w:r>
    </w:p>
    <w:p>
      <w:pPr>
        <w:pStyle w:val="ListParagraph"/>
        <w:numPr>
          <w:ilvl w:val="0"/>
          <w:numId w:val="13"/>
        </w:numPr>
        <w:tabs>
          <w:tab w:pos="692" w:val="left" w:leader="none"/>
          <w:tab w:pos="693" w:val="left" w:leader="none"/>
        </w:tabs>
        <w:spacing w:line="240" w:lineRule="auto" w:before="134" w:after="0"/>
        <w:ind w:left="692" w:right="0" w:hanging="581"/>
        <w:jc w:val="left"/>
        <w:rPr>
          <w:sz w:val="24"/>
        </w:rPr>
      </w:pPr>
      <w:r>
        <w:rPr>
          <w:sz w:val="24"/>
        </w:rPr>
        <w:t>rangos normales. Considerando al hemograma como herramienta diagnóstica de</w:t>
      </w:r>
      <w:r>
        <w:rPr>
          <w:spacing w:val="12"/>
          <w:sz w:val="24"/>
        </w:rPr>
        <w:t> </w:t>
      </w:r>
      <w:r>
        <w:rPr>
          <w:sz w:val="24"/>
        </w:rPr>
        <w:t>parvovirus</w:t>
      </w:r>
    </w:p>
    <w:p>
      <w:pPr>
        <w:pStyle w:val="ListParagraph"/>
        <w:numPr>
          <w:ilvl w:val="0"/>
          <w:numId w:val="13"/>
        </w:numPr>
        <w:tabs>
          <w:tab w:pos="692" w:val="left" w:leader="none"/>
          <w:tab w:pos="693" w:val="left" w:leader="none"/>
        </w:tabs>
        <w:spacing w:line="240" w:lineRule="auto" w:before="129" w:after="0"/>
        <w:ind w:left="692" w:right="0" w:hanging="581"/>
        <w:jc w:val="left"/>
        <w:rPr>
          <w:sz w:val="24"/>
        </w:rPr>
      </w:pPr>
      <w:r>
        <w:rPr>
          <w:sz w:val="24"/>
        </w:rPr>
        <w:t>canino,</w:t>
      </w:r>
      <w:r>
        <w:rPr>
          <w:spacing w:val="31"/>
          <w:sz w:val="24"/>
        </w:rPr>
        <w:t> </w:t>
      </w:r>
      <w:r>
        <w:rPr>
          <w:sz w:val="24"/>
        </w:rPr>
        <w:t>se</w:t>
      </w:r>
      <w:r>
        <w:rPr>
          <w:spacing w:val="23"/>
          <w:sz w:val="24"/>
        </w:rPr>
        <w:t> </w:t>
      </w:r>
      <w:r>
        <w:rPr>
          <w:sz w:val="24"/>
        </w:rPr>
        <w:t>obtuvo</w:t>
      </w:r>
      <w:r>
        <w:rPr>
          <w:spacing w:val="28"/>
          <w:sz w:val="24"/>
        </w:rPr>
        <w:t> </w:t>
      </w:r>
      <w:r>
        <w:rPr>
          <w:sz w:val="24"/>
        </w:rPr>
        <w:t>una</w:t>
      </w:r>
      <w:r>
        <w:rPr>
          <w:spacing w:val="28"/>
          <w:sz w:val="24"/>
        </w:rPr>
        <w:t> </w:t>
      </w:r>
      <w:r>
        <w:rPr>
          <w:sz w:val="24"/>
        </w:rPr>
        <w:t>sensibilidad</w:t>
      </w:r>
      <w:r>
        <w:rPr>
          <w:spacing w:val="28"/>
          <w:sz w:val="24"/>
        </w:rPr>
        <w:t> </w:t>
      </w:r>
      <w:r>
        <w:rPr>
          <w:sz w:val="24"/>
        </w:rPr>
        <w:t>del</w:t>
      </w:r>
      <w:r>
        <w:rPr>
          <w:spacing w:val="19"/>
          <w:sz w:val="24"/>
        </w:rPr>
        <w:t> </w:t>
      </w:r>
      <w:r>
        <w:rPr>
          <w:sz w:val="24"/>
        </w:rPr>
        <w:t>45%</w:t>
      </w:r>
      <w:r>
        <w:rPr>
          <w:spacing w:val="30"/>
          <w:sz w:val="24"/>
        </w:rPr>
        <w:t> </w:t>
      </w:r>
      <w:r>
        <w:rPr>
          <w:sz w:val="24"/>
        </w:rPr>
        <w:t>y</w:t>
      </w:r>
      <w:r>
        <w:rPr>
          <w:spacing w:val="24"/>
          <w:sz w:val="24"/>
        </w:rPr>
        <w:t> </w:t>
      </w:r>
      <w:r>
        <w:rPr>
          <w:sz w:val="24"/>
        </w:rPr>
        <w:t>una</w:t>
      </w:r>
      <w:r>
        <w:rPr>
          <w:spacing w:val="23"/>
          <w:sz w:val="24"/>
        </w:rPr>
        <w:t> </w:t>
      </w:r>
      <w:r>
        <w:rPr>
          <w:sz w:val="24"/>
        </w:rPr>
        <w:t>especificidad</w:t>
      </w:r>
      <w:r>
        <w:rPr>
          <w:spacing w:val="28"/>
          <w:sz w:val="24"/>
        </w:rPr>
        <w:t> </w:t>
      </w:r>
      <w:r>
        <w:rPr>
          <w:sz w:val="24"/>
        </w:rPr>
        <w:t>del</w:t>
      </w:r>
      <w:r>
        <w:rPr>
          <w:spacing w:val="19"/>
          <w:sz w:val="24"/>
        </w:rPr>
        <w:t> </w:t>
      </w:r>
      <w:r>
        <w:rPr>
          <w:sz w:val="24"/>
        </w:rPr>
        <w:t>100%.</w:t>
      </w:r>
      <w:r>
        <w:rPr>
          <w:spacing w:val="26"/>
          <w:sz w:val="24"/>
        </w:rPr>
        <w:t> </w:t>
      </w:r>
      <w:r>
        <w:rPr>
          <w:sz w:val="24"/>
        </w:rPr>
        <w:t>La</w:t>
      </w:r>
      <w:r>
        <w:rPr>
          <w:spacing w:val="23"/>
          <w:sz w:val="24"/>
        </w:rPr>
        <w:t> </w:t>
      </w:r>
      <w:r>
        <w:rPr>
          <w:sz w:val="24"/>
        </w:rPr>
        <w:t>técnica</w:t>
      </w:r>
      <w:r>
        <w:rPr>
          <w:spacing w:val="23"/>
          <w:sz w:val="24"/>
        </w:rPr>
        <w:t> </w:t>
      </w:r>
      <w:r>
        <w:rPr>
          <w:sz w:val="24"/>
        </w:rPr>
        <w:t>de</w:t>
      </w:r>
    </w:p>
    <w:p>
      <w:pPr>
        <w:pStyle w:val="ListParagraph"/>
        <w:numPr>
          <w:ilvl w:val="0"/>
          <w:numId w:val="13"/>
        </w:numPr>
        <w:tabs>
          <w:tab w:pos="692" w:val="left" w:leader="none"/>
          <w:tab w:pos="693" w:val="left" w:leader="none"/>
        </w:tabs>
        <w:spacing w:line="240" w:lineRule="auto" w:before="129" w:after="0"/>
        <w:ind w:left="692" w:right="0" w:hanging="581"/>
        <w:jc w:val="left"/>
        <w:rPr>
          <w:sz w:val="24"/>
        </w:rPr>
      </w:pPr>
      <w:r>
        <w:rPr>
          <w:sz w:val="24"/>
        </w:rPr>
        <w:t>inmunocromatografía  aplicada  a  los  60  pacientes  solo  detectó  al 51.6%  (31/60)  de</w:t>
      </w:r>
      <w:r>
        <w:rPr>
          <w:spacing w:val="-8"/>
          <w:sz w:val="24"/>
        </w:rPr>
        <w:t> </w:t>
      </w:r>
      <w:r>
        <w:rPr>
          <w:sz w:val="24"/>
        </w:rPr>
        <w:t>los</w:t>
      </w:r>
    </w:p>
    <w:p>
      <w:pPr>
        <w:pStyle w:val="ListParagraph"/>
        <w:numPr>
          <w:ilvl w:val="0"/>
          <w:numId w:val="13"/>
        </w:numPr>
        <w:tabs>
          <w:tab w:pos="692" w:val="left" w:leader="none"/>
          <w:tab w:pos="693" w:val="left" w:leader="none"/>
        </w:tabs>
        <w:spacing w:line="240" w:lineRule="auto" w:before="130" w:after="0"/>
        <w:ind w:left="692" w:right="0" w:hanging="581"/>
        <w:jc w:val="left"/>
        <w:rPr>
          <w:sz w:val="24"/>
        </w:rPr>
      </w:pPr>
      <w:r>
        <w:rPr>
          <w:sz w:val="24"/>
        </w:rPr>
        <w:t>pacientes positivos, por </w:t>
      </w:r>
      <w:r>
        <w:rPr>
          <w:spacing w:val="-5"/>
          <w:sz w:val="24"/>
        </w:rPr>
        <w:t>lo </w:t>
      </w:r>
      <w:r>
        <w:rPr>
          <w:sz w:val="24"/>
        </w:rPr>
        <w:t>tanto presentó una sensibilidad del 63.2%y una especificidad</w:t>
      </w:r>
      <w:r>
        <w:rPr>
          <w:spacing w:val="46"/>
          <w:sz w:val="24"/>
        </w:rPr>
        <w:t> </w:t>
      </w:r>
      <w:r>
        <w:rPr>
          <w:sz w:val="24"/>
        </w:rPr>
        <w:t>del</w:t>
      </w:r>
    </w:p>
    <w:p>
      <w:pPr>
        <w:tabs>
          <w:tab w:pos="692" w:val="left" w:leader="none"/>
        </w:tabs>
        <w:spacing w:before="129"/>
        <w:ind w:left="111" w:right="0" w:firstLine="0"/>
        <w:jc w:val="left"/>
        <w:rPr>
          <w:rFonts w:ascii="Times New Roman"/>
          <w:sz w:val="24"/>
        </w:rPr>
      </w:pPr>
      <w:r>
        <w:rPr>
          <w:rFonts w:ascii="Calibri"/>
          <w:sz w:val="22"/>
        </w:rPr>
        <w:t>16</w:t>
        <w:tab/>
      </w:r>
      <w:r>
        <w:rPr>
          <w:rFonts w:ascii="Times New Roman"/>
          <w:sz w:val="24"/>
        </w:rPr>
        <w:t>100%.</w:t>
      </w:r>
    </w:p>
    <w:p>
      <w:pPr>
        <w:pStyle w:val="BodyText"/>
        <w:spacing w:before="9"/>
        <w:rPr>
          <w:rFonts w:ascii="Times New Roman"/>
          <w:sz w:val="22"/>
        </w:rPr>
      </w:pPr>
    </w:p>
    <w:p>
      <w:pPr>
        <w:pStyle w:val="ListParagraph"/>
        <w:numPr>
          <w:ilvl w:val="0"/>
          <w:numId w:val="14"/>
        </w:numPr>
        <w:tabs>
          <w:tab w:pos="990" w:val="left" w:leader="none"/>
          <w:tab w:pos="991" w:val="left" w:leader="none"/>
        </w:tabs>
        <w:spacing w:line="240" w:lineRule="auto" w:before="69" w:after="0"/>
        <w:ind w:left="990" w:right="0" w:hanging="879"/>
        <w:jc w:val="left"/>
        <w:rPr>
          <w:sz w:val="24"/>
        </w:rPr>
      </w:pPr>
      <w:r>
        <w:rPr>
          <w:sz w:val="24"/>
        </w:rPr>
        <w:t>La</w:t>
      </w:r>
      <w:r>
        <w:rPr>
          <w:spacing w:val="18"/>
          <w:sz w:val="24"/>
        </w:rPr>
        <w:t> </w:t>
      </w:r>
      <w:r>
        <w:rPr>
          <w:sz w:val="24"/>
        </w:rPr>
        <w:t>técnica</w:t>
      </w:r>
      <w:r>
        <w:rPr>
          <w:spacing w:val="18"/>
          <w:sz w:val="24"/>
        </w:rPr>
        <w:t> </w:t>
      </w:r>
      <w:r>
        <w:rPr>
          <w:sz w:val="24"/>
        </w:rPr>
        <w:t>de</w:t>
      </w:r>
      <w:r>
        <w:rPr>
          <w:spacing w:val="18"/>
          <w:sz w:val="24"/>
        </w:rPr>
        <w:t> </w:t>
      </w:r>
      <w:r>
        <w:rPr>
          <w:sz w:val="24"/>
        </w:rPr>
        <w:t>PCR</w:t>
      </w:r>
      <w:r>
        <w:rPr>
          <w:spacing w:val="22"/>
          <w:sz w:val="24"/>
        </w:rPr>
        <w:t> </w:t>
      </w:r>
      <w:r>
        <w:rPr>
          <w:sz w:val="24"/>
        </w:rPr>
        <w:t>fue</w:t>
      </w:r>
      <w:r>
        <w:rPr>
          <w:spacing w:val="23"/>
          <w:sz w:val="24"/>
        </w:rPr>
        <w:t> </w:t>
      </w:r>
      <w:r>
        <w:rPr>
          <w:sz w:val="24"/>
        </w:rPr>
        <w:t>valorada</w:t>
      </w:r>
      <w:r>
        <w:rPr>
          <w:spacing w:val="18"/>
          <w:sz w:val="24"/>
        </w:rPr>
        <w:t> </w:t>
      </w:r>
      <w:r>
        <w:rPr>
          <w:sz w:val="24"/>
        </w:rPr>
        <w:t>en</w:t>
      </w:r>
      <w:r>
        <w:rPr>
          <w:spacing w:val="19"/>
          <w:sz w:val="24"/>
        </w:rPr>
        <w:t> </w:t>
      </w:r>
      <w:r>
        <w:rPr>
          <w:sz w:val="24"/>
        </w:rPr>
        <w:t>los</w:t>
      </w:r>
      <w:r>
        <w:rPr>
          <w:spacing w:val="17"/>
          <w:sz w:val="24"/>
        </w:rPr>
        <w:t> </w:t>
      </w:r>
      <w:r>
        <w:rPr>
          <w:sz w:val="24"/>
        </w:rPr>
        <w:t>117</w:t>
      </w:r>
      <w:r>
        <w:rPr>
          <w:spacing w:val="19"/>
          <w:sz w:val="24"/>
        </w:rPr>
        <w:t> </w:t>
      </w:r>
      <w:r>
        <w:rPr>
          <w:sz w:val="24"/>
        </w:rPr>
        <w:t>pacientes;</w:t>
      </w:r>
      <w:r>
        <w:rPr>
          <w:spacing w:val="15"/>
          <w:sz w:val="24"/>
        </w:rPr>
        <w:t> </w:t>
      </w:r>
      <w:r>
        <w:rPr>
          <w:sz w:val="24"/>
        </w:rPr>
        <w:t>de</w:t>
      </w:r>
      <w:r>
        <w:rPr>
          <w:spacing w:val="23"/>
          <w:sz w:val="24"/>
        </w:rPr>
        <w:t> </w:t>
      </w:r>
      <w:r>
        <w:rPr>
          <w:sz w:val="24"/>
        </w:rPr>
        <w:t>los</w:t>
      </w:r>
      <w:r>
        <w:rPr>
          <w:spacing w:val="21"/>
          <w:sz w:val="24"/>
        </w:rPr>
        <w:t> </w:t>
      </w:r>
      <w:r>
        <w:rPr>
          <w:sz w:val="24"/>
        </w:rPr>
        <w:t>100</w:t>
      </w:r>
      <w:r>
        <w:rPr>
          <w:spacing w:val="19"/>
          <w:sz w:val="24"/>
        </w:rPr>
        <w:t> </w:t>
      </w:r>
      <w:r>
        <w:rPr>
          <w:sz w:val="24"/>
        </w:rPr>
        <w:t>pacientes</w:t>
      </w:r>
      <w:r>
        <w:rPr>
          <w:spacing w:val="17"/>
          <w:sz w:val="24"/>
        </w:rPr>
        <w:t> </w:t>
      </w:r>
      <w:r>
        <w:rPr>
          <w:sz w:val="24"/>
        </w:rPr>
        <w:t>positivos</w:t>
      </w:r>
      <w:r>
        <w:rPr>
          <w:spacing w:val="17"/>
          <w:sz w:val="24"/>
        </w:rPr>
        <w:t> </w:t>
      </w:r>
      <w:r>
        <w:rPr>
          <w:sz w:val="24"/>
        </w:rPr>
        <w:t>a</w:t>
      </w:r>
    </w:p>
    <w:p>
      <w:pPr>
        <w:pStyle w:val="ListParagraph"/>
        <w:numPr>
          <w:ilvl w:val="0"/>
          <w:numId w:val="14"/>
        </w:numPr>
        <w:tabs>
          <w:tab w:pos="692" w:val="left" w:leader="none"/>
          <w:tab w:pos="693" w:val="left" w:leader="none"/>
        </w:tabs>
        <w:spacing w:line="240" w:lineRule="auto" w:before="135" w:after="0"/>
        <w:ind w:left="692" w:right="0" w:hanging="581"/>
        <w:jc w:val="left"/>
        <w:rPr>
          <w:sz w:val="24"/>
        </w:rPr>
      </w:pPr>
      <w:r>
        <w:rPr>
          <w:sz w:val="24"/>
        </w:rPr>
        <w:t>PVC-2 por PCR anidada, solamente 83 perros resultaron positivos por PCR simple </w:t>
      </w:r>
      <w:r>
        <w:rPr>
          <w:spacing w:val="17"/>
          <w:sz w:val="24"/>
        </w:rPr>
        <w:t> </w:t>
      </w:r>
      <w:r>
        <w:rPr>
          <w:sz w:val="24"/>
        </w:rPr>
        <w:t>(Figura</w:t>
      </w:r>
    </w:p>
    <w:p>
      <w:pPr>
        <w:pStyle w:val="ListParagraph"/>
        <w:numPr>
          <w:ilvl w:val="0"/>
          <w:numId w:val="14"/>
        </w:numPr>
        <w:tabs>
          <w:tab w:pos="692" w:val="left" w:leader="none"/>
          <w:tab w:pos="693" w:val="left" w:leader="none"/>
        </w:tabs>
        <w:spacing w:line="240" w:lineRule="auto" w:before="129" w:after="0"/>
        <w:ind w:left="692" w:right="0" w:hanging="581"/>
        <w:jc w:val="left"/>
        <w:rPr>
          <w:sz w:val="24"/>
        </w:rPr>
      </w:pPr>
      <w:r>
        <w:rPr>
          <w:sz w:val="24"/>
        </w:rPr>
        <w:t>2); en los pacientes negativos existió una concordancia </w:t>
      </w:r>
      <w:r>
        <w:rPr>
          <w:spacing w:val="2"/>
          <w:sz w:val="24"/>
        </w:rPr>
        <w:t>del </w:t>
      </w:r>
      <w:r>
        <w:rPr>
          <w:sz w:val="24"/>
        </w:rPr>
        <w:t>100% entre ambas técnicas.</w:t>
      </w:r>
      <w:r>
        <w:rPr>
          <w:spacing w:val="48"/>
          <w:sz w:val="24"/>
        </w:rPr>
        <w:t> </w:t>
      </w:r>
      <w:r>
        <w:rPr>
          <w:sz w:val="24"/>
        </w:rPr>
        <w:t>Por</w:t>
      </w:r>
    </w:p>
    <w:p>
      <w:pPr>
        <w:pStyle w:val="ListParagraph"/>
        <w:numPr>
          <w:ilvl w:val="0"/>
          <w:numId w:val="14"/>
        </w:numPr>
        <w:tabs>
          <w:tab w:pos="692" w:val="left" w:leader="none"/>
          <w:tab w:pos="693" w:val="left" w:leader="none"/>
        </w:tabs>
        <w:spacing w:line="240" w:lineRule="auto" w:before="129" w:after="0"/>
        <w:ind w:left="692" w:right="0" w:hanging="581"/>
        <w:jc w:val="left"/>
        <w:rPr>
          <w:sz w:val="24"/>
        </w:rPr>
      </w:pPr>
      <w:r>
        <w:rPr>
          <w:spacing w:val="-5"/>
          <w:sz w:val="24"/>
        </w:rPr>
        <w:t>lo  </w:t>
      </w:r>
      <w:r>
        <w:rPr>
          <w:sz w:val="24"/>
        </w:rPr>
        <w:t>tanto  </w:t>
      </w:r>
      <w:r>
        <w:rPr>
          <w:spacing w:val="-5"/>
          <w:sz w:val="24"/>
        </w:rPr>
        <w:t>la  </w:t>
      </w:r>
      <w:r>
        <w:rPr>
          <w:sz w:val="24"/>
        </w:rPr>
        <w:t>PCR  simple   mostró  una sensibilidad  del 83%  y una especificidad </w:t>
      </w:r>
      <w:r>
        <w:rPr>
          <w:spacing w:val="2"/>
          <w:sz w:val="24"/>
        </w:rPr>
        <w:t>del</w:t>
      </w:r>
      <w:r>
        <w:rPr>
          <w:spacing w:val="-26"/>
          <w:sz w:val="24"/>
        </w:rPr>
        <w:t> </w:t>
      </w:r>
      <w:r>
        <w:rPr>
          <w:sz w:val="24"/>
        </w:rPr>
        <w:t>100%.</w:t>
      </w:r>
    </w:p>
    <w:p>
      <w:pPr>
        <w:pStyle w:val="ListParagraph"/>
        <w:numPr>
          <w:ilvl w:val="0"/>
          <w:numId w:val="14"/>
        </w:numPr>
        <w:tabs>
          <w:tab w:pos="692" w:val="left" w:leader="none"/>
          <w:tab w:pos="693" w:val="left" w:leader="none"/>
        </w:tabs>
        <w:spacing w:line="240" w:lineRule="auto" w:before="129" w:after="0"/>
        <w:ind w:left="692" w:right="0" w:hanging="581"/>
        <w:jc w:val="left"/>
        <w:rPr>
          <w:sz w:val="24"/>
        </w:rPr>
      </w:pPr>
      <w:r>
        <w:rPr>
          <w:sz w:val="24"/>
        </w:rPr>
        <w:t>Finalmente, una  comparación entre  </w:t>
      </w:r>
      <w:r>
        <w:rPr>
          <w:spacing w:val="-5"/>
          <w:sz w:val="24"/>
        </w:rPr>
        <w:t>la  </w:t>
      </w:r>
      <w:r>
        <w:rPr>
          <w:sz w:val="24"/>
        </w:rPr>
        <w:t>sensibilidad  y </w:t>
      </w:r>
      <w:r>
        <w:rPr>
          <w:spacing w:val="-3"/>
          <w:sz w:val="24"/>
        </w:rPr>
        <w:t>la  </w:t>
      </w:r>
      <w:r>
        <w:rPr>
          <w:sz w:val="24"/>
        </w:rPr>
        <w:t>especificidad obtenida entre   </w:t>
      </w:r>
      <w:r>
        <w:rPr>
          <w:spacing w:val="51"/>
          <w:sz w:val="24"/>
        </w:rPr>
        <w:t> </w:t>
      </w:r>
      <w:r>
        <w:rPr>
          <w:spacing w:val="-3"/>
          <w:sz w:val="24"/>
        </w:rPr>
        <w:t>las</w:t>
      </w:r>
    </w:p>
    <w:p>
      <w:pPr>
        <w:pStyle w:val="ListParagraph"/>
        <w:numPr>
          <w:ilvl w:val="0"/>
          <w:numId w:val="14"/>
        </w:numPr>
        <w:tabs>
          <w:tab w:pos="692" w:val="left" w:leader="none"/>
          <w:tab w:pos="693" w:val="left" w:leader="none"/>
        </w:tabs>
        <w:spacing w:line="240" w:lineRule="auto" w:before="135" w:after="0"/>
        <w:ind w:left="692" w:right="0" w:hanging="581"/>
        <w:jc w:val="left"/>
        <w:rPr>
          <w:sz w:val="24"/>
        </w:rPr>
      </w:pPr>
      <w:r>
        <w:rPr>
          <w:sz w:val="24"/>
        </w:rPr>
        <w:t>herramientas diagnósticas utilizadas  en  nuestro  país  para  </w:t>
      </w:r>
      <w:r>
        <w:rPr>
          <w:spacing w:val="-3"/>
          <w:sz w:val="24"/>
        </w:rPr>
        <w:t>la  </w:t>
      </w:r>
      <w:r>
        <w:rPr>
          <w:sz w:val="24"/>
        </w:rPr>
        <w:t>identificación de  PVC-2 </w:t>
      </w:r>
      <w:r>
        <w:rPr>
          <w:spacing w:val="11"/>
          <w:sz w:val="24"/>
        </w:rPr>
        <w:t> </w:t>
      </w:r>
      <w:r>
        <w:rPr>
          <w:sz w:val="24"/>
        </w:rPr>
        <w:t>es</w:t>
      </w:r>
    </w:p>
    <w:p>
      <w:pPr>
        <w:pStyle w:val="ListParagraph"/>
        <w:numPr>
          <w:ilvl w:val="0"/>
          <w:numId w:val="14"/>
        </w:numPr>
        <w:tabs>
          <w:tab w:pos="692" w:val="left" w:leader="none"/>
          <w:tab w:pos="693" w:val="left" w:leader="none"/>
        </w:tabs>
        <w:spacing w:line="240" w:lineRule="auto" w:before="129" w:after="0"/>
        <w:ind w:left="692" w:right="0" w:hanging="581"/>
        <w:jc w:val="left"/>
        <w:rPr>
          <w:sz w:val="24"/>
        </w:rPr>
      </w:pPr>
      <w:r>
        <w:rPr>
          <w:sz w:val="24"/>
        </w:rPr>
        <w:t>presentada en </w:t>
      </w:r>
      <w:r>
        <w:rPr>
          <w:spacing w:val="-3"/>
          <w:sz w:val="24"/>
        </w:rPr>
        <w:t>la  </w:t>
      </w:r>
      <w:r>
        <w:rPr>
          <w:sz w:val="24"/>
        </w:rPr>
        <w:t>Tabla 1.   Los hallazgos clínicos  </w:t>
      </w:r>
      <w:r>
        <w:rPr>
          <w:spacing w:val="-3"/>
          <w:sz w:val="24"/>
        </w:rPr>
        <w:t>más  </w:t>
      </w:r>
      <w:r>
        <w:rPr>
          <w:sz w:val="24"/>
        </w:rPr>
        <w:t>relevantes encontrados en los   </w:t>
      </w:r>
      <w:r>
        <w:rPr>
          <w:spacing w:val="7"/>
          <w:sz w:val="24"/>
        </w:rPr>
        <w:t> </w:t>
      </w:r>
      <w:r>
        <w:rPr>
          <w:sz w:val="24"/>
        </w:rPr>
        <w:t>117</w:t>
      </w:r>
    </w:p>
    <w:p>
      <w:pPr>
        <w:pStyle w:val="ListParagraph"/>
        <w:numPr>
          <w:ilvl w:val="0"/>
          <w:numId w:val="14"/>
        </w:numPr>
        <w:tabs>
          <w:tab w:pos="692" w:val="left" w:leader="none"/>
          <w:tab w:pos="693" w:val="left" w:leader="none"/>
        </w:tabs>
        <w:spacing w:line="240" w:lineRule="auto" w:before="125" w:after="0"/>
        <w:ind w:left="692" w:right="0" w:hanging="581"/>
        <w:jc w:val="left"/>
        <w:rPr>
          <w:sz w:val="24"/>
        </w:rPr>
      </w:pPr>
      <w:r>
        <w:rPr>
          <w:sz w:val="24"/>
        </w:rPr>
        <w:t>pacientes evaluados se resumen  en </w:t>
      </w:r>
      <w:r>
        <w:rPr>
          <w:spacing w:val="-5"/>
          <w:sz w:val="24"/>
        </w:rPr>
        <w:t>la </w:t>
      </w:r>
      <w:r>
        <w:rPr>
          <w:sz w:val="24"/>
        </w:rPr>
        <w:t>Tabla</w:t>
      </w:r>
      <w:r>
        <w:rPr>
          <w:spacing w:val="-10"/>
          <w:sz w:val="24"/>
        </w:rPr>
        <w:t> </w:t>
      </w:r>
      <w:r>
        <w:rPr>
          <w:sz w:val="24"/>
        </w:rPr>
        <w:t>2.</w:t>
      </w:r>
    </w:p>
    <w:p>
      <w:pPr>
        <w:pStyle w:val="BodyText"/>
        <w:spacing w:before="2"/>
        <w:rPr>
          <w:rFonts w:ascii="Times New Roman"/>
          <w:sz w:val="23"/>
        </w:rPr>
      </w:pPr>
    </w:p>
    <w:p>
      <w:pPr>
        <w:pStyle w:val="Heading1"/>
        <w:numPr>
          <w:ilvl w:val="0"/>
          <w:numId w:val="14"/>
        </w:numPr>
        <w:tabs>
          <w:tab w:pos="692" w:val="left" w:leader="none"/>
          <w:tab w:pos="693" w:val="left" w:leader="none"/>
        </w:tabs>
        <w:spacing w:line="240" w:lineRule="auto" w:before="69" w:after="0"/>
        <w:ind w:left="692" w:right="0" w:hanging="581"/>
        <w:jc w:val="left"/>
        <w:rPr>
          <w:rFonts w:ascii="Times New Roman" w:hAnsi="Times New Roman"/>
        </w:rPr>
      </w:pPr>
      <w:r>
        <w:rPr>
          <w:rFonts w:ascii="Times New Roman" w:hAnsi="Times New Roman"/>
        </w:rPr>
        <w:t>DISCUSIÓN</w:t>
      </w:r>
    </w:p>
    <w:p>
      <w:pPr>
        <w:pStyle w:val="BodyText"/>
        <w:spacing w:before="9"/>
        <w:rPr>
          <w:rFonts w:ascii="Times New Roman"/>
          <w:b/>
          <w:sz w:val="22"/>
        </w:rPr>
      </w:pPr>
    </w:p>
    <w:p>
      <w:pPr>
        <w:pStyle w:val="ListParagraph"/>
        <w:numPr>
          <w:ilvl w:val="0"/>
          <w:numId w:val="14"/>
        </w:numPr>
        <w:tabs>
          <w:tab w:pos="692" w:val="left" w:leader="none"/>
          <w:tab w:pos="693" w:val="left" w:leader="none"/>
        </w:tabs>
        <w:spacing w:line="240" w:lineRule="auto" w:before="69" w:after="0"/>
        <w:ind w:left="692" w:right="0" w:hanging="581"/>
        <w:jc w:val="left"/>
        <w:rPr>
          <w:sz w:val="24"/>
        </w:rPr>
      </w:pPr>
      <w:r>
        <w:rPr>
          <w:sz w:val="24"/>
        </w:rPr>
        <w:t>El</w:t>
      </w:r>
      <w:r>
        <w:rPr>
          <w:spacing w:val="40"/>
          <w:sz w:val="24"/>
        </w:rPr>
        <w:t> </w:t>
      </w:r>
      <w:r>
        <w:rPr>
          <w:sz w:val="24"/>
        </w:rPr>
        <w:t>PVC-2</w:t>
      </w:r>
      <w:r>
        <w:rPr>
          <w:spacing w:val="44"/>
          <w:sz w:val="24"/>
        </w:rPr>
        <w:t> </w:t>
      </w:r>
      <w:r>
        <w:rPr>
          <w:sz w:val="24"/>
        </w:rPr>
        <w:t>es</w:t>
      </w:r>
      <w:r>
        <w:rPr>
          <w:spacing w:val="42"/>
          <w:sz w:val="24"/>
        </w:rPr>
        <w:t> </w:t>
      </w:r>
      <w:r>
        <w:rPr>
          <w:sz w:val="24"/>
        </w:rPr>
        <w:t>una</w:t>
      </w:r>
      <w:r>
        <w:rPr>
          <w:spacing w:val="43"/>
          <w:sz w:val="24"/>
        </w:rPr>
        <w:t> </w:t>
      </w:r>
      <w:r>
        <w:rPr>
          <w:sz w:val="24"/>
        </w:rPr>
        <w:t>de</w:t>
      </w:r>
      <w:r>
        <w:rPr>
          <w:spacing w:val="48"/>
          <w:sz w:val="24"/>
        </w:rPr>
        <w:t> </w:t>
      </w:r>
      <w:r>
        <w:rPr>
          <w:sz w:val="24"/>
        </w:rPr>
        <w:t>las</w:t>
      </w:r>
      <w:r>
        <w:rPr>
          <w:spacing w:val="42"/>
          <w:sz w:val="24"/>
        </w:rPr>
        <w:t> </w:t>
      </w:r>
      <w:r>
        <w:rPr>
          <w:sz w:val="24"/>
        </w:rPr>
        <w:t>principales</w:t>
      </w:r>
      <w:r>
        <w:rPr>
          <w:spacing w:val="42"/>
          <w:sz w:val="24"/>
        </w:rPr>
        <w:t> </w:t>
      </w:r>
      <w:r>
        <w:rPr>
          <w:sz w:val="24"/>
        </w:rPr>
        <w:t>enfermedades</w:t>
      </w:r>
      <w:r>
        <w:rPr>
          <w:spacing w:val="42"/>
          <w:sz w:val="24"/>
        </w:rPr>
        <w:t> </w:t>
      </w:r>
      <w:r>
        <w:rPr>
          <w:sz w:val="24"/>
        </w:rPr>
        <w:t>que</w:t>
      </w:r>
      <w:r>
        <w:rPr>
          <w:spacing w:val="43"/>
          <w:sz w:val="24"/>
        </w:rPr>
        <w:t> </w:t>
      </w:r>
      <w:r>
        <w:rPr>
          <w:sz w:val="24"/>
        </w:rPr>
        <w:t>afectan</w:t>
      </w:r>
      <w:r>
        <w:rPr>
          <w:spacing w:val="44"/>
          <w:sz w:val="24"/>
        </w:rPr>
        <w:t> </w:t>
      </w:r>
      <w:r>
        <w:rPr>
          <w:sz w:val="24"/>
        </w:rPr>
        <w:t>a</w:t>
      </w:r>
      <w:r>
        <w:rPr>
          <w:spacing w:val="48"/>
          <w:sz w:val="24"/>
        </w:rPr>
        <w:t> </w:t>
      </w:r>
      <w:r>
        <w:rPr>
          <w:sz w:val="24"/>
        </w:rPr>
        <w:t>los</w:t>
      </w:r>
      <w:r>
        <w:rPr>
          <w:spacing w:val="42"/>
          <w:sz w:val="24"/>
        </w:rPr>
        <w:t> </w:t>
      </w:r>
      <w:r>
        <w:rPr>
          <w:sz w:val="24"/>
        </w:rPr>
        <w:t>perros</w:t>
      </w:r>
      <w:r>
        <w:rPr>
          <w:spacing w:val="42"/>
          <w:sz w:val="24"/>
        </w:rPr>
        <w:t> </w:t>
      </w:r>
      <w:r>
        <w:rPr>
          <w:sz w:val="24"/>
        </w:rPr>
        <w:t>en</w:t>
      </w:r>
      <w:r>
        <w:rPr>
          <w:spacing w:val="39"/>
          <w:sz w:val="24"/>
        </w:rPr>
        <w:t> </w:t>
      </w:r>
      <w:r>
        <w:rPr>
          <w:sz w:val="24"/>
        </w:rPr>
        <w:t>México,</w:t>
      </w:r>
    </w:p>
    <w:p>
      <w:pPr>
        <w:pStyle w:val="ListParagraph"/>
        <w:numPr>
          <w:ilvl w:val="0"/>
          <w:numId w:val="14"/>
        </w:numPr>
        <w:tabs>
          <w:tab w:pos="692" w:val="left" w:leader="none"/>
          <w:tab w:pos="693" w:val="left" w:leader="none"/>
        </w:tabs>
        <w:spacing w:line="240" w:lineRule="auto" w:before="129" w:after="0"/>
        <w:ind w:left="692" w:right="0" w:hanging="581"/>
        <w:jc w:val="left"/>
        <w:rPr>
          <w:sz w:val="24"/>
        </w:rPr>
      </w:pPr>
      <w:r>
        <w:rPr>
          <w:sz w:val="24"/>
        </w:rPr>
        <w:t>Actualmente  existen  diferentes  variantes  antigénicas  (PVC-2a,  2b  y  2c)  pero  </w:t>
      </w:r>
      <w:r>
        <w:rPr>
          <w:spacing w:val="-3"/>
          <w:sz w:val="24"/>
        </w:rPr>
        <w:t>no  </w:t>
      </w:r>
      <w:r>
        <w:rPr>
          <w:sz w:val="24"/>
        </w:rPr>
        <w:t>se</w:t>
      </w:r>
      <w:r>
        <w:rPr>
          <w:spacing w:val="-22"/>
          <w:sz w:val="24"/>
        </w:rPr>
        <w:t> </w:t>
      </w:r>
      <w:r>
        <w:rPr>
          <w:spacing w:val="-3"/>
          <w:sz w:val="24"/>
        </w:rPr>
        <w:t>ha</w:t>
      </w:r>
    </w:p>
    <w:p>
      <w:pPr>
        <w:spacing w:after="0" w:line="240" w:lineRule="auto"/>
        <w:jc w:val="left"/>
        <w:rPr>
          <w:sz w:val="24"/>
        </w:rPr>
        <w:sectPr>
          <w:pgSz w:w="12240" w:h="15840"/>
          <w:pgMar w:header="1154" w:footer="1713" w:top="1520" w:bottom="1900" w:left="1180" w:right="1380"/>
        </w:sectPr>
      </w:pPr>
    </w:p>
    <w:p>
      <w:pPr>
        <w:pStyle w:val="BodyText"/>
        <w:spacing w:before="10"/>
        <w:rPr>
          <w:rFonts w:ascii="Times New Roman"/>
          <w:sz w:val="17"/>
        </w:rPr>
      </w:pPr>
    </w:p>
    <w:p>
      <w:pPr>
        <w:pStyle w:val="ListParagraph"/>
        <w:numPr>
          <w:ilvl w:val="0"/>
          <w:numId w:val="15"/>
        </w:numPr>
        <w:tabs>
          <w:tab w:pos="692" w:val="left" w:leader="none"/>
          <w:tab w:pos="693" w:val="left" w:leader="none"/>
        </w:tabs>
        <w:spacing w:line="240" w:lineRule="auto" w:before="69" w:after="0"/>
        <w:ind w:left="692" w:right="0" w:hanging="470"/>
        <w:jc w:val="left"/>
        <w:rPr>
          <w:sz w:val="24"/>
        </w:rPr>
      </w:pPr>
      <w:r>
        <w:rPr>
          <w:sz w:val="24"/>
        </w:rPr>
        <w:t>documentado   si  estas  variantes  han  producido   cambios  a   nivel  patológico   y  en  </w:t>
      </w:r>
      <w:r>
        <w:rPr>
          <w:spacing w:val="40"/>
          <w:sz w:val="24"/>
        </w:rPr>
        <w:t> </w:t>
      </w:r>
      <w:r>
        <w:rPr>
          <w:spacing w:val="-3"/>
          <w:sz w:val="24"/>
        </w:rPr>
        <w:t>la</w:t>
      </w:r>
    </w:p>
    <w:p>
      <w:pPr>
        <w:pStyle w:val="ListParagraph"/>
        <w:numPr>
          <w:ilvl w:val="0"/>
          <w:numId w:val="15"/>
        </w:numPr>
        <w:tabs>
          <w:tab w:pos="692" w:val="left" w:leader="none"/>
          <w:tab w:pos="693" w:val="left" w:leader="none"/>
        </w:tabs>
        <w:spacing w:line="240" w:lineRule="auto" w:before="129" w:after="0"/>
        <w:ind w:left="692" w:right="0" w:hanging="470"/>
        <w:jc w:val="left"/>
        <w:rPr>
          <w:sz w:val="24"/>
        </w:rPr>
      </w:pPr>
      <w:r>
        <w:rPr>
          <w:sz w:val="24"/>
        </w:rPr>
        <w:t>presentación de  los cuadros clínicos. Sin embargo, actualmente  </w:t>
      </w:r>
      <w:r>
        <w:rPr>
          <w:spacing w:val="-3"/>
          <w:sz w:val="24"/>
        </w:rPr>
        <w:t>la  </w:t>
      </w:r>
      <w:r>
        <w:rPr>
          <w:sz w:val="24"/>
        </w:rPr>
        <w:t>evolución del    </w:t>
      </w:r>
      <w:r>
        <w:rPr>
          <w:spacing w:val="14"/>
          <w:sz w:val="24"/>
        </w:rPr>
        <w:t> </w:t>
      </w:r>
      <w:r>
        <w:rPr>
          <w:sz w:val="24"/>
        </w:rPr>
        <w:t>cuadro</w:t>
      </w:r>
    </w:p>
    <w:p>
      <w:pPr>
        <w:pStyle w:val="ListParagraph"/>
        <w:numPr>
          <w:ilvl w:val="0"/>
          <w:numId w:val="15"/>
        </w:numPr>
        <w:tabs>
          <w:tab w:pos="692" w:val="left" w:leader="none"/>
          <w:tab w:pos="693" w:val="left" w:leader="none"/>
        </w:tabs>
        <w:spacing w:line="240" w:lineRule="auto" w:before="130" w:after="0"/>
        <w:ind w:left="692" w:right="0" w:hanging="470"/>
        <w:jc w:val="left"/>
        <w:rPr>
          <w:sz w:val="24"/>
        </w:rPr>
      </w:pPr>
      <w:r>
        <w:rPr>
          <w:sz w:val="24"/>
        </w:rPr>
        <w:t>clínico </w:t>
      </w:r>
      <w:r>
        <w:rPr>
          <w:spacing w:val="-3"/>
          <w:sz w:val="24"/>
        </w:rPr>
        <w:t>ha </w:t>
      </w:r>
      <w:r>
        <w:rPr>
          <w:sz w:val="24"/>
        </w:rPr>
        <w:t>variado. Por </w:t>
      </w:r>
      <w:r>
        <w:rPr>
          <w:spacing w:val="-5"/>
          <w:sz w:val="24"/>
        </w:rPr>
        <w:t>lo </w:t>
      </w:r>
      <w:r>
        <w:rPr>
          <w:sz w:val="24"/>
        </w:rPr>
        <w:t>tanto, los clínicos tienen incertidumbre en el diagnóstico  </w:t>
      </w:r>
      <w:r>
        <w:rPr>
          <w:spacing w:val="11"/>
          <w:sz w:val="24"/>
        </w:rPr>
        <w:t> </w:t>
      </w:r>
      <w:r>
        <w:rPr>
          <w:sz w:val="24"/>
        </w:rPr>
        <w:t>durante</w:t>
      </w:r>
    </w:p>
    <w:p>
      <w:pPr>
        <w:pStyle w:val="ListParagraph"/>
        <w:numPr>
          <w:ilvl w:val="0"/>
          <w:numId w:val="15"/>
        </w:numPr>
        <w:tabs>
          <w:tab w:pos="692" w:val="left" w:leader="none"/>
          <w:tab w:pos="693" w:val="left" w:leader="none"/>
        </w:tabs>
        <w:spacing w:line="240" w:lineRule="auto" w:before="134" w:after="0"/>
        <w:ind w:left="692" w:right="0" w:hanging="470"/>
        <w:jc w:val="left"/>
        <w:rPr>
          <w:sz w:val="24"/>
        </w:rPr>
      </w:pPr>
      <w:r>
        <w:rPr>
          <w:spacing w:val="-3"/>
          <w:sz w:val="24"/>
        </w:rPr>
        <w:t>la   </w:t>
      </w:r>
      <w:r>
        <w:rPr>
          <w:sz w:val="24"/>
        </w:rPr>
        <w:t>examinación  clínica  del  perro.  En  este  trabajo   se   identificaron  cuadros    </w:t>
      </w:r>
      <w:r>
        <w:rPr>
          <w:spacing w:val="17"/>
          <w:sz w:val="24"/>
        </w:rPr>
        <w:t> </w:t>
      </w:r>
      <w:r>
        <w:rPr>
          <w:sz w:val="24"/>
        </w:rPr>
        <w:t>clínicos</w:t>
      </w:r>
    </w:p>
    <w:p>
      <w:pPr>
        <w:pStyle w:val="ListParagraph"/>
        <w:numPr>
          <w:ilvl w:val="0"/>
          <w:numId w:val="15"/>
        </w:numPr>
        <w:tabs>
          <w:tab w:pos="692" w:val="left" w:leader="none"/>
          <w:tab w:pos="693" w:val="left" w:leader="none"/>
        </w:tabs>
        <w:spacing w:line="240" w:lineRule="auto" w:before="129" w:after="0"/>
        <w:ind w:left="692" w:right="0" w:hanging="470"/>
        <w:jc w:val="left"/>
        <w:rPr>
          <w:sz w:val="24"/>
        </w:rPr>
      </w:pPr>
      <w:r>
        <w:rPr>
          <w:sz w:val="24"/>
        </w:rPr>
        <w:t>contrastantes,</w:t>
      </w:r>
      <w:r>
        <w:rPr>
          <w:spacing w:val="41"/>
          <w:sz w:val="24"/>
        </w:rPr>
        <w:t> </w:t>
      </w:r>
      <w:r>
        <w:rPr>
          <w:sz w:val="24"/>
        </w:rPr>
        <w:t>algunos</w:t>
      </w:r>
      <w:r>
        <w:rPr>
          <w:spacing w:val="37"/>
          <w:sz w:val="24"/>
        </w:rPr>
        <w:t> </w:t>
      </w:r>
      <w:r>
        <w:rPr>
          <w:sz w:val="24"/>
        </w:rPr>
        <w:t>perros</w:t>
      </w:r>
      <w:r>
        <w:rPr>
          <w:spacing w:val="37"/>
          <w:sz w:val="24"/>
        </w:rPr>
        <w:t> </w:t>
      </w:r>
      <w:r>
        <w:rPr>
          <w:sz w:val="24"/>
        </w:rPr>
        <w:t>positivos</w:t>
      </w:r>
      <w:r>
        <w:rPr>
          <w:spacing w:val="37"/>
          <w:sz w:val="24"/>
        </w:rPr>
        <w:t> </w:t>
      </w:r>
      <w:r>
        <w:rPr>
          <w:sz w:val="24"/>
        </w:rPr>
        <w:t>a</w:t>
      </w:r>
      <w:r>
        <w:rPr>
          <w:spacing w:val="38"/>
          <w:sz w:val="24"/>
        </w:rPr>
        <w:t> </w:t>
      </w:r>
      <w:r>
        <w:rPr>
          <w:spacing w:val="2"/>
          <w:sz w:val="24"/>
        </w:rPr>
        <w:t>PVC-2</w:t>
      </w:r>
      <w:r>
        <w:rPr>
          <w:spacing w:val="39"/>
          <w:sz w:val="24"/>
        </w:rPr>
        <w:t> </w:t>
      </w:r>
      <w:r>
        <w:rPr>
          <w:sz w:val="24"/>
        </w:rPr>
        <w:t>por</w:t>
      </w:r>
      <w:r>
        <w:rPr>
          <w:spacing w:val="41"/>
          <w:sz w:val="24"/>
        </w:rPr>
        <w:t> </w:t>
      </w:r>
      <w:r>
        <w:rPr>
          <w:sz w:val="24"/>
        </w:rPr>
        <w:t>PCR</w:t>
      </w:r>
      <w:r>
        <w:rPr>
          <w:spacing w:val="37"/>
          <w:sz w:val="24"/>
        </w:rPr>
        <w:t> </w:t>
      </w:r>
      <w:r>
        <w:rPr>
          <w:sz w:val="24"/>
        </w:rPr>
        <w:t>anidada</w:t>
      </w:r>
      <w:r>
        <w:rPr>
          <w:spacing w:val="43"/>
          <w:sz w:val="24"/>
        </w:rPr>
        <w:t> </w:t>
      </w:r>
      <w:r>
        <w:rPr>
          <w:spacing w:val="-3"/>
          <w:sz w:val="24"/>
        </w:rPr>
        <w:t>no</w:t>
      </w:r>
      <w:r>
        <w:rPr>
          <w:spacing w:val="44"/>
          <w:sz w:val="24"/>
        </w:rPr>
        <w:t> </w:t>
      </w:r>
      <w:r>
        <w:rPr>
          <w:sz w:val="24"/>
        </w:rPr>
        <w:t>presentaron</w:t>
      </w:r>
      <w:r>
        <w:rPr>
          <w:spacing w:val="34"/>
          <w:sz w:val="24"/>
        </w:rPr>
        <w:t> </w:t>
      </w:r>
      <w:r>
        <w:rPr>
          <w:sz w:val="24"/>
        </w:rPr>
        <w:t>algún</w:t>
      </w:r>
    </w:p>
    <w:p>
      <w:pPr>
        <w:pStyle w:val="ListParagraph"/>
        <w:numPr>
          <w:ilvl w:val="0"/>
          <w:numId w:val="15"/>
        </w:numPr>
        <w:tabs>
          <w:tab w:pos="692" w:val="left" w:leader="none"/>
          <w:tab w:pos="693" w:val="left" w:leader="none"/>
        </w:tabs>
        <w:spacing w:line="240" w:lineRule="auto" w:before="129" w:after="0"/>
        <w:ind w:left="692" w:right="0" w:hanging="470"/>
        <w:jc w:val="left"/>
        <w:rPr>
          <w:sz w:val="24"/>
        </w:rPr>
      </w:pPr>
      <w:r>
        <w:rPr>
          <w:sz w:val="24"/>
        </w:rPr>
        <w:t>signo  de  </w:t>
      </w:r>
      <w:r>
        <w:rPr>
          <w:spacing w:val="-3"/>
          <w:sz w:val="24"/>
        </w:rPr>
        <w:t>la  </w:t>
      </w:r>
      <w:r>
        <w:rPr>
          <w:sz w:val="24"/>
        </w:rPr>
        <w:t>enfermedad,  otros  presentaron  diarrea  </w:t>
      </w:r>
      <w:r>
        <w:rPr>
          <w:spacing w:val="-3"/>
          <w:sz w:val="24"/>
        </w:rPr>
        <w:t>no  </w:t>
      </w:r>
      <w:r>
        <w:rPr>
          <w:sz w:val="24"/>
        </w:rPr>
        <w:t>hemorrágica,  y  en  su   </w:t>
      </w:r>
      <w:r>
        <w:rPr>
          <w:spacing w:val="36"/>
          <w:sz w:val="24"/>
        </w:rPr>
        <w:t> </w:t>
      </w:r>
      <w:r>
        <w:rPr>
          <w:sz w:val="24"/>
        </w:rPr>
        <w:t>mayoría</w:t>
      </w:r>
    </w:p>
    <w:p>
      <w:pPr>
        <w:pStyle w:val="ListParagraph"/>
        <w:numPr>
          <w:ilvl w:val="0"/>
          <w:numId w:val="15"/>
        </w:numPr>
        <w:tabs>
          <w:tab w:pos="692" w:val="left" w:leader="none"/>
          <w:tab w:pos="693" w:val="left" w:leader="none"/>
        </w:tabs>
        <w:spacing w:line="240" w:lineRule="auto" w:before="130" w:after="0"/>
        <w:ind w:left="692" w:right="0" w:hanging="470"/>
        <w:jc w:val="left"/>
        <w:rPr>
          <w:sz w:val="24"/>
        </w:rPr>
      </w:pPr>
      <w:r>
        <w:rPr>
          <w:sz w:val="24"/>
        </w:rPr>
        <w:t>presentaron el cuadro típico descrito en </w:t>
      </w:r>
      <w:r>
        <w:rPr>
          <w:spacing w:val="-5"/>
          <w:sz w:val="24"/>
        </w:rPr>
        <w:t>la </w:t>
      </w:r>
      <w:r>
        <w:rPr>
          <w:sz w:val="24"/>
        </w:rPr>
        <w:t>literatura como es: diarrea hemorrágica, vómito</w:t>
      </w:r>
      <w:r>
        <w:rPr>
          <w:spacing w:val="6"/>
          <w:sz w:val="24"/>
        </w:rPr>
        <w:t> </w:t>
      </w:r>
      <w:r>
        <w:rPr>
          <w:sz w:val="24"/>
        </w:rPr>
        <w:t>y</w:t>
      </w:r>
    </w:p>
    <w:p>
      <w:pPr>
        <w:pStyle w:val="ListParagraph"/>
        <w:numPr>
          <w:ilvl w:val="0"/>
          <w:numId w:val="15"/>
        </w:numPr>
        <w:tabs>
          <w:tab w:pos="692" w:val="left" w:leader="none"/>
          <w:tab w:pos="693" w:val="left" w:leader="none"/>
        </w:tabs>
        <w:spacing w:line="240" w:lineRule="auto" w:before="134" w:after="0"/>
        <w:ind w:left="692" w:right="0" w:hanging="470"/>
        <w:jc w:val="left"/>
        <w:rPr>
          <w:sz w:val="24"/>
        </w:rPr>
      </w:pPr>
      <w:r>
        <w:rPr>
          <w:sz w:val="24"/>
        </w:rPr>
        <w:t>leucopenia  (Meunier  y </w:t>
      </w:r>
      <w:r>
        <w:rPr>
          <w:spacing w:val="2"/>
          <w:sz w:val="24"/>
        </w:rPr>
        <w:t>col </w:t>
      </w:r>
      <w:r>
        <w:rPr>
          <w:sz w:val="24"/>
        </w:rPr>
        <w:t>1985,  Decaro  y </w:t>
      </w:r>
      <w:r>
        <w:rPr>
          <w:spacing w:val="2"/>
          <w:sz w:val="24"/>
        </w:rPr>
        <w:t>col </w:t>
      </w:r>
      <w:r>
        <w:rPr>
          <w:sz w:val="24"/>
        </w:rPr>
        <w:t>2007,Gallo  y </w:t>
      </w:r>
      <w:r>
        <w:rPr>
          <w:spacing w:val="2"/>
          <w:sz w:val="24"/>
        </w:rPr>
        <w:t>col </w:t>
      </w:r>
      <w:r>
        <w:rPr>
          <w:sz w:val="24"/>
        </w:rPr>
        <w:t>2009;  Schoeman  y </w:t>
      </w:r>
      <w:r>
        <w:rPr>
          <w:spacing w:val="32"/>
          <w:sz w:val="24"/>
        </w:rPr>
        <w:t> </w:t>
      </w:r>
      <w:r>
        <w:rPr>
          <w:spacing w:val="2"/>
          <w:sz w:val="24"/>
        </w:rPr>
        <w:t>col</w:t>
      </w:r>
    </w:p>
    <w:p>
      <w:pPr>
        <w:pStyle w:val="ListParagraph"/>
        <w:numPr>
          <w:ilvl w:val="0"/>
          <w:numId w:val="15"/>
        </w:numPr>
        <w:tabs>
          <w:tab w:pos="692" w:val="left" w:leader="none"/>
          <w:tab w:pos="693" w:val="left" w:leader="none"/>
        </w:tabs>
        <w:spacing w:line="240" w:lineRule="auto" w:before="129" w:after="0"/>
        <w:ind w:left="692" w:right="0" w:hanging="470"/>
        <w:jc w:val="left"/>
        <w:rPr>
          <w:sz w:val="24"/>
        </w:rPr>
      </w:pPr>
      <w:r>
        <w:rPr>
          <w:sz w:val="24"/>
        </w:rPr>
        <w:t>2013).Esta variación del cuadro clínico puede deberse a diferentes causas; aunque  </w:t>
      </w:r>
      <w:r>
        <w:rPr>
          <w:spacing w:val="4"/>
          <w:sz w:val="24"/>
        </w:rPr>
        <w:t> </w:t>
      </w:r>
      <w:r>
        <w:rPr>
          <w:sz w:val="24"/>
        </w:rPr>
        <w:t>algunos</w:t>
      </w:r>
    </w:p>
    <w:p>
      <w:pPr>
        <w:pStyle w:val="ListParagraph"/>
        <w:numPr>
          <w:ilvl w:val="0"/>
          <w:numId w:val="15"/>
        </w:numPr>
        <w:tabs>
          <w:tab w:pos="692" w:val="left" w:leader="none"/>
          <w:tab w:pos="693" w:val="left" w:leader="none"/>
        </w:tabs>
        <w:spacing w:line="240" w:lineRule="auto" w:before="129" w:after="0"/>
        <w:ind w:left="692" w:right="0" w:hanging="581"/>
        <w:jc w:val="left"/>
        <w:rPr>
          <w:sz w:val="24"/>
        </w:rPr>
      </w:pPr>
      <w:r>
        <w:rPr>
          <w:sz w:val="24"/>
        </w:rPr>
        <w:t>trabajos </w:t>
      </w:r>
      <w:r>
        <w:rPr>
          <w:spacing w:val="-5"/>
          <w:sz w:val="24"/>
        </w:rPr>
        <w:t>lo </w:t>
      </w:r>
      <w:r>
        <w:rPr>
          <w:sz w:val="24"/>
        </w:rPr>
        <w:t>han asociado a las diferentes variantes antigénicas del virus </w:t>
      </w:r>
      <w:r>
        <w:rPr>
          <w:spacing w:val="2"/>
          <w:sz w:val="24"/>
        </w:rPr>
        <w:t>(2a, </w:t>
      </w:r>
      <w:r>
        <w:rPr>
          <w:sz w:val="24"/>
        </w:rPr>
        <w:t>2b, 2c), otros</w:t>
      </w:r>
      <w:r>
        <w:rPr>
          <w:spacing w:val="43"/>
          <w:sz w:val="24"/>
        </w:rPr>
        <w:t> </w:t>
      </w:r>
      <w:r>
        <w:rPr>
          <w:spacing w:val="-5"/>
          <w:sz w:val="24"/>
        </w:rPr>
        <w:t>lo</w:t>
      </w:r>
    </w:p>
    <w:p>
      <w:pPr>
        <w:pStyle w:val="ListParagraph"/>
        <w:numPr>
          <w:ilvl w:val="0"/>
          <w:numId w:val="15"/>
        </w:numPr>
        <w:tabs>
          <w:tab w:pos="692" w:val="left" w:leader="none"/>
          <w:tab w:pos="693" w:val="left" w:leader="none"/>
        </w:tabs>
        <w:spacing w:line="240" w:lineRule="auto" w:before="130" w:after="0"/>
        <w:ind w:left="692" w:right="0" w:hanging="581"/>
        <w:jc w:val="left"/>
        <w:rPr>
          <w:sz w:val="24"/>
        </w:rPr>
      </w:pPr>
      <w:r>
        <w:rPr>
          <w:sz w:val="24"/>
        </w:rPr>
        <w:t>hacen a </w:t>
      </w:r>
      <w:r>
        <w:rPr>
          <w:spacing w:val="-5"/>
          <w:sz w:val="24"/>
        </w:rPr>
        <w:t>la </w:t>
      </w:r>
      <w:r>
        <w:rPr>
          <w:sz w:val="24"/>
        </w:rPr>
        <w:t>presencia de anticuerpos maternos o </w:t>
      </w:r>
      <w:r>
        <w:rPr>
          <w:spacing w:val="-3"/>
          <w:sz w:val="24"/>
        </w:rPr>
        <w:t>bien, </w:t>
      </w:r>
      <w:r>
        <w:rPr>
          <w:sz w:val="24"/>
        </w:rPr>
        <w:t>a </w:t>
      </w:r>
      <w:r>
        <w:rPr>
          <w:spacing w:val="-5"/>
          <w:sz w:val="24"/>
        </w:rPr>
        <w:t>la </w:t>
      </w:r>
      <w:r>
        <w:rPr>
          <w:sz w:val="24"/>
        </w:rPr>
        <w:t>vacunación incompleta  </w:t>
      </w:r>
      <w:r>
        <w:rPr>
          <w:spacing w:val="35"/>
          <w:sz w:val="24"/>
        </w:rPr>
        <w:t> </w:t>
      </w:r>
      <w:r>
        <w:rPr>
          <w:sz w:val="24"/>
        </w:rPr>
        <w:t>del perro.</w:t>
      </w:r>
    </w:p>
    <w:p>
      <w:pPr>
        <w:pStyle w:val="ListParagraph"/>
        <w:numPr>
          <w:ilvl w:val="0"/>
          <w:numId w:val="15"/>
        </w:numPr>
        <w:tabs>
          <w:tab w:pos="692" w:val="left" w:leader="none"/>
          <w:tab w:pos="693" w:val="left" w:leader="none"/>
        </w:tabs>
        <w:spacing w:line="240" w:lineRule="auto" w:before="134" w:after="0"/>
        <w:ind w:left="692" w:right="0" w:hanging="581"/>
        <w:jc w:val="left"/>
        <w:rPr>
          <w:sz w:val="24"/>
        </w:rPr>
      </w:pPr>
      <w:r>
        <w:rPr>
          <w:sz w:val="24"/>
        </w:rPr>
        <w:t>Nuestros datos  indican que de acuerdo  a  los  signos clínicos que principalmente se  </w:t>
      </w:r>
      <w:r>
        <w:rPr>
          <w:spacing w:val="35"/>
          <w:sz w:val="24"/>
        </w:rPr>
        <w:t> </w:t>
      </w:r>
      <w:r>
        <w:rPr>
          <w:sz w:val="24"/>
        </w:rPr>
        <w:t>están</w:t>
      </w:r>
    </w:p>
    <w:p>
      <w:pPr>
        <w:pStyle w:val="ListParagraph"/>
        <w:numPr>
          <w:ilvl w:val="0"/>
          <w:numId w:val="15"/>
        </w:numPr>
        <w:tabs>
          <w:tab w:pos="692" w:val="left" w:leader="none"/>
          <w:tab w:pos="693" w:val="left" w:leader="none"/>
        </w:tabs>
        <w:spacing w:line="240" w:lineRule="auto" w:before="129" w:after="0"/>
        <w:ind w:left="692" w:right="0" w:hanging="581"/>
        <w:jc w:val="left"/>
        <w:rPr>
          <w:sz w:val="24"/>
        </w:rPr>
      </w:pPr>
      <w:r>
        <w:rPr>
          <w:sz w:val="24"/>
        </w:rPr>
        <w:t>utilizando  para  </w:t>
      </w:r>
      <w:r>
        <w:rPr>
          <w:spacing w:val="-3"/>
          <w:sz w:val="24"/>
        </w:rPr>
        <w:t>emitir   </w:t>
      </w:r>
      <w:r>
        <w:rPr>
          <w:sz w:val="24"/>
        </w:rPr>
        <w:t>un  diagnóstico  de  PVC-2  aproximadamente  uno  de  cada    </w:t>
      </w:r>
      <w:r>
        <w:rPr>
          <w:spacing w:val="14"/>
          <w:sz w:val="24"/>
        </w:rPr>
        <w:t> </w:t>
      </w:r>
      <w:r>
        <w:rPr>
          <w:sz w:val="24"/>
        </w:rPr>
        <w:t>dos</w:t>
      </w:r>
    </w:p>
    <w:p>
      <w:pPr>
        <w:pStyle w:val="ListParagraph"/>
        <w:numPr>
          <w:ilvl w:val="0"/>
          <w:numId w:val="15"/>
        </w:numPr>
        <w:tabs>
          <w:tab w:pos="692" w:val="left" w:leader="none"/>
          <w:tab w:pos="693" w:val="left" w:leader="none"/>
        </w:tabs>
        <w:spacing w:line="240" w:lineRule="auto" w:before="129" w:after="0"/>
        <w:ind w:left="692" w:right="0" w:hanging="581"/>
        <w:jc w:val="left"/>
        <w:rPr>
          <w:sz w:val="24"/>
        </w:rPr>
      </w:pPr>
      <w:r>
        <w:rPr>
          <w:sz w:val="24"/>
        </w:rPr>
        <w:t>pacientes positivos </w:t>
      </w:r>
      <w:r>
        <w:rPr>
          <w:spacing w:val="-3"/>
          <w:sz w:val="24"/>
        </w:rPr>
        <w:t>fue </w:t>
      </w:r>
      <w:r>
        <w:rPr>
          <w:sz w:val="24"/>
        </w:rPr>
        <w:t>erróneamente diagnosticados, generando con esto que el control  </w:t>
      </w:r>
      <w:r>
        <w:rPr>
          <w:spacing w:val="10"/>
          <w:sz w:val="24"/>
        </w:rPr>
        <w:t> </w:t>
      </w:r>
      <w:r>
        <w:rPr>
          <w:sz w:val="24"/>
        </w:rPr>
        <w:t>de</w:t>
      </w:r>
    </w:p>
    <w:p>
      <w:pPr>
        <w:pStyle w:val="ListParagraph"/>
        <w:numPr>
          <w:ilvl w:val="0"/>
          <w:numId w:val="15"/>
        </w:numPr>
        <w:tabs>
          <w:tab w:pos="692" w:val="left" w:leader="none"/>
          <w:tab w:pos="693" w:val="left" w:leader="none"/>
        </w:tabs>
        <w:spacing w:line="240" w:lineRule="auto" w:before="130" w:after="0"/>
        <w:ind w:left="692" w:right="0" w:hanging="581"/>
        <w:jc w:val="left"/>
        <w:rPr>
          <w:sz w:val="24"/>
        </w:rPr>
      </w:pPr>
      <w:r>
        <w:rPr>
          <w:spacing w:val="-3"/>
          <w:sz w:val="24"/>
        </w:rPr>
        <w:t>la </w:t>
      </w:r>
      <w:r>
        <w:rPr>
          <w:sz w:val="24"/>
        </w:rPr>
        <w:t>enfermedad sea más complicado debido a que   </w:t>
      </w:r>
      <w:r>
        <w:rPr>
          <w:spacing w:val="-3"/>
          <w:sz w:val="24"/>
        </w:rPr>
        <w:t>no </w:t>
      </w:r>
      <w:r>
        <w:rPr>
          <w:sz w:val="24"/>
        </w:rPr>
        <w:t>se toman las   </w:t>
      </w:r>
      <w:r>
        <w:rPr>
          <w:spacing w:val="24"/>
          <w:sz w:val="24"/>
        </w:rPr>
        <w:t> </w:t>
      </w:r>
      <w:r>
        <w:rPr>
          <w:sz w:val="24"/>
        </w:rPr>
        <w:t>medidas sanitarias para</w:t>
      </w:r>
    </w:p>
    <w:p>
      <w:pPr>
        <w:pStyle w:val="ListParagraph"/>
        <w:numPr>
          <w:ilvl w:val="0"/>
          <w:numId w:val="15"/>
        </w:numPr>
        <w:tabs>
          <w:tab w:pos="692" w:val="left" w:leader="none"/>
          <w:tab w:pos="693" w:val="left" w:leader="none"/>
        </w:tabs>
        <w:spacing w:line="240" w:lineRule="auto" w:before="134" w:after="0"/>
        <w:ind w:left="692" w:right="0" w:hanging="581"/>
        <w:jc w:val="left"/>
        <w:rPr>
          <w:sz w:val="24"/>
        </w:rPr>
      </w:pPr>
      <w:r>
        <w:rPr>
          <w:sz w:val="24"/>
        </w:rPr>
        <w:t>estos pacientes falsos negativos. Por </w:t>
      </w:r>
      <w:r>
        <w:rPr>
          <w:spacing w:val="-5"/>
          <w:sz w:val="24"/>
        </w:rPr>
        <w:t>lo </w:t>
      </w:r>
      <w:r>
        <w:rPr>
          <w:sz w:val="24"/>
        </w:rPr>
        <w:t>tanto, es necesario que los departamentos  </w:t>
      </w:r>
      <w:r>
        <w:rPr>
          <w:spacing w:val="9"/>
          <w:sz w:val="24"/>
        </w:rPr>
        <w:t> </w:t>
      </w:r>
      <w:r>
        <w:rPr>
          <w:sz w:val="24"/>
        </w:rPr>
        <w:t>federales</w:t>
      </w:r>
    </w:p>
    <w:p>
      <w:pPr>
        <w:pStyle w:val="ListParagraph"/>
        <w:numPr>
          <w:ilvl w:val="0"/>
          <w:numId w:val="15"/>
        </w:numPr>
        <w:tabs>
          <w:tab w:pos="692" w:val="left" w:leader="none"/>
          <w:tab w:pos="693" w:val="left" w:leader="none"/>
        </w:tabs>
        <w:spacing w:line="240" w:lineRule="auto" w:before="129" w:after="0"/>
        <w:ind w:left="692" w:right="0" w:hanging="581"/>
        <w:jc w:val="left"/>
        <w:rPr>
          <w:sz w:val="24"/>
        </w:rPr>
      </w:pPr>
      <w:r>
        <w:rPr>
          <w:sz w:val="24"/>
        </w:rPr>
        <w:t>responsables de  </w:t>
      </w:r>
      <w:r>
        <w:rPr>
          <w:spacing w:val="-3"/>
          <w:sz w:val="24"/>
        </w:rPr>
        <w:t>la  </w:t>
      </w:r>
      <w:r>
        <w:rPr>
          <w:sz w:val="24"/>
        </w:rPr>
        <w:t>sanidad animal indiquen a  los clínicos veterinarios que deben   </w:t>
      </w:r>
      <w:r>
        <w:rPr>
          <w:spacing w:val="5"/>
          <w:sz w:val="24"/>
        </w:rPr>
        <w:t> </w:t>
      </w:r>
      <w:r>
        <w:rPr>
          <w:sz w:val="24"/>
        </w:rPr>
        <w:t>utilizar</w:t>
      </w:r>
    </w:p>
    <w:p>
      <w:pPr>
        <w:pStyle w:val="ListParagraph"/>
        <w:numPr>
          <w:ilvl w:val="0"/>
          <w:numId w:val="15"/>
        </w:numPr>
        <w:tabs>
          <w:tab w:pos="692" w:val="left" w:leader="none"/>
          <w:tab w:pos="693" w:val="left" w:leader="none"/>
        </w:tabs>
        <w:spacing w:line="240" w:lineRule="auto" w:before="129" w:after="0"/>
        <w:ind w:left="692" w:right="0" w:hanging="581"/>
        <w:jc w:val="left"/>
        <w:rPr>
          <w:sz w:val="24"/>
        </w:rPr>
      </w:pPr>
      <w:r>
        <w:rPr>
          <w:sz w:val="24"/>
        </w:rPr>
        <w:t>pruebas de laboratorio sensibles y específicas que </w:t>
      </w:r>
      <w:r>
        <w:rPr>
          <w:spacing w:val="-3"/>
          <w:sz w:val="24"/>
        </w:rPr>
        <w:t>les </w:t>
      </w:r>
      <w:r>
        <w:rPr>
          <w:sz w:val="24"/>
        </w:rPr>
        <w:t>permitan   confirmar su  </w:t>
      </w:r>
      <w:r>
        <w:rPr>
          <w:spacing w:val="45"/>
          <w:sz w:val="24"/>
        </w:rPr>
        <w:t> </w:t>
      </w:r>
      <w:r>
        <w:rPr>
          <w:sz w:val="24"/>
        </w:rPr>
        <w:t>diagnóstico.</w:t>
      </w:r>
    </w:p>
    <w:p>
      <w:pPr>
        <w:pStyle w:val="ListParagraph"/>
        <w:numPr>
          <w:ilvl w:val="0"/>
          <w:numId w:val="15"/>
        </w:numPr>
        <w:tabs>
          <w:tab w:pos="692" w:val="left" w:leader="none"/>
          <w:tab w:pos="693" w:val="left" w:leader="none"/>
        </w:tabs>
        <w:spacing w:line="240" w:lineRule="auto" w:before="130" w:after="0"/>
        <w:ind w:left="692" w:right="0" w:hanging="581"/>
        <w:jc w:val="left"/>
        <w:rPr>
          <w:sz w:val="24"/>
        </w:rPr>
      </w:pPr>
      <w:r>
        <w:rPr>
          <w:sz w:val="24"/>
        </w:rPr>
        <w:t>Por otro  lado,  se  identificó  que  el 84%  de  los  veterinarios encuestados consideran</w:t>
      </w:r>
      <w:r>
        <w:rPr>
          <w:spacing w:val="8"/>
          <w:sz w:val="24"/>
        </w:rPr>
        <w:t> </w:t>
      </w:r>
      <w:r>
        <w:rPr>
          <w:sz w:val="24"/>
        </w:rPr>
        <w:t>muy</w:t>
      </w:r>
    </w:p>
    <w:p>
      <w:pPr>
        <w:pStyle w:val="ListParagraph"/>
        <w:numPr>
          <w:ilvl w:val="0"/>
          <w:numId w:val="15"/>
        </w:numPr>
        <w:tabs>
          <w:tab w:pos="692" w:val="left" w:leader="none"/>
          <w:tab w:pos="693" w:val="left" w:leader="none"/>
        </w:tabs>
        <w:spacing w:line="240" w:lineRule="auto" w:before="134" w:after="0"/>
        <w:ind w:left="692" w:right="0" w:hanging="581"/>
        <w:jc w:val="left"/>
        <w:rPr>
          <w:sz w:val="24"/>
        </w:rPr>
      </w:pPr>
      <w:r>
        <w:rPr>
          <w:sz w:val="24"/>
        </w:rPr>
        <w:t>importante </w:t>
      </w:r>
      <w:r>
        <w:rPr>
          <w:spacing w:val="-5"/>
          <w:sz w:val="24"/>
        </w:rPr>
        <w:t>la </w:t>
      </w:r>
      <w:r>
        <w:rPr>
          <w:sz w:val="24"/>
        </w:rPr>
        <w:t>presencia de leucopenia para diagnosticar a un perro </w:t>
      </w:r>
      <w:r>
        <w:rPr>
          <w:spacing w:val="-3"/>
          <w:sz w:val="24"/>
        </w:rPr>
        <w:t>como </w:t>
      </w:r>
      <w:r>
        <w:rPr>
          <w:sz w:val="24"/>
        </w:rPr>
        <w:t>positivo a PVC,</w:t>
      </w:r>
      <w:r>
        <w:rPr>
          <w:spacing w:val="-1"/>
          <w:sz w:val="24"/>
        </w:rPr>
        <w:t> </w:t>
      </w:r>
      <w:r>
        <w:rPr>
          <w:sz w:val="24"/>
        </w:rPr>
        <w:t>en</w:t>
      </w:r>
    </w:p>
    <w:p>
      <w:pPr>
        <w:pStyle w:val="ListParagraph"/>
        <w:numPr>
          <w:ilvl w:val="0"/>
          <w:numId w:val="15"/>
        </w:numPr>
        <w:tabs>
          <w:tab w:pos="692" w:val="left" w:leader="none"/>
          <w:tab w:pos="693" w:val="left" w:leader="none"/>
        </w:tabs>
        <w:spacing w:line="240" w:lineRule="auto" w:before="129" w:after="0"/>
        <w:ind w:left="692" w:right="0" w:hanging="581"/>
        <w:jc w:val="left"/>
        <w:rPr>
          <w:sz w:val="24"/>
        </w:rPr>
      </w:pPr>
      <w:r>
        <w:rPr>
          <w:sz w:val="24"/>
        </w:rPr>
        <w:t>este punto, </w:t>
      </w:r>
      <w:r>
        <w:rPr>
          <w:spacing w:val="-3"/>
          <w:sz w:val="24"/>
        </w:rPr>
        <w:t>la </w:t>
      </w:r>
      <w:r>
        <w:rPr>
          <w:sz w:val="24"/>
        </w:rPr>
        <w:t>literatura indica que </w:t>
      </w:r>
      <w:r>
        <w:rPr>
          <w:spacing w:val="-3"/>
          <w:sz w:val="24"/>
        </w:rPr>
        <w:t>la </w:t>
      </w:r>
      <w:r>
        <w:rPr>
          <w:sz w:val="24"/>
        </w:rPr>
        <w:t>patogénesis de </w:t>
      </w:r>
      <w:r>
        <w:rPr>
          <w:spacing w:val="-5"/>
          <w:sz w:val="24"/>
        </w:rPr>
        <w:t>la </w:t>
      </w:r>
      <w:r>
        <w:rPr>
          <w:sz w:val="24"/>
        </w:rPr>
        <w:t>enfermedad es   </w:t>
      </w:r>
      <w:r>
        <w:rPr>
          <w:spacing w:val="1"/>
          <w:sz w:val="24"/>
        </w:rPr>
        <w:t> </w:t>
      </w:r>
      <w:r>
        <w:rPr>
          <w:sz w:val="24"/>
        </w:rPr>
        <w:t>un factor importante</w:t>
      </w:r>
    </w:p>
    <w:p>
      <w:pPr>
        <w:pStyle w:val="ListParagraph"/>
        <w:numPr>
          <w:ilvl w:val="0"/>
          <w:numId w:val="15"/>
        </w:numPr>
        <w:tabs>
          <w:tab w:pos="692" w:val="left" w:leader="none"/>
          <w:tab w:pos="693" w:val="left" w:leader="none"/>
        </w:tabs>
        <w:spacing w:line="240" w:lineRule="auto" w:before="129" w:after="0"/>
        <w:ind w:left="692" w:right="0" w:hanging="581"/>
        <w:jc w:val="left"/>
        <w:rPr>
          <w:sz w:val="24"/>
        </w:rPr>
      </w:pPr>
      <w:r>
        <w:rPr>
          <w:sz w:val="24"/>
        </w:rPr>
        <w:t>para  </w:t>
      </w:r>
      <w:r>
        <w:rPr>
          <w:spacing w:val="-5"/>
          <w:sz w:val="24"/>
        </w:rPr>
        <w:t>la  </w:t>
      </w:r>
      <w:r>
        <w:rPr>
          <w:sz w:val="24"/>
        </w:rPr>
        <w:t>presentación de  </w:t>
      </w:r>
      <w:r>
        <w:rPr>
          <w:spacing w:val="-3"/>
          <w:sz w:val="24"/>
        </w:rPr>
        <w:t>la  </w:t>
      </w:r>
      <w:r>
        <w:rPr>
          <w:sz w:val="24"/>
        </w:rPr>
        <w:t>leucopenia,  </w:t>
      </w:r>
      <w:r>
        <w:rPr>
          <w:spacing w:val="-3"/>
          <w:sz w:val="24"/>
        </w:rPr>
        <w:t>la  </w:t>
      </w:r>
      <w:r>
        <w:rPr>
          <w:sz w:val="24"/>
        </w:rPr>
        <w:t>cual se presenta principalmente en </w:t>
      </w:r>
      <w:r>
        <w:rPr>
          <w:spacing w:val="-3"/>
          <w:sz w:val="24"/>
        </w:rPr>
        <w:t>la    </w:t>
      </w:r>
      <w:r>
        <w:rPr>
          <w:spacing w:val="25"/>
          <w:sz w:val="24"/>
        </w:rPr>
        <w:t> </w:t>
      </w:r>
      <w:r>
        <w:rPr>
          <w:sz w:val="24"/>
        </w:rPr>
        <w:t>primera</w:t>
      </w:r>
    </w:p>
    <w:p>
      <w:pPr>
        <w:pStyle w:val="ListParagraph"/>
        <w:numPr>
          <w:ilvl w:val="0"/>
          <w:numId w:val="15"/>
        </w:numPr>
        <w:tabs>
          <w:tab w:pos="692" w:val="left" w:leader="none"/>
          <w:tab w:pos="693" w:val="left" w:leader="none"/>
        </w:tabs>
        <w:spacing w:line="240" w:lineRule="auto" w:before="130" w:after="0"/>
        <w:ind w:left="692" w:right="0" w:hanging="581"/>
        <w:jc w:val="left"/>
        <w:rPr>
          <w:sz w:val="24"/>
        </w:rPr>
      </w:pPr>
      <w:r>
        <w:rPr>
          <w:sz w:val="24"/>
        </w:rPr>
        <w:t>semana post-infección, quizá por este motivo, en muchos de los casos en </w:t>
      </w:r>
      <w:r>
        <w:rPr>
          <w:spacing w:val="-3"/>
          <w:sz w:val="24"/>
        </w:rPr>
        <w:t>la </w:t>
      </w:r>
      <w:r>
        <w:rPr>
          <w:sz w:val="24"/>
        </w:rPr>
        <w:t>práctica</w:t>
      </w:r>
      <w:r>
        <w:rPr>
          <w:spacing w:val="57"/>
          <w:sz w:val="24"/>
        </w:rPr>
        <w:t> </w:t>
      </w:r>
      <w:r>
        <w:rPr>
          <w:sz w:val="24"/>
        </w:rPr>
        <w:t>clínica</w:t>
      </w:r>
    </w:p>
    <w:p>
      <w:pPr>
        <w:pStyle w:val="ListParagraph"/>
        <w:numPr>
          <w:ilvl w:val="0"/>
          <w:numId w:val="15"/>
        </w:numPr>
        <w:tabs>
          <w:tab w:pos="692" w:val="left" w:leader="none"/>
          <w:tab w:pos="693" w:val="left" w:leader="none"/>
        </w:tabs>
        <w:spacing w:line="240" w:lineRule="auto" w:before="129" w:after="0"/>
        <w:ind w:left="692" w:right="0" w:hanging="581"/>
        <w:jc w:val="left"/>
        <w:rPr>
          <w:sz w:val="24"/>
        </w:rPr>
      </w:pPr>
      <w:r>
        <w:rPr>
          <w:sz w:val="24"/>
        </w:rPr>
        <w:t>los pacientes llegan a presentan hemogramas normales, en este trabajo identificamos que</w:t>
      </w:r>
      <w:r>
        <w:rPr>
          <w:spacing w:val="-28"/>
          <w:sz w:val="24"/>
        </w:rPr>
        <w:t> </w:t>
      </w:r>
      <w:r>
        <w:rPr>
          <w:sz w:val="24"/>
        </w:rPr>
        <w:t>de</w:t>
      </w:r>
    </w:p>
    <w:p>
      <w:pPr>
        <w:pStyle w:val="ListParagraph"/>
        <w:numPr>
          <w:ilvl w:val="0"/>
          <w:numId w:val="15"/>
        </w:numPr>
        <w:tabs>
          <w:tab w:pos="692" w:val="left" w:leader="none"/>
          <w:tab w:pos="693" w:val="left" w:leader="none"/>
        </w:tabs>
        <w:spacing w:line="240" w:lineRule="auto" w:before="134" w:after="0"/>
        <w:ind w:left="692" w:right="0" w:hanging="581"/>
        <w:jc w:val="left"/>
        <w:rPr>
          <w:sz w:val="24"/>
        </w:rPr>
      </w:pPr>
      <w:r>
        <w:rPr>
          <w:sz w:val="24"/>
        </w:rPr>
        <w:t>los</w:t>
      </w:r>
      <w:r>
        <w:rPr>
          <w:spacing w:val="22"/>
          <w:sz w:val="24"/>
        </w:rPr>
        <w:t> </w:t>
      </w:r>
      <w:r>
        <w:rPr>
          <w:sz w:val="24"/>
        </w:rPr>
        <w:t>100</w:t>
      </w:r>
      <w:r>
        <w:rPr>
          <w:spacing w:val="21"/>
          <w:sz w:val="24"/>
        </w:rPr>
        <w:t> </w:t>
      </w:r>
      <w:r>
        <w:rPr>
          <w:sz w:val="24"/>
        </w:rPr>
        <w:t>perros</w:t>
      </w:r>
      <w:r>
        <w:rPr>
          <w:spacing w:val="18"/>
          <w:sz w:val="24"/>
        </w:rPr>
        <w:t> </w:t>
      </w:r>
      <w:r>
        <w:rPr>
          <w:sz w:val="24"/>
        </w:rPr>
        <w:t>positivos</w:t>
      </w:r>
      <w:r>
        <w:rPr>
          <w:spacing w:val="18"/>
          <w:sz w:val="24"/>
        </w:rPr>
        <w:t> </w:t>
      </w:r>
      <w:r>
        <w:rPr>
          <w:sz w:val="24"/>
        </w:rPr>
        <w:t>a</w:t>
      </w:r>
      <w:r>
        <w:rPr>
          <w:spacing w:val="19"/>
          <w:sz w:val="24"/>
        </w:rPr>
        <w:t> </w:t>
      </w:r>
      <w:r>
        <w:rPr>
          <w:sz w:val="24"/>
        </w:rPr>
        <w:t>PVC-2</w:t>
      </w:r>
      <w:r>
        <w:rPr>
          <w:spacing w:val="20"/>
          <w:sz w:val="24"/>
        </w:rPr>
        <w:t> </w:t>
      </w:r>
      <w:r>
        <w:rPr>
          <w:sz w:val="24"/>
        </w:rPr>
        <w:t>el</w:t>
      </w:r>
      <w:r>
        <w:rPr>
          <w:spacing w:val="20"/>
          <w:sz w:val="24"/>
        </w:rPr>
        <w:t> </w:t>
      </w:r>
      <w:r>
        <w:rPr>
          <w:sz w:val="24"/>
        </w:rPr>
        <w:t>47%</w:t>
      </w:r>
      <w:r>
        <w:rPr>
          <w:spacing w:val="21"/>
          <w:sz w:val="24"/>
        </w:rPr>
        <w:t> </w:t>
      </w:r>
      <w:r>
        <w:rPr>
          <w:spacing w:val="-3"/>
          <w:sz w:val="24"/>
        </w:rPr>
        <w:t>no</w:t>
      </w:r>
      <w:r>
        <w:rPr>
          <w:spacing w:val="24"/>
          <w:sz w:val="24"/>
        </w:rPr>
        <w:t> </w:t>
      </w:r>
      <w:r>
        <w:rPr>
          <w:sz w:val="24"/>
        </w:rPr>
        <w:t>presentaron</w:t>
      </w:r>
      <w:r>
        <w:rPr>
          <w:spacing w:val="20"/>
          <w:sz w:val="24"/>
        </w:rPr>
        <w:t> </w:t>
      </w:r>
      <w:r>
        <w:rPr>
          <w:sz w:val="24"/>
        </w:rPr>
        <w:t>leucopenia</w:t>
      </w:r>
      <w:r>
        <w:rPr>
          <w:spacing w:val="19"/>
          <w:sz w:val="24"/>
        </w:rPr>
        <w:t> </w:t>
      </w:r>
      <w:r>
        <w:rPr>
          <w:sz w:val="24"/>
        </w:rPr>
        <w:t>en</w:t>
      </w:r>
      <w:r>
        <w:rPr>
          <w:spacing w:val="15"/>
          <w:sz w:val="24"/>
        </w:rPr>
        <w:t> </w:t>
      </w:r>
      <w:r>
        <w:rPr>
          <w:sz w:val="24"/>
        </w:rPr>
        <w:t>el</w:t>
      </w:r>
      <w:r>
        <w:rPr>
          <w:spacing w:val="20"/>
          <w:sz w:val="24"/>
        </w:rPr>
        <w:t> </w:t>
      </w:r>
      <w:r>
        <w:rPr>
          <w:sz w:val="24"/>
        </w:rPr>
        <w:t>momento</w:t>
      </w:r>
      <w:r>
        <w:rPr>
          <w:spacing w:val="24"/>
          <w:sz w:val="24"/>
        </w:rPr>
        <w:t> </w:t>
      </w:r>
      <w:r>
        <w:rPr>
          <w:sz w:val="24"/>
        </w:rPr>
        <w:t>de</w:t>
      </w:r>
      <w:r>
        <w:rPr>
          <w:spacing w:val="24"/>
          <w:sz w:val="24"/>
        </w:rPr>
        <w:t> </w:t>
      </w:r>
      <w:r>
        <w:rPr>
          <w:spacing w:val="-5"/>
          <w:sz w:val="24"/>
        </w:rPr>
        <w:t>la</w:t>
      </w:r>
    </w:p>
    <w:p>
      <w:pPr>
        <w:pStyle w:val="ListParagraph"/>
        <w:numPr>
          <w:ilvl w:val="0"/>
          <w:numId w:val="15"/>
        </w:numPr>
        <w:tabs>
          <w:tab w:pos="692" w:val="left" w:leader="none"/>
          <w:tab w:pos="693" w:val="left" w:leader="none"/>
        </w:tabs>
        <w:spacing w:line="240" w:lineRule="auto" w:before="129" w:after="0"/>
        <w:ind w:left="692" w:right="0" w:hanging="581"/>
        <w:jc w:val="left"/>
        <w:rPr>
          <w:sz w:val="24"/>
        </w:rPr>
      </w:pPr>
      <w:r>
        <w:rPr>
          <w:sz w:val="24"/>
        </w:rPr>
        <w:t>evaluación; esto </w:t>
      </w:r>
      <w:r>
        <w:rPr>
          <w:spacing w:val="-2"/>
          <w:sz w:val="24"/>
        </w:rPr>
        <w:t>indica </w:t>
      </w:r>
      <w:r>
        <w:rPr>
          <w:sz w:val="24"/>
        </w:rPr>
        <w:t>que aunque un hemograma es una herramienta valiosa que     </w:t>
      </w:r>
      <w:r>
        <w:rPr>
          <w:spacing w:val="7"/>
          <w:sz w:val="24"/>
        </w:rPr>
        <w:t> </w:t>
      </w:r>
      <w:r>
        <w:rPr>
          <w:sz w:val="24"/>
        </w:rPr>
        <w:t>puede</w:t>
      </w:r>
    </w:p>
    <w:p>
      <w:pPr>
        <w:pStyle w:val="ListParagraph"/>
        <w:numPr>
          <w:ilvl w:val="0"/>
          <w:numId w:val="15"/>
        </w:numPr>
        <w:tabs>
          <w:tab w:pos="692" w:val="left" w:leader="none"/>
          <w:tab w:pos="693" w:val="left" w:leader="none"/>
        </w:tabs>
        <w:spacing w:line="240" w:lineRule="auto" w:before="130" w:after="0"/>
        <w:ind w:left="692" w:right="0" w:hanging="581"/>
        <w:jc w:val="left"/>
        <w:rPr>
          <w:sz w:val="24"/>
        </w:rPr>
      </w:pPr>
      <w:r>
        <w:rPr>
          <w:sz w:val="24"/>
        </w:rPr>
        <w:t>proporcionar  información  clínica  para  establecer  diagnósticos  diferenciales,  evaluar </w:t>
      </w:r>
      <w:r>
        <w:rPr>
          <w:spacing w:val="47"/>
          <w:sz w:val="24"/>
        </w:rPr>
        <w:t> </w:t>
      </w:r>
      <w:r>
        <w:rPr>
          <w:spacing w:val="-3"/>
          <w:sz w:val="24"/>
        </w:rPr>
        <w:t>la</w:t>
      </w:r>
    </w:p>
    <w:p>
      <w:pPr>
        <w:pStyle w:val="ListParagraph"/>
        <w:numPr>
          <w:ilvl w:val="0"/>
          <w:numId w:val="15"/>
        </w:numPr>
        <w:tabs>
          <w:tab w:pos="692" w:val="left" w:leader="none"/>
          <w:tab w:pos="693" w:val="left" w:leader="none"/>
        </w:tabs>
        <w:spacing w:line="240" w:lineRule="auto" w:before="129" w:after="0"/>
        <w:ind w:left="692" w:right="0" w:hanging="581"/>
        <w:jc w:val="left"/>
        <w:rPr>
          <w:sz w:val="24"/>
        </w:rPr>
      </w:pPr>
      <w:r>
        <w:rPr>
          <w:sz w:val="24"/>
        </w:rPr>
        <w:t>respuesta</w:t>
      </w:r>
      <w:r>
        <w:rPr>
          <w:spacing w:val="22"/>
          <w:sz w:val="24"/>
        </w:rPr>
        <w:t> </w:t>
      </w:r>
      <w:r>
        <w:rPr>
          <w:sz w:val="24"/>
        </w:rPr>
        <w:t>a</w:t>
      </w:r>
      <w:r>
        <w:rPr>
          <w:spacing w:val="22"/>
          <w:sz w:val="24"/>
        </w:rPr>
        <w:t> </w:t>
      </w:r>
      <w:r>
        <w:rPr>
          <w:sz w:val="24"/>
        </w:rPr>
        <w:t>un</w:t>
      </w:r>
      <w:r>
        <w:rPr>
          <w:spacing w:val="18"/>
          <w:sz w:val="24"/>
        </w:rPr>
        <w:t> </w:t>
      </w:r>
      <w:r>
        <w:rPr>
          <w:sz w:val="24"/>
        </w:rPr>
        <w:t>tratamiento</w:t>
      </w:r>
      <w:r>
        <w:rPr>
          <w:spacing w:val="18"/>
          <w:sz w:val="24"/>
        </w:rPr>
        <w:t> </w:t>
      </w:r>
      <w:r>
        <w:rPr>
          <w:sz w:val="24"/>
        </w:rPr>
        <w:t>o</w:t>
      </w:r>
      <w:r>
        <w:rPr>
          <w:spacing w:val="27"/>
          <w:sz w:val="24"/>
        </w:rPr>
        <w:t> </w:t>
      </w:r>
      <w:r>
        <w:rPr>
          <w:sz w:val="24"/>
        </w:rPr>
        <w:t>para</w:t>
      </w:r>
      <w:r>
        <w:rPr>
          <w:spacing w:val="17"/>
          <w:sz w:val="24"/>
        </w:rPr>
        <w:t> </w:t>
      </w:r>
      <w:r>
        <w:rPr>
          <w:sz w:val="24"/>
        </w:rPr>
        <w:t>sugerir</w:t>
      </w:r>
      <w:r>
        <w:rPr>
          <w:spacing w:val="24"/>
          <w:sz w:val="24"/>
        </w:rPr>
        <w:t> </w:t>
      </w:r>
      <w:r>
        <w:rPr>
          <w:sz w:val="24"/>
        </w:rPr>
        <w:t>un</w:t>
      </w:r>
      <w:r>
        <w:rPr>
          <w:spacing w:val="18"/>
          <w:sz w:val="24"/>
        </w:rPr>
        <w:t> </w:t>
      </w:r>
      <w:r>
        <w:rPr>
          <w:sz w:val="24"/>
        </w:rPr>
        <w:t>pronóstico,</w:t>
      </w:r>
      <w:r>
        <w:rPr>
          <w:spacing w:val="25"/>
          <w:sz w:val="24"/>
        </w:rPr>
        <w:t> </w:t>
      </w:r>
      <w:r>
        <w:rPr>
          <w:spacing w:val="-3"/>
          <w:sz w:val="24"/>
        </w:rPr>
        <w:t>la</w:t>
      </w:r>
      <w:r>
        <w:rPr>
          <w:spacing w:val="22"/>
          <w:sz w:val="24"/>
        </w:rPr>
        <w:t> </w:t>
      </w:r>
      <w:r>
        <w:rPr>
          <w:sz w:val="24"/>
        </w:rPr>
        <w:t>presencia</w:t>
      </w:r>
      <w:r>
        <w:rPr>
          <w:spacing w:val="22"/>
          <w:sz w:val="24"/>
        </w:rPr>
        <w:t> </w:t>
      </w:r>
      <w:r>
        <w:rPr>
          <w:sz w:val="24"/>
        </w:rPr>
        <w:t>de</w:t>
      </w:r>
      <w:r>
        <w:rPr>
          <w:spacing w:val="27"/>
          <w:sz w:val="24"/>
        </w:rPr>
        <w:t> </w:t>
      </w:r>
      <w:r>
        <w:rPr>
          <w:sz w:val="24"/>
        </w:rPr>
        <w:t>leucopenia</w:t>
      </w:r>
      <w:r>
        <w:rPr>
          <w:spacing w:val="22"/>
          <w:sz w:val="24"/>
        </w:rPr>
        <w:t> </w:t>
      </w:r>
      <w:r>
        <w:rPr>
          <w:sz w:val="24"/>
        </w:rPr>
        <w:t>en</w:t>
      </w:r>
      <w:r>
        <w:rPr>
          <w:spacing w:val="18"/>
          <w:sz w:val="24"/>
        </w:rPr>
        <w:t> </w:t>
      </w:r>
      <w:r>
        <w:rPr>
          <w:sz w:val="24"/>
        </w:rPr>
        <w:t>un</w:t>
      </w:r>
    </w:p>
    <w:p>
      <w:pPr>
        <w:spacing w:after="0" w:line="240" w:lineRule="auto"/>
        <w:jc w:val="left"/>
        <w:rPr>
          <w:sz w:val="24"/>
        </w:rPr>
        <w:sectPr>
          <w:pgSz w:w="12240" w:h="15840"/>
          <w:pgMar w:header="1154" w:footer="1713" w:top="1520" w:bottom="1900" w:left="1180" w:right="1380"/>
        </w:sectPr>
      </w:pPr>
    </w:p>
    <w:p>
      <w:pPr>
        <w:pStyle w:val="BodyText"/>
        <w:spacing w:before="10"/>
        <w:rPr>
          <w:rFonts w:ascii="Times New Roman"/>
          <w:sz w:val="17"/>
        </w:rPr>
      </w:pPr>
    </w:p>
    <w:p>
      <w:pPr>
        <w:pStyle w:val="ListParagraph"/>
        <w:numPr>
          <w:ilvl w:val="0"/>
          <w:numId w:val="16"/>
        </w:numPr>
        <w:tabs>
          <w:tab w:pos="692" w:val="left" w:leader="none"/>
          <w:tab w:pos="693" w:val="left" w:leader="none"/>
        </w:tabs>
        <w:spacing w:line="240" w:lineRule="auto" w:before="69" w:after="0"/>
        <w:ind w:left="692" w:right="0" w:hanging="470"/>
        <w:jc w:val="left"/>
        <w:rPr>
          <w:sz w:val="24"/>
        </w:rPr>
      </w:pPr>
      <w:r>
        <w:rPr>
          <w:sz w:val="24"/>
        </w:rPr>
        <w:t>hemograma </w:t>
      </w:r>
      <w:r>
        <w:rPr>
          <w:spacing w:val="-3"/>
          <w:sz w:val="24"/>
        </w:rPr>
        <w:t>no </w:t>
      </w:r>
      <w:r>
        <w:rPr>
          <w:sz w:val="24"/>
        </w:rPr>
        <w:t>debe ser considerado como un factor determinante para confirmar un  </w:t>
      </w:r>
      <w:r>
        <w:rPr>
          <w:spacing w:val="7"/>
          <w:sz w:val="24"/>
        </w:rPr>
        <w:t> </w:t>
      </w:r>
      <w:r>
        <w:rPr>
          <w:sz w:val="24"/>
        </w:rPr>
        <w:t>perro</w:t>
      </w:r>
    </w:p>
    <w:p>
      <w:pPr>
        <w:pStyle w:val="ListParagraph"/>
        <w:numPr>
          <w:ilvl w:val="0"/>
          <w:numId w:val="16"/>
        </w:numPr>
        <w:tabs>
          <w:tab w:pos="692" w:val="left" w:leader="none"/>
          <w:tab w:pos="693" w:val="left" w:leader="none"/>
        </w:tabs>
        <w:spacing w:line="240" w:lineRule="auto" w:before="129" w:after="0"/>
        <w:ind w:left="692" w:right="0" w:hanging="470"/>
        <w:jc w:val="left"/>
        <w:rPr>
          <w:sz w:val="24"/>
        </w:rPr>
      </w:pPr>
      <w:r>
        <w:rPr>
          <w:sz w:val="24"/>
        </w:rPr>
        <w:t>positivo a PVC-2 debido a   que brindaría una sensibilidad menor al 50% </w:t>
      </w:r>
      <w:r>
        <w:rPr>
          <w:spacing w:val="-5"/>
          <w:sz w:val="24"/>
        </w:rPr>
        <w:t>lo   </w:t>
      </w:r>
      <w:r>
        <w:rPr>
          <w:spacing w:val="29"/>
          <w:sz w:val="24"/>
        </w:rPr>
        <w:t> </w:t>
      </w:r>
      <w:r>
        <w:rPr>
          <w:sz w:val="24"/>
        </w:rPr>
        <w:t>que generaría</w:t>
      </w:r>
    </w:p>
    <w:p>
      <w:pPr>
        <w:pStyle w:val="ListParagraph"/>
        <w:numPr>
          <w:ilvl w:val="0"/>
          <w:numId w:val="16"/>
        </w:numPr>
        <w:tabs>
          <w:tab w:pos="692" w:val="left" w:leader="none"/>
          <w:tab w:pos="693" w:val="left" w:leader="none"/>
        </w:tabs>
        <w:spacing w:line="240" w:lineRule="auto" w:before="130" w:after="0"/>
        <w:ind w:left="692" w:right="0" w:hanging="470"/>
        <w:jc w:val="left"/>
        <w:rPr>
          <w:sz w:val="24"/>
        </w:rPr>
      </w:pPr>
      <w:r>
        <w:rPr>
          <w:sz w:val="24"/>
        </w:rPr>
        <w:t>que uno de cada dos perros fueran establecidos como falsos negativos. En </w:t>
      </w:r>
      <w:r>
        <w:rPr>
          <w:spacing w:val="-3"/>
          <w:sz w:val="24"/>
        </w:rPr>
        <w:t>la </w:t>
      </w:r>
      <w:r>
        <w:rPr>
          <w:sz w:val="24"/>
        </w:rPr>
        <w:t>última </w:t>
      </w:r>
      <w:r>
        <w:rPr>
          <w:spacing w:val="30"/>
          <w:sz w:val="24"/>
        </w:rPr>
        <w:t> </w:t>
      </w:r>
      <w:r>
        <w:rPr>
          <w:sz w:val="24"/>
        </w:rPr>
        <w:t>década</w:t>
      </w:r>
    </w:p>
    <w:p>
      <w:pPr>
        <w:pStyle w:val="ListParagraph"/>
        <w:numPr>
          <w:ilvl w:val="0"/>
          <w:numId w:val="16"/>
        </w:numPr>
        <w:tabs>
          <w:tab w:pos="692" w:val="left" w:leader="none"/>
          <w:tab w:pos="693" w:val="left" w:leader="none"/>
        </w:tabs>
        <w:spacing w:line="240" w:lineRule="auto" w:before="134" w:after="0"/>
        <w:ind w:left="692" w:right="0" w:hanging="470"/>
        <w:jc w:val="left"/>
        <w:rPr>
          <w:sz w:val="24"/>
        </w:rPr>
      </w:pPr>
      <w:r>
        <w:rPr>
          <w:sz w:val="24"/>
        </w:rPr>
        <w:t>se han desarrollado sistemas de diagnóstico denominadas pruebas rápidas, utilizando </w:t>
      </w:r>
      <w:r>
        <w:rPr>
          <w:spacing w:val="4"/>
          <w:sz w:val="24"/>
        </w:rPr>
        <w:t> </w:t>
      </w:r>
      <w:r>
        <w:rPr>
          <w:spacing w:val="-3"/>
          <w:sz w:val="24"/>
        </w:rPr>
        <w:t>como</w:t>
      </w:r>
    </w:p>
    <w:p>
      <w:pPr>
        <w:pStyle w:val="ListParagraph"/>
        <w:numPr>
          <w:ilvl w:val="0"/>
          <w:numId w:val="16"/>
        </w:numPr>
        <w:tabs>
          <w:tab w:pos="692" w:val="left" w:leader="none"/>
          <w:tab w:pos="693" w:val="left" w:leader="none"/>
        </w:tabs>
        <w:spacing w:line="240" w:lineRule="auto" w:before="129" w:after="0"/>
        <w:ind w:left="692" w:right="0" w:hanging="470"/>
        <w:jc w:val="left"/>
        <w:rPr>
          <w:sz w:val="24"/>
        </w:rPr>
      </w:pPr>
      <w:r>
        <w:rPr>
          <w:sz w:val="24"/>
        </w:rPr>
        <w:t>base  </w:t>
      </w:r>
      <w:r>
        <w:rPr>
          <w:spacing w:val="-3"/>
          <w:sz w:val="24"/>
        </w:rPr>
        <w:t>la  </w:t>
      </w:r>
      <w:r>
        <w:rPr>
          <w:sz w:val="24"/>
        </w:rPr>
        <w:t>inmunocromatografía  (Esfandiari y Klingeborn 2000,  Desario  y cols  2005),   </w:t>
      </w:r>
      <w:r>
        <w:rPr>
          <w:spacing w:val="22"/>
          <w:sz w:val="24"/>
        </w:rPr>
        <w:t> </w:t>
      </w:r>
      <w:r>
        <w:rPr>
          <w:sz w:val="24"/>
        </w:rPr>
        <w:t>de</w:t>
      </w:r>
    </w:p>
    <w:p>
      <w:pPr>
        <w:pStyle w:val="ListParagraph"/>
        <w:numPr>
          <w:ilvl w:val="0"/>
          <w:numId w:val="16"/>
        </w:numPr>
        <w:tabs>
          <w:tab w:pos="692" w:val="left" w:leader="none"/>
          <w:tab w:pos="693" w:val="left" w:leader="none"/>
        </w:tabs>
        <w:spacing w:line="240" w:lineRule="auto" w:before="129" w:after="0"/>
        <w:ind w:left="692" w:right="0" w:hanging="470"/>
        <w:jc w:val="left"/>
        <w:rPr>
          <w:sz w:val="24"/>
        </w:rPr>
      </w:pPr>
      <w:r>
        <w:rPr>
          <w:sz w:val="24"/>
        </w:rPr>
        <w:t>acuerdo</w:t>
      </w:r>
      <w:r>
        <w:rPr>
          <w:spacing w:val="28"/>
          <w:sz w:val="24"/>
        </w:rPr>
        <w:t> </w:t>
      </w:r>
      <w:r>
        <w:rPr>
          <w:sz w:val="24"/>
        </w:rPr>
        <w:t>a</w:t>
      </w:r>
      <w:r>
        <w:rPr>
          <w:spacing w:val="23"/>
          <w:sz w:val="24"/>
        </w:rPr>
        <w:t> </w:t>
      </w:r>
      <w:r>
        <w:rPr>
          <w:sz w:val="24"/>
        </w:rPr>
        <w:t>nuestros</w:t>
      </w:r>
      <w:r>
        <w:rPr>
          <w:spacing w:val="22"/>
          <w:sz w:val="24"/>
        </w:rPr>
        <w:t> </w:t>
      </w:r>
      <w:r>
        <w:rPr>
          <w:sz w:val="24"/>
        </w:rPr>
        <w:t>resultados</w:t>
      </w:r>
      <w:r>
        <w:rPr>
          <w:spacing w:val="22"/>
          <w:sz w:val="24"/>
        </w:rPr>
        <w:t> </w:t>
      </w:r>
      <w:r>
        <w:rPr>
          <w:sz w:val="24"/>
        </w:rPr>
        <w:t>de</w:t>
      </w:r>
      <w:r>
        <w:rPr>
          <w:spacing w:val="28"/>
          <w:sz w:val="24"/>
        </w:rPr>
        <w:t> </w:t>
      </w:r>
      <w:r>
        <w:rPr>
          <w:spacing w:val="-4"/>
          <w:sz w:val="24"/>
        </w:rPr>
        <w:t>las</w:t>
      </w:r>
      <w:r>
        <w:rPr>
          <w:spacing w:val="22"/>
          <w:sz w:val="24"/>
        </w:rPr>
        <w:t> </w:t>
      </w:r>
      <w:r>
        <w:rPr>
          <w:sz w:val="24"/>
        </w:rPr>
        <w:t>encuestas,</w:t>
      </w:r>
      <w:r>
        <w:rPr>
          <w:spacing w:val="26"/>
          <w:sz w:val="24"/>
        </w:rPr>
        <w:t> </w:t>
      </w:r>
      <w:r>
        <w:rPr>
          <w:sz w:val="24"/>
        </w:rPr>
        <w:t>en</w:t>
      </w:r>
      <w:r>
        <w:rPr>
          <w:spacing w:val="19"/>
          <w:sz w:val="24"/>
        </w:rPr>
        <w:t> </w:t>
      </w:r>
      <w:r>
        <w:rPr>
          <w:sz w:val="24"/>
        </w:rPr>
        <w:t>México,</w:t>
      </w:r>
      <w:r>
        <w:rPr>
          <w:spacing w:val="26"/>
          <w:sz w:val="24"/>
        </w:rPr>
        <w:t> </w:t>
      </w:r>
      <w:r>
        <w:rPr>
          <w:sz w:val="24"/>
        </w:rPr>
        <w:t>está</w:t>
      </w:r>
      <w:r>
        <w:rPr>
          <w:spacing w:val="23"/>
          <w:sz w:val="24"/>
        </w:rPr>
        <w:t> </w:t>
      </w:r>
      <w:r>
        <w:rPr>
          <w:sz w:val="24"/>
        </w:rPr>
        <w:t>es</w:t>
      </w:r>
      <w:r>
        <w:rPr>
          <w:spacing w:val="22"/>
          <w:sz w:val="24"/>
        </w:rPr>
        <w:t> </w:t>
      </w:r>
      <w:r>
        <w:rPr>
          <w:spacing w:val="-3"/>
          <w:sz w:val="24"/>
        </w:rPr>
        <w:t>la</w:t>
      </w:r>
      <w:r>
        <w:rPr>
          <w:spacing w:val="23"/>
          <w:sz w:val="24"/>
        </w:rPr>
        <w:t> </w:t>
      </w:r>
      <w:r>
        <w:rPr>
          <w:sz w:val="24"/>
        </w:rPr>
        <w:t>prueba</w:t>
      </w:r>
      <w:r>
        <w:rPr>
          <w:spacing w:val="28"/>
          <w:sz w:val="24"/>
        </w:rPr>
        <w:t> </w:t>
      </w:r>
      <w:r>
        <w:rPr>
          <w:sz w:val="24"/>
        </w:rPr>
        <w:t>mayormente</w:t>
      </w:r>
    </w:p>
    <w:p>
      <w:pPr>
        <w:pStyle w:val="ListParagraph"/>
        <w:numPr>
          <w:ilvl w:val="0"/>
          <w:numId w:val="16"/>
        </w:numPr>
        <w:tabs>
          <w:tab w:pos="692" w:val="left" w:leader="none"/>
          <w:tab w:pos="693" w:val="left" w:leader="none"/>
        </w:tabs>
        <w:spacing w:line="240" w:lineRule="auto" w:before="130" w:after="0"/>
        <w:ind w:left="692" w:right="0" w:hanging="470"/>
        <w:jc w:val="left"/>
        <w:rPr>
          <w:sz w:val="24"/>
        </w:rPr>
      </w:pPr>
      <w:r>
        <w:rPr>
          <w:sz w:val="24"/>
        </w:rPr>
        <w:t>difundida y utilizada (59%) para </w:t>
      </w:r>
      <w:r>
        <w:rPr>
          <w:spacing w:val="-5"/>
          <w:sz w:val="24"/>
        </w:rPr>
        <w:t>la </w:t>
      </w:r>
      <w:r>
        <w:rPr>
          <w:sz w:val="24"/>
        </w:rPr>
        <w:t>confirmación de PVC-2, probablemente porque es  </w:t>
      </w:r>
      <w:r>
        <w:rPr>
          <w:spacing w:val="54"/>
          <w:sz w:val="24"/>
        </w:rPr>
        <w:t> </w:t>
      </w:r>
      <w:r>
        <w:rPr>
          <w:sz w:val="24"/>
        </w:rPr>
        <w:t>una</w:t>
      </w:r>
    </w:p>
    <w:p>
      <w:pPr>
        <w:pStyle w:val="ListParagraph"/>
        <w:numPr>
          <w:ilvl w:val="0"/>
          <w:numId w:val="16"/>
        </w:numPr>
        <w:tabs>
          <w:tab w:pos="692" w:val="left" w:leader="none"/>
          <w:tab w:pos="693" w:val="left" w:leader="none"/>
        </w:tabs>
        <w:spacing w:line="240" w:lineRule="auto" w:before="134" w:after="0"/>
        <w:ind w:left="692" w:right="0" w:hanging="470"/>
        <w:jc w:val="left"/>
        <w:rPr>
          <w:sz w:val="24"/>
        </w:rPr>
      </w:pPr>
      <w:r>
        <w:rPr>
          <w:sz w:val="24"/>
        </w:rPr>
        <w:t>prueba fácil, rápida y accesible, </w:t>
      </w:r>
      <w:r>
        <w:rPr>
          <w:spacing w:val="-3"/>
          <w:sz w:val="24"/>
        </w:rPr>
        <w:t>la </w:t>
      </w:r>
      <w:r>
        <w:rPr>
          <w:sz w:val="24"/>
        </w:rPr>
        <w:t>cual </w:t>
      </w:r>
      <w:r>
        <w:rPr>
          <w:spacing w:val="-3"/>
          <w:sz w:val="24"/>
        </w:rPr>
        <w:t>no </w:t>
      </w:r>
      <w:r>
        <w:rPr>
          <w:sz w:val="24"/>
        </w:rPr>
        <w:t>requiere de preparación y envió de muestra a  </w:t>
      </w:r>
      <w:r>
        <w:rPr>
          <w:spacing w:val="5"/>
          <w:sz w:val="24"/>
        </w:rPr>
        <w:t> </w:t>
      </w:r>
      <w:r>
        <w:rPr>
          <w:sz w:val="24"/>
        </w:rPr>
        <w:t>un</w:t>
      </w:r>
    </w:p>
    <w:p>
      <w:pPr>
        <w:pStyle w:val="ListParagraph"/>
        <w:numPr>
          <w:ilvl w:val="0"/>
          <w:numId w:val="16"/>
        </w:numPr>
        <w:tabs>
          <w:tab w:pos="692" w:val="left" w:leader="none"/>
          <w:tab w:pos="693" w:val="left" w:leader="none"/>
        </w:tabs>
        <w:spacing w:line="240" w:lineRule="auto" w:before="129" w:after="0"/>
        <w:ind w:left="692" w:right="0" w:hanging="470"/>
        <w:jc w:val="left"/>
        <w:rPr>
          <w:sz w:val="24"/>
        </w:rPr>
      </w:pPr>
      <w:r>
        <w:rPr>
          <w:sz w:val="24"/>
        </w:rPr>
        <w:t>laboratorio especializado, </w:t>
      </w:r>
      <w:r>
        <w:rPr>
          <w:spacing w:val="-3"/>
          <w:sz w:val="24"/>
        </w:rPr>
        <w:t>sin </w:t>
      </w:r>
      <w:r>
        <w:rPr>
          <w:sz w:val="24"/>
        </w:rPr>
        <w:t>embargo existen datos publicados que muestran que este </w:t>
      </w:r>
      <w:r>
        <w:rPr>
          <w:spacing w:val="17"/>
          <w:sz w:val="24"/>
        </w:rPr>
        <w:t> </w:t>
      </w:r>
      <w:r>
        <w:rPr>
          <w:sz w:val="24"/>
        </w:rPr>
        <w:t>tipo</w:t>
      </w:r>
    </w:p>
    <w:p>
      <w:pPr>
        <w:pStyle w:val="ListParagraph"/>
        <w:numPr>
          <w:ilvl w:val="0"/>
          <w:numId w:val="16"/>
        </w:numPr>
        <w:tabs>
          <w:tab w:pos="692" w:val="left" w:leader="none"/>
          <w:tab w:pos="693" w:val="left" w:leader="none"/>
        </w:tabs>
        <w:spacing w:line="240" w:lineRule="auto" w:before="129" w:after="0"/>
        <w:ind w:left="692" w:right="0" w:hanging="581"/>
        <w:jc w:val="left"/>
        <w:rPr>
          <w:sz w:val="24"/>
        </w:rPr>
      </w:pPr>
      <w:r>
        <w:rPr>
          <w:sz w:val="24"/>
        </w:rPr>
        <w:t>de  ensayos  aunque  son 100%  específicos,  su  sensibilidad  </w:t>
      </w:r>
      <w:r>
        <w:rPr>
          <w:spacing w:val="-3"/>
          <w:sz w:val="24"/>
        </w:rPr>
        <w:t>no  </w:t>
      </w:r>
      <w:r>
        <w:rPr>
          <w:sz w:val="24"/>
        </w:rPr>
        <w:t>supera</w:t>
      </w:r>
      <w:r>
        <w:rPr>
          <w:spacing w:val="21"/>
          <w:sz w:val="24"/>
        </w:rPr>
        <w:t> </w:t>
      </w:r>
      <w:r>
        <w:rPr>
          <w:sz w:val="24"/>
        </w:rPr>
        <w:t>el 50%; en nuestro</w:t>
      </w:r>
    </w:p>
    <w:p>
      <w:pPr>
        <w:pStyle w:val="ListParagraph"/>
        <w:numPr>
          <w:ilvl w:val="0"/>
          <w:numId w:val="16"/>
        </w:numPr>
        <w:tabs>
          <w:tab w:pos="692" w:val="left" w:leader="none"/>
          <w:tab w:pos="693" w:val="left" w:leader="none"/>
          <w:tab w:pos="8123" w:val="left" w:leader="none"/>
        </w:tabs>
        <w:spacing w:line="240" w:lineRule="auto" w:before="130" w:after="0"/>
        <w:ind w:left="692" w:right="0" w:hanging="581"/>
        <w:jc w:val="left"/>
        <w:rPr>
          <w:sz w:val="24"/>
        </w:rPr>
      </w:pPr>
      <w:r>
        <w:rPr>
          <w:sz w:val="24"/>
        </w:rPr>
        <w:t>estudio,  </w:t>
      </w:r>
      <w:r>
        <w:rPr>
          <w:spacing w:val="-5"/>
          <w:sz w:val="24"/>
        </w:rPr>
        <w:t>la  </w:t>
      </w:r>
      <w:r>
        <w:rPr>
          <w:sz w:val="24"/>
        </w:rPr>
        <w:t>sensibilidad comparada con PCR anidado </w:t>
      </w:r>
      <w:r>
        <w:rPr>
          <w:spacing w:val="-3"/>
          <w:sz w:val="24"/>
        </w:rPr>
        <w:t>sólo   </w:t>
      </w:r>
      <w:r>
        <w:rPr>
          <w:spacing w:val="47"/>
          <w:sz w:val="24"/>
        </w:rPr>
        <w:t> </w:t>
      </w:r>
      <w:r>
        <w:rPr>
          <w:sz w:val="24"/>
        </w:rPr>
        <w:t>alcanzó</w:t>
      </w:r>
      <w:r>
        <w:rPr>
          <w:spacing w:val="42"/>
          <w:sz w:val="24"/>
        </w:rPr>
        <w:t> </w:t>
      </w:r>
      <w:r>
        <w:rPr>
          <w:sz w:val="24"/>
        </w:rPr>
        <w:t>63%.</w:t>
        <w:tab/>
        <w:t>Quizá,  </w:t>
      </w:r>
      <w:r>
        <w:rPr>
          <w:spacing w:val="-3"/>
          <w:sz w:val="24"/>
        </w:rPr>
        <w:t>la</w:t>
      </w:r>
      <w:r>
        <w:rPr>
          <w:spacing w:val="19"/>
          <w:sz w:val="24"/>
        </w:rPr>
        <w:t> </w:t>
      </w:r>
      <w:r>
        <w:rPr>
          <w:sz w:val="24"/>
        </w:rPr>
        <w:t>baja</w:t>
      </w:r>
    </w:p>
    <w:p>
      <w:pPr>
        <w:pStyle w:val="ListParagraph"/>
        <w:numPr>
          <w:ilvl w:val="0"/>
          <w:numId w:val="16"/>
        </w:numPr>
        <w:tabs>
          <w:tab w:pos="692" w:val="left" w:leader="none"/>
          <w:tab w:pos="693" w:val="left" w:leader="none"/>
        </w:tabs>
        <w:spacing w:line="240" w:lineRule="auto" w:before="134" w:after="0"/>
        <w:ind w:left="692" w:right="0" w:hanging="581"/>
        <w:jc w:val="left"/>
        <w:rPr>
          <w:sz w:val="24"/>
        </w:rPr>
      </w:pPr>
      <w:r>
        <w:rPr>
          <w:sz w:val="24"/>
        </w:rPr>
        <w:t>sensibilidad  de esta técnica puede explicarse debido a que una gran cantidad de  </w:t>
      </w:r>
      <w:r>
        <w:rPr>
          <w:spacing w:val="12"/>
          <w:sz w:val="24"/>
        </w:rPr>
        <w:t> </w:t>
      </w:r>
      <w:r>
        <w:rPr>
          <w:sz w:val="24"/>
        </w:rPr>
        <w:t>partículas</w:t>
      </w:r>
    </w:p>
    <w:p>
      <w:pPr>
        <w:pStyle w:val="ListParagraph"/>
        <w:numPr>
          <w:ilvl w:val="0"/>
          <w:numId w:val="16"/>
        </w:numPr>
        <w:tabs>
          <w:tab w:pos="692" w:val="left" w:leader="none"/>
          <w:tab w:pos="693" w:val="left" w:leader="none"/>
          <w:tab w:pos="3066" w:val="left" w:leader="none"/>
        </w:tabs>
        <w:spacing w:line="240" w:lineRule="auto" w:before="129" w:after="0"/>
        <w:ind w:left="692" w:right="0" w:hanging="581"/>
        <w:jc w:val="left"/>
        <w:rPr>
          <w:sz w:val="24"/>
        </w:rPr>
      </w:pPr>
      <w:r>
        <w:rPr>
          <w:sz w:val="24"/>
        </w:rPr>
        <w:t>virales  en </w:t>
      </w:r>
      <w:r>
        <w:rPr>
          <w:spacing w:val="39"/>
          <w:sz w:val="24"/>
        </w:rPr>
        <w:t> </w:t>
      </w:r>
      <w:r>
        <w:rPr>
          <w:sz w:val="24"/>
        </w:rPr>
        <w:t>las </w:t>
      </w:r>
      <w:r>
        <w:rPr>
          <w:spacing w:val="18"/>
          <w:sz w:val="24"/>
        </w:rPr>
        <w:t> </w:t>
      </w:r>
      <w:r>
        <w:rPr>
          <w:sz w:val="24"/>
        </w:rPr>
        <w:t>heces</w:t>
        <w:tab/>
        <w:t>debe  ser  eliminada  para  poder  obtener  un  resultado   </w:t>
      </w:r>
      <w:r>
        <w:rPr>
          <w:spacing w:val="41"/>
          <w:sz w:val="24"/>
        </w:rPr>
        <w:t> </w:t>
      </w:r>
      <w:r>
        <w:rPr>
          <w:sz w:val="24"/>
        </w:rPr>
        <w:t>positivo,</w:t>
      </w:r>
    </w:p>
    <w:p>
      <w:pPr>
        <w:pStyle w:val="ListParagraph"/>
        <w:numPr>
          <w:ilvl w:val="0"/>
          <w:numId w:val="16"/>
        </w:numPr>
        <w:tabs>
          <w:tab w:pos="692" w:val="left" w:leader="none"/>
          <w:tab w:pos="693" w:val="left" w:leader="none"/>
        </w:tabs>
        <w:spacing w:line="240" w:lineRule="auto" w:before="129" w:after="0"/>
        <w:ind w:left="692" w:right="0" w:hanging="581"/>
        <w:jc w:val="left"/>
        <w:rPr>
          <w:sz w:val="24"/>
        </w:rPr>
      </w:pPr>
      <w:r>
        <w:rPr>
          <w:sz w:val="24"/>
        </w:rPr>
        <w:t>considerando      </w:t>
      </w:r>
      <w:r>
        <w:rPr>
          <w:spacing w:val="44"/>
          <w:sz w:val="24"/>
        </w:rPr>
        <w:t> </w:t>
      </w:r>
      <w:r>
        <w:rPr>
          <w:sz w:val="24"/>
        </w:rPr>
        <w:t>que el pico  de eliminación viral es de  7 a 10 días,  muestras de pacientes</w:t>
      </w:r>
    </w:p>
    <w:p>
      <w:pPr>
        <w:pStyle w:val="ListParagraph"/>
        <w:numPr>
          <w:ilvl w:val="0"/>
          <w:numId w:val="16"/>
        </w:numPr>
        <w:tabs>
          <w:tab w:pos="692" w:val="left" w:leader="none"/>
          <w:tab w:pos="693" w:val="left" w:leader="none"/>
        </w:tabs>
        <w:spacing w:line="240" w:lineRule="auto" w:before="130" w:after="0"/>
        <w:ind w:left="692" w:right="0" w:hanging="581"/>
        <w:jc w:val="left"/>
        <w:rPr>
          <w:sz w:val="24"/>
        </w:rPr>
      </w:pPr>
      <w:r>
        <w:rPr>
          <w:sz w:val="24"/>
        </w:rPr>
        <w:t>obtenidas  posteriores  a  este  periodo,   podrían  dar  resultados  negativos,   debido   a   </w:t>
      </w:r>
      <w:r>
        <w:rPr>
          <w:spacing w:val="18"/>
          <w:sz w:val="24"/>
        </w:rPr>
        <w:t> </w:t>
      </w:r>
      <w:r>
        <w:rPr>
          <w:spacing w:val="-5"/>
          <w:sz w:val="24"/>
        </w:rPr>
        <w:t>la</w:t>
      </w:r>
    </w:p>
    <w:p>
      <w:pPr>
        <w:pStyle w:val="ListParagraph"/>
        <w:numPr>
          <w:ilvl w:val="0"/>
          <w:numId w:val="16"/>
        </w:numPr>
        <w:tabs>
          <w:tab w:pos="692" w:val="left" w:leader="none"/>
          <w:tab w:pos="693" w:val="left" w:leader="none"/>
        </w:tabs>
        <w:spacing w:line="240" w:lineRule="auto" w:before="134" w:after="0"/>
        <w:ind w:left="692" w:right="0" w:hanging="581"/>
        <w:jc w:val="left"/>
        <w:rPr>
          <w:sz w:val="24"/>
        </w:rPr>
      </w:pPr>
      <w:r>
        <w:rPr>
          <w:sz w:val="24"/>
        </w:rPr>
        <w:t>disminución</w:t>
      </w:r>
      <w:r>
        <w:rPr>
          <w:spacing w:val="43"/>
          <w:sz w:val="24"/>
        </w:rPr>
        <w:t> </w:t>
      </w:r>
      <w:r>
        <w:rPr>
          <w:sz w:val="24"/>
        </w:rPr>
        <w:t>o</w:t>
      </w:r>
      <w:r>
        <w:rPr>
          <w:spacing w:val="47"/>
          <w:sz w:val="24"/>
        </w:rPr>
        <w:t> </w:t>
      </w:r>
      <w:r>
        <w:rPr>
          <w:sz w:val="24"/>
        </w:rPr>
        <w:t>a</w:t>
      </w:r>
      <w:r>
        <w:rPr>
          <w:spacing w:val="47"/>
          <w:sz w:val="24"/>
        </w:rPr>
        <w:t> </w:t>
      </w:r>
      <w:r>
        <w:rPr>
          <w:spacing w:val="-5"/>
          <w:sz w:val="24"/>
        </w:rPr>
        <w:t>la</w:t>
      </w:r>
      <w:r>
        <w:rPr>
          <w:spacing w:val="47"/>
          <w:sz w:val="24"/>
        </w:rPr>
        <w:t> </w:t>
      </w:r>
      <w:r>
        <w:rPr>
          <w:sz w:val="24"/>
        </w:rPr>
        <w:t>escasa</w:t>
      </w:r>
      <w:r>
        <w:rPr>
          <w:spacing w:val="51"/>
          <w:sz w:val="24"/>
        </w:rPr>
        <w:t> </w:t>
      </w:r>
      <w:r>
        <w:rPr>
          <w:sz w:val="24"/>
        </w:rPr>
        <w:t>excreción</w:t>
      </w:r>
      <w:r>
        <w:rPr>
          <w:spacing w:val="40"/>
          <w:sz w:val="24"/>
        </w:rPr>
        <w:t> </w:t>
      </w:r>
      <w:r>
        <w:rPr>
          <w:sz w:val="24"/>
        </w:rPr>
        <w:t>de</w:t>
      </w:r>
      <w:r>
        <w:rPr>
          <w:spacing w:val="42"/>
          <w:sz w:val="24"/>
        </w:rPr>
        <w:t> </w:t>
      </w:r>
      <w:r>
        <w:rPr>
          <w:sz w:val="24"/>
        </w:rPr>
        <w:t>partículas</w:t>
      </w:r>
      <w:r>
        <w:rPr>
          <w:spacing w:val="45"/>
          <w:sz w:val="24"/>
        </w:rPr>
        <w:t> </w:t>
      </w:r>
      <w:r>
        <w:rPr>
          <w:sz w:val="24"/>
        </w:rPr>
        <w:t>virales</w:t>
      </w:r>
      <w:r>
        <w:rPr>
          <w:spacing w:val="45"/>
          <w:sz w:val="24"/>
        </w:rPr>
        <w:t> </w:t>
      </w:r>
      <w:r>
        <w:rPr>
          <w:sz w:val="24"/>
        </w:rPr>
        <w:t>en</w:t>
      </w:r>
      <w:r>
        <w:rPr>
          <w:spacing w:val="43"/>
          <w:sz w:val="24"/>
        </w:rPr>
        <w:t> </w:t>
      </w:r>
      <w:r>
        <w:rPr>
          <w:sz w:val="24"/>
        </w:rPr>
        <w:t>las</w:t>
      </w:r>
      <w:r>
        <w:rPr>
          <w:spacing w:val="46"/>
          <w:sz w:val="24"/>
        </w:rPr>
        <w:t> </w:t>
      </w:r>
      <w:r>
        <w:rPr>
          <w:sz w:val="24"/>
        </w:rPr>
        <w:t>heces,</w:t>
      </w:r>
      <w:r>
        <w:rPr>
          <w:spacing w:val="55"/>
          <w:sz w:val="24"/>
        </w:rPr>
        <w:t> </w:t>
      </w:r>
      <w:r>
        <w:rPr>
          <w:spacing w:val="-5"/>
          <w:sz w:val="24"/>
        </w:rPr>
        <w:t>lo</w:t>
      </w:r>
      <w:r>
        <w:rPr>
          <w:spacing w:val="47"/>
          <w:sz w:val="24"/>
        </w:rPr>
        <w:t> </w:t>
      </w:r>
      <w:r>
        <w:rPr>
          <w:sz w:val="24"/>
        </w:rPr>
        <w:t>cual</w:t>
      </w:r>
      <w:r>
        <w:rPr>
          <w:spacing w:val="43"/>
          <w:sz w:val="24"/>
        </w:rPr>
        <w:t> </w:t>
      </w:r>
      <w:r>
        <w:rPr>
          <w:sz w:val="24"/>
        </w:rPr>
        <w:t>ha</w:t>
      </w:r>
      <w:r>
        <w:rPr>
          <w:spacing w:val="47"/>
          <w:sz w:val="24"/>
        </w:rPr>
        <w:t> </w:t>
      </w:r>
      <w:r>
        <w:rPr>
          <w:sz w:val="24"/>
        </w:rPr>
        <w:t>sido</w:t>
      </w:r>
    </w:p>
    <w:p>
      <w:pPr>
        <w:pStyle w:val="ListParagraph"/>
        <w:numPr>
          <w:ilvl w:val="0"/>
          <w:numId w:val="16"/>
        </w:numPr>
        <w:tabs>
          <w:tab w:pos="692" w:val="left" w:leader="none"/>
          <w:tab w:pos="693" w:val="left" w:leader="none"/>
        </w:tabs>
        <w:spacing w:line="240" w:lineRule="auto" w:before="129" w:after="0"/>
        <w:ind w:left="692" w:right="0" w:hanging="581"/>
        <w:jc w:val="left"/>
        <w:rPr>
          <w:sz w:val="24"/>
        </w:rPr>
      </w:pPr>
      <w:r>
        <w:rPr>
          <w:sz w:val="24"/>
        </w:rPr>
        <w:t>documentado</w:t>
      </w:r>
      <w:r>
        <w:rPr>
          <w:spacing w:val="47"/>
          <w:sz w:val="24"/>
        </w:rPr>
        <w:t> </w:t>
      </w:r>
      <w:r>
        <w:rPr>
          <w:sz w:val="24"/>
        </w:rPr>
        <w:t>que</w:t>
      </w:r>
      <w:r>
        <w:rPr>
          <w:spacing w:val="47"/>
          <w:sz w:val="24"/>
        </w:rPr>
        <w:t> </w:t>
      </w:r>
      <w:r>
        <w:rPr>
          <w:sz w:val="24"/>
        </w:rPr>
        <w:t>llega</w:t>
      </w:r>
      <w:r>
        <w:rPr>
          <w:spacing w:val="42"/>
          <w:sz w:val="24"/>
        </w:rPr>
        <w:t> </w:t>
      </w:r>
      <w:r>
        <w:rPr>
          <w:sz w:val="24"/>
        </w:rPr>
        <w:t>a</w:t>
      </w:r>
      <w:r>
        <w:rPr>
          <w:spacing w:val="47"/>
          <w:sz w:val="24"/>
        </w:rPr>
        <w:t> </w:t>
      </w:r>
      <w:r>
        <w:rPr>
          <w:sz w:val="24"/>
        </w:rPr>
        <w:t>producirse</w:t>
      </w:r>
      <w:r>
        <w:rPr>
          <w:spacing w:val="42"/>
          <w:sz w:val="24"/>
        </w:rPr>
        <w:t> </w:t>
      </w:r>
      <w:r>
        <w:rPr>
          <w:sz w:val="24"/>
        </w:rPr>
        <w:t>por</w:t>
      </w:r>
      <w:r>
        <w:rPr>
          <w:spacing w:val="49"/>
          <w:sz w:val="24"/>
        </w:rPr>
        <w:t> </w:t>
      </w:r>
      <w:r>
        <w:rPr>
          <w:spacing w:val="-5"/>
          <w:sz w:val="24"/>
        </w:rPr>
        <w:t>la </w:t>
      </w:r>
      <w:r>
        <w:rPr>
          <w:spacing w:val="-4"/>
          <w:sz w:val="24"/>
        </w:rPr>
        <w:t> </w:t>
      </w:r>
      <w:r>
        <w:rPr>
          <w:sz w:val="24"/>
        </w:rPr>
        <w:t>neutralización</w:t>
      </w:r>
      <w:r>
        <w:rPr>
          <w:spacing w:val="43"/>
          <w:sz w:val="24"/>
        </w:rPr>
        <w:t> </w:t>
      </w:r>
      <w:r>
        <w:rPr>
          <w:sz w:val="24"/>
        </w:rPr>
        <w:t>de</w:t>
      </w:r>
      <w:r>
        <w:rPr>
          <w:spacing w:val="47"/>
          <w:sz w:val="24"/>
        </w:rPr>
        <w:t> </w:t>
      </w:r>
      <w:r>
        <w:rPr>
          <w:sz w:val="24"/>
        </w:rPr>
        <w:t>los</w:t>
      </w:r>
      <w:r>
        <w:rPr>
          <w:spacing w:val="45"/>
          <w:sz w:val="24"/>
        </w:rPr>
        <w:t> </w:t>
      </w:r>
      <w:r>
        <w:rPr>
          <w:sz w:val="24"/>
        </w:rPr>
        <w:t>antígenos</w:t>
      </w:r>
      <w:r>
        <w:rPr>
          <w:spacing w:val="41"/>
          <w:sz w:val="24"/>
        </w:rPr>
        <w:t> </w:t>
      </w:r>
      <w:r>
        <w:rPr>
          <w:sz w:val="24"/>
        </w:rPr>
        <w:t>debido</w:t>
      </w:r>
      <w:r>
        <w:rPr>
          <w:spacing w:val="47"/>
          <w:sz w:val="24"/>
        </w:rPr>
        <w:t> </w:t>
      </w:r>
      <w:r>
        <w:rPr>
          <w:sz w:val="24"/>
        </w:rPr>
        <w:t>a</w:t>
      </w:r>
      <w:r>
        <w:rPr>
          <w:spacing w:val="47"/>
          <w:sz w:val="24"/>
        </w:rPr>
        <w:t> </w:t>
      </w:r>
      <w:r>
        <w:rPr>
          <w:spacing w:val="-3"/>
          <w:sz w:val="24"/>
        </w:rPr>
        <w:t>la</w:t>
      </w:r>
    </w:p>
    <w:p>
      <w:pPr>
        <w:pStyle w:val="ListParagraph"/>
        <w:numPr>
          <w:ilvl w:val="0"/>
          <w:numId w:val="16"/>
        </w:numPr>
        <w:tabs>
          <w:tab w:pos="692" w:val="left" w:leader="none"/>
          <w:tab w:pos="693" w:val="left" w:leader="none"/>
        </w:tabs>
        <w:spacing w:line="240" w:lineRule="auto" w:before="129" w:after="0"/>
        <w:ind w:left="692" w:right="0" w:hanging="581"/>
        <w:jc w:val="left"/>
        <w:rPr>
          <w:sz w:val="24"/>
        </w:rPr>
      </w:pPr>
      <w:r>
        <w:rPr>
          <w:sz w:val="24"/>
        </w:rPr>
        <w:t>producción de   anticuerpos (Prittie 2004, Goddard y Leisewitz 2010, Desario  y </w:t>
      </w:r>
      <w:r>
        <w:rPr>
          <w:spacing w:val="2"/>
          <w:sz w:val="24"/>
        </w:rPr>
        <w:t>col  </w:t>
      </w:r>
      <w:r>
        <w:rPr>
          <w:spacing w:val="28"/>
          <w:sz w:val="24"/>
        </w:rPr>
        <w:t> </w:t>
      </w:r>
      <w:r>
        <w:rPr>
          <w:sz w:val="24"/>
        </w:rPr>
        <w:t>2005;</w:t>
      </w:r>
    </w:p>
    <w:p>
      <w:pPr>
        <w:pStyle w:val="ListParagraph"/>
        <w:numPr>
          <w:ilvl w:val="0"/>
          <w:numId w:val="16"/>
        </w:numPr>
        <w:tabs>
          <w:tab w:pos="692" w:val="left" w:leader="none"/>
          <w:tab w:pos="693" w:val="left" w:leader="none"/>
        </w:tabs>
        <w:spacing w:line="240" w:lineRule="auto" w:before="130" w:after="0"/>
        <w:ind w:left="692" w:right="0" w:hanging="581"/>
        <w:jc w:val="left"/>
        <w:rPr>
          <w:sz w:val="24"/>
        </w:rPr>
      </w:pPr>
      <w:r>
        <w:rPr>
          <w:sz w:val="24"/>
        </w:rPr>
        <w:t>Decaro y </w:t>
      </w:r>
      <w:r>
        <w:rPr>
          <w:spacing w:val="2"/>
          <w:sz w:val="24"/>
        </w:rPr>
        <w:t>col </w:t>
      </w:r>
      <w:r>
        <w:rPr>
          <w:sz w:val="24"/>
        </w:rPr>
        <w:t>2010). Esta consideración es relevante, </w:t>
      </w:r>
      <w:r>
        <w:rPr>
          <w:spacing w:val="-5"/>
          <w:sz w:val="24"/>
        </w:rPr>
        <w:t>ya </w:t>
      </w:r>
      <w:r>
        <w:rPr>
          <w:sz w:val="24"/>
        </w:rPr>
        <w:t>que indica que </w:t>
      </w:r>
      <w:r>
        <w:rPr>
          <w:spacing w:val="-3"/>
          <w:sz w:val="24"/>
        </w:rPr>
        <w:t>la </w:t>
      </w:r>
      <w:r>
        <w:rPr>
          <w:sz w:val="24"/>
        </w:rPr>
        <w:t>utilización de</w:t>
      </w:r>
      <w:r>
        <w:rPr>
          <w:spacing w:val="16"/>
          <w:sz w:val="24"/>
        </w:rPr>
        <w:t> </w:t>
      </w:r>
      <w:r>
        <w:rPr>
          <w:sz w:val="24"/>
        </w:rPr>
        <w:t>esta</w:t>
      </w:r>
    </w:p>
    <w:p>
      <w:pPr>
        <w:pStyle w:val="ListParagraph"/>
        <w:numPr>
          <w:ilvl w:val="0"/>
          <w:numId w:val="16"/>
        </w:numPr>
        <w:tabs>
          <w:tab w:pos="692" w:val="left" w:leader="none"/>
          <w:tab w:pos="693" w:val="left" w:leader="none"/>
        </w:tabs>
        <w:spacing w:line="240" w:lineRule="auto" w:before="134" w:after="0"/>
        <w:ind w:left="692" w:right="0" w:hanging="581"/>
        <w:jc w:val="left"/>
        <w:rPr>
          <w:sz w:val="24"/>
        </w:rPr>
      </w:pPr>
      <w:r>
        <w:rPr>
          <w:sz w:val="24"/>
        </w:rPr>
        <w:t>técnica requiere del apoyo de otros procedimientos confirmatorios, </w:t>
      </w:r>
      <w:r>
        <w:rPr>
          <w:spacing w:val="-5"/>
          <w:sz w:val="24"/>
        </w:rPr>
        <w:t>lo  </w:t>
      </w:r>
      <w:r>
        <w:rPr>
          <w:sz w:val="24"/>
        </w:rPr>
        <w:t>cual   eleva el  </w:t>
      </w:r>
      <w:r>
        <w:rPr>
          <w:spacing w:val="19"/>
          <w:sz w:val="24"/>
        </w:rPr>
        <w:t> </w:t>
      </w:r>
      <w:r>
        <w:rPr>
          <w:sz w:val="24"/>
        </w:rPr>
        <w:t>costo</w:t>
      </w:r>
    </w:p>
    <w:p>
      <w:pPr>
        <w:pStyle w:val="ListParagraph"/>
        <w:numPr>
          <w:ilvl w:val="0"/>
          <w:numId w:val="16"/>
        </w:numPr>
        <w:tabs>
          <w:tab w:pos="692" w:val="left" w:leader="none"/>
          <w:tab w:pos="693" w:val="left" w:leader="none"/>
        </w:tabs>
        <w:spacing w:line="240" w:lineRule="auto" w:before="129" w:after="0"/>
        <w:ind w:left="692" w:right="0" w:hanging="581"/>
        <w:jc w:val="left"/>
        <w:rPr>
          <w:sz w:val="24"/>
        </w:rPr>
      </w:pPr>
      <w:r>
        <w:rPr>
          <w:sz w:val="24"/>
        </w:rPr>
        <w:t>del diagnóstico  definitivo.  La  divulgación de  estos  datos  será  muy importante  para</w:t>
      </w:r>
      <w:r>
        <w:rPr>
          <w:spacing w:val="59"/>
          <w:sz w:val="24"/>
        </w:rPr>
        <w:t> </w:t>
      </w:r>
      <w:r>
        <w:rPr>
          <w:sz w:val="24"/>
        </w:rPr>
        <w:t>los</w:t>
      </w:r>
    </w:p>
    <w:p>
      <w:pPr>
        <w:pStyle w:val="ListParagraph"/>
        <w:numPr>
          <w:ilvl w:val="0"/>
          <w:numId w:val="16"/>
        </w:numPr>
        <w:tabs>
          <w:tab w:pos="692" w:val="left" w:leader="none"/>
          <w:tab w:pos="693" w:val="left" w:leader="none"/>
        </w:tabs>
        <w:spacing w:line="240" w:lineRule="auto" w:before="129" w:after="0"/>
        <w:ind w:left="692" w:right="0" w:hanging="581"/>
        <w:jc w:val="left"/>
        <w:rPr>
          <w:sz w:val="24"/>
        </w:rPr>
      </w:pPr>
      <w:r>
        <w:rPr>
          <w:sz w:val="24"/>
        </w:rPr>
        <w:t>clínicos, porque probablemente ellos estén tomando  </w:t>
      </w:r>
      <w:r>
        <w:rPr>
          <w:spacing w:val="-5"/>
          <w:sz w:val="24"/>
        </w:rPr>
        <w:t>la  </w:t>
      </w:r>
      <w:r>
        <w:rPr>
          <w:sz w:val="24"/>
        </w:rPr>
        <w:t>decisión de utilizar    </w:t>
      </w:r>
      <w:r>
        <w:rPr>
          <w:spacing w:val="13"/>
          <w:sz w:val="24"/>
        </w:rPr>
        <w:t> </w:t>
      </w:r>
      <w:r>
        <w:rPr>
          <w:sz w:val="24"/>
        </w:rPr>
        <w:t>estas pruebas</w:t>
      </w:r>
    </w:p>
    <w:p>
      <w:pPr>
        <w:pStyle w:val="ListParagraph"/>
        <w:numPr>
          <w:ilvl w:val="0"/>
          <w:numId w:val="16"/>
        </w:numPr>
        <w:tabs>
          <w:tab w:pos="692" w:val="left" w:leader="none"/>
          <w:tab w:pos="693" w:val="left" w:leader="none"/>
        </w:tabs>
        <w:spacing w:line="240" w:lineRule="auto" w:before="130" w:after="0"/>
        <w:ind w:left="692" w:right="0" w:hanging="581"/>
        <w:jc w:val="left"/>
        <w:rPr>
          <w:sz w:val="24"/>
        </w:rPr>
      </w:pPr>
      <w:r>
        <w:rPr>
          <w:sz w:val="24"/>
        </w:rPr>
        <w:t>más por  el impacto  comercial que realizan las empresas  y por  el tiempo  en que   </w:t>
      </w:r>
      <w:r>
        <w:rPr>
          <w:spacing w:val="12"/>
          <w:sz w:val="24"/>
        </w:rPr>
        <w:t> </w:t>
      </w:r>
      <w:r>
        <w:rPr>
          <w:sz w:val="24"/>
        </w:rPr>
        <w:t>pueden</w:t>
      </w:r>
    </w:p>
    <w:p>
      <w:pPr>
        <w:pStyle w:val="ListParagraph"/>
        <w:numPr>
          <w:ilvl w:val="0"/>
          <w:numId w:val="16"/>
        </w:numPr>
        <w:tabs>
          <w:tab w:pos="692" w:val="left" w:leader="none"/>
          <w:tab w:pos="693" w:val="left" w:leader="none"/>
        </w:tabs>
        <w:spacing w:line="240" w:lineRule="auto" w:before="129" w:after="0"/>
        <w:ind w:left="692" w:right="0" w:hanging="581"/>
        <w:jc w:val="left"/>
        <w:rPr>
          <w:sz w:val="24"/>
        </w:rPr>
      </w:pPr>
      <w:r>
        <w:rPr>
          <w:sz w:val="24"/>
        </w:rPr>
        <w:t>obtener  los  resultados,  que  por  </w:t>
      </w:r>
      <w:r>
        <w:rPr>
          <w:spacing w:val="-5"/>
          <w:sz w:val="24"/>
        </w:rPr>
        <w:t>la  </w:t>
      </w:r>
      <w:r>
        <w:rPr>
          <w:sz w:val="24"/>
        </w:rPr>
        <w:t>utilidad  real  que  poseen  estas  pruebas</w:t>
      </w:r>
      <w:r>
        <w:rPr>
          <w:spacing w:val="-5"/>
          <w:sz w:val="24"/>
        </w:rPr>
        <w:t> </w:t>
      </w:r>
      <w:r>
        <w:rPr>
          <w:sz w:val="24"/>
        </w:rPr>
        <w:t>diagnósticas.</w:t>
      </w:r>
    </w:p>
    <w:p>
      <w:pPr>
        <w:pStyle w:val="ListParagraph"/>
        <w:numPr>
          <w:ilvl w:val="0"/>
          <w:numId w:val="16"/>
        </w:numPr>
        <w:tabs>
          <w:tab w:pos="692" w:val="left" w:leader="none"/>
          <w:tab w:pos="693" w:val="left" w:leader="none"/>
        </w:tabs>
        <w:spacing w:line="240" w:lineRule="auto" w:before="134" w:after="0"/>
        <w:ind w:left="692" w:right="0" w:hanging="581"/>
        <w:jc w:val="left"/>
        <w:rPr>
          <w:sz w:val="24"/>
        </w:rPr>
      </w:pPr>
      <w:r>
        <w:rPr>
          <w:sz w:val="24"/>
        </w:rPr>
        <w:t>Diversos trabajos  han demostrado  </w:t>
      </w:r>
      <w:r>
        <w:rPr>
          <w:spacing w:val="-5"/>
          <w:sz w:val="24"/>
        </w:rPr>
        <w:t>la  </w:t>
      </w:r>
      <w:r>
        <w:rPr>
          <w:sz w:val="24"/>
        </w:rPr>
        <w:t>alta  sensibilidad  de  </w:t>
      </w:r>
      <w:r>
        <w:rPr>
          <w:spacing w:val="-3"/>
          <w:sz w:val="24"/>
        </w:rPr>
        <w:t>la  </w:t>
      </w:r>
      <w:r>
        <w:rPr>
          <w:sz w:val="24"/>
        </w:rPr>
        <w:t>pruebas  basadas  en PCR </w:t>
      </w:r>
      <w:r>
        <w:rPr>
          <w:spacing w:val="17"/>
          <w:sz w:val="24"/>
        </w:rPr>
        <w:t> </w:t>
      </w:r>
      <w:r>
        <w:rPr>
          <w:sz w:val="24"/>
        </w:rPr>
        <w:t>y</w:t>
      </w:r>
    </w:p>
    <w:p>
      <w:pPr>
        <w:pStyle w:val="ListParagraph"/>
        <w:numPr>
          <w:ilvl w:val="0"/>
          <w:numId w:val="16"/>
        </w:numPr>
        <w:tabs>
          <w:tab w:pos="692" w:val="left" w:leader="none"/>
          <w:tab w:pos="693" w:val="left" w:leader="none"/>
        </w:tabs>
        <w:spacing w:line="240" w:lineRule="auto" w:before="129" w:after="0"/>
        <w:ind w:left="692" w:right="0" w:hanging="581"/>
        <w:jc w:val="left"/>
        <w:rPr>
          <w:sz w:val="24"/>
        </w:rPr>
      </w:pPr>
      <w:r>
        <w:rPr>
          <w:sz w:val="24"/>
        </w:rPr>
        <w:t>actualmente existen diferentes variantes de  </w:t>
      </w:r>
      <w:r>
        <w:rPr>
          <w:spacing w:val="-3"/>
          <w:sz w:val="24"/>
        </w:rPr>
        <w:t>la  </w:t>
      </w:r>
      <w:r>
        <w:rPr>
          <w:sz w:val="24"/>
        </w:rPr>
        <w:t>misma,  que ofrecen rangos de  </w:t>
      </w:r>
      <w:r>
        <w:rPr>
          <w:spacing w:val="22"/>
          <w:sz w:val="24"/>
        </w:rPr>
        <w:t> </w:t>
      </w:r>
      <w:r>
        <w:rPr>
          <w:sz w:val="24"/>
        </w:rPr>
        <w:t>sensibilidad</w:t>
      </w:r>
    </w:p>
    <w:p>
      <w:pPr>
        <w:pStyle w:val="ListParagraph"/>
        <w:numPr>
          <w:ilvl w:val="0"/>
          <w:numId w:val="16"/>
        </w:numPr>
        <w:tabs>
          <w:tab w:pos="692" w:val="left" w:leader="none"/>
          <w:tab w:pos="693" w:val="left" w:leader="none"/>
        </w:tabs>
        <w:spacing w:line="240" w:lineRule="auto" w:before="130" w:after="0"/>
        <w:ind w:left="692" w:right="0" w:hanging="581"/>
        <w:jc w:val="left"/>
        <w:rPr>
          <w:sz w:val="24"/>
        </w:rPr>
      </w:pPr>
      <w:r>
        <w:rPr>
          <w:sz w:val="24"/>
        </w:rPr>
        <w:t>que</w:t>
      </w:r>
      <w:r>
        <w:rPr>
          <w:spacing w:val="19"/>
          <w:sz w:val="24"/>
        </w:rPr>
        <w:t> </w:t>
      </w:r>
      <w:r>
        <w:rPr>
          <w:sz w:val="24"/>
        </w:rPr>
        <w:t>van</w:t>
      </w:r>
      <w:r>
        <w:rPr>
          <w:spacing w:val="15"/>
          <w:sz w:val="24"/>
        </w:rPr>
        <w:t> </w:t>
      </w:r>
      <w:r>
        <w:rPr>
          <w:spacing w:val="2"/>
          <w:sz w:val="24"/>
        </w:rPr>
        <w:t>del</w:t>
      </w:r>
      <w:r>
        <w:rPr>
          <w:spacing w:val="16"/>
          <w:sz w:val="24"/>
        </w:rPr>
        <w:t> </w:t>
      </w:r>
      <w:r>
        <w:rPr>
          <w:sz w:val="24"/>
        </w:rPr>
        <w:t>80</w:t>
      </w:r>
      <w:r>
        <w:rPr>
          <w:spacing w:val="20"/>
          <w:sz w:val="24"/>
        </w:rPr>
        <w:t> </w:t>
      </w:r>
      <w:r>
        <w:rPr>
          <w:sz w:val="24"/>
        </w:rPr>
        <w:t>al</w:t>
      </w:r>
      <w:r>
        <w:rPr>
          <w:spacing w:val="16"/>
          <w:sz w:val="24"/>
        </w:rPr>
        <w:t> </w:t>
      </w:r>
      <w:r>
        <w:rPr>
          <w:sz w:val="24"/>
        </w:rPr>
        <w:t>100%;</w:t>
      </w:r>
      <w:r>
        <w:rPr>
          <w:spacing w:val="16"/>
          <w:sz w:val="24"/>
        </w:rPr>
        <w:t> </w:t>
      </w:r>
      <w:r>
        <w:rPr>
          <w:sz w:val="24"/>
        </w:rPr>
        <w:t>estas</w:t>
      </w:r>
      <w:r>
        <w:rPr>
          <w:spacing w:val="18"/>
          <w:sz w:val="24"/>
        </w:rPr>
        <w:t> </w:t>
      </w:r>
      <w:r>
        <w:rPr>
          <w:sz w:val="24"/>
        </w:rPr>
        <w:t>pruebas</w:t>
      </w:r>
      <w:r>
        <w:rPr>
          <w:spacing w:val="18"/>
          <w:sz w:val="24"/>
        </w:rPr>
        <w:t> </w:t>
      </w:r>
      <w:r>
        <w:rPr>
          <w:sz w:val="24"/>
        </w:rPr>
        <w:t>aunque</w:t>
      </w:r>
      <w:r>
        <w:rPr>
          <w:spacing w:val="24"/>
          <w:sz w:val="24"/>
        </w:rPr>
        <w:t> </w:t>
      </w:r>
      <w:r>
        <w:rPr>
          <w:sz w:val="24"/>
        </w:rPr>
        <w:t>han</w:t>
      </w:r>
      <w:r>
        <w:rPr>
          <w:spacing w:val="15"/>
          <w:sz w:val="24"/>
        </w:rPr>
        <w:t> </w:t>
      </w:r>
      <w:r>
        <w:rPr>
          <w:sz w:val="24"/>
        </w:rPr>
        <w:t>sido</w:t>
      </w:r>
      <w:r>
        <w:rPr>
          <w:spacing w:val="24"/>
          <w:sz w:val="24"/>
        </w:rPr>
        <w:t> </w:t>
      </w:r>
      <w:r>
        <w:rPr>
          <w:sz w:val="24"/>
        </w:rPr>
        <w:t>bien</w:t>
      </w:r>
      <w:r>
        <w:rPr>
          <w:spacing w:val="25"/>
          <w:sz w:val="24"/>
        </w:rPr>
        <w:t> </w:t>
      </w:r>
      <w:r>
        <w:rPr>
          <w:sz w:val="24"/>
        </w:rPr>
        <w:t>valoradas</w:t>
      </w:r>
      <w:r>
        <w:rPr>
          <w:spacing w:val="18"/>
          <w:sz w:val="24"/>
        </w:rPr>
        <w:t> </w:t>
      </w:r>
      <w:r>
        <w:rPr>
          <w:sz w:val="24"/>
        </w:rPr>
        <w:t>en</w:t>
      </w:r>
      <w:r>
        <w:rPr>
          <w:spacing w:val="20"/>
          <w:sz w:val="24"/>
        </w:rPr>
        <w:t> </w:t>
      </w:r>
      <w:r>
        <w:rPr>
          <w:sz w:val="24"/>
        </w:rPr>
        <w:t>laboratorios</w:t>
      </w:r>
      <w:r>
        <w:rPr>
          <w:spacing w:val="18"/>
          <w:sz w:val="24"/>
        </w:rPr>
        <w:t> </w:t>
      </w:r>
      <w:r>
        <w:rPr>
          <w:sz w:val="24"/>
        </w:rPr>
        <w:t>de</w:t>
      </w:r>
    </w:p>
    <w:p>
      <w:pPr>
        <w:pStyle w:val="ListParagraph"/>
        <w:numPr>
          <w:ilvl w:val="0"/>
          <w:numId w:val="16"/>
        </w:numPr>
        <w:tabs>
          <w:tab w:pos="692" w:val="left" w:leader="none"/>
          <w:tab w:pos="693" w:val="left" w:leader="none"/>
        </w:tabs>
        <w:spacing w:line="240" w:lineRule="auto" w:before="129" w:after="0"/>
        <w:ind w:left="692" w:right="0" w:hanging="581"/>
        <w:jc w:val="left"/>
        <w:rPr>
          <w:sz w:val="24"/>
        </w:rPr>
      </w:pPr>
      <w:r>
        <w:rPr>
          <w:sz w:val="24"/>
        </w:rPr>
        <w:t>experimentación  (Schunck  y  </w:t>
      </w:r>
      <w:r>
        <w:rPr>
          <w:spacing w:val="2"/>
          <w:sz w:val="24"/>
        </w:rPr>
        <w:t>col </w:t>
      </w:r>
      <w:r>
        <w:rPr>
          <w:sz w:val="24"/>
        </w:rPr>
        <w:t>1995,Uwatoko  y  </w:t>
      </w:r>
      <w:r>
        <w:rPr>
          <w:spacing w:val="2"/>
          <w:sz w:val="24"/>
        </w:rPr>
        <w:t>col </w:t>
      </w:r>
      <w:r>
        <w:rPr>
          <w:sz w:val="24"/>
        </w:rPr>
        <w:t>1995,  Pereira  y  </w:t>
      </w:r>
      <w:r>
        <w:rPr>
          <w:spacing w:val="2"/>
          <w:sz w:val="24"/>
        </w:rPr>
        <w:t>col </w:t>
      </w:r>
      <w:r>
        <w:rPr>
          <w:sz w:val="24"/>
        </w:rPr>
        <w:t>2000),</w:t>
      </w:r>
      <w:r>
        <w:rPr>
          <w:spacing w:val="24"/>
          <w:sz w:val="24"/>
        </w:rPr>
        <w:t> </w:t>
      </w:r>
      <w:r>
        <w:rPr>
          <w:sz w:val="24"/>
        </w:rPr>
        <w:t>pocos</w:t>
      </w:r>
    </w:p>
    <w:p>
      <w:pPr>
        <w:spacing w:after="0" w:line="240" w:lineRule="auto"/>
        <w:jc w:val="left"/>
        <w:rPr>
          <w:sz w:val="24"/>
        </w:rPr>
        <w:sectPr>
          <w:pgSz w:w="12240" w:h="15840"/>
          <w:pgMar w:header="1154" w:footer="1713" w:top="1520" w:bottom="1900" w:left="1180" w:right="1380"/>
        </w:sectPr>
      </w:pPr>
    </w:p>
    <w:p>
      <w:pPr>
        <w:pStyle w:val="BodyText"/>
        <w:spacing w:before="10"/>
        <w:rPr>
          <w:rFonts w:ascii="Times New Roman"/>
          <w:sz w:val="17"/>
        </w:rPr>
      </w:pPr>
    </w:p>
    <w:p>
      <w:pPr>
        <w:pStyle w:val="ListParagraph"/>
        <w:numPr>
          <w:ilvl w:val="0"/>
          <w:numId w:val="17"/>
        </w:numPr>
        <w:tabs>
          <w:tab w:pos="692" w:val="left" w:leader="none"/>
          <w:tab w:pos="693" w:val="left" w:leader="none"/>
        </w:tabs>
        <w:spacing w:line="240" w:lineRule="auto" w:before="69" w:after="0"/>
        <w:ind w:left="692" w:right="0" w:hanging="470"/>
        <w:jc w:val="left"/>
        <w:rPr>
          <w:sz w:val="24"/>
        </w:rPr>
      </w:pPr>
      <w:r>
        <w:rPr>
          <w:sz w:val="24"/>
        </w:rPr>
        <w:t>trabajos se han realizado para determinar su  eficacia en laboratorios clínicos que </w:t>
      </w:r>
      <w:r>
        <w:rPr>
          <w:spacing w:val="38"/>
          <w:sz w:val="24"/>
        </w:rPr>
        <w:t> </w:t>
      </w:r>
      <w:r>
        <w:rPr>
          <w:sz w:val="24"/>
        </w:rPr>
        <w:t>permitan</w:t>
      </w:r>
    </w:p>
    <w:p>
      <w:pPr>
        <w:pStyle w:val="ListParagraph"/>
        <w:numPr>
          <w:ilvl w:val="0"/>
          <w:numId w:val="17"/>
        </w:numPr>
        <w:tabs>
          <w:tab w:pos="692" w:val="left" w:leader="none"/>
          <w:tab w:pos="693" w:val="left" w:leader="none"/>
        </w:tabs>
        <w:spacing w:line="240" w:lineRule="auto" w:before="129" w:after="0"/>
        <w:ind w:left="692" w:right="0" w:hanging="470"/>
        <w:jc w:val="left"/>
        <w:rPr>
          <w:sz w:val="24"/>
        </w:rPr>
      </w:pPr>
      <w:r>
        <w:rPr>
          <w:sz w:val="24"/>
        </w:rPr>
        <w:t>poner  a  disposición  comercial  un  servicio  de  diagnóstico  a  </w:t>
      </w:r>
      <w:r>
        <w:rPr>
          <w:spacing w:val="-3"/>
          <w:sz w:val="24"/>
        </w:rPr>
        <w:t>la  </w:t>
      </w:r>
      <w:r>
        <w:rPr>
          <w:sz w:val="24"/>
        </w:rPr>
        <w:t>comunidad </w:t>
      </w:r>
      <w:r>
        <w:rPr>
          <w:spacing w:val="25"/>
          <w:sz w:val="24"/>
        </w:rPr>
        <w:t> </w:t>
      </w:r>
      <w:r>
        <w:rPr>
          <w:sz w:val="24"/>
        </w:rPr>
        <w:t>veterinaria.</w:t>
      </w:r>
    </w:p>
    <w:p>
      <w:pPr>
        <w:pStyle w:val="ListParagraph"/>
        <w:numPr>
          <w:ilvl w:val="0"/>
          <w:numId w:val="17"/>
        </w:numPr>
        <w:tabs>
          <w:tab w:pos="692" w:val="left" w:leader="none"/>
          <w:tab w:pos="693" w:val="left" w:leader="none"/>
        </w:tabs>
        <w:spacing w:line="240" w:lineRule="auto" w:before="130" w:after="0"/>
        <w:ind w:left="692" w:right="0" w:hanging="470"/>
        <w:jc w:val="left"/>
        <w:rPr>
          <w:sz w:val="24"/>
        </w:rPr>
      </w:pPr>
      <w:r>
        <w:rPr>
          <w:sz w:val="24"/>
        </w:rPr>
        <w:t>Recientemente</w:t>
      </w:r>
      <w:r>
        <w:rPr>
          <w:spacing w:val="32"/>
          <w:sz w:val="24"/>
        </w:rPr>
        <w:t> </w:t>
      </w:r>
      <w:r>
        <w:rPr>
          <w:sz w:val="24"/>
        </w:rPr>
        <w:t>en</w:t>
      </w:r>
      <w:r>
        <w:rPr>
          <w:spacing w:val="28"/>
          <w:sz w:val="24"/>
        </w:rPr>
        <w:t> </w:t>
      </w:r>
      <w:r>
        <w:rPr>
          <w:sz w:val="24"/>
        </w:rPr>
        <w:t>diferentes</w:t>
      </w:r>
      <w:r>
        <w:rPr>
          <w:spacing w:val="31"/>
          <w:sz w:val="24"/>
        </w:rPr>
        <w:t> </w:t>
      </w:r>
      <w:r>
        <w:rPr>
          <w:sz w:val="24"/>
        </w:rPr>
        <w:t>países</w:t>
      </w:r>
      <w:r>
        <w:rPr>
          <w:spacing w:val="31"/>
          <w:sz w:val="24"/>
        </w:rPr>
        <w:t> </w:t>
      </w:r>
      <w:r>
        <w:rPr>
          <w:sz w:val="24"/>
        </w:rPr>
        <w:t>se</w:t>
      </w:r>
      <w:r>
        <w:rPr>
          <w:spacing w:val="32"/>
          <w:sz w:val="24"/>
        </w:rPr>
        <w:t> </w:t>
      </w:r>
      <w:r>
        <w:rPr>
          <w:sz w:val="24"/>
        </w:rPr>
        <w:t>ofertan</w:t>
      </w:r>
      <w:r>
        <w:rPr>
          <w:spacing w:val="28"/>
          <w:sz w:val="24"/>
        </w:rPr>
        <w:t> </w:t>
      </w:r>
      <w:r>
        <w:rPr>
          <w:sz w:val="24"/>
        </w:rPr>
        <w:t>kits</w:t>
      </w:r>
      <w:r>
        <w:rPr>
          <w:spacing w:val="31"/>
          <w:sz w:val="24"/>
        </w:rPr>
        <w:t> </w:t>
      </w:r>
      <w:r>
        <w:rPr>
          <w:sz w:val="24"/>
        </w:rPr>
        <w:t>de</w:t>
      </w:r>
      <w:r>
        <w:rPr>
          <w:spacing w:val="32"/>
          <w:sz w:val="24"/>
        </w:rPr>
        <w:t> </w:t>
      </w:r>
      <w:r>
        <w:rPr>
          <w:sz w:val="24"/>
        </w:rPr>
        <w:t>diagnóstico</w:t>
      </w:r>
      <w:r>
        <w:rPr>
          <w:spacing w:val="37"/>
          <w:sz w:val="24"/>
        </w:rPr>
        <w:t> </w:t>
      </w:r>
      <w:r>
        <w:rPr>
          <w:sz w:val="24"/>
        </w:rPr>
        <w:t>en</w:t>
      </w:r>
      <w:r>
        <w:rPr>
          <w:spacing w:val="33"/>
          <w:sz w:val="24"/>
        </w:rPr>
        <w:t> </w:t>
      </w:r>
      <w:r>
        <w:rPr>
          <w:sz w:val="24"/>
        </w:rPr>
        <w:t>base</w:t>
      </w:r>
      <w:r>
        <w:rPr>
          <w:spacing w:val="32"/>
          <w:sz w:val="24"/>
        </w:rPr>
        <w:t> </w:t>
      </w:r>
      <w:r>
        <w:rPr>
          <w:sz w:val="24"/>
        </w:rPr>
        <w:t>a</w:t>
      </w:r>
      <w:r>
        <w:rPr>
          <w:spacing w:val="32"/>
          <w:sz w:val="24"/>
        </w:rPr>
        <w:t> </w:t>
      </w:r>
      <w:r>
        <w:rPr>
          <w:sz w:val="24"/>
        </w:rPr>
        <w:t>PCR</w:t>
      </w:r>
      <w:r>
        <w:rPr>
          <w:spacing w:val="32"/>
          <w:sz w:val="24"/>
        </w:rPr>
        <w:t> </w:t>
      </w:r>
      <w:r>
        <w:rPr>
          <w:sz w:val="24"/>
        </w:rPr>
        <w:t>simple</w:t>
      </w:r>
    </w:p>
    <w:p>
      <w:pPr>
        <w:pStyle w:val="ListParagraph"/>
        <w:numPr>
          <w:ilvl w:val="0"/>
          <w:numId w:val="17"/>
        </w:numPr>
        <w:tabs>
          <w:tab w:pos="692" w:val="left" w:leader="none"/>
          <w:tab w:pos="693" w:val="left" w:leader="none"/>
        </w:tabs>
        <w:spacing w:line="240" w:lineRule="auto" w:before="134" w:after="0"/>
        <w:ind w:left="692" w:right="0" w:hanging="470"/>
        <w:jc w:val="left"/>
        <w:rPr>
          <w:sz w:val="24"/>
        </w:rPr>
      </w:pPr>
      <w:r>
        <w:rPr>
          <w:sz w:val="24"/>
        </w:rPr>
        <w:t>para  </w:t>
      </w:r>
      <w:r>
        <w:rPr>
          <w:spacing w:val="-5"/>
          <w:sz w:val="24"/>
        </w:rPr>
        <w:t>la  </w:t>
      </w:r>
      <w:r>
        <w:rPr>
          <w:sz w:val="24"/>
        </w:rPr>
        <w:t>identificación  de  PVC-2,  sin  embargo  los  iniciadores  de  estos  productos  </w:t>
      </w:r>
      <w:r>
        <w:rPr>
          <w:spacing w:val="30"/>
          <w:sz w:val="24"/>
        </w:rPr>
        <w:t> </w:t>
      </w:r>
      <w:r>
        <w:rPr>
          <w:sz w:val="24"/>
        </w:rPr>
        <w:t>son</w:t>
      </w:r>
    </w:p>
    <w:p>
      <w:pPr>
        <w:pStyle w:val="ListParagraph"/>
        <w:numPr>
          <w:ilvl w:val="0"/>
          <w:numId w:val="17"/>
        </w:numPr>
        <w:tabs>
          <w:tab w:pos="692" w:val="left" w:leader="none"/>
          <w:tab w:pos="693" w:val="left" w:leader="none"/>
        </w:tabs>
        <w:spacing w:line="240" w:lineRule="auto" w:before="129" w:after="0"/>
        <w:ind w:left="692" w:right="0" w:hanging="470"/>
        <w:jc w:val="left"/>
        <w:rPr>
          <w:sz w:val="24"/>
        </w:rPr>
      </w:pPr>
      <w:r>
        <w:rPr>
          <w:sz w:val="24"/>
        </w:rPr>
        <w:t>diseñados en base a  las secuencias  de  los  aislados de virus que  circulan en otros  </w:t>
      </w:r>
      <w:r>
        <w:rPr>
          <w:spacing w:val="7"/>
          <w:sz w:val="24"/>
        </w:rPr>
        <w:t> </w:t>
      </w:r>
      <w:r>
        <w:rPr>
          <w:sz w:val="24"/>
        </w:rPr>
        <w:t>países,</w:t>
      </w:r>
    </w:p>
    <w:p>
      <w:pPr>
        <w:pStyle w:val="ListParagraph"/>
        <w:numPr>
          <w:ilvl w:val="0"/>
          <w:numId w:val="17"/>
        </w:numPr>
        <w:tabs>
          <w:tab w:pos="692" w:val="left" w:leader="none"/>
          <w:tab w:pos="693" w:val="left" w:leader="none"/>
        </w:tabs>
        <w:spacing w:line="240" w:lineRule="auto" w:before="129" w:after="0"/>
        <w:ind w:left="692" w:right="0" w:hanging="470"/>
        <w:jc w:val="left"/>
        <w:rPr>
          <w:sz w:val="24"/>
        </w:rPr>
      </w:pPr>
      <w:r>
        <w:rPr>
          <w:sz w:val="24"/>
        </w:rPr>
        <w:t>países como México donde </w:t>
      </w:r>
      <w:r>
        <w:rPr>
          <w:spacing w:val="-3"/>
          <w:sz w:val="24"/>
        </w:rPr>
        <w:t>no  </w:t>
      </w:r>
      <w:r>
        <w:rPr>
          <w:sz w:val="24"/>
        </w:rPr>
        <w:t>se producen estos kit de diagnóstico  y que   </w:t>
      </w:r>
      <w:r>
        <w:rPr>
          <w:spacing w:val="26"/>
          <w:sz w:val="24"/>
        </w:rPr>
        <w:t> </w:t>
      </w:r>
      <w:r>
        <w:rPr>
          <w:sz w:val="24"/>
        </w:rPr>
        <w:t>importan estos</w:t>
      </w:r>
    </w:p>
    <w:p>
      <w:pPr>
        <w:pStyle w:val="ListParagraph"/>
        <w:numPr>
          <w:ilvl w:val="0"/>
          <w:numId w:val="17"/>
        </w:numPr>
        <w:tabs>
          <w:tab w:pos="692" w:val="left" w:leader="none"/>
          <w:tab w:pos="693" w:val="left" w:leader="none"/>
        </w:tabs>
        <w:spacing w:line="240" w:lineRule="auto" w:before="130" w:after="0"/>
        <w:ind w:left="692" w:right="0" w:hanging="470"/>
        <w:jc w:val="left"/>
        <w:rPr>
          <w:sz w:val="24"/>
        </w:rPr>
      </w:pPr>
      <w:r>
        <w:rPr>
          <w:sz w:val="24"/>
        </w:rPr>
        <w:t>productos de PCR,  en ocasiones </w:t>
      </w:r>
      <w:r>
        <w:rPr>
          <w:spacing w:val="-3"/>
          <w:sz w:val="24"/>
        </w:rPr>
        <w:t>la </w:t>
      </w:r>
      <w:r>
        <w:rPr>
          <w:sz w:val="24"/>
        </w:rPr>
        <w:t>sensibilidad de estos es baja, debido a que el PVC-2 </w:t>
      </w:r>
      <w:r>
        <w:rPr>
          <w:spacing w:val="58"/>
          <w:sz w:val="24"/>
        </w:rPr>
        <w:t> </w:t>
      </w:r>
      <w:r>
        <w:rPr>
          <w:sz w:val="24"/>
        </w:rPr>
        <w:t>es</w:t>
      </w:r>
    </w:p>
    <w:p>
      <w:pPr>
        <w:pStyle w:val="ListParagraph"/>
        <w:numPr>
          <w:ilvl w:val="0"/>
          <w:numId w:val="17"/>
        </w:numPr>
        <w:tabs>
          <w:tab w:pos="692" w:val="left" w:leader="none"/>
          <w:tab w:pos="693" w:val="left" w:leader="none"/>
        </w:tabs>
        <w:spacing w:line="240" w:lineRule="auto" w:before="134" w:after="0"/>
        <w:ind w:left="692" w:right="0" w:hanging="470"/>
        <w:jc w:val="left"/>
        <w:rPr>
          <w:sz w:val="24"/>
        </w:rPr>
      </w:pPr>
      <w:r>
        <w:rPr>
          <w:sz w:val="24"/>
        </w:rPr>
        <w:t>un  virus  que  presenta  alta  tasa  de  mutaciones  (Truyen  1999);  por  </w:t>
      </w:r>
      <w:r>
        <w:rPr>
          <w:spacing w:val="-5"/>
          <w:sz w:val="24"/>
        </w:rPr>
        <w:t>lo   </w:t>
      </w:r>
      <w:r>
        <w:rPr>
          <w:sz w:val="24"/>
        </w:rPr>
        <w:t>tanto  </w:t>
      </w:r>
      <w:r>
        <w:rPr>
          <w:spacing w:val="-5"/>
          <w:sz w:val="24"/>
        </w:rPr>
        <w:t>lo     </w:t>
      </w:r>
      <w:r>
        <w:rPr>
          <w:spacing w:val="18"/>
          <w:sz w:val="24"/>
        </w:rPr>
        <w:t> </w:t>
      </w:r>
      <w:r>
        <w:rPr>
          <w:sz w:val="24"/>
        </w:rPr>
        <w:t>más</w:t>
      </w:r>
    </w:p>
    <w:p>
      <w:pPr>
        <w:pStyle w:val="ListParagraph"/>
        <w:numPr>
          <w:ilvl w:val="0"/>
          <w:numId w:val="17"/>
        </w:numPr>
        <w:tabs>
          <w:tab w:pos="692" w:val="left" w:leader="none"/>
          <w:tab w:pos="693" w:val="left" w:leader="none"/>
        </w:tabs>
        <w:spacing w:line="240" w:lineRule="auto" w:before="129" w:after="0"/>
        <w:ind w:left="692" w:right="0" w:hanging="470"/>
        <w:jc w:val="left"/>
        <w:rPr>
          <w:sz w:val="24"/>
        </w:rPr>
      </w:pPr>
      <w:r>
        <w:rPr>
          <w:sz w:val="24"/>
        </w:rPr>
        <w:t>recomendado para implementar un diagnóstico en </w:t>
      </w:r>
      <w:r>
        <w:rPr>
          <w:spacing w:val="-3"/>
          <w:sz w:val="24"/>
        </w:rPr>
        <w:t>base </w:t>
      </w:r>
      <w:r>
        <w:rPr>
          <w:sz w:val="24"/>
        </w:rPr>
        <w:t>a PCR es primero realizar  </w:t>
      </w:r>
      <w:r>
        <w:rPr>
          <w:spacing w:val="28"/>
          <w:sz w:val="24"/>
        </w:rPr>
        <w:t> </w:t>
      </w:r>
      <w:r>
        <w:rPr>
          <w:sz w:val="24"/>
        </w:rPr>
        <w:t>estudios</w:t>
      </w:r>
    </w:p>
    <w:p>
      <w:pPr>
        <w:pStyle w:val="ListParagraph"/>
        <w:numPr>
          <w:ilvl w:val="0"/>
          <w:numId w:val="17"/>
        </w:numPr>
        <w:tabs>
          <w:tab w:pos="692" w:val="left" w:leader="none"/>
          <w:tab w:pos="693" w:val="left" w:leader="none"/>
        </w:tabs>
        <w:spacing w:line="240" w:lineRule="auto" w:before="129" w:after="0"/>
        <w:ind w:left="692" w:right="0" w:hanging="581"/>
        <w:jc w:val="left"/>
        <w:rPr>
          <w:sz w:val="24"/>
        </w:rPr>
      </w:pPr>
      <w:r>
        <w:rPr>
          <w:sz w:val="24"/>
        </w:rPr>
        <w:t>de  epidemiología  molecular  que  nos  permitan conocer  los  diferentes  genotipos  que</w:t>
      </w:r>
      <w:r>
        <w:rPr>
          <w:spacing w:val="36"/>
          <w:sz w:val="24"/>
        </w:rPr>
        <w:t> </w:t>
      </w:r>
      <w:r>
        <w:rPr>
          <w:sz w:val="24"/>
        </w:rPr>
        <w:t>se</w:t>
      </w:r>
    </w:p>
    <w:p>
      <w:pPr>
        <w:pStyle w:val="ListParagraph"/>
        <w:numPr>
          <w:ilvl w:val="0"/>
          <w:numId w:val="17"/>
        </w:numPr>
        <w:tabs>
          <w:tab w:pos="692" w:val="left" w:leader="none"/>
          <w:tab w:pos="693" w:val="left" w:leader="none"/>
        </w:tabs>
        <w:spacing w:line="240" w:lineRule="auto" w:before="130" w:after="0"/>
        <w:ind w:left="692" w:right="0" w:hanging="581"/>
        <w:jc w:val="left"/>
        <w:rPr>
          <w:sz w:val="24"/>
        </w:rPr>
      </w:pPr>
      <w:r>
        <w:rPr>
          <w:sz w:val="24"/>
        </w:rPr>
        <w:t>encuentran</w:t>
      </w:r>
      <w:r>
        <w:rPr>
          <w:spacing w:val="18"/>
          <w:sz w:val="24"/>
        </w:rPr>
        <w:t> </w:t>
      </w:r>
      <w:r>
        <w:rPr>
          <w:sz w:val="24"/>
        </w:rPr>
        <w:t>circulando</w:t>
      </w:r>
      <w:r>
        <w:rPr>
          <w:spacing w:val="27"/>
          <w:sz w:val="24"/>
        </w:rPr>
        <w:t> </w:t>
      </w:r>
      <w:r>
        <w:rPr>
          <w:sz w:val="24"/>
        </w:rPr>
        <w:t>a</w:t>
      </w:r>
      <w:r>
        <w:rPr>
          <w:spacing w:val="27"/>
          <w:sz w:val="24"/>
        </w:rPr>
        <w:t> </w:t>
      </w:r>
      <w:r>
        <w:rPr>
          <w:sz w:val="24"/>
        </w:rPr>
        <w:t>nivel</w:t>
      </w:r>
      <w:r>
        <w:rPr>
          <w:spacing w:val="23"/>
          <w:sz w:val="24"/>
        </w:rPr>
        <w:t> </w:t>
      </w:r>
      <w:r>
        <w:rPr>
          <w:sz w:val="24"/>
        </w:rPr>
        <w:t>nacional</w:t>
      </w:r>
      <w:r>
        <w:rPr>
          <w:spacing w:val="23"/>
          <w:sz w:val="24"/>
        </w:rPr>
        <w:t> </w:t>
      </w:r>
      <w:r>
        <w:rPr>
          <w:sz w:val="24"/>
        </w:rPr>
        <w:t>y</w:t>
      </w:r>
      <w:r>
        <w:rPr>
          <w:spacing w:val="18"/>
          <w:sz w:val="24"/>
        </w:rPr>
        <w:t> </w:t>
      </w:r>
      <w:r>
        <w:rPr>
          <w:sz w:val="24"/>
        </w:rPr>
        <w:t>diseñar</w:t>
      </w:r>
      <w:r>
        <w:rPr>
          <w:spacing w:val="29"/>
          <w:sz w:val="24"/>
        </w:rPr>
        <w:t> </w:t>
      </w:r>
      <w:r>
        <w:rPr>
          <w:sz w:val="24"/>
        </w:rPr>
        <w:t>iniciadores</w:t>
      </w:r>
      <w:r>
        <w:rPr>
          <w:spacing w:val="21"/>
          <w:sz w:val="24"/>
        </w:rPr>
        <w:t> </w:t>
      </w:r>
      <w:r>
        <w:rPr>
          <w:sz w:val="24"/>
        </w:rPr>
        <w:t>específicos</w:t>
      </w:r>
      <w:r>
        <w:rPr>
          <w:spacing w:val="21"/>
          <w:sz w:val="24"/>
        </w:rPr>
        <w:t> </w:t>
      </w:r>
      <w:r>
        <w:rPr>
          <w:sz w:val="24"/>
        </w:rPr>
        <w:t>para</w:t>
      </w:r>
      <w:r>
        <w:rPr>
          <w:spacing w:val="27"/>
          <w:sz w:val="24"/>
        </w:rPr>
        <w:t> </w:t>
      </w:r>
      <w:r>
        <w:rPr>
          <w:sz w:val="24"/>
        </w:rPr>
        <w:t>los</w:t>
      </w:r>
      <w:r>
        <w:rPr>
          <w:spacing w:val="25"/>
          <w:sz w:val="24"/>
        </w:rPr>
        <w:t> </w:t>
      </w:r>
      <w:r>
        <w:rPr>
          <w:sz w:val="24"/>
        </w:rPr>
        <w:t>aislados</w:t>
      </w:r>
    </w:p>
    <w:p>
      <w:pPr>
        <w:pStyle w:val="ListParagraph"/>
        <w:numPr>
          <w:ilvl w:val="0"/>
          <w:numId w:val="17"/>
        </w:numPr>
        <w:tabs>
          <w:tab w:pos="692" w:val="left" w:leader="none"/>
          <w:tab w:pos="693" w:val="left" w:leader="none"/>
        </w:tabs>
        <w:spacing w:line="240" w:lineRule="auto" w:before="134" w:after="0"/>
        <w:ind w:left="692" w:right="0" w:hanging="581"/>
        <w:jc w:val="left"/>
        <w:rPr>
          <w:sz w:val="24"/>
        </w:rPr>
      </w:pPr>
      <w:r>
        <w:rPr>
          <w:sz w:val="24"/>
        </w:rPr>
        <w:t>virales  de cada país.  Posteriormente en este trabajo  como  en  otros publicados  </w:t>
      </w:r>
      <w:r>
        <w:rPr>
          <w:spacing w:val="-3"/>
          <w:sz w:val="24"/>
        </w:rPr>
        <w:t>ha     </w:t>
      </w:r>
      <w:r>
        <w:rPr>
          <w:spacing w:val="4"/>
          <w:sz w:val="24"/>
        </w:rPr>
        <w:t> </w:t>
      </w:r>
      <w:r>
        <w:rPr>
          <w:spacing w:val="2"/>
          <w:sz w:val="24"/>
        </w:rPr>
        <w:t>sido</w:t>
      </w:r>
    </w:p>
    <w:p>
      <w:pPr>
        <w:pStyle w:val="ListParagraph"/>
        <w:numPr>
          <w:ilvl w:val="0"/>
          <w:numId w:val="17"/>
        </w:numPr>
        <w:tabs>
          <w:tab w:pos="692" w:val="left" w:leader="none"/>
          <w:tab w:pos="693" w:val="left" w:leader="none"/>
        </w:tabs>
        <w:spacing w:line="240" w:lineRule="auto" w:before="129" w:after="0"/>
        <w:ind w:left="692" w:right="0" w:hanging="581"/>
        <w:jc w:val="left"/>
        <w:rPr>
          <w:sz w:val="24"/>
        </w:rPr>
      </w:pPr>
      <w:r>
        <w:rPr>
          <w:sz w:val="24"/>
        </w:rPr>
        <w:t>establecido  que </w:t>
      </w:r>
      <w:r>
        <w:rPr>
          <w:spacing w:val="-5"/>
          <w:sz w:val="24"/>
        </w:rPr>
        <w:t>la  </w:t>
      </w:r>
      <w:r>
        <w:rPr>
          <w:sz w:val="24"/>
        </w:rPr>
        <w:t>PCR anidada  llega a ser  100%  sensible  y es  más económica que  </w:t>
      </w:r>
      <w:r>
        <w:rPr>
          <w:spacing w:val="26"/>
          <w:sz w:val="24"/>
        </w:rPr>
        <w:t> </w:t>
      </w:r>
      <w:r>
        <w:rPr>
          <w:sz w:val="24"/>
        </w:rPr>
        <w:t>los</w:t>
      </w:r>
    </w:p>
    <w:p>
      <w:pPr>
        <w:pStyle w:val="ListParagraph"/>
        <w:numPr>
          <w:ilvl w:val="0"/>
          <w:numId w:val="17"/>
        </w:numPr>
        <w:tabs>
          <w:tab w:pos="692" w:val="left" w:leader="none"/>
          <w:tab w:pos="693" w:val="left" w:leader="none"/>
        </w:tabs>
        <w:spacing w:line="240" w:lineRule="auto" w:before="129" w:after="0"/>
        <w:ind w:left="692" w:right="0" w:hanging="581"/>
        <w:jc w:val="left"/>
        <w:rPr>
          <w:sz w:val="24"/>
        </w:rPr>
      </w:pPr>
      <w:r>
        <w:rPr>
          <w:sz w:val="24"/>
        </w:rPr>
        <w:t>PCRs de  nueva generación ( PCR de tiempo  real), por </w:t>
      </w:r>
      <w:r>
        <w:rPr>
          <w:spacing w:val="-5"/>
          <w:sz w:val="24"/>
        </w:rPr>
        <w:t>lo  </w:t>
      </w:r>
      <w:r>
        <w:rPr>
          <w:sz w:val="24"/>
        </w:rPr>
        <w:t>tanto, es   </w:t>
      </w:r>
      <w:r>
        <w:rPr>
          <w:spacing w:val="48"/>
          <w:sz w:val="24"/>
        </w:rPr>
        <w:t> </w:t>
      </w:r>
      <w:r>
        <w:rPr>
          <w:sz w:val="24"/>
        </w:rPr>
        <w:t>necesario  desarrollar</w:t>
      </w:r>
    </w:p>
    <w:p>
      <w:pPr>
        <w:pStyle w:val="ListParagraph"/>
        <w:numPr>
          <w:ilvl w:val="0"/>
          <w:numId w:val="17"/>
        </w:numPr>
        <w:tabs>
          <w:tab w:pos="692" w:val="left" w:leader="none"/>
          <w:tab w:pos="693" w:val="left" w:leader="none"/>
        </w:tabs>
        <w:spacing w:line="240" w:lineRule="auto" w:before="125" w:after="0"/>
        <w:ind w:left="692" w:right="0" w:hanging="581"/>
        <w:jc w:val="left"/>
        <w:rPr>
          <w:sz w:val="24"/>
        </w:rPr>
      </w:pPr>
      <w:r>
        <w:rPr>
          <w:sz w:val="24"/>
        </w:rPr>
        <w:t>productos de diagnóstico  que utilicen este tipo de PCR en laboratorios</w:t>
      </w:r>
      <w:r>
        <w:rPr>
          <w:spacing w:val="-39"/>
          <w:sz w:val="24"/>
        </w:rPr>
        <w:t> </w:t>
      </w:r>
      <w:r>
        <w:rPr>
          <w:sz w:val="24"/>
        </w:rPr>
        <w:t>clínicos.</w:t>
      </w:r>
    </w:p>
    <w:p>
      <w:pPr>
        <w:pStyle w:val="BodyText"/>
        <w:spacing w:before="2"/>
        <w:rPr>
          <w:rFonts w:ascii="Times New Roman"/>
          <w:sz w:val="23"/>
        </w:rPr>
      </w:pPr>
    </w:p>
    <w:p>
      <w:pPr>
        <w:pStyle w:val="ListParagraph"/>
        <w:numPr>
          <w:ilvl w:val="0"/>
          <w:numId w:val="17"/>
        </w:numPr>
        <w:tabs>
          <w:tab w:pos="1398" w:val="left" w:leader="none"/>
          <w:tab w:pos="1399" w:val="left" w:leader="none"/>
        </w:tabs>
        <w:spacing w:line="240" w:lineRule="auto" w:before="69" w:after="0"/>
        <w:ind w:left="1398" w:right="0" w:hanging="1287"/>
        <w:jc w:val="left"/>
        <w:rPr>
          <w:sz w:val="24"/>
        </w:rPr>
      </w:pPr>
      <w:r>
        <w:rPr>
          <w:sz w:val="24"/>
        </w:rPr>
        <w:t>Los</w:t>
      </w:r>
      <w:r>
        <w:rPr>
          <w:spacing w:val="39"/>
          <w:sz w:val="24"/>
        </w:rPr>
        <w:t> </w:t>
      </w:r>
      <w:r>
        <w:rPr>
          <w:sz w:val="24"/>
        </w:rPr>
        <w:t>datos</w:t>
      </w:r>
      <w:r>
        <w:rPr>
          <w:spacing w:val="39"/>
          <w:sz w:val="24"/>
        </w:rPr>
        <w:t> </w:t>
      </w:r>
      <w:r>
        <w:rPr>
          <w:sz w:val="24"/>
        </w:rPr>
        <w:t>presentados</w:t>
      </w:r>
      <w:r>
        <w:rPr>
          <w:spacing w:val="39"/>
          <w:sz w:val="24"/>
        </w:rPr>
        <w:t> </w:t>
      </w:r>
      <w:r>
        <w:rPr>
          <w:sz w:val="24"/>
        </w:rPr>
        <w:t>aquí</w:t>
      </w:r>
      <w:r>
        <w:rPr>
          <w:spacing w:val="32"/>
          <w:sz w:val="24"/>
        </w:rPr>
        <w:t> </w:t>
      </w:r>
      <w:r>
        <w:rPr>
          <w:sz w:val="24"/>
        </w:rPr>
        <w:t>aportan</w:t>
      </w:r>
      <w:r>
        <w:rPr>
          <w:spacing w:val="41"/>
          <w:sz w:val="24"/>
        </w:rPr>
        <w:t> </w:t>
      </w:r>
      <w:r>
        <w:rPr>
          <w:sz w:val="24"/>
        </w:rPr>
        <w:t>información</w:t>
      </w:r>
      <w:r>
        <w:rPr>
          <w:spacing w:val="41"/>
          <w:sz w:val="24"/>
        </w:rPr>
        <w:t> </w:t>
      </w:r>
      <w:r>
        <w:rPr>
          <w:sz w:val="24"/>
        </w:rPr>
        <w:t>a</w:t>
      </w:r>
      <w:r>
        <w:rPr>
          <w:spacing w:val="40"/>
          <w:sz w:val="24"/>
        </w:rPr>
        <w:t> </w:t>
      </w:r>
      <w:r>
        <w:rPr>
          <w:sz w:val="24"/>
        </w:rPr>
        <w:t>los</w:t>
      </w:r>
      <w:r>
        <w:rPr>
          <w:spacing w:val="44"/>
          <w:sz w:val="24"/>
        </w:rPr>
        <w:t> </w:t>
      </w:r>
      <w:r>
        <w:rPr>
          <w:sz w:val="24"/>
        </w:rPr>
        <w:t>médicos</w:t>
      </w:r>
      <w:r>
        <w:rPr>
          <w:spacing w:val="39"/>
          <w:sz w:val="24"/>
        </w:rPr>
        <w:t> </w:t>
      </w:r>
      <w:r>
        <w:rPr>
          <w:sz w:val="24"/>
        </w:rPr>
        <w:t>veterinarios,</w:t>
      </w:r>
      <w:r>
        <w:rPr>
          <w:spacing w:val="43"/>
          <w:sz w:val="24"/>
        </w:rPr>
        <w:t> </w:t>
      </w:r>
      <w:r>
        <w:rPr>
          <w:sz w:val="24"/>
        </w:rPr>
        <w:t>para</w:t>
      </w:r>
    </w:p>
    <w:p>
      <w:pPr>
        <w:pStyle w:val="ListParagraph"/>
        <w:numPr>
          <w:ilvl w:val="0"/>
          <w:numId w:val="17"/>
        </w:numPr>
        <w:tabs>
          <w:tab w:pos="692" w:val="left" w:leader="none"/>
          <w:tab w:pos="693" w:val="left" w:leader="none"/>
        </w:tabs>
        <w:spacing w:line="240" w:lineRule="auto" w:before="129" w:after="0"/>
        <w:ind w:left="692" w:right="0" w:hanging="581"/>
        <w:jc w:val="left"/>
        <w:rPr>
          <w:sz w:val="24"/>
        </w:rPr>
      </w:pPr>
      <w:r>
        <w:rPr>
          <w:sz w:val="24"/>
        </w:rPr>
        <w:t>valorar los procedimientos que están llevando a cabo para </w:t>
      </w:r>
      <w:r>
        <w:rPr>
          <w:spacing w:val="-3"/>
          <w:sz w:val="24"/>
        </w:rPr>
        <w:t>emitir </w:t>
      </w:r>
      <w:r>
        <w:rPr>
          <w:sz w:val="24"/>
        </w:rPr>
        <w:t>un diagnóstico preciso </w:t>
      </w:r>
      <w:r>
        <w:rPr>
          <w:spacing w:val="59"/>
          <w:sz w:val="24"/>
        </w:rPr>
        <w:t> </w:t>
      </w:r>
      <w:r>
        <w:rPr>
          <w:sz w:val="24"/>
        </w:rPr>
        <w:t>de</w:t>
      </w:r>
    </w:p>
    <w:p>
      <w:pPr>
        <w:pStyle w:val="ListParagraph"/>
        <w:numPr>
          <w:ilvl w:val="0"/>
          <w:numId w:val="17"/>
        </w:numPr>
        <w:tabs>
          <w:tab w:pos="692" w:val="left" w:leader="none"/>
          <w:tab w:pos="693" w:val="left" w:leader="none"/>
        </w:tabs>
        <w:spacing w:line="240" w:lineRule="auto" w:before="135" w:after="0"/>
        <w:ind w:left="692" w:right="0" w:hanging="581"/>
        <w:jc w:val="left"/>
        <w:rPr>
          <w:sz w:val="24"/>
        </w:rPr>
      </w:pPr>
      <w:r>
        <w:rPr>
          <w:sz w:val="24"/>
        </w:rPr>
        <w:t>PVC-2, </w:t>
      </w:r>
      <w:r>
        <w:rPr>
          <w:spacing w:val="-5"/>
          <w:sz w:val="24"/>
        </w:rPr>
        <w:t>lo </w:t>
      </w:r>
      <w:r>
        <w:rPr>
          <w:sz w:val="24"/>
        </w:rPr>
        <w:t>cual permitirá tomar mejores decisiones, para establecer una terapia apropiada</w:t>
      </w:r>
      <w:r>
        <w:rPr>
          <w:spacing w:val="-9"/>
          <w:sz w:val="24"/>
        </w:rPr>
        <w:t> </w:t>
      </w:r>
      <w:r>
        <w:rPr>
          <w:sz w:val="24"/>
        </w:rPr>
        <w:t>en</w:t>
      </w:r>
    </w:p>
    <w:p>
      <w:pPr>
        <w:pStyle w:val="ListParagraph"/>
        <w:numPr>
          <w:ilvl w:val="0"/>
          <w:numId w:val="17"/>
        </w:numPr>
        <w:tabs>
          <w:tab w:pos="692" w:val="left" w:leader="none"/>
          <w:tab w:pos="693" w:val="left" w:leader="none"/>
        </w:tabs>
        <w:spacing w:line="240" w:lineRule="auto" w:before="129" w:after="0"/>
        <w:ind w:left="692" w:right="0" w:hanging="581"/>
        <w:jc w:val="left"/>
        <w:rPr>
          <w:sz w:val="24"/>
        </w:rPr>
      </w:pPr>
      <w:r>
        <w:rPr>
          <w:sz w:val="24"/>
        </w:rPr>
        <w:t>perros   con   infecciones   gastroentéricas,   favoreciendo   a   un   mejor   pronóstico   en</w:t>
      </w:r>
      <w:r>
        <w:rPr>
          <w:spacing w:val="11"/>
          <w:sz w:val="24"/>
        </w:rPr>
        <w:t> </w:t>
      </w:r>
      <w:r>
        <w:rPr>
          <w:spacing w:val="-3"/>
          <w:sz w:val="24"/>
        </w:rPr>
        <w:t>la</w:t>
      </w:r>
    </w:p>
    <w:p>
      <w:pPr>
        <w:pStyle w:val="ListParagraph"/>
        <w:numPr>
          <w:ilvl w:val="0"/>
          <w:numId w:val="17"/>
        </w:numPr>
        <w:tabs>
          <w:tab w:pos="692" w:val="left" w:leader="none"/>
          <w:tab w:pos="693" w:val="left" w:leader="none"/>
        </w:tabs>
        <w:spacing w:line="240" w:lineRule="auto" w:before="129" w:after="0"/>
        <w:ind w:left="692" w:right="0" w:hanging="581"/>
        <w:jc w:val="left"/>
        <w:rPr>
          <w:sz w:val="24"/>
        </w:rPr>
      </w:pPr>
      <w:r>
        <w:rPr>
          <w:sz w:val="24"/>
        </w:rPr>
        <w:t>recuperación</w:t>
      </w:r>
      <w:r>
        <w:rPr>
          <w:spacing w:val="13"/>
          <w:sz w:val="24"/>
        </w:rPr>
        <w:t> </w:t>
      </w:r>
      <w:r>
        <w:rPr>
          <w:sz w:val="24"/>
        </w:rPr>
        <w:t>de</w:t>
      </w:r>
      <w:r>
        <w:rPr>
          <w:spacing w:val="21"/>
          <w:sz w:val="24"/>
        </w:rPr>
        <w:t> </w:t>
      </w:r>
      <w:r>
        <w:rPr>
          <w:sz w:val="24"/>
        </w:rPr>
        <w:t>los</w:t>
      </w:r>
      <w:r>
        <w:rPr>
          <w:spacing w:val="20"/>
          <w:sz w:val="24"/>
        </w:rPr>
        <w:t> </w:t>
      </w:r>
      <w:r>
        <w:rPr>
          <w:sz w:val="24"/>
        </w:rPr>
        <w:t>animales</w:t>
      </w:r>
      <w:r>
        <w:rPr>
          <w:spacing w:val="20"/>
          <w:sz w:val="24"/>
        </w:rPr>
        <w:t> </w:t>
      </w:r>
      <w:r>
        <w:rPr>
          <w:sz w:val="24"/>
        </w:rPr>
        <w:t>y</w:t>
      </w:r>
      <w:r>
        <w:rPr>
          <w:spacing w:val="13"/>
          <w:sz w:val="24"/>
        </w:rPr>
        <w:t> </w:t>
      </w:r>
      <w:r>
        <w:rPr>
          <w:sz w:val="24"/>
        </w:rPr>
        <w:t>disminuyendo</w:t>
      </w:r>
      <w:r>
        <w:rPr>
          <w:spacing w:val="21"/>
          <w:sz w:val="24"/>
        </w:rPr>
        <w:t> </w:t>
      </w:r>
      <w:r>
        <w:rPr>
          <w:sz w:val="24"/>
        </w:rPr>
        <w:t>costos</w:t>
      </w:r>
      <w:r>
        <w:rPr>
          <w:spacing w:val="15"/>
          <w:sz w:val="24"/>
        </w:rPr>
        <w:t> </w:t>
      </w:r>
      <w:r>
        <w:rPr>
          <w:sz w:val="24"/>
        </w:rPr>
        <w:t>económicos</w:t>
      </w:r>
      <w:r>
        <w:rPr>
          <w:spacing w:val="15"/>
          <w:sz w:val="24"/>
        </w:rPr>
        <w:t> </w:t>
      </w:r>
      <w:r>
        <w:rPr>
          <w:sz w:val="24"/>
        </w:rPr>
        <w:t>a</w:t>
      </w:r>
      <w:r>
        <w:rPr>
          <w:spacing w:val="21"/>
          <w:sz w:val="24"/>
        </w:rPr>
        <w:t> </w:t>
      </w:r>
      <w:r>
        <w:rPr>
          <w:sz w:val="24"/>
        </w:rPr>
        <w:t>los</w:t>
      </w:r>
      <w:r>
        <w:rPr>
          <w:spacing w:val="15"/>
          <w:sz w:val="24"/>
        </w:rPr>
        <w:t> </w:t>
      </w:r>
      <w:r>
        <w:rPr>
          <w:sz w:val="24"/>
        </w:rPr>
        <w:t>propietarios</w:t>
      </w:r>
      <w:r>
        <w:rPr>
          <w:spacing w:val="15"/>
          <w:sz w:val="24"/>
        </w:rPr>
        <w:t> </w:t>
      </w:r>
      <w:r>
        <w:rPr>
          <w:sz w:val="24"/>
        </w:rPr>
        <w:t>de</w:t>
      </w:r>
      <w:r>
        <w:rPr>
          <w:spacing w:val="21"/>
          <w:sz w:val="24"/>
        </w:rPr>
        <w:t> </w:t>
      </w:r>
      <w:r>
        <w:rPr>
          <w:sz w:val="24"/>
        </w:rPr>
        <w:t>los</w:t>
      </w:r>
    </w:p>
    <w:p>
      <w:pPr>
        <w:pStyle w:val="ListParagraph"/>
        <w:numPr>
          <w:ilvl w:val="0"/>
          <w:numId w:val="17"/>
        </w:numPr>
        <w:tabs>
          <w:tab w:pos="692" w:val="left" w:leader="none"/>
          <w:tab w:pos="693" w:val="left" w:leader="none"/>
        </w:tabs>
        <w:spacing w:line="240" w:lineRule="auto" w:before="125" w:after="0"/>
        <w:ind w:left="692" w:right="0" w:hanging="581"/>
        <w:jc w:val="left"/>
        <w:rPr>
          <w:sz w:val="24"/>
        </w:rPr>
      </w:pPr>
      <w:r>
        <w:rPr>
          <w:sz w:val="24"/>
        </w:rPr>
        <w:t>perros.</w:t>
      </w:r>
    </w:p>
    <w:p>
      <w:pPr>
        <w:pStyle w:val="BodyText"/>
        <w:spacing w:before="3"/>
        <w:rPr>
          <w:rFonts w:ascii="Times New Roman"/>
          <w:sz w:val="23"/>
        </w:rPr>
      </w:pPr>
    </w:p>
    <w:p>
      <w:pPr>
        <w:pStyle w:val="Heading1"/>
        <w:numPr>
          <w:ilvl w:val="0"/>
          <w:numId w:val="17"/>
        </w:numPr>
        <w:tabs>
          <w:tab w:pos="692" w:val="left" w:leader="none"/>
          <w:tab w:pos="693" w:val="left" w:leader="none"/>
        </w:tabs>
        <w:spacing w:line="240" w:lineRule="auto" w:before="69" w:after="0"/>
        <w:ind w:left="692" w:right="0" w:hanging="581"/>
        <w:jc w:val="left"/>
        <w:rPr>
          <w:rFonts w:ascii="Times New Roman"/>
        </w:rPr>
      </w:pPr>
      <w:r>
        <w:rPr>
          <w:rFonts w:ascii="Times New Roman"/>
        </w:rPr>
        <w:t>AGRADECIMIENTOS</w:t>
      </w:r>
    </w:p>
    <w:p>
      <w:pPr>
        <w:pStyle w:val="BodyText"/>
        <w:spacing w:before="9"/>
        <w:rPr>
          <w:rFonts w:ascii="Times New Roman"/>
          <w:b/>
          <w:sz w:val="22"/>
        </w:rPr>
      </w:pPr>
    </w:p>
    <w:p>
      <w:pPr>
        <w:pStyle w:val="ListParagraph"/>
        <w:numPr>
          <w:ilvl w:val="0"/>
          <w:numId w:val="17"/>
        </w:numPr>
        <w:tabs>
          <w:tab w:pos="692" w:val="left" w:leader="none"/>
          <w:tab w:pos="693" w:val="left" w:leader="none"/>
        </w:tabs>
        <w:spacing w:line="240" w:lineRule="auto" w:before="69" w:after="0"/>
        <w:ind w:left="692" w:right="0" w:hanging="581"/>
        <w:jc w:val="left"/>
        <w:rPr>
          <w:sz w:val="24"/>
        </w:rPr>
      </w:pPr>
      <w:r>
        <w:rPr>
          <w:sz w:val="24"/>
        </w:rPr>
        <w:t>Se  agradece  al  Consejo  Nacional  de  Ciencia  y  Tecnología  (CONACyT)  por  </w:t>
      </w:r>
      <w:r>
        <w:rPr>
          <w:spacing w:val="-5"/>
          <w:sz w:val="24"/>
        </w:rPr>
        <w:t>la  </w:t>
      </w:r>
      <w:r>
        <w:rPr>
          <w:spacing w:val="47"/>
          <w:sz w:val="24"/>
        </w:rPr>
        <w:t> </w:t>
      </w:r>
      <w:r>
        <w:rPr>
          <w:sz w:val="24"/>
        </w:rPr>
        <w:t>beca</w:t>
      </w:r>
    </w:p>
    <w:p>
      <w:pPr>
        <w:pStyle w:val="ListParagraph"/>
        <w:numPr>
          <w:ilvl w:val="0"/>
          <w:numId w:val="17"/>
        </w:numPr>
        <w:tabs>
          <w:tab w:pos="692" w:val="left" w:leader="none"/>
          <w:tab w:pos="693" w:val="left" w:leader="none"/>
        </w:tabs>
        <w:spacing w:line="240" w:lineRule="auto" w:before="129" w:after="0"/>
        <w:ind w:left="692" w:right="0" w:hanging="581"/>
        <w:jc w:val="left"/>
        <w:rPr>
          <w:sz w:val="24"/>
        </w:rPr>
      </w:pPr>
      <w:r>
        <w:rPr>
          <w:sz w:val="24"/>
        </w:rPr>
        <w:t>otorgada a Mirna Elizabeth Aguilar  Faz con número  de becario  248462, para cursar    </w:t>
      </w:r>
      <w:r>
        <w:rPr>
          <w:spacing w:val="20"/>
          <w:sz w:val="24"/>
        </w:rPr>
        <w:t> </w:t>
      </w:r>
      <w:r>
        <w:rPr>
          <w:sz w:val="24"/>
        </w:rPr>
        <w:t>los</w:t>
      </w:r>
    </w:p>
    <w:p>
      <w:pPr>
        <w:pStyle w:val="ListParagraph"/>
        <w:numPr>
          <w:ilvl w:val="0"/>
          <w:numId w:val="17"/>
        </w:numPr>
        <w:tabs>
          <w:tab w:pos="692" w:val="left" w:leader="none"/>
          <w:tab w:pos="693" w:val="left" w:leader="none"/>
        </w:tabs>
        <w:spacing w:line="240" w:lineRule="auto" w:before="134" w:after="0"/>
        <w:ind w:left="692" w:right="0" w:hanging="581"/>
        <w:jc w:val="left"/>
        <w:rPr>
          <w:sz w:val="24"/>
        </w:rPr>
      </w:pPr>
      <w:r>
        <w:rPr>
          <w:sz w:val="24"/>
        </w:rPr>
        <w:t>estudios de maestría en el programa de maestría  y doctorado en ciencias   </w:t>
      </w:r>
      <w:r>
        <w:rPr>
          <w:spacing w:val="19"/>
          <w:sz w:val="24"/>
        </w:rPr>
        <w:t> </w:t>
      </w:r>
      <w:r>
        <w:rPr>
          <w:sz w:val="24"/>
        </w:rPr>
        <w:t>agropecuarias  y</w:t>
      </w:r>
    </w:p>
    <w:p>
      <w:pPr>
        <w:pStyle w:val="ListParagraph"/>
        <w:numPr>
          <w:ilvl w:val="0"/>
          <w:numId w:val="17"/>
        </w:numPr>
        <w:tabs>
          <w:tab w:pos="692" w:val="left" w:leader="none"/>
          <w:tab w:pos="693" w:val="left" w:leader="none"/>
        </w:tabs>
        <w:spacing w:line="240" w:lineRule="auto" w:before="130" w:after="0"/>
        <w:ind w:left="692" w:right="0" w:hanging="581"/>
        <w:jc w:val="left"/>
        <w:rPr>
          <w:sz w:val="24"/>
        </w:rPr>
      </w:pPr>
      <w:r>
        <w:rPr>
          <w:sz w:val="24"/>
        </w:rPr>
        <w:t>recursos  naturales  de  </w:t>
      </w:r>
      <w:r>
        <w:rPr>
          <w:spacing w:val="-5"/>
          <w:sz w:val="24"/>
        </w:rPr>
        <w:t>la  </w:t>
      </w:r>
      <w:r>
        <w:rPr>
          <w:sz w:val="24"/>
        </w:rPr>
        <w:t>Universidad  Autónoma  del  Estado  de  México  así  como  a </w:t>
      </w:r>
      <w:r>
        <w:rPr>
          <w:spacing w:val="44"/>
          <w:sz w:val="24"/>
        </w:rPr>
        <w:t> </w:t>
      </w:r>
      <w:r>
        <w:rPr>
          <w:spacing w:val="-5"/>
          <w:sz w:val="24"/>
        </w:rPr>
        <w:t>la</w:t>
      </w:r>
    </w:p>
    <w:p>
      <w:pPr>
        <w:spacing w:after="0" w:line="240" w:lineRule="auto"/>
        <w:jc w:val="left"/>
        <w:rPr>
          <w:sz w:val="24"/>
        </w:rPr>
        <w:sectPr>
          <w:footerReference w:type="default" r:id="rId23"/>
          <w:pgSz w:w="12240" w:h="15840"/>
          <w:pgMar w:footer="1713" w:header="1154" w:top="1520" w:bottom="1900" w:left="1180" w:right="1380"/>
        </w:sectPr>
      </w:pPr>
    </w:p>
    <w:p>
      <w:pPr>
        <w:pStyle w:val="BodyText"/>
        <w:spacing w:before="10"/>
        <w:rPr>
          <w:rFonts w:ascii="Times New Roman"/>
          <w:sz w:val="17"/>
        </w:rPr>
      </w:pPr>
    </w:p>
    <w:p>
      <w:pPr>
        <w:pStyle w:val="ListParagraph"/>
        <w:numPr>
          <w:ilvl w:val="0"/>
          <w:numId w:val="18"/>
        </w:numPr>
        <w:tabs>
          <w:tab w:pos="692" w:val="left" w:leader="none"/>
          <w:tab w:pos="693" w:val="left" w:leader="none"/>
        </w:tabs>
        <w:spacing w:line="240" w:lineRule="auto" w:before="69" w:after="0"/>
        <w:ind w:left="692" w:right="0" w:hanging="470"/>
        <w:jc w:val="left"/>
        <w:rPr>
          <w:sz w:val="24"/>
        </w:rPr>
      </w:pPr>
      <w:r>
        <w:rPr>
          <w:sz w:val="24"/>
        </w:rPr>
        <w:t>secretaría de investigación y estudios avanzados UAEM y   a   </w:t>
      </w:r>
      <w:r>
        <w:rPr>
          <w:spacing w:val="41"/>
          <w:sz w:val="24"/>
        </w:rPr>
        <w:t> </w:t>
      </w:r>
      <w:r>
        <w:rPr>
          <w:sz w:val="24"/>
        </w:rPr>
        <w:t>FeSe (Fundación educación</w:t>
      </w:r>
    </w:p>
    <w:p>
      <w:pPr>
        <w:pStyle w:val="ListParagraph"/>
        <w:numPr>
          <w:ilvl w:val="0"/>
          <w:numId w:val="18"/>
        </w:numPr>
        <w:tabs>
          <w:tab w:pos="692" w:val="left" w:leader="none"/>
          <w:tab w:pos="693" w:val="left" w:leader="none"/>
        </w:tabs>
        <w:spacing w:line="240" w:lineRule="auto" w:before="125" w:after="0"/>
        <w:ind w:left="692" w:right="0" w:hanging="470"/>
        <w:jc w:val="left"/>
        <w:rPr>
          <w:sz w:val="24"/>
        </w:rPr>
      </w:pPr>
      <w:r>
        <w:rPr>
          <w:sz w:val="24"/>
        </w:rPr>
        <w:t>superior empresa) por el financiamiento brindado para </w:t>
      </w:r>
      <w:r>
        <w:rPr>
          <w:spacing w:val="-3"/>
          <w:sz w:val="24"/>
        </w:rPr>
        <w:t>la </w:t>
      </w:r>
      <w:r>
        <w:rPr>
          <w:sz w:val="24"/>
        </w:rPr>
        <w:t>realización de este</w:t>
      </w:r>
      <w:r>
        <w:rPr>
          <w:spacing w:val="-28"/>
          <w:sz w:val="24"/>
        </w:rPr>
        <w:t> </w:t>
      </w:r>
      <w:r>
        <w:rPr>
          <w:sz w:val="24"/>
        </w:rPr>
        <w:t>proyecto.</w:t>
      </w:r>
    </w:p>
    <w:p>
      <w:pPr>
        <w:pStyle w:val="BodyText"/>
        <w:spacing w:before="3"/>
        <w:rPr>
          <w:rFonts w:ascii="Times New Roman"/>
          <w:sz w:val="23"/>
        </w:rPr>
      </w:pPr>
    </w:p>
    <w:p>
      <w:pPr>
        <w:pStyle w:val="Heading1"/>
        <w:numPr>
          <w:ilvl w:val="0"/>
          <w:numId w:val="18"/>
        </w:numPr>
        <w:tabs>
          <w:tab w:pos="692" w:val="left" w:leader="none"/>
          <w:tab w:pos="693" w:val="left" w:leader="none"/>
        </w:tabs>
        <w:spacing w:line="240" w:lineRule="auto" w:before="69" w:after="0"/>
        <w:ind w:left="692" w:right="0" w:hanging="470"/>
        <w:jc w:val="left"/>
        <w:rPr>
          <w:rFonts w:ascii="Times New Roman"/>
        </w:rPr>
      </w:pPr>
      <w:r>
        <w:rPr>
          <w:rFonts w:ascii="Times New Roman"/>
        </w:rPr>
        <w:t>LITERATURA</w:t>
      </w:r>
      <w:r>
        <w:rPr>
          <w:rFonts w:ascii="Times New Roman"/>
          <w:spacing w:val="-11"/>
        </w:rPr>
        <w:t> </w:t>
      </w:r>
      <w:r>
        <w:rPr>
          <w:rFonts w:ascii="Times New Roman"/>
        </w:rPr>
        <w:t>CITADA</w:t>
      </w:r>
    </w:p>
    <w:p>
      <w:pPr>
        <w:pStyle w:val="BodyText"/>
        <w:spacing w:before="9"/>
        <w:rPr>
          <w:rFonts w:ascii="Times New Roman"/>
          <w:b/>
          <w:sz w:val="22"/>
        </w:rPr>
      </w:pPr>
    </w:p>
    <w:p>
      <w:pPr>
        <w:pStyle w:val="ListParagraph"/>
        <w:numPr>
          <w:ilvl w:val="0"/>
          <w:numId w:val="18"/>
        </w:numPr>
        <w:tabs>
          <w:tab w:pos="692" w:val="left" w:leader="none"/>
          <w:tab w:pos="693" w:val="left" w:leader="none"/>
        </w:tabs>
        <w:spacing w:line="240" w:lineRule="auto" w:before="69" w:after="0"/>
        <w:ind w:left="692" w:right="0" w:hanging="470"/>
        <w:jc w:val="left"/>
        <w:rPr>
          <w:sz w:val="24"/>
        </w:rPr>
      </w:pPr>
      <w:r>
        <w:rPr>
          <w:sz w:val="24"/>
        </w:rPr>
        <w:t>Buonavoglia C, V Martella, A Pratelli, M Tempesta, A Cavalli, D Buonavoglia, G  </w:t>
      </w:r>
      <w:r>
        <w:rPr>
          <w:spacing w:val="49"/>
          <w:sz w:val="24"/>
        </w:rPr>
        <w:t> </w:t>
      </w:r>
      <w:r>
        <w:rPr>
          <w:sz w:val="24"/>
        </w:rPr>
        <w:t>Bozzo,</w:t>
      </w:r>
    </w:p>
    <w:p>
      <w:pPr>
        <w:pStyle w:val="ListParagraph"/>
        <w:numPr>
          <w:ilvl w:val="0"/>
          <w:numId w:val="18"/>
        </w:numPr>
        <w:tabs>
          <w:tab w:pos="1403" w:val="left" w:leader="none"/>
          <w:tab w:pos="1404" w:val="left" w:leader="none"/>
        </w:tabs>
        <w:spacing w:line="240" w:lineRule="auto" w:before="129" w:after="0"/>
        <w:ind w:left="1403" w:right="0" w:hanging="1181"/>
        <w:jc w:val="left"/>
        <w:rPr>
          <w:sz w:val="24"/>
        </w:rPr>
      </w:pPr>
      <w:r>
        <w:rPr>
          <w:sz w:val="24"/>
        </w:rPr>
        <w:t>G Elia, N Decaro, L Carmichael. 2001. Evidence for evolution </w:t>
      </w:r>
      <w:r>
        <w:rPr>
          <w:spacing w:val="4"/>
          <w:sz w:val="24"/>
        </w:rPr>
        <w:t>of </w:t>
      </w:r>
      <w:r>
        <w:rPr>
          <w:sz w:val="24"/>
        </w:rPr>
        <w:t>canine</w:t>
      </w:r>
      <w:r>
        <w:rPr>
          <w:spacing w:val="32"/>
          <w:sz w:val="24"/>
        </w:rPr>
        <w:t> </w:t>
      </w:r>
      <w:r>
        <w:rPr>
          <w:sz w:val="24"/>
        </w:rPr>
        <w:t>parvovirus</w:t>
      </w:r>
    </w:p>
    <w:p>
      <w:pPr>
        <w:pStyle w:val="ListParagraph"/>
        <w:numPr>
          <w:ilvl w:val="0"/>
          <w:numId w:val="18"/>
        </w:numPr>
        <w:tabs>
          <w:tab w:pos="1403" w:val="left" w:leader="none"/>
          <w:tab w:pos="1404" w:val="left" w:leader="none"/>
        </w:tabs>
        <w:spacing w:line="240" w:lineRule="auto" w:before="125" w:after="0"/>
        <w:ind w:left="1403" w:right="0" w:hanging="1181"/>
        <w:jc w:val="left"/>
        <w:rPr>
          <w:sz w:val="24"/>
        </w:rPr>
      </w:pPr>
      <w:r>
        <w:rPr>
          <w:sz w:val="24"/>
        </w:rPr>
        <w:t>type 2 </w:t>
      </w:r>
      <w:r>
        <w:rPr>
          <w:spacing w:val="-3"/>
          <w:sz w:val="24"/>
        </w:rPr>
        <w:t>in </w:t>
      </w:r>
      <w:r>
        <w:rPr>
          <w:sz w:val="24"/>
        </w:rPr>
        <w:t>Italy. </w:t>
      </w:r>
      <w:r>
        <w:rPr>
          <w:i/>
          <w:sz w:val="24"/>
        </w:rPr>
        <w:t>J Gen Virol. </w:t>
      </w:r>
      <w:r>
        <w:rPr>
          <w:sz w:val="24"/>
        </w:rPr>
        <w:t>82,</w:t>
      </w:r>
      <w:r>
        <w:rPr>
          <w:spacing w:val="-1"/>
          <w:sz w:val="24"/>
        </w:rPr>
        <w:t> </w:t>
      </w:r>
      <w:r>
        <w:rPr>
          <w:sz w:val="24"/>
        </w:rPr>
        <w:t>3021-3025.</w:t>
      </w:r>
    </w:p>
    <w:p>
      <w:pPr>
        <w:pStyle w:val="BodyText"/>
        <w:spacing w:before="2"/>
        <w:rPr>
          <w:rFonts w:ascii="Times New Roman"/>
          <w:sz w:val="23"/>
        </w:rPr>
      </w:pPr>
    </w:p>
    <w:p>
      <w:pPr>
        <w:pStyle w:val="ListParagraph"/>
        <w:numPr>
          <w:ilvl w:val="0"/>
          <w:numId w:val="18"/>
        </w:numPr>
        <w:tabs>
          <w:tab w:pos="692" w:val="left" w:leader="none"/>
          <w:tab w:pos="693" w:val="left" w:leader="none"/>
        </w:tabs>
        <w:spacing w:line="240" w:lineRule="auto" w:before="69" w:after="0"/>
        <w:ind w:left="692" w:right="0" w:hanging="470"/>
        <w:jc w:val="left"/>
        <w:rPr>
          <w:sz w:val="24"/>
        </w:rPr>
      </w:pPr>
      <w:r>
        <w:rPr>
          <w:sz w:val="24"/>
        </w:rPr>
        <w:t>Carmichael L. 2005.An annotated historical account of canine parvovirus. </w:t>
      </w:r>
      <w:r>
        <w:rPr>
          <w:i/>
          <w:sz w:val="24"/>
        </w:rPr>
        <w:t>J. Vet. Med   </w:t>
      </w:r>
      <w:r>
        <w:rPr>
          <w:i/>
          <w:spacing w:val="11"/>
          <w:sz w:val="24"/>
        </w:rPr>
        <w:t> </w:t>
      </w:r>
      <w:r>
        <w:rPr>
          <w:sz w:val="24"/>
        </w:rPr>
        <w:t>52,</w:t>
      </w:r>
    </w:p>
    <w:p>
      <w:pPr>
        <w:pStyle w:val="BodyText"/>
        <w:tabs>
          <w:tab w:pos="1403" w:val="left" w:leader="none"/>
        </w:tabs>
        <w:spacing w:before="129"/>
        <w:ind w:left="222"/>
        <w:rPr>
          <w:rFonts w:ascii="Times New Roman" w:hAnsi="Times New Roman"/>
        </w:rPr>
      </w:pPr>
      <w:r>
        <w:rPr>
          <w:rFonts w:ascii="Calibri" w:hAnsi="Calibri"/>
          <w:sz w:val="22"/>
        </w:rPr>
        <w:t>8</w:t>
      </w:r>
      <w:r>
        <w:rPr>
          <w:rFonts w:ascii="Times New Roman" w:hAnsi="Times New Roman"/>
        </w:rPr>
        <w:tab/>
        <w:t>303–311.</w:t>
      </w:r>
    </w:p>
    <w:p>
      <w:pPr>
        <w:pStyle w:val="BodyText"/>
        <w:spacing w:before="3"/>
        <w:rPr>
          <w:rFonts w:ascii="Times New Roman"/>
          <w:sz w:val="23"/>
        </w:rPr>
      </w:pPr>
    </w:p>
    <w:p>
      <w:pPr>
        <w:pStyle w:val="BodyText"/>
        <w:tabs>
          <w:tab w:pos="692" w:val="left" w:leader="none"/>
        </w:tabs>
        <w:spacing w:before="69"/>
        <w:ind w:left="222"/>
        <w:rPr>
          <w:rFonts w:ascii="Times New Roman"/>
        </w:rPr>
      </w:pPr>
      <w:r>
        <w:rPr>
          <w:rFonts w:ascii="Calibri"/>
          <w:sz w:val="22"/>
        </w:rPr>
        <w:t>9</w:t>
        <w:tab/>
      </w:r>
      <w:r>
        <w:rPr>
          <w:rFonts w:ascii="Times New Roman"/>
        </w:rPr>
        <w:t>Decaro  N,  C  Buonavoglia.  2012.  Canine  parvovirus-A  review  of  epidemiological</w:t>
      </w:r>
      <w:r>
        <w:rPr>
          <w:rFonts w:ascii="Times New Roman"/>
          <w:spacing w:val="46"/>
        </w:rPr>
        <w:t> </w:t>
      </w:r>
      <w:r>
        <w:rPr>
          <w:rFonts w:ascii="Times New Roman"/>
        </w:rPr>
        <w:t>and</w:t>
      </w:r>
    </w:p>
    <w:p>
      <w:pPr>
        <w:pStyle w:val="ListParagraph"/>
        <w:numPr>
          <w:ilvl w:val="0"/>
          <w:numId w:val="19"/>
        </w:numPr>
        <w:tabs>
          <w:tab w:pos="1403" w:val="left" w:leader="none"/>
          <w:tab w:pos="1404" w:val="left" w:leader="none"/>
        </w:tabs>
        <w:spacing w:line="240" w:lineRule="auto" w:before="125" w:after="0"/>
        <w:ind w:left="1403" w:right="0" w:hanging="1292"/>
        <w:jc w:val="left"/>
        <w:rPr>
          <w:sz w:val="24"/>
        </w:rPr>
      </w:pPr>
      <w:r>
        <w:rPr>
          <w:sz w:val="24"/>
        </w:rPr>
        <w:t>diagnostic aspects with emphasis on type 2c. </w:t>
      </w:r>
      <w:r>
        <w:rPr>
          <w:i/>
          <w:sz w:val="24"/>
        </w:rPr>
        <w:t>Vet Microbiol </w:t>
      </w:r>
      <w:r>
        <w:rPr>
          <w:sz w:val="24"/>
        </w:rPr>
        <w:t>155,</w:t>
      </w:r>
      <w:r>
        <w:rPr>
          <w:spacing w:val="-15"/>
          <w:sz w:val="24"/>
        </w:rPr>
        <w:t> </w:t>
      </w:r>
      <w:r>
        <w:rPr>
          <w:sz w:val="24"/>
        </w:rPr>
        <w:t>1–12.</w:t>
      </w:r>
    </w:p>
    <w:p>
      <w:pPr>
        <w:pStyle w:val="BodyText"/>
        <w:spacing w:before="2"/>
        <w:rPr>
          <w:rFonts w:ascii="Times New Roman"/>
          <w:sz w:val="23"/>
        </w:rPr>
      </w:pPr>
    </w:p>
    <w:p>
      <w:pPr>
        <w:pStyle w:val="ListParagraph"/>
        <w:numPr>
          <w:ilvl w:val="0"/>
          <w:numId w:val="19"/>
        </w:numPr>
        <w:tabs>
          <w:tab w:pos="692" w:val="left" w:leader="none"/>
          <w:tab w:pos="693" w:val="left" w:leader="none"/>
        </w:tabs>
        <w:spacing w:line="240" w:lineRule="auto" w:before="69" w:after="0"/>
        <w:ind w:left="692" w:right="0" w:hanging="581"/>
        <w:jc w:val="left"/>
        <w:rPr>
          <w:sz w:val="24"/>
        </w:rPr>
      </w:pPr>
      <w:r>
        <w:rPr>
          <w:sz w:val="24"/>
        </w:rPr>
        <w:t>Decaro  N,  C  Desario,  M  Beall,  A  Cavalli,  M  Campolo,  A  DiMarco,  F  Amorisco,</w:t>
      </w:r>
      <w:r>
        <w:rPr>
          <w:spacing w:val="-21"/>
          <w:sz w:val="24"/>
        </w:rPr>
        <w:t> </w:t>
      </w:r>
      <w:r>
        <w:rPr>
          <w:sz w:val="24"/>
        </w:rPr>
        <w:t>M</w:t>
      </w:r>
    </w:p>
    <w:p>
      <w:pPr>
        <w:pStyle w:val="ListParagraph"/>
        <w:numPr>
          <w:ilvl w:val="0"/>
          <w:numId w:val="19"/>
        </w:numPr>
        <w:tabs>
          <w:tab w:pos="1403" w:val="left" w:leader="none"/>
          <w:tab w:pos="1404" w:val="left" w:leader="none"/>
        </w:tabs>
        <w:spacing w:line="240" w:lineRule="auto" w:before="130" w:after="0"/>
        <w:ind w:left="1403" w:right="0" w:hanging="1292"/>
        <w:jc w:val="left"/>
        <w:rPr>
          <w:sz w:val="24"/>
        </w:rPr>
      </w:pPr>
      <w:r>
        <w:rPr>
          <w:sz w:val="24"/>
        </w:rPr>
        <w:t>Colaianni,  C  Buonavoglia.  2010.  Detection  </w:t>
      </w:r>
      <w:r>
        <w:rPr>
          <w:spacing w:val="4"/>
          <w:sz w:val="24"/>
        </w:rPr>
        <w:t>of  </w:t>
      </w:r>
      <w:r>
        <w:rPr>
          <w:sz w:val="24"/>
        </w:rPr>
        <w:t>canine  parvovirus  type  2c  by </w:t>
      </w:r>
      <w:r>
        <w:rPr>
          <w:spacing w:val="9"/>
          <w:sz w:val="24"/>
        </w:rPr>
        <w:t> </w:t>
      </w:r>
      <w:r>
        <w:rPr>
          <w:sz w:val="24"/>
        </w:rPr>
        <w:t>a</w:t>
      </w:r>
    </w:p>
    <w:p>
      <w:pPr>
        <w:pStyle w:val="ListParagraph"/>
        <w:numPr>
          <w:ilvl w:val="0"/>
          <w:numId w:val="19"/>
        </w:numPr>
        <w:tabs>
          <w:tab w:pos="1403" w:val="left" w:leader="none"/>
          <w:tab w:pos="1404" w:val="left" w:leader="none"/>
        </w:tabs>
        <w:spacing w:line="240" w:lineRule="auto" w:before="125" w:after="0"/>
        <w:ind w:left="1403" w:right="0" w:hanging="1292"/>
        <w:jc w:val="left"/>
        <w:rPr>
          <w:sz w:val="24"/>
        </w:rPr>
      </w:pPr>
      <w:r>
        <w:rPr>
          <w:sz w:val="24"/>
        </w:rPr>
        <w:t>commercially available in-house rapid test. </w:t>
      </w:r>
      <w:r>
        <w:rPr>
          <w:i/>
          <w:sz w:val="24"/>
        </w:rPr>
        <w:t>Vet </w:t>
      </w:r>
      <w:r>
        <w:rPr>
          <w:i/>
          <w:spacing w:val="-3"/>
          <w:sz w:val="24"/>
        </w:rPr>
        <w:t>J. </w:t>
      </w:r>
      <w:r>
        <w:rPr>
          <w:sz w:val="24"/>
        </w:rPr>
        <w:t>184,</w:t>
      </w:r>
      <w:r>
        <w:rPr>
          <w:spacing w:val="-8"/>
          <w:sz w:val="24"/>
        </w:rPr>
        <w:t> </w:t>
      </w:r>
      <w:r>
        <w:rPr>
          <w:sz w:val="24"/>
        </w:rPr>
        <w:t>373-375.</w:t>
      </w:r>
    </w:p>
    <w:p>
      <w:pPr>
        <w:pStyle w:val="BodyText"/>
        <w:spacing w:before="2"/>
        <w:rPr>
          <w:rFonts w:ascii="Times New Roman"/>
          <w:sz w:val="23"/>
        </w:rPr>
      </w:pPr>
    </w:p>
    <w:p>
      <w:pPr>
        <w:pStyle w:val="ListParagraph"/>
        <w:numPr>
          <w:ilvl w:val="0"/>
          <w:numId w:val="19"/>
        </w:numPr>
        <w:tabs>
          <w:tab w:pos="692" w:val="left" w:leader="none"/>
          <w:tab w:pos="693" w:val="left" w:leader="none"/>
        </w:tabs>
        <w:spacing w:line="240" w:lineRule="auto" w:before="69" w:after="0"/>
        <w:ind w:left="692" w:right="0" w:hanging="581"/>
        <w:jc w:val="left"/>
        <w:rPr>
          <w:sz w:val="24"/>
        </w:rPr>
      </w:pPr>
      <w:r>
        <w:rPr>
          <w:sz w:val="24"/>
        </w:rPr>
        <w:t>Decaro</w:t>
      </w:r>
      <w:r>
        <w:rPr>
          <w:spacing w:val="26"/>
          <w:sz w:val="24"/>
        </w:rPr>
        <w:t> </w:t>
      </w:r>
      <w:r>
        <w:rPr>
          <w:sz w:val="24"/>
        </w:rPr>
        <w:t>N,</w:t>
      </w:r>
      <w:r>
        <w:rPr>
          <w:spacing w:val="19"/>
          <w:sz w:val="24"/>
        </w:rPr>
        <w:t> </w:t>
      </w:r>
      <w:r>
        <w:rPr>
          <w:sz w:val="24"/>
        </w:rPr>
        <w:t>C</w:t>
      </w:r>
      <w:r>
        <w:rPr>
          <w:spacing w:val="20"/>
          <w:sz w:val="24"/>
        </w:rPr>
        <w:t> </w:t>
      </w:r>
      <w:r>
        <w:rPr>
          <w:sz w:val="24"/>
        </w:rPr>
        <w:t>Desario,</w:t>
      </w:r>
      <w:r>
        <w:rPr>
          <w:spacing w:val="24"/>
          <w:sz w:val="24"/>
        </w:rPr>
        <w:t> </w:t>
      </w:r>
      <w:r>
        <w:rPr>
          <w:sz w:val="24"/>
        </w:rPr>
        <w:t>G</w:t>
      </w:r>
      <w:r>
        <w:rPr>
          <w:spacing w:val="21"/>
          <w:sz w:val="24"/>
        </w:rPr>
        <w:t> </w:t>
      </w:r>
      <w:r>
        <w:rPr>
          <w:sz w:val="24"/>
        </w:rPr>
        <w:t>Elia,</w:t>
      </w:r>
      <w:r>
        <w:rPr>
          <w:spacing w:val="24"/>
          <w:sz w:val="24"/>
        </w:rPr>
        <w:t> </w:t>
      </w:r>
      <w:r>
        <w:rPr>
          <w:sz w:val="24"/>
        </w:rPr>
        <w:t>V</w:t>
      </w:r>
      <w:r>
        <w:rPr>
          <w:spacing w:val="21"/>
          <w:sz w:val="24"/>
        </w:rPr>
        <w:t> </w:t>
      </w:r>
      <w:r>
        <w:rPr>
          <w:sz w:val="24"/>
        </w:rPr>
        <w:t>Martella,</w:t>
      </w:r>
      <w:r>
        <w:rPr>
          <w:spacing w:val="24"/>
          <w:sz w:val="24"/>
        </w:rPr>
        <w:t> </w:t>
      </w:r>
      <w:r>
        <w:rPr>
          <w:sz w:val="24"/>
        </w:rPr>
        <w:t>V</w:t>
      </w:r>
      <w:r>
        <w:rPr>
          <w:spacing w:val="21"/>
          <w:sz w:val="24"/>
        </w:rPr>
        <w:t> </w:t>
      </w:r>
      <w:r>
        <w:rPr>
          <w:sz w:val="24"/>
        </w:rPr>
        <w:t>Mari,</w:t>
      </w:r>
      <w:r>
        <w:rPr>
          <w:spacing w:val="29"/>
          <w:sz w:val="24"/>
        </w:rPr>
        <w:t> </w:t>
      </w:r>
      <w:r>
        <w:rPr>
          <w:sz w:val="24"/>
        </w:rPr>
        <w:t>A</w:t>
      </w:r>
      <w:r>
        <w:rPr>
          <w:spacing w:val="21"/>
          <w:sz w:val="24"/>
        </w:rPr>
        <w:t> </w:t>
      </w:r>
      <w:r>
        <w:rPr>
          <w:sz w:val="24"/>
        </w:rPr>
        <w:t>Lavazza,</w:t>
      </w:r>
      <w:r>
        <w:rPr>
          <w:spacing w:val="24"/>
          <w:sz w:val="24"/>
        </w:rPr>
        <w:t> </w:t>
      </w:r>
      <w:r>
        <w:rPr>
          <w:sz w:val="24"/>
        </w:rPr>
        <w:t>M</w:t>
      </w:r>
      <w:r>
        <w:rPr>
          <w:spacing w:val="20"/>
          <w:sz w:val="24"/>
        </w:rPr>
        <w:t> </w:t>
      </w:r>
      <w:r>
        <w:rPr>
          <w:sz w:val="24"/>
        </w:rPr>
        <w:t>Nardi,</w:t>
      </w:r>
      <w:r>
        <w:rPr>
          <w:spacing w:val="24"/>
          <w:sz w:val="24"/>
        </w:rPr>
        <w:t> </w:t>
      </w:r>
      <w:r>
        <w:rPr>
          <w:sz w:val="24"/>
        </w:rPr>
        <w:t>C</w:t>
      </w:r>
      <w:r>
        <w:rPr>
          <w:spacing w:val="20"/>
          <w:sz w:val="24"/>
        </w:rPr>
        <w:t> </w:t>
      </w:r>
      <w:r>
        <w:rPr>
          <w:sz w:val="24"/>
        </w:rPr>
        <w:t>Buonavoglia.</w:t>
      </w:r>
    </w:p>
    <w:p>
      <w:pPr>
        <w:pStyle w:val="ListParagraph"/>
        <w:numPr>
          <w:ilvl w:val="0"/>
          <w:numId w:val="19"/>
        </w:numPr>
        <w:tabs>
          <w:tab w:pos="1403" w:val="left" w:leader="none"/>
          <w:tab w:pos="1404" w:val="left" w:leader="none"/>
        </w:tabs>
        <w:spacing w:line="240" w:lineRule="auto" w:before="129" w:after="0"/>
        <w:ind w:left="1403" w:right="0" w:hanging="1292"/>
        <w:jc w:val="left"/>
        <w:rPr>
          <w:sz w:val="24"/>
        </w:rPr>
      </w:pPr>
      <w:r>
        <w:rPr>
          <w:sz w:val="24"/>
        </w:rPr>
        <w:t>2008. Evidence  for  immunization failure  </w:t>
      </w:r>
      <w:r>
        <w:rPr>
          <w:spacing w:val="-3"/>
          <w:sz w:val="24"/>
        </w:rPr>
        <w:t>in  </w:t>
      </w:r>
      <w:r>
        <w:rPr>
          <w:sz w:val="24"/>
        </w:rPr>
        <w:t>vaccinated  adult  dogs  infected </w:t>
      </w:r>
      <w:r>
        <w:rPr>
          <w:spacing w:val="19"/>
          <w:sz w:val="24"/>
        </w:rPr>
        <w:t> </w:t>
      </w:r>
      <w:r>
        <w:rPr>
          <w:sz w:val="24"/>
        </w:rPr>
        <w:t>with</w:t>
      </w:r>
    </w:p>
    <w:p>
      <w:pPr>
        <w:pStyle w:val="ListParagraph"/>
        <w:numPr>
          <w:ilvl w:val="0"/>
          <w:numId w:val="19"/>
        </w:numPr>
        <w:tabs>
          <w:tab w:pos="1403" w:val="left" w:leader="none"/>
          <w:tab w:pos="1404" w:val="left" w:leader="none"/>
        </w:tabs>
        <w:spacing w:line="240" w:lineRule="auto" w:before="130" w:after="0"/>
        <w:ind w:left="1403" w:right="0" w:hanging="1292"/>
        <w:jc w:val="left"/>
        <w:rPr>
          <w:sz w:val="24"/>
        </w:rPr>
      </w:pPr>
      <w:r>
        <w:rPr>
          <w:sz w:val="24"/>
        </w:rPr>
        <w:t>canine parvovirus type 2c. </w:t>
      </w:r>
      <w:r>
        <w:rPr>
          <w:i/>
          <w:sz w:val="24"/>
        </w:rPr>
        <w:t>New Microbiol.</w:t>
      </w:r>
      <w:r>
        <w:rPr>
          <w:i/>
          <w:spacing w:val="-14"/>
          <w:sz w:val="24"/>
        </w:rPr>
        <w:t> </w:t>
      </w:r>
      <w:r>
        <w:rPr>
          <w:sz w:val="24"/>
        </w:rPr>
        <w:t>31,125-130.</w:t>
      </w:r>
    </w:p>
    <w:p>
      <w:pPr>
        <w:pStyle w:val="BodyText"/>
        <w:spacing w:before="9"/>
        <w:rPr>
          <w:rFonts w:ascii="Times New Roman"/>
          <w:sz w:val="22"/>
        </w:rPr>
      </w:pPr>
    </w:p>
    <w:p>
      <w:pPr>
        <w:pStyle w:val="ListParagraph"/>
        <w:numPr>
          <w:ilvl w:val="0"/>
          <w:numId w:val="19"/>
        </w:numPr>
        <w:tabs>
          <w:tab w:pos="692" w:val="left" w:leader="none"/>
          <w:tab w:pos="693" w:val="left" w:leader="none"/>
        </w:tabs>
        <w:spacing w:line="240" w:lineRule="auto" w:before="69" w:after="0"/>
        <w:ind w:left="692" w:right="0" w:hanging="581"/>
        <w:jc w:val="left"/>
        <w:rPr>
          <w:sz w:val="24"/>
        </w:rPr>
      </w:pPr>
      <w:r>
        <w:rPr>
          <w:sz w:val="24"/>
        </w:rPr>
        <w:t>Decaro N, V Martella, G Elia, C Desario, M Campolo, E Lorusso, L Colaianni, E </w:t>
      </w:r>
      <w:r>
        <w:rPr>
          <w:spacing w:val="35"/>
          <w:sz w:val="24"/>
        </w:rPr>
        <w:t> </w:t>
      </w:r>
      <w:r>
        <w:rPr>
          <w:sz w:val="24"/>
        </w:rPr>
        <w:t>Lorusso,</w:t>
      </w:r>
    </w:p>
    <w:p>
      <w:pPr>
        <w:pStyle w:val="ListParagraph"/>
        <w:numPr>
          <w:ilvl w:val="0"/>
          <w:numId w:val="19"/>
        </w:numPr>
        <w:tabs>
          <w:tab w:pos="1403" w:val="left" w:leader="none"/>
          <w:tab w:pos="1404" w:val="left" w:leader="none"/>
        </w:tabs>
        <w:spacing w:line="240" w:lineRule="auto" w:before="134" w:after="0"/>
        <w:ind w:left="1403" w:right="0" w:hanging="1292"/>
        <w:jc w:val="left"/>
        <w:rPr>
          <w:sz w:val="24"/>
        </w:rPr>
      </w:pPr>
      <w:r>
        <w:rPr>
          <w:sz w:val="24"/>
        </w:rPr>
        <w:t>C  Buonavoglia.  2007.  Tissue  distribution  </w:t>
      </w:r>
      <w:r>
        <w:rPr>
          <w:spacing w:val="4"/>
          <w:sz w:val="24"/>
        </w:rPr>
        <w:t>of  </w:t>
      </w:r>
      <w:r>
        <w:rPr>
          <w:sz w:val="24"/>
        </w:rPr>
        <w:t>the  antigenic  variants  of    </w:t>
      </w:r>
      <w:r>
        <w:rPr>
          <w:spacing w:val="24"/>
          <w:sz w:val="24"/>
        </w:rPr>
        <w:t> </w:t>
      </w:r>
      <w:r>
        <w:rPr>
          <w:sz w:val="24"/>
        </w:rPr>
        <w:t>canine</w:t>
      </w:r>
    </w:p>
    <w:p>
      <w:pPr>
        <w:pStyle w:val="ListParagraph"/>
        <w:numPr>
          <w:ilvl w:val="0"/>
          <w:numId w:val="19"/>
        </w:numPr>
        <w:tabs>
          <w:tab w:pos="1403" w:val="left" w:leader="none"/>
          <w:tab w:pos="1404" w:val="left" w:leader="none"/>
        </w:tabs>
        <w:spacing w:line="240" w:lineRule="auto" w:before="125" w:after="0"/>
        <w:ind w:left="1403" w:right="0" w:hanging="1292"/>
        <w:jc w:val="left"/>
        <w:rPr>
          <w:sz w:val="24"/>
        </w:rPr>
      </w:pPr>
      <w:r>
        <w:rPr>
          <w:sz w:val="24"/>
        </w:rPr>
        <w:t>parvovirus type 2 </w:t>
      </w:r>
      <w:r>
        <w:rPr>
          <w:spacing w:val="-3"/>
          <w:sz w:val="24"/>
        </w:rPr>
        <w:t>in </w:t>
      </w:r>
      <w:r>
        <w:rPr>
          <w:sz w:val="24"/>
        </w:rPr>
        <w:t>dogs. </w:t>
      </w:r>
      <w:r>
        <w:rPr>
          <w:i/>
          <w:sz w:val="24"/>
        </w:rPr>
        <w:t>Vet Microbiol.</w:t>
      </w:r>
      <w:r>
        <w:rPr>
          <w:sz w:val="24"/>
        </w:rPr>
        <w:t>121,</w:t>
      </w:r>
      <w:r>
        <w:rPr>
          <w:spacing w:val="-6"/>
          <w:sz w:val="24"/>
        </w:rPr>
        <w:t> </w:t>
      </w:r>
      <w:r>
        <w:rPr>
          <w:sz w:val="24"/>
        </w:rPr>
        <w:t>39-44.</w:t>
      </w:r>
    </w:p>
    <w:p>
      <w:pPr>
        <w:pStyle w:val="BodyText"/>
        <w:spacing w:before="3"/>
        <w:rPr>
          <w:rFonts w:ascii="Times New Roman"/>
          <w:sz w:val="23"/>
        </w:rPr>
      </w:pPr>
    </w:p>
    <w:p>
      <w:pPr>
        <w:pStyle w:val="ListParagraph"/>
        <w:numPr>
          <w:ilvl w:val="0"/>
          <w:numId w:val="19"/>
        </w:numPr>
        <w:tabs>
          <w:tab w:pos="692" w:val="left" w:leader="none"/>
          <w:tab w:pos="693" w:val="left" w:leader="none"/>
        </w:tabs>
        <w:spacing w:line="240" w:lineRule="auto" w:before="69" w:after="0"/>
        <w:ind w:left="692" w:right="0" w:hanging="581"/>
        <w:jc w:val="left"/>
        <w:rPr>
          <w:sz w:val="24"/>
        </w:rPr>
      </w:pPr>
      <w:r>
        <w:rPr>
          <w:sz w:val="24"/>
        </w:rPr>
        <w:t>Desario C, N Decaro, M Campolo, A Cavalli, F Cirone, G Elia, V Martella, E Lorusso,  </w:t>
      </w:r>
      <w:r>
        <w:rPr>
          <w:spacing w:val="35"/>
          <w:sz w:val="24"/>
        </w:rPr>
        <w:t> </w:t>
      </w:r>
      <w:r>
        <w:rPr>
          <w:sz w:val="24"/>
        </w:rPr>
        <w:t>M</w:t>
      </w:r>
    </w:p>
    <w:p>
      <w:pPr>
        <w:pStyle w:val="ListParagraph"/>
        <w:numPr>
          <w:ilvl w:val="0"/>
          <w:numId w:val="19"/>
        </w:numPr>
        <w:tabs>
          <w:tab w:pos="1403" w:val="left" w:leader="none"/>
          <w:tab w:pos="1404" w:val="left" w:leader="none"/>
        </w:tabs>
        <w:spacing w:line="240" w:lineRule="auto" w:before="129" w:after="0"/>
        <w:ind w:left="1403" w:right="0" w:hanging="1292"/>
        <w:jc w:val="left"/>
        <w:rPr>
          <w:sz w:val="24"/>
        </w:rPr>
      </w:pPr>
      <w:r>
        <w:rPr>
          <w:sz w:val="24"/>
        </w:rPr>
        <w:t>Camero, C Buonavoglia. 2005. Canine parvovirus infection:   </w:t>
      </w:r>
      <w:r>
        <w:rPr>
          <w:spacing w:val="41"/>
          <w:sz w:val="24"/>
        </w:rPr>
        <w:t> </w:t>
      </w:r>
      <w:r>
        <w:rPr>
          <w:sz w:val="24"/>
        </w:rPr>
        <w:t>which diagnostic test</w:t>
      </w:r>
    </w:p>
    <w:p>
      <w:pPr>
        <w:pStyle w:val="ListParagraph"/>
        <w:numPr>
          <w:ilvl w:val="0"/>
          <w:numId w:val="19"/>
        </w:numPr>
        <w:tabs>
          <w:tab w:pos="1403" w:val="left" w:leader="none"/>
          <w:tab w:pos="1404" w:val="left" w:leader="none"/>
        </w:tabs>
        <w:spacing w:line="240" w:lineRule="auto" w:before="125" w:after="0"/>
        <w:ind w:left="1403" w:right="0" w:hanging="1292"/>
        <w:jc w:val="left"/>
        <w:rPr>
          <w:sz w:val="24"/>
        </w:rPr>
      </w:pPr>
      <w:r>
        <w:rPr>
          <w:sz w:val="24"/>
        </w:rPr>
        <w:t>for virus? </w:t>
      </w:r>
      <w:r>
        <w:rPr>
          <w:i/>
          <w:sz w:val="24"/>
        </w:rPr>
        <w:t>J  Virol Methods</w:t>
      </w:r>
      <w:r>
        <w:rPr>
          <w:sz w:val="24"/>
        </w:rPr>
        <w:t>. 126,</w:t>
      </w:r>
      <w:r>
        <w:rPr>
          <w:spacing w:val="-8"/>
          <w:sz w:val="24"/>
        </w:rPr>
        <w:t> </w:t>
      </w:r>
      <w:r>
        <w:rPr>
          <w:sz w:val="24"/>
        </w:rPr>
        <w:t>179-185.</w:t>
      </w:r>
    </w:p>
    <w:p>
      <w:pPr>
        <w:spacing w:after="0" w:line="240" w:lineRule="auto"/>
        <w:jc w:val="left"/>
        <w:rPr>
          <w:sz w:val="24"/>
        </w:rPr>
        <w:sectPr>
          <w:footerReference w:type="default" r:id="rId24"/>
          <w:pgSz w:w="12240" w:h="15840"/>
          <w:pgMar w:footer="1713" w:header="1154" w:top="1520" w:bottom="1900" w:left="1180" w:right="1380"/>
          <w:pgNumType w:start="41"/>
        </w:sectPr>
      </w:pPr>
    </w:p>
    <w:p>
      <w:pPr>
        <w:pStyle w:val="BodyText"/>
        <w:spacing w:before="10"/>
        <w:rPr>
          <w:rFonts w:ascii="Times New Roman"/>
          <w:sz w:val="17"/>
        </w:rPr>
      </w:pPr>
    </w:p>
    <w:p>
      <w:pPr>
        <w:pStyle w:val="ListParagraph"/>
        <w:numPr>
          <w:ilvl w:val="1"/>
          <w:numId w:val="19"/>
        </w:numPr>
        <w:tabs>
          <w:tab w:pos="692" w:val="left" w:leader="none"/>
          <w:tab w:pos="693" w:val="left" w:leader="none"/>
        </w:tabs>
        <w:spacing w:line="240" w:lineRule="auto" w:before="69" w:after="0"/>
        <w:ind w:left="692" w:right="0" w:hanging="470"/>
        <w:jc w:val="left"/>
        <w:rPr>
          <w:sz w:val="24"/>
        </w:rPr>
      </w:pPr>
      <w:r>
        <w:rPr>
          <w:sz w:val="24"/>
        </w:rPr>
        <w:t>Esfandiari J, B Klingeborn. 2000.  A comparative study of a new rapid and on step test  </w:t>
      </w:r>
      <w:r>
        <w:rPr>
          <w:spacing w:val="10"/>
          <w:sz w:val="24"/>
        </w:rPr>
        <w:t> </w:t>
      </w:r>
      <w:r>
        <w:rPr>
          <w:sz w:val="24"/>
        </w:rPr>
        <w:t>for</w:t>
      </w:r>
    </w:p>
    <w:p>
      <w:pPr>
        <w:pStyle w:val="ListParagraph"/>
        <w:numPr>
          <w:ilvl w:val="1"/>
          <w:numId w:val="19"/>
        </w:numPr>
        <w:tabs>
          <w:tab w:pos="1403" w:val="left" w:leader="none"/>
          <w:tab w:pos="1404" w:val="left" w:leader="none"/>
        </w:tabs>
        <w:spacing w:line="240" w:lineRule="auto" w:before="129" w:after="0"/>
        <w:ind w:left="1403" w:right="0" w:hanging="1181"/>
        <w:jc w:val="left"/>
        <w:rPr>
          <w:sz w:val="24"/>
        </w:rPr>
      </w:pPr>
      <w:r>
        <w:rPr>
          <w:sz w:val="24"/>
        </w:rPr>
        <w:t>the detection of parvoviruses  </w:t>
      </w:r>
      <w:r>
        <w:rPr>
          <w:spacing w:val="-3"/>
          <w:sz w:val="24"/>
        </w:rPr>
        <w:t>in  </w:t>
      </w:r>
      <w:r>
        <w:rPr>
          <w:sz w:val="24"/>
        </w:rPr>
        <w:t>faces  from dogs, cats and  mink.  </w:t>
      </w:r>
      <w:r>
        <w:rPr>
          <w:i/>
          <w:sz w:val="24"/>
        </w:rPr>
        <w:t>J. Vet Med.  </w:t>
      </w:r>
      <w:r>
        <w:rPr>
          <w:i/>
          <w:spacing w:val="57"/>
          <w:sz w:val="24"/>
        </w:rPr>
        <w:t> </w:t>
      </w:r>
      <w:r>
        <w:rPr>
          <w:sz w:val="24"/>
        </w:rPr>
        <w:t>47,</w:t>
      </w:r>
    </w:p>
    <w:p>
      <w:pPr>
        <w:pStyle w:val="BodyText"/>
        <w:tabs>
          <w:tab w:pos="1403" w:val="left" w:leader="none"/>
        </w:tabs>
        <w:spacing w:before="125"/>
        <w:ind w:left="222"/>
        <w:rPr>
          <w:rFonts w:ascii="Times New Roman"/>
        </w:rPr>
      </w:pPr>
      <w:r>
        <w:rPr>
          <w:rFonts w:ascii="Calibri"/>
          <w:sz w:val="22"/>
        </w:rPr>
        <w:t>3</w:t>
      </w:r>
      <w:r>
        <w:rPr>
          <w:rFonts w:ascii="Times New Roman"/>
        </w:rPr>
        <w:tab/>
        <w:t>145-153.</w:t>
      </w:r>
    </w:p>
    <w:p>
      <w:pPr>
        <w:pStyle w:val="BodyText"/>
        <w:spacing w:before="2"/>
        <w:rPr>
          <w:rFonts w:ascii="Times New Roman"/>
          <w:sz w:val="23"/>
        </w:rPr>
      </w:pPr>
    </w:p>
    <w:p>
      <w:pPr>
        <w:pStyle w:val="ListParagraph"/>
        <w:numPr>
          <w:ilvl w:val="0"/>
          <w:numId w:val="20"/>
        </w:numPr>
        <w:tabs>
          <w:tab w:pos="692" w:val="left" w:leader="none"/>
          <w:tab w:pos="693" w:val="left" w:leader="none"/>
        </w:tabs>
        <w:spacing w:line="240" w:lineRule="auto" w:before="69" w:after="0"/>
        <w:ind w:left="692" w:right="0" w:hanging="470"/>
        <w:jc w:val="left"/>
        <w:rPr>
          <w:sz w:val="24"/>
        </w:rPr>
      </w:pPr>
      <w:r>
        <w:rPr>
          <w:spacing w:val="-3"/>
          <w:sz w:val="24"/>
        </w:rPr>
        <w:t>Gallo  </w:t>
      </w:r>
      <w:r>
        <w:rPr>
          <w:sz w:val="24"/>
        </w:rPr>
        <w:t>M,  M  Nora,  D  Bucafusco,  F  Fogel,  P  Remolino,  J  La  Torre.  2009.</w:t>
      </w:r>
      <w:r>
        <w:rPr>
          <w:spacing w:val="52"/>
          <w:sz w:val="24"/>
        </w:rPr>
        <w:t> </w:t>
      </w:r>
      <w:r>
        <w:rPr>
          <w:sz w:val="24"/>
        </w:rPr>
        <w:t>Molecular</w:t>
      </w:r>
    </w:p>
    <w:p>
      <w:pPr>
        <w:pStyle w:val="ListParagraph"/>
        <w:numPr>
          <w:ilvl w:val="0"/>
          <w:numId w:val="20"/>
        </w:numPr>
        <w:tabs>
          <w:tab w:pos="1403" w:val="left" w:leader="none"/>
          <w:tab w:pos="1404" w:val="left" w:leader="none"/>
        </w:tabs>
        <w:spacing w:line="240" w:lineRule="auto" w:before="134" w:after="0"/>
        <w:ind w:left="1403" w:right="0" w:hanging="1181"/>
        <w:jc w:val="left"/>
        <w:rPr>
          <w:sz w:val="24"/>
        </w:rPr>
      </w:pPr>
      <w:r>
        <w:rPr>
          <w:sz w:val="24"/>
        </w:rPr>
        <w:t>characterization   of   canine   parvovirus   strains   </w:t>
      </w:r>
      <w:r>
        <w:rPr>
          <w:spacing w:val="-3"/>
          <w:sz w:val="24"/>
        </w:rPr>
        <w:t>in   </w:t>
      </w:r>
      <w:r>
        <w:rPr>
          <w:sz w:val="24"/>
        </w:rPr>
        <w:t>Argentina:   detection   </w:t>
      </w:r>
      <w:r>
        <w:rPr>
          <w:spacing w:val="4"/>
          <w:sz w:val="24"/>
        </w:rPr>
        <w:t>of</w:t>
      </w:r>
      <w:r>
        <w:rPr>
          <w:spacing w:val="-2"/>
          <w:sz w:val="24"/>
        </w:rPr>
        <w:t> </w:t>
      </w:r>
      <w:r>
        <w:rPr>
          <w:sz w:val="24"/>
        </w:rPr>
        <w:t>the</w:t>
      </w:r>
    </w:p>
    <w:p>
      <w:pPr>
        <w:pStyle w:val="ListParagraph"/>
        <w:numPr>
          <w:ilvl w:val="0"/>
          <w:numId w:val="20"/>
        </w:numPr>
        <w:tabs>
          <w:tab w:pos="1403" w:val="left" w:leader="none"/>
          <w:tab w:pos="1404" w:val="left" w:leader="none"/>
        </w:tabs>
        <w:spacing w:line="240" w:lineRule="auto" w:before="125" w:after="0"/>
        <w:ind w:left="1403" w:right="0" w:hanging="1181"/>
        <w:jc w:val="left"/>
        <w:rPr>
          <w:sz w:val="24"/>
        </w:rPr>
      </w:pPr>
      <w:r>
        <w:rPr>
          <w:sz w:val="24"/>
        </w:rPr>
        <w:t>pathogenic variant CPV2c </w:t>
      </w:r>
      <w:r>
        <w:rPr>
          <w:spacing w:val="-3"/>
          <w:sz w:val="24"/>
        </w:rPr>
        <w:t>in </w:t>
      </w:r>
      <w:r>
        <w:rPr>
          <w:sz w:val="24"/>
        </w:rPr>
        <w:t>vaccinated dogs. </w:t>
      </w:r>
      <w:r>
        <w:rPr>
          <w:i/>
          <w:sz w:val="24"/>
        </w:rPr>
        <w:t>J </w:t>
      </w:r>
      <w:r>
        <w:rPr>
          <w:i/>
          <w:spacing w:val="-3"/>
          <w:sz w:val="24"/>
        </w:rPr>
        <w:t>Virol </w:t>
      </w:r>
      <w:r>
        <w:rPr>
          <w:i/>
          <w:sz w:val="24"/>
        </w:rPr>
        <w:t>Methods</w:t>
      </w:r>
      <w:r>
        <w:rPr>
          <w:sz w:val="24"/>
        </w:rPr>
        <w:t>.159,</w:t>
      </w:r>
      <w:r>
        <w:rPr>
          <w:spacing w:val="12"/>
          <w:sz w:val="24"/>
        </w:rPr>
        <w:t> </w:t>
      </w:r>
      <w:r>
        <w:rPr>
          <w:sz w:val="24"/>
        </w:rPr>
        <w:t>141–145.</w:t>
      </w:r>
    </w:p>
    <w:p>
      <w:pPr>
        <w:pStyle w:val="BodyText"/>
        <w:spacing w:before="2"/>
        <w:rPr>
          <w:rFonts w:ascii="Times New Roman"/>
          <w:sz w:val="23"/>
        </w:rPr>
      </w:pPr>
    </w:p>
    <w:p>
      <w:pPr>
        <w:pStyle w:val="ListParagraph"/>
        <w:numPr>
          <w:ilvl w:val="0"/>
          <w:numId w:val="20"/>
        </w:numPr>
        <w:tabs>
          <w:tab w:pos="692" w:val="left" w:leader="none"/>
          <w:tab w:pos="693" w:val="left" w:leader="none"/>
        </w:tabs>
        <w:spacing w:line="240" w:lineRule="auto" w:before="69" w:after="0"/>
        <w:ind w:left="692" w:right="0" w:hanging="470"/>
        <w:jc w:val="left"/>
        <w:rPr>
          <w:sz w:val="24"/>
        </w:rPr>
      </w:pPr>
      <w:r>
        <w:rPr>
          <w:spacing w:val="-3"/>
          <w:sz w:val="24"/>
        </w:rPr>
        <w:t>Gallo </w:t>
      </w:r>
      <w:r>
        <w:rPr>
          <w:sz w:val="24"/>
        </w:rPr>
        <w:t>M, C Romanutti, A D´Antuono, L Keller, N Mattion, J La Torre. 2011. Evolution  </w:t>
      </w:r>
      <w:r>
        <w:rPr>
          <w:spacing w:val="1"/>
          <w:sz w:val="24"/>
        </w:rPr>
        <w:t> </w:t>
      </w:r>
      <w:r>
        <w:rPr>
          <w:spacing w:val="4"/>
          <w:sz w:val="24"/>
        </w:rPr>
        <w:t>of</w:t>
      </w:r>
    </w:p>
    <w:p>
      <w:pPr>
        <w:pStyle w:val="ListParagraph"/>
        <w:numPr>
          <w:ilvl w:val="0"/>
          <w:numId w:val="20"/>
        </w:numPr>
        <w:tabs>
          <w:tab w:pos="1403" w:val="left" w:leader="none"/>
          <w:tab w:pos="1404" w:val="left" w:leader="none"/>
        </w:tabs>
        <w:spacing w:line="240" w:lineRule="auto" w:before="129" w:after="0"/>
        <w:ind w:left="1403" w:right="0" w:hanging="1181"/>
        <w:jc w:val="left"/>
        <w:rPr>
          <w:sz w:val="24"/>
        </w:rPr>
      </w:pPr>
      <w:r>
        <w:rPr>
          <w:sz w:val="24"/>
        </w:rPr>
        <w:t>canine parvovirus </w:t>
      </w:r>
      <w:r>
        <w:rPr>
          <w:spacing w:val="-3"/>
          <w:sz w:val="24"/>
        </w:rPr>
        <w:t>in  </w:t>
      </w:r>
      <w:r>
        <w:rPr>
          <w:sz w:val="24"/>
        </w:rPr>
        <w:t>Argentina  between  year 2003 and 2010: CPV2c has  </w:t>
      </w:r>
      <w:r>
        <w:rPr>
          <w:spacing w:val="8"/>
          <w:sz w:val="24"/>
        </w:rPr>
        <w:t> </w:t>
      </w:r>
      <w:r>
        <w:rPr>
          <w:sz w:val="24"/>
        </w:rPr>
        <w:t>become</w:t>
      </w:r>
    </w:p>
    <w:p>
      <w:pPr>
        <w:pStyle w:val="ListParagraph"/>
        <w:numPr>
          <w:ilvl w:val="0"/>
          <w:numId w:val="20"/>
        </w:numPr>
        <w:tabs>
          <w:tab w:pos="1403" w:val="left" w:leader="none"/>
          <w:tab w:pos="1404" w:val="left" w:leader="none"/>
        </w:tabs>
        <w:spacing w:line="240" w:lineRule="auto" w:before="129" w:after="0"/>
        <w:ind w:left="1403" w:right="0" w:hanging="1181"/>
        <w:jc w:val="left"/>
        <w:rPr>
          <w:sz w:val="24"/>
        </w:rPr>
      </w:pPr>
      <w:r>
        <w:rPr>
          <w:sz w:val="24"/>
        </w:rPr>
        <w:t>the predominant variant affecting the domestic dog population. </w:t>
      </w:r>
      <w:r>
        <w:rPr>
          <w:i/>
          <w:sz w:val="24"/>
        </w:rPr>
        <w:t>Virus Res. </w:t>
      </w:r>
      <w:r>
        <w:rPr>
          <w:sz w:val="24"/>
        </w:rPr>
        <w:t>157,</w:t>
      </w:r>
      <w:r>
        <w:rPr>
          <w:spacing w:val="23"/>
          <w:sz w:val="24"/>
        </w:rPr>
        <w:t> </w:t>
      </w:r>
      <w:r>
        <w:rPr>
          <w:sz w:val="24"/>
        </w:rPr>
        <w:t>106-</w:t>
      </w:r>
    </w:p>
    <w:p>
      <w:pPr>
        <w:tabs>
          <w:tab w:pos="1403" w:val="left" w:leader="none"/>
        </w:tabs>
        <w:spacing w:before="125"/>
        <w:ind w:left="111" w:right="0" w:firstLine="0"/>
        <w:jc w:val="left"/>
        <w:rPr>
          <w:rFonts w:ascii="Times New Roman"/>
          <w:sz w:val="24"/>
        </w:rPr>
      </w:pPr>
      <w:r>
        <w:rPr>
          <w:rFonts w:ascii="Calibri"/>
          <w:sz w:val="22"/>
        </w:rPr>
        <w:t>10</w:t>
        <w:tab/>
      </w:r>
      <w:r>
        <w:rPr>
          <w:rFonts w:ascii="Times New Roman"/>
          <w:sz w:val="24"/>
        </w:rPr>
        <w:t>110.</w:t>
      </w:r>
    </w:p>
    <w:p>
      <w:pPr>
        <w:pStyle w:val="BodyText"/>
        <w:spacing w:before="2"/>
        <w:rPr>
          <w:rFonts w:ascii="Times New Roman"/>
          <w:sz w:val="23"/>
        </w:rPr>
      </w:pPr>
    </w:p>
    <w:p>
      <w:pPr>
        <w:tabs>
          <w:tab w:pos="692" w:val="left" w:leader="none"/>
        </w:tabs>
        <w:spacing w:before="69"/>
        <w:ind w:left="111" w:right="0" w:firstLine="0"/>
        <w:jc w:val="left"/>
        <w:rPr>
          <w:rFonts w:ascii="Times New Roman"/>
          <w:i/>
          <w:sz w:val="24"/>
        </w:rPr>
      </w:pPr>
      <w:r>
        <w:rPr>
          <w:rFonts w:ascii="Calibri"/>
          <w:sz w:val="22"/>
        </w:rPr>
        <w:t>11</w:t>
        <w:tab/>
      </w:r>
      <w:r>
        <w:rPr>
          <w:rFonts w:ascii="Times New Roman"/>
          <w:sz w:val="24"/>
        </w:rPr>
        <w:t>Goddard</w:t>
      </w:r>
      <w:r>
        <w:rPr>
          <w:rFonts w:ascii="Times New Roman"/>
          <w:spacing w:val="19"/>
          <w:sz w:val="24"/>
        </w:rPr>
        <w:t> </w:t>
      </w:r>
      <w:r>
        <w:rPr>
          <w:rFonts w:ascii="Times New Roman"/>
          <w:spacing w:val="-3"/>
          <w:sz w:val="24"/>
        </w:rPr>
        <w:t>A,</w:t>
      </w:r>
      <w:r>
        <w:rPr>
          <w:rFonts w:ascii="Times New Roman"/>
          <w:spacing w:val="21"/>
          <w:sz w:val="24"/>
        </w:rPr>
        <w:t> </w:t>
      </w:r>
      <w:r>
        <w:rPr>
          <w:rFonts w:ascii="Times New Roman"/>
          <w:sz w:val="24"/>
        </w:rPr>
        <w:t>A</w:t>
      </w:r>
      <w:r>
        <w:rPr>
          <w:rFonts w:ascii="Times New Roman"/>
          <w:spacing w:val="14"/>
          <w:sz w:val="24"/>
        </w:rPr>
        <w:t> </w:t>
      </w:r>
      <w:r>
        <w:rPr>
          <w:rFonts w:ascii="Times New Roman"/>
          <w:sz w:val="24"/>
        </w:rPr>
        <w:t>Leisewitz.</w:t>
      </w:r>
      <w:r>
        <w:rPr>
          <w:rFonts w:ascii="Times New Roman"/>
          <w:spacing w:val="21"/>
          <w:sz w:val="24"/>
        </w:rPr>
        <w:t> </w:t>
      </w:r>
      <w:r>
        <w:rPr>
          <w:rFonts w:ascii="Times New Roman"/>
          <w:sz w:val="24"/>
        </w:rPr>
        <w:t>2010.</w:t>
      </w:r>
      <w:r>
        <w:rPr>
          <w:rFonts w:ascii="Times New Roman"/>
          <w:spacing w:val="21"/>
          <w:sz w:val="24"/>
        </w:rPr>
        <w:t> </w:t>
      </w:r>
      <w:r>
        <w:rPr>
          <w:rFonts w:ascii="Times New Roman"/>
          <w:sz w:val="24"/>
        </w:rPr>
        <w:t>Canine</w:t>
      </w:r>
      <w:r>
        <w:rPr>
          <w:rFonts w:ascii="Times New Roman"/>
          <w:spacing w:val="18"/>
          <w:sz w:val="24"/>
        </w:rPr>
        <w:t> </w:t>
      </w:r>
      <w:r>
        <w:rPr>
          <w:rFonts w:ascii="Times New Roman"/>
          <w:sz w:val="24"/>
        </w:rPr>
        <w:t>parvovirus.</w:t>
      </w:r>
      <w:r>
        <w:rPr>
          <w:rFonts w:ascii="Times New Roman"/>
          <w:spacing w:val="28"/>
          <w:sz w:val="24"/>
        </w:rPr>
        <w:t> </w:t>
      </w:r>
      <w:r>
        <w:rPr>
          <w:rFonts w:ascii="Times New Roman"/>
          <w:i/>
          <w:sz w:val="24"/>
        </w:rPr>
        <w:t>Vet</w:t>
      </w:r>
      <w:r>
        <w:rPr>
          <w:rFonts w:ascii="Times New Roman"/>
          <w:i/>
          <w:spacing w:val="20"/>
          <w:sz w:val="24"/>
        </w:rPr>
        <w:t> </w:t>
      </w:r>
      <w:r>
        <w:rPr>
          <w:rFonts w:ascii="Times New Roman"/>
          <w:i/>
          <w:sz w:val="24"/>
        </w:rPr>
        <w:t>Clin</w:t>
      </w:r>
      <w:r>
        <w:rPr>
          <w:rFonts w:ascii="Times New Roman"/>
          <w:i/>
          <w:spacing w:val="20"/>
          <w:sz w:val="24"/>
        </w:rPr>
        <w:t> </w:t>
      </w:r>
      <w:r>
        <w:rPr>
          <w:rFonts w:ascii="Times New Roman"/>
          <w:i/>
          <w:sz w:val="24"/>
        </w:rPr>
        <w:t>North</w:t>
      </w:r>
      <w:r>
        <w:rPr>
          <w:rFonts w:ascii="Times New Roman"/>
          <w:i/>
          <w:spacing w:val="19"/>
          <w:sz w:val="24"/>
        </w:rPr>
        <w:t> </w:t>
      </w:r>
      <w:r>
        <w:rPr>
          <w:rFonts w:ascii="Times New Roman"/>
          <w:i/>
          <w:sz w:val="24"/>
        </w:rPr>
        <w:t>Am</w:t>
      </w:r>
      <w:r>
        <w:rPr>
          <w:rFonts w:ascii="Times New Roman"/>
          <w:i/>
          <w:spacing w:val="18"/>
          <w:sz w:val="24"/>
        </w:rPr>
        <w:t> </w:t>
      </w:r>
      <w:r>
        <w:rPr>
          <w:rFonts w:ascii="Times New Roman"/>
          <w:i/>
          <w:sz w:val="24"/>
        </w:rPr>
        <w:t>Small</w:t>
      </w:r>
      <w:r>
        <w:rPr>
          <w:rFonts w:ascii="Times New Roman"/>
          <w:i/>
          <w:spacing w:val="19"/>
          <w:sz w:val="24"/>
        </w:rPr>
        <w:t> </w:t>
      </w:r>
      <w:r>
        <w:rPr>
          <w:rFonts w:ascii="Times New Roman"/>
          <w:i/>
          <w:sz w:val="24"/>
        </w:rPr>
        <w:t>Anim</w:t>
      </w:r>
      <w:r>
        <w:rPr>
          <w:rFonts w:ascii="Times New Roman"/>
          <w:i/>
          <w:spacing w:val="19"/>
          <w:sz w:val="24"/>
        </w:rPr>
        <w:t> </w:t>
      </w:r>
      <w:r>
        <w:rPr>
          <w:rFonts w:ascii="Times New Roman"/>
          <w:i/>
          <w:sz w:val="24"/>
        </w:rPr>
        <w:t>pract.</w:t>
      </w:r>
    </w:p>
    <w:p>
      <w:pPr>
        <w:pStyle w:val="BodyText"/>
        <w:tabs>
          <w:tab w:pos="1403" w:val="left" w:leader="none"/>
        </w:tabs>
        <w:spacing w:before="129"/>
        <w:ind w:left="111"/>
        <w:rPr>
          <w:rFonts w:ascii="Times New Roman"/>
        </w:rPr>
      </w:pPr>
      <w:r>
        <w:rPr>
          <w:rFonts w:ascii="Calibri"/>
          <w:sz w:val="22"/>
        </w:rPr>
        <w:t>12</w:t>
        <w:tab/>
      </w:r>
      <w:r>
        <w:rPr>
          <w:rFonts w:ascii="Times New Roman"/>
        </w:rPr>
        <w:t>40, 1041-1053.</w:t>
      </w:r>
    </w:p>
    <w:p>
      <w:pPr>
        <w:pStyle w:val="BodyText"/>
        <w:spacing w:before="9"/>
        <w:rPr>
          <w:rFonts w:ascii="Times New Roman"/>
          <w:sz w:val="22"/>
        </w:rPr>
      </w:pPr>
    </w:p>
    <w:p>
      <w:pPr>
        <w:pStyle w:val="ListParagraph"/>
        <w:numPr>
          <w:ilvl w:val="0"/>
          <w:numId w:val="21"/>
        </w:numPr>
        <w:tabs>
          <w:tab w:pos="692" w:val="left" w:leader="none"/>
          <w:tab w:pos="693" w:val="left" w:leader="none"/>
        </w:tabs>
        <w:spacing w:line="240" w:lineRule="auto" w:before="69" w:after="0"/>
        <w:ind w:left="692" w:right="0" w:hanging="581"/>
        <w:jc w:val="left"/>
        <w:rPr>
          <w:sz w:val="24"/>
        </w:rPr>
      </w:pPr>
      <w:r>
        <w:rPr>
          <w:sz w:val="24"/>
        </w:rPr>
        <w:t>Hirasawa  T,  T  Kaneshige,  K Mikazuki.  1994.  Sensitive  detection </w:t>
      </w:r>
      <w:r>
        <w:rPr>
          <w:spacing w:val="4"/>
          <w:sz w:val="24"/>
        </w:rPr>
        <w:t>of </w:t>
      </w:r>
      <w:r>
        <w:rPr>
          <w:sz w:val="24"/>
        </w:rPr>
        <w:t>canine </w:t>
      </w:r>
      <w:r>
        <w:rPr>
          <w:spacing w:val="19"/>
          <w:sz w:val="24"/>
        </w:rPr>
        <w:t> </w:t>
      </w:r>
      <w:r>
        <w:rPr>
          <w:sz w:val="24"/>
        </w:rPr>
        <w:t>parvovirus</w:t>
      </w:r>
    </w:p>
    <w:p>
      <w:pPr>
        <w:pStyle w:val="ListParagraph"/>
        <w:numPr>
          <w:ilvl w:val="0"/>
          <w:numId w:val="21"/>
        </w:numPr>
        <w:tabs>
          <w:tab w:pos="1403" w:val="left" w:leader="none"/>
          <w:tab w:pos="1404" w:val="left" w:leader="none"/>
        </w:tabs>
        <w:spacing w:line="240" w:lineRule="auto" w:before="129" w:after="0"/>
        <w:ind w:left="1403" w:right="0" w:hanging="1292"/>
        <w:jc w:val="left"/>
        <w:rPr>
          <w:sz w:val="24"/>
        </w:rPr>
      </w:pPr>
      <w:r>
        <w:rPr>
          <w:sz w:val="24"/>
        </w:rPr>
        <w:t>DNA by the nested polymerase chain reaction. </w:t>
      </w:r>
      <w:r>
        <w:rPr>
          <w:i/>
          <w:sz w:val="24"/>
        </w:rPr>
        <w:t>Vet Microbiol. </w:t>
      </w:r>
      <w:r>
        <w:rPr>
          <w:sz w:val="24"/>
        </w:rPr>
        <w:t>41,</w:t>
      </w:r>
      <w:r>
        <w:rPr>
          <w:spacing w:val="-16"/>
          <w:sz w:val="24"/>
        </w:rPr>
        <w:t> </w:t>
      </w:r>
      <w:r>
        <w:rPr>
          <w:sz w:val="24"/>
        </w:rPr>
        <w:t>135-145.</w:t>
      </w:r>
    </w:p>
    <w:p>
      <w:pPr>
        <w:pStyle w:val="BodyText"/>
        <w:spacing w:before="2"/>
        <w:rPr>
          <w:rFonts w:ascii="Times New Roman"/>
          <w:sz w:val="23"/>
        </w:rPr>
      </w:pPr>
    </w:p>
    <w:p>
      <w:pPr>
        <w:pStyle w:val="ListParagraph"/>
        <w:numPr>
          <w:ilvl w:val="0"/>
          <w:numId w:val="21"/>
        </w:numPr>
        <w:tabs>
          <w:tab w:pos="692" w:val="left" w:leader="none"/>
          <w:tab w:pos="693" w:val="left" w:leader="none"/>
        </w:tabs>
        <w:spacing w:line="240" w:lineRule="auto" w:before="69" w:after="0"/>
        <w:ind w:left="692" w:right="0" w:hanging="581"/>
        <w:jc w:val="left"/>
        <w:rPr>
          <w:sz w:val="24"/>
        </w:rPr>
      </w:pPr>
      <w:r>
        <w:rPr>
          <w:sz w:val="24"/>
        </w:rPr>
        <w:t>Jaramillo</w:t>
      </w:r>
      <w:r>
        <w:rPr>
          <w:spacing w:val="34"/>
          <w:sz w:val="24"/>
        </w:rPr>
        <w:t> </w:t>
      </w:r>
      <w:r>
        <w:rPr>
          <w:sz w:val="24"/>
        </w:rPr>
        <w:t>C,</w:t>
      </w:r>
      <w:r>
        <w:rPr>
          <w:spacing w:val="31"/>
          <w:sz w:val="24"/>
        </w:rPr>
        <w:t> </w:t>
      </w:r>
      <w:r>
        <w:rPr>
          <w:sz w:val="24"/>
        </w:rPr>
        <w:t>J</w:t>
      </w:r>
      <w:r>
        <w:rPr>
          <w:spacing w:val="32"/>
          <w:sz w:val="24"/>
        </w:rPr>
        <w:t> </w:t>
      </w:r>
      <w:r>
        <w:rPr>
          <w:sz w:val="24"/>
        </w:rPr>
        <w:t>Martínez.</w:t>
      </w:r>
      <w:r>
        <w:rPr>
          <w:spacing w:val="31"/>
          <w:sz w:val="24"/>
        </w:rPr>
        <w:t> </w:t>
      </w:r>
      <w:r>
        <w:rPr>
          <w:sz w:val="24"/>
        </w:rPr>
        <w:t>2010.</w:t>
      </w:r>
      <w:r>
        <w:rPr>
          <w:spacing w:val="31"/>
          <w:sz w:val="24"/>
        </w:rPr>
        <w:t> </w:t>
      </w:r>
      <w:r>
        <w:rPr>
          <w:sz w:val="24"/>
        </w:rPr>
        <w:t>Evaluación</w:t>
      </w:r>
      <w:r>
        <w:rPr>
          <w:spacing w:val="25"/>
          <w:sz w:val="24"/>
        </w:rPr>
        <w:t> </w:t>
      </w:r>
      <w:r>
        <w:rPr>
          <w:sz w:val="24"/>
        </w:rPr>
        <w:t>de</w:t>
      </w:r>
      <w:r>
        <w:rPr>
          <w:spacing w:val="33"/>
          <w:sz w:val="24"/>
        </w:rPr>
        <w:t> </w:t>
      </w:r>
      <w:r>
        <w:rPr>
          <w:sz w:val="24"/>
        </w:rPr>
        <w:t>las</w:t>
      </w:r>
      <w:r>
        <w:rPr>
          <w:spacing w:val="28"/>
          <w:sz w:val="24"/>
        </w:rPr>
        <w:t> </w:t>
      </w:r>
      <w:r>
        <w:rPr>
          <w:sz w:val="24"/>
        </w:rPr>
        <w:t>pruebas</w:t>
      </w:r>
      <w:r>
        <w:rPr>
          <w:spacing w:val="28"/>
          <w:sz w:val="24"/>
        </w:rPr>
        <w:t> </w:t>
      </w:r>
      <w:r>
        <w:rPr>
          <w:sz w:val="24"/>
        </w:rPr>
        <w:t>diagnósticas.</w:t>
      </w:r>
      <w:r>
        <w:rPr>
          <w:spacing w:val="31"/>
          <w:sz w:val="24"/>
        </w:rPr>
        <w:t> </w:t>
      </w:r>
      <w:r>
        <w:rPr>
          <w:sz w:val="24"/>
        </w:rPr>
        <w:t>En:</w:t>
      </w:r>
      <w:r>
        <w:rPr>
          <w:spacing w:val="35"/>
          <w:sz w:val="24"/>
        </w:rPr>
        <w:t> </w:t>
      </w:r>
      <w:r>
        <w:rPr>
          <w:sz w:val="24"/>
        </w:rPr>
        <w:t>Jaramillo</w:t>
      </w:r>
      <w:r>
        <w:rPr>
          <w:spacing w:val="34"/>
          <w:sz w:val="24"/>
        </w:rPr>
        <w:t> </w:t>
      </w:r>
      <w:r>
        <w:rPr>
          <w:sz w:val="24"/>
        </w:rPr>
        <w:t>C,</w:t>
      </w:r>
    </w:p>
    <w:p>
      <w:pPr>
        <w:pStyle w:val="ListParagraph"/>
        <w:numPr>
          <w:ilvl w:val="0"/>
          <w:numId w:val="21"/>
        </w:numPr>
        <w:tabs>
          <w:tab w:pos="1403" w:val="left" w:leader="none"/>
          <w:tab w:pos="1404" w:val="left" w:leader="none"/>
        </w:tabs>
        <w:spacing w:line="240" w:lineRule="auto" w:before="94" w:after="0"/>
        <w:ind w:left="1403" w:right="0" w:hanging="1292"/>
        <w:jc w:val="left"/>
        <w:rPr>
          <w:sz w:val="24"/>
        </w:rPr>
      </w:pPr>
      <w:r>
        <w:rPr>
          <w:sz w:val="24"/>
        </w:rPr>
        <w:t>Martínez   J. (ed). </w:t>
      </w:r>
      <w:r>
        <w:rPr>
          <w:i/>
          <w:sz w:val="24"/>
        </w:rPr>
        <w:t>Epidemiología Veterinaria. </w:t>
      </w:r>
      <w:r>
        <w:rPr>
          <w:sz w:val="24"/>
        </w:rPr>
        <w:t>10</w:t>
      </w:r>
      <w:r>
        <w:rPr>
          <w:position w:val="11"/>
          <w:sz w:val="16"/>
        </w:rPr>
        <w:t>a </w:t>
      </w:r>
      <w:r>
        <w:rPr>
          <w:sz w:val="24"/>
        </w:rPr>
        <w:t>ed. Manual Moderno México, </w:t>
      </w:r>
      <w:r>
        <w:rPr>
          <w:spacing w:val="49"/>
          <w:sz w:val="24"/>
        </w:rPr>
        <w:t> </w:t>
      </w:r>
      <w:r>
        <w:rPr>
          <w:sz w:val="24"/>
        </w:rPr>
        <w:t>Pp</w:t>
      </w:r>
    </w:p>
    <w:p>
      <w:pPr>
        <w:pStyle w:val="BodyText"/>
        <w:tabs>
          <w:tab w:pos="1403" w:val="left" w:leader="none"/>
        </w:tabs>
        <w:spacing w:before="125"/>
        <w:ind w:left="111"/>
        <w:rPr>
          <w:rFonts w:ascii="Times New Roman"/>
        </w:rPr>
      </w:pPr>
      <w:r>
        <w:rPr>
          <w:rFonts w:ascii="Calibri"/>
          <w:sz w:val="22"/>
        </w:rPr>
        <w:t>17</w:t>
      </w:r>
      <w:r>
        <w:rPr>
          <w:rFonts w:ascii="Times New Roman"/>
        </w:rPr>
        <w:tab/>
        <w:t>145-161.</w:t>
      </w:r>
    </w:p>
    <w:p>
      <w:pPr>
        <w:pStyle w:val="BodyText"/>
        <w:spacing w:before="2"/>
        <w:rPr>
          <w:rFonts w:ascii="Times New Roman"/>
          <w:sz w:val="23"/>
        </w:rPr>
      </w:pPr>
    </w:p>
    <w:p>
      <w:pPr>
        <w:pStyle w:val="ListParagraph"/>
        <w:numPr>
          <w:ilvl w:val="0"/>
          <w:numId w:val="22"/>
        </w:numPr>
        <w:tabs>
          <w:tab w:pos="692" w:val="left" w:leader="none"/>
          <w:tab w:pos="693" w:val="left" w:leader="none"/>
        </w:tabs>
        <w:spacing w:line="240" w:lineRule="auto" w:before="69" w:after="0"/>
        <w:ind w:left="692" w:right="0" w:hanging="581"/>
        <w:jc w:val="left"/>
        <w:rPr>
          <w:sz w:val="24"/>
        </w:rPr>
      </w:pPr>
      <w:r>
        <w:rPr>
          <w:sz w:val="24"/>
        </w:rPr>
        <w:t>Kumar M, SChindri, S Nandi. 2011. A sensitive   </w:t>
      </w:r>
      <w:r>
        <w:rPr>
          <w:spacing w:val="35"/>
          <w:sz w:val="24"/>
        </w:rPr>
        <w:t> </w:t>
      </w:r>
      <w:r>
        <w:rPr>
          <w:sz w:val="24"/>
        </w:rPr>
        <w:t>method to detect canine parvoviral </w:t>
      </w:r>
      <w:r>
        <w:rPr>
          <w:spacing w:val="2"/>
          <w:sz w:val="24"/>
        </w:rPr>
        <w:t>DNA</w:t>
      </w:r>
    </w:p>
    <w:p>
      <w:pPr>
        <w:pStyle w:val="ListParagraph"/>
        <w:numPr>
          <w:ilvl w:val="0"/>
          <w:numId w:val="22"/>
        </w:numPr>
        <w:tabs>
          <w:tab w:pos="1403" w:val="left" w:leader="none"/>
          <w:tab w:pos="1404" w:val="left" w:leader="none"/>
        </w:tabs>
        <w:spacing w:line="240" w:lineRule="auto" w:before="125" w:after="0"/>
        <w:ind w:left="1403" w:right="0" w:hanging="1292"/>
        <w:jc w:val="left"/>
        <w:rPr>
          <w:sz w:val="24"/>
        </w:rPr>
      </w:pPr>
      <w:r>
        <w:rPr>
          <w:spacing w:val="-3"/>
          <w:sz w:val="24"/>
        </w:rPr>
        <w:t>in </w:t>
      </w:r>
      <w:r>
        <w:rPr>
          <w:sz w:val="24"/>
        </w:rPr>
        <w:t>faecal samples by nested polymerase chain reaction. </w:t>
      </w:r>
      <w:r>
        <w:rPr>
          <w:i/>
          <w:sz w:val="24"/>
        </w:rPr>
        <w:t>J Biotechnol </w:t>
      </w:r>
      <w:r>
        <w:rPr>
          <w:sz w:val="24"/>
        </w:rPr>
        <w:t>10,</w:t>
      </w:r>
      <w:r>
        <w:rPr>
          <w:spacing w:val="-12"/>
          <w:sz w:val="24"/>
        </w:rPr>
        <w:t> </w:t>
      </w:r>
      <w:r>
        <w:rPr>
          <w:sz w:val="24"/>
        </w:rPr>
        <w:t>183-187.</w:t>
      </w:r>
    </w:p>
    <w:p>
      <w:pPr>
        <w:pStyle w:val="BodyText"/>
        <w:spacing w:before="3"/>
        <w:rPr>
          <w:rFonts w:ascii="Times New Roman"/>
          <w:sz w:val="23"/>
        </w:rPr>
      </w:pPr>
    </w:p>
    <w:p>
      <w:pPr>
        <w:pStyle w:val="ListParagraph"/>
        <w:numPr>
          <w:ilvl w:val="0"/>
          <w:numId w:val="22"/>
        </w:numPr>
        <w:tabs>
          <w:tab w:pos="692" w:val="left" w:leader="none"/>
          <w:tab w:pos="693" w:val="left" w:leader="none"/>
        </w:tabs>
        <w:spacing w:line="240" w:lineRule="auto" w:before="69" w:after="0"/>
        <w:ind w:left="692" w:right="0" w:hanging="581"/>
        <w:jc w:val="left"/>
        <w:rPr>
          <w:sz w:val="24"/>
        </w:rPr>
      </w:pPr>
      <w:r>
        <w:rPr>
          <w:sz w:val="24"/>
        </w:rPr>
        <w:t>Lacheretz </w:t>
      </w:r>
      <w:r>
        <w:rPr>
          <w:spacing w:val="-3"/>
          <w:sz w:val="24"/>
        </w:rPr>
        <w:t>A, </w:t>
      </w:r>
      <w:r>
        <w:rPr>
          <w:sz w:val="24"/>
        </w:rPr>
        <w:t>A Laperrousaz, A Kodjo, N Brajon, D Crevat, S Guillossou. 2003. </w:t>
      </w:r>
      <w:r>
        <w:rPr>
          <w:spacing w:val="45"/>
          <w:sz w:val="24"/>
        </w:rPr>
        <w:t> </w:t>
      </w:r>
      <w:r>
        <w:rPr>
          <w:sz w:val="24"/>
        </w:rPr>
        <w:t>Diagnosis</w:t>
      </w:r>
    </w:p>
    <w:p>
      <w:pPr>
        <w:pStyle w:val="ListParagraph"/>
        <w:numPr>
          <w:ilvl w:val="0"/>
          <w:numId w:val="22"/>
        </w:numPr>
        <w:tabs>
          <w:tab w:pos="1403" w:val="left" w:leader="none"/>
          <w:tab w:pos="1404" w:val="left" w:leader="none"/>
        </w:tabs>
        <w:spacing w:line="240" w:lineRule="auto" w:before="125" w:after="0"/>
        <w:ind w:left="1403" w:right="0" w:hanging="1292"/>
        <w:jc w:val="left"/>
        <w:rPr>
          <w:sz w:val="24"/>
        </w:rPr>
      </w:pPr>
      <w:r>
        <w:rPr>
          <w:sz w:val="24"/>
        </w:rPr>
        <w:t>of canine parvovirus by rapid inmunomigration on membrane. </w:t>
      </w:r>
      <w:r>
        <w:rPr>
          <w:i/>
          <w:sz w:val="24"/>
        </w:rPr>
        <w:t>Vet Rec.</w:t>
      </w:r>
      <w:r>
        <w:rPr>
          <w:sz w:val="24"/>
        </w:rPr>
        <w:t>152,</w:t>
      </w:r>
      <w:r>
        <w:rPr>
          <w:spacing w:val="-20"/>
          <w:sz w:val="24"/>
        </w:rPr>
        <w:t> </w:t>
      </w:r>
      <w:r>
        <w:rPr>
          <w:sz w:val="24"/>
        </w:rPr>
        <w:t>48-50.</w:t>
      </w:r>
    </w:p>
    <w:p>
      <w:pPr>
        <w:pStyle w:val="BodyText"/>
        <w:spacing w:before="2"/>
        <w:rPr>
          <w:rFonts w:ascii="Times New Roman"/>
          <w:sz w:val="23"/>
        </w:rPr>
      </w:pPr>
    </w:p>
    <w:p>
      <w:pPr>
        <w:pStyle w:val="ListParagraph"/>
        <w:numPr>
          <w:ilvl w:val="0"/>
          <w:numId w:val="22"/>
        </w:numPr>
        <w:tabs>
          <w:tab w:pos="692" w:val="left" w:leader="none"/>
          <w:tab w:pos="693" w:val="left" w:leader="none"/>
        </w:tabs>
        <w:spacing w:line="240" w:lineRule="auto" w:before="69" w:after="0"/>
        <w:ind w:left="692" w:right="0" w:hanging="581"/>
        <w:jc w:val="left"/>
        <w:rPr>
          <w:i/>
          <w:sz w:val="24"/>
        </w:rPr>
      </w:pPr>
      <w:r>
        <w:rPr>
          <w:sz w:val="24"/>
        </w:rPr>
        <w:t>Lamm C, G Rezabek. 2008. Parvovirus infection in domestic companion animals. </w:t>
      </w:r>
      <w:r>
        <w:rPr>
          <w:i/>
          <w:sz w:val="24"/>
        </w:rPr>
        <w:t>Vet </w:t>
      </w:r>
      <w:r>
        <w:rPr>
          <w:i/>
          <w:spacing w:val="28"/>
          <w:sz w:val="24"/>
        </w:rPr>
        <w:t> </w:t>
      </w:r>
      <w:r>
        <w:rPr>
          <w:i/>
          <w:sz w:val="24"/>
        </w:rPr>
        <w:t>Clin</w:t>
      </w:r>
    </w:p>
    <w:p>
      <w:pPr>
        <w:pStyle w:val="ListParagraph"/>
        <w:numPr>
          <w:ilvl w:val="0"/>
          <w:numId w:val="22"/>
        </w:numPr>
        <w:tabs>
          <w:tab w:pos="1403" w:val="left" w:leader="none"/>
          <w:tab w:pos="1404" w:val="left" w:leader="none"/>
        </w:tabs>
        <w:spacing w:line="240" w:lineRule="auto" w:before="130" w:after="0"/>
        <w:ind w:left="1403" w:right="0" w:hanging="1292"/>
        <w:jc w:val="left"/>
        <w:rPr>
          <w:sz w:val="24"/>
        </w:rPr>
      </w:pPr>
      <w:r>
        <w:rPr>
          <w:i/>
          <w:sz w:val="24"/>
        </w:rPr>
        <w:t>North Am Small Anim pract. </w:t>
      </w:r>
      <w:r>
        <w:rPr>
          <w:sz w:val="24"/>
        </w:rPr>
        <w:t>38,</w:t>
      </w:r>
      <w:r>
        <w:rPr>
          <w:spacing w:val="-7"/>
          <w:sz w:val="24"/>
        </w:rPr>
        <w:t> </w:t>
      </w:r>
      <w:r>
        <w:rPr>
          <w:sz w:val="24"/>
        </w:rPr>
        <w:t>837-850.</w:t>
      </w:r>
    </w:p>
    <w:p>
      <w:pPr>
        <w:spacing w:after="0" w:line="240" w:lineRule="auto"/>
        <w:jc w:val="left"/>
        <w:rPr>
          <w:sz w:val="24"/>
        </w:rPr>
        <w:sectPr>
          <w:pgSz w:w="12240" w:h="15840"/>
          <w:pgMar w:header="1154" w:footer="1713" w:top="1520" w:bottom="1900" w:left="1180" w:right="1380"/>
        </w:sectPr>
      </w:pPr>
    </w:p>
    <w:p>
      <w:pPr>
        <w:pStyle w:val="BodyText"/>
        <w:spacing w:before="10"/>
        <w:rPr>
          <w:rFonts w:ascii="Times New Roman"/>
          <w:sz w:val="17"/>
        </w:rPr>
      </w:pPr>
    </w:p>
    <w:p>
      <w:pPr>
        <w:pStyle w:val="ListParagraph"/>
        <w:numPr>
          <w:ilvl w:val="1"/>
          <w:numId w:val="22"/>
        </w:numPr>
        <w:tabs>
          <w:tab w:pos="692" w:val="left" w:leader="none"/>
          <w:tab w:pos="693" w:val="left" w:leader="none"/>
        </w:tabs>
        <w:spacing w:line="240" w:lineRule="auto" w:before="69" w:after="0"/>
        <w:ind w:left="692" w:right="0" w:hanging="470"/>
        <w:jc w:val="left"/>
        <w:rPr>
          <w:sz w:val="24"/>
        </w:rPr>
      </w:pPr>
      <w:r>
        <w:rPr>
          <w:sz w:val="24"/>
        </w:rPr>
        <w:t>Meunier P,  B Cooper,  M </w:t>
      </w:r>
      <w:r>
        <w:rPr>
          <w:spacing w:val="-3"/>
          <w:sz w:val="24"/>
        </w:rPr>
        <w:t>Appel,  </w:t>
      </w:r>
      <w:r>
        <w:rPr>
          <w:sz w:val="24"/>
        </w:rPr>
        <w:t>M Lanieu,  D  Slauson.  1985.  Pathogenesis </w:t>
      </w:r>
      <w:r>
        <w:rPr>
          <w:spacing w:val="4"/>
          <w:sz w:val="24"/>
        </w:rPr>
        <w:t>of    </w:t>
      </w:r>
      <w:r>
        <w:rPr>
          <w:spacing w:val="17"/>
          <w:sz w:val="24"/>
        </w:rPr>
        <w:t> </w:t>
      </w:r>
      <w:r>
        <w:rPr>
          <w:sz w:val="24"/>
        </w:rPr>
        <w:t>canine</w:t>
      </w:r>
    </w:p>
    <w:p>
      <w:pPr>
        <w:pStyle w:val="ListParagraph"/>
        <w:numPr>
          <w:ilvl w:val="1"/>
          <w:numId w:val="22"/>
        </w:numPr>
        <w:tabs>
          <w:tab w:pos="1403" w:val="left" w:leader="none"/>
          <w:tab w:pos="1404" w:val="left" w:leader="none"/>
        </w:tabs>
        <w:spacing w:line="240" w:lineRule="auto" w:before="129" w:after="0"/>
        <w:ind w:left="1403" w:right="0" w:hanging="1181"/>
        <w:jc w:val="left"/>
        <w:rPr>
          <w:sz w:val="24"/>
        </w:rPr>
      </w:pPr>
      <w:r>
        <w:rPr>
          <w:sz w:val="24"/>
        </w:rPr>
        <w:t>parvovirus enteritis: sequential virus distribution and passive immunization  studies.</w:t>
      </w:r>
    </w:p>
    <w:p>
      <w:pPr>
        <w:tabs>
          <w:tab w:pos="1403" w:val="left" w:leader="none"/>
        </w:tabs>
        <w:spacing w:before="125"/>
        <w:ind w:left="222" w:right="0" w:firstLine="0"/>
        <w:jc w:val="left"/>
        <w:rPr>
          <w:rFonts w:ascii="Times New Roman"/>
          <w:sz w:val="24"/>
        </w:rPr>
      </w:pPr>
      <w:r>
        <w:rPr>
          <w:rFonts w:ascii="Calibri"/>
          <w:sz w:val="22"/>
        </w:rPr>
        <w:t>3</w:t>
        <w:tab/>
      </w:r>
      <w:r>
        <w:rPr>
          <w:rFonts w:ascii="Times New Roman"/>
          <w:i/>
          <w:sz w:val="24"/>
        </w:rPr>
        <w:t>Vet.Phatol </w:t>
      </w:r>
      <w:r>
        <w:rPr>
          <w:rFonts w:ascii="Times New Roman"/>
          <w:sz w:val="24"/>
        </w:rPr>
        <w:t>22, 617-624.</w:t>
      </w:r>
    </w:p>
    <w:p>
      <w:pPr>
        <w:pStyle w:val="BodyText"/>
        <w:spacing w:before="2"/>
        <w:rPr>
          <w:rFonts w:ascii="Times New Roman"/>
          <w:sz w:val="23"/>
        </w:rPr>
      </w:pPr>
    </w:p>
    <w:p>
      <w:pPr>
        <w:pStyle w:val="ListParagraph"/>
        <w:numPr>
          <w:ilvl w:val="0"/>
          <w:numId w:val="23"/>
        </w:numPr>
        <w:tabs>
          <w:tab w:pos="692" w:val="left" w:leader="none"/>
          <w:tab w:pos="693" w:val="left" w:leader="none"/>
          <w:tab w:pos="2332" w:val="left" w:leader="none"/>
          <w:tab w:pos="3320" w:val="left" w:leader="none"/>
          <w:tab w:pos="3694" w:val="left" w:leader="none"/>
          <w:tab w:pos="7804" w:val="left" w:leader="none"/>
        </w:tabs>
        <w:spacing w:line="240" w:lineRule="auto" w:before="69" w:after="0"/>
        <w:ind w:left="692" w:right="0" w:hanging="470"/>
        <w:jc w:val="left"/>
        <w:rPr>
          <w:sz w:val="24"/>
        </w:rPr>
      </w:pPr>
      <w:r>
        <w:rPr>
          <w:sz w:val="24"/>
        </w:rPr>
        <w:t>Pereira  </w:t>
      </w:r>
      <w:r>
        <w:rPr>
          <w:spacing w:val="12"/>
          <w:sz w:val="24"/>
        </w:rPr>
        <w:t> </w:t>
      </w:r>
      <w:r>
        <w:rPr>
          <w:sz w:val="24"/>
        </w:rPr>
        <w:t>C,  </w:t>
      </w:r>
      <w:r>
        <w:rPr>
          <w:spacing w:val="15"/>
          <w:sz w:val="24"/>
        </w:rPr>
        <w:t> </w:t>
      </w:r>
      <w:r>
        <w:rPr>
          <w:sz w:val="24"/>
        </w:rPr>
        <w:t>T</w:t>
        <w:tab/>
        <w:t>Monezi,</w:t>
        <w:tab/>
        <w:t>D</w:t>
        <w:tab/>
        <w:t>Mehnert,   M   D´Angelo,  </w:t>
      </w:r>
      <w:r>
        <w:rPr>
          <w:spacing w:val="43"/>
          <w:sz w:val="24"/>
        </w:rPr>
        <w:t> </w:t>
      </w:r>
      <w:r>
        <w:rPr>
          <w:sz w:val="24"/>
        </w:rPr>
        <w:t>E  </w:t>
      </w:r>
      <w:r>
        <w:rPr>
          <w:spacing w:val="15"/>
          <w:sz w:val="24"/>
        </w:rPr>
        <w:t> </w:t>
      </w:r>
      <w:r>
        <w:rPr>
          <w:sz w:val="24"/>
        </w:rPr>
        <w:t>Durigon.</w:t>
        <w:tab/>
        <w:t>2000.  </w:t>
      </w:r>
      <w:r>
        <w:rPr>
          <w:spacing w:val="10"/>
          <w:sz w:val="24"/>
        </w:rPr>
        <w:t> </w:t>
      </w:r>
      <w:r>
        <w:rPr>
          <w:sz w:val="24"/>
        </w:rPr>
        <w:t>Molecular</w:t>
      </w:r>
    </w:p>
    <w:p>
      <w:pPr>
        <w:pStyle w:val="ListParagraph"/>
        <w:numPr>
          <w:ilvl w:val="0"/>
          <w:numId w:val="23"/>
        </w:numPr>
        <w:tabs>
          <w:tab w:pos="1403" w:val="left" w:leader="none"/>
          <w:tab w:pos="1404" w:val="left" w:leader="none"/>
        </w:tabs>
        <w:spacing w:line="240" w:lineRule="auto" w:before="134" w:after="0"/>
        <w:ind w:left="1403" w:right="0" w:hanging="1181"/>
        <w:jc w:val="left"/>
        <w:rPr>
          <w:sz w:val="24"/>
        </w:rPr>
      </w:pPr>
      <w:r>
        <w:rPr>
          <w:sz w:val="24"/>
        </w:rPr>
        <w:t>characterization of canine parvovirus </w:t>
      </w:r>
      <w:r>
        <w:rPr>
          <w:spacing w:val="-3"/>
          <w:sz w:val="24"/>
        </w:rPr>
        <w:t>in </w:t>
      </w:r>
      <w:r>
        <w:rPr>
          <w:sz w:val="24"/>
        </w:rPr>
        <w:t>Brazil by polymerase chain reaction  </w:t>
      </w:r>
      <w:r>
        <w:rPr>
          <w:spacing w:val="4"/>
          <w:sz w:val="24"/>
        </w:rPr>
        <w:t> </w:t>
      </w:r>
      <w:r>
        <w:rPr>
          <w:sz w:val="24"/>
        </w:rPr>
        <w:t>assay.</w:t>
      </w:r>
    </w:p>
    <w:p>
      <w:pPr>
        <w:pStyle w:val="ListParagraph"/>
        <w:numPr>
          <w:ilvl w:val="0"/>
          <w:numId w:val="23"/>
        </w:numPr>
        <w:tabs>
          <w:tab w:pos="1403" w:val="left" w:leader="none"/>
          <w:tab w:pos="1404" w:val="left" w:leader="none"/>
        </w:tabs>
        <w:spacing w:line="240" w:lineRule="auto" w:before="125" w:after="0"/>
        <w:ind w:left="1403" w:right="0" w:hanging="1181"/>
        <w:jc w:val="left"/>
        <w:rPr>
          <w:sz w:val="24"/>
        </w:rPr>
      </w:pPr>
      <w:r>
        <w:rPr>
          <w:i/>
          <w:sz w:val="24"/>
        </w:rPr>
        <w:t>Vet Microbiol. </w:t>
      </w:r>
      <w:r>
        <w:rPr>
          <w:sz w:val="24"/>
        </w:rPr>
        <w:t>75,</w:t>
      </w:r>
      <w:r>
        <w:rPr>
          <w:spacing w:val="-5"/>
          <w:sz w:val="24"/>
        </w:rPr>
        <w:t> </w:t>
      </w:r>
      <w:r>
        <w:rPr>
          <w:sz w:val="24"/>
        </w:rPr>
        <w:t>127-133.</w:t>
      </w:r>
    </w:p>
    <w:p>
      <w:pPr>
        <w:pStyle w:val="BodyText"/>
        <w:spacing w:before="2"/>
        <w:rPr>
          <w:rFonts w:ascii="Times New Roman"/>
          <w:sz w:val="23"/>
        </w:rPr>
      </w:pPr>
    </w:p>
    <w:p>
      <w:pPr>
        <w:pStyle w:val="ListParagraph"/>
        <w:numPr>
          <w:ilvl w:val="0"/>
          <w:numId w:val="23"/>
        </w:numPr>
        <w:tabs>
          <w:tab w:pos="692" w:val="left" w:leader="none"/>
          <w:tab w:pos="693" w:val="left" w:leader="none"/>
        </w:tabs>
        <w:spacing w:line="240" w:lineRule="auto" w:before="69" w:after="0"/>
        <w:ind w:left="692" w:right="0" w:hanging="470"/>
        <w:jc w:val="left"/>
        <w:rPr>
          <w:sz w:val="24"/>
        </w:rPr>
      </w:pPr>
      <w:r>
        <w:rPr>
          <w:sz w:val="24"/>
        </w:rPr>
        <w:t>Prittie  J.  2004.  Canine  parvoviral  enteritis:  a  review  </w:t>
      </w:r>
      <w:r>
        <w:rPr>
          <w:spacing w:val="4"/>
          <w:sz w:val="24"/>
        </w:rPr>
        <w:t>of  </w:t>
      </w:r>
      <w:r>
        <w:rPr>
          <w:sz w:val="24"/>
        </w:rPr>
        <w:t>diagnosis,  management,  </w:t>
      </w:r>
      <w:r>
        <w:rPr>
          <w:spacing w:val="52"/>
          <w:sz w:val="24"/>
        </w:rPr>
        <w:t> </w:t>
      </w:r>
      <w:r>
        <w:rPr>
          <w:sz w:val="24"/>
        </w:rPr>
        <w:t>and</w:t>
      </w:r>
    </w:p>
    <w:p>
      <w:pPr>
        <w:pStyle w:val="ListParagraph"/>
        <w:numPr>
          <w:ilvl w:val="0"/>
          <w:numId w:val="23"/>
        </w:numPr>
        <w:tabs>
          <w:tab w:pos="1403" w:val="left" w:leader="none"/>
          <w:tab w:pos="1404" w:val="left" w:leader="none"/>
        </w:tabs>
        <w:spacing w:line="240" w:lineRule="auto" w:before="125" w:after="0"/>
        <w:ind w:left="1403" w:right="0" w:hanging="1181"/>
        <w:jc w:val="left"/>
        <w:rPr>
          <w:sz w:val="24"/>
        </w:rPr>
      </w:pPr>
      <w:r>
        <w:rPr>
          <w:sz w:val="24"/>
        </w:rPr>
        <w:t>prevention. </w:t>
      </w:r>
      <w:r>
        <w:rPr>
          <w:i/>
          <w:sz w:val="24"/>
        </w:rPr>
        <w:t>J Vet Emerg Crit Care</w:t>
      </w:r>
      <w:r>
        <w:rPr>
          <w:i/>
          <w:spacing w:val="-9"/>
          <w:sz w:val="24"/>
        </w:rPr>
        <w:t> </w:t>
      </w:r>
      <w:r>
        <w:rPr>
          <w:sz w:val="24"/>
        </w:rPr>
        <w:t>14,167-176.</w:t>
      </w:r>
    </w:p>
    <w:p>
      <w:pPr>
        <w:pStyle w:val="BodyText"/>
        <w:spacing w:before="3"/>
        <w:rPr>
          <w:rFonts w:ascii="Times New Roman"/>
          <w:sz w:val="23"/>
        </w:rPr>
      </w:pPr>
    </w:p>
    <w:p>
      <w:pPr>
        <w:pStyle w:val="ListParagraph"/>
        <w:numPr>
          <w:ilvl w:val="0"/>
          <w:numId w:val="23"/>
        </w:numPr>
        <w:tabs>
          <w:tab w:pos="692" w:val="left" w:leader="none"/>
          <w:tab w:pos="693" w:val="left" w:leader="none"/>
        </w:tabs>
        <w:spacing w:line="240" w:lineRule="auto" w:before="69" w:after="0"/>
        <w:ind w:left="692" w:right="0" w:hanging="470"/>
        <w:jc w:val="left"/>
        <w:rPr>
          <w:sz w:val="24"/>
        </w:rPr>
      </w:pPr>
      <w:r>
        <w:rPr>
          <w:sz w:val="24"/>
        </w:rPr>
        <w:t>Sagazio  P,  M  Tempesta,  D  Buonavoglia,  F  Cirone,  C  Buonavoglia.  1998.  </w:t>
      </w:r>
      <w:r>
        <w:rPr>
          <w:spacing w:val="16"/>
          <w:sz w:val="24"/>
        </w:rPr>
        <w:t> </w:t>
      </w:r>
      <w:r>
        <w:rPr>
          <w:sz w:val="24"/>
        </w:rPr>
        <w:t>Antigenic</w:t>
      </w:r>
    </w:p>
    <w:p>
      <w:pPr>
        <w:pStyle w:val="ListParagraph"/>
        <w:numPr>
          <w:ilvl w:val="0"/>
          <w:numId w:val="23"/>
        </w:numPr>
        <w:tabs>
          <w:tab w:pos="1403" w:val="left" w:leader="none"/>
          <w:tab w:pos="1404" w:val="left" w:leader="none"/>
        </w:tabs>
        <w:spacing w:line="240" w:lineRule="auto" w:before="129" w:after="0"/>
        <w:ind w:left="1403" w:right="0" w:hanging="1292"/>
        <w:jc w:val="left"/>
        <w:rPr>
          <w:sz w:val="24"/>
        </w:rPr>
      </w:pPr>
      <w:r>
        <w:rPr>
          <w:sz w:val="24"/>
        </w:rPr>
        <w:t>characterization of canine parvovirus strains  isolated </w:t>
      </w:r>
      <w:r>
        <w:rPr>
          <w:spacing w:val="-3"/>
          <w:sz w:val="24"/>
        </w:rPr>
        <w:t>in </w:t>
      </w:r>
      <w:r>
        <w:rPr>
          <w:sz w:val="24"/>
        </w:rPr>
        <w:t>Italy. </w:t>
      </w:r>
      <w:r>
        <w:rPr>
          <w:i/>
          <w:sz w:val="24"/>
        </w:rPr>
        <w:t>J Virol Methods.  </w:t>
      </w:r>
      <w:r>
        <w:rPr>
          <w:i/>
          <w:spacing w:val="42"/>
          <w:sz w:val="24"/>
        </w:rPr>
        <w:t> </w:t>
      </w:r>
      <w:r>
        <w:rPr>
          <w:sz w:val="24"/>
        </w:rPr>
        <w:t>73,</w:t>
      </w:r>
    </w:p>
    <w:p>
      <w:pPr>
        <w:pStyle w:val="BodyText"/>
        <w:tabs>
          <w:tab w:pos="1403" w:val="left" w:leader="none"/>
        </w:tabs>
        <w:spacing w:before="125"/>
        <w:ind w:left="111"/>
        <w:rPr>
          <w:rFonts w:ascii="Times New Roman"/>
        </w:rPr>
      </w:pPr>
      <w:r>
        <w:rPr>
          <w:rFonts w:ascii="Calibri"/>
          <w:sz w:val="22"/>
        </w:rPr>
        <w:t>11</w:t>
      </w:r>
      <w:r>
        <w:rPr>
          <w:rFonts w:ascii="Times New Roman"/>
        </w:rPr>
        <w:tab/>
        <w:t>197-200.</w:t>
      </w:r>
    </w:p>
    <w:p>
      <w:pPr>
        <w:pStyle w:val="BodyText"/>
        <w:spacing w:before="2"/>
        <w:rPr>
          <w:rFonts w:ascii="Times New Roman"/>
          <w:sz w:val="23"/>
        </w:rPr>
      </w:pPr>
    </w:p>
    <w:p>
      <w:pPr>
        <w:pStyle w:val="ListParagraph"/>
        <w:numPr>
          <w:ilvl w:val="0"/>
          <w:numId w:val="24"/>
        </w:numPr>
        <w:tabs>
          <w:tab w:pos="692" w:val="left" w:leader="none"/>
          <w:tab w:pos="693" w:val="left" w:leader="none"/>
          <w:tab w:pos="2090" w:val="left" w:leader="none"/>
        </w:tabs>
        <w:spacing w:line="240" w:lineRule="auto" w:before="69" w:after="0"/>
        <w:ind w:left="692" w:right="0" w:hanging="581"/>
        <w:jc w:val="left"/>
        <w:rPr>
          <w:sz w:val="24"/>
        </w:rPr>
      </w:pPr>
      <w:r>
        <w:rPr>
          <w:sz w:val="24"/>
        </w:rPr>
        <w:t>Sánchez</w:t>
      </w:r>
      <w:r>
        <w:rPr>
          <w:spacing w:val="59"/>
          <w:sz w:val="24"/>
        </w:rPr>
        <w:t> </w:t>
      </w:r>
      <w:r>
        <w:rPr>
          <w:sz w:val="24"/>
        </w:rPr>
        <w:t>C,</w:t>
        <w:tab/>
        <w:t>M  Lozada,  E  Pichardo,  P  López,  G  Del  Ángel,  I  Mata.  2006.  Uso  </w:t>
      </w:r>
      <w:r>
        <w:rPr>
          <w:spacing w:val="24"/>
          <w:sz w:val="24"/>
        </w:rPr>
        <w:t> </w:t>
      </w:r>
      <w:r>
        <w:rPr>
          <w:sz w:val="24"/>
        </w:rPr>
        <w:t>de</w:t>
      </w:r>
    </w:p>
    <w:p>
      <w:pPr>
        <w:pStyle w:val="ListParagraph"/>
        <w:numPr>
          <w:ilvl w:val="0"/>
          <w:numId w:val="24"/>
        </w:numPr>
        <w:tabs>
          <w:tab w:pos="1403" w:val="left" w:leader="none"/>
          <w:tab w:pos="1404" w:val="left" w:leader="none"/>
        </w:tabs>
        <w:spacing w:line="240" w:lineRule="auto" w:before="130" w:after="0"/>
        <w:ind w:left="1403" w:right="0" w:hanging="1292"/>
        <w:jc w:val="left"/>
        <w:rPr>
          <w:sz w:val="24"/>
        </w:rPr>
      </w:pPr>
      <w:r>
        <w:rPr>
          <w:sz w:val="24"/>
        </w:rPr>
        <w:t>cuestionarios  de  investigación.  En:  Sánchez  N,  Romero  </w:t>
      </w:r>
      <w:r>
        <w:rPr>
          <w:spacing w:val="-3"/>
          <w:sz w:val="24"/>
        </w:rPr>
        <w:t>A,  </w:t>
      </w:r>
      <w:r>
        <w:rPr>
          <w:sz w:val="24"/>
        </w:rPr>
        <w:t>Esquivel  M.   </w:t>
      </w:r>
      <w:r>
        <w:rPr>
          <w:spacing w:val="20"/>
          <w:sz w:val="24"/>
        </w:rPr>
        <w:t> </w:t>
      </w:r>
      <w:r>
        <w:rPr>
          <w:sz w:val="24"/>
        </w:rPr>
        <w:t>(ed).</w:t>
      </w:r>
    </w:p>
    <w:p>
      <w:pPr>
        <w:pStyle w:val="ListParagraph"/>
        <w:numPr>
          <w:ilvl w:val="0"/>
          <w:numId w:val="24"/>
        </w:numPr>
        <w:tabs>
          <w:tab w:pos="1403" w:val="left" w:leader="none"/>
          <w:tab w:pos="1404" w:val="left" w:leader="none"/>
        </w:tabs>
        <w:spacing w:line="240" w:lineRule="auto" w:before="99" w:after="0"/>
        <w:ind w:left="1403" w:right="0" w:hanging="1292"/>
        <w:jc w:val="left"/>
        <w:rPr>
          <w:sz w:val="24"/>
        </w:rPr>
      </w:pPr>
      <w:r>
        <w:rPr>
          <w:sz w:val="24"/>
        </w:rPr>
        <w:t>Métodos  clínicos  y  epidemiológicos  de  investigación  médica.  </w:t>
      </w:r>
      <w:r>
        <w:rPr>
          <w:spacing w:val="4"/>
          <w:sz w:val="24"/>
        </w:rPr>
        <w:t>1</w:t>
      </w:r>
      <w:r>
        <w:rPr>
          <w:spacing w:val="4"/>
          <w:position w:val="11"/>
          <w:sz w:val="16"/>
        </w:rPr>
        <w:t>a   </w:t>
      </w:r>
      <w:r>
        <w:rPr>
          <w:sz w:val="24"/>
        </w:rPr>
        <w:t>ed.   </w:t>
      </w:r>
      <w:r>
        <w:rPr>
          <w:spacing w:val="55"/>
          <w:sz w:val="24"/>
        </w:rPr>
        <w:t> </w:t>
      </w:r>
      <w:r>
        <w:rPr>
          <w:sz w:val="24"/>
        </w:rPr>
        <w:t>Elsevier</w:t>
      </w:r>
    </w:p>
    <w:p>
      <w:pPr>
        <w:pStyle w:val="ListParagraph"/>
        <w:numPr>
          <w:ilvl w:val="0"/>
          <w:numId w:val="24"/>
        </w:numPr>
        <w:tabs>
          <w:tab w:pos="1403" w:val="left" w:leader="none"/>
          <w:tab w:pos="1404" w:val="left" w:leader="none"/>
        </w:tabs>
        <w:spacing w:line="240" w:lineRule="auto" w:before="125" w:after="0"/>
        <w:ind w:left="1403" w:right="0" w:hanging="1292"/>
        <w:jc w:val="left"/>
        <w:rPr>
          <w:sz w:val="24"/>
        </w:rPr>
      </w:pPr>
      <w:r>
        <w:rPr>
          <w:sz w:val="24"/>
        </w:rPr>
        <w:t>Masson Doyma México, Pp</w:t>
      </w:r>
      <w:r>
        <w:rPr>
          <w:spacing w:val="-6"/>
          <w:sz w:val="24"/>
        </w:rPr>
        <w:t> </w:t>
      </w:r>
      <w:r>
        <w:rPr>
          <w:sz w:val="24"/>
        </w:rPr>
        <w:t>195-218.</w:t>
      </w:r>
    </w:p>
    <w:p>
      <w:pPr>
        <w:pStyle w:val="BodyText"/>
        <w:spacing w:before="2"/>
        <w:rPr>
          <w:rFonts w:ascii="Times New Roman"/>
          <w:sz w:val="23"/>
        </w:rPr>
      </w:pPr>
    </w:p>
    <w:p>
      <w:pPr>
        <w:pStyle w:val="ListParagraph"/>
        <w:numPr>
          <w:ilvl w:val="0"/>
          <w:numId w:val="24"/>
        </w:numPr>
        <w:tabs>
          <w:tab w:pos="692" w:val="left" w:leader="none"/>
          <w:tab w:pos="693" w:val="left" w:leader="none"/>
        </w:tabs>
        <w:spacing w:line="240" w:lineRule="auto" w:before="70" w:after="0"/>
        <w:ind w:left="692" w:right="0" w:hanging="581"/>
        <w:jc w:val="left"/>
        <w:rPr>
          <w:sz w:val="24"/>
        </w:rPr>
      </w:pPr>
      <w:r>
        <w:rPr>
          <w:sz w:val="24"/>
        </w:rPr>
        <w:t>Schmitz  S,  C Coenen,  M König,  H  Jürgen,  R Neiger.  2009.  Comparison of three</w:t>
      </w:r>
      <w:r>
        <w:rPr>
          <w:spacing w:val="49"/>
          <w:sz w:val="24"/>
        </w:rPr>
        <w:t> </w:t>
      </w:r>
      <w:r>
        <w:rPr>
          <w:sz w:val="24"/>
        </w:rPr>
        <w:t>rapid</w:t>
      </w:r>
    </w:p>
    <w:p>
      <w:pPr>
        <w:pStyle w:val="ListParagraph"/>
        <w:numPr>
          <w:ilvl w:val="0"/>
          <w:numId w:val="24"/>
        </w:numPr>
        <w:tabs>
          <w:tab w:pos="1403" w:val="left" w:leader="none"/>
          <w:tab w:pos="1404" w:val="left" w:leader="none"/>
        </w:tabs>
        <w:spacing w:line="240" w:lineRule="auto" w:before="129" w:after="0"/>
        <w:ind w:left="1403" w:right="0" w:hanging="1292"/>
        <w:jc w:val="left"/>
        <w:rPr>
          <w:sz w:val="24"/>
        </w:rPr>
      </w:pPr>
      <w:r>
        <w:rPr>
          <w:sz w:val="24"/>
        </w:rPr>
        <w:t>commercial canine parvovirus antigen detection tests with electronmicroscopy  </w:t>
      </w:r>
      <w:r>
        <w:rPr>
          <w:spacing w:val="29"/>
          <w:sz w:val="24"/>
        </w:rPr>
        <w:t> </w:t>
      </w:r>
      <w:r>
        <w:rPr>
          <w:sz w:val="24"/>
        </w:rPr>
        <w:t>and</w:t>
      </w:r>
    </w:p>
    <w:p>
      <w:pPr>
        <w:pStyle w:val="ListParagraph"/>
        <w:numPr>
          <w:ilvl w:val="0"/>
          <w:numId w:val="24"/>
        </w:numPr>
        <w:tabs>
          <w:tab w:pos="1403" w:val="left" w:leader="none"/>
          <w:tab w:pos="1404" w:val="left" w:leader="none"/>
        </w:tabs>
        <w:spacing w:line="240" w:lineRule="auto" w:before="125" w:after="0"/>
        <w:ind w:left="1403" w:right="0" w:hanging="1292"/>
        <w:jc w:val="left"/>
        <w:rPr>
          <w:sz w:val="24"/>
        </w:rPr>
      </w:pPr>
      <w:r>
        <w:rPr>
          <w:sz w:val="24"/>
        </w:rPr>
        <w:t>polymerase chain reaction. </w:t>
      </w:r>
      <w:r>
        <w:rPr>
          <w:i/>
          <w:sz w:val="24"/>
        </w:rPr>
        <w:t>J Vet Diagn Invest</w:t>
      </w:r>
      <w:r>
        <w:rPr>
          <w:i/>
          <w:spacing w:val="-16"/>
          <w:sz w:val="24"/>
        </w:rPr>
        <w:t> </w:t>
      </w:r>
      <w:r>
        <w:rPr>
          <w:sz w:val="24"/>
        </w:rPr>
        <w:t>21,344-345.</w:t>
      </w:r>
    </w:p>
    <w:p>
      <w:pPr>
        <w:pStyle w:val="BodyText"/>
        <w:spacing w:before="2"/>
        <w:rPr>
          <w:rFonts w:ascii="Times New Roman"/>
          <w:sz w:val="23"/>
        </w:rPr>
      </w:pPr>
    </w:p>
    <w:p>
      <w:pPr>
        <w:pStyle w:val="ListParagraph"/>
        <w:numPr>
          <w:ilvl w:val="0"/>
          <w:numId w:val="24"/>
        </w:numPr>
        <w:tabs>
          <w:tab w:pos="692" w:val="left" w:leader="none"/>
          <w:tab w:pos="693" w:val="left" w:leader="none"/>
        </w:tabs>
        <w:spacing w:line="240" w:lineRule="auto" w:before="69" w:after="0"/>
        <w:ind w:left="692" w:right="0" w:hanging="581"/>
        <w:jc w:val="left"/>
        <w:rPr>
          <w:i/>
          <w:sz w:val="24"/>
        </w:rPr>
      </w:pPr>
      <w:r>
        <w:rPr>
          <w:sz w:val="24"/>
        </w:rPr>
        <w:t>Schoeman J, A Goddard, A Leisewitz. 2013. Biomarkers </w:t>
      </w:r>
      <w:r>
        <w:rPr>
          <w:spacing w:val="-3"/>
          <w:sz w:val="24"/>
        </w:rPr>
        <w:t>in </w:t>
      </w:r>
      <w:r>
        <w:rPr>
          <w:sz w:val="24"/>
        </w:rPr>
        <w:t>canine parvovirus enteritis. </w:t>
      </w:r>
      <w:r>
        <w:rPr>
          <w:i/>
          <w:sz w:val="24"/>
        </w:rPr>
        <w:t>N</w:t>
      </w:r>
      <w:r>
        <w:rPr>
          <w:i/>
          <w:spacing w:val="18"/>
          <w:sz w:val="24"/>
        </w:rPr>
        <w:t> </w:t>
      </w:r>
      <w:r>
        <w:rPr>
          <w:i/>
          <w:sz w:val="24"/>
        </w:rPr>
        <w:t>Z</w:t>
      </w:r>
    </w:p>
    <w:p>
      <w:pPr>
        <w:tabs>
          <w:tab w:pos="1403" w:val="left" w:leader="none"/>
        </w:tabs>
        <w:spacing w:before="130"/>
        <w:ind w:left="111" w:right="0" w:firstLine="0"/>
        <w:jc w:val="left"/>
        <w:rPr>
          <w:rFonts w:ascii="Times New Roman"/>
          <w:sz w:val="24"/>
        </w:rPr>
      </w:pPr>
      <w:r>
        <w:rPr>
          <w:rFonts w:ascii="Calibri"/>
          <w:sz w:val="22"/>
        </w:rPr>
        <w:t>20</w:t>
        <w:tab/>
      </w:r>
      <w:r>
        <w:rPr>
          <w:rFonts w:ascii="Times New Roman"/>
          <w:i/>
          <w:sz w:val="24"/>
        </w:rPr>
        <w:t>Vet J </w:t>
      </w:r>
      <w:r>
        <w:rPr>
          <w:rFonts w:ascii="Times New Roman"/>
          <w:sz w:val="24"/>
        </w:rPr>
        <w:t>6, 217-222.</w:t>
      </w:r>
    </w:p>
    <w:p>
      <w:pPr>
        <w:pStyle w:val="BodyText"/>
        <w:spacing w:before="9"/>
        <w:rPr>
          <w:rFonts w:ascii="Times New Roman"/>
          <w:sz w:val="22"/>
        </w:rPr>
      </w:pPr>
    </w:p>
    <w:p>
      <w:pPr>
        <w:pStyle w:val="ListParagraph"/>
        <w:numPr>
          <w:ilvl w:val="0"/>
          <w:numId w:val="25"/>
        </w:numPr>
        <w:tabs>
          <w:tab w:pos="692" w:val="left" w:leader="none"/>
          <w:tab w:pos="693" w:val="left" w:leader="none"/>
        </w:tabs>
        <w:spacing w:line="240" w:lineRule="auto" w:before="69" w:after="0"/>
        <w:ind w:left="692" w:right="0" w:hanging="581"/>
        <w:jc w:val="left"/>
        <w:rPr>
          <w:sz w:val="24"/>
        </w:rPr>
      </w:pPr>
      <w:r>
        <w:rPr>
          <w:sz w:val="24"/>
        </w:rPr>
        <w:t>Schunck B, W Kraft, U Truyen. 1995. A simple touch-down polymerase chain reaction </w:t>
      </w:r>
      <w:r>
        <w:rPr>
          <w:spacing w:val="25"/>
          <w:sz w:val="24"/>
        </w:rPr>
        <w:t> </w:t>
      </w:r>
      <w:r>
        <w:rPr>
          <w:sz w:val="24"/>
        </w:rPr>
        <w:t>for</w:t>
      </w:r>
    </w:p>
    <w:p>
      <w:pPr>
        <w:pStyle w:val="ListParagraph"/>
        <w:numPr>
          <w:ilvl w:val="0"/>
          <w:numId w:val="25"/>
        </w:numPr>
        <w:tabs>
          <w:tab w:pos="1403" w:val="left" w:leader="none"/>
          <w:tab w:pos="1404" w:val="left" w:leader="none"/>
        </w:tabs>
        <w:spacing w:line="240" w:lineRule="auto" w:before="134" w:after="0"/>
        <w:ind w:left="1403" w:right="0" w:hanging="1292"/>
        <w:jc w:val="left"/>
        <w:rPr>
          <w:i/>
          <w:sz w:val="24"/>
        </w:rPr>
      </w:pPr>
      <w:r>
        <w:rPr>
          <w:sz w:val="24"/>
        </w:rPr>
        <w:t>the  detection  </w:t>
      </w:r>
      <w:r>
        <w:rPr>
          <w:spacing w:val="4"/>
          <w:sz w:val="24"/>
        </w:rPr>
        <w:t>of  </w:t>
      </w:r>
      <w:r>
        <w:rPr>
          <w:sz w:val="24"/>
        </w:rPr>
        <w:t>canine  parvovirus  and  feline  panleucopenia  virus  </w:t>
      </w:r>
      <w:r>
        <w:rPr>
          <w:spacing w:val="-3"/>
          <w:sz w:val="24"/>
        </w:rPr>
        <w:t>in  </w:t>
      </w:r>
      <w:r>
        <w:rPr>
          <w:sz w:val="24"/>
        </w:rPr>
        <w:t>feces.   </w:t>
      </w:r>
      <w:r>
        <w:rPr>
          <w:spacing w:val="30"/>
          <w:sz w:val="24"/>
        </w:rPr>
        <w:t> </w:t>
      </w:r>
      <w:r>
        <w:rPr>
          <w:i/>
          <w:sz w:val="24"/>
        </w:rPr>
        <w:t>J</w:t>
      </w:r>
    </w:p>
    <w:p>
      <w:pPr>
        <w:pStyle w:val="ListParagraph"/>
        <w:numPr>
          <w:ilvl w:val="0"/>
          <w:numId w:val="25"/>
        </w:numPr>
        <w:tabs>
          <w:tab w:pos="1403" w:val="left" w:leader="none"/>
          <w:tab w:pos="1404" w:val="left" w:leader="none"/>
        </w:tabs>
        <w:spacing w:line="240" w:lineRule="auto" w:before="125" w:after="0"/>
        <w:ind w:left="1403" w:right="0" w:hanging="1292"/>
        <w:jc w:val="left"/>
        <w:rPr>
          <w:sz w:val="24"/>
        </w:rPr>
      </w:pPr>
      <w:r>
        <w:rPr>
          <w:i/>
          <w:sz w:val="24"/>
        </w:rPr>
        <w:t>Virol Methods </w:t>
      </w:r>
      <w:r>
        <w:rPr>
          <w:sz w:val="24"/>
        </w:rPr>
        <w:t>55,</w:t>
      </w:r>
      <w:r>
        <w:rPr>
          <w:spacing w:val="-2"/>
          <w:sz w:val="24"/>
        </w:rPr>
        <w:t> </w:t>
      </w:r>
      <w:r>
        <w:rPr>
          <w:sz w:val="24"/>
        </w:rPr>
        <w:t>427-433.</w:t>
      </w:r>
    </w:p>
    <w:p>
      <w:pPr>
        <w:spacing w:after="0" w:line="240" w:lineRule="auto"/>
        <w:jc w:val="left"/>
        <w:rPr>
          <w:sz w:val="24"/>
        </w:rPr>
        <w:sectPr>
          <w:pgSz w:w="12240" w:h="15840"/>
          <w:pgMar w:header="1154" w:footer="1713" w:top="1520" w:bottom="1900" w:left="1180" w:right="1380"/>
        </w:sectPr>
      </w:pPr>
    </w:p>
    <w:p>
      <w:pPr>
        <w:pStyle w:val="BodyText"/>
        <w:spacing w:before="10"/>
        <w:rPr>
          <w:rFonts w:ascii="Times New Roman"/>
          <w:sz w:val="17"/>
        </w:rPr>
      </w:pPr>
    </w:p>
    <w:p>
      <w:pPr>
        <w:pStyle w:val="ListParagraph"/>
        <w:numPr>
          <w:ilvl w:val="1"/>
          <w:numId w:val="25"/>
        </w:numPr>
        <w:tabs>
          <w:tab w:pos="692" w:val="left" w:leader="none"/>
          <w:tab w:pos="693" w:val="left" w:leader="none"/>
        </w:tabs>
        <w:spacing w:line="240" w:lineRule="auto" w:before="69" w:after="0"/>
        <w:ind w:left="692" w:right="0" w:hanging="470"/>
        <w:jc w:val="left"/>
        <w:rPr>
          <w:sz w:val="24"/>
        </w:rPr>
      </w:pPr>
      <w:r>
        <w:rPr>
          <w:sz w:val="24"/>
        </w:rPr>
        <w:t>Shackelton L, C Parrish, U Truyen, E Holmes. 2005. High rate of viral evolution</w:t>
      </w:r>
      <w:r>
        <w:rPr>
          <w:spacing w:val="4"/>
          <w:sz w:val="24"/>
        </w:rPr>
        <w:t> </w:t>
      </w:r>
      <w:r>
        <w:rPr>
          <w:sz w:val="24"/>
        </w:rPr>
        <w:t>associated</w:t>
      </w:r>
    </w:p>
    <w:p>
      <w:pPr>
        <w:pStyle w:val="ListParagraph"/>
        <w:numPr>
          <w:ilvl w:val="1"/>
          <w:numId w:val="25"/>
        </w:numPr>
        <w:tabs>
          <w:tab w:pos="1403" w:val="left" w:leader="none"/>
          <w:tab w:pos="1404" w:val="left" w:leader="none"/>
        </w:tabs>
        <w:spacing w:line="240" w:lineRule="auto" w:before="129" w:after="0"/>
        <w:ind w:left="1403" w:right="0" w:hanging="1181"/>
        <w:jc w:val="left"/>
        <w:rPr>
          <w:sz w:val="24"/>
        </w:rPr>
      </w:pPr>
      <w:r>
        <w:rPr>
          <w:sz w:val="24"/>
        </w:rPr>
        <w:t>with the  emergence of carnivore parvovirus.  </w:t>
      </w:r>
      <w:hyperlink r:id="rId25">
        <w:r>
          <w:rPr>
            <w:i/>
            <w:sz w:val="24"/>
          </w:rPr>
          <w:t>Proc Natl Acad Sci U S  A.</w:t>
        </w:r>
      </w:hyperlink>
      <w:r>
        <w:rPr>
          <w:sz w:val="24"/>
        </w:rPr>
        <w:t>102,  </w:t>
      </w:r>
      <w:r>
        <w:rPr>
          <w:spacing w:val="51"/>
          <w:sz w:val="24"/>
        </w:rPr>
        <w:t> </w:t>
      </w:r>
      <w:r>
        <w:rPr>
          <w:sz w:val="24"/>
        </w:rPr>
        <w:t>379-</w:t>
      </w:r>
    </w:p>
    <w:p>
      <w:pPr>
        <w:tabs>
          <w:tab w:pos="1403" w:val="left" w:leader="none"/>
        </w:tabs>
        <w:spacing w:before="125"/>
        <w:ind w:left="222" w:right="0" w:firstLine="0"/>
        <w:jc w:val="left"/>
        <w:rPr>
          <w:rFonts w:ascii="Times New Roman"/>
          <w:sz w:val="24"/>
        </w:rPr>
      </w:pPr>
      <w:r>
        <w:rPr>
          <w:rFonts w:ascii="Calibri"/>
          <w:sz w:val="22"/>
        </w:rPr>
        <w:t>3</w:t>
        <w:tab/>
      </w:r>
      <w:r>
        <w:rPr>
          <w:rFonts w:ascii="Times New Roman"/>
          <w:sz w:val="24"/>
        </w:rPr>
        <w:t>384.</w:t>
      </w:r>
    </w:p>
    <w:p>
      <w:pPr>
        <w:pStyle w:val="BodyText"/>
        <w:spacing w:before="2"/>
        <w:rPr>
          <w:rFonts w:ascii="Times New Roman"/>
          <w:sz w:val="23"/>
        </w:rPr>
      </w:pPr>
    </w:p>
    <w:p>
      <w:pPr>
        <w:pStyle w:val="BodyText"/>
        <w:tabs>
          <w:tab w:pos="692" w:val="left" w:leader="none"/>
        </w:tabs>
        <w:spacing w:before="69"/>
        <w:ind w:left="222"/>
        <w:rPr>
          <w:rFonts w:ascii="Times New Roman"/>
        </w:rPr>
      </w:pPr>
      <w:r>
        <w:rPr>
          <w:rFonts w:ascii="Calibri"/>
          <w:sz w:val="22"/>
        </w:rPr>
        <w:t>4</w:t>
        <w:tab/>
      </w:r>
      <w:r>
        <w:rPr>
          <w:rFonts w:ascii="Times New Roman"/>
        </w:rPr>
        <w:t>Truyen U.1999. Emergence and recent evolution of canine parvovirus.   </w:t>
      </w:r>
      <w:r>
        <w:rPr>
          <w:rFonts w:ascii="Times New Roman"/>
          <w:spacing w:val="35"/>
        </w:rPr>
        <w:t> </w:t>
      </w:r>
      <w:r>
        <w:rPr>
          <w:rFonts w:ascii="Times New Roman"/>
          <w:i/>
        </w:rPr>
        <w:t>Vet Microbiol. </w:t>
      </w:r>
      <w:r>
        <w:rPr>
          <w:rFonts w:ascii="Times New Roman"/>
        </w:rPr>
        <w:t>69,</w:t>
      </w:r>
    </w:p>
    <w:p>
      <w:pPr>
        <w:pStyle w:val="BodyText"/>
        <w:tabs>
          <w:tab w:pos="1403" w:val="left" w:leader="none"/>
        </w:tabs>
        <w:spacing w:before="129"/>
        <w:ind w:left="222"/>
        <w:rPr>
          <w:rFonts w:ascii="Times New Roman"/>
        </w:rPr>
      </w:pPr>
      <w:r>
        <w:rPr>
          <w:rFonts w:ascii="Calibri"/>
          <w:sz w:val="22"/>
        </w:rPr>
        <w:t>5</w:t>
      </w:r>
      <w:r>
        <w:rPr>
          <w:rFonts w:ascii="Times New Roman"/>
        </w:rPr>
        <w:tab/>
        <w:t>47-50.</w:t>
      </w:r>
    </w:p>
    <w:p>
      <w:pPr>
        <w:pStyle w:val="BodyText"/>
        <w:spacing w:before="9"/>
        <w:rPr>
          <w:rFonts w:ascii="Times New Roman"/>
          <w:sz w:val="22"/>
        </w:rPr>
      </w:pPr>
    </w:p>
    <w:p>
      <w:pPr>
        <w:pStyle w:val="BodyText"/>
        <w:tabs>
          <w:tab w:pos="692" w:val="left" w:leader="none"/>
        </w:tabs>
        <w:spacing w:before="69"/>
        <w:ind w:left="222"/>
        <w:rPr>
          <w:rFonts w:ascii="Times New Roman"/>
          <w:i/>
        </w:rPr>
      </w:pPr>
      <w:r>
        <w:rPr>
          <w:rFonts w:ascii="Calibri"/>
          <w:sz w:val="22"/>
        </w:rPr>
        <w:t>6</w:t>
        <w:tab/>
      </w:r>
      <w:r>
        <w:rPr>
          <w:rFonts w:ascii="Times New Roman"/>
        </w:rPr>
        <w:t>Truyen U.2006. Evolution  </w:t>
      </w:r>
      <w:r>
        <w:rPr>
          <w:rFonts w:ascii="Times New Roman"/>
          <w:spacing w:val="4"/>
        </w:rPr>
        <w:t>of </w:t>
      </w:r>
      <w:r>
        <w:rPr>
          <w:rFonts w:ascii="Times New Roman"/>
        </w:rPr>
        <w:t>canine parvovirus-A need for new vaccines? </w:t>
      </w:r>
      <w:r>
        <w:rPr>
          <w:rFonts w:ascii="Times New Roman"/>
          <w:i/>
        </w:rPr>
        <w:t>Vet  </w:t>
      </w:r>
      <w:r>
        <w:rPr>
          <w:rFonts w:ascii="Times New Roman"/>
          <w:i/>
          <w:spacing w:val="30"/>
        </w:rPr>
        <w:t> </w:t>
      </w:r>
      <w:r>
        <w:rPr>
          <w:rFonts w:ascii="Times New Roman"/>
          <w:i/>
        </w:rPr>
        <w:t>Microbiol.</w:t>
      </w:r>
    </w:p>
    <w:p>
      <w:pPr>
        <w:pStyle w:val="BodyText"/>
        <w:tabs>
          <w:tab w:pos="1403" w:val="left" w:leader="none"/>
        </w:tabs>
        <w:spacing w:before="129"/>
        <w:ind w:left="222"/>
        <w:rPr>
          <w:rFonts w:ascii="Times New Roman"/>
        </w:rPr>
      </w:pPr>
      <w:r>
        <w:rPr>
          <w:rFonts w:ascii="Calibri"/>
          <w:sz w:val="22"/>
        </w:rPr>
        <w:t>7</w:t>
        <w:tab/>
      </w:r>
      <w:r>
        <w:rPr>
          <w:rFonts w:ascii="Times New Roman"/>
        </w:rPr>
        <w:t>117, 9-13.</w:t>
      </w:r>
    </w:p>
    <w:p>
      <w:pPr>
        <w:pStyle w:val="BodyText"/>
        <w:spacing w:before="2"/>
        <w:rPr>
          <w:rFonts w:ascii="Times New Roman"/>
          <w:sz w:val="23"/>
        </w:rPr>
      </w:pPr>
    </w:p>
    <w:p>
      <w:pPr>
        <w:pStyle w:val="ListParagraph"/>
        <w:numPr>
          <w:ilvl w:val="0"/>
          <w:numId w:val="26"/>
        </w:numPr>
        <w:tabs>
          <w:tab w:pos="692" w:val="left" w:leader="none"/>
          <w:tab w:pos="693" w:val="left" w:leader="none"/>
        </w:tabs>
        <w:spacing w:line="240" w:lineRule="auto" w:before="69" w:after="0"/>
        <w:ind w:left="692" w:right="0" w:hanging="470"/>
        <w:jc w:val="left"/>
        <w:rPr>
          <w:sz w:val="24"/>
        </w:rPr>
      </w:pPr>
      <w:r>
        <w:rPr>
          <w:sz w:val="24"/>
        </w:rPr>
        <w:t>Uwatoko  </w:t>
      </w:r>
      <w:r>
        <w:rPr>
          <w:spacing w:val="-3"/>
          <w:sz w:val="24"/>
        </w:rPr>
        <w:t>K,  </w:t>
      </w:r>
      <w:r>
        <w:rPr>
          <w:sz w:val="24"/>
        </w:rPr>
        <w:t>M  Sunairi,  M  Nakajima,  K  Yamaura.  1995.  Rapid  method  utilizing </w:t>
      </w:r>
      <w:r>
        <w:rPr>
          <w:spacing w:val="50"/>
          <w:sz w:val="24"/>
        </w:rPr>
        <w:t> </w:t>
      </w:r>
      <w:r>
        <w:rPr>
          <w:sz w:val="24"/>
        </w:rPr>
        <w:t>the</w:t>
      </w:r>
    </w:p>
    <w:p>
      <w:pPr>
        <w:pStyle w:val="ListParagraph"/>
        <w:numPr>
          <w:ilvl w:val="0"/>
          <w:numId w:val="26"/>
        </w:numPr>
        <w:tabs>
          <w:tab w:pos="1403" w:val="left" w:leader="none"/>
          <w:tab w:pos="1404" w:val="left" w:leader="none"/>
        </w:tabs>
        <w:spacing w:line="240" w:lineRule="auto" w:before="130" w:after="0"/>
        <w:ind w:left="1403" w:right="0" w:hanging="1181"/>
        <w:jc w:val="left"/>
        <w:rPr>
          <w:sz w:val="24"/>
        </w:rPr>
      </w:pPr>
      <w:r>
        <w:rPr>
          <w:sz w:val="24"/>
        </w:rPr>
        <w:t>polymerase chain reaction for detection of canine parvovirus  </w:t>
      </w:r>
      <w:r>
        <w:rPr>
          <w:spacing w:val="-3"/>
          <w:sz w:val="24"/>
        </w:rPr>
        <w:t>in  </w:t>
      </w:r>
      <w:r>
        <w:rPr>
          <w:sz w:val="24"/>
        </w:rPr>
        <w:t>feces of  </w:t>
      </w:r>
      <w:r>
        <w:rPr>
          <w:spacing w:val="53"/>
          <w:sz w:val="24"/>
        </w:rPr>
        <w:t> </w:t>
      </w:r>
      <w:r>
        <w:rPr>
          <w:sz w:val="24"/>
        </w:rPr>
        <w:t>diarrheic</w:t>
      </w:r>
    </w:p>
    <w:p>
      <w:pPr>
        <w:pStyle w:val="ListParagraph"/>
        <w:numPr>
          <w:ilvl w:val="0"/>
          <w:numId w:val="26"/>
        </w:numPr>
        <w:tabs>
          <w:tab w:pos="1403" w:val="left" w:leader="none"/>
          <w:tab w:pos="1404" w:val="left" w:leader="none"/>
        </w:tabs>
        <w:spacing w:line="240" w:lineRule="auto" w:before="125" w:after="0"/>
        <w:ind w:left="1403" w:right="0" w:hanging="1292"/>
        <w:jc w:val="left"/>
        <w:rPr>
          <w:sz w:val="24"/>
        </w:rPr>
      </w:pPr>
      <w:r>
        <w:rPr>
          <w:sz w:val="24"/>
        </w:rPr>
        <w:t>dogs. </w:t>
      </w:r>
      <w:r>
        <w:rPr>
          <w:i/>
          <w:sz w:val="24"/>
        </w:rPr>
        <w:t>Vet Microbiol </w:t>
      </w:r>
      <w:r>
        <w:rPr>
          <w:sz w:val="24"/>
        </w:rPr>
        <w:t>43,</w:t>
      </w:r>
      <w:r>
        <w:rPr>
          <w:spacing w:val="-4"/>
          <w:sz w:val="24"/>
        </w:rPr>
        <w:t> </w:t>
      </w:r>
      <w:r>
        <w:rPr>
          <w:sz w:val="24"/>
        </w:rPr>
        <w:t>315-323.</w:t>
      </w:r>
    </w:p>
    <w:p>
      <w:pPr>
        <w:pStyle w:val="BodyText"/>
        <w:rPr>
          <w:rFonts w:ascii="Times New Roman"/>
          <w:sz w:val="30"/>
        </w:rPr>
      </w:pPr>
    </w:p>
    <w:p>
      <w:pPr>
        <w:spacing w:before="1"/>
        <w:ind w:left="111" w:right="0" w:firstLine="0"/>
        <w:jc w:val="left"/>
        <w:rPr>
          <w:rFonts w:ascii="Calibri"/>
          <w:sz w:val="22"/>
        </w:rPr>
      </w:pPr>
      <w:r>
        <w:rPr>
          <w:rFonts w:ascii="Calibri"/>
          <w:sz w:val="22"/>
        </w:rPr>
        <w:t>11</w:t>
      </w:r>
    </w:p>
    <w:p>
      <w:pPr>
        <w:pStyle w:val="BodyText"/>
        <w:spacing w:before="4"/>
        <w:rPr>
          <w:rFonts w:ascii="Calibri"/>
          <w:sz w:val="28"/>
        </w:rPr>
      </w:pPr>
    </w:p>
    <w:p>
      <w:pPr>
        <w:spacing w:before="0"/>
        <w:ind w:left="111" w:right="0" w:firstLine="0"/>
        <w:jc w:val="left"/>
        <w:rPr>
          <w:rFonts w:ascii="Calibri"/>
          <w:sz w:val="22"/>
        </w:rPr>
      </w:pPr>
      <w:r>
        <w:rPr>
          <w:rFonts w:ascii="Calibri"/>
          <w:sz w:val="22"/>
        </w:rPr>
        <w:t>12</w:t>
      </w:r>
    </w:p>
    <w:p>
      <w:pPr>
        <w:pStyle w:val="BodyText"/>
        <w:spacing w:before="4"/>
        <w:rPr>
          <w:rFonts w:ascii="Calibri"/>
          <w:sz w:val="28"/>
        </w:rPr>
      </w:pPr>
    </w:p>
    <w:p>
      <w:pPr>
        <w:spacing w:before="0"/>
        <w:ind w:left="111" w:right="0" w:firstLine="0"/>
        <w:jc w:val="left"/>
        <w:rPr>
          <w:rFonts w:ascii="Calibri"/>
          <w:sz w:val="22"/>
        </w:rPr>
      </w:pPr>
      <w:r>
        <w:rPr>
          <w:rFonts w:ascii="Calibri"/>
          <w:sz w:val="22"/>
        </w:rPr>
        <w:t>13</w:t>
      </w:r>
    </w:p>
    <w:p>
      <w:pPr>
        <w:pStyle w:val="BodyText"/>
        <w:spacing w:before="4"/>
        <w:rPr>
          <w:rFonts w:ascii="Calibri"/>
          <w:sz w:val="28"/>
        </w:rPr>
      </w:pPr>
    </w:p>
    <w:p>
      <w:pPr>
        <w:spacing w:before="0"/>
        <w:ind w:left="111" w:right="0" w:firstLine="0"/>
        <w:jc w:val="left"/>
        <w:rPr>
          <w:rFonts w:ascii="Calibri"/>
          <w:sz w:val="22"/>
        </w:rPr>
      </w:pPr>
      <w:r>
        <w:rPr>
          <w:rFonts w:ascii="Calibri"/>
          <w:sz w:val="22"/>
        </w:rPr>
        <w:t>14</w:t>
      </w:r>
    </w:p>
    <w:p>
      <w:pPr>
        <w:pStyle w:val="BodyText"/>
        <w:spacing w:before="4"/>
        <w:rPr>
          <w:rFonts w:ascii="Calibri"/>
          <w:sz w:val="28"/>
        </w:rPr>
      </w:pPr>
    </w:p>
    <w:p>
      <w:pPr>
        <w:spacing w:before="0"/>
        <w:ind w:left="111" w:right="0" w:firstLine="0"/>
        <w:jc w:val="left"/>
        <w:rPr>
          <w:rFonts w:ascii="Calibri"/>
          <w:sz w:val="22"/>
        </w:rPr>
      </w:pPr>
      <w:r>
        <w:rPr>
          <w:rFonts w:ascii="Calibri"/>
          <w:sz w:val="22"/>
        </w:rPr>
        <w:t>15</w:t>
      </w:r>
    </w:p>
    <w:p>
      <w:pPr>
        <w:pStyle w:val="BodyText"/>
        <w:spacing w:before="4"/>
        <w:rPr>
          <w:rFonts w:ascii="Calibri"/>
          <w:sz w:val="28"/>
        </w:rPr>
      </w:pPr>
    </w:p>
    <w:p>
      <w:pPr>
        <w:spacing w:before="0"/>
        <w:ind w:left="111" w:right="0" w:firstLine="0"/>
        <w:jc w:val="left"/>
        <w:rPr>
          <w:rFonts w:ascii="Calibri"/>
          <w:sz w:val="22"/>
        </w:rPr>
      </w:pPr>
      <w:r>
        <w:rPr>
          <w:rFonts w:ascii="Calibri"/>
          <w:sz w:val="22"/>
        </w:rPr>
        <w:t>16</w:t>
      </w:r>
    </w:p>
    <w:p>
      <w:pPr>
        <w:pStyle w:val="BodyText"/>
        <w:spacing w:before="11"/>
        <w:rPr>
          <w:rFonts w:ascii="Calibri"/>
          <w:sz w:val="27"/>
        </w:rPr>
      </w:pPr>
    </w:p>
    <w:p>
      <w:pPr>
        <w:spacing w:before="0"/>
        <w:ind w:left="111" w:right="0" w:firstLine="0"/>
        <w:jc w:val="left"/>
        <w:rPr>
          <w:rFonts w:ascii="Calibri"/>
          <w:sz w:val="22"/>
        </w:rPr>
      </w:pPr>
      <w:r>
        <w:rPr>
          <w:rFonts w:ascii="Calibri"/>
          <w:sz w:val="22"/>
        </w:rPr>
        <w:t>17</w:t>
      </w:r>
    </w:p>
    <w:p>
      <w:pPr>
        <w:pStyle w:val="BodyText"/>
        <w:spacing w:before="4"/>
        <w:rPr>
          <w:rFonts w:ascii="Calibri"/>
          <w:sz w:val="28"/>
        </w:rPr>
      </w:pPr>
    </w:p>
    <w:p>
      <w:pPr>
        <w:spacing w:before="0"/>
        <w:ind w:left="111" w:right="0" w:firstLine="0"/>
        <w:jc w:val="left"/>
        <w:rPr>
          <w:rFonts w:ascii="Calibri"/>
          <w:sz w:val="22"/>
        </w:rPr>
      </w:pPr>
      <w:r>
        <w:rPr>
          <w:rFonts w:ascii="Calibri"/>
          <w:sz w:val="22"/>
        </w:rPr>
        <w:t>18</w:t>
      </w:r>
    </w:p>
    <w:p>
      <w:pPr>
        <w:pStyle w:val="BodyText"/>
        <w:spacing w:before="4"/>
        <w:rPr>
          <w:rFonts w:ascii="Calibri"/>
          <w:sz w:val="28"/>
        </w:rPr>
      </w:pPr>
    </w:p>
    <w:p>
      <w:pPr>
        <w:spacing w:before="0"/>
        <w:ind w:left="111" w:right="0" w:firstLine="0"/>
        <w:jc w:val="left"/>
        <w:rPr>
          <w:rFonts w:ascii="Calibri"/>
          <w:sz w:val="22"/>
        </w:rPr>
      </w:pPr>
      <w:r>
        <w:rPr>
          <w:rFonts w:ascii="Calibri"/>
          <w:sz w:val="22"/>
        </w:rPr>
        <w:t>19</w:t>
      </w:r>
    </w:p>
    <w:p>
      <w:pPr>
        <w:pStyle w:val="BodyText"/>
        <w:spacing w:before="4"/>
        <w:rPr>
          <w:rFonts w:ascii="Calibri"/>
          <w:sz w:val="28"/>
        </w:rPr>
      </w:pPr>
    </w:p>
    <w:p>
      <w:pPr>
        <w:spacing w:before="0"/>
        <w:ind w:left="111" w:right="0" w:firstLine="0"/>
        <w:jc w:val="left"/>
        <w:rPr>
          <w:rFonts w:ascii="Calibri"/>
          <w:sz w:val="22"/>
        </w:rPr>
      </w:pPr>
      <w:r>
        <w:rPr>
          <w:rFonts w:ascii="Calibri"/>
          <w:sz w:val="22"/>
        </w:rPr>
        <w:t>20</w:t>
      </w:r>
    </w:p>
    <w:p>
      <w:pPr>
        <w:pStyle w:val="BodyText"/>
        <w:spacing w:before="9"/>
        <w:rPr>
          <w:rFonts w:ascii="Calibri"/>
          <w:sz w:val="28"/>
        </w:rPr>
      </w:pPr>
    </w:p>
    <w:p>
      <w:pPr>
        <w:spacing w:before="0"/>
        <w:ind w:left="111" w:right="0" w:firstLine="0"/>
        <w:jc w:val="left"/>
        <w:rPr>
          <w:rFonts w:ascii="Calibri"/>
          <w:sz w:val="22"/>
        </w:rPr>
      </w:pPr>
      <w:r>
        <w:rPr>
          <w:rFonts w:ascii="Calibri"/>
          <w:sz w:val="22"/>
        </w:rPr>
        <w:t>21</w:t>
      </w:r>
    </w:p>
    <w:p>
      <w:pPr>
        <w:spacing w:before="144"/>
        <w:ind w:left="111" w:right="0" w:firstLine="0"/>
        <w:jc w:val="left"/>
        <w:rPr>
          <w:rFonts w:ascii="Calibri"/>
          <w:sz w:val="22"/>
        </w:rPr>
      </w:pPr>
      <w:r>
        <w:rPr>
          <w:rFonts w:ascii="Calibri"/>
          <w:sz w:val="22"/>
        </w:rPr>
        <w:t>22</w:t>
      </w:r>
    </w:p>
    <w:p>
      <w:pPr>
        <w:spacing w:after="0"/>
        <w:jc w:val="left"/>
        <w:rPr>
          <w:rFonts w:ascii="Calibri"/>
          <w:sz w:val="22"/>
        </w:rPr>
        <w:sectPr>
          <w:pgSz w:w="12240" w:h="15840"/>
          <w:pgMar w:header="1154" w:footer="1713" w:top="1520" w:bottom="1900" w:left="1180" w:right="1380"/>
        </w:sectPr>
      </w:pPr>
    </w:p>
    <w:p>
      <w:pPr>
        <w:pStyle w:val="BodyText"/>
        <w:spacing w:before="1"/>
        <w:rPr>
          <w:rFonts w:ascii="Calibri"/>
          <w:sz w:val="19"/>
        </w:rPr>
      </w:pPr>
    </w:p>
    <w:p>
      <w:pPr>
        <w:spacing w:before="56"/>
        <w:ind w:left="102" w:right="0" w:firstLine="0"/>
        <w:jc w:val="left"/>
        <w:rPr>
          <w:rFonts w:ascii="Calibri"/>
          <w:sz w:val="22"/>
        </w:rPr>
      </w:pPr>
      <w:r>
        <w:rPr>
          <w:rFonts w:ascii="Calibri"/>
          <w:w w:val="100"/>
          <w:sz w:val="22"/>
        </w:rPr>
        <w:t>1</w:t>
      </w:r>
    </w:p>
    <w:p>
      <w:pPr>
        <w:pStyle w:val="BodyText"/>
        <w:spacing w:before="11"/>
        <w:rPr>
          <w:rFonts w:ascii="Calibri"/>
          <w:sz w:val="17"/>
        </w:rPr>
      </w:pPr>
      <w:r>
        <w:rPr/>
        <w:drawing>
          <wp:anchor distT="0" distB="0" distL="0" distR="0" allowOverlap="1" layoutInCell="1" locked="0" behindDoc="0" simplePos="0" relativeHeight="1168">
            <wp:simplePos x="0" y="0"/>
            <wp:positionH relativeFrom="page">
              <wp:posOffset>1743964</wp:posOffset>
            </wp:positionH>
            <wp:positionV relativeFrom="paragraph">
              <wp:posOffset>163905</wp:posOffset>
            </wp:positionV>
            <wp:extent cx="4476568" cy="2857500"/>
            <wp:effectExtent l="0" t="0" r="0" b="0"/>
            <wp:wrapTopAndBottom/>
            <wp:docPr id="25" name="image7.jpeg" descr=""/>
            <wp:cNvGraphicFramePr>
              <a:graphicFrameLocks noChangeAspect="1"/>
            </wp:cNvGraphicFramePr>
            <a:graphic>
              <a:graphicData uri="http://schemas.openxmlformats.org/drawingml/2006/picture">
                <pic:pic>
                  <pic:nvPicPr>
                    <pic:cNvPr id="26" name="image7.jpeg"/>
                    <pic:cNvPicPr/>
                  </pic:nvPicPr>
                  <pic:blipFill>
                    <a:blip r:embed="rId26" cstate="print"/>
                    <a:stretch>
                      <a:fillRect/>
                    </a:stretch>
                  </pic:blipFill>
                  <pic:spPr>
                    <a:xfrm>
                      <a:off x="0" y="0"/>
                      <a:ext cx="4476568" cy="2857500"/>
                    </a:xfrm>
                    <a:prstGeom prst="rect">
                      <a:avLst/>
                    </a:prstGeom>
                  </pic:spPr>
                </pic:pic>
              </a:graphicData>
            </a:graphic>
          </wp:anchor>
        </w:drawing>
      </w:r>
    </w:p>
    <w:p>
      <w:pPr>
        <w:pStyle w:val="BodyText"/>
        <w:rPr>
          <w:rFonts w:ascii="Calibri"/>
          <w:sz w:val="31"/>
        </w:rPr>
      </w:pPr>
    </w:p>
    <w:p>
      <w:pPr>
        <w:spacing w:line="240" w:lineRule="auto" w:before="0"/>
        <w:ind w:left="1076" w:right="655" w:firstLine="0"/>
        <w:jc w:val="both"/>
        <w:rPr>
          <w:rFonts w:ascii="Times New Roman" w:hAnsi="Times New Roman"/>
          <w:sz w:val="22"/>
        </w:rPr>
      </w:pPr>
      <w:r>
        <w:rPr>
          <w:rFonts w:ascii="Times New Roman" w:hAnsi="Times New Roman"/>
          <w:sz w:val="22"/>
        </w:rPr>
        <w:t>Figura 1. Resultados de encuestas realizadas a Médicos veterinarios sobre los procedimientos de diagnóstico que utilizan para confirmar una infección por PVC-2. (HC)= Historia clínica, (EFG)= Examen Físico General, (HG)=Hemograma, (IC)= Inmunocromatografía, (PCR)= Reacción en cadena de polimerasa.</w:t>
      </w:r>
    </w:p>
    <w:p>
      <w:pPr>
        <w:pStyle w:val="BodyText"/>
        <w:spacing w:before="2"/>
        <w:rPr>
          <w:rFonts w:ascii="Times New Roman"/>
          <w:sz w:val="22"/>
        </w:rPr>
      </w:pPr>
    </w:p>
    <w:p>
      <w:pPr>
        <w:spacing w:line="240" w:lineRule="auto" w:before="1"/>
        <w:ind w:left="1076" w:right="656" w:firstLine="0"/>
        <w:jc w:val="both"/>
        <w:rPr>
          <w:rFonts w:ascii="Times New Roman"/>
          <w:sz w:val="22"/>
        </w:rPr>
      </w:pPr>
      <w:r>
        <w:rPr>
          <w:rFonts w:ascii="Times New Roman"/>
          <w:sz w:val="22"/>
        </w:rPr>
        <w:t>Results from a clinical questionnaire applied to veterinary medical professionals to find the diagnostic tool used by them to asses CPV-2. (HC) = Medical History (EFG) = General Physical Examination (HG) = Counted Blood Cell (IC) = immunochromatography (PCR) = polymerase chain reaction.</w:t>
      </w: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8"/>
        <w:rPr>
          <w:rFonts w:ascii="Times New Roman"/>
          <w:sz w:val="20"/>
        </w:rPr>
      </w:pPr>
    </w:p>
    <w:p>
      <w:pPr>
        <w:spacing w:before="1"/>
        <w:ind w:left="102" w:right="0" w:firstLine="0"/>
        <w:jc w:val="left"/>
        <w:rPr>
          <w:rFonts w:ascii="Calibri"/>
          <w:sz w:val="22"/>
        </w:rPr>
      </w:pPr>
      <w:r>
        <w:rPr>
          <w:rFonts w:ascii="Calibri"/>
          <w:w w:val="100"/>
          <w:sz w:val="22"/>
        </w:rPr>
        <w:t>2</w:t>
      </w:r>
    </w:p>
    <w:p>
      <w:pPr>
        <w:pStyle w:val="BodyText"/>
        <w:spacing w:before="4"/>
        <w:rPr>
          <w:rFonts w:ascii="Calibri"/>
          <w:sz w:val="28"/>
        </w:rPr>
      </w:pPr>
    </w:p>
    <w:p>
      <w:pPr>
        <w:spacing w:before="0"/>
        <w:ind w:left="102" w:right="0" w:firstLine="0"/>
        <w:jc w:val="left"/>
        <w:rPr>
          <w:rFonts w:ascii="Calibri"/>
          <w:sz w:val="22"/>
        </w:rPr>
      </w:pPr>
      <w:r>
        <w:rPr>
          <w:rFonts w:ascii="Calibri"/>
          <w:w w:val="100"/>
          <w:sz w:val="22"/>
        </w:rPr>
        <w:t>3</w:t>
      </w:r>
    </w:p>
    <w:p>
      <w:pPr>
        <w:pStyle w:val="BodyText"/>
        <w:spacing w:before="4"/>
        <w:rPr>
          <w:rFonts w:ascii="Calibri"/>
          <w:sz w:val="28"/>
        </w:rPr>
      </w:pPr>
    </w:p>
    <w:p>
      <w:pPr>
        <w:spacing w:before="0"/>
        <w:ind w:left="102" w:right="0" w:firstLine="0"/>
        <w:jc w:val="left"/>
        <w:rPr>
          <w:rFonts w:ascii="Calibri"/>
          <w:sz w:val="22"/>
        </w:rPr>
      </w:pPr>
      <w:r>
        <w:rPr>
          <w:rFonts w:ascii="Calibri"/>
          <w:w w:val="100"/>
          <w:sz w:val="22"/>
        </w:rPr>
        <w:t>4</w:t>
      </w:r>
    </w:p>
    <w:p>
      <w:pPr>
        <w:pStyle w:val="BodyText"/>
        <w:spacing w:before="4"/>
        <w:rPr>
          <w:rFonts w:ascii="Calibri"/>
          <w:sz w:val="28"/>
        </w:rPr>
      </w:pPr>
    </w:p>
    <w:p>
      <w:pPr>
        <w:spacing w:before="0"/>
        <w:ind w:left="102" w:right="0" w:firstLine="0"/>
        <w:jc w:val="left"/>
        <w:rPr>
          <w:rFonts w:ascii="Calibri"/>
          <w:sz w:val="22"/>
        </w:rPr>
      </w:pPr>
      <w:r>
        <w:rPr>
          <w:rFonts w:ascii="Calibri"/>
          <w:w w:val="100"/>
          <w:sz w:val="22"/>
        </w:rPr>
        <w:t>5</w:t>
      </w:r>
    </w:p>
    <w:p>
      <w:pPr>
        <w:pStyle w:val="BodyText"/>
        <w:spacing w:before="4"/>
        <w:rPr>
          <w:rFonts w:ascii="Calibri"/>
          <w:sz w:val="28"/>
        </w:rPr>
      </w:pPr>
    </w:p>
    <w:p>
      <w:pPr>
        <w:spacing w:before="0"/>
        <w:ind w:left="102" w:right="0" w:firstLine="0"/>
        <w:jc w:val="left"/>
        <w:rPr>
          <w:rFonts w:ascii="Calibri"/>
          <w:sz w:val="22"/>
        </w:rPr>
      </w:pPr>
      <w:r>
        <w:rPr>
          <w:rFonts w:ascii="Calibri"/>
          <w:w w:val="100"/>
          <w:sz w:val="22"/>
        </w:rPr>
        <w:t>6</w:t>
      </w:r>
    </w:p>
    <w:p>
      <w:pPr>
        <w:spacing w:after="0"/>
        <w:jc w:val="left"/>
        <w:rPr>
          <w:rFonts w:ascii="Calibri"/>
          <w:sz w:val="22"/>
        </w:rPr>
        <w:sectPr>
          <w:pgSz w:w="12240" w:h="15840"/>
          <w:pgMar w:header="1154" w:footer="1713" w:top="1520" w:bottom="1900" w:left="1300" w:right="1380"/>
        </w:sectPr>
      </w:pPr>
    </w:p>
    <w:p>
      <w:pPr>
        <w:pStyle w:val="BodyText"/>
        <w:spacing w:before="9"/>
        <w:rPr>
          <w:rFonts w:ascii="Calibri"/>
          <w:sz w:val="18"/>
        </w:rPr>
      </w:pPr>
    </w:p>
    <w:p>
      <w:pPr>
        <w:spacing w:before="56"/>
        <w:ind w:left="0" w:right="9121" w:firstLine="0"/>
        <w:jc w:val="center"/>
        <w:rPr>
          <w:rFonts w:ascii="Calibri"/>
          <w:sz w:val="22"/>
        </w:rPr>
      </w:pPr>
      <w:r>
        <w:rPr>
          <w:rFonts w:ascii="Calibri"/>
          <w:w w:val="100"/>
          <w:sz w:val="22"/>
        </w:rPr>
        <w:t>1</w:t>
      </w:r>
    </w:p>
    <w:p>
      <w:pPr>
        <w:pStyle w:val="BodyText"/>
        <w:spacing w:before="4"/>
        <w:rPr>
          <w:rFonts w:ascii="Calibri"/>
          <w:sz w:val="28"/>
        </w:rPr>
      </w:pPr>
    </w:p>
    <w:p>
      <w:pPr>
        <w:spacing w:before="0"/>
        <w:ind w:left="0" w:right="9121" w:firstLine="0"/>
        <w:jc w:val="center"/>
        <w:rPr>
          <w:rFonts w:ascii="Calibri"/>
          <w:sz w:val="22"/>
        </w:rPr>
      </w:pPr>
      <w:r>
        <w:rPr>
          <w:rFonts w:ascii="Calibri"/>
          <w:w w:val="100"/>
          <w:sz w:val="22"/>
        </w:rPr>
        <w:t>2</w:t>
      </w:r>
    </w:p>
    <w:p>
      <w:pPr>
        <w:pStyle w:val="BodyText"/>
        <w:spacing w:before="4"/>
        <w:rPr>
          <w:rFonts w:ascii="Calibri"/>
          <w:sz w:val="28"/>
        </w:rPr>
      </w:pPr>
    </w:p>
    <w:p>
      <w:pPr>
        <w:spacing w:before="0"/>
        <w:ind w:left="0" w:right="9121" w:firstLine="0"/>
        <w:jc w:val="center"/>
        <w:rPr>
          <w:rFonts w:ascii="Calibri"/>
          <w:sz w:val="22"/>
        </w:rPr>
      </w:pPr>
      <w:r>
        <w:rPr/>
        <w:drawing>
          <wp:anchor distT="0" distB="0" distL="0" distR="0" allowOverlap="1" layoutInCell="1" locked="0" behindDoc="0" simplePos="0" relativeHeight="1192">
            <wp:simplePos x="0" y="0"/>
            <wp:positionH relativeFrom="page">
              <wp:posOffset>2281554</wp:posOffset>
            </wp:positionH>
            <wp:positionV relativeFrom="paragraph">
              <wp:posOffset>14650</wp:posOffset>
            </wp:positionV>
            <wp:extent cx="3424809" cy="2265044"/>
            <wp:effectExtent l="0" t="0" r="0" b="0"/>
            <wp:wrapNone/>
            <wp:docPr id="27" name="image8.jpeg" descr=""/>
            <wp:cNvGraphicFramePr>
              <a:graphicFrameLocks noChangeAspect="1"/>
            </wp:cNvGraphicFramePr>
            <a:graphic>
              <a:graphicData uri="http://schemas.openxmlformats.org/drawingml/2006/picture">
                <pic:pic>
                  <pic:nvPicPr>
                    <pic:cNvPr id="28" name="image8.jpeg"/>
                    <pic:cNvPicPr/>
                  </pic:nvPicPr>
                  <pic:blipFill>
                    <a:blip r:embed="rId27" cstate="print"/>
                    <a:stretch>
                      <a:fillRect/>
                    </a:stretch>
                  </pic:blipFill>
                  <pic:spPr>
                    <a:xfrm>
                      <a:off x="0" y="0"/>
                      <a:ext cx="3424809" cy="2265044"/>
                    </a:xfrm>
                    <a:prstGeom prst="rect">
                      <a:avLst/>
                    </a:prstGeom>
                  </pic:spPr>
                </pic:pic>
              </a:graphicData>
            </a:graphic>
          </wp:anchor>
        </w:drawing>
      </w:r>
      <w:r>
        <w:rPr>
          <w:rFonts w:ascii="Calibri"/>
          <w:w w:val="100"/>
          <w:sz w:val="22"/>
        </w:rPr>
        <w:t>3</w:t>
      </w:r>
    </w:p>
    <w:p>
      <w:pPr>
        <w:pStyle w:val="BodyText"/>
        <w:spacing w:before="4"/>
        <w:rPr>
          <w:rFonts w:ascii="Calibri"/>
          <w:sz w:val="28"/>
        </w:rPr>
      </w:pPr>
    </w:p>
    <w:p>
      <w:pPr>
        <w:spacing w:before="0"/>
        <w:ind w:left="0" w:right="9121" w:firstLine="0"/>
        <w:jc w:val="center"/>
        <w:rPr>
          <w:rFonts w:ascii="Calibri"/>
          <w:sz w:val="22"/>
        </w:rPr>
      </w:pPr>
      <w:r>
        <w:rPr>
          <w:rFonts w:ascii="Calibri"/>
          <w:w w:val="100"/>
          <w:sz w:val="22"/>
        </w:rPr>
        <w:t>4</w:t>
      </w:r>
    </w:p>
    <w:p>
      <w:pPr>
        <w:pStyle w:val="BodyText"/>
        <w:spacing w:before="4"/>
        <w:rPr>
          <w:rFonts w:ascii="Calibri"/>
          <w:sz w:val="28"/>
        </w:rPr>
      </w:pPr>
    </w:p>
    <w:p>
      <w:pPr>
        <w:spacing w:before="0"/>
        <w:ind w:left="0" w:right="9121" w:firstLine="0"/>
        <w:jc w:val="center"/>
        <w:rPr>
          <w:rFonts w:ascii="Calibri"/>
          <w:sz w:val="22"/>
        </w:rPr>
      </w:pPr>
      <w:r>
        <w:rPr>
          <w:rFonts w:ascii="Calibri"/>
          <w:w w:val="100"/>
          <w:sz w:val="22"/>
        </w:rPr>
        <w:t>5</w:t>
      </w:r>
    </w:p>
    <w:p>
      <w:pPr>
        <w:pStyle w:val="BodyText"/>
        <w:spacing w:before="11"/>
        <w:rPr>
          <w:rFonts w:ascii="Calibri"/>
          <w:sz w:val="27"/>
        </w:rPr>
      </w:pPr>
    </w:p>
    <w:p>
      <w:pPr>
        <w:spacing w:before="0"/>
        <w:ind w:left="0" w:right="9121" w:firstLine="0"/>
        <w:jc w:val="center"/>
        <w:rPr>
          <w:rFonts w:ascii="Calibri"/>
          <w:sz w:val="22"/>
        </w:rPr>
      </w:pPr>
      <w:r>
        <w:rPr>
          <w:rFonts w:ascii="Calibri"/>
          <w:w w:val="100"/>
          <w:sz w:val="22"/>
        </w:rPr>
        <w:t>6</w:t>
      </w:r>
    </w:p>
    <w:p>
      <w:pPr>
        <w:pStyle w:val="BodyText"/>
        <w:spacing w:before="8"/>
        <w:rPr>
          <w:rFonts w:ascii="Calibri"/>
          <w:sz w:val="19"/>
        </w:rPr>
      </w:pPr>
    </w:p>
    <w:p>
      <w:pPr>
        <w:spacing w:before="0"/>
        <w:ind w:left="0" w:right="9121" w:firstLine="0"/>
        <w:jc w:val="center"/>
        <w:rPr>
          <w:rFonts w:ascii="Calibri"/>
          <w:sz w:val="22"/>
        </w:rPr>
      </w:pPr>
      <w:r>
        <w:rPr>
          <w:rFonts w:ascii="Calibri"/>
          <w:w w:val="100"/>
          <w:sz w:val="22"/>
        </w:rPr>
        <w:t>7</w:t>
      </w:r>
    </w:p>
    <w:p>
      <w:pPr>
        <w:pStyle w:val="BodyText"/>
        <w:spacing w:before="8"/>
        <w:rPr>
          <w:rFonts w:ascii="Calibri"/>
          <w:sz w:val="19"/>
        </w:rPr>
      </w:pPr>
    </w:p>
    <w:p>
      <w:pPr>
        <w:spacing w:before="1"/>
        <w:ind w:left="0" w:right="9121" w:firstLine="0"/>
        <w:jc w:val="center"/>
        <w:rPr>
          <w:rFonts w:ascii="Calibri"/>
          <w:sz w:val="22"/>
        </w:rPr>
      </w:pPr>
      <w:r>
        <w:rPr>
          <w:rFonts w:ascii="Calibri"/>
          <w:w w:val="100"/>
          <w:sz w:val="22"/>
        </w:rPr>
        <w:t>8</w:t>
      </w:r>
    </w:p>
    <w:p>
      <w:pPr>
        <w:pStyle w:val="BodyText"/>
        <w:spacing w:before="8"/>
        <w:rPr>
          <w:rFonts w:ascii="Calibri"/>
          <w:sz w:val="19"/>
        </w:rPr>
      </w:pPr>
    </w:p>
    <w:p>
      <w:pPr>
        <w:spacing w:before="0"/>
        <w:ind w:left="0" w:right="9121" w:firstLine="0"/>
        <w:jc w:val="center"/>
        <w:rPr>
          <w:rFonts w:ascii="Calibri"/>
          <w:sz w:val="22"/>
        </w:rPr>
      </w:pPr>
      <w:r>
        <w:rPr>
          <w:rFonts w:ascii="Calibri"/>
          <w:w w:val="100"/>
          <w:sz w:val="22"/>
        </w:rPr>
        <w:t>9</w:t>
      </w:r>
    </w:p>
    <w:p>
      <w:pPr>
        <w:pStyle w:val="BodyText"/>
        <w:spacing w:before="8"/>
        <w:rPr>
          <w:rFonts w:ascii="Calibri"/>
          <w:sz w:val="19"/>
        </w:rPr>
      </w:pPr>
    </w:p>
    <w:p>
      <w:pPr>
        <w:spacing w:before="0"/>
        <w:ind w:left="92" w:right="9325" w:firstLine="0"/>
        <w:jc w:val="center"/>
        <w:rPr>
          <w:rFonts w:ascii="Calibri"/>
          <w:sz w:val="22"/>
        </w:rPr>
      </w:pPr>
      <w:r>
        <w:rPr>
          <w:rFonts w:ascii="Calibri"/>
          <w:sz w:val="22"/>
        </w:rPr>
        <w:t>10</w:t>
      </w:r>
    </w:p>
    <w:p>
      <w:pPr>
        <w:pStyle w:val="BodyText"/>
        <w:spacing w:before="6"/>
        <w:rPr>
          <w:rFonts w:ascii="Calibri"/>
          <w:sz w:val="15"/>
        </w:rPr>
      </w:pPr>
    </w:p>
    <w:p>
      <w:pPr>
        <w:spacing w:before="56"/>
        <w:ind w:left="111" w:right="0" w:firstLine="0"/>
        <w:jc w:val="left"/>
        <w:rPr>
          <w:rFonts w:ascii="Calibri"/>
          <w:sz w:val="22"/>
        </w:rPr>
      </w:pPr>
      <w:r>
        <w:rPr>
          <w:rFonts w:ascii="Calibri"/>
          <w:sz w:val="22"/>
        </w:rPr>
        <w:t>11</w:t>
      </w:r>
    </w:p>
    <w:p>
      <w:pPr>
        <w:pStyle w:val="BodyText"/>
        <w:spacing w:line="252" w:lineRule="exact" w:before="14"/>
        <w:ind w:left="1470"/>
        <w:rPr>
          <w:rFonts w:ascii="Times New Roman"/>
        </w:rPr>
      </w:pPr>
      <w:r>
        <w:rPr>
          <w:rFonts w:ascii="Times New Roman"/>
        </w:rPr>
        <w:t>Figura  2.  Gel de  agarosa  2X  corresponde  a  un  PCR  simple, utilizando</w:t>
      </w:r>
    </w:p>
    <w:p>
      <w:pPr>
        <w:pStyle w:val="ListParagraph"/>
        <w:numPr>
          <w:ilvl w:val="0"/>
          <w:numId w:val="27"/>
        </w:numPr>
        <w:tabs>
          <w:tab w:pos="1470" w:val="left" w:leader="none"/>
          <w:tab w:pos="1471" w:val="left" w:leader="none"/>
          <w:tab w:pos="4500" w:val="left" w:leader="none"/>
        </w:tabs>
        <w:spacing w:line="278" w:lineRule="exact" w:before="23" w:after="0"/>
        <w:ind w:left="1470" w:right="925" w:hanging="1359"/>
        <w:jc w:val="left"/>
        <w:rPr>
          <w:sz w:val="24"/>
        </w:rPr>
      </w:pPr>
      <w:r>
        <w:rPr>
          <w:sz w:val="24"/>
        </w:rPr>
        <w:t>iniciadores</w:t>
      </w:r>
      <w:r>
        <w:rPr>
          <w:spacing w:val="54"/>
          <w:sz w:val="24"/>
        </w:rPr>
        <w:t> </w:t>
      </w:r>
      <w:r>
        <w:rPr>
          <w:sz w:val="24"/>
        </w:rPr>
        <w:t>ParvoINT2FB</w:t>
      </w:r>
      <w:r>
        <w:rPr>
          <w:spacing w:val="59"/>
          <w:sz w:val="24"/>
        </w:rPr>
        <w:t> </w:t>
      </w:r>
      <w:r>
        <w:rPr>
          <w:sz w:val="24"/>
        </w:rPr>
        <w:t>y</w:t>
        <w:tab/>
        <w:t>ParvoINT2CR.  En  los  carriles  3,  5</w:t>
      </w:r>
      <w:r>
        <w:rPr>
          <w:spacing w:val="59"/>
          <w:sz w:val="24"/>
        </w:rPr>
        <w:t> </w:t>
      </w:r>
      <w:r>
        <w:rPr>
          <w:sz w:val="24"/>
        </w:rPr>
        <w:t>,7 </w:t>
      </w:r>
      <w:r>
        <w:rPr>
          <w:spacing w:val="3"/>
          <w:sz w:val="24"/>
        </w:rPr>
        <w:t> </w:t>
      </w:r>
      <w:r>
        <w:rPr>
          <w:sz w:val="24"/>
        </w:rPr>
        <w:t>se </w:t>
      </w:r>
      <w:r>
        <w:rPr>
          <w:sz w:val="24"/>
        </w:rPr>
        <w:t>muestran  ejemplos  de  las  amplificaciones  de  algunas  de  las  </w:t>
      </w:r>
      <w:r>
        <w:rPr>
          <w:spacing w:val="53"/>
          <w:sz w:val="24"/>
        </w:rPr>
        <w:t> </w:t>
      </w:r>
      <w:r>
        <w:rPr>
          <w:sz w:val="24"/>
        </w:rPr>
        <w:t>muestras</w:t>
      </w:r>
    </w:p>
    <w:p>
      <w:pPr>
        <w:pStyle w:val="ListParagraph"/>
        <w:numPr>
          <w:ilvl w:val="0"/>
          <w:numId w:val="27"/>
        </w:numPr>
        <w:tabs>
          <w:tab w:pos="1470" w:val="left" w:leader="none"/>
          <w:tab w:pos="1471" w:val="left" w:leader="none"/>
        </w:tabs>
        <w:spacing w:line="270" w:lineRule="exact" w:before="0" w:after="0"/>
        <w:ind w:left="1470" w:right="0" w:hanging="1359"/>
        <w:jc w:val="left"/>
        <w:rPr>
          <w:sz w:val="24"/>
        </w:rPr>
      </w:pPr>
      <w:r>
        <w:rPr>
          <w:sz w:val="24"/>
        </w:rPr>
        <w:t>utilizadas en este trabajo, los fragmentos observados son  de 275</w:t>
      </w:r>
      <w:r>
        <w:rPr>
          <w:spacing w:val="-18"/>
          <w:sz w:val="24"/>
        </w:rPr>
        <w:t> </w:t>
      </w:r>
      <w:r>
        <w:rPr>
          <w:sz w:val="24"/>
        </w:rPr>
        <w:t>pb.</w:t>
      </w:r>
    </w:p>
    <w:p>
      <w:pPr>
        <w:pStyle w:val="ListParagraph"/>
        <w:numPr>
          <w:ilvl w:val="0"/>
          <w:numId w:val="27"/>
        </w:numPr>
        <w:tabs>
          <w:tab w:pos="1470" w:val="left" w:leader="none"/>
          <w:tab w:pos="1471" w:val="left" w:leader="none"/>
          <w:tab w:pos="3017" w:val="left" w:leader="none"/>
          <w:tab w:pos="3727" w:val="left" w:leader="none"/>
          <w:tab w:pos="4721" w:val="left" w:leader="none"/>
          <w:tab w:pos="5268" w:val="left" w:leader="none"/>
          <w:tab w:pos="5883" w:val="left" w:leader="none"/>
          <w:tab w:pos="6776" w:val="left" w:leader="none"/>
          <w:tab w:pos="8409" w:val="left" w:leader="none"/>
        </w:tabs>
        <w:spacing w:line="240" w:lineRule="auto" w:before="141" w:after="0"/>
        <w:ind w:left="1470" w:right="0" w:hanging="1359"/>
        <w:jc w:val="left"/>
        <w:rPr>
          <w:sz w:val="24"/>
        </w:rPr>
      </w:pPr>
      <w:r>
        <w:rPr>
          <w:sz w:val="24"/>
        </w:rPr>
        <w:t>Conventional</w:t>
        <w:tab/>
        <w:t>PCR</w:t>
        <w:tab/>
        <w:t>agarose</w:t>
        <w:tab/>
        <w:t>gel</w:t>
        <w:tab/>
        <w:t>2X,</w:t>
        <w:tab/>
        <w:t>testing</w:t>
        <w:tab/>
        <w:t>ParvoINT2FB</w:t>
        <w:tab/>
        <w:t>and</w:t>
      </w:r>
    </w:p>
    <w:p>
      <w:pPr>
        <w:pStyle w:val="ListParagraph"/>
        <w:numPr>
          <w:ilvl w:val="0"/>
          <w:numId w:val="27"/>
        </w:numPr>
        <w:tabs>
          <w:tab w:pos="1470" w:val="left" w:leader="none"/>
          <w:tab w:pos="1471" w:val="left" w:leader="none"/>
          <w:tab w:pos="3405" w:val="left" w:leader="none"/>
          <w:tab w:pos="4202" w:val="left" w:leader="none"/>
          <w:tab w:pos="4923" w:val="left" w:leader="none"/>
          <w:tab w:pos="5667" w:val="left" w:leader="none"/>
          <w:tab w:pos="6804" w:val="left" w:leader="none"/>
          <w:tab w:pos="7240" w:val="left" w:leader="none"/>
          <w:tab w:pos="7982" w:val="left" w:leader="none"/>
        </w:tabs>
        <w:spacing w:line="163" w:lineRule="auto" w:before="74" w:after="0"/>
        <w:ind w:left="1470" w:right="921" w:hanging="1359"/>
        <w:jc w:val="left"/>
        <w:rPr>
          <w:sz w:val="24"/>
        </w:rPr>
      </w:pPr>
      <w:r>
        <w:rPr>
          <w:sz w:val="24"/>
        </w:rPr>
        <w:t>ParvoINT2CR.</w:t>
        <w:tab/>
        <w:t>Lanes</w:t>
        <w:tab/>
        <w:t>3,5,7</w:t>
        <w:tab/>
        <w:t>show</w:t>
        <w:tab/>
        <w:t>examples</w:t>
        <w:tab/>
        <w:t>of</w:t>
        <w:tab/>
        <w:t>some</w:t>
        <w:tab/>
        <w:t>samples amplifications used </w:t>
      </w:r>
      <w:r>
        <w:rPr>
          <w:spacing w:val="-3"/>
          <w:sz w:val="24"/>
        </w:rPr>
        <w:t>in </w:t>
      </w:r>
      <w:r>
        <w:rPr>
          <w:sz w:val="24"/>
        </w:rPr>
        <w:t>this work, are shown275 </w:t>
      </w:r>
      <w:r>
        <w:rPr>
          <w:spacing w:val="-3"/>
          <w:sz w:val="24"/>
        </w:rPr>
        <w:t>bp </w:t>
      </w:r>
      <w:r>
        <w:rPr>
          <w:sz w:val="24"/>
        </w:rPr>
        <w:t>amplification</w:t>
      </w:r>
      <w:r>
        <w:rPr>
          <w:spacing w:val="-6"/>
          <w:sz w:val="24"/>
        </w:rPr>
        <w:t> </w:t>
      </w:r>
      <w:r>
        <w:rPr>
          <w:sz w:val="24"/>
        </w:rPr>
        <w:t>fragments.</w:t>
      </w:r>
    </w:p>
    <w:p>
      <w:pPr>
        <w:spacing w:before="72"/>
        <w:ind w:left="111" w:right="0" w:firstLine="0"/>
        <w:jc w:val="left"/>
        <w:rPr>
          <w:rFonts w:ascii="Calibri"/>
          <w:sz w:val="22"/>
        </w:rPr>
      </w:pPr>
      <w:r>
        <w:rPr>
          <w:rFonts w:ascii="Calibri"/>
          <w:sz w:val="22"/>
        </w:rPr>
        <w:t>16</w:t>
      </w:r>
    </w:p>
    <w:p>
      <w:pPr>
        <w:pStyle w:val="BodyText"/>
        <w:spacing w:before="8"/>
        <w:rPr>
          <w:rFonts w:ascii="Calibri"/>
          <w:sz w:val="19"/>
        </w:rPr>
      </w:pPr>
    </w:p>
    <w:p>
      <w:pPr>
        <w:spacing w:before="0"/>
        <w:ind w:left="111" w:right="0" w:firstLine="0"/>
        <w:jc w:val="left"/>
        <w:rPr>
          <w:rFonts w:ascii="Calibri"/>
          <w:sz w:val="22"/>
        </w:rPr>
      </w:pPr>
      <w:r>
        <w:rPr>
          <w:rFonts w:ascii="Calibri"/>
          <w:sz w:val="22"/>
        </w:rPr>
        <w:t>17</w:t>
      </w:r>
    </w:p>
    <w:p>
      <w:pPr>
        <w:pStyle w:val="BodyText"/>
        <w:spacing w:before="8"/>
        <w:rPr>
          <w:rFonts w:ascii="Calibri"/>
          <w:sz w:val="19"/>
        </w:rPr>
      </w:pPr>
    </w:p>
    <w:p>
      <w:pPr>
        <w:spacing w:before="1"/>
        <w:ind w:left="111" w:right="0" w:firstLine="0"/>
        <w:jc w:val="left"/>
        <w:rPr>
          <w:rFonts w:ascii="Calibri"/>
          <w:sz w:val="22"/>
        </w:rPr>
      </w:pPr>
      <w:r>
        <w:rPr>
          <w:rFonts w:ascii="Calibri"/>
          <w:sz w:val="22"/>
        </w:rPr>
        <w:t>18</w:t>
      </w:r>
    </w:p>
    <w:p>
      <w:pPr>
        <w:pStyle w:val="BodyText"/>
        <w:spacing w:before="8"/>
        <w:rPr>
          <w:rFonts w:ascii="Calibri"/>
          <w:sz w:val="19"/>
        </w:rPr>
      </w:pPr>
    </w:p>
    <w:p>
      <w:pPr>
        <w:spacing w:before="0"/>
        <w:ind w:left="111" w:right="0" w:firstLine="0"/>
        <w:jc w:val="left"/>
        <w:rPr>
          <w:rFonts w:ascii="Calibri"/>
          <w:sz w:val="22"/>
        </w:rPr>
      </w:pPr>
      <w:r>
        <w:rPr>
          <w:rFonts w:ascii="Calibri"/>
          <w:sz w:val="22"/>
        </w:rPr>
        <w:t>19</w:t>
      </w:r>
    </w:p>
    <w:p>
      <w:pPr>
        <w:pStyle w:val="BodyText"/>
        <w:spacing w:before="8"/>
        <w:rPr>
          <w:rFonts w:ascii="Calibri"/>
          <w:sz w:val="19"/>
        </w:rPr>
      </w:pPr>
    </w:p>
    <w:p>
      <w:pPr>
        <w:spacing w:before="0"/>
        <w:ind w:left="111" w:right="0" w:firstLine="0"/>
        <w:jc w:val="left"/>
        <w:rPr>
          <w:rFonts w:ascii="Calibri"/>
          <w:sz w:val="22"/>
        </w:rPr>
      </w:pPr>
      <w:r>
        <w:rPr>
          <w:rFonts w:ascii="Calibri"/>
          <w:sz w:val="22"/>
        </w:rPr>
        <w:t>20</w:t>
      </w:r>
    </w:p>
    <w:p>
      <w:pPr>
        <w:pStyle w:val="BodyText"/>
        <w:spacing w:before="8"/>
        <w:rPr>
          <w:rFonts w:ascii="Calibri"/>
          <w:sz w:val="19"/>
        </w:rPr>
      </w:pPr>
    </w:p>
    <w:p>
      <w:pPr>
        <w:spacing w:before="0"/>
        <w:ind w:left="111" w:right="0" w:firstLine="0"/>
        <w:jc w:val="left"/>
        <w:rPr>
          <w:rFonts w:ascii="Calibri"/>
          <w:sz w:val="22"/>
        </w:rPr>
      </w:pPr>
      <w:r>
        <w:rPr>
          <w:rFonts w:ascii="Calibri"/>
          <w:sz w:val="22"/>
        </w:rPr>
        <w:t>21</w:t>
      </w:r>
    </w:p>
    <w:p>
      <w:pPr>
        <w:pStyle w:val="BodyText"/>
        <w:spacing w:before="8"/>
        <w:rPr>
          <w:rFonts w:ascii="Calibri"/>
          <w:sz w:val="19"/>
        </w:rPr>
      </w:pPr>
    </w:p>
    <w:p>
      <w:pPr>
        <w:spacing w:before="0"/>
        <w:ind w:left="111" w:right="0" w:firstLine="0"/>
        <w:jc w:val="left"/>
        <w:rPr>
          <w:rFonts w:ascii="Calibri"/>
          <w:sz w:val="22"/>
        </w:rPr>
      </w:pPr>
      <w:r>
        <w:rPr>
          <w:rFonts w:ascii="Calibri"/>
          <w:sz w:val="22"/>
        </w:rPr>
        <w:t>22</w:t>
      </w:r>
    </w:p>
    <w:p>
      <w:pPr>
        <w:spacing w:after="0"/>
        <w:jc w:val="left"/>
        <w:rPr>
          <w:rFonts w:ascii="Calibri"/>
          <w:sz w:val="22"/>
        </w:rPr>
        <w:sectPr>
          <w:pgSz w:w="12240" w:h="15840"/>
          <w:pgMar w:header="1154" w:footer="1713" w:top="1520" w:bottom="1900" w:left="1180" w:right="1380"/>
        </w:sectPr>
      </w:pPr>
    </w:p>
    <w:p>
      <w:pPr>
        <w:pStyle w:val="BodyText"/>
        <w:spacing w:before="2"/>
        <w:rPr>
          <w:rFonts w:ascii="Calibri"/>
          <w:sz w:val="8"/>
        </w:rPr>
      </w:pPr>
      <w:r>
        <w:rPr/>
        <w:pict>
          <v:shape style="position:absolute;margin-left:53.25pt;margin-top:633pt;width:36pt;height:41.25pt;mso-position-horizontal-relative:page;mso-position-vertical-relative:page;z-index:-102280" type="#_x0000_t202" filled="false" stroked="false">
            <v:textbox inset="0,0,0,0">
              <w:txbxContent>
                <w:p>
                  <w:pPr>
                    <w:pStyle w:val="BodyText"/>
                    <w:spacing w:before="8"/>
                    <w:rPr>
                      <w:rFonts w:ascii="Times New Roman"/>
                      <w:sz w:val="20"/>
                    </w:rPr>
                  </w:pPr>
                </w:p>
                <w:p>
                  <w:pPr>
                    <w:spacing w:before="0"/>
                    <w:ind w:left="66" w:right="0" w:firstLine="0"/>
                    <w:jc w:val="center"/>
                    <w:rPr>
                      <w:rFonts w:ascii="Calibri"/>
                      <w:sz w:val="22"/>
                    </w:rPr>
                  </w:pPr>
                  <w:r>
                    <w:rPr>
                      <w:rFonts w:ascii="Calibri"/>
                      <w:w w:val="100"/>
                      <w:sz w:val="22"/>
                    </w:rPr>
                    <w:t>1</w:t>
                  </w:r>
                </w:p>
              </w:txbxContent>
            </v:textbox>
            <w10:wrap type="none"/>
          </v:shape>
        </w:pict>
      </w:r>
      <w:r>
        <w:rPr/>
        <w:pict>
          <v:group style="position:absolute;margin-left:193.729996pt;margin-top:242.690002pt;width:86.3pt;height:1pt;mso-position-horizontal-relative:page;mso-position-vertical-relative:page;z-index:-102256" coordorigin="3875,4854" coordsize="1726,20">
            <v:line style="position:absolute" from="3885,4864" to="4768,4864" stroked="true" strokeweight=".95999pt" strokecolor="#000000"/>
            <v:line style="position:absolute" from="4788,4864" to="5590,4864" stroked="true" strokeweight=".95999pt" strokecolor="#000000"/>
            <w10:wrap type="none"/>
          </v:group>
        </w:pict>
      </w:r>
      <w:r>
        <w:rPr/>
        <w:pict>
          <v:group style="position:absolute;margin-left:193.729996pt;margin-top:281.809998pt;width:86.3pt;height:1pt;mso-position-horizontal-relative:page;mso-position-vertical-relative:page;z-index:-102232" coordorigin="3875,5636" coordsize="1726,20">
            <v:line style="position:absolute" from="3885,5646" to="3904,5646" stroked="true" strokeweight=".95999pt" strokecolor="#000000"/>
            <v:line style="position:absolute" from="3904,5646" to="4768,5646" stroked="true" strokeweight=".95999pt" strokecolor="#000000"/>
            <v:line style="position:absolute" from="4788,5646" to="4807,5646" stroked="true" strokeweight=".95999pt" strokecolor="#000000"/>
            <v:line style="position:absolute" from="4807,5646" to="5590,5646" stroked="true" strokeweight=".95999pt" strokecolor="#000000"/>
            <w10:wrap type="none"/>
          </v:group>
        </w:pict>
      </w:r>
    </w:p>
    <w:p>
      <w:pPr>
        <w:spacing w:line="254" w:lineRule="exact" w:before="90"/>
        <w:ind w:left="1301" w:right="0" w:firstLine="0"/>
        <w:jc w:val="left"/>
        <w:rPr>
          <w:rFonts w:ascii="Times New Roman" w:hAnsi="Times New Roman"/>
          <w:sz w:val="22"/>
        </w:rPr>
      </w:pPr>
      <w:r>
        <w:rPr>
          <w:rFonts w:ascii="Times New Roman" w:hAnsi="Times New Roman"/>
          <w:sz w:val="24"/>
        </w:rPr>
        <w:t>Tabla 1. </w:t>
      </w:r>
      <w:r>
        <w:rPr>
          <w:rFonts w:ascii="Times New Roman" w:hAnsi="Times New Roman"/>
          <w:sz w:val="22"/>
        </w:rPr>
        <w:t>Comparación de sensibilidades de las herramientas diagnósticas. Los números indican las muestras (+) o negativas (-) para parvovirus canino.</w:t>
      </w:r>
    </w:p>
    <w:p>
      <w:pPr>
        <w:spacing w:line="242" w:lineRule="auto" w:before="0"/>
        <w:ind w:left="1301" w:right="0" w:firstLine="0"/>
        <w:jc w:val="left"/>
        <w:rPr>
          <w:rFonts w:ascii="Times New Roman"/>
          <w:sz w:val="22"/>
        </w:rPr>
      </w:pPr>
      <w:r>
        <w:rPr>
          <w:rFonts w:ascii="Times New Roman"/>
          <w:sz w:val="22"/>
        </w:rPr>
        <w:t>Sensitivity comparison and diagnostic tools for canine parvovirus. Numbers indicate positive samples (+), and negative samples  (-) for canine parvovirus.</w:t>
      </w:r>
    </w:p>
    <w:p>
      <w:pPr>
        <w:pStyle w:val="BodyText"/>
        <w:spacing w:before="4"/>
        <w:rPr>
          <w:rFonts w:ascii="Times New Roman"/>
          <w:sz w:val="16"/>
        </w:rPr>
      </w:pPr>
      <w:r>
        <w:rPr/>
        <w:pict>
          <v:shape style="position:absolute;margin-left:113.593918pt;margin-top:11.362692pt;width:202.8pt;height:205.2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99"/>
                    <w:gridCol w:w="505"/>
                    <w:gridCol w:w="903"/>
                    <w:gridCol w:w="821"/>
                    <w:gridCol w:w="728"/>
                  </w:tblGrid>
                  <w:tr>
                    <w:trPr>
                      <w:trHeight w:val="430" w:hRule="exact"/>
                    </w:trPr>
                    <w:tc>
                      <w:tcPr>
                        <w:tcW w:w="4055" w:type="dxa"/>
                        <w:gridSpan w:val="5"/>
                      </w:tcPr>
                      <w:p>
                        <w:pPr>
                          <w:pStyle w:val="TableParagraph"/>
                          <w:spacing w:line="245" w:lineRule="exact"/>
                          <w:ind w:left="1804"/>
                          <w:rPr>
                            <w:rFonts w:ascii="Times New Roman"/>
                            <w:sz w:val="24"/>
                          </w:rPr>
                        </w:pPr>
                        <w:r>
                          <w:rPr>
                            <w:rFonts w:ascii="Times New Roman"/>
                            <w:sz w:val="24"/>
                          </w:rPr>
                          <w:t>PCR Anidada</w:t>
                        </w:r>
                      </w:p>
                    </w:tc>
                  </w:tr>
                  <w:tr>
                    <w:trPr>
                      <w:trHeight w:val="690" w:hRule="exact"/>
                    </w:trPr>
                    <w:tc>
                      <w:tcPr>
                        <w:tcW w:w="1099" w:type="dxa"/>
                      </w:tcPr>
                      <w:p>
                        <w:pPr/>
                      </w:p>
                    </w:tc>
                    <w:tc>
                      <w:tcPr>
                        <w:tcW w:w="505" w:type="dxa"/>
                      </w:tcPr>
                      <w:p>
                        <w:pPr/>
                      </w:p>
                    </w:tc>
                    <w:tc>
                      <w:tcPr>
                        <w:tcW w:w="903" w:type="dxa"/>
                        <w:tcBorders>
                          <w:bottom w:val="single" w:sz="8" w:space="0" w:color="000000"/>
                        </w:tcBorders>
                      </w:tcPr>
                      <w:p>
                        <w:pPr>
                          <w:pStyle w:val="TableParagraph"/>
                          <w:spacing w:before="158"/>
                          <w:ind w:left="1"/>
                          <w:jc w:val="center"/>
                          <w:rPr>
                            <w:rFonts w:ascii="Times New Roman"/>
                            <w:sz w:val="24"/>
                          </w:rPr>
                        </w:pPr>
                        <w:r>
                          <w:rPr>
                            <w:rFonts w:ascii="Times New Roman"/>
                            <w:sz w:val="24"/>
                          </w:rPr>
                          <w:t>+</w:t>
                        </w:r>
                      </w:p>
                    </w:tc>
                    <w:tc>
                      <w:tcPr>
                        <w:tcW w:w="821" w:type="dxa"/>
                        <w:tcBorders>
                          <w:bottom w:val="single" w:sz="8" w:space="0" w:color="000000"/>
                        </w:tcBorders>
                      </w:tcPr>
                      <w:p>
                        <w:pPr>
                          <w:pStyle w:val="TableParagraph"/>
                          <w:spacing w:before="158"/>
                          <w:jc w:val="center"/>
                          <w:rPr>
                            <w:rFonts w:ascii="Times New Roman"/>
                            <w:sz w:val="24"/>
                          </w:rPr>
                        </w:pPr>
                        <w:r>
                          <w:rPr>
                            <w:rFonts w:ascii="Times New Roman"/>
                            <w:w w:val="99"/>
                            <w:sz w:val="24"/>
                          </w:rPr>
                          <w:t>-</w:t>
                        </w:r>
                      </w:p>
                    </w:tc>
                    <w:tc>
                      <w:tcPr>
                        <w:tcW w:w="728" w:type="dxa"/>
                      </w:tcPr>
                      <w:p>
                        <w:pPr/>
                      </w:p>
                    </w:tc>
                  </w:tr>
                  <w:tr>
                    <w:trPr>
                      <w:trHeight w:val="420" w:hRule="exact"/>
                    </w:trPr>
                    <w:tc>
                      <w:tcPr>
                        <w:tcW w:w="1099" w:type="dxa"/>
                      </w:tcPr>
                      <w:p>
                        <w:pPr/>
                      </w:p>
                    </w:tc>
                    <w:tc>
                      <w:tcPr>
                        <w:tcW w:w="505" w:type="dxa"/>
                        <w:tcBorders>
                          <w:right w:val="single" w:sz="8" w:space="0" w:color="000000"/>
                        </w:tcBorders>
                      </w:tcPr>
                      <w:p>
                        <w:pPr>
                          <w:pStyle w:val="TableParagraph"/>
                          <w:spacing w:before="74"/>
                          <w:ind w:right="145"/>
                          <w:jc w:val="right"/>
                          <w:rPr>
                            <w:rFonts w:ascii="Times New Roman"/>
                            <w:sz w:val="24"/>
                          </w:rPr>
                        </w:pPr>
                        <w:r>
                          <w:rPr>
                            <w:rFonts w:ascii="Times New Roman"/>
                            <w:sz w:val="24"/>
                          </w:rPr>
                          <w:t>+</w:t>
                        </w:r>
                      </w:p>
                    </w:tc>
                    <w:tc>
                      <w:tcPr>
                        <w:tcW w:w="903" w:type="dxa"/>
                        <w:tcBorders>
                          <w:top w:val="single" w:sz="8" w:space="0" w:color="000000"/>
                          <w:left w:val="single" w:sz="8" w:space="0" w:color="000000"/>
                          <w:right w:val="single" w:sz="8" w:space="0" w:color="000000"/>
                        </w:tcBorders>
                      </w:tcPr>
                      <w:p>
                        <w:pPr>
                          <w:pStyle w:val="TableParagraph"/>
                          <w:spacing w:before="64"/>
                          <w:ind w:left="244" w:right="239"/>
                          <w:jc w:val="center"/>
                          <w:rPr>
                            <w:rFonts w:ascii="Times New Roman"/>
                            <w:sz w:val="24"/>
                          </w:rPr>
                        </w:pPr>
                        <w:r>
                          <w:rPr>
                            <w:rFonts w:ascii="Times New Roman"/>
                            <w:sz w:val="24"/>
                          </w:rPr>
                          <w:t>146</w:t>
                        </w:r>
                      </w:p>
                    </w:tc>
                    <w:tc>
                      <w:tcPr>
                        <w:tcW w:w="821" w:type="dxa"/>
                        <w:tcBorders>
                          <w:top w:val="single" w:sz="8" w:space="0" w:color="000000"/>
                          <w:left w:val="single" w:sz="8" w:space="0" w:color="000000"/>
                          <w:right w:val="single" w:sz="8" w:space="0" w:color="000000"/>
                        </w:tcBorders>
                      </w:tcPr>
                      <w:p>
                        <w:pPr>
                          <w:pStyle w:val="TableParagraph"/>
                          <w:spacing w:before="64"/>
                          <w:ind w:right="339"/>
                          <w:jc w:val="right"/>
                          <w:rPr>
                            <w:rFonts w:ascii="Times New Roman"/>
                            <w:sz w:val="24"/>
                          </w:rPr>
                        </w:pPr>
                        <w:r>
                          <w:rPr>
                            <w:rFonts w:ascii="Times New Roman"/>
                            <w:sz w:val="24"/>
                          </w:rPr>
                          <w:t>0</w:t>
                        </w:r>
                      </w:p>
                    </w:tc>
                    <w:tc>
                      <w:tcPr>
                        <w:tcW w:w="728" w:type="dxa"/>
                        <w:tcBorders>
                          <w:left w:val="single" w:sz="8" w:space="0" w:color="000000"/>
                        </w:tcBorders>
                      </w:tcPr>
                      <w:p>
                        <w:pPr>
                          <w:pStyle w:val="TableParagraph"/>
                          <w:spacing w:before="74"/>
                          <w:ind w:left="139" w:right="178"/>
                          <w:jc w:val="center"/>
                          <w:rPr>
                            <w:rFonts w:ascii="Times New Roman"/>
                            <w:sz w:val="24"/>
                          </w:rPr>
                        </w:pPr>
                        <w:r>
                          <w:rPr>
                            <w:rFonts w:ascii="Times New Roman"/>
                            <w:sz w:val="24"/>
                          </w:rPr>
                          <w:t>146</w:t>
                        </w:r>
                      </w:p>
                    </w:tc>
                  </w:tr>
                  <w:tr>
                    <w:trPr>
                      <w:trHeight w:val="1239" w:hRule="exact"/>
                    </w:trPr>
                    <w:tc>
                      <w:tcPr>
                        <w:tcW w:w="1099" w:type="dxa"/>
                        <w:textDirection w:val="btLr"/>
                      </w:tcPr>
                      <w:p>
                        <w:pPr>
                          <w:pStyle w:val="TableParagraph"/>
                          <w:spacing w:line="367" w:lineRule="auto" w:before="169"/>
                          <w:ind w:left="237" w:right="57" w:hanging="231"/>
                          <w:rPr>
                            <w:rFonts w:ascii="Times New Roman" w:hAnsi="Times New Roman"/>
                            <w:sz w:val="24"/>
                          </w:rPr>
                        </w:pPr>
                        <w:r>
                          <w:rPr>
                            <w:rFonts w:ascii="Times New Roman" w:hAnsi="Times New Roman"/>
                            <w:w w:val="99"/>
                            <w:sz w:val="24"/>
                          </w:rPr>
                          <w:t>Di</w:t>
                        </w:r>
                        <w:r>
                          <w:rPr>
                            <w:rFonts w:ascii="Times New Roman" w:hAnsi="Times New Roman"/>
                            <w:spacing w:val="-1"/>
                            <w:w w:val="99"/>
                            <w:sz w:val="24"/>
                          </w:rPr>
                          <w:t>a</w:t>
                        </w:r>
                        <w:r>
                          <w:rPr>
                            <w:rFonts w:ascii="Times New Roman" w:hAnsi="Times New Roman"/>
                            <w:w w:val="99"/>
                            <w:sz w:val="24"/>
                          </w:rPr>
                          <w:t>gnó</w:t>
                        </w:r>
                        <w:r>
                          <w:rPr>
                            <w:rFonts w:ascii="Times New Roman" w:hAnsi="Times New Roman"/>
                            <w:spacing w:val="-3"/>
                            <w:w w:val="99"/>
                            <w:sz w:val="24"/>
                          </w:rPr>
                          <w:t>s</w:t>
                        </w:r>
                        <w:r>
                          <w:rPr>
                            <w:rFonts w:ascii="Times New Roman" w:hAnsi="Times New Roman"/>
                            <w:sz w:val="24"/>
                          </w:rPr>
                          <w:t>ti</w:t>
                        </w:r>
                        <w:r>
                          <w:rPr>
                            <w:rFonts w:ascii="Times New Roman" w:hAnsi="Times New Roman"/>
                            <w:spacing w:val="-1"/>
                            <w:sz w:val="24"/>
                          </w:rPr>
                          <w:t>c</w:t>
                        </w:r>
                        <w:r>
                          <w:rPr>
                            <w:rFonts w:ascii="Times New Roman" w:hAnsi="Times New Roman"/>
                            <w:sz w:val="24"/>
                          </w:rPr>
                          <w:t>o </w:t>
                        </w:r>
                        <w:r>
                          <w:rPr>
                            <w:rFonts w:ascii="Times New Roman" w:hAnsi="Times New Roman"/>
                            <w:spacing w:val="-2"/>
                            <w:sz w:val="24"/>
                          </w:rPr>
                          <w:t>C</w:t>
                        </w:r>
                        <w:r>
                          <w:rPr>
                            <w:rFonts w:ascii="Times New Roman" w:hAnsi="Times New Roman"/>
                            <w:sz w:val="24"/>
                          </w:rPr>
                          <w:t>línico</w:t>
                        </w:r>
                      </w:p>
                    </w:tc>
                    <w:tc>
                      <w:tcPr>
                        <w:tcW w:w="505" w:type="dxa"/>
                        <w:tcBorders>
                          <w:right w:val="single" w:sz="8" w:space="0" w:color="000000"/>
                        </w:tcBorders>
                      </w:tcPr>
                      <w:p>
                        <w:pPr>
                          <w:pStyle w:val="TableParagraph"/>
                          <w:rPr>
                            <w:rFonts w:ascii="Times New Roman"/>
                            <w:sz w:val="24"/>
                          </w:rPr>
                        </w:pPr>
                      </w:p>
                      <w:p>
                        <w:pPr>
                          <w:pStyle w:val="TableParagraph"/>
                          <w:spacing w:before="155"/>
                          <w:ind w:right="177"/>
                          <w:jc w:val="right"/>
                          <w:rPr>
                            <w:rFonts w:ascii="Times New Roman"/>
                            <w:sz w:val="24"/>
                          </w:rPr>
                        </w:pPr>
                        <w:r>
                          <w:rPr>
                            <w:rFonts w:ascii="Times New Roman"/>
                            <w:w w:val="99"/>
                            <w:sz w:val="24"/>
                          </w:rPr>
                          <w:t>-</w:t>
                        </w:r>
                      </w:p>
                    </w:tc>
                    <w:tc>
                      <w:tcPr>
                        <w:tcW w:w="903" w:type="dxa"/>
                        <w:tcBorders>
                          <w:left w:val="single" w:sz="8" w:space="0" w:color="000000"/>
                          <w:right w:val="single" w:sz="8" w:space="0" w:color="000000"/>
                        </w:tcBorders>
                      </w:tcPr>
                      <w:p>
                        <w:pPr>
                          <w:pStyle w:val="TableParagraph"/>
                          <w:rPr>
                            <w:rFonts w:ascii="Times New Roman"/>
                            <w:sz w:val="24"/>
                          </w:rPr>
                        </w:pPr>
                      </w:p>
                      <w:p>
                        <w:pPr>
                          <w:pStyle w:val="TableParagraph"/>
                          <w:spacing w:before="155"/>
                          <w:ind w:left="244" w:right="239"/>
                          <w:jc w:val="center"/>
                          <w:rPr>
                            <w:rFonts w:ascii="Times New Roman"/>
                            <w:sz w:val="24"/>
                          </w:rPr>
                        </w:pPr>
                        <w:r>
                          <w:rPr>
                            <w:rFonts w:ascii="Times New Roman"/>
                            <w:sz w:val="24"/>
                          </w:rPr>
                          <w:t>154</w:t>
                        </w:r>
                      </w:p>
                    </w:tc>
                    <w:tc>
                      <w:tcPr>
                        <w:tcW w:w="821" w:type="dxa"/>
                        <w:tcBorders>
                          <w:left w:val="single" w:sz="8" w:space="0" w:color="000000"/>
                          <w:right w:val="single" w:sz="8" w:space="0" w:color="000000"/>
                        </w:tcBorders>
                      </w:tcPr>
                      <w:p>
                        <w:pPr>
                          <w:pStyle w:val="TableParagraph"/>
                          <w:rPr>
                            <w:rFonts w:ascii="Times New Roman"/>
                            <w:sz w:val="24"/>
                          </w:rPr>
                        </w:pPr>
                      </w:p>
                      <w:p>
                        <w:pPr>
                          <w:pStyle w:val="TableParagraph"/>
                          <w:spacing w:before="155"/>
                          <w:ind w:right="281"/>
                          <w:jc w:val="right"/>
                          <w:rPr>
                            <w:rFonts w:ascii="Times New Roman"/>
                            <w:sz w:val="24"/>
                          </w:rPr>
                        </w:pPr>
                        <w:r>
                          <w:rPr>
                            <w:rFonts w:ascii="Times New Roman"/>
                            <w:sz w:val="24"/>
                          </w:rPr>
                          <w:t>51</w:t>
                        </w:r>
                      </w:p>
                    </w:tc>
                    <w:tc>
                      <w:tcPr>
                        <w:tcW w:w="728" w:type="dxa"/>
                        <w:tcBorders>
                          <w:left w:val="single" w:sz="8" w:space="0" w:color="000000"/>
                        </w:tcBorders>
                      </w:tcPr>
                      <w:p>
                        <w:pPr>
                          <w:pStyle w:val="TableParagraph"/>
                          <w:rPr>
                            <w:rFonts w:ascii="Times New Roman"/>
                            <w:sz w:val="24"/>
                          </w:rPr>
                        </w:pPr>
                      </w:p>
                      <w:p>
                        <w:pPr>
                          <w:pStyle w:val="TableParagraph"/>
                          <w:spacing w:before="155"/>
                          <w:ind w:left="139" w:right="178"/>
                          <w:jc w:val="center"/>
                          <w:rPr>
                            <w:rFonts w:ascii="Times New Roman"/>
                            <w:sz w:val="24"/>
                          </w:rPr>
                        </w:pPr>
                        <w:r>
                          <w:rPr>
                            <w:rFonts w:ascii="Times New Roman"/>
                            <w:sz w:val="24"/>
                          </w:rPr>
                          <w:t>205</w:t>
                        </w:r>
                      </w:p>
                    </w:tc>
                  </w:tr>
                  <w:tr>
                    <w:trPr>
                      <w:trHeight w:val="533" w:hRule="exact"/>
                    </w:trPr>
                    <w:tc>
                      <w:tcPr>
                        <w:tcW w:w="1099" w:type="dxa"/>
                      </w:tcPr>
                      <w:p>
                        <w:pPr/>
                      </w:p>
                    </w:tc>
                    <w:tc>
                      <w:tcPr>
                        <w:tcW w:w="505" w:type="dxa"/>
                      </w:tcPr>
                      <w:p>
                        <w:pPr/>
                      </w:p>
                    </w:tc>
                    <w:tc>
                      <w:tcPr>
                        <w:tcW w:w="903" w:type="dxa"/>
                      </w:tcPr>
                      <w:p>
                        <w:pPr>
                          <w:pStyle w:val="TableParagraph"/>
                          <w:spacing w:line="252" w:lineRule="exact"/>
                          <w:ind w:left="254" w:right="249"/>
                          <w:jc w:val="center"/>
                          <w:rPr>
                            <w:rFonts w:ascii="Times New Roman"/>
                            <w:sz w:val="24"/>
                          </w:rPr>
                        </w:pPr>
                        <w:r>
                          <w:rPr>
                            <w:rFonts w:ascii="Times New Roman"/>
                            <w:sz w:val="24"/>
                          </w:rPr>
                          <w:t>300</w:t>
                        </w:r>
                      </w:p>
                    </w:tc>
                    <w:tc>
                      <w:tcPr>
                        <w:tcW w:w="821" w:type="dxa"/>
                      </w:tcPr>
                      <w:p>
                        <w:pPr>
                          <w:pStyle w:val="TableParagraph"/>
                          <w:spacing w:line="252" w:lineRule="exact"/>
                          <w:ind w:right="291"/>
                          <w:jc w:val="right"/>
                          <w:rPr>
                            <w:rFonts w:ascii="Times New Roman"/>
                            <w:sz w:val="24"/>
                          </w:rPr>
                        </w:pPr>
                        <w:r>
                          <w:rPr>
                            <w:rFonts w:ascii="Times New Roman"/>
                            <w:sz w:val="24"/>
                          </w:rPr>
                          <w:t>51</w:t>
                        </w:r>
                      </w:p>
                    </w:tc>
                    <w:tc>
                      <w:tcPr>
                        <w:tcW w:w="728" w:type="dxa"/>
                      </w:tcPr>
                      <w:p>
                        <w:pPr>
                          <w:pStyle w:val="TableParagraph"/>
                          <w:spacing w:line="257" w:lineRule="exact"/>
                          <w:ind w:left="144" w:right="183"/>
                          <w:jc w:val="center"/>
                          <w:rPr>
                            <w:rFonts w:ascii="Times New Roman"/>
                            <w:b/>
                            <w:sz w:val="24"/>
                          </w:rPr>
                        </w:pPr>
                        <w:r>
                          <w:rPr>
                            <w:rFonts w:ascii="Times New Roman"/>
                            <w:b/>
                            <w:sz w:val="24"/>
                          </w:rPr>
                          <w:t>351</w:t>
                        </w:r>
                      </w:p>
                    </w:tc>
                  </w:tr>
                  <w:tr>
                    <w:trPr>
                      <w:trHeight w:val="794" w:hRule="exact"/>
                    </w:trPr>
                    <w:tc>
                      <w:tcPr>
                        <w:tcW w:w="1099" w:type="dxa"/>
                      </w:tcPr>
                      <w:p>
                        <w:pPr/>
                      </w:p>
                    </w:tc>
                    <w:tc>
                      <w:tcPr>
                        <w:tcW w:w="505" w:type="dxa"/>
                      </w:tcPr>
                      <w:p>
                        <w:pPr/>
                      </w:p>
                    </w:tc>
                    <w:tc>
                      <w:tcPr>
                        <w:tcW w:w="2452" w:type="dxa"/>
                        <w:gridSpan w:val="3"/>
                      </w:tcPr>
                      <w:p>
                        <w:pPr>
                          <w:pStyle w:val="TableParagraph"/>
                          <w:spacing w:before="8"/>
                          <w:rPr>
                            <w:rFonts w:ascii="Times New Roman"/>
                            <w:sz w:val="21"/>
                          </w:rPr>
                        </w:pPr>
                      </w:p>
                      <w:p>
                        <w:pPr>
                          <w:pStyle w:val="TableParagraph"/>
                          <w:spacing w:line="275" w:lineRule="exact"/>
                          <w:ind w:left="144"/>
                          <w:rPr>
                            <w:rFonts w:ascii="Times New Roman"/>
                            <w:sz w:val="24"/>
                          </w:rPr>
                        </w:pPr>
                        <w:r>
                          <w:rPr>
                            <w:rFonts w:ascii="Times New Roman"/>
                            <w:sz w:val="24"/>
                          </w:rPr>
                          <w:t>Sensibilidad = 48%</w:t>
                        </w:r>
                      </w:p>
                      <w:p>
                        <w:pPr>
                          <w:pStyle w:val="TableParagraph"/>
                          <w:spacing w:line="275" w:lineRule="exact"/>
                          <w:ind w:left="144"/>
                          <w:rPr>
                            <w:rFonts w:ascii="Times New Roman"/>
                            <w:sz w:val="24"/>
                          </w:rPr>
                        </w:pPr>
                        <w:r>
                          <w:rPr>
                            <w:rFonts w:ascii="Times New Roman"/>
                            <w:sz w:val="24"/>
                          </w:rPr>
                          <w:t>Especificidad =100%</w:t>
                        </w:r>
                      </w:p>
                    </w:tc>
                  </w:tr>
                </w:tbl>
                <w:p>
                  <w:pPr>
                    <w:pStyle w:val="BodyText"/>
                  </w:pPr>
                </w:p>
              </w:txbxContent>
            </v:textbox>
            <w10:wrap type="topAndBottom"/>
          </v:shape>
        </w:pict>
      </w:r>
      <w:r>
        <w:rPr/>
        <w:pict>
          <v:shape style="position:absolute;margin-left:346.483917pt;margin-top:11.842692pt;width:204pt;height:207.6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0"/>
                    <w:gridCol w:w="646"/>
                    <w:gridCol w:w="999"/>
                    <w:gridCol w:w="903"/>
                    <w:gridCol w:w="762"/>
                  </w:tblGrid>
                  <w:tr>
                    <w:trPr>
                      <w:trHeight w:val="439" w:hRule="exact"/>
                    </w:trPr>
                    <w:tc>
                      <w:tcPr>
                        <w:tcW w:w="4080" w:type="dxa"/>
                        <w:gridSpan w:val="5"/>
                      </w:tcPr>
                      <w:p>
                        <w:pPr>
                          <w:pStyle w:val="TableParagraph"/>
                          <w:spacing w:line="245" w:lineRule="exact"/>
                          <w:ind w:left="1704"/>
                          <w:rPr>
                            <w:rFonts w:ascii="Times New Roman"/>
                            <w:sz w:val="24"/>
                          </w:rPr>
                        </w:pPr>
                        <w:r>
                          <w:rPr>
                            <w:rFonts w:ascii="Times New Roman"/>
                            <w:sz w:val="24"/>
                          </w:rPr>
                          <w:t>PCR Anidada</w:t>
                        </w:r>
                      </w:p>
                    </w:tc>
                  </w:tr>
                  <w:tr>
                    <w:trPr>
                      <w:trHeight w:val="704" w:hRule="exact"/>
                    </w:trPr>
                    <w:tc>
                      <w:tcPr>
                        <w:tcW w:w="770" w:type="dxa"/>
                      </w:tcPr>
                      <w:p>
                        <w:pPr/>
                      </w:p>
                    </w:tc>
                    <w:tc>
                      <w:tcPr>
                        <w:tcW w:w="646" w:type="dxa"/>
                      </w:tcPr>
                      <w:p>
                        <w:pPr/>
                      </w:p>
                    </w:tc>
                    <w:tc>
                      <w:tcPr>
                        <w:tcW w:w="999" w:type="dxa"/>
                        <w:tcBorders>
                          <w:bottom w:val="single" w:sz="8" w:space="0" w:color="000000"/>
                        </w:tcBorders>
                      </w:tcPr>
                      <w:p>
                        <w:pPr>
                          <w:pStyle w:val="TableParagraph"/>
                          <w:spacing w:before="168"/>
                          <w:jc w:val="center"/>
                          <w:rPr>
                            <w:rFonts w:ascii="Times New Roman"/>
                            <w:sz w:val="24"/>
                          </w:rPr>
                        </w:pPr>
                        <w:r>
                          <w:rPr>
                            <w:rFonts w:ascii="Times New Roman"/>
                            <w:sz w:val="24"/>
                          </w:rPr>
                          <w:t>+</w:t>
                        </w:r>
                      </w:p>
                    </w:tc>
                    <w:tc>
                      <w:tcPr>
                        <w:tcW w:w="903" w:type="dxa"/>
                        <w:tcBorders>
                          <w:bottom w:val="single" w:sz="8" w:space="0" w:color="000000"/>
                        </w:tcBorders>
                      </w:tcPr>
                      <w:p>
                        <w:pPr>
                          <w:pStyle w:val="TableParagraph"/>
                          <w:spacing w:before="168"/>
                          <w:ind w:right="413"/>
                          <w:jc w:val="right"/>
                          <w:rPr>
                            <w:rFonts w:ascii="Times New Roman"/>
                            <w:sz w:val="24"/>
                          </w:rPr>
                        </w:pPr>
                        <w:r>
                          <w:rPr>
                            <w:rFonts w:ascii="Times New Roman"/>
                            <w:w w:val="99"/>
                            <w:sz w:val="24"/>
                          </w:rPr>
                          <w:t>-</w:t>
                        </w:r>
                      </w:p>
                    </w:tc>
                    <w:tc>
                      <w:tcPr>
                        <w:tcW w:w="762" w:type="dxa"/>
                      </w:tcPr>
                      <w:p>
                        <w:pPr/>
                      </w:p>
                    </w:tc>
                  </w:tr>
                  <w:tr>
                    <w:trPr>
                      <w:trHeight w:val="778" w:hRule="exact"/>
                    </w:trPr>
                    <w:tc>
                      <w:tcPr>
                        <w:tcW w:w="770" w:type="dxa"/>
                        <w:vMerge w:val="restart"/>
                        <w:textDirection w:val="btLr"/>
                      </w:tcPr>
                      <w:p>
                        <w:pPr>
                          <w:pStyle w:val="TableParagraph"/>
                          <w:spacing w:before="169"/>
                          <w:ind w:left="172"/>
                          <w:rPr>
                            <w:rFonts w:ascii="Times New Roman"/>
                            <w:sz w:val="24"/>
                          </w:rPr>
                        </w:pPr>
                        <w:r>
                          <w:rPr>
                            <w:rFonts w:ascii="Times New Roman"/>
                            <w:w w:val="99"/>
                            <w:sz w:val="24"/>
                          </w:rPr>
                          <w:t>H</w:t>
                        </w:r>
                        <w:r>
                          <w:rPr>
                            <w:rFonts w:ascii="Times New Roman"/>
                            <w:spacing w:val="-2"/>
                            <w:w w:val="99"/>
                            <w:sz w:val="24"/>
                          </w:rPr>
                          <w:t>e</w:t>
                        </w:r>
                        <w:r>
                          <w:rPr>
                            <w:rFonts w:ascii="Times New Roman"/>
                            <w:w w:val="99"/>
                            <w:sz w:val="24"/>
                          </w:rPr>
                          <w:t>mog</w:t>
                        </w:r>
                        <w:r>
                          <w:rPr>
                            <w:rFonts w:ascii="Times New Roman"/>
                            <w:spacing w:val="1"/>
                            <w:w w:val="99"/>
                            <w:sz w:val="24"/>
                          </w:rPr>
                          <w:t>r</w:t>
                        </w:r>
                        <w:r>
                          <w:rPr>
                            <w:rFonts w:ascii="Times New Roman"/>
                            <w:spacing w:val="-1"/>
                            <w:w w:val="99"/>
                            <w:sz w:val="24"/>
                          </w:rPr>
                          <w:t>a</w:t>
                        </w:r>
                        <w:r>
                          <w:rPr>
                            <w:rFonts w:ascii="Times New Roman"/>
                            <w:w w:val="99"/>
                            <w:sz w:val="24"/>
                          </w:rPr>
                          <w:t>ma</w:t>
                        </w:r>
                      </w:p>
                    </w:tc>
                    <w:tc>
                      <w:tcPr>
                        <w:tcW w:w="646" w:type="dxa"/>
                        <w:tcBorders>
                          <w:right w:val="single" w:sz="8" w:space="0" w:color="000000"/>
                        </w:tcBorders>
                      </w:tcPr>
                      <w:p>
                        <w:pPr>
                          <w:pStyle w:val="TableParagraph"/>
                          <w:spacing w:before="69"/>
                          <w:ind w:right="169"/>
                          <w:jc w:val="right"/>
                          <w:rPr>
                            <w:rFonts w:ascii="Times New Roman"/>
                            <w:sz w:val="24"/>
                          </w:rPr>
                        </w:pPr>
                        <w:r>
                          <w:rPr>
                            <w:rFonts w:ascii="Times New Roman"/>
                            <w:sz w:val="24"/>
                          </w:rPr>
                          <w:t>+</w:t>
                        </w:r>
                      </w:p>
                    </w:tc>
                    <w:tc>
                      <w:tcPr>
                        <w:tcW w:w="999" w:type="dxa"/>
                        <w:tcBorders>
                          <w:top w:val="single" w:sz="8" w:space="0" w:color="000000"/>
                          <w:left w:val="single" w:sz="8" w:space="0" w:color="000000"/>
                          <w:bottom w:val="single" w:sz="8" w:space="0" w:color="000000"/>
                          <w:right w:val="single" w:sz="8" w:space="0" w:color="000000"/>
                        </w:tcBorders>
                      </w:tcPr>
                      <w:p>
                        <w:pPr>
                          <w:pStyle w:val="TableParagraph"/>
                          <w:spacing w:before="59"/>
                          <w:ind w:right="369"/>
                          <w:jc w:val="right"/>
                          <w:rPr>
                            <w:rFonts w:ascii="Times New Roman"/>
                            <w:sz w:val="24"/>
                          </w:rPr>
                        </w:pPr>
                        <w:r>
                          <w:rPr>
                            <w:rFonts w:ascii="Times New Roman"/>
                            <w:sz w:val="24"/>
                          </w:rPr>
                          <w:t>45</w:t>
                        </w:r>
                      </w:p>
                    </w:tc>
                    <w:tc>
                      <w:tcPr>
                        <w:tcW w:w="903" w:type="dxa"/>
                        <w:tcBorders>
                          <w:top w:val="single" w:sz="8" w:space="0" w:color="000000"/>
                          <w:left w:val="single" w:sz="8" w:space="0" w:color="000000"/>
                          <w:bottom w:val="single" w:sz="8" w:space="0" w:color="000000"/>
                          <w:right w:val="single" w:sz="8" w:space="0" w:color="000000"/>
                        </w:tcBorders>
                      </w:tcPr>
                      <w:p>
                        <w:pPr>
                          <w:pStyle w:val="TableParagraph"/>
                          <w:spacing w:before="59"/>
                          <w:ind w:right="382"/>
                          <w:jc w:val="right"/>
                          <w:rPr>
                            <w:rFonts w:ascii="Times New Roman"/>
                            <w:sz w:val="24"/>
                          </w:rPr>
                        </w:pPr>
                        <w:r>
                          <w:rPr>
                            <w:rFonts w:ascii="Times New Roman"/>
                            <w:sz w:val="24"/>
                          </w:rPr>
                          <w:t>0</w:t>
                        </w:r>
                      </w:p>
                    </w:tc>
                    <w:tc>
                      <w:tcPr>
                        <w:tcW w:w="762" w:type="dxa"/>
                        <w:tcBorders>
                          <w:left w:val="single" w:sz="8" w:space="0" w:color="000000"/>
                        </w:tcBorders>
                      </w:tcPr>
                      <w:p>
                        <w:pPr>
                          <w:pStyle w:val="TableParagraph"/>
                          <w:spacing w:before="69"/>
                          <w:ind w:left="235" w:right="236"/>
                          <w:jc w:val="center"/>
                          <w:rPr>
                            <w:rFonts w:ascii="Times New Roman"/>
                            <w:sz w:val="24"/>
                          </w:rPr>
                        </w:pPr>
                        <w:r>
                          <w:rPr>
                            <w:rFonts w:ascii="Times New Roman"/>
                            <w:sz w:val="24"/>
                          </w:rPr>
                          <w:t>45</w:t>
                        </w:r>
                      </w:p>
                    </w:tc>
                  </w:tr>
                  <w:tr>
                    <w:trPr>
                      <w:trHeight w:val="778" w:hRule="exact"/>
                    </w:trPr>
                    <w:tc>
                      <w:tcPr>
                        <w:tcW w:w="770" w:type="dxa"/>
                        <w:vMerge/>
                        <w:textDirection w:val="btLr"/>
                      </w:tcPr>
                      <w:p>
                        <w:pPr/>
                      </w:p>
                    </w:tc>
                    <w:tc>
                      <w:tcPr>
                        <w:tcW w:w="646" w:type="dxa"/>
                        <w:tcBorders>
                          <w:right w:val="single" w:sz="8" w:space="0" w:color="000000"/>
                        </w:tcBorders>
                      </w:tcPr>
                      <w:p>
                        <w:pPr>
                          <w:pStyle w:val="TableParagraph"/>
                          <w:spacing w:before="68"/>
                          <w:ind w:right="201"/>
                          <w:jc w:val="right"/>
                          <w:rPr>
                            <w:rFonts w:ascii="Times New Roman"/>
                            <w:sz w:val="24"/>
                          </w:rPr>
                        </w:pPr>
                        <w:r>
                          <w:rPr>
                            <w:rFonts w:ascii="Times New Roman"/>
                            <w:w w:val="99"/>
                            <w:sz w:val="24"/>
                          </w:rPr>
                          <w:t>-</w:t>
                        </w:r>
                      </w:p>
                    </w:tc>
                    <w:tc>
                      <w:tcPr>
                        <w:tcW w:w="999" w:type="dxa"/>
                        <w:tcBorders>
                          <w:top w:val="single" w:sz="8" w:space="0" w:color="000000"/>
                          <w:left w:val="single" w:sz="8" w:space="0" w:color="000000"/>
                          <w:bottom w:val="single" w:sz="8" w:space="0" w:color="000000"/>
                          <w:right w:val="single" w:sz="8" w:space="0" w:color="000000"/>
                        </w:tcBorders>
                      </w:tcPr>
                      <w:p>
                        <w:pPr>
                          <w:pStyle w:val="TableParagraph"/>
                          <w:spacing w:before="59"/>
                          <w:ind w:right="369"/>
                          <w:jc w:val="right"/>
                          <w:rPr>
                            <w:rFonts w:ascii="Times New Roman"/>
                            <w:sz w:val="24"/>
                          </w:rPr>
                        </w:pPr>
                        <w:r>
                          <w:rPr>
                            <w:rFonts w:ascii="Times New Roman"/>
                            <w:sz w:val="24"/>
                          </w:rPr>
                          <w:t>55</w:t>
                        </w:r>
                      </w:p>
                    </w:tc>
                    <w:tc>
                      <w:tcPr>
                        <w:tcW w:w="903" w:type="dxa"/>
                        <w:tcBorders>
                          <w:top w:val="single" w:sz="8" w:space="0" w:color="000000"/>
                          <w:left w:val="single" w:sz="8" w:space="0" w:color="000000"/>
                          <w:bottom w:val="single" w:sz="8" w:space="0" w:color="000000"/>
                          <w:right w:val="single" w:sz="8" w:space="0" w:color="000000"/>
                        </w:tcBorders>
                      </w:tcPr>
                      <w:p>
                        <w:pPr>
                          <w:pStyle w:val="TableParagraph"/>
                          <w:spacing w:before="59"/>
                          <w:ind w:right="320"/>
                          <w:jc w:val="right"/>
                          <w:rPr>
                            <w:rFonts w:ascii="Times New Roman"/>
                            <w:sz w:val="24"/>
                          </w:rPr>
                        </w:pPr>
                        <w:r>
                          <w:rPr>
                            <w:rFonts w:ascii="Times New Roman"/>
                            <w:sz w:val="24"/>
                          </w:rPr>
                          <w:t>17</w:t>
                        </w:r>
                      </w:p>
                    </w:tc>
                    <w:tc>
                      <w:tcPr>
                        <w:tcW w:w="762" w:type="dxa"/>
                        <w:tcBorders>
                          <w:left w:val="single" w:sz="8" w:space="0" w:color="000000"/>
                        </w:tcBorders>
                      </w:tcPr>
                      <w:p>
                        <w:pPr>
                          <w:pStyle w:val="TableParagraph"/>
                          <w:spacing w:before="68"/>
                          <w:ind w:left="235" w:right="236"/>
                          <w:jc w:val="center"/>
                          <w:rPr>
                            <w:rFonts w:ascii="Times New Roman"/>
                            <w:sz w:val="24"/>
                          </w:rPr>
                        </w:pPr>
                        <w:r>
                          <w:rPr>
                            <w:rFonts w:ascii="Times New Roman"/>
                            <w:sz w:val="24"/>
                          </w:rPr>
                          <w:t>72</w:t>
                        </w:r>
                      </w:p>
                    </w:tc>
                  </w:tr>
                  <w:tr>
                    <w:trPr>
                      <w:trHeight w:val="645" w:hRule="exact"/>
                    </w:trPr>
                    <w:tc>
                      <w:tcPr>
                        <w:tcW w:w="770" w:type="dxa"/>
                      </w:tcPr>
                      <w:p>
                        <w:pPr/>
                      </w:p>
                    </w:tc>
                    <w:tc>
                      <w:tcPr>
                        <w:tcW w:w="646" w:type="dxa"/>
                      </w:tcPr>
                      <w:p>
                        <w:pPr/>
                      </w:p>
                    </w:tc>
                    <w:tc>
                      <w:tcPr>
                        <w:tcW w:w="999" w:type="dxa"/>
                        <w:tcBorders>
                          <w:top w:val="single" w:sz="8" w:space="0" w:color="000000"/>
                        </w:tcBorders>
                      </w:tcPr>
                      <w:p>
                        <w:pPr>
                          <w:pStyle w:val="TableParagraph"/>
                          <w:spacing w:before="69"/>
                          <w:ind w:right="321"/>
                          <w:jc w:val="right"/>
                          <w:rPr>
                            <w:rFonts w:ascii="Times New Roman"/>
                            <w:sz w:val="24"/>
                          </w:rPr>
                        </w:pPr>
                        <w:r>
                          <w:rPr>
                            <w:rFonts w:ascii="Times New Roman"/>
                            <w:sz w:val="24"/>
                          </w:rPr>
                          <w:t>100</w:t>
                        </w:r>
                      </w:p>
                    </w:tc>
                    <w:tc>
                      <w:tcPr>
                        <w:tcW w:w="903" w:type="dxa"/>
                        <w:tcBorders>
                          <w:top w:val="single" w:sz="8" w:space="0" w:color="000000"/>
                        </w:tcBorders>
                      </w:tcPr>
                      <w:p>
                        <w:pPr>
                          <w:pStyle w:val="TableParagraph"/>
                          <w:spacing w:before="69"/>
                          <w:ind w:right="329"/>
                          <w:jc w:val="right"/>
                          <w:rPr>
                            <w:rFonts w:ascii="Times New Roman"/>
                            <w:sz w:val="24"/>
                          </w:rPr>
                        </w:pPr>
                        <w:r>
                          <w:rPr>
                            <w:rFonts w:ascii="Times New Roman"/>
                            <w:sz w:val="24"/>
                          </w:rPr>
                          <w:t>17</w:t>
                        </w:r>
                      </w:p>
                    </w:tc>
                    <w:tc>
                      <w:tcPr>
                        <w:tcW w:w="762" w:type="dxa"/>
                      </w:tcPr>
                      <w:p>
                        <w:pPr>
                          <w:pStyle w:val="TableParagraph"/>
                          <w:spacing w:before="83"/>
                          <w:ind w:left="181" w:right="180"/>
                          <w:jc w:val="center"/>
                          <w:rPr>
                            <w:rFonts w:ascii="Times New Roman"/>
                            <w:b/>
                            <w:sz w:val="24"/>
                          </w:rPr>
                        </w:pPr>
                        <w:r>
                          <w:rPr>
                            <w:rFonts w:ascii="Times New Roman"/>
                            <w:b/>
                            <w:sz w:val="24"/>
                          </w:rPr>
                          <w:t>117</w:t>
                        </w:r>
                      </w:p>
                    </w:tc>
                  </w:tr>
                  <w:tr>
                    <w:trPr>
                      <w:trHeight w:val="809" w:hRule="exact"/>
                    </w:trPr>
                    <w:tc>
                      <w:tcPr>
                        <w:tcW w:w="770" w:type="dxa"/>
                      </w:tcPr>
                      <w:p>
                        <w:pPr/>
                      </w:p>
                    </w:tc>
                    <w:tc>
                      <w:tcPr>
                        <w:tcW w:w="646" w:type="dxa"/>
                      </w:tcPr>
                      <w:p>
                        <w:pPr/>
                      </w:p>
                    </w:tc>
                    <w:tc>
                      <w:tcPr>
                        <w:tcW w:w="2663" w:type="dxa"/>
                        <w:gridSpan w:val="3"/>
                      </w:tcPr>
                      <w:p>
                        <w:pPr>
                          <w:pStyle w:val="TableParagraph"/>
                          <w:spacing w:before="6"/>
                          <w:rPr>
                            <w:rFonts w:ascii="Times New Roman"/>
                            <w:sz w:val="22"/>
                          </w:rPr>
                        </w:pPr>
                      </w:p>
                      <w:p>
                        <w:pPr>
                          <w:pStyle w:val="TableParagraph"/>
                          <w:ind w:left="144"/>
                          <w:rPr>
                            <w:rFonts w:ascii="Times New Roman"/>
                            <w:sz w:val="24"/>
                          </w:rPr>
                        </w:pPr>
                        <w:r>
                          <w:rPr>
                            <w:rFonts w:ascii="Times New Roman"/>
                            <w:sz w:val="24"/>
                          </w:rPr>
                          <w:t>Sensibilidad = 45%</w:t>
                        </w:r>
                      </w:p>
                      <w:p>
                        <w:pPr>
                          <w:pStyle w:val="TableParagraph"/>
                          <w:spacing w:before="2"/>
                          <w:ind w:left="144"/>
                          <w:rPr>
                            <w:rFonts w:ascii="Times New Roman"/>
                            <w:sz w:val="24"/>
                          </w:rPr>
                        </w:pPr>
                        <w:r>
                          <w:rPr>
                            <w:rFonts w:ascii="Times New Roman"/>
                            <w:sz w:val="24"/>
                          </w:rPr>
                          <w:t>Especificidad =100%</w:t>
                        </w:r>
                      </w:p>
                    </w:tc>
                  </w:tr>
                </w:tbl>
                <w:p>
                  <w:pPr>
                    <w:pStyle w:val="BodyText"/>
                  </w:pPr>
                </w:p>
              </w:txbxContent>
            </v:textbox>
            <w10:wrap type="topAndBottom"/>
          </v:shape>
        </w:pict>
      </w:r>
    </w:p>
    <w:p>
      <w:pPr>
        <w:pStyle w:val="BodyText"/>
        <w:rPr>
          <w:rFonts w:ascii="Times New Roman"/>
          <w:sz w:val="20"/>
        </w:rPr>
      </w:pPr>
    </w:p>
    <w:p>
      <w:pPr>
        <w:pStyle w:val="BodyText"/>
        <w:rPr>
          <w:rFonts w:ascii="Times New Roman"/>
          <w:sz w:val="20"/>
        </w:rPr>
      </w:pPr>
    </w:p>
    <w:p>
      <w:pPr>
        <w:pStyle w:val="BodyText"/>
        <w:spacing w:before="9"/>
        <w:rPr>
          <w:rFonts w:ascii="Times New Roman"/>
          <w:sz w:val="23"/>
        </w:rPr>
      </w:pPr>
      <w:r>
        <w:rPr/>
        <w:pict>
          <v:shape style="position:absolute;margin-left:122.233917pt;margin-top:15.631953pt;width:198.7pt;height:197.3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5"/>
                    <w:gridCol w:w="637"/>
                    <w:gridCol w:w="985"/>
                    <w:gridCol w:w="893"/>
                    <w:gridCol w:w="694"/>
                  </w:tblGrid>
                  <w:tr>
                    <w:trPr>
                      <w:trHeight w:val="401" w:hRule="exact"/>
                    </w:trPr>
                    <w:tc>
                      <w:tcPr>
                        <w:tcW w:w="3974" w:type="dxa"/>
                        <w:gridSpan w:val="5"/>
                      </w:tcPr>
                      <w:p>
                        <w:pPr>
                          <w:pStyle w:val="TableParagraph"/>
                          <w:spacing w:line="245" w:lineRule="exact"/>
                          <w:ind w:left="1675"/>
                          <w:rPr>
                            <w:rFonts w:ascii="Times New Roman"/>
                            <w:sz w:val="24"/>
                          </w:rPr>
                        </w:pPr>
                        <w:r>
                          <w:rPr>
                            <w:rFonts w:ascii="Times New Roman"/>
                            <w:sz w:val="24"/>
                          </w:rPr>
                          <w:t>PCR Anidada</w:t>
                        </w:r>
                      </w:p>
                    </w:tc>
                  </w:tr>
                  <w:tr>
                    <w:trPr>
                      <w:trHeight w:val="632" w:hRule="exact"/>
                    </w:trPr>
                    <w:tc>
                      <w:tcPr>
                        <w:tcW w:w="765" w:type="dxa"/>
                      </w:tcPr>
                      <w:p>
                        <w:pPr/>
                      </w:p>
                    </w:tc>
                    <w:tc>
                      <w:tcPr>
                        <w:tcW w:w="637" w:type="dxa"/>
                      </w:tcPr>
                      <w:p>
                        <w:pPr/>
                      </w:p>
                    </w:tc>
                    <w:tc>
                      <w:tcPr>
                        <w:tcW w:w="985" w:type="dxa"/>
                        <w:tcBorders>
                          <w:bottom w:val="single" w:sz="8" w:space="0" w:color="000000"/>
                        </w:tcBorders>
                      </w:tcPr>
                      <w:p>
                        <w:pPr>
                          <w:pStyle w:val="TableParagraph"/>
                          <w:spacing w:before="130"/>
                          <w:ind w:right="1"/>
                          <w:jc w:val="center"/>
                          <w:rPr>
                            <w:rFonts w:ascii="Times New Roman"/>
                            <w:sz w:val="24"/>
                          </w:rPr>
                        </w:pPr>
                        <w:r>
                          <w:rPr>
                            <w:rFonts w:ascii="Times New Roman"/>
                            <w:sz w:val="24"/>
                          </w:rPr>
                          <w:t>+</w:t>
                        </w:r>
                      </w:p>
                    </w:tc>
                    <w:tc>
                      <w:tcPr>
                        <w:tcW w:w="893" w:type="dxa"/>
                        <w:tcBorders>
                          <w:bottom w:val="single" w:sz="8" w:space="0" w:color="000000"/>
                        </w:tcBorders>
                      </w:tcPr>
                      <w:p>
                        <w:pPr>
                          <w:pStyle w:val="TableParagraph"/>
                          <w:spacing w:before="130"/>
                          <w:ind w:right="4"/>
                          <w:jc w:val="center"/>
                          <w:rPr>
                            <w:rFonts w:ascii="Times New Roman"/>
                            <w:sz w:val="24"/>
                          </w:rPr>
                        </w:pPr>
                        <w:r>
                          <w:rPr>
                            <w:rFonts w:ascii="Times New Roman"/>
                            <w:w w:val="99"/>
                            <w:sz w:val="24"/>
                          </w:rPr>
                          <w:t>-</w:t>
                        </w:r>
                      </w:p>
                    </w:tc>
                    <w:tc>
                      <w:tcPr>
                        <w:tcW w:w="694" w:type="dxa"/>
                      </w:tcPr>
                      <w:p>
                        <w:pPr/>
                      </w:p>
                    </w:tc>
                  </w:tr>
                  <w:tr>
                    <w:trPr>
                      <w:trHeight w:val="783" w:hRule="exact"/>
                    </w:trPr>
                    <w:tc>
                      <w:tcPr>
                        <w:tcW w:w="765" w:type="dxa"/>
                        <w:vMerge w:val="restart"/>
                        <w:textDirection w:val="btLr"/>
                      </w:tcPr>
                      <w:p>
                        <w:pPr>
                          <w:pStyle w:val="TableParagraph"/>
                          <w:spacing w:before="169"/>
                          <w:ind w:left="54"/>
                          <w:rPr>
                            <w:rFonts w:ascii="Times New Roman" w:hAnsi="Times New Roman"/>
                            <w:sz w:val="24"/>
                          </w:rPr>
                        </w:pPr>
                        <w:r>
                          <w:rPr>
                            <w:rFonts w:ascii="Times New Roman" w:hAnsi="Times New Roman"/>
                            <w:spacing w:val="1"/>
                            <w:w w:val="99"/>
                            <w:sz w:val="24"/>
                          </w:rPr>
                          <w:t>I</w:t>
                        </w:r>
                        <w:r>
                          <w:rPr>
                            <w:rFonts w:ascii="Times New Roman" w:hAnsi="Times New Roman"/>
                            <w:w w:val="99"/>
                            <w:sz w:val="24"/>
                          </w:rPr>
                          <w:t>nmunoc</w:t>
                        </w:r>
                        <w:r>
                          <w:rPr>
                            <w:rFonts w:ascii="Times New Roman" w:hAnsi="Times New Roman"/>
                            <w:spacing w:val="1"/>
                            <w:w w:val="99"/>
                            <w:sz w:val="24"/>
                          </w:rPr>
                          <w:t>r</w:t>
                        </w:r>
                        <w:r>
                          <w:rPr>
                            <w:rFonts w:ascii="Times New Roman" w:hAnsi="Times New Roman"/>
                            <w:w w:val="99"/>
                            <w:sz w:val="24"/>
                          </w:rPr>
                          <w:t>omatog</w:t>
                        </w:r>
                        <w:r>
                          <w:rPr>
                            <w:rFonts w:ascii="Times New Roman" w:hAnsi="Times New Roman"/>
                            <w:spacing w:val="1"/>
                            <w:w w:val="99"/>
                            <w:sz w:val="24"/>
                          </w:rPr>
                          <w:t>r</w:t>
                        </w:r>
                        <w:r>
                          <w:rPr>
                            <w:rFonts w:ascii="Times New Roman" w:hAnsi="Times New Roman"/>
                            <w:spacing w:val="-1"/>
                            <w:w w:val="99"/>
                            <w:sz w:val="24"/>
                          </w:rPr>
                          <w:t>a</w:t>
                        </w:r>
                        <w:r>
                          <w:rPr>
                            <w:rFonts w:ascii="Times New Roman" w:hAnsi="Times New Roman"/>
                            <w:spacing w:val="1"/>
                            <w:w w:val="99"/>
                            <w:sz w:val="24"/>
                          </w:rPr>
                          <w:t>f</w:t>
                        </w:r>
                        <w:r>
                          <w:rPr>
                            <w:rFonts w:ascii="Times New Roman" w:hAnsi="Times New Roman"/>
                            <w:w w:val="99"/>
                            <w:sz w:val="24"/>
                          </w:rPr>
                          <w:t>ía</w:t>
                        </w:r>
                      </w:p>
                    </w:tc>
                    <w:tc>
                      <w:tcPr>
                        <w:tcW w:w="637" w:type="dxa"/>
                        <w:tcBorders>
                          <w:right w:val="single" w:sz="8" w:space="0" w:color="000000"/>
                        </w:tcBorders>
                      </w:tcPr>
                      <w:p>
                        <w:pPr>
                          <w:pStyle w:val="TableParagraph"/>
                          <w:spacing w:before="74"/>
                          <w:ind w:right="165"/>
                          <w:jc w:val="right"/>
                          <w:rPr>
                            <w:rFonts w:ascii="Times New Roman"/>
                            <w:sz w:val="24"/>
                          </w:rPr>
                        </w:pPr>
                        <w:r>
                          <w:rPr>
                            <w:rFonts w:ascii="Times New Roman"/>
                            <w:sz w:val="24"/>
                          </w:rPr>
                          <w:t>+</w:t>
                        </w:r>
                      </w:p>
                    </w:tc>
                    <w:tc>
                      <w:tcPr>
                        <w:tcW w:w="985" w:type="dxa"/>
                        <w:tcBorders>
                          <w:top w:val="single" w:sz="8" w:space="0" w:color="000000"/>
                          <w:left w:val="single" w:sz="8" w:space="0" w:color="000000"/>
                          <w:bottom w:val="single" w:sz="8" w:space="0" w:color="000000"/>
                          <w:right w:val="single" w:sz="8" w:space="0" w:color="000000"/>
                        </w:tcBorders>
                      </w:tcPr>
                      <w:p>
                        <w:pPr>
                          <w:pStyle w:val="TableParagraph"/>
                          <w:spacing w:before="64"/>
                          <w:ind w:left="341" w:right="343"/>
                          <w:jc w:val="center"/>
                          <w:rPr>
                            <w:rFonts w:ascii="Times New Roman"/>
                            <w:sz w:val="24"/>
                          </w:rPr>
                        </w:pPr>
                        <w:r>
                          <w:rPr>
                            <w:rFonts w:ascii="Times New Roman"/>
                            <w:sz w:val="24"/>
                          </w:rPr>
                          <w:t>31</w:t>
                        </w:r>
                      </w:p>
                    </w:tc>
                    <w:tc>
                      <w:tcPr>
                        <w:tcW w:w="893" w:type="dxa"/>
                        <w:tcBorders>
                          <w:top w:val="single" w:sz="8" w:space="0" w:color="000000"/>
                          <w:left w:val="single" w:sz="8" w:space="0" w:color="000000"/>
                          <w:bottom w:val="single" w:sz="8" w:space="0" w:color="000000"/>
                          <w:right w:val="single" w:sz="8" w:space="0" w:color="000000"/>
                        </w:tcBorders>
                      </w:tcPr>
                      <w:p>
                        <w:pPr>
                          <w:pStyle w:val="TableParagraph"/>
                          <w:spacing w:before="64"/>
                          <w:ind w:right="377"/>
                          <w:jc w:val="right"/>
                          <w:rPr>
                            <w:rFonts w:ascii="Times New Roman"/>
                            <w:sz w:val="24"/>
                          </w:rPr>
                        </w:pPr>
                        <w:r>
                          <w:rPr>
                            <w:rFonts w:ascii="Times New Roman"/>
                            <w:sz w:val="24"/>
                          </w:rPr>
                          <w:t>0</w:t>
                        </w:r>
                      </w:p>
                    </w:tc>
                    <w:tc>
                      <w:tcPr>
                        <w:tcW w:w="694" w:type="dxa"/>
                        <w:tcBorders>
                          <w:left w:val="single" w:sz="8" w:space="0" w:color="000000"/>
                        </w:tcBorders>
                      </w:tcPr>
                      <w:p>
                        <w:pPr>
                          <w:pStyle w:val="TableParagraph"/>
                          <w:spacing w:before="74"/>
                          <w:ind w:right="198"/>
                          <w:jc w:val="right"/>
                          <w:rPr>
                            <w:rFonts w:ascii="Times New Roman"/>
                            <w:sz w:val="24"/>
                          </w:rPr>
                        </w:pPr>
                        <w:r>
                          <w:rPr>
                            <w:rFonts w:ascii="Times New Roman"/>
                            <w:sz w:val="24"/>
                          </w:rPr>
                          <w:t>31</w:t>
                        </w:r>
                      </w:p>
                    </w:tc>
                  </w:tr>
                  <w:tr>
                    <w:trPr>
                      <w:trHeight w:val="778" w:hRule="exact"/>
                    </w:trPr>
                    <w:tc>
                      <w:tcPr>
                        <w:tcW w:w="765" w:type="dxa"/>
                        <w:vMerge/>
                        <w:textDirection w:val="btLr"/>
                      </w:tcPr>
                      <w:p>
                        <w:pPr/>
                      </w:p>
                    </w:tc>
                    <w:tc>
                      <w:tcPr>
                        <w:tcW w:w="637" w:type="dxa"/>
                        <w:tcBorders>
                          <w:right w:val="single" w:sz="8" w:space="0" w:color="000000"/>
                        </w:tcBorders>
                      </w:tcPr>
                      <w:p>
                        <w:pPr>
                          <w:pStyle w:val="TableParagraph"/>
                          <w:spacing w:before="68"/>
                          <w:ind w:right="196"/>
                          <w:jc w:val="right"/>
                          <w:rPr>
                            <w:rFonts w:ascii="Times New Roman"/>
                            <w:sz w:val="24"/>
                          </w:rPr>
                        </w:pPr>
                        <w:r>
                          <w:rPr>
                            <w:rFonts w:ascii="Times New Roman"/>
                            <w:w w:val="99"/>
                            <w:sz w:val="24"/>
                          </w:rPr>
                          <w:t>-</w:t>
                        </w:r>
                      </w:p>
                    </w:tc>
                    <w:tc>
                      <w:tcPr>
                        <w:tcW w:w="985" w:type="dxa"/>
                        <w:tcBorders>
                          <w:top w:val="single" w:sz="8" w:space="0" w:color="000000"/>
                          <w:left w:val="single" w:sz="8" w:space="0" w:color="000000"/>
                          <w:bottom w:val="single" w:sz="8" w:space="0" w:color="000000"/>
                          <w:right w:val="single" w:sz="8" w:space="0" w:color="000000"/>
                        </w:tcBorders>
                      </w:tcPr>
                      <w:p>
                        <w:pPr>
                          <w:pStyle w:val="TableParagraph"/>
                          <w:spacing w:before="59"/>
                          <w:ind w:left="341" w:right="343"/>
                          <w:jc w:val="center"/>
                          <w:rPr>
                            <w:rFonts w:ascii="Times New Roman"/>
                            <w:sz w:val="24"/>
                          </w:rPr>
                        </w:pPr>
                        <w:r>
                          <w:rPr>
                            <w:rFonts w:ascii="Times New Roman"/>
                            <w:sz w:val="24"/>
                          </w:rPr>
                          <w:t>18</w:t>
                        </w:r>
                      </w:p>
                    </w:tc>
                    <w:tc>
                      <w:tcPr>
                        <w:tcW w:w="893" w:type="dxa"/>
                        <w:tcBorders>
                          <w:top w:val="single" w:sz="8" w:space="0" w:color="000000"/>
                          <w:left w:val="single" w:sz="8" w:space="0" w:color="000000"/>
                          <w:bottom w:val="single" w:sz="8" w:space="0" w:color="000000"/>
                          <w:right w:val="single" w:sz="8" w:space="0" w:color="000000"/>
                        </w:tcBorders>
                      </w:tcPr>
                      <w:p>
                        <w:pPr>
                          <w:pStyle w:val="TableParagraph"/>
                          <w:spacing w:before="59"/>
                          <w:ind w:right="315"/>
                          <w:jc w:val="right"/>
                          <w:rPr>
                            <w:rFonts w:ascii="Times New Roman"/>
                            <w:sz w:val="24"/>
                          </w:rPr>
                        </w:pPr>
                        <w:r>
                          <w:rPr>
                            <w:rFonts w:ascii="Times New Roman"/>
                            <w:sz w:val="24"/>
                          </w:rPr>
                          <w:t>11</w:t>
                        </w:r>
                      </w:p>
                    </w:tc>
                    <w:tc>
                      <w:tcPr>
                        <w:tcW w:w="694" w:type="dxa"/>
                        <w:tcBorders>
                          <w:left w:val="single" w:sz="8" w:space="0" w:color="000000"/>
                        </w:tcBorders>
                      </w:tcPr>
                      <w:p>
                        <w:pPr>
                          <w:pStyle w:val="TableParagraph"/>
                          <w:spacing w:before="68"/>
                          <w:ind w:right="198"/>
                          <w:jc w:val="right"/>
                          <w:rPr>
                            <w:rFonts w:ascii="Times New Roman"/>
                            <w:sz w:val="24"/>
                          </w:rPr>
                        </w:pPr>
                        <w:r>
                          <w:rPr>
                            <w:rFonts w:ascii="Times New Roman"/>
                            <w:sz w:val="24"/>
                          </w:rPr>
                          <w:t>29</w:t>
                        </w:r>
                      </w:p>
                    </w:tc>
                  </w:tr>
                  <w:tr>
                    <w:trPr>
                      <w:trHeight w:val="785" w:hRule="exact"/>
                    </w:trPr>
                    <w:tc>
                      <w:tcPr>
                        <w:tcW w:w="765" w:type="dxa"/>
                        <w:vMerge/>
                        <w:textDirection w:val="btLr"/>
                      </w:tcPr>
                      <w:p>
                        <w:pPr/>
                      </w:p>
                    </w:tc>
                    <w:tc>
                      <w:tcPr>
                        <w:tcW w:w="637" w:type="dxa"/>
                      </w:tcPr>
                      <w:p>
                        <w:pPr/>
                      </w:p>
                    </w:tc>
                    <w:tc>
                      <w:tcPr>
                        <w:tcW w:w="985" w:type="dxa"/>
                        <w:tcBorders>
                          <w:top w:val="single" w:sz="8" w:space="0" w:color="000000"/>
                        </w:tcBorders>
                      </w:tcPr>
                      <w:p>
                        <w:pPr>
                          <w:pStyle w:val="TableParagraph"/>
                          <w:spacing w:before="64"/>
                          <w:ind w:left="351" w:right="353"/>
                          <w:jc w:val="center"/>
                          <w:rPr>
                            <w:rFonts w:ascii="Times New Roman"/>
                            <w:sz w:val="24"/>
                          </w:rPr>
                        </w:pPr>
                        <w:r>
                          <w:rPr>
                            <w:rFonts w:ascii="Times New Roman"/>
                            <w:sz w:val="24"/>
                          </w:rPr>
                          <w:t>49</w:t>
                        </w:r>
                      </w:p>
                    </w:tc>
                    <w:tc>
                      <w:tcPr>
                        <w:tcW w:w="893" w:type="dxa"/>
                        <w:tcBorders>
                          <w:top w:val="single" w:sz="8" w:space="0" w:color="000000"/>
                        </w:tcBorders>
                      </w:tcPr>
                      <w:p>
                        <w:pPr>
                          <w:pStyle w:val="TableParagraph"/>
                          <w:spacing w:before="64"/>
                          <w:ind w:right="324"/>
                          <w:jc w:val="right"/>
                          <w:rPr>
                            <w:rFonts w:ascii="Times New Roman"/>
                            <w:sz w:val="24"/>
                          </w:rPr>
                        </w:pPr>
                        <w:r>
                          <w:rPr>
                            <w:rFonts w:ascii="Times New Roman"/>
                            <w:sz w:val="24"/>
                          </w:rPr>
                          <w:t>11</w:t>
                        </w:r>
                      </w:p>
                    </w:tc>
                    <w:tc>
                      <w:tcPr>
                        <w:tcW w:w="694" w:type="dxa"/>
                      </w:tcPr>
                      <w:p>
                        <w:pPr>
                          <w:pStyle w:val="TableParagraph"/>
                          <w:spacing w:before="78"/>
                          <w:ind w:right="202"/>
                          <w:jc w:val="right"/>
                          <w:rPr>
                            <w:rFonts w:ascii="Times New Roman"/>
                            <w:b/>
                            <w:sz w:val="24"/>
                          </w:rPr>
                        </w:pPr>
                        <w:r>
                          <w:rPr>
                            <w:rFonts w:ascii="Times New Roman"/>
                            <w:b/>
                            <w:sz w:val="24"/>
                          </w:rPr>
                          <w:t>60</w:t>
                        </w:r>
                      </w:p>
                    </w:tc>
                  </w:tr>
                  <w:tr>
                    <w:trPr>
                      <w:trHeight w:val="568" w:hRule="exact"/>
                    </w:trPr>
                    <w:tc>
                      <w:tcPr>
                        <w:tcW w:w="765" w:type="dxa"/>
                      </w:tcPr>
                      <w:p>
                        <w:pPr/>
                      </w:p>
                    </w:tc>
                    <w:tc>
                      <w:tcPr>
                        <w:tcW w:w="637" w:type="dxa"/>
                      </w:tcPr>
                      <w:p>
                        <w:pPr/>
                      </w:p>
                    </w:tc>
                    <w:tc>
                      <w:tcPr>
                        <w:tcW w:w="2572" w:type="dxa"/>
                        <w:gridSpan w:val="3"/>
                      </w:tcPr>
                      <w:p>
                        <w:pPr>
                          <w:pStyle w:val="TableParagraph"/>
                          <w:spacing w:line="275" w:lineRule="exact" w:before="23"/>
                          <w:ind w:left="143"/>
                          <w:rPr>
                            <w:rFonts w:ascii="Times New Roman"/>
                            <w:sz w:val="24"/>
                          </w:rPr>
                        </w:pPr>
                        <w:r>
                          <w:rPr>
                            <w:rFonts w:ascii="Times New Roman"/>
                            <w:sz w:val="24"/>
                          </w:rPr>
                          <w:t>Sensibilidad = 63.2%</w:t>
                        </w:r>
                      </w:p>
                      <w:p>
                        <w:pPr>
                          <w:pStyle w:val="TableParagraph"/>
                          <w:spacing w:line="275" w:lineRule="exact"/>
                          <w:ind w:left="143"/>
                          <w:rPr>
                            <w:rFonts w:ascii="Times New Roman"/>
                            <w:sz w:val="24"/>
                          </w:rPr>
                        </w:pPr>
                        <w:r>
                          <w:rPr>
                            <w:rFonts w:ascii="Times New Roman"/>
                            <w:sz w:val="24"/>
                          </w:rPr>
                          <w:t>Especificidad =100%</w:t>
                        </w:r>
                      </w:p>
                    </w:tc>
                  </w:tr>
                </w:tbl>
                <w:p>
                  <w:pPr>
                    <w:pStyle w:val="BodyText"/>
                  </w:pPr>
                </w:p>
              </w:txbxContent>
            </v:textbox>
            <w10:wrap type="topAndBottom"/>
          </v:shape>
        </w:pict>
      </w:r>
      <w:r>
        <w:rPr/>
        <w:pict>
          <v:shape style="position:absolute;margin-left:347.443909pt;margin-top:15.631953pt;width:201.85pt;height:196.15pt;mso-position-horizontal-relative:page;mso-position-vertical-relative:paragraph;z-index:0;mso-wrap-distance-left:0;mso-wrap-distance-right: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77"/>
                    <w:gridCol w:w="630"/>
                    <w:gridCol w:w="984"/>
                    <w:gridCol w:w="893"/>
                    <w:gridCol w:w="752"/>
                  </w:tblGrid>
                  <w:tr>
                    <w:trPr>
                      <w:trHeight w:val="398" w:hRule="exact"/>
                    </w:trPr>
                    <w:tc>
                      <w:tcPr>
                        <w:tcW w:w="4036" w:type="dxa"/>
                        <w:gridSpan w:val="5"/>
                      </w:tcPr>
                      <w:p>
                        <w:pPr>
                          <w:pStyle w:val="TableParagraph"/>
                          <w:spacing w:line="245" w:lineRule="exact"/>
                          <w:ind w:left="1675"/>
                          <w:rPr>
                            <w:rFonts w:ascii="Times New Roman"/>
                            <w:sz w:val="24"/>
                          </w:rPr>
                        </w:pPr>
                        <w:r>
                          <w:rPr>
                            <w:rFonts w:ascii="Times New Roman"/>
                            <w:sz w:val="24"/>
                          </w:rPr>
                          <w:t>PCR Anidada</w:t>
                        </w:r>
                      </w:p>
                    </w:tc>
                  </w:tr>
                  <w:tr>
                    <w:trPr>
                      <w:trHeight w:val="630" w:hRule="exact"/>
                    </w:trPr>
                    <w:tc>
                      <w:tcPr>
                        <w:tcW w:w="777" w:type="dxa"/>
                      </w:tcPr>
                      <w:p>
                        <w:pPr/>
                      </w:p>
                    </w:tc>
                    <w:tc>
                      <w:tcPr>
                        <w:tcW w:w="630" w:type="dxa"/>
                      </w:tcPr>
                      <w:p>
                        <w:pPr/>
                      </w:p>
                    </w:tc>
                    <w:tc>
                      <w:tcPr>
                        <w:tcW w:w="984" w:type="dxa"/>
                        <w:tcBorders>
                          <w:bottom w:val="single" w:sz="8" w:space="0" w:color="000000"/>
                        </w:tcBorders>
                      </w:tcPr>
                      <w:p>
                        <w:pPr>
                          <w:pStyle w:val="TableParagraph"/>
                          <w:spacing w:before="127"/>
                          <w:ind w:right="11"/>
                          <w:jc w:val="center"/>
                          <w:rPr>
                            <w:rFonts w:ascii="Times New Roman"/>
                            <w:sz w:val="24"/>
                          </w:rPr>
                        </w:pPr>
                        <w:r>
                          <w:rPr>
                            <w:rFonts w:ascii="Times New Roman"/>
                            <w:sz w:val="24"/>
                          </w:rPr>
                          <w:t>+</w:t>
                        </w:r>
                      </w:p>
                    </w:tc>
                    <w:tc>
                      <w:tcPr>
                        <w:tcW w:w="893" w:type="dxa"/>
                        <w:tcBorders>
                          <w:bottom w:val="single" w:sz="8" w:space="0" w:color="000000"/>
                        </w:tcBorders>
                      </w:tcPr>
                      <w:p>
                        <w:pPr>
                          <w:pStyle w:val="TableParagraph"/>
                          <w:spacing w:before="127"/>
                          <w:ind w:right="408"/>
                          <w:jc w:val="right"/>
                          <w:rPr>
                            <w:rFonts w:ascii="Times New Roman"/>
                            <w:sz w:val="24"/>
                          </w:rPr>
                        </w:pPr>
                        <w:r>
                          <w:rPr>
                            <w:rFonts w:ascii="Times New Roman"/>
                            <w:w w:val="99"/>
                            <w:sz w:val="24"/>
                          </w:rPr>
                          <w:t>-</w:t>
                        </w:r>
                      </w:p>
                    </w:tc>
                    <w:tc>
                      <w:tcPr>
                        <w:tcW w:w="752" w:type="dxa"/>
                      </w:tcPr>
                      <w:p>
                        <w:pPr/>
                      </w:p>
                    </w:tc>
                  </w:tr>
                  <w:tr>
                    <w:trPr>
                      <w:trHeight w:val="778" w:hRule="exact"/>
                    </w:trPr>
                    <w:tc>
                      <w:tcPr>
                        <w:tcW w:w="777" w:type="dxa"/>
                      </w:tcPr>
                      <w:p>
                        <w:pPr/>
                      </w:p>
                    </w:tc>
                    <w:tc>
                      <w:tcPr>
                        <w:tcW w:w="630" w:type="dxa"/>
                        <w:tcBorders>
                          <w:right w:val="single" w:sz="8" w:space="0" w:color="000000"/>
                        </w:tcBorders>
                      </w:tcPr>
                      <w:p>
                        <w:pPr>
                          <w:pStyle w:val="TableParagraph"/>
                          <w:spacing w:before="69"/>
                          <w:ind w:right="169"/>
                          <w:jc w:val="right"/>
                          <w:rPr>
                            <w:rFonts w:ascii="Times New Roman"/>
                            <w:sz w:val="24"/>
                          </w:rPr>
                        </w:pPr>
                        <w:r>
                          <w:rPr>
                            <w:rFonts w:ascii="Times New Roman"/>
                            <w:sz w:val="24"/>
                          </w:rPr>
                          <w:t>+</w:t>
                        </w:r>
                      </w:p>
                    </w:tc>
                    <w:tc>
                      <w:tcPr>
                        <w:tcW w:w="984" w:type="dxa"/>
                        <w:tcBorders>
                          <w:top w:val="single" w:sz="8" w:space="0" w:color="000000"/>
                          <w:left w:val="single" w:sz="8" w:space="0" w:color="000000"/>
                          <w:bottom w:val="single" w:sz="8" w:space="0" w:color="000000"/>
                          <w:right w:val="single" w:sz="8" w:space="0" w:color="000000"/>
                        </w:tcBorders>
                      </w:tcPr>
                      <w:p>
                        <w:pPr>
                          <w:pStyle w:val="TableParagraph"/>
                          <w:spacing w:before="59"/>
                          <w:ind w:right="369"/>
                          <w:jc w:val="right"/>
                          <w:rPr>
                            <w:rFonts w:ascii="Times New Roman"/>
                            <w:sz w:val="24"/>
                          </w:rPr>
                        </w:pPr>
                        <w:r>
                          <w:rPr>
                            <w:rFonts w:ascii="Times New Roman"/>
                            <w:sz w:val="24"/>
                          </w:rPr>
                          <w:t>83</w:t>
                        </w:r>
                      </w:p>
                    </w:tc>
                    <w:tc>
                      <w:tcPr>
                        <w:tcW w:w="893" w:type="dxa"/>
                        <w:tcBorders>
                          <w:top w:val="single" w:sz="8" w:space="0" w:color="000000"/>
                          <w:left w:val="single" w:sz="8" w:space="0" w:color="000000"/>
                          <w:bottom w:val="single" w:sz="8" w:space="0" w:color="000000"/>
                          <w:right w:val="single" w:sz="8" w:space="0" w:color="000000"/>
                        </w:tcBorders>
                      </w:tcPr>
                      <w:p>
                        <w:pPr>
                          <w:pStyle w:val="TableParagraph"/>
                          <w:spacing w:before="59"/>
                          <w:ind w:right="377"/>
                          <w:jc w:val="right"/>
                          <w:rPr>
                            <w:rFonts w:ascii="Times New Roman"/>
                            <w:sz w:val="24"/>
                          </w:rPr>
                        </w:pPr>
                        <w:r>
                          <w:rPr>
                            <w:rFonts w:ascii="Times New Roman"/>
                            <w:sz w:val="24"/>
                          </w:rPr>
                          <w:t>0</w:t>
                        </w:r>
                      </w:p>
                    </w:tc>
                    <w:tc>
                      <w:tcPr>
                        <w:tcW w:w="752" w:type="dxa"/>
                        <w:tcBorders>
                          <w:left w:val="single" w:sz="8" w:space="0" w:color="000000"/>
                        </w:tcBorders>
                      </w:tcPr>
                      <w:p>
                        <w:pPr>
                          <w:pStyle w:val="TableParagraph"/>
                          <w:spacing w:before="69"/>
                          <w:ind w:right="255"/>
                          <w:jc w:val="right"/>
                          <w:rPr>
                            <w:rFonts w:ascii="Times New Roman"/>
                            <w:sz w:val="24"/>
                          </w:rPr>
                        </w:pPr>
                        <w:r>
                          <w:rPr>
                            <w:rFonts w:ascii="Times New Roman"/>
                            <w:sz w:val="24"/>
                          </w:rPr>
                          <w:t>83</w:t>
                        </w:r>
                      </w:p>
                    </w:tc>
                  </w:tr>
                  <w:tr>
                    <w:trPr>
                      <w:trHeight w:val="778" w:hRule="exact"/>
                    </w:trPr>
                    <w:tc>
                      <w:tcPr>
                        <w:tcW w:w="777" w:type="dxa"/>
                        <w:textDirection w:val="btLr"/>
                      </w:tcPr>
                      <w:p>
                        <w:pPr>
                          <w:pStyle w:val="TableParagraph"/>
                          <w:spacing w:before="169"/>
                          <w:ind w:left="196"/>
                          <w:rPr>
                            <w:rFonts w:ascii="Times New Roman"/>
                            <w:sz w:val="24"/>
                          </w:rPr>
                        </w:pPr>
                        <w:r>
                          <w:rPr>
                            <w:rFonts w:ascii="Times New Roman"/>
                            <w:w w:val="99"/>
                            <w:sz w:val="24"/>
                          </w:rPr>
                          <w:t>P</w:t>
                        </w:r>
                        <w:r>
                          <w:rPr>
                            <w:rFonts w:ascii="Times New Roman"/>
                            <w:spacing w:val="-2"/>
                            <w:sz w:val="24"/>
                          </w:rPr>
                          <w:t>C</w:t>
                        </w:r>
                        <w:r>
                          <w:rPr>
                            <w:rFonts w:ascii="Times New Roman"/>
                            <w:sz w:val="24"/>
                          </w:rPr>
                          <w:t>R</w:t>
                        </w:r>
                      </w:p>
                    </w:tc>
                    <w:tc>
                      <w:tcPr>
                        <w:tcW w:w="630" w:type="dxa"/>
                        <w:tcBorders>
                          <w:right w:val="single" w:sz="8" w:space="0" w:color="000000"/>
                        </w:tcBorders>
                      </w:tcPr>
                      <w:p>
                        <w:pPr>
                          <w:pStyle w:val="TableParagraph"/>
                          <w:spacing w:before="68"/>
                          <w:ind w:right="201"/>
                          <w:jc w:val="right"/>
                          <w:rPr>
                            <w:rFonts w:ascii="Times New Roman"/>
                            <w:sz w:val="24"/>
                          </w:rPr>
                        </w:pPr>
                        <w:r>
                          <w:rPr>
                            <w:rFonts w:ascii="Times New Roman"/>
                            <w:w w:val="99"/>
                            <w:sz w:val="24"/>
                          </w:rPr>
                          <w:t>-</w:t>
                        </w:r>
                      </w:p>
                    </w:tc>
                    <w:tc>
                      <w:tcPr>
                        <w:tcW w:w="984" w:type="dxa"/>
                        <w:tcBorders>
                          <w:top w:val="single" w:sz="8" w:space="0" w:color="000000"/>
                          <w:left w:val="single" w:sz="8" w:space="0" w:color="000000"/>
                          <w:bottom w:val="single" w:sz="8" w:space="0" w:color="000000"/>
                          <w:right w:val="single" w:sz="8" w:space="0" w:color="000000"/>
                        </w:tcBorders>
                      </w:tcPr>
                      <w:p>
                        <w:pPr>
                          <w:pStyle w:val="TableParagraph"/>
                          <w:spacing w:before="59"/>
                          <w:ind w:right="369"/>
                          <w:jc w:val="right"/>
                          <w:rPr>
                            <w:rFonts w:ascii="Times New Roman"/>
                            <w:sz w:val="24"/>
                          </w:rPr>
                        </w:pPr>
                        <w:r>
                          <w:rPr>
                            <w:rFonts w:ascii="Times New Roman"/>
                            <w:sz w:val="24"/>
                          </w:rPr>
                          <w:t>17</w:t>
                        </w:r>
                      </w:p>
                    </w:tc>
                    <w:tc>
                      <w:tcPr>
                        <w:tcW w:w="893" w:type="dxa"/>
                        <w:tcBorders>
                          <w:top w:val="single" w:sz="8" w:space="0" w:color="000000"/>
                          <w:left w:val="single" w:sz="8" w:space="0" w:color="000000"/>
                          <w:bottom w:val="single" w:sz="8" w:space="0" w:color="000000"/>
                          <w:right w:val="single" w:sz="8" w:space="0" w:color="000000"/>
                        </w:tcBorders>
                      </w:tcPr>
                      <w:p>
                        <w:pPr>
                          <w:pStyle w:val="TableParagraph"/>
                          <w:spacing w:before="59"/>
                          <w:ind w:right="315"/>
                          <w:jc w:val="right"/>
                          <w:rPr>
                            <w:rFonts w:ascii="Times New Roman"/>
                            <w:sz w:val="24"/>
                          </w:rPr>
                        </w:pPr>
                        <w:r>
                          <w:rPr>
                            <w:rFonts w:ascii="Times New Roman"/>
                            <w:sz w:val="24"/>
                          </w:rPr>
                          <w:t>17</w:t>
                        </w:r>
                      </w:p>
                    </w:tc>
                    <w:tc>
                      <w:tcPr>
                        <w:tcW w:w="752" w:type="dxa"/>
                        <w:tcBorders>
                          <w:left w:val="single" w:sz="8" w:space="0" w:color="000000"/>
                        </w:tcBorders>
                      </w:tcPr>
                      <w:p>
                        <w:pPr>
                          <w:pStyle w:val="TableParagraph"/>
                          <w:spacing w:before="68"/>
                          <w:ind w:right="255"/>
                          <w:jc w:val="right"/>
                          <w:rPr>
                            <w:rFonts w:ascii="Times New Roman"/>
                            <w:sz w:val="24"/>
                          </w:rPr>
                        </w:pPr>
                        <w:r>
                          <w:rPr>
                            <w:rFonts w:ascii="Times New Roman"/>
                            <w:sz w:val="24"/>
                          </w:rPr>
                          <w:t>34</w:t>
                        </w:r>
                      </w:p>
                    </w:tc>
                  </w:tr>
                  <w:tr>
                    <w:trPr>
                      <w:trHeight w:val="587" w:hRule="exact"/>
                    </w:trPr>
                    <w:tc>
                      <w:tcPr>
                        <w:tcW w:w="777" w:type="dxa"/>
                      </w:tcPr>
                      <w:p>
                        <w:pPr/>
                      </w:p>
                    </w:tc>
                    <w:tc>
                      <w:tcPr>
                        <w:tcW w:w="630" w:type="dxa"/>
                      </w:tcPr>
                      <w:p>
                        <w:pPr/>
                      </w:p>
                    </w:tc>
                    <w:tc>
                      <w:tcPr>
                        <w:tcW w:w="984" w:type="dxa"/>
                        <w:tcBorders>
                          <w:top w:val="single" w:sz="8" w:space="0" w:color="000000"/>
                        </w:tcBorders>
                      </w:tcPr>
                      <w:p>
                        <w:pPr>
                          <w:pStyle w:val="TableParagraph"/>
                          <w:spacing w:before="68"/>
                          <w:ind w:right="315"/>
                          <w:jc w:val="right"/>
                          <w:rPr>
                            <w:rFonts w:ascii="Times New Roman"/>
                            <w:sz w:val="24"/>
                          </w:rPr>
                        </w:pPr>
                        <w:r>
                          <w:rPr>
                            <w:rFonts w:ascii="Times New Roman"/>
                            <w:sz w:val="24"/>
                          </w:rPr>
                          <w:t>100</w:t>
                        </w:r>
                      </w:p>
                    </w:tc>
                    <w:tc>
                      <w:tcPr>
                        <w:tcW w:w="893" w:type="dxa"/>
                        <w:tcBorders>
                          <w:top w:val="single" w:sz="8" w:space="0" w:color="000000"/>
                        </w:tcBorders>
                      </w:tcPr>
                      <w:p>
                        <w:pPr>
                          <w:pStyle w:val="TableParagraph"/>
                          <w:spacing w:before="68"/>
                          <w:ind w:right="326"/>
                          <w:jc w:val="right"/>
                          <w:rPr>
                            <w:rFonts w:ascii="Times New Roman"/>
                            <w:sz w:val="24"/>
                          </w:rPr>
                        </w:pPr>
                        <w:r>
                          <w:rPr>
                            <w:rFonts w:ascii="Times New Roman"/>
                            <w:sz w:val="24"/>
                          </w:rPr>
                          <w:t>17</w:t>
                        </w:r>
                      </w:p>
                    </w:tc>
                    <w:tc>
                      <w:tcPr>
                        <w:tcW w:w="752" w:type="dxa"/>
                      </w:tcPr>
                      <w:p>
                        <w:pPr>
                          <w:pStyle w:val="TableParagraph"/>
                          <w:spacing w:before="83"/>
                          <w:ind w:right="198"/>
                          <w:jc w:val="right"/>
                          <w:rPr>
                            <w:rFonts w:ascii="Times New Roman"/>
                            <w:b/>
                            <w:sz w:val="24"/>
                          </w:rPr>
                        </w:pPr>
                        <w:r>
                          <w:rPr>
                            <w:rFonts w:ascii="Times New Roman"/>
                            <w:b/>
                            <w:sz w:val="24"/>
                          </w:rPr>
                          <w:t>117</w:t>
                        </w:r>
                      </w:p>
                    </w:tc>
                  </w:tr>
                  <w:tr>
                    <w:trPr>
                      <w:trHeight w:val="752" w:hRule="exact"/>
                    </w:trPr>
                    <w:tc>
                      <w:tcPr>
                        <w:tcW w:w="777" w:type="dxa"/>
                      </w:tcPr>
                      <w:p>
                        <w:pPr/>
                      </w:p>
                    </w:tc>
                    <w:tc>
                      <w:tcPr>
                        <w:tcW w:w="630" w:type="dxa"/>
                      </w:tcPr>
                      <w:p>
                        <w:pPr/>
                      </w:p>
                    </w:tc>
                    <w:tc>
                      <w:tcPr>
                        <w:tcW w:w="2630" w:type="dxa"/>
                        <w:gridSpan w:val="3"/>
                      </w:tcPr>
                      <w:p>
                        <w:pPr>
                          <w:pStyle w:val="TableParagraph"/>
                          <w:spacing w:before="202"/>
                          <w:ind w:left="139"/>
                          <w:rPr>
                            <w:rFonts w:ascii="Times New Roman"/>
                            <w:sz w:val="24"/>
                          </w:rPr>
                        </w:pPr>
                        <w:r>
                          <w:rPr>
                            <w:rFonts w:ascii="Times New Roman"/>
                            <w:sz w:val="24"/>
                          </w:rPr>
                          <w:t>Sensibilidad = 63.2%</w:t>
                        </w:r>
                      </w:p>
                      <w:p>
                        <w:pPr>
                          <w:pStyle w:val="TableParagraph"/>
                          <w:spacing w:before="2"/>
                          <w:ind w:left="139"/>
                          <w:rPr>
                            <w:rFonts w:ascii="Times New Roman"/>
                            <w:sz w:val="24"/>
                          </w:rPr>
                        </w:pPr>
                        <w:r>
                          <w:rPr>
                            <w:rFonts w:ascii="Times New Roman"/>
                            <w:sz w:val="24"/>
                          </w:rPr>
                          <w:t>Especificidad =100%</w:t>
                        </w:r>
                      </w:p>
                    </w:tc>
                  </w:tr>
                </w:tbl>
                <w:p>
                  <w:pPr>
                    <w:pStyle w:val="BodyText"/>
                  </w:pPr>
                </w:p>
              </w:txbxContent>
            </v:textbox>
            <w10:wrap type="topAndBottom"/>
          </v:shape>
        </w:pict>
      </w:r>
    </w:p>
    <w:p>
      <w:pPr>
        <w:pStyle w:val="BodyText"/>
        <w:rPr>
          <w:rFonts w:ascii="Times New Roman"/>
          <w:sz w:val="20"/>
        </w:rPr>
      </w:pPr>
    </w:p>
    <w:p>
      <w:pPr>
        <w:pStyle w:val="BodyText"/>
        <w:rPr>
          <w:rFonts w:ascii="Times New Roman"/>
          <w:sz w:val="20"/>
        </w:rPr>
      </w:pPr>
    </w:p>
    <w:p>
      <w:pPr>
        <w:pStyle w:val="BodyText"/>
        <w:spacing w:before="7"/>
        <w:rPr>
          <w:rFonts w:ascii="Times New Roman"/>
        </w:rPr>
      </w:pPr>
      <w:r>
        <w:rPr/>
        <w:pict>
          <v:rect style="position:absolute;margin-left:53.25pt;margin-top:16.098038pt;width:36pt;height:41.25pt;mso-position-horizontal-relative:page;mso-position-vertical-relative:paragraph;z-index:1216;mso-wrap-distance-left:0;mso-wrap-distance-right:0" filled="true" fillcolor="#ffffff" stroked="false">
            <v:fill type="solid"/>
            <w10:wrap type="topAndBottom"/>
          </v:rect>
        </w:pict>
      </w:r>
    </w:p>
    <w:p>
      <w:pPr>
        <w:spacing w:after="0"/>
        <w:rPr>
          <w:rFonts w:ascii="Times New Roman"/>
        </w:rPr>
        <w:sectPr>
          <w:pgSz w:w="12240" w:h="15840"/>
          <w:pgMar w:header="1154" w:footer="1713" w:top="1520" w:bottom="1900" w:left="960" w:right="1100"/>
        </w:sectPr>
      </w:pPr>
    </w:p>
    <w:p>
      <w:pPr>
        <w:pStyle w:val="BodyText"/>
        <w:spacing w:line="20" w:lineRule="exact"/>
        <w:ind w:left="939"/>
        <w:rPr>
          <w:rFonts w:ascii="Times New Roman"/>
          <w:sz w:val="2"/>
        </w:rPr>
      </w:pPr>
      <w:r>
        <w:rPr/>
        <w:pict>
          <v:shape style="position:absolute;margin-left:50.25pt;margin-top:59.25pt;width:36pt;height:91.5pt;mso-position-horizontal-relative:page;mso-position-vertical-relative:page;z-index:-102184" type="#_x0000_t202" filled="false" stroked="false">
            <v:textbox inset="0,0,0,0">
              <w:txbxContent>
                <w:p>
                  <w:pPr>
                    <w:pStyle w:val="BodyText"/>
                    <w:rPr>
                      <w:rFonts w:ascii="Times New Roman"/>
                      <w:sz w:val="22"/>
                    </w:rPr>
                  </w:pPr>
                </w:p>
                <w:p>
                  <w:pPr>
                    <w:pStyle w:val="BodyText"/>
                    <w:rPr>
                      <w:rFonts w:ascii="Times New Roman"/>
                      <w:sz w:val="22"/>
                    </w:rPr>
                  </w:pPr>
                </w:p>
                <w:p>
                  <w:pPr>
                    <w:spacing w:before="130"/>
                    <w:ind w:left="397" w:right="0" w:firstLine="0"/>
                    <w:jc w:val="left"/>
                    <w:rPr>
                      <w:rFonts w:ascii="Calibri"/>
                      <w:sz w:val="22"/>
                    </w:rPr>
                  </w:pPr>
                  <w:r>
                    <w:rPr>
                      <w:rFonts w:ascii="Calibri"/>
                      <w:w w:val="100"/>
                      <w:sz w:val="22"/>
                    </w:rPr>
                    <w:t>1</w:t>
                  </w:r>
                </w:p>
              </w:txbxContent>
            </v:textbox>
            <w10:wrap type="none"/>
          </v:shape>
        </w:pict>
      </w:r>
      <w:r>
        <w:rPr/>
        <w:pict>
          <v:rect style="position:absolute;margin-left:50.25pt;margin-top:59.25pt;width:36pt;height:91.5pt;mso-position-horizontal-relative:page;mso-position-vertical-relative:page;z-index:1360" filled="true" fillcolor="#ffffff" stroked="false">
            <v:fill type="solid"/>
            <w10:wrap type="none"/>
          </v:rect>
        </w:pict>
      </w:r>
      <w:r>
        <w:rPr>
          <w:rFonts w:ascii="Times New Roman"/>
          <w:sz w:val="2"/>
        </w:rPr>
        <w:pict>
          <v:group style="width:445.4pt;height:.5pt;mso-position-horizontal-relative:char;mso-position-vertical-relative:line" coordorigin="0,0" coordsize="8908,10">
            <v:line style="position:absolute" from="5,5" to="8903,5" stroked="true" strokeweight=".48pt" strokecolor="#000000"/>
          </v:group>
        </w:pict>
      </w:r>
      <w:r>
        <w:rPr>
          <w:rFonts w:ascii="Times New Roman"/>
          <w:sz w:val="2"/>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8"/>
        </w:rPr>
      </w:pPr>
    </w:p>
    <w:tbl>
      <w:tblPr>
        <w:tblW w:w="0" w:type="auto"/>
        <w:jc w:val="left"/>
        <w:tblInd w:w="9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703"/>
        <w:gridCol w:w="1924"/>
        <w:gridCol w:w="1309"/>
      </w:tblGrid>
      <w:tr>
        <w:trPr>
          <w:trHeight w:val="744" w:hRule="exact"/>
        </w:trPr>
        <w:tc>
          <w:tcPr>
            <w:tcW w:w="8936" w:type="dxa"/>
            <w:gridSpan w:val="3"/>
            <w:tcBorders>
              <w:bottom w:val="single" w:sz="4" w:space="0" w:color="000000"/>
            </w:tcBorders>
          </w:tcPr>
          <w:p>
            <w:pPr>
              <w:pStyle w:val="TableParagraph"/>
              <w:spacing w:line="224" w:lineRule="exact"/>
              <w:ind w:left="124"/>
              <w:rPr>
                <w:rFonts w:ascii="Times New Roman" w:hAnsi="Times New Roman"/>
                <w:sz w:val="22"/>
              </w:rPr>
            </w:pPr>
            <w:r>
              <w:rPr>
                <w:rFonts w:ascii="Times New Roman" w:hAnsi="Times New Roman"/>
                <w:sz w:val="22"/>
              </w:rPr>
              <w:t>Tabla 2. Signos clínicos y cambios hematológicos presentados en los 117 pacientes evaluados</w:t>
            </w:r>
          </w:p>
          <w:p>
            <w:pPr>
              <w:pStyle w:val="TableParagraph"/>
              <w:spacing w:line="251" w:lineRule="exact"/>
              <w:ind w:left="124"/>
              <w:rPr>
                <w:rFonts w:ascii="Times New Roman"/>
                <w:sz w:val="22"/>
              </w:rPr>
            </w:pPr>
            <w:r>
              <w:rPr>
                <w:rFonts w:ascii="Times New Roman"/>
                <w:sz w:val="22"/>
              </w:rPr>
              <w:t>Clinical signs and hematological changes tested in 117 patients.</w:t>
            </w:r>
          </w:p>
        </w:tc>
      </w:tr>
      <w:tr>
        <w:trPr>
          <w:trHeight w:val="748" w:hRule="exact"/>
        </w:trPr>
        <w:tc>
          <w:tcPr>
            <w:tcW w:w="5703" w:type="dxa"/>
            <w:tcBorders>
              <w:top w:val="single" w:sz="4" w:space="0" w:color="000000"/>
            </w:tcBorders>
          </w:tcPr>
          <w:p>
            <w:pPr>
              <w:pStyle w:val="TableParagraph"/>
              <w:spacing w:before="11"/>
              <w:rPr>
                <w:rFonts w:ascii="Times New Roman"/>
                <w:sz w:val="20"/>
              </w:rPr>
            </w:pPr>
          </w:p>
          <w:p>
            <w:pPr>
              <w:pStyle w:val="TableParagraph"/>
              <w:ind w:left="124"/>
              <w:rPr>
                <w:rFonts w:ascii="Times New Roman" w:hAnsi="Times New Roman"/>
                <w:sz w:val="22"/>
              </w:rPr>
            </w:pPr>
            <w:r>
              <w:rPr>
                <w:rFonts w:ascii="Times New Roman" w:hAnsi="Times New Roman"/>
                <w:sz w:val="22"/>
              </w:rPr>
              <w:t>Signos clínicos y cambios hematológicos</w:t>
            </w:r>
          </w:p>
        </w:tc>
        <w:tc>
          <w:tcPr>
            <w:tcW w:w="1924" w:type="dxa"/>
            <w:tcBorders>
              <w:top w:val="single" w:sz="4" w:space="0" w:color="000000"/>
            </w:tcBorders>
          </w:tcPr>
          <w:p>
            <w:pPr>
              <w:pStyle w:val="TableParagraph"/>
              <w:ind w:left="880" w:right="231" w:hanging="15"/>
              <w:jc w:val="both"/>
              <w:rPr>
                <w:rFonts w:ascii="Times New Roman"/>
                <w:sz w:val="22"/>
              </w:rPr>
            </w:pPr>
            <w:r>
              <w:rPr>
                <w:rFonts w:ascii="Times New Roman"/>
                <w:spacing w:val="-1"/>
                <w:sz w:val="22"/>
              </w:rPr>
              <w:t>Pacientes </w:t>
            </w:r>
            <w:r>
              <w:rPr>
                <w:rFonts w:ascii="Times New Roman"/>
                <w:sz w:val="22"/>
              </w:rPr>
              <w:t>positivos (n=100)</w:t>
            </w:r>
          </w:p>
        </w:tc>
        <w:tc>
          <w:tcPr>
            <w:tcW w:w="1309" w:type="dxa"/>
            <w:tcBorders>
              <w:top w:val="single" w:sz="4" w:space="0" w:color="000000"/>
            </w:tcBorders>
          </w:tcPr>
          <w:p>
            <w:pPr>
              <w:pStyle w:val="TableParagraph"/>
              <w:ind w:left="233" w:right="234" w:firstLine="9"/>
              <w:jc w:val="both"/>
              <w:rPr>
                <w:rFonts w:ascii="Times New Roman"/>
                <w:sz w:val="22"/>
              </w:rPr>
            </w:pPr>
            <w:r>
              <w:rPr>
                <w:rFonts w:ascii="Times New Roman"/>
                <w:spacing w:val="-1"/>
                <w:sz w:val="22"/>
              </w:rPr>
              <w:t>Pacientes negativos </w:t>
            </w:r>
            <w:r>
              <w:rPr>
                <w:rFonts w:ascii="Times New Roman"/>
                <w:sz w:val="22"/>
              </w:rPr>
              <w:t>(n=17)</w:t>
            </w:r>
          </w:p>
        </w:tc>
      </w:tr>
      <w:tr>
        <w:trPr>
          <w:trHeight w:val="272" w:hRule="exact"/>
        </w:trPr>
        <w:tc>
          <w:tcPr>
            <w:tcW w:w="5703" w:type="dxa"/>
          </w:tcPr>
          <w:p>
            <w:pPr>
              <w:pStyle w:val="TableParagraph"/>
              <w:spacing w:line="260" w:lineRule="exact"/>
              <w:ind w:left="124"/>
              <w:rPr>
                <w:rFonts w:ascii="Times New Roman"/>
                <w:sz w:val="22"/>
              </w:rPr>
            </w:pPr>
            <w:r>
              <w:rPr>
                <w:rFonts w:ascii="Times New Roman"/>
                <w:sz w:val="22"/>
              </w:rPr>
              <w:t>Leucopenia o panleucopenia  (6.0-17.0 x 10</w:t>
            </w:r>
            <w:r>
              <w:rPr>
                <w:rFonts w:ascii="Times New Roman"/>
                <w:position w:val="10"/>
                <w:sz w:val="14"/>
              </w:rPr>
              <w:t>9</w:t>
            </w:r>
            <w:r>
              <w:rPr>
                <w:rFonts w:ascii="Times New Roman"/>
                <w:sz w:val="22"/>
              </w:rPr>
              <w:t>/L)</w:t>
            </w:r>
          </w:p>
        </w:tc>
        <w:tc>
          <w:tcPr>
            <w:tcW w:w="1924" w:type="dxa"/>
          </w:tcPr>
          <w:p>
            <w:pPr>
              <w:pStyle w:val="TableParagraph"/>
              <w:spacing w:before="7"/>
              <w:ind w:right="532"/>
              <w:jc w:val="right"/>
              <w:rPr>
                <w:rFonts w:ascii="Times New Roman"/>
                <w:sz w:val="22"/>
              </w:rPr>
            </w:pPr>
            <w:r>
              <w:rPr>
                <w:rFonts w:ascii="Times New Roman"/>
                <w:sz w:val="22"/>
              </w:rPr>
              <w:t>45</w:t>
            </w:r>
          </w:p>
        </w:tc>
        <w:tc>
          <w:tcPr>
            <w:tcW w:w="1309" w:type="dxa"/>
          </w:tcPr>
          <w:p>
            <w:pPr>
              <w:pStyle w:val="TableParagraph"/>
              <w:spacing w:before="7"/>
              <w:jc w:val="center"/>
              <w:rPr>
                <w:rFonts w:ascii="Times New Roman"/>
                <w:sz w:val="22"/>
              </w:rPr>
            </w:pPr>
            <w:r>
              <w:rPr>
                <w:rFonts w:ascii="Times New Roman"/>
                <w:w w:val="100"/>
                <w:sz w:val="22"/>
              </w:rPr>
              <w:t>0</w:t>
            </w:r>
          </w:p>
        </w:tc>
      </w:tr>
      <w:tr>
        <w:trPr>
          <w:trHeight w:val="252" w:hRule="exact"/>
        </w:trPr>
        <w:tc>
          <w:tcPr>
            <w:tcW w:w="5703" w:type="dxa"/>
          </w:tcPr>
          <w:p>
            <w:pPr>
              <w:pStyle w:val="TableParagraph"/>
              <w:spacing w:line="242" w:lineRule="exact"/>
              <w:ind w:left="124"/>
              <w:rPr>
                <w:rFonts w:ascii="Times New Roman"/>
                <w:sz w:val="22"/>
              </w:rPr>
            </w:pPr>
            <w:r>
              <w:rPr>
                <w:rFonts w:ascii="Times New Roman"/>
                <w:sz w:val="22"/>
              </w:rPr>
              <w:t>Anemia (120-180 g/L) e hipoproteinemia (60-80 g/L)</w:t>
            </w:r>
          </w:p>
        </w:tc>
        <w:tc>
          <w:tcPr>
            <w:tcW w:w="1924" w:type="dxa"/>
          </w:tcPr>
          <w:p>
            <w:pPr>
              <w:pStyle w:val="TableParagraph"/>
              <w:spacing w:line="242" w:lineRule="exact"/>
              <w:ind w:right="532"/>
              <w:jc w:val="right"/>
              <w:rPr>
                <w:rFonts w:ascii="Times New Roman"/>
                <w:sz w:val="22"/>
              </w:rPr>
            </w:pPr>
            <w:r>
              <w:rPr>
                <w:rFonts w:ascii="Times New Roman"/>
                <w:sz w:val="22"/>
              </w:rPr>
              <w:t>22</w:t>
            </w:r>
          </w:p>
        </w:tc>
        <w:tc>
          <w:tcPr>
            <w:tcW w:w="1309" w:type="dxa"/>
          </w:tcPr>
          <w:p>
            <w:pPr>
              <w:pStyle w:val="TableParagraph"/>
              <w:spacing w:line="242" w:lineRule="exact"/>
              <w:jc w:val="center"/>
              <w:rPr>
                <w:rFonts w:ascii="Times New Roman"/>
                <w:sz w:val="22"/>
              </w:rPr>
            </w:pPr>
            <w:r>
              <w:rPr>
                <w:rFonts w:ascii="Times New Roman"/>
                <w:w w:val="100"/>
                <w:sz w:val="22"/>
              </w:rPr>
              <w:t>0</w:t>
            </w:r>
          </w:p>
        </w:tc>
      </w:tr>
      <w:tr>
        <w:trPr>
          <w:trHeight w:val="261" w:hRule="exact"/>
        </w:trPr>
        <w:tc>
          <w:tcPr>
            <w:tcW w:w="5703" w:type="dxa"/>
          </w:tcPr>
          <w:p>
            <w:pPr>
              <w:pStyle w:val="TableParagraph"/>
              <w:spacing w:line="251" w:lineRule="exact"/>
              <w:ind w:left="124"/>
              <w:rPr>
                <w:rFonts w:ascii="Times New Roman" w:hAnsi="Times New Roman"/>
                <w:sz w:val="20"/>
              </w:rPr>
            </w:pPr>
            <w:r>
              <w:rPr>
                <w:rFonts w:ascii="Times New Roman" w:hAnsi="Times New Roman"/>
                <w:sz w:val="22"/>
              </w:rPr>
              <w:t>Fiebre (</w:t>
            </w:r>
            <w:r>
              <w:rPr>
                <w:rFonts w:ascii="Calibri" w:hAnsi="Calibri"/>
                <w:sz w:val="20"/>
              </w:rPr>
              <w:t>&gt;</w:t>
            </w:r>
            <w:r>
              <w:rPr>
                <w:rFonts w:ascii="Times New Roman" w:hAnsi="Times New Roman"/>
                <w:sz w:val="20"/>
              </w:rPr>
              <w:t>39.5 ºC)</w:t>
            </w:r>
          </w:p>
        </w:tc>
        <w:tc>
          <w:tcPr>
            <w:tcW w:w="1924" w:type="dxa"/>
          </w:tcPr>
          <w:p>
            <w:pPr>
              <w:pStyle w:val="TableParagraph"/>
              <w:spacing w:line="240" w:lineRule="exact"/>
              <w:ind w:right="532"/>
              <w:jc w:val="right"/>
              <w:rPr>
                <w:rFonts w:ascii="Times New Roman"/>
                <w:sz w:val="22"/>
              </w:rPr>
            </w:pPr>
            <w:r>
              <w:rPr>
                <w:rFonts w:ascii="Times New Roman"/>
                <w:sz w:val="22"/>
              </w:rPr>
              <w:t>30</w:t>
            </w:r>
          </w:p>
        </w:tc>
        <w:tc>
          <w:tcPr>
            <w:tcW w:w="1309" w:type="dxa"/>
          </w:tcPr>
          <w:p>
            <w:pPr>
              <w:pStyle w:val="TableParagraph"/>
              <w:spacing w:line="240" w:lineRule="exact"/>
              <w:jc w:val="center"/>
              <w:rPr>
                <w:rFonts w:ascii="Times New Roman"/>
                <w:sz w:val="22"/>
              </w:rPr>
            </w:pPr>
            <w:r>
              <w:rPr>
                <w:rFonts w:ascii="Times New Roman"/>
                <w:w w:val="100"/>
                <w:sz w:val="22"/>
              </w:rPr>
              <w:t>0</w:t>
            </w:r>
          </w:p>
        </w:tc>
      </w:tr>
      <w:tr>
        <w:trPr>
          <w:trHeight w:val="258" w:hRule="exact"/>
        </w:trPr>
        <w:tc>
          <w:tcPr>
            <w:tcW w:w="5703" w:type="dxa"/>
          </w:tcPr>
          <w:p>
            <w:pPr>
              <w:pStyle w:val="TableParagraph"/>
              <w:spacing w:line="238" w:lineRule="exact"/>
              <w:ind w:left="124"/>
              <w:rPr>
                <w:rFonts w:ascii="Times New Roman" w:hAnsi="Times New Roman"/>
                <w:sz w:val="22"/>
              </w:rPr>
            </w:pPr>
            <w:r>
              <w:rPr>
                <w:rFonts w:ascii="Times New Roman" w:hAnsi="Times New Roman"/>
                <w:sz w:val="22"/>
              </w:rPr>
              <w:t>Vómito y diarrea sanguinolenta</w:t>
            </w:r>
          </w:p>
        </w:tc>
        <w:tc>
          <w:tcPr>
            <w:tcW w:w="1924" w:type="dxa"/>
          </w:tcPr>
          <w:p>
            <w:pPr>
              <w:pStyle w:val="TableParagraph"/>
              <w:spacing w:line="238" w:lineRule="exact"/>
              <w:ind w:right="532"/>
              <w:jc w:val="right"/>
              <w:rPr>
                <w:rFonts w:ascii="Times New Roman"/>
                <w:sz w:val="22"/>
              </w:rPr>
            </w:pPr>
            <w:r>
              <w:rPr>
                <w:rFonts w:ascii="Times New Roman"/>
                <w:sz w:val="22"/>
              </w:rPr>
              <w:t>39</w:t>
            </w:r>
          </w:p>
        </w:tc>
        <w:tc>
          <w:tcPr>
            <w:tcW w:w="1309" w:type="dxa"/>
          </w:tcPr>
          <w:p>
            <w:pPr>
              <w:pStyle w:val="TableParagraph"/>
              <w:spacing w:line="238" w:lineRule="exact"/>
              <w:jc w:val="center"/>
              <w:rPr>
                <w:rFonts w:ascii="Times New Roman"/>
                <w:sz w:val="22"/>
              </w:rPr>
            </w:pPr>
            <w:r>
              <w:rPr>
                <w:rFonts w:ascii="Times New Roman"/>
                <w:w w:val="100"/>
                <w:sz w:val="22"/>
              </w:rPr>
              <w:t>0</w:t>
            </w:r>
          </w:p>
        </w:tc>
      </w:tr>
      <w:tr>
        <w:trPr>
          <w:trHeight w:val="271" w:hRule="exact"/>
        </w:trPr>
        <w:tc>
          <w:tcPr>
            <w:tcW w:w="5703" w:type="dxa"/>
          </w:tcPr>
          <w:p>
            <w:pPr>
              <w:pStyle w:val="TableParagraph"/>
              <w:spacing w:line="249" w:lineRule="exact"/>
              <w:ind w:left="124"/>
              <w:rPr>
                <w:rFonts w:ascii="Times New Roman"/>
                <w:sz w:val="22"/>
              </w:rPr>
            </w:pPr>
            <w:r>
              <w:rPr>
                <w:rFonts w:ascii="Times New Roman"/>
                <w:sz w:val="22"/>
              </w:rPr>
              <w:t>Solo diarrea sanguinolenta</w:t>
            </w:r>
          </w:p>
        </w:tc>
        <w:tc>
          <w:tcPr>
            <w:tcW w:w="1924" w:type="dxa"/>
          </w:tcPr>
          <w:p>
            <w:pPr>
              <w:pStyle w:val="TableParagraph"/>
              <w:spacing w:line="249" w:lineRule="exact"/>
              <w:ind w:right="532"/>
              <w:jc w:val="right"/>
              <w:rPr>
                <w:rFonts w:ascii="Times New Roman"/>
                <w:sz w:val="22"/>
              </w:rPr>
            </w:pPr>
            <w:r>
              <w:rPr>
                <w:rFonts w:ascii="Times New Roman"/>
                <w:sz w:val="22"/>
              </w:rPr>
              <w:t>11</w:t>
            </w:r>
          </w:p>
        </w:tc>
        <w:tc>
          <w:tcPr>
            <w:tcW w:w="1309" w:type="dxa"/>
          </w:tcPr>
          <w:p>
            <w:pPr>
              <w:pStyle w:val="TableParagraph"/>
              <w:spacing w:line="249" w:lineRule="exact"/>
              <w:jc w:val="center"/>
              <w:rPr>
                <w:rFonts w:ascii="Times New Roman"/>
                <w:sz w:val="22"/>
              </w:rPr>
            </w:pPr>
            <w:r>
              <w:rPr>
                <w:rFonts w:ascii="Times New Roman"/>
                <w:w w:val="100"/>
                <w:sz w:val="22"/>
              </w:rPr>
              <w:t>1</w:t>
            </w:r>
          </w:p>
        </w:tc>
      </w:tr>
      <w:tr>
        <w:trPr>
          <w:trHeight w:val="271" w:hRule="exact"/>
        </w:trPr>
        <w:tc>
          <w:tcPr>
            <w:tcW w:w="5703" w:type="dxa"/>
          </w:tcPr>
          <w:p>
            <w:pPr>
              <w:pStyle w:val="TableParagraph"/>
              <w:spacing w:line="252" w:lineRule="exact"/>
              <w:ind w:left="124"/>
              <w:rPr>
                <w:rFonts w:ascii="Times New Roman"/>
                <w:sz w:val="22"/>
              </w:rPr>
            </w:pPr>
            <w:r>
              <w:rPr>
                <w:rFonts w:ascii="Times New Roman"/>
                <w:sz w:val="22"/>
              </w:rPr>
              <w:t>Solo vomito</w:t>
            </w:r>
          </w:p>
        </w:tc>
        <w:tc>
          <w:tcPr>
            <w:tcW w:w="1924" w:type="dxa"/>
          </w:tcPr>
          <w:p>
            <w:pPr>
              <w:pStyle w:val="TableParagraph"/>
              <w:spacing w:line="252" w:lineRule="exact"/>
              <w:ind w:right="532"/>
              <w:jc w:val="right"/>
              <w:rPr>
                <w:rFonts w:ascii="Times New Roman"/>
                <w:sz w:val="22"/>
              </w:rPr>
            </w:pPr>
            <w:r>
              <w:rPr>
                <w:rFonts w:ascii="Times New Roman"/>
                <w:sz w:val="22"/>
              </w:rPr>
              <w:t>11</w:t>
            </w:r>
          </w:p>
        </w:tc>
        <w:tc>
          <w:tcPr>
            <w:tcW w:w="1309" w:type="dxa"/>
          </w:tcPr>
          <w:p>
            <w:pPr>
              <w:pStyle w:val="TableParagraph"/>
              <w:spacing w:line="252" w:lineRule="exact"/>
              <w:jc w:val="center"/>
              <w:rPr>
                <w:rFonts w:ascii="Times New Roman"/>
                <w:sz w:val="22"/>
              </w:rPr>
            </w:pPr>
            <w:r>
              <w:rPr>
                <w:rFonts w:ascii="Times New Roman"/>
                <w:w w:val="100"/>
                <w:sz w:val="22"/>
              </w:rPr>
              <w:t>0</w:t>
            </w:r>
          </w:p>
        </w:tc>
      </w:tr>
      <w:tr>
        <w:trPr>
          <w:trHeight w:val="269" w:hRule="exact"/>
        </w:trPr>
        <w:tc>
          <w:tcPr>
            <w:tcW w:w="5703" w:type="dxa"/>
          </w:tcPr>
          <w:p>
            <w:pPr>
              <w:pStyle w:val="TableParagraph"/>
              <w:spacing w:line="249" w:lineRule="exact"/>
              <w:ind w:left="124"/>
              <w:rPr>
                <w:rFonts w:ascii="Times New Roman" w:hAnsi="Times New Roman"/>
                <w:sz w:val="22"/>
              </w:rPr>
            </w:pPr>
            <w:r>
              <w:rPr>
                <w:rFonts w:ascii="Times New Roman" w:hAnsi="Times New Roman"/>
                <w:sz w:val="22"/>
              </w:rPr>
              <w:t>Vómito y diarrea</w:t>
            </w:r>
          </w:p>
        </w:tc>
        <w:tc>
          <w:tcPr>
            <w:tcW w:w="1924" w:type="dxa"/>
          </w:tcPr>
          <w:p>
            <w:pPr>
              <w:pStyle w:val="TableParagraph"/>
              <w:spacing w:line="249" w:lineRule="exact"/>
              <w:ind w:right="532"/>
              <w:jc w:val="right"/>
              <w:rPr>
                <w:rFonts w:ascii="Times New Roman"/>
                <w:sz w:val="22"/>
              </w:rPr>
            </w:pPr>
            <w:r>
              <w:rPr>
                <w:rFonts w:ascii="Times New Roman"/>
                <w:sz w:val="22"/>
              </w:rPr>
              <w:t>17</w:t>
            </w:r>
          </w:p>
        </w:tc>
        <w:tc>
          <w:tcPr>
            <w:tcW w:w="1309" w:type="dxa"/>
          </w:tcPr>
          <w:p>
            <w:pPr>
              <w:pStyle w:val="TableParagraph"/>
              <w:spacing w:line="249" w:lineRule="exact"/>
              <w:jc w:val="center"/>
              <w:rPr>
                <w:rFonts w:ascii="Times New Roman"/>
                <w:sz w:val="22"/>
              </w:rPr>
            </w:pPr>
            <w:r>
              <w:rPr>
                <w:rFonts w:ascii="Times New Roman"/>
                <w:w w:val="100"/>
                <w:sz w:val="22"/>
              </w:rPr>
              <w:t>1</w:t>
            </w:r>
          </w:p>
        </w:tc>
      </w:tr>
      <w:tr>
        <w:trPr>
          <w:trHeight w:val="262" w:hRule="exact"/>
        </w:trPr>
        <w:tc>
          <w:tcPr>
            <w:tcW w:w="5703" w:type="dxa"/>
          </w:tcPr>
          <w:p>
            <w:pPr>
              <w:pStyle w:val="TableParagraph"/>
              <w:spacing w:line="249" w:lineRule="exact"/>
              <w:ind w:left="124"/>
              <w:rPr>
                <w:rFonts w:ascii="Times New Roman"/>
                <w:sz w:val="22"/>
              </w:rPr>
            </w:pPr>
            <w:r>
              <w:rPr>
                <w:rFonts w:ascii="Times New Roman"/>
                <w:sz w:val="22"/>
              </w:rPr>
              <w:t>Solo diarrea</w:t>
            </w:r>
          </w:p>
        </w:tc>
        <w:tc>
          <w:tcPr>
            <w:tcW w:w="1924" w:type="dxa"/>
          </w:tcPr>
          <w:p>
            <w:pPr>
              <w:pStyle w:val="TableParagraph"/>
              <w:spacing w:line="249" w:lineRule="exact"/>
              <w:ind w:right="590"/>
              <w:jc w:val="right"/>
              <w:rPr>
                <w:rFonts w:ascii="Times New Roman"/>
                <w:sz w:val="22"/>
              </w:rPr>
            </w:pPr>
            <w:r>
              <w:rPr>
                <w:rFonts w:ascii="Times New Roman"/>
                <w:w w:val="100"/>
                <w:sz w:val="22"/>
              </w:rPr>
              <w:t>9</w:t>
            </w:r>
          </w:p>
        </w:tc>
        <w:tc>
          <w:tcPr>
            <w:tcW w:w="1309" w:type="dxa"/>
          </w:tcPr>
          <w:p>
            <w:pPr>
              <w:pStyle w:val="TableParagraph"/>
              <w:spacing w:line="249" w:lineRule="exact"/>
              <w:jc w:val="center"/>
              <w:rPr>
                <w:rFonts w:ascii="Times New Roman"/>
                <w:sz w:val="22"/>
              </w:rPr>
            </w:pPr>
            <w:r>
              <w:rPr>
                <w:rFonts w:ascii="Times New Roman"/>
                <w:w w:val="100"/>
                <w:sz w:val="22"/>
              </w:rPr>
              <w:t>0</w:t>
            </w:r>
          </w:p>
        </w:tc>
      </w:tr>
      <w:tr>
        <w:trPr>
          <w:trHeight w:val="262" w:hRule="exact"/>
        </w:trPr>
        <w:tc>
          <w:tcPr>
            <w:tcW w:w="5703" w:type="dxa"/>
          </w:tcPr>
          <w:p>
            <w:pPr>
              <w:pStyle w:val="TableParagraph"/>
              <w:spacing w:line="242" w:lineRule="exact"/>
              <w:ind w:left="124"/>
              <w:rPr>
                <w:rFonts w:ascii="Times New Roman" w:hAnsi="Times New Roman"/>
                <w:sz w:val="22"/>
              </w:rPr>
            </w:pPr>
            <w:r>
              <w:rPr>
                <w:rFonts w:ascii="Times New Roman" w:hAnsi="Times New Roman"/>
                <w:sz w:val="22"/>
              </w:rPr>
              <w:t>Vómito y diarrea catarral</w:t>
            </w:r>
          </w:p>
        </w:tc>
        <w:tc>
          <w:tcPr>
            <w:tcW w:w="1924" w:type="dxa"/>
          </w:tcPr>
          <w:p>
            <w:pPr>
              <w:pStyle w:val="TableParagraph"/>
              <w:spacing w:line="242" w:lineRule="exact"/>
              <w:ind w:right="590"/>
              <w:jc w:val="right"/>
              <w:rPr>
                <w:rFonts w:ascii="Times New Roman"/>
                <w:sz w:val="22"/>
              </w:rPr>
            </w:pPr>
            <w:r>
              <w:rPr>
                <w:rFonts w:ascii="Times New Roman"/>
                <w:w w:val="100"/>
                <w:sz w:val="22"/>
              </w:rPr>
              <w:t>8</w:t>
            </w:r>
          </w:p>
        </w:tc>
        <w:tc>
          <w:tcPr>
            <w:tcW w:w="1309" w:type="dxa"/>
          </w:tcPr>
          <w:p>
            <w:pPr>
              <w:pStyle w:val="TableParagraph"/>
              <w:spacing w:line="242" w:lineRule="exact"/>
              <w:jc w:val="center"/>
              <w:rPr>
                <w:rFonts w:ascii="Times New Roman"/>
                <w:sz w:val="22"/>
              </w:rPr>
            </w:pPr>
            <w:r>
              <w:rPr>
                <w:rFonts w:ascii="Times New Roman"/>
                <w:w w:val="100"/>
                <w:sz w:val="22"/>
              </w:rPr>
              <w:t>0</w:t>
            </w:r>
          </w:p>
        </w:tc>
      </w:tr>
      <w:tr>
        <w:trPr>
          <w:trHeight w:val="271" w:hRule="exact"/>
        </w:trPr>
        <w:tc>
          <w:tcPr>
            <w:tcW w:w="5703" w:type="dxa"/>
          </w:tcPr>
          <w:p>
            <w:pPr>
              <w:pStyle w:val="TableParagraph"/>
              <w:spacing w:line="249" w:lineRule="exact"/>
              <w:ind w:left="124"/>
              <w:rPr>
                <w:rFonts w:ascii="Times New Roman"/>
                <w:sz w:val="22"/>
              </w:rPr>
            </w:pPr>
            <w:r>
              <w:rPr>
                <w:rFonts w:ascii="Times New Roman"/>
                <w:sz w:val="22"/>
              </w:rPr>
              <w:t>Solo diarrea catarral</w:t>
            </w:r>
          </w:p>
        </w:tc>
        <w:tc>
          <w:tcPr>
            <w:tcW w:w="1924" w:type="dxa"/>
          </w:tcPr>
          <w:p>
            <w:pPr>
              <w:pStyle w:val="TableParagraph"/>
              <w:spacing w:line="249" w:lineRule="exact"/>
              <w:ind w:right="590"/>
              <w:jc w:val="right"/>
              <w:rPr>
                <w:rFonts w:ascii="Times New Roman"/>
                <w:sz w:val="22"/>
              </w:rPr>
            </w:pPr>
            <w:r>
              <w:rPr>
                <w:rFonts w:ascii="Times New Roman"/>
                <w:w w:val="100"/>
                <w:sz w:val="22"/>
              </w:rPr>
              <w:t>1</w:t>
            </w:r>
          </w:p>
        </w:tc>
        <w:tc>
          <w:tcPr>
            <w:tcW w:w="1309" w:type="dxa"/>
          </w:tcPr>
          <w:p>
            <w:pPr>
              <w:pStyle w:val="TableParagraph"/>
              <w:spacing w:line="249" w:lineRule="exact"/>
              <w:jc w:val="center"/>
              <w:rPr>
                <w:rFonts w:ascii="Times New Roman"/>
                <w:sz w:val="22"/>
              </w:rPr>
            </w:pPr>
            <w:r>
              <w:rPr>
                <w:rFonts w:ascii="Times New Roman"/>
                <w:w w:val="100"/>
                <w:sz w:val="22"/>
              </w:rPr>
              <w:t>0</w:t>
            </w:r>
          </w:p>
        </w:tc>
      </w:tr>
      <w:tr>
        <w:trPr>
          <w:trHeight w:val="281" w:hRule="exact"/>
        </w:trPr>
        <w:tc>
          <w:tcPr>
            <w:tcW w:w="5703" w:type="dxa"/>
            <w:tcBorders>
              <w:bottom w:val="single" w:sz="4" w:space="0" w:color="000000"/>
            </w:tcBorders>
          </w:tcPr>
          <w:p>
            <w:pPr>
              <w:pStyle w:val="TableParagraph"/>
              <w:spacing w:line="252" w:lineRule="exact"/>
              <w:ind w:left="124"/>
              <w:rPr>
                <w:rFonts w:ascii="Times New Roman" w:hAnsi="Times New Roman"/>
                <w:sz w:val="22"/>
              </w:rPr>
            </w:pPr>
            <w:r>
              <w:rPr>
                <w:rFonts w:ascii="Times New Roman" w:hAnsi="Times New Roman"/>
                <w:sz w:val="22"/>
              </w:rPr>
              <w:t>Ausencia de signos clínicos</w:t>
            </w:r>
          </w:p>
        </w:tc>
        <w:tc>
          <w:tcPr>
            <w:tcW w:w="1924" w:type="dxa"/>
            <w:tcBorders>
              <w:bottom w:val="single" w:sz="4" w:space="0" w:color="000000"/>
            </w:tcBorders>
          </w:tcPr>
          <w:p>
            <w:pPr>
              <w:pStyle w:val="TableParagraph"/>
              <w:spacing w:line="252" w:lineRule="exact"/>
              <w:ind w:right="590"/>
              <w:jc w:val="right"/>
              <w:rPr>
                <w:rFonts w:ascii="Times New Roman"/>
                <w:sz w:val="22"/>
              </w:rPr>
            </w:pPr>
            <w:r>
              <w:rPr>
                <w:rFonts w:ascii="Times New Roman"/>
                <w:w w:val="100"/>
                <w:sz w:val="22"/>
              </w:rPr>
              <w:t>4</w:t>
            </w:r>
          </w:p>
        </w:tc>
        <w:tc>
          <w:tcPr>
            <w:tcW w:w="1309" w:type="dxa"/>
            <w:tcBorders>
              <w:bottom w:val="single" w:sz="4" w:space="0" w:color="000000"/>
            </w:tcBorders>
          </w:tcPr>
          <w:p>
            <w:pPr>
              <w:pStyle w:val="TableParagraph"/>
              <w:spacing w:line="252" w:lineRule="exact"/>
              <w:ind w:left="525" w:right="523"/>
              <w:jc w:val="center"/>
              <w:rPr>
                <w:rFonts w:ascii="Times New Roman"/>
                <w:sz w:val="22"/>
              </w:rPr>
            </w:pPr>
            <w:r>
              <w:rPr>
                <w:rFonts w:ascii="Times New Roman"/>
                <w:sz w:val="22"/>
              </w:rPr>
              <w:t>15</w:t>
            </w:r>
          </w:p>
        </w:tc>
      </w:tr>
    </w:tbl>
    <w:p>
      <w:pPr>
        <w:spacing w:after="0" w:line="252" w:lineRule="exact"/>
        <w:jc w:val="center"/>
        <w:rPr>
          <w:rFonts w:ascii="Times New Roman"/>
          <w:sz w:val="22"/>
        </w:rPr>
        <w:sectPr>
          <w:headerReference w:type="default" r:id="rId28"/>
          <w:pgSz w:w="12240" w:h="15840"/>
          <w:pgMar w:header="1154" w:footer="1713" w:top="1480" w:bottom="1900" w:left="900" w:right="1380"/>
        </w:sectPr>
      </w:pPr>
    </w:p>
    <w:p>
      <w:pPr>
        <w:pStyle w:val="BodyText"/>
        <w:spacing w:before="9"/>
        <w:rPr>
          <w:rFonts w:ascii="Times New Roman"/>
          <w:sz w:val="17"/>
        </w:rPr>
      </w:pPr>
    </w:p>
    <w:p>
      <w:pPr>
        <w:pStyle w:val="Heading1"/>
        <w:numPr>
          <w:ilvl w:val="1"/>
          <w:numId w:val="1"/>
        </w:numPr>
        <w:tabs>
          <w:tab w:pos="556" w:val="left" w:leader="none"/>
        </w:tabs>
        <w:spacing w:line="240" w:lineRule="auto" w:before="69" w:after="0"/>
        <w:ind w:left="555" w:right="0" w:hanging="403"/>
        <w:jc w:val="both"/>
      </w:pPr>
      <w:r>
        <w:rPr/>
        <w:t>Resultados de</w:t>
      </w:r>
      <w:r>
        <w:rPr>
          <w:spacing w:val="-9"/>
        </w:rPr>
        <w:t> </w:t>
      </w:r>
      <w:r>
        <w:rPr/>
        <w:t>encuestas</w:t>
      </w:r>
    </w:p>
    <w:p>
      <w:pPr>
        <w:pStyle w:val="BodyText"/>
        <w:rPr>
          <w:b/>
        </w:rPr>
      </w:pPr>
    </w:p>
    <w:p>
      <w:pPr>
        <w:pStyle w:val="BodyText"/>
        <w:spacing w:before="3"/>
        <w:rPr>
          <w:b/>
        </w:rPr>
      </w:pPr>
    </w:p>
    <w:p>
      <w:pPr>
        <w:pStyle w:val="BodyText"/>
        <w:spacing w:line="360" w:lineRule="auto"/>
        <w:ind w:left="152" w:right="147"/>
        <w:jc w:val="both"/>
      </w:pPr>
      <w:r>
        <w:rPr/>
        <w:t>Se logró colectar 1054 encuestas de Médicos veterinarios que se dedican a la clínica de perros y gatos, la población muestreada pertenecía a los 31 estados y al DF. Los estados que arrojaron mayor información son el DF con el 11.7%, Guanajuato 11.2%, Estado de México con 10.9% y Jalisco 7.77%.</w:t>
      </w:r>
    </w:p>
    <w:p>
      <w:pPr>
        <w:pStyle w:val="BodyText"/>
      </w:pPr>
    </w:p>
    <w:p>
      <w:pPr>
        <w:pStyle w:val="BodyText"/>
        <w:spacing w:line="360" w:lineRule="auto" w:before="144"/>
        <w:ind w:left="152" w:right="151"/>
        <w:jc w:val="both"/>
      </w:pPr>
      <w:r>
        <w:rPr/>
        <w:t>Los resultados de las encuestas indican que para emitir el diagnostico presuntivo de parvovirus canino el 64% debe observar vómito, diarrea sanguinolenta y leucopenia, el 26% se basa únicamente en la presencia de vómito y diarrea sanguinolenta, el 5% dicen emitir un diagnostico presuntivo al presentar únicamente vómito y diarrea, pero sin importar las características de esta, el 3% solo cuando observa diarrea puede emitir un diagnóstico positivo y un 2 % solo cuando observa vomito.</w:t>
      </w:r>
    </w:p>
    <w:p>
      <w:pPr>
        <w:pStyle w:val="BodyText"/>
        <w:spacing w:line="360" w:lineRule="auto" w:before="209"/>
        <w:ind w:left="152" w:right="145"/>
        <w:jc w:val="both"/>
      </w:pPr>
      <w:r>
        <w:rPr/>
        <w:t>En general, los médicos veterinarios utilizan la historia clínica y examen físico del paciente como primera herramienta de diagnóstico; sin embargo se detectó que un 16% solamente considera esta opción como prueba diagnóstica. El  84%  que utiliza pruebas diagnósticas lo hace de la siguiente manera: 13% solo incluye al hemograma para identificar leucopenia, el 59% además incluye inmunocromatografía y solamente un 12% de los médicos veterinarios utiliza a la PCR para verificar su diagnóstico.</w:t>
      </w:r>
    </w:p>
    <w:p>
      <w:pPr>
        <w:pStyle w:val="Heading1"/>
        <w:numPr>
          <w:ilvl w:val="1"/>
          <w:numId w:val="1"/>
        </w:numPr>
        <w:tabs>
          <w:tab w:pos="624" w:val="left" w:leader="none"/>
        </w:tabs>
        <w:spacing w:line="240" w:lineRule="auto" w:before="200" w:after="0"/>
        <w:ind w:left="623" w:right="0" w:hanging="471"/>
        <w:jc w:val="both"/>
      </w:pPr>
      <w:r>
        <w:rPr/>
        <w:t>Diagnóstico</w:t>
      </w:r>
      <w:r>
        <w:rPr>
          <w:spacing w:val="-8"/>
        </w:rPr>
        <w:t> </w:t>
      </w:r>
      <w:r>
        <w:rPr/>
        <w:t>clínico</w:t>
      </w:r>
    </w:p>
    <w:p>
      <w:pPr>
        <w:pStyle w:val="BodyText"/>
        <w:spacing w:before="3"/>
        <w:rPr>
          <w:b/>
          <w:sz w:val="30"/>
        </w:rPr>
      </w:pPr>
    </w:p>
    <w:p>
      <w:pPr>
        <w:pStyle w:val="BodyText"/>
        <w:spacing w:line="360" w:lineRule="auto"/>
        <w:ind w:left="152" w:right="157"/>
        <w:jc w:val="both"/>
      </w:pPr>
      <w:r>
        <w:rPr/>
        <w:t>Los 117 pacientes que formaron parte del estudio, se encontraban en un rango de edad de 2 meses a 5 años, se observó a  48 hembras, 69 machos y pertenecían a</w:t>
      </w:r>
    </w:p>
    <w:p>
      <w:pPr>
        <w:pStyle w:val="BodyText"/>
        <w:spacing w:line="360" w:lineRule="auto" w:before="7"/>
        <w:ind w:left="152" w:right="150"/>
        <w:jc w:val="both"/>
      </w:pPr>
      <w:r>
        <w:rPr/>
        <w:t>25 razas distintas. Una vez identificados los 100 pacientes positivos por PCR anidada a PVC-2, fueron agrupados de acuerdo al cuadro clínico que presentaron y  fueron identificados como: cuadro típico (diarrea con o sin sangre y presencia  o</w:t>
      </w:r>
    </w:p>
    <w:p>
      <w:pPr>
        <w:spacing w:after="0" w:line="360" w:lineRule="auto"/>
        <w:jc w:val="both"/>
        <w:sectPr>
          <w:headerReference w:type="default" r:id="rId29"/>
          <w:pgSz w:w="12240" w:h="15840"/>
          <w:pgMar w:header="1154" w:footer="1713" w:top="1520" w:bottom="1900" w:left="1720" w:right="1380"/>
        </w:sectPr>
      </w:pPr>
    </w:p>
    <w:p>
      <w:pPr>
        <w:pStyle w:val="BodyText"/>
        <w:spacing w:before="2"/>
        <w:rPr>
          <w:sz w:val="18"/>
        </w:rPr>
      </w:pPr>
    </w:p>
    <w:p>
      <w:pPr>
        <w:pStyle w:val="BodyText"/>
        <w:tabs>
          <w:tab w:pos="2318" w:val="left" w:leader="none"/>
        </w:tabs>
        <w:spacing w:line="360" w:lineRule="auto" w:before="70"/>
        <w:ind w:left="232" w:right="211"/>
      </w:pPr>
      <w:r>
        <w:rPr/>
        <w:t>ausencia de vomito), cuadro subtípico (diarrea catarral con presencia o ausencia de vomito) y cuadro atípico  (pacientes que presentan solo vomito o ningún signo de la enfermedad); las frecuencias observadas fueron: 76%, 9% y 15% respectivamente.</w:t>
        <w:tab/>
        <w:t>El  diagnóstico  clínico  establecido  por  los</w:t>
      </w:r>
      <w:r>
        <w:rPr>
          <w:spacing w:val="9"/>
        </w:rPr>
        <w:t> </w:t>
      </w:r>
      <w:r>
        <w:rPr/>
        <w:t>médicos</w:t>
      </w:r>
      <w:r>
        <w:rPr>
          <w:spacing w:val="59"/>
        </w:rPr>
        <w:t> </w:t>
      </w:r>
      <w:r>
        <w:rPr/>
        <w:t>mediante</w:t>
      </w:r>
      <w:r>
        <w:rPr>
          <w:w w:val="100"/>
        </w:rPr>
        <w:t> </w:t>
      </w:r>
      <w:r>
        <w:rPr/>
        <w:t>observación clínica con el cuadro clínico típico solo fue establecido como positivo en el 31.5% de los casos, el cuadro subtipico solo fue identificado por el 3.3% de los médicos y el cuadro atípico se estableció como positivo en el 2.5% de los  casos (Tabla</w:t>
      </w:r>
      <w:r>
        <w:rPr>
          <w:spacing w:val="-6"/>
        </w:rPr>
        <w:t> </w:t>
      </w:r>
      <w:r>
        <w:rPr/>
        <w:t>1).</w:t>
      </w:r>
    </w:p>
    <w:p>
      <w:pPr>
        <w:pStyle w:val="BodyText"/>
        <w:rPr>
          <w:sz w:val="20"/>
        </w:rPr>
      </w:pPr>
    </w:p>
    <w:p>
      <w:pPr>
        <w:pStyle w:val="BodyText"/>
        <w:rPr>
          <w:sz w:val="20"/>
        </w:rPr>
      </w:pPr>
    </w:p>
    <w:p>
      <w:pPr>
        <w:pStyle w:val="BodyText"/>
        <w:spacing w:before="9"/>
        <w:rPr>
          <w:sz w:val="17"/>
        </w:rPr>
      </w:pPr>
    </w:p>
    <w:p>
      <w:pPr>
        <w:spacing w:before="1"/>
        <w:ind w:left="232" w:right="116" w:firstLine="0"/>
        <w:jc w:val="left"/>
        <w:rPr>
          <w:sz w:val="22"/>
        </w:rPr>
      </w:pPr>
      <w:r>
        <w:rPr>
          <w:sz w:val="22"/>
        </w:rPr>
        <w:t>Tabla 1. Cuadro clínico y características de la diarrea presentado en 100 pacientes positivos a CPV-2.</w:t>
      </w:r>
    </w:p>
    <w:p>
      <w:pPr>
        <w:pStyle w:val="BodyText"/>
        <w:rPr>
          <w:sz w:val="20"/>
        </w:rPr>
      </w:pPr>
    </w:p>
    <w:p>
      <w:pPr>
        <w:pStyle w:val="BodyText"/>
        <w:spacing w:before="5"/>
        <w:rPr>
          <w:sz w:val="15"/>
        </w:rPr>
      </w:pPr>
      <w:r>
        <w:rPr/>
        <w:pict>
          <v:group style="position:absolute;margin-left:87.603996pt;margin-top:10.86993pt;width:452.65pt;height:1pt;mso-position-horizontal-relative:page;mso-position-vertical-relative:paragraph;z-index:1384;mso-wrap-distance-left:0;mso-wrap-distance-right:0" coordorigin="1752,217" coordsize="9053,20">
            <v:line style="position:absolute" from="1762,227" to="3433,227" stroked="true" strokeweight=".95999pt" strokecolor="#000000"/>
            <v:line style="position:absolute" from="3433,227" to="3453,227" stroked="true" strokeweight=".95999pt" strokecolor="#000000"/>
            <v:line style="position:absolute" from="3453,227" to="4399,227" stroked="true" strokeweight=".95999pt" strokecolor="#000000"/>
            <v:line style="position:absolute" from="4399,227" to="4418,227" stroked="true" strokeweight=".95999pt" strokecolor="#000000"/>
            <v:line style="position:absolute" from="4418,227" to="6180,227" stroked="true" strokeweight=".95999pt" strokecolor="#000000"/>
            <v:line style="position:absolute" from="6180,227" to="6199,227" stroked="true" strokeweight=".95999pt" strokecolor="#000000"/>
            <v:line style="position:absolute" from="6199,227" to="7164,227" stroked="true" strokeweight=".95999pt" strokecolor="#000000"/>
            <v:line style="position:absolute" from="7164,227" to="7184,227" stroked="true" strokeweight=".95999pt" strokecolor="#000000"/>
            <v:line style="position:absolute" from="7184,227" to="8178,227" stroked="true" strokeweight=".95999pt" strokecolor="#000000"/>
            <v:line style="position:absolute" from="8178,227" to="8197,227" stroked="true" strokeweight=".95999pt" strokecolor="#000000"/>
            <v:line style="position:absolute" from="8197,227" to="9383,227" stroked="true" strokeweight=".95999pt" strokecolor="#000000"/>
            <v:line style="position:absolute" from="9383,227" to="9402,227" stroked="true" strokeweight=".95999pt" strokecolor="#000000"/>
            <v:line style="position:absolute" from="9402,227" to="10795,227" stroked="true" strokeweight=".95999pt" strokecolor="#000000"/>
            <w10:wrap type="topAndBottom"/>
          </v:group>
        </w:pict>
      </w:r>
    </w:p>
    <w:p>
      <w:pPr>
        <w:spacing w:after="0"/>
        <w:rPr>
          <w:sz w:val="15"/>
        </w:rPr>
        <w:sectPr>
          <w:footerReference w:type="default" r:id="rId30"/>
          <w:pgSz w:w="12240" w:h="15840"/>
          <w:pgMar w:footer="1713" w:header="1154" w:top="1520" w:bottom="1900" w:left="1640" w:right="1320"/>
        </w:sectPr>
      </w:pPr>
    </w:p>
    <w:p>
      <w:pPr>
        <w:tabs>
          <w:tab w:pos="1927" w:val="left" w:leader="none"/>
          <w:tab w:pos="3281" w:val="left" w:leader="none"/>
        </w:tabs>
        <w:spacing w:line="309" w:lineRule="exact" w:before="196"/>
        <w:ind w:left="252" w:right="0" w:firstLine="0"/>
        <w:jc w:val="left"/>
        <w:rPr>
          <w:sz w:val="22"/>
        </w:rPr>
      </w:pPr>
      <w:r>
        <w:rPr>
          <w:sz w:val="22"/>
        </w:rPr>
        <w:t>Cuadro</w:t>
      </w:r>
      <w:r>
        <w:rPr>
          <w:spacing w:val="-1"/>
          <w:sz w:val="22"/>
        </w:rPr>
        <w:t> </w:t>
      </w:r>
      <w:r>
        <w:rPr>
          <w:sz w:val="22"/>
        </w:rPr>
        <w:t>clínico</w:t>
        <w:tab/>
        <w:t>Vómito</w:t>
        <w:tab/>
      </w:r>
      <w:r>
        <w:rPr>
          <w:position w:val="12"/>
          <w:sz w:val="22"/>
        </w:rPr>
        <w:t>Diarrea</w:t>
      </w:r>
    </w:p>
    <w:p>
      <w:pPr>
        <w:spacing w:line="189" w:lineRule="exact" w:before="0"/>
        <w:ind w:left="0" w:right="0" w:firstLine="0"/>
        <w:jc w:val="right"/>
        <w:rPr>
          <w:sz w:val="22"/>
        </w:rPr>
      </w:pPr>
      <w:r>
        <w:rPr>
          <w:sz w:val="22"/>
        </w:rPr>
        <w:t>sanguinolenta</w:t>
      </w:r>
    </w:p>
    <w:p>
      <w:pPr>
        <w:pStyle w:val="BodyText"/>
        <w:rPr>
          <w:sz w:val="21"/>
        </w:rPr>
      </w:pPr>
    </w:p>
    <w:p>
      <w:pPr>
        <w:tabs>
          <w:tab w:pos="3584" w:val="left" w:leader="none"/>
        </w:tabs>
        <w:spacing w:before="0"/>
        <w:ind w:left="2211" w:right="0" w:firstLine="0"/>
        <w:jc w:val="left"/>
        <w:rPr>
          <w:sz w:val="22"/>
        </w:rPr>
      </w:pPr>
      <w:r>
        <w:rPr/>
        <w:pict>
          <v:group style="position:absolute;margin-left:87.603996pt;margin-top:-.74213pt;width:452.65pt;height:1pt;mso-position-horizontal-relative:page;mso-position-vertical-relative:paragraph;z-index:-102064" coordorigin="1752,-15" coordsize="9053,20">
            <v:line style="position:absolute" from="1762,-5" to="3433,-5" stroked="true" strokeweight=".95999pt" strokecolor="#000000"/>
            <v:line style="position:absolute" from="3433,-5" to="3453,-5" stroked="true" strokeweight=".95999pt" strokecolor="#000000"/>
            <v:line style="position:absolute" from="3453,-5" to="4399,-5" stroked="true" strokeweight=".95999pt" strokecolor="#000000"/>
            <v:line style="position:absolute" from="4399,-5" to="4418,-5" stroked="true" strokeweight=".95999pt" strokecolor="#000000"/>
            <v:line style="position:absolute" from="4418,-5" to="6180,-5" stroked="true" strokeweight=".95999pt" strokecolor="#000000"/>
            <v:line style="position:absolute" from="6180,-5" to="6199,-5" stroked="true" strokeweight=".95999pt" strokecolor="#000000"/>
            <v:line style="position:absolute" from="6199,-5" to="7164,-5" stroked="true" strokeweight=".95999pt" strokecolor="#000000"/>
            <v:line style="position:absolute" from="7164,-5" to="7184,-5" stroked="true" strokeweight=".95999pt" strokecolor="#000000"/>
            <v:line style="position:absolute" from="7184,-5" to="8178,-5" stroked="true" strokeweight=".95999pt" strokecolor="#000000"/>
            <v:line style="position:absolute" from="8178,-5" to="8197,-5" stroked="true" strokeweight=".95999pt" strokecolor="#000000"/>
            <v:line style="position:absolute" from="8197,-5" to="9383,-5" stroked="true" strokeweight=".95999pt" strokecolor="#000000"/>
            <v:line style="position:absolute" from="9383,-5" to="9402,-5" stroked="true" strokeweight=".95999pt" strokecolor="#000000"/>
            <v:line style="position:absolute" from="9402,-5" to="10795,-5" stroked="true" strokeweight=".95999pt" strokecolor="#000000"/>
            <w10:wrap type="none"/>
          </v:group>
        </w:pict>
      </w:r>
      <w:r>
        <w:rPr>
          <w:sz w:val="22"/>
        </w:rPr>
        <w:t>√</w:t>
        <w:tab/>
        <w:t>√</w:t>
      </w:r>
    </w:p>
    <w:p>
      <w:pPr>
        <w:tabs>
          <w:tab w:pos="3584" w:val="left" w:leader="none"/>
        </w:tabs>
        <w:spacing w:before="1"/>
        <w:ind w:left="2196" w:right="0" w:firstLine="0"/>
        <w:jc w:val="left"/>
        <w:rPr>
          <w:sz w:val="22"/>
        </w:rPr>
      </w:pPr>
      <w:r>
        <w:rPr>
          <w:sz w:val="22"/>
        </w:rPr>
        <w:t>--</w:t>
        <w:tab/>
        <w:t>√</w:t>
      </w:r>
    </w:p>
    <w:p>
      <w:pPr>
        <w:tabs>
          <w:tab w:pos="1246" w:val="left" w:leader="none"/>
        </w:tabs>
        <w:spacing w:line="311" w:lineRule="exact" w:before="191"/>
        <w:ind w:left="252" w:right="0" w:firstLine="0"/>
        <w:jc w:val="left"/>
        <w:rPr>
          <w:sz w:val="22"/>
        </w:rPr>
      </w:pPr>
      <w:r>
        <w:rPr/>
        <w:br w:type="column"/>
      </w:r>
      <w:r>
        <w:rPr>
          <w:position w:val="-11"/>
          <w:sz w:val="22"/>
        </w:rPr>
        <w:t>Diarrea</w:t>
        <w:tab/>
      </w:r>
      <w:r>
        <w:rPr>
          <w:sz w:val="22"/>
        </w:rPr>
        <w:t>Diarrea</w:t>
      </w:r>
    </w:p>
    <w:p>
      <w:pPr>
        <w:spacing w:line="191" w:lineRule="exact" w:before="0"/>
        <w:ind w:left="1241" w:right="-14" w:firstLine="0"/>
        <w:jc w:val="left"/>
        <w:rPr>
          <w:sz w:val="22"/>
        </w:rPr>
      </w:pPr>
      <w:r>
        <w:rPr>
          <w:sz w:val="22"/>
        </w:rPr>
        <w:t>catarral</w:t>
      </w:r>
    </w:p>
    <w:p>
      <w:pPr>
        <w:spacing w:line="250" w:lineRule="exact" w:before="197"/>
        <w:ind w:left="214" w:right="-17" w:firstLine="364"/>
        <w:jc w:val="left"/>
        <w:rPr>
          <w:sz w:val="22"/>
        </w:rPr>
      </w:pPr>
      <w:r>
        <w:rPr/>
        <w:br w:type="column"/>
      </w:r>
      <w:r>
        <w:rPr>
          <w:sz w:val="22"/>
        </w:rPr>
        <w:t>Nº Pacientes</w:t>
      </w:r>
    </w:p>
    <w:p>
      <w:pPr>
        <w:spacing w:before="62"/>
        <w:ind w:left="211" w:right="256" w:firstLine="0"/>
        <w:jc w:val="center"/>
        <w:rPr>
          <w:sz w:val="22"/>
        </w:rPr>
      </w:pPr>
      <w:r>
        <w:rPr/>
        <w:br w:type="column"/>
      </w:r>
      <w:r>
        <w:rPr>
          <w:sz w:val="22"/>
        </w:rPr>
        <w:t>Diagnóstico clínico de PVC-2</w:t>
      </w:r>
    </w:p>
    <w:p>
      <w:pPr>
        <w:spacing w:after="0"/>
        <w:jc w:val="center"/>
        <w:rPr>
          <w:sz w:val="22"/>
        </w:rPr>
        <w:sectPr>
          <w:type w:val="continuous"/>
          <w:pgSz w:w="12240" w:h="15840"/>
          <w:pgMar w:top="3220" w:bottom="280" w:left="1640" w:right="1320"/>
          <w:cols w:num="4" w:equalWidth="0">
            <w:col w:w="4330" w:space="88"/>
            <w:col w:w="1981" w:space="40"/>
            <w:col w:w="1184" w:space="40"/>
            <w:col w:w="1617"/>
          </w:cols>
        </w:sectPr>
      </w:pPr>
    </w:p>
    <w:p>
      <w:pPr>
        <w:spacing w:before="1"/>
        <w:ind w:left="655" w:right="-15" w:firstLine="0"/>
        <w:jc w:val="left"/>
        <w:rPr>
          <w:sz w:val="22"/>
        </w:rPr>
      </w:pPr>
      <w:r>
        <w:rPr>
          <w:spacing w:val="-1"/>
          <w:sz w:val="22"/>
        </w:rPr>
        <w:t>Típico</w:t>
      </w:r>
    </w:p>
    <w:p>
      <w:pPr>
        <w:tabs>
          <w:tab w:pos="3426" w:val="left" w:leader="none"/>
        </w:tabs>
        <w:spacing w:before="1"/>
        <w:ind w:left="669" w:right="0" w:firstLine="0"/>
        <w:jc w:val="left"/>
        <w:rPr>
          <w:sz w:val="22"/>
        </w:rPr>
      </w:pPr>
      <w:r>
        <w:rPr/>
        <w:br w:type="column"/>
      </w:r>
      <w:r>
        <w:rPr>
          <w:sz w:val="22"/>
        </w:rPr>
        <w:t>√</w:t>
        <w:tab/>
        <w:t>√</w:t>
      </w:r>
    </w:p>
    <w:p>
      <w:pPr>
        <w:tabs>
          <w:tab w:pos="3426" w:val="left" w:leader="none"/>
        </w:tabs>
        <w:spacing w:before="1"/>
        <w:ind w:left="655" w:right="0" w:firstLine="0"/>
        <w:jc w:val="left"/>
        <w:rPr>
          <w:sz w:val="22"/>
        </w:rPr>
      </w:pPr>
      <w:r>
        <w:rPr>
          <w:sz w:val="22"/>
        </w:rPr>
        <w:t>--</w:t>
        <w:tab/>
        <w:t>√</w:t>
      </w:r>
    </w:p>
    <w:p>
      <w:pPr>
        <w:tabs>
          <w:tab w:pos="1745" w:val="left" w:leader="none"/>
        </w:tabs>
        <w:spacing w:before="1"/>
        <w:ind w:left="655" w:right="0" w:firstLine="0"/>
        <w:jc w:val="left"/>
        <w:rPr>
          <w:sz w:val="22"/>
        </w:rPr>
      </w:pPr>
      <w:r>
        <w:rPr/>
        <w:br w:type="column"/>
      </w:r>
      <w:r>
        <w:rPr>
          <w:sz w:val="22"/>
          <w:u w:val="single"/>
        </w:rPr>
        <w:t>76</w:t>
      </w:r>
      <w:r>
        <w:rPr>
          <w:sz w:val="22"/>
        </w:rPr>
        <w:tab/>
        <w:t>31.5</w:t>
      </w:r>
      <w:r>
        <w:rPr>
          <w:spacing w:val="2"/>
          <w:sz w:val="22"/>
        </w:rPr>
        <w:t> </w:t>
      </w:r>
      <w:r>
        <w:rPr>
          <w:sz w:val="22"/>
        </w:rPr>
        <w:t>%</w:t>
      </w:r>
    </w:p>
    <w:p>
      <w:pPr>
        <w:spacing w:after="0"/>
        <w:jc w:val="left"/>
        <w:rPr>
          <w:sz w:val="22"/>
        </w:rPr>
        <w:sectPr>
          <w:type w:val="continuous"/>
          <w:pgSz w:w="12240" w:h="15840"/>
          <w:pgMar w:top="3220" w:bottom="280" w:left="1640" w:right="1320"/>
          <w:cols w:num="3" w:equalWidth="0">
            <w:col w:w="1254" w:space="288"/>
            <w:col w:w="3548" w:space="1268"/>
            <w:col w:w="2922"/>
          </w:cols>
        </w:sectPr>
      </w:pPr>
    </w:p>
    <w:p>
      <w:pPr>
        <w:pStyle w:val="BodyText"/>
        <w:spacing w:before="2"/>
        <w:rPr>
          <w:sz w:val="22"/>
        </w:rPr>
      </w:pPr>
    </w:p>
    <w:p>
      <w:pPr>
        <w:pStyle w:val="BodyText"/>
        <w:spacing w:line="20" w:lineRule="exact"/>
        <w:ind w:left="112"/>
        <w:rPr>
          <w:sz w:val="2"/>
        </w:rPr>
      </w:pPr>
      <w:r>
        <w:rPr>
          <w:sz w:val="2"/>
        </w:rPr>
        <w:pict>
          <v:group style="width:452.65pt;height:1pt;mso-position-horizontal-relative:char;mso-position-vertical-relative:line" coordorigin="0,0" coordsize="9053,20">
            <v:line style="position:absolute" from="10,10" to="1681,10" stroked="true" strokeweight=".95999pt" strokecolor="#000000"/>
            <v:line style="position:absolute" from="1681,10" to="1701,10" stroked="true" strokeweight=".95999pt" strokecolor="#000000"/>
            <v:line style="position:absolute" from="1701,10" to="2647,10" stroked="true" strokeweight=".95999pt" strokecolor="#000000"/>
            <v:line style="position:absolute" from="2647,10" to="2666,10" stroked="true" strokeweight=".95999pt" strokecolor="#000000"/>
            <v:line style="position:absolute" from="2666,10" to="4428,10" stroked="true" strokeweight=".95999pt" strokecolor="#000000"/>
            <v:line style="position:absolute" from="4428,10" to="4447,10" stroked="true" strokeweight=".95999pt" strokecolor="#000000"/>
            <v:line style="position:absolute" from="4447,10" to="5412,10" stroked="true" strokeweight=".95999pt" strokecolor="#000000"/>
            <v:line style="position:absolute" from="5412,10" to="5432,10" stroked="true" strokeweight=".95999pt" strokecolor="#000000"/>
            <v:line style="position:absolute" from="5432,10" to="6426,10" stroked="true" strokeweight=".95999pt" strokecolor="#000000"/>
            <v:line style="position:absolute" from="6426,10" to="6445,10" stroked="true" strokeweight=".95999pt" strokecolor="#000000"/>
            <v:line style="position:absolute" from="6445,10" to="7631,10" stroked="true" strokeweight=".95999pt" strokecolor="#000000"/>
            <v:line style="position:absolute" from="7631,10" to="7650,10" stroked="true" strokeweight=".95999pt" strokecolor="#000000"/>
            <v:line style="position:absolute" from="7650,10" to="9043,10" stroked="true" strokeweight=".95999pt" strokecolor="#000000"/>
          </v:group>
        </w:pict>
      </w:r>
      <w:r>
        <w:rPr>
          <w:sz w:val="2"/>
        </w:rPr>
      </w:r>
    </w:p>
    <w:p>
      <w:pPr>
        <w:tabs>
          <w:tab w:pos="1713" w:val="left" w:leader="none"/>
          <w:tab w:pos="5468" w:val="left" w:leader="none"/>
          <w:tab w:pos="6578" w:val="left" w:leader="none"/>
          <w:tab w:pos="7668" w:val="left" w:leader="none"/>
        </w:tabs>
        <w:spacing w:line="319" w:lineRule="exact" w:before="0"/>
        <w:ind w:left="0" w:right="50" w:firstLine="0"/>
        <w:jc w:val="center"/>
        <w:rPr>
          <w:sz w:val="22"/>
        </w:rPr>
      </w:pPr>
      <w:r>
        <w:rPr>
          <w:sz w:val="22"/>
        </w:rPr>
        <w:t>Subtípico</w:t>
        <w:tab/>
      </w:r>
      <w:r>
        <w:rPr>
          <w:position w:val="14"/>
          <w:sz w:val="22"/>
        </w:rPr>
        <w:t>√</w:t>
        <w:tab/>
        <w:t>√</w:t>
        <w:tab/>
      </w:r>
      <w:r>
        <w:rPr>
          <w:sz w:val="22"/>
          <w:u w:val="single"/>
        </w:rPr>
        <w:t>9</w:t>
      </w:r>
      <w:r>
        <w:rPr>
          <w:sz w:val="22"/>
        </w:rPr>
        <w:tab/>
        <w:t>3.3 %</w:t>
      </w:r>
    </w:p>
    <w:p>
      <w:pPr>
        <w:tabs>
          <w:tab w:pos="5965" w:val="left" w:leader="none"/>
        </w:tabs>
        <w:spacing w:line="184" w:lineRule="exact" w:before="0"/>
        <w:ind w:left="2196" w:right="116" w:firstLine="0"/>
        <w:jc w:val="left"/>
        <w:rPr>
          <w:sz w:val="22"/>
        </w:rPr>
      </w:pPr>
      <w:r>
        <w:rPr/>
        <w:pict>
          <v:group style="position:absolute;margin-left:87.603996pt;margin-top:10.453414pt;width:452.65pt;height:1pt;mso-position-horizontal-relative:page;mso-position-vertical-relative:paragraph;z-index:1432;mso-wrap-distance-left:0;mso-wrap-distance-right:0" coordorigin="1752,209" coordsize="9053,20">
            <v:line style="position:absolute" from="1762,219" to="3433,219" stroked="true" strokeweight=".95999pt" strokecolor="#000000"/>
            <v:line style="position:absolute" from="3433,219" to="3453,219" stroked="true" strokeweight=".95999pt" strokecolor="#000000"/>
            <v:line style="position:absolute" from="3453,219" to="4399,219" stroked="true" strokeweight=".95999pt" strokecolor="#000000"/>
            <v:line style="position:absolute" from="4399,219" to="4418,219" stroked="true" strokeweight=".95999pt" strokecolor="#000000"/>
            <v:line style="position:absolute" from="4418,219" to="6180,219" stroked="true" strokeweight=".95999pt" strokecolor="#000000"/>
            <v:line style="position:absolute" from="6180,219" to="6199,219" stroked="true" strokeweight=".95999pt" strokecolor="#000000"/>
            <v:line style="position:absolute" from="6199,219" to="7164,219" stroked="true" strokeweight=".95999pt" strokecolor="#000000"/>
            <v:line style="position:absolute" from="7164,219" to="7184,219" stroked="true" strokeweight=".95999pt" strokecolor="#000000"/>
            <v:line style="position:absolute" from="7184,219" to="8178,219" stroked="true" strokeweight=".95999pt" strokecolor="#000000"/>
            <v:line style="position:absolute" from="8178,219" to="8197,219" stroked="true" strokeweight=".95999pt" strokecolor="#000000"/>
            <v:line style="position:absolute" from="8197,219" to="9383,219" stroked="true" strokeweight=".95999pt" strokecolor="#000000"/>
            <v:line style="position:absolute" from="9383,219" to="9402,219" stroked="true" strokeweight=".95999pt" strokecolor="#000000"/>
            <v:line style="position:absolute" from="9402,219" to="10795,219" stroked="true" strokeweight=".95999pt" strokecolor="#000000"/>
            <w10:wrap type="topAndBottom"/>
          </v:group>
        </w:pict>
      </w:r>
      <w:r>
        <w:rPr>
          <w:sz w:val="22"/>
        </w:rPr>
        <w:t>--</w:t>
        <w:tab/>
        <w:t>√</w:t>
      </w:r>
    </w:p>
    <w:p>
      <w:pPr>
        <w:tabs>
          <w:tab w:pos="1632" w:val="left" w:leader="none"/>
          <w:tab w:pos="2991" w:val="left" w:leader="none"/>
          <w:tab w:pos="4375" w:val="left" w:leader="none"/>
          <w:tab w:pos="5373" w:val="left" w:leader="none"/>
          <w:tab w:pos="6434" w:val="left" w:leader="none"/>
          <w:tab w:pos="7620" w:val="left" w:leader="none"/>
        </w:tabs>
        <w:spacing w:line="284" w:lineRule="exact" w:before="0"/>
        <w:ind w:left="43" w:right="0" w:firstLine="0"/>
        <w:jc w:val="center"/>
        <w:rPr>
          <w:sz w:val="22"/>
        </w:rPr>
      </w:pPr>
      <w:r>
        <w:rPr>
          <w:sz w:val="22"/>
        </w:rPr>
        <w:t>Atípico</w:t>
        <w:tab/>
      </w:r>
      <w:r>
        <w:rPr>
          <w:position w:val="13"/>
          <w:sz w:val="22"/>
        </w:rPr>
        <w:t>√</w:t>
        <w:tab/>
        <w:t>--</w:t>
        <w:tab/>
        <w:t>--</w:t>
        <w:tab/>
        <w:t>--</w:t>
        <w:tab/>
      </w:r>
      <w:r>
        <w:rPr>
          <w:position w:val="13"/>
          <w:sz w:val="22"/>
          <w:u w:val="single"/>
        </w:rPr>
        <w:t>15</w:t>
      </w:r>
      <w:r>
        <w:rPr>
          <w:position w:val="13"/>
          <w:sz w:val="22"/>
        </w:rPr>
        <w:tab/>
      </w:r>
      <w:r>
        <w:rPr>
          <w:sz w:val="22"/>
        </w:rPr>
        <w:t>2.5%</w:t>
      </w:r>
    </w:p>
    <w:p>
      <w:pPr>
        <w:tabs>
          <w:tab w:pos="3569" w:val="left" w:leader="none"/>
          <w:tab w:pos="4953" w:val="left" w:leader="none"/>
          <w:tab w:pos="5951" w:val="left" w:leader="none"/>
        </w:tabs>
        <w:spacing w:line="189" w:lineRule="exact" w:before="0"/>
        <w:ind w:left="2196" w:right="116" w:firstLine="0"/>
        <w:jc w:val="left"/>
        <w:rPr>
          <w:sz w:val="22"/>
        </w:rPr>
      </w:pPr>
      <w:r>
        <w:rPr>
          <w:sz w:val="22"/>
        </w:rPr>
        <w:t>--</w:t>
        <w:tab/>
        <w:t>--</w:t>
        <w:tab/>
        <w:t>--</w:t>
        <w:tab/>
        <w:t>--</w:t>
      </w:r>
    </w:p>
    <w:p>
      <w:pPr>
        <w:tabs>
          <w:tab w:pos="2607" w:val="left" w:leader="none"/>
          <w:tab w:pos="9046" w:val="left" w:leader="none"/>
        </w:tabs>
        <w:spacing w:before="1"/>
        <w:ind w:left="0" w:right="15" w:firstLine="0"/>
        <w:jc w:val="center"/>
        <w:rPr>
          <w:sz w:val="22"/>
        </w:rPr>
      </w:pPr>
      <w:r>
        <w:rPr>
          <w:rFonts w:ascii="Times New Roman" w:hAnsi="Times New Roman"/>
          <w:w w:val="100"/>
          <w:sz w:val="22"/>
          <w:u w:val="single"/>
        </w:rPr>
        <w:t> </w:t>
      </w:r>
      <w:r>
        <w:rPr>
          <w:rFonts w:ascii="Times New Roman" w:hAnsi="Times New Roman"/>
          <w:sz w:val="22"/>
          <w:u w:val="single"/>
        </w:rPr>
        <w:tab/>
      </w:r>
      <w:r>
        <w:rPr>
          <w:sz w:val="22"/>
          <w:u w:val="single"/>
        </w:rPr>
        <w:t>√= Presencia; -- =</w:t>
      </w:r>
      <w:r>
        <w:rPr>
          <w:spacing w:val="-10"/>
          <w:sz w:val="22"/>
          <w:u w:val="single"/>
        </w:rPr>
        <w:t> </w:t>
      </w:r>
      <w:r>
        <w:rPr>
          <w:sz w:val="22"/>
          <w:u w:val="single"/>
        </w:rPr>
        <w:t>Ausencia</w:t>
        <w:tab/>
      </w:r>
    </w:p>
    <w:p>
      <w:pPr>
        <w:pStyle w:val="BodyText"/>
        <w:rPr>
          <w:sz w:val="20"/>
        </w:rPr>
      </w:pPr>
    </w:p>
    <w:p>
      <w:pPr>
        <w:pStyle w:val="BodyText"/>
        <w:spacing w:before="3"/>
        <w:rPr>
          <w:sz w:val="29"/>
        </w:rPr>
      </w:pPr>
    </w:p>
    <w:p>
      <w:pPr>
        <w:pStyle w:val="BodyText"/>
        <w:spacing w:line="360" w:lineRule="auto" w:before="69"/>
        <w:ind w:left="232" w:right="209"/>
        <w:jc w:val="both"/>
      </w:pPr>
      <w:r>
        <w:rPr/>
        <w:t>La evaluación clínica mostro que los cambios más relevantes presentados por los 100 pacientes positivos a CPV-2 fueron presencia o ausencia de vómito, presencia o ausencia de diarrea, modificaciones a la palpación abdominal (dolor, distención abdominal, asas intestinales engrosadas, linfonodos aumentados, cambios en temperatura (fiebre), la presencia de estos cuadros clínicos mostro 17 combinaciones distintas y entre las más relevantes se observan la ausencia de</w:t>
      </w:r>
    </w:p>
    <w:p>
      <w:pPr>
        <w:spacing w:after="0" w:line="360" w:lineRule="auto"/>
        <w:jc w:val="both"/>
        <w:sectPr>
          <w:type w:val="continuous"/>
          <w:pgSz w:w="12240" w:h="15840"/>
          <w:pgMar w:top="3220" w:bottom="280" w:left="1640" w:right="1320"/>
        </w:sectPr>
      </w:pPr>
    </w:p>
    <w:p>
      <w:pPr>
        <w:pStyle w:val="BodyText"/>
        <w:spacing w:before="2"/>
        <w:rPr>
          <w:sz w:val="18"/>
        </w:rPr>
      </w:pPr>
    </w:p>
    <w:p>
      <w:pPr>
        <w:pStyle w:val="BodyText"/>
        <w:spacing w:line="355" w:lineRule="auto" w:before="70"/>
        <w:ind w:left="232" w:right="154"/>
        <w:jc w:val="both"/>
      </w:pPr>
      <w:r>
        <w:rPr/>
        <w:t>signos clínicos (A) y cuadros clínicos con vómito y diarrea presentados por el 53% de los pacientes evaluados (M,N,Ñ) (Tabla 2).</w:t>
      </w:r>
    </w:p>
    <w:p>
      <w:pPr>
        <w:pStyle w:val="BodyText"/>
        <w:rPr>
          <w:sz w:val="20"/>
        </w:rPr>
      </w:pPr>
    </w:p>
    <w:p>
      <w:pPr>
        <w:pStyle w:val="BodyText"/>
        <w:rPr>
          <w:sz w:val="20"/>
        </w:rPr>
      </w:pPr>
    </w:p>
    <w:p>
      <w:pPr>
        <w:pStyle w:val="BodyText"/>
        <w:rPr>
          <w:sz w:val="29"/>
        </w:r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39"/>
        <w:gridCol w:w="1261"/>
        <w:gridCol w:w="1124"/>
        <w:gridCol w:w="1278"/>
        <w:gridCol w:w="1320"/>
        <w:gridCol w:w="1499"/>
        <w:gridCol w:w="1210"/>
      </w:tblGrid>
      <w:tr>
        <w:trPr>
          <w:trHeight w:val="361" w:hRule="exact"/>
        </w:trPr>
        <w:tc>
          <w:tcPr>
            <w:tcW w:w="8831" w:type="dxa"/>
            <w:gridSpan w:val="7"/>
            <w:tcBorders>
              <w:bottom w:val="single" w:sz="8" w:space="0" w:color="000000"/>
            </w:tcBorders>
          </w:tcPr>
          <w:p>
            <w:pPr>
              <w:pStyle w:val="TableParagraph"/>
              <w:spacing w:line="226" w:lineRule="exact"/>
              <w:ind w:left="125"/>
              <w:rPr>
                <w:sz w:val="22"/>
              </w:rPr>
            </w:pPr>
            <w:r>
              <w:rPr>
                <w:sz w:val="22"/>
              </w:rPr>
              <w:t>Tabla 2. Cuadros clínicos presentados en los 100 pacientes positivos a PVC-2</w:t>
            </w:r>
          </w:p>
        </w:tc>
      </w:tr>
      <w:tr>
        <w:trPr>
          <w:trHeight w:val="1032" w:hRule="exact"/>
        </w:trPr>
        <w:tc>
          <w:tcPr>
            <w:tcW w:w="1139" w:type="dxa"/>
            <w:tcBorders>
              <w:top w:val="single" w:sz="8" w:space="0" w:color="000000"/>
              <w:bottom w:val="single" w:sz="8" w:space="0" w:color="000000"/>
            </w:tcBorders>
          </w:tcPr>
          <w:p>
            <w:pPr>
              <w:pStyle w:val="TableParagraph"/>
              <w:spacing w:before="8"/>
              <w:rPr>
                <w:sz w:val="21"/>
              </w:rPr>
            </w:pPr>
          </w:p>
          <w:p>
            <w:pPr>
              <w:pStyle w:val="TableParagraph"/>
              <w:ind w:left="182" w:right="268" w:hanging="53"/>
              <w:rPr>
                <w:sz w:val="22"/>
              </w:rPr>
            </w:pPr>
            <w:r>
              <w:rPr>
                <w:sz w:val="22"/>
              </w:rPr>
              <w:t>Cuadro clínico</w:t>
            </w:r>
          </w:p>
        </w:tc>
        <w:tc>
          <w:tcPr>
            <w:tcW w:w="1261" w:type="dxa"/>
            <w:tcBorders>
              <w:top w:val="single" w:sz="8" w:space="0" w:color="000000"/>
              <w:bottom w:val="single" w:sz="8" w:space="0" w:color="000000"/>
            </w:tcBorders>
          </w:tcPr>
          <w:p>
            <w:pPr>
              <w:pStyle w:val="TableParagraph"/>
              <w:rPr>
                <w:sz w:val="22"/>
              </w:rPr>
            </w:pPr>
          </w:p>
          <w:p>
            <w:pPr>
              <w:pStyle w:val="TableParagraph"/>
              <w:spacing w:before="126"/>
              <w:ind w:left="268" w:right="266"/>
              <w:jc w:val="center"/>
              <w:rPr>
                <w:sz w:val="22"/>
              </w:rPr>
            </w:pPr>
            <w:r>
              <w:rPr>
                <w:sz w:val="22"/>
              </w:rPr>
              <w:t>Vómito</w:t>
            </w:r>
          </w:p>
        </w:tc>
        <w:tc>
          <w:tcPr>
            <w:tcW w:w="1124" w:type="dxa"/>
            <w:tcBorders>
              <w:top w:val="single" w:sz="8" w:space="0" w:color="000000"/>
              <w:bottom w:val="single" w:sz="8" w:space="0" w:color="000000"/>
            </w:tcBorders>
          </w:tcPr>
          <w:p>
            <w:pPr>
              <w:pStyle w:val="TableParagraph"/>
              <w:rPr>
                <w:sz w:val="22"/>
              </w:rPr>
            </w:pPr>
          </w:p>
          <w:p>
            <w:pPr>
              <w:pStyle w:val="TableParagraph"/>
              <w:spacing w:before="126"/>
              <w:ind w:left="265" w:right="97"/>
              <w:jc w:val="center"/>
              <w:rPr>
                <w:sz w:val="22"/>
              </w:rPr>
            </w:pPr>
            <w:r>
              <w:rPr>
                <w:sz w:val="22"/>
              </w:rPr>
              <w:t>Diarrea</w:t>
            </w:r>
          </w:p>
        </w:tc>
        <w:tc>
          <w:tcPr>
            <w:tcW w:w="1278" w:type="dxa"/>
            <w:tcBorders>
              <w:top w:val="single" w:sz="8" w:space="0" w:color="000000"/>
              <w:bottom w:val="single" w:sz="8" w:space="0" w:color="000000"/>
            </w:tcBorders>
          </w:tcPr>
          <w:p>
            <w:pPr>
              <w:pStyle w:val="TableParagraph"/>
              <w:ind w:left="116" w:right="118" w:hanging="6"/>
              <w:jc w:val="center"/>
              <w:rPr>
                <w:sz w:val="22"/>
              </w:rPr>
            </w:pPr>
            <w:r>
              <w:rPr>
                <w:sz w:val="22"/>
              </w:rPr>
              <w:t>Cambios en   palpación Abdominal</w:t>
            </w:r>
          </w:p>
        </w:tc>
        <w:tc>
          <w:tcPr>
            <w:tcW w:w="1320" w:type="dxa"/>
            <w:tcBorders>
              <w:top w:val="single" w:sz="8" w:space="0" w:color="000000"/>
              <w:bottom w:val="single" w:sz="8" w:space="0" w:color="000000"/>
            </w:tcBorders>
          </w:tcPr>
          <w:p>
            <w:pPr>
              <w:pStyle w:val="TableParagraph"/>
              <w:rPr>
                <w:sz w:val="22"/>
              </w:rPr>
            </w:pPr>
          </w:p>
          <w:p>
            <w:pPr>
              <w:pStyle w:val="TableParagraph"/>
              <w:spacing w:before="126"/>
              <w:ind w:left="101" w:right="101"/>
              <w:jc w:val="center"/>
              <w:rPr>
                <w:sz w:val="22"/>
              </w:rPr>
            </w:pPr>
            <w:r>
              <w:rPr>
                <w:sz w:val="22"/>
              </w:rPr>
              <w:t>Linfonodos</w:t>
            </w:r>
          </w:p>
        </w:tc>
        <w:tc>
          <w:tcPr>
            <w:tcW w:w="1499" w:type="dxa"/>
            <w:tcBorders>
              <w:top w:val="single" w:sz="8" w:space="0" w:color="000000"/>
              <w:bottom w:val="single" w:sz="8" w:space="0" w:color="000000"/>
            </w:tcBorders>
          </w:tcPr>
          <w:p>
            <w:pPr>
              <w:pStyle w:val="TableParagraph"/>
              <w:rPr>
                <w:sz w:val="22"/>
              </w:rPr>
            </w:pPr>
          </w:p>
          <w:p>
            <w:pPr>
              <w:pStyle w:val="TableParagraph"/>
              <w:spacing w:before="126"/>
              <w:ind w:left="100" w:right="99"/>
              <w:jc w:val="center"/>
              <w:rPr>
                <w:sz w:val="22"/>
              </w:rPr>
            </w:pPr>
            <w:r>
              <w:rPr>
                <w:sz w:val="22"/>
              </w:rPr>
              <w:t>Temperatura</w:t>
            </w:r>
          </w:p>
        </w:tc>
        <w:tc>
          <w:tcPr>
            <w:tcW w:w="1210" w:type="dxa"/>
            <w:tcBorders>
              <w:top w:val="single" w:sz="8" w:space="0" w:color="000000"/>
              <w:bottom w:val="single" w:sz="8" w:space="0" w:color="000000"/>
            </w:tcBorders>
          </w:tcPr>
          <w:p>
            <w:pPr>
              <w:pStyle w:val="TableParagraph"/>
              <w:spacing w:before="8"/>
              <w:rPr>
                <w:sz w:val="21"/>
              </w:rPr>
            </w:pPr>
          </w:p>
          <w:p>
            <w:pPr>
              <w:pStyle w:val="TableParagraph"/>
              <w:ind w:left="119" w:right="104" w:firstLine="364"/>
              <w:rPr>
                <w:sz w:val="22"/>
              </w:rPr>
            </w:pPr>
            <w:r>
              <w:rPr>
                <w:sz w:val="22"/>
              </w:rPr>
              <w:t>Nº Pacientes</w:t>
            </w:r>
          </w:p>
        </w:tc>
      </w:tr>
      <w:tr>
        <w:trPr>
          <w:trHeight w:val="272" w:hRule="exact"/>
        </w:trPr>
        <w:tc>
          <w:tcPr>
            <w:tcW w:w="1139" w:type="dxa"/>
            <w:tcBorders>
              <w:top w:val="single" w:sz="8" w:space="0" w:color="000000"/>
            </w:tcBorders>
          </w:tcPr>
          <w:p>
            <w:pPr>
              <w:pStyle w:val="TableParagraph"/>
              <w:ind w:left="418"/>
              <w:rPr>
                <w:sz w:val="22"/>
              </w:rPr>
            </w:pPr>
            <w:r>
              <w:rPr>
                <w:w w:val="100"/>
                <w:sz w:val="22"/>
              </w:rPr>
              <w:t>A</w:t>
            </w:r>
          </w:p>
        </w:tc>
        <w:tc>
          <w:tcPr>
            <w:tcW w:w="1261" w:type="dxa"/>
            <w:tcBorders>
              <w:top w:val="single" w:sz="8" w:space="0" w:color="000000"/>
            </w:tcBorders>
          </w:tcPr>
          <w:p>
            <w:pPr>
              <w:pStyle w:val="TableParagraph"/>
              <w:ind w:left="264" w:right="266"/>
              <w:jc w:val="center"/>
              <w:rPr>
                <w:sz w:val="22"/>
              </w:rPr>
            </w:pPr>
            <w:r>
              <w:rPr>
                <w:sz w:val="22"/>
              </w:rPr>
              <w:t>--</w:t>
            </w:r>
          </w:p>
        </w:tc>
        <w:tc>
          <w:tcPr>
            <w:tcW w:w="1124" w:type="dxa"/>
            <w:tcBorders>
              <w:top w:val="single" w:sz="8" w:space="0" w:color="000000"/>
            </w:tcBorders>
          </w:tcPr>
          <w:p>
            <w:pPr>
              <w:pStyle w:val="TableParagraph"/>
              <w:ind w:left="253" w:right="97"/>
              <w:jc w:val="center"/>
              <w:rPr>
                <w:sz w:val="22"/>
              </w:rPr>
            </w:pPr>
            <w:r>
              <w:rPr>
                <w:sz w:val="22"/>
              </w:rPr>
              <w:t>--</w:t>
            </w:r>
          </w:p>
        </w:tc>
        <w:tc>
          <w:tcPr>
            <w:tcW w:w="1278" w:type="dxa"/>
            <w:tcBorders>
              <w:top w:val="single" w:sz="8" w:space="0" w:color="000000"/>
            </w:tcBorders>
          </w:tcPr>
          <w:p>
            <w:pPr>
              <w:pStyle w:val="TableParagraph"/>
              <w:ind w:right="7"/>
              <w:jc w:val="center"/>
              <w:rPr>
                <w:sz w:val="22"/>
              </w:rPr>
            </w:pPr>
            <w:r>
              <w:rPr>
                <w:w w:val="100"/>
                <w:sz w:val="22"/>
              </w:rPr>
              <w:t>Ø</w:t>
            </w:r>
          </w:p>
        </w:tc>
        <w:tc>
          <w:tcPr>
            <w:tcW w:w="1320" w:type="dxa"/>
            <w:tcBorders>
              <w:top w:val="single" w:sz="8" w:space="0" w:color="000000"/>
            </w:tcBorders>
          </w:tcPr>
          <w:p>
            <w:pPr>
              <w:pStyle w:val="TableParagraph"/>
              <w:ind w:right="2"/>
              <w:jc w:val="center"/>
              <w:rPr>
                <w:sz w:val="22"/>
              </w:rPr>
            </w:pPr>
            <w:r>
              <w:rPr>
                <w:w w:val="100"/>
                <w:sz w:val="22"/>
              </w:rPr>
              <w:t>Ø</w:t>
            </w:r>
          </w:p>
        </w:tc>
        <w:tc>
          <w:tcPr>
            <w:tcW w:w="1499" w:type="dxa"/>
            <w:tcBorders>
              <w:top w:val="single" w:sz="8" w:space="0" w:color="000000"/>
            </w:tcBorders>
          </w:tcPr>
          <w:p>
            <w:pPr>
              <w:pStyle w:val="TableParagraph"/>
              <w:jc w:val="center"/>
              <w:rPr>
                <w:sz w:val="22"/>
              </w:rPr>
            </w:pPr>
            <w:r>
              <w:rPr>
                <w:w w:val="100"/>
                <w:sz w:val="22"/>
              </w:rPr>
              <w:t>Ø</w:t>
            </w:r>
          </w:p>
        </w:tc>
        <w:tc>
          <w:tcPr>
            <w:tcW w:w="1210" w:type="dxa"/>
            <w:tcBorders>
              <w:top w:val="single" w:sz="8" w:space="0" w:color="000000"/>
            </w:tcBorders>
          </w:tcPr>
          <w:p>
            <w:pPr>
              <w:pStyle w:val="TableParagraph"/>
              <w:jc w:val="center"/>
              <w:rPr>
                <w:sz w:val="22"/>
              </w:rPr>
            </w:pPr>
            <w:r>
              <w:rPr>
                <w:w w:val="100"/>
                <w:sz w:val="22"/>
              </w:rPr>
              <w:t>4</w:t>
            </w:r>
          </w:p>
        </w:tc>
      </w:tr>
      <w:tr>
        <w:trPr>
          <w:trHeight w:val="252" w:hRule="exact"/>
        </w:trPr>
        <w:tc>
          <w:tcPr>
            <w:tcW w:w="1139" w:type="dxa"/>
          </w:tcPr>
          <w:p>
            <w:pPr>
              <w:pStyle w:val="TableParagraph"/>
              <w:spacing w:line="240" w:lineRule="exact"/>
              <w:ind w:left="418"/>
              <w:rPr>
                <w:sz w:val="22"/>
              </w:rPr>
            </w:pPr>
            <w:r>
              <w:rPr>
                <w:w w:val="100"/>
                <w:sz w:val="22"/>
              </w:rPr>
              <w:t>B</w:t>
            </w:r>
          </w:p>
        </w:tc>
        <w:tc>
          <w:tcPr>
            <w:tcW w:w="1261" w:type="dxa"/>
          </w:tcPr>
          <w:p>
            <w:pPr>
              <w:pStyle w:val="TableParagraph"/>
              <w:spacing w:line="240" w:lineRule="exact"/>
              <w:ind w:left="264" w:right="266"/>
              <w:jc w:val="center"/>
              <w:rPr>
                <w:sz w:val="22"/>
              </w:rPr>
            </w:pPr>
            <w:r>
              <w:rPr>
                <w:sz w:val="22"/>
              </w:rPr>
              <w:t>--</w:t>
            </w:r>
          </w:p>
        </w:tc>
        <w:tc>
          <w:tcPr>
            <w:tcW w:w="1124" w:type="dxa"/>
          </w:tcPr>
          <w:p>
            <w:pPr>
              <w:pStyle w:val="TableParagraph"/>
              <w:spacing w:line="240" w:lineRule="exact"/>
              <w:ind w:left="162"/>
              <w:jc w:val="center"/>
              <w:rPr>
                <w:sz w:val="22"/>
              </w:rPr>
            </w:pPr>
            <w:r>
              <w:rPr>
                <w:w w:val="100"/>
                <w:sz w:val="22"/>
              </w:rPr>
              <w:t>√</w:t>
            </w:r>
          </w:p>
        </w:tc>
        <w:tc>
          <w:tcPr>
            <w:tcW w:w="1278" w:type="dxa"/>
          </w:tcPr>
          <w:p>
            <w:pPr>
              <w:pStyle w:val="TableParagraph"/>
              <w:spacing w:line="240" w:lineRule="exact"/>
              <w:ind w:right="7"/>
              <w:jc w:val="center"/>
              <w:rPr>
                <w:sz w:val="22"/>
              </w:rPr>
            </w:pPr>
            <w:r>
              <w:rPr>
                <w:w w:val="100"/>
                <w:sz w:val="22"/>
              </w:rPr>
              <w:t>Ø</w:t>
            </w:r>
          </w:p>
        </w:tc>
        <w:tc>
          <w:tcPr>
            <w:tcW w:w="1320" w:type="dxa"/>
          </w:tcPr>
          <w:p>
            <w:pPr>
              <w:pStyle w:val="TableParagraph"/>
              <w:spacing w:line="240" w:lineRule="exact"/>
              <w:ind w:right="2"/>
              <w:jc w:val="center"/>
              <w:rPr>
                <w:sz w:val="22"/>
              </w:rPr>
            </w:pPr>
            <w:r>
              <w:rPr>
                <w:w w:val="100"/>
                <w:sz w:val="22"/>
              </w:rPr>
              <w:t>Ø</w:t>
            </w:r>
          </w:p>
        </w:tc>
        <w:tc>
          <w:tcPr>
            <w:tcW w:w="1499" w:type="dxa"/>
          </w:tcPr>
          <w:p>
            <w:pPr>
              <w:pStyle w:val="TableParagraph"/>
              <w:spacing w:line="240" w:lineRule="exact"/>
              <w:jc w:val="center"/>
              <w:rPr>
                <w:sz w:val="22"/>
              </w:rPr>
            </w:pPr>
            <w:r>
              <w:rPr>
                <w:w w:val="100"/>
                <w:sz w:val="22"/>
              </w:rPr>
              <w:t>Ø</w:t>
            </w:r>
          </w:p>
        </w:tc>
        <w:tc>
          <w:tcPr>
            <w:tcW w:w="1210" w:type="dxa"/>
          </w:tcPr>
          <w:p>
            <w:pPr>
              <w:pStyle w:val="TableParagraph"/>
              <w:spacing w:line="240" w:lineRule="exact"/>
              <w:jc w:val="center"/>
              <w:rPr>
                <w:sz w:val="22"/>
              </w:rPr>
            </w:pPr>
            <w:r>
              <w:rPr>
                <w:w w:val="100"/>
                <w:sz w:val="22"/>
              </w:rPr>
              <w:t>3</w:t>
            </w:r>
          </w:p>
        </w:tc>
      </w:tr>
      <w:tr>
        <w:trPr>
          <w:trHeight w:val="254" w:hRule="exact"/>
        </w:trPr>
        <w:tc>
          <w:tcPr>
            <w:tcW w:w="1139" w:type="dxa"/>
          </w:tcPr>
          <w:p>
            <w:pPr>
              <w:pStyle w:val="TableParagraph"/>
              <w:spacing w:line="242" w:lineRule="exact"/>
              <w:ind w:left="413"/>
              <w:rPr>
                <w:sz w:val="22"/>
              </w:rPr>
            </w:pPr>
            <w:r>
              <w:rPr>
                <w:w w:val="100"/>
                <w:sz w:val="22"/>
              </w:rPr>
              <w:t>C</w:t>
            </w:r>
          </w:p>
        </w:tc>
        <w:tc>
          <w:tcPr>
            <w:tcW w:w="1261" w:type="dxa"/>
          </w:tcPr>
          <w:p>
            <w:pPr>
              <w:pStyle w:val="TableParagraph"/>
              <w:spacing w:line="242" w:lineRule="exact"/>
              <w:ind w:left="264" w:right="266"/>
              <w:jc w:val="center"/>
              <w:rPr>
                <w:sz w:val="22"/>
              </w:rPr>
            </w:pPr>
            <w:r>
              <w:rPr>
                <w:sz w:val="22"/>
              </w:rPr>
              <w:t>--</w:t>
            </w:r>
          </w:p>
        </w:tc>
        <w:tc>
          <w:tcPr>
            <w:tcW w:w="1124" w:type="dxa"/>
          </w:tcPr>
          <w:p>
            <w:pPr>
              <w:pStyle w:val="TableParagraph"/>
              <w:spacing w:line="242" w:lineRule="exact"/>
              <w:ind w:left="162"/>
              <w:jc w:val="center"/>
              <w:rPr>
                <w:sz w:val="22"/>
              </w:rPr>
            </w:pPr>
            <w:r>
              <w:rPr>
                <w:w w:val="100"/>
                <w:sz w:val="22"/>
              </w:rPr>
              <w:t>√</w:t>
            </w:r>
          </w:p>
        </w:tc>
        <w:tc>
          <w:tcPr>
            <w:tcW w:w="1278" w:type="dxa"/>
          </w:tcPr>
          <w:p>
            <w:pPr>
              <w:pStyle w:val="TableParagraph"/>
              <w:spacing w:line="242" w:lineRule="exact"/>
              <w:ind w:left="460" w:right="460"/>
              <w:jc w:val="center"/>
              <w:rPr>
                <w:sz w:val="22"/>
              </w:rPr>
            </w:pPr>
            <w:r>
              <w:rPr>
                <w:sz w:val="22"/>
              </w:rPr>
              <w:t>AØ</w:t>
            </w:r>
          </w:p>
        </w:tc>
        <w:tc>
          <w:tcPr>
            <w:tcW w:w="1320" w:type="dxa"/>
          </w:tcPr>
          <w:p>
            <w:pPr>
              <w:pStyle w:val="TableParagraph"/>
              <w:spacing w:line="242" w:lineRule="exact"/>
              <w:ind w:right="2"/>
              <w:jc w:val="center"/>
              <w:rPr>
                <w:sz w:val="22"/>
              </w:rPr>
            </w:pPr>
            <w:r>
              <w:rPr>
                <w:w w:val="100"/>
                <w:sz w:val="22"/>
              </w:rPr>
              <w:t>Ø</w:t>
            </w:r>
          </w:p>
        </w:tc>
        <w:tc>
          <w:tcPr>
            <w:tcW w:w="1499" w:type="dxa"/>
          </w:tcPr>
          <w:p>
            <w:pPr>
              <w:pStyle w:val="TableParagraph"/>
              <w:spacing w:line="242" w:lineRule="exact"/>
              <w:jc w:val="center"/>
              <w:rPr>
                <w:sz w:val="22"/>
              </w:rPr>
            </w:pPr>
            <w:r>
              <w:rPr>
                <w:w w:val="100"/>
                <w:sz w:val="22"/>
              </w:rPr>
              <w:t>Ø</w:t>
            </w:r>
          </w:p>
        </w:tc>
        <w:tc>
          <w:tcPr>
            <w:tcW w:w="1210" w:type="dxa"/>
          </w:tcPr>
          <w:p>
            <w:pPr>
              <w:pStyle w:val="TableParagraph"/>
              <w:spacing w:line="242" w:lineRule="exact"/>
              <w:jc w:val="center"/>
              <w:rPr>
                <w:sz w:val="22"/>
              </w:rPr>
            </w:pPr>
            <w:r>
              <w:rPr>
                <w:w w:val="100"/>
                <w:sz w:val="22"/>
              </w:rPr>
              <w:t>6</w:t>
            </w:r>
          </w:p>
        </w:tc>
      </w:tr>
      <w:tr>
        <w:trPr>
          <w:trHeight w:val="252" w:hRule="exact"/>
        </w:trPr>
        <w:tc>
          <w:tcPr>
            <w:tcW w:w="1139" w:type="dxa"/>
          </w:tcPr>
          <w:p>
            <w:pPr>
              <w:pStyle w:val="TableParagraph"/>
              <w:spacing w:line="242" w:lineRule="exact"/>
              <w:ind w:left="413"/>
              <w:rPr>
                <w:sz w:val="22"/>
              </w:rPr>
            </w:pPr>
            <w:r>
              <w:rPr>
                <w:w w:val="100"/>
                <w:sz w:val="22"/>
              </w:rPr>
              <w:t>D</w:t>
            </w:r>
          </w:p>
        </w:tc>
        <w:tc>
          <w:tcPr>
            <w:tcW w:w="1261" w:type="dxa"/>
          </w:tcPr>
          <w:p>
            <w:pPr>
              <w:pStyle w:val="TableParagraph"/>
              <w:spacing w:line="242" w:lineRule="exact"/>
              <w:ind w:left="264" w:right="266"/>
              <w:jc w:val="center"/>
              <w:rPr>
                <w:sz w:val="22"/>
              </w:rPr>
            </w:pPr>
            <w:r>
              <w:rPr>
                <w:sz w:val="22"/>
              </w:rPr>
              <w:t>--</w:t>
            </w:r>
          </w:p>
        </w:tc>
        <w:tc>
          <w:tcPr>
            <w:tcW w:w="1124" w:type="dxa"/>
          </w:tcPr>
          <w:p>
            <w:pPr>
              <w:pStyle w:val="TableParagraph"/>
              <w:spacing w:line="242" w:lineRule="exact"/>
              <w:ind w:left="162"/>
              <w:jc w:val="center"/>
              <w:rPr>
                <w:sz w:val="22"/>
              </w:rPr>
            </w:pPr>
            <w:r>
              <w:rPr>
                <w:w w:val="100"/>
                <w:sz w:val="22"/>
              </w:rPr>
              <w:t>√</w:t>
            </w:r>
          </w:p>
        </w:tc>
        <w:tc>
          <w:tcPr>
            <w:tcW w:w="1278" w:type="dxa"/>
          </w:tcPr>
          <w:p>
            <w:pPr>
              <w:pStyle w:val="TableParagraph"/>
              <w:spacing w:line="242" w:lineRule="exact"/>
              <w:ind w:left="460" w:right="460"/>
              <w:jc w:val="center"/>
              <w:rPr>
                <w:sz w:val="22"/>
              </w:rPr>
            </w:pPr>
            <w:r>
              <w:rPr>
                <w:sz w:val="22"/>
              </w:rPr>
              <w:t>AØ</w:t>
            </w:r>
          </w:p>
        </w:tc>
        <w:tc>
          <w:tcPr>
            <w:tcW w:w="1320" w:type="dxa"/>
          </w:tcPr>
          <w:p>
            <w:pPr>
              <w:pStyle w:val="TableParagraph"/>
              <w:spacing w:line="242" w:lineRule="exact"/>
              <w:ind w:left="101" w:right="100"/>
              <w:jc w:val="center"/>
              <w:rPr>
                <w:sz w:val="22"/>
              </w:rPr>
            </w:pPr>
            <w:r>
              <w:rPr>
                <w:sz w:val="22"/>
              </w:rPr>
              <w:t>AØ</w:t>
            </w:r>
          </w:p>
        </w:tc>
        <w:tc>
          <w:tcPr>
            <w:tcW w:w="1499" w:type="dxa"/>
          </w:tcPr>
          <w:p>
            <w:pPr>
              <w:pStyle w:val="TableParagraph"/>
              <w:spacing w:line="242" w:lineRule="exact"/>
              <w:jc w:val="center"/>
              <w:rPr>
                <w:sz w:val="22"/>
              </w:rPr>
            </w:pPr>
            <w:r>
              <w:rPr>
                <w:w w:val="100"/>
                <w:sz w:val="22"/>
              </w:rPr>
              <w:t>Ø</w:t>
            </w:r>
          </w:p>
        </w:tc>
        <w:tc>
          <w:tcPr>
            <w:tcW w:w="1210" w:type="dxa"/>
          </w:tcPr>
          <w:p>
            <w:pPr>
              <w:pStyle w:val="TableParagraph"/>
              <w:spacing w:line="242" w:lineRule="exact"/>
              <w:jc w:val="center"/>
              <w:rPr>
                <w:sz w:val="22"/>
              </w:rPr>
            </w:pPr>
            <w:r>
              <w:rPr>
                <w:w w:val="100"/>
                <w:sz w:val="22"/>
              </w:rPr>
              <w:t>7</w:t>
            </w:r>
          </w:p>
        </w:tc>
      </w:tr>
      <w:tr>
        <w:trPr>
          <w:trHeight w:val="252" w:hRule="exact"/>
        </w:trPr>
        <w:tc>
          <w:tcPr>
            <w:tcW w:w="1139" w:type="dxa"/>
          </w:tcPr>
          <w:p>
            <w:pPr>
              <w:pStyle w:val="TableParagraph"/>
              <w:spacing w:line="240" w:lineRule="exact"/>
              <w:ind w:left="418"/>
              <w:rPr>
                <w:sz w:val="22"/>
              </w:rPr>
            </w:pPr>
            <w:r>
              <w:rPr>
                <w:w w:val="100"/>
                <w:sz w:val="22"/>
              </w:rPr>
              <w:t>E</w:t>
            </w:r>
          </w:p>
        </w:tc>
        <w:tc>
          <w:tcPr>
            <w:tcW w:w="1261" w:type="dxa"/>
          </w:tcPr>
          <w:p>
            <w:pPr>
              <w:pStyle w:val="TableParagraph"/>
              <w:spacing w:line="240" w:lineRule="exact"/>
              <w:ind w:left="264" w:right="266"/>
              <w:jc w:val="center"/>
              <w:rPr>
                <w:sz w:val="22"/>
              </w:rPr>
            </w:pPr>
            <w:r>
              <w:rPr>
                <w:sz w:val="22"/>
              </w:rPr>
              <w:t>--</w:t>
            </w:r>
          </w:p>
        </w:tc>
        <w:tc>
          <w:tcPr>
            <w:tcW w:w="1124" w:type="dxa"/>
          </w:tcPr>
          <w:p>
            <w:pPr>
              <w:pStyle w:val="TableParagraph"/>
              <w:spacing w:line="240" w:lineRule="exact"/>
              <w:ind w:left="162"/>
              <w:jc w:val="center"/>
              <w:rPr>
                <w:sz w:val="22"/>
              </w:rPr>
            </w:pPr>
            <w:r>
              <w:rPr>
                <w:w w:val="100"/>
                <w:sz w:val="22"/>
              </w:rPr>
              <w:t>√</w:t>
            </w:r>
          </w:p>
        </w:tc>
        <w:tc>
          <w:tcPr>
            <w:tcW w:w="1278" w:type="dxa"/>
          </w:tcPr>
          <w:p>
            <w:pPr>
              <w:pStyle w:val="TableParagraph"/>
              <w:spacing w:line="240" w:lineRule="exact"/>
              <w:ind w:left="460" w:right="460"/>
              <w:jc w:val="center"/>
              <w:rPr>
                <w:sz w:val="22"/>
              </w:rPr>
            </w:pPr>
            <w:r>
              <w:rPr>
                <w:sz w:val="22"/>
              </w:rPr>
              <w:t>AØ</w:t>
            </w:r>
          </w:p>
        </w:tc>
        <w:tc>
          <w:tcPr>
            <w:tcW w:w="1320" w:type="dxa"/>
          </w:tcPr>
          <w:p>
            <w:pPr>
              <w:pStyle w:val="TableParagraph"/>
              <w:spacing w:line="240" w:lineRule="exact"/>
              <w:ind w:left="101" w:right="100"/>
              <w:jc w:val="center"/>
              <w:rPr>
                <w:sz w:val="22"/>
              </w:rPr>
            </w:pPr>
            <w:r>
              <w:rPr>
                <w:sz w:val="22"/>
              </w:rPr>
              <w:t>AØ</w:t>
            </w:r>
          </w:p>
        </w:tc>
        <w:tc>
          <w:tcPr>
            <w:tcW w:w="1499" w:type="dxa"/>
          </w:tcPr>
          <w:p>
            <w:pPr>
              <w:pStyle w:val="TableParagraph"/>
              <w:spacing w:line="240" w:lineRule="exact"/>
              <w:ind w:left="100" w:right="95"/>
              <w:jc w:val="center"/>
              <w:rPr>
                <w:sz w:val="22"/>
              </w:rPr>
            </w:pPr>
            <w:r>
              <w:rPr>
                <w:sz w:val="22"/>
              </w:rPr>
              <w:t>AØ</w:t>
            </w:r>
          </w:p>
        </w:tc>
        <w:tc>
          <w:tcPr>
            <w:tcW w:w="1210" w:type="dxa"/>
          </w:tcPr>
          <w:p>
            <w:pPr>
              <w:pStyle w:val="TableParagraph"/>
              <w:spacing w:line="240" w:lineRule="exact"/>
              <w:jc w:val="center"/>
              <w:rPr>
                <w:sz w:val="22"/>
              </w:rPr>
            </w:pPr>
            <w:r>
              <w:rPr>
                <w:w w:val="100"/>
                <w:sz w:val="22"/>
              </w:rPr>
              <w:t>3</w:t>
            </w:r>
          </w:p>
        </w:tc>
      </w:tr>
      <w:tr>
        <w:trPr>
          <w:trHeight w:val="254" w:hRule="exact"/>
        </w:trPr>
        <w:tc>
          <w:tcPr>
            <w:tcW w:w="1139" w:type="dxa"/>
          </w:tcPr>
          <w:p>
            <w:pPr>
              <w:pStyle w:val="TableParagraph"/>
              <w:spacing w:line="242" w:lineRule="exact"/>
              <w:ind w:left="427"/>
              <w:rPr>
                <w:sz w:val="22"/>
              </w:rPr>
            </w:pPr>
            <w:r>
              <w:rPr>
                <w:w w:val="100"/>
                <w:sz w:val="22"/>
              </w:rPr>
              <w:t>F</w:t>
            </w:r>
          </w:p>
        </w:tc>
        <w:tc>
          <w:tcPr>
            <w:tcW w:w="1261" w:type="dxa"/>
          </w:tcPr>
          <w:p>
            <w:pPr>
              <w:pStyle w:val="TableParagraph"/>
              <w:spacing w:line="242" w:lineRule="exact"/>
              <w:ind w:left="264" w:right="266"/>
              <w:jc w:val="center"/>
              <w:rPr>
                <w:sz w:val="22"/>
              </w:rPr>
            </w:pPr>
            <w:r>
              <w:rPr>
                <w:sz w:val="22"/>
              </w:rPr>
              <w:t>--</w:t>
            </w:r>
          </w:p>
        </w:tc>
        <w:tc>
          <w:tcPr>
            <w:tcW w:w="1124" w:type="dxa"/>
          </w:tcPr>
          <w:p>
            <w:pPr>
              <w:pStyle w:val="TableParagraph"/>
              <w:spacing w:line="242" w:lineRule="exact"/>
              <w:ind w:left="162"/>
              <w:jc w:val="center"/>
              <w:rPr>
                <w:sz w:val="22"/>
              </w:rPr>
            </w:pPr>
            <w:r>
              <w:rPr>
                <w:w w:val="100"/>
                <w:sz w:val="22"/>
              </w:rPr>
              <w:t>√</w:t>
            </w:r>
          </w:p>
        </w:tc>
        <w:tc>
          <w:tcPr>
            <w:tcW w:w="1278" w:type="dxa"/>
          </w:tcPr>
          <w:p>
            <w:pPr>
              <w:pStyle w:val="TableParagraph"/>
              <w:spacing w:line="242" w:lineRule="exact"/>
              <w:ind w:left="460" w:right="460"/>
              <w:jc w:val="center"/>
              <w:rPr>
                <w:sz w:val="22"/>
              </w:rPr>
            </w:pPr>
            <w:r>
              <w:rPr>
                <w:sz w:val="22"/>
              </w:rPr>
              <w:t>AØ</w:t>
            </w:r>
          </w:p>
        </w:tc>
        <w:tc>
          <w:tcPr>
            <w:tcW w:w="1320" w:type="dxa"/>
          </w:tcPr>
          <w:p>
            <w:pPr>
              <w:pStyle w:val="TableParagraph"/>
              <w:spacing w:line="242" w:lineRule="exact"/>
              <w:ind w:right="2"/>
              <w:jc w:val="center"/>
              <w:rPr>
                <w:sz w:val="22"/>
              </w:rPr>
            </w:pPr>
            <w:r>
              <w:rPr>
                <w:w w:val="100"/>
                <w:sz w:val="22"/>
              </w:rPr>
              <w:t>Ø</w:t>
            </w:r>
          </w:p>
        </w:tc>
        <w:tc>
          <w:tcPr>
            <w:tcW w:w="1499" w:type="dxa"/>
          </w:tcPr>
          <w:p>
            <w:pPr>
              <w:pStyle w:val="TableParagraph"/>
              <w:spacing w:line="242" w:lineRule="exact"/>
              <w:ind w:left="100" w:right="95"/>
              <w:jc w:val="center"/>
              <w:rPr>
                <w:sz w:val="22"/>
              </w:rPr>
            </w:pPr>
            <w:r>
              <w:rPr>
                <w:sz w:val="22"/>
              </w:rPr>
              <w:t>AØ</w:t>
            </w:r>
          </w:p>
        </w:tc>
        <w:tc>
          <w:tcPr>
            <w:tcW w:w="1210" w:type="dxa"/>
          </w:tcPr>
          <w:p>
            <w:pPr>
              <w:pStyle w:val="TableParagraph"/>
              <w:spacing w:line="242" w:lineRule="exact"/>
              <w:jc w:val="center"/>
              <w:rPr>
                <w:sz w:val="22"/>
              </w:rPr>
            </w:pPr>
            <w:r>
              <w:rPr>
                <w:w w:val="100"/>
                <w:sz w:val="22"/>
              </w:rPr>
              <w:t>2</w:t>
            </w:r>
          </w:p>
        </w:tc>
      </w:tr>
      <w:tr>
        <w:trPr>
          <w:trHeight w:val="257" w:hRule="exact"/>
        </w:trPr>
        <w:tc>
          <w:tcPr>
            <w:tcW w:w="1139" w:type="dxa"/>
          </w:tcPr>
          <w:p>
            <w:pPr>
              <w:pStyle w:val="TableParagraph"/>
              <w:spacing w:line="242" w:lineRule="exact"/>
              <w:ind w:left="408"/>
              <w:rPr>
                <w:sz w:val="22"/>
              </w:rPr>
            </w:pPr>
            <w:r>
              <w:rPr>
                <w:w w:val="100"/>
                <w:sz w:val="22"/>
              </w:rPr>
              <w:t>G</w:t>
            </w:r>
          </w:p>
        </w:tc>
        <w:tc>
          <w:tcPr>
            <w:tcW w:w="1261" w:type="dxa"/>
          </w:tcPr>
          <w:p>
            <w:pPr>
              <w:pStyle w:val="TableParagraph"/>
              <w:spacing w:line="242" w:lineRule="exact"/>
              <w:ind w:left="1"/>
              <w:jc w:val="center"/>
              <w:rPr>
                <w:sz w:val="22"/>
              </w:rPr>
            </w:pPr>
            <w:r>
              <w:rPr>
                <w:w w:val="100"/>
                <w:sz w:val="22"/>
              </w:rPr>
              <w:t>√</w:t>
            </w:r>
          </w:p>
        </w:tc>
        <w:tc>
          <w:tcPr>
            <w:tcW w:w="1124" w:type="dxa"/>
          </w:tcPr>
          <w:p>
            <w:pPr>
              <w:pStyle w:val="TableParagraph"/>
              <w:spacing w:line="242" w:lineRule="exact"/>
              <w:ind w:left="253" w:right="97"/>
              <w:jc w:val="center"/>
              <w:rPr>
                <w:sz w:val="22"/>
              </w:rPr>
            </w:pPr>
            <w:r>
              <w:rPr>
                <w:sz w:val="22"/>
              </w:rPr>
              <w:t>--</w:t>
            </w:r>
          </w:p>
        </w:tc>
        <w:tc>
          <w:tcPr>
            <w:tcW w:w="1278" w:type="dxa"/>
          </w:tcPr>
          <w:p>
            <w:pPr>
              <w:pStyle w:val="TableParagraph"/>
              <w:spacing w:line="242" w:lineRule="exact"/>
              <w:ind w:left="460" w:right="460"/>
              <w:jc w:val="center"/>
              <w:rPr>
                <w:sz w:val="22"/>
              </w:rPr>
            </w:pPr>
            <w:r>
              <w:rPr>
                <w:sz w:val="22"/>
              </w:rPr>
              <w:t>AØ</w:t>
            </w:r>
          </w:p>
        </w:tc>
        <w:tc>
          <w:tcPr>
            <w:tcW w:w="1320" w:type="dxa"/>
          </w:tcPr>
          <w:p>
            <w:pPr>
              <w:pStyle w:val="TableParagraph"/>
              <w:spacing w:line="242" w:lineRule="exact"/>
              <w:ind w:right="2"/>
              <w:jc w:val="center"/>
              <w:rPr>
                <w:sz w:val="22"/>
              </w:rPr>
            </w:pPr>
            <w:r>
              <w:rPr>
                <w:w w:val="100"/>
                <w:sz w:val="22"/>
              </w:rPr>
              <w:t>Ø</w:t>
            </w:r>
          </w:p>
        </w:tc>
        <w:tc>
          <w:tcPr>
            <w:tcW w:w="1499" w:type="dxa"/>
          </w:tcPr>
          <w:p>
            <w:pPr>
              <w:pStyle w:val="TableParagraph"/>
              <w:spacing w:line="242" w:lineRule="exact"/>
              <w:jc w:val="center"/>
              <w:rPr>
                <w:sz w:val="22"/>
              </w:rPr>
            </w:pPr>
            <w:r>
              <w:rPr>
                <w:w w:val="100"/>
                <w:sz w:val="22"/>
              </w:rPr>
              <w:t>Ø</w:t>
            </w:r>
          </w:p>
        </w:tc>
        <w:tc>
          <w:tcPr>
            <w:tcW w:w="1210" w:type="dxa"/>
          </w:tcPr>
          <w:p>
            <w:pPr>
              <w:pStyle w:val="TableParagraph"/>
              <w:spacing w:line="242" w:lineRule="exact"/>
              <w:jc w:val="center"/>
              <w:rPr>
                <w:sz w:val="22"/>
              </w:rPr>
            </w:pPr>
            <w:r>
              <w:rPr>
                <w:w w:val="100"/>
                <w:sz w:val="22"/>
              </w:rPr>
              <w:t>2</w:t>
            </w:r>
          </w:p>
        </w:tc>
      </w:tr>
      <w:tr>
        <w:trPr>
          <w:trHeight w:val="259" w:hRule="exact"/>
        </w:trPr>
        <w:tc>
          <w:tcPr>
            <w:tcW w:w="1139" w:type="dxa"/>
          </w:tcPr>
          <w:p>
            <w:pPr>
              <w:pStyle w:val="TableParagraph"/>
              <w:spacing w:line="245" w:lineRule="exact"/>
              <w:ind w:left="413"/>
              <w:rPr>
                <w:sz w:val="22"/>
              </w:rPr>
            </w:pPr>
            <w:r>
              <w:rPr>
                <w:w w:val="100"/>
                <w:sz w:val="22"/>
              </w:rPr>
              <w:t>H</w:t>
            </w:r>
          </w:p>
        </w:tc>
        <w:tc>
          <w:tcPr>
            <w:tcW w:w="1261" w:type="dxa"/>
          </w:tcPr>
          <w:p>
            <w:pPr>
              <w:pStyle w:val="TableParagraph"/>
              <w:spacing w:line="245" w:lineRule="exact"/>
              <w:ind w:left="1"/>
              <w:jc w:val="center"/>
              <w:rPr>
                <w:sz w:val="22"/>
              </w:rPr>
            </w:pPr>
            <w:r>
              <w:rPr>
                <w:w w:val="100"/>
                <w:sz w:val="22"/>
              </w:rPr>
              <w:t>√</w:t>
            </w:r>
          </w:p>
        </w:tc>
        <w:tc>
          <w:tcPr>
            <w:tcW w:w="1124" w:type="dxa"/>
          </w:tcPr>
          <w:p>
            <w:pPr>
              <w:pStyle w:val="TableParagraph"/>
              <w:spacing w:line="245" w:lineRule="exact"/>
              <w:ind w:left="253" w:right="97"/>
              <w:jc w:val="center"/>
              <w:rPr>
                <w:sz w:val="22"/>
              </w:rPr>
            </w:pPr>
            <w:r>
              <w:rPr>
                <w:sz w:val="22"/>
              </w:rPr>
              <w:t>--</w:t>
            </w:r>
          </w:p>
        </w:tc>
        <w:tc>
          <w:tcPr>
            <w:tcW w:w="1278" w:type="dxa"/>
          </w:tcPr>
          <w:p>
            <w:pPr>
              <w:pStyle w:val="TableParagraph"/>
              <w:spacing w:line="245" w:lineRule="exact"/>
              <w:ind w:left="460" w:right="460"/>
              <w:jc w:val="center"/>
              <w:rPr>
                <w:sz w:val="22"/>
              </w:rPr>
            </w:pPr>
            <w:r>
              <w:rPr>
                <w:sz w:val="22"/>
              </w:rPr>
              <w:t>AØ</w:t>
            </w:r>
          </w:p>
        </w:tc>
        <w:tc>
          <w:tcPr>
            <w:tcW w:w="1320" w:type="dxa"/>
          </w:tcPr>
          <w:p>
            <w:pPr>
              <w:pStyle w:val="TableParagraph"/>
              <w:spacing w:line="245" w:lineRule="exact"/>
              <w:ind w:left="101" w:right="100"/>
              <w:jc w:val="center"/>
              <w:rPr>
                <w:sz w:val="22"/>
              </w:rPr>
            </w:pPr>
            <w:r>
              <w:rPr>
                <w:sz w:val="22"/>
              </w:rPr>
              <w:t>AØ</w:t>
            </w:r>
          </w:p>
        </w:tc>
        <w:tc>
          <w:tcPr>
            <w:tcW w:w="1499" w:type="dxa"/>
          </w:tcPr>
          <w:p>
            <w:pPr>
              <w:pStyle w:val="TableParagraph"/>
              <w:spacing w:line="245" w:lineRule="exact"/>
              <w:jc w:val="center"/>
              <w:rPr>
                <w:sz w:val="22"/>
              </w:rPr>
            </w:pPr>
            <w:r>
              <w:rPr>
                <w:w w:val="100"/>
                <w:sz w:val="22"/>
              </w:rPr>
              <w:t>Ø</w:t>
            </w:r>
          </w:p>
        </w:tc>
        <w:tc>
          <w:tcPr>
            <w:tcW w:w="1210" w:type="dxa"/>
          </w:tcPr>
          <w:p>
            <w:pPr>
              <w:pStyle w:val="TableParagraph"/>
              <w:spacing w:line="245" w:lineRule="exact"/>
              <w:jc w:val="center"/>
              <w:rPr>
                <w:sz w:val="22"/>
              </w:rPr>
            </w:pPr>
            <w:r>
              <w:rPr>
                <w:w w:val="100"/>
                <w:sz w:val="22"/>
              </w:rPr>
              <w:t>3</w:t>
            </w:r>
          </w:p>
        </w:tc>
      </w:tr>
      <w:tr>
        <w:trPr>
          <w:trHeight w:val="259" w:hRule="exact"/>
        </w:trPr>
        <w:tc>
          <w:tcPr>
            <w:tcW w:w="1139" w:type="dxa"/>
          </w:tcPr>
          <w:p>
            <w:pPr>
              <w:pStyle w:val="TableParagraph"/>
              <w:spacing w:line="245" w:lineRule="exact"/>
              <w:ind w:left="461"/>
              <w:rPr>
                <w:sz w:val="22"/>
              </w:rPr>
            </w:pPr>
            <w:r>
              <w:rPr>
                <w:w w:val="100"/>
                <w:sz w:val="22"/>
              </w:rPr>
              <w:t>I</w:t>
            </w:r>
          </w:p>
        </w:tc>
        <w:tc>
          <w:tcPr>
            <w:tcW w:w="1261" w:type="dxa"/>
          </w:tcPr>
          <w:p>
            <w:pPr>
              <w:pStyle w:val="TableParagraph"/>
              <w:spacing w:line="245" w:lineRule="exact"/>
              <w:ind w:left="1"/>
              <w:jc w:val="center"/>
              <w:rPr>
                <w:sz w:val="22"/>
              </w:rPr>
            </w:pPr>
            <w:r>
              <w:rPr>
                <w:w w:val="100"/>
                <w:sz w:val="22"/>
              </w:rPr>
              <w:t>√</w:t>
            </w:r>
          </w:p>
        </w:tc>
        <w:tc>
          <w:tcPr>
            <w:tcW w:w="1124" w:type="dxa"/>
          </w:tcPr>
          <w:p>
            <w:pPr>
              <w:pStyle w:val="TableParagraph"/>
              <w:spacing w:line="245" w:lineRule="exact"/>
              <w:ind w:left="253" w:right="97"/>
              <w:jc w:val="center"/>
              <w:rPr>
                <w:sz w:val="22"/>
              </w:rPr>
            </w:pPr>
            <w:r>
              <w:rPr>
                <w:sz w:val="22"/>
              </w:rPr>
              <w:t>--</w:t>
            </w:r>
          </w:p>
        </w:tc>
        <w:tc>
          <w:tcPr>
            <w:tcW w:w="1278" w:type="dxa"/>
          </w:tcPr>
          <w:p>
            <w:pPr>
              <w:pStyle w:val="TableParagraph"/>
              <w:spacing w:line="245" w:lineRule="exact"/>
              <w:ind w:left="460" w:right="460"/>
              <w:jc w:val="center"/>
              <w:rPr>
                <w:sz w:val="22"/>
              </w:rPr>
            </w:pPr>
            <w:r>
              <w:rPr>
                <w:sz w:val="22"/>
              </w:rPr>
              <w:t>AØ</w:t>
            </w:r>
          </w:p>
        </w:tc>
        <w:tc>
          <w:tcPr>
            <w:tcW w:w="1320" w:type="dxa"/>
          </w:tcPr>
          <w:p>
            <w:pPr>
              <w:pStyle w:val="TableParagraph"/>
              <w:spacing w:line="245" w:lineRule="exact"/>
              <w:ind w:left="101" w:right="100"/>
              <w:jc w:val="center"/>
              <w:rPr>
                <w:sz w:val="22"/>
              </w:rPr>
            </w:pPr>
            <w:r>
              <w:rPr>
                <w:sz w:val="22"/>
              </w:rPr>
              <w:t>AØ</w:t>
            </w:r>
          </w:p>
        </w:tc>
        <w:tc>
          <w:tcPr>
            <w:tcW w:w="1499" w:type="dxa"/>
          </w:tcPr>
          <w:p>
            <w:pPr>
              <w:pStyle w:val="TableParagraph"/>
              <w:spacing w:line="245" w:lineRule="exact"/>
              <w:ind w:left="100" w:right="95"/>
              <w:jc w:val="center"/>
              <w:rPr>
                <w:sz w:val="22"/>
              </w:rPr>
            </w:pPr>
            <w:r>
              <w:rPr>
                <w:sz w:val="22"/>
              </w:rPr>
              <w:t>AØ</w:t>
            </w:r>
          </w:p>
        </w:tc>
        <w:tc>
          <w:tcPr>
            <w:tcW w:w="1210" w:type="dxa"/>
          </w:tcPr>
          <w:p>
            <w:pPr>
              <w:pStyle w:val="TableParagraph"/>
              <w:spacing w:line="245" w:lineRule="exact"/>
              <w:jc w:val="center"/>
              <w:rPr>
                <w:sz w:val="22"/>
              </w:rPr>
            </w:pPr>
            <w:r>
              <w:rPr>
                <w:w w:val="100"/>
                <w:sz w:val="22"/>
              </w:rPr>
              <w:t>2</w:t>
            </w:r>
          </w:p>
        </w:tc>
      </w:tr>
      <w:tr>
        <w:trPr>
          <w:trHeight w:val="259" w:hRule="exact"/>
        </w:trPr>
        <w:tc>
          <w:tcPr>
            <w:tcW w:w="1139" w:type="dxa"/>
          </w:tcPr>
          <w:p>
            <w:pPr>
              <w:pStyle w:val="TableParagraph"/>
              <w:spacing w:line="245" w:lineRule="exact"/>
              <w:ind w:left="437"/>
              <w:rPr>
                <w:sz w:val="22"/>
              </w:rPr>
            </w:pPr>
            <w:r>
              <w:rPr>
                <w:w w:val="100"/>
                <w:sz w:val="22"/>
              </w:rPr>
              <w:t>J</w:t>
            </w:r>
          </w:p>
        </w:tc>
        <w:tc>
          <w:tcPr>
            <w:tcW w:w="1261" w:type="dxa"/>
          </w:tcPr>
          <w:p>
            <w:pPr>
              <w:pStyle w:val="TableParagraph"/>
              <w:spacing w:line="245" w:lineRule="exact"/>
              <w:ind w:left="1"/>
              <w:jc w:val="center"/>
              <w:rPr>
                <w:sz w:val="22"/>
              </w:rPr>
            </w:pPr>
            <w:r>
              <w:rPr>
                <w:w w:val="100"/>
                <w:sz w:val="22"/>
              </w:rPr>
              <w:t>√</w:t>
            </w:r>
          </w:p>
        </w:tc>
        <w:tc>
          <w:tcPr>
            <w:tcW w:w="1124" w:type="dxa"/>
          </w:tcPr>
          <w:p>
            <w:pPr>
              <w:pStyle w:val="TableParagraph"/>
              <w:spacing w:line="245" w:lineRule="exact"/>
              <w:ind w:left="253" w:right="97"/>
              <w:jc w:val="center"/>
              <w:rPr>
                <w:sz w:val="22"/>
              </w:rPr>
            </w:pPr>
            <w:r>
              <w:rPr>
                <w:sz w:val="22"/>
              </w:rPr>
              <w:t>--</w:t>
            </w:r>
          </w:p>
        </w:tc>
        <w:tc>
          <w:tcPr>
            <w:tcW w:w="1278" w:type="dxa"/>
          </w:tcPr>
          <w:p>
            <w:pPr>
              <w:pStyle w:val="TableParagraph"/>
              <w:spacing w:line="245" w:lineRule="exact"/>
              <w:ind w:right="7"/>
              <w:jc w:val="center"/>
              <w:rPr>
                <w:sz w:val="22"/>
              </w:rPr>
            </w:pPr>
            <w:r>
              <w:rPr>
                <w:w w:val="100"/>
                <w:sz w:val="22"/>
              </w:rPr>
              <w:t>Ø</w:t>
            </w:r>
          </w:p>
        </w:tc>
        <w:tc>
          <w:tcPr>
            <w:tcW w:w="1320" w:type="dxa"/>
          </w:tcPr>
          <w:p>
            <w:pPr>
              <w:pStyle w:val="TableParagraph"/>
              <w:spacing w:line="245" w:lineRule="exact"/>
              <w:ind w:left="101" w:right="100"/>
              <w:jc w:val="center"/>
              <w:rPr>
                <w:sz w:val="22"/>
              </w:rPr>
            </w:pPr>
            <w:r>
              <w:rPr>
                <w:sz w:val="22"/>
              </w:rPr>
              <w:t>AØ</w:t>
            </w:r>
          </w:p>
        </w:tc>
        <w:tc>
          <w:tcPr>
            <w:tcW w:w="1499" w:type="dxa"/>
          </w:tcPr>
          <w:p>
            <w:pPr>
              <w:pStyle w:val="TableParagraph"/>
              <w:spacing w:line="245" w:lineRule="exact"/>
              <w:ind w:left="100" w:right="95"/>
              <w:jc w:val="center"/>
              <w:rPr>
                <w:sz w:val="22"/>
              </w:rPr>
            </w:pPr>
            <w:r>
              <w:rPr>
                <w:sz w:val="22"/>
              </w:rPr>
              <w:t>AØ</w:t>
            </w:r>
          </w:p>
        </w:tc>
        <w:tc>
          <w:tcPr>
            <w:tcW w:w="1210" w:type="dxa"/>
          </w:tcPr>
          <w:p>
            <w:pPr>
              <w:pStyle w:val="TableParagraph"/>
              <w:spacing w:line="245" w:lineRule="exact"/>
              <w:jc w:val="center"/>
              <w:rPr>
                <w:sz w:val="22"/>
              </w:rPr>
            </w:pPr>
            <w:r>
              <w:rPr>
                <w:w w:val="100"/>
                <w:sz w:val="22"/>
              </w:rPr>
              <w:t>3</w:t>
            </w:r>
          </w:p>
        </w:tc>
      </w:tr>
      <w:tr>
        <w:trPr>
          <w:trHeight w:val="262" w:hRule="exact"/>
        </w:trPr>
        <w:tc>
          <w:tcPr>
            <w:tcW w:w="1139" w:type="dxa"/>
          </w:tcPr>
          <w:p>
            <w:pPr>
              <w:pStyle w:val="TableParagraph"/>
              <w:spacing w:line="245" w:lineRule="exact"/>
              <w:ind w:left="418"/>
              <w:rPr>
                <w:sz w:val="22"/>
              </w:rPr>
            </w:pPr>
            <w:r>
              <w:rPr>
                <w:w w:val="100"/>
                <w:sz w:val="22"/>
              </w:rPr>
              <w:t>K</w:t>
            </w:r>
          </w:p>
        </w:tc>
        <w:tc>
          <w:tcPr>
            <w:tcW w:w="1261" w:type="dxa"/>
          </w:tcPr>
          <w:p>
            <w:pPr>
              <w:pStyle w:val="TableParagraph"/>
              <w:spacing w:line="245" w:lineRule="exact"/>
              <w:ind w:left="1"/>
              <w:jc w:val="center"/>
              <w:rPr>
                <w:sz w:val="22"/>
              </w:rPr>
            </w:pPr>
            <w:r>
              <w:rPr>
                <w:w w:val="100"/>
                <w:sz w:val="22"/>
              </w:rPr>
              <w:t>√</w:t>
            </w:r>
          </w:p>
        </w:tc>
        <w:tc>
          <w:tcPr>
            <w:tcW w:w="1124" w:type="dxa"/>
          </w:tcPr>
          <w:p>
            <w:pPr>
              <w:pStyle w:val="TableParagraph"/>
              <w:spacing w:line="245" w:lineRule="exact"/>
              <w:ind w:left="253" w:right="97"/>
              <w:jc w:val="center"/>
              <w:rPr>
                <w:sz w:val="22"/>
              </w:rPr>
            </w:pPr>
            <w:r>
              <w:rPr>
                <w:sz w:val="22"/>
              </w:rPr>
              <w:t>--</w:t>
            </w:r>
          </w:p>
        </w:tc>
        <w:tc>
          <w:tcPr>
            <w:tcW w:w="1278" w:type="dxa"/>
          </w:tcPr>
          <w:p>
            <w:pPr>
              <w:pStyle w:val="TableParagraph"/>
              <w:spacing w:line="245" w:lineRule="exact"/>
              <w:ind w:right="7"/>
              <w:jc w:val="center"/>
              <w:rPr>
                <w:sz w:val="22"/>
              </w:rPr>
            </w:pPr>
            <w:r>
              <w:rPr>
                <w:w w:val="100"/>
                <w:sz w:val="22"/>
              </w:rPr>
              <w:t>Ø</w:t>
            </w:r>
          </w:p>
        </w:tc>
        <w:tc>
          <w:tcPr>
            <w:tcW w:w="1320" w:type="dxa"/>
          </w:tcPr>
          <w:p>
            <w:pPr>
              <w:pStyle w:val="TableParagraph"/>
              <w:spacing w:line="245" w:lineRule="exact"/>
              <w:ind w:left="101" w:right="100"/>
              <w:jc w:val="center"/>
              <w:rPr>
                <w:sz w:val="22"/>
              </w:rPr>
            </w:pPr>
            <w:r>
              <w:rPr>
                <w:sz w:val="22"/>
              </w:rPr>
              <w:t>AØ</w:t>
            </w:r>
          </w:p>
        </w:tc>
        <w:tc>
          <w:tcPr>
            <w:tcW w:w="1499" w:type="dxa"/>
          </w:tcPr>
          <w:p>
            <w:pPr>
              <w:pStyle w:val="TableParagraph"/>
              <w:spacing w:line="245" w:lineRule="exact"/>
              <w:jc w:val="center"/>
              <w:rPr>
                <w:sz w:val="22"/>
              </w:rPr>
            </w:pPr>
            <w:r>
              <w:rPr>
                <w:w w:val="100"/>
                <w:sz w:val="22"/>
              </w:rPr>
              <w:t>Ø</w:t>
            </w:r>
          </w:p>
        </w:tc>
        <w:tc>
          <w:tcPr>
            <w:tcW w:w="1210" w:type="dxa"/>
          </w:tcPr>
          <w:p>
            <w:pPr>
              <w:pStyle w:val="TableParagraph"/>
              <w:spacing w:line="245" w:lineRule="exact"/>
              <w:jc w:val="center"/>
              <w:rPr>
                <w:sz w:val="22"/>
              </w:rPr>
            </w:pPr>
            <w:r>
              <w:rPr>
                <w:w w:val="100"/>
                <w:sz w:val="22"/>
              </w:rPr>
              <w:t>1</w:t>
            </w:r>
          </w:p>
        </w:tc>
      </w:tr>
      <w:tr>
        <w:trPr>
          <w:trHeight w:val="262" w:hRule="exact"/>
        </w:trPr>
        <w:tc>
          <w:tcPr>
            <w:tcW w:w="1139" w:type="dxa"/>
          </w:tcPr>
          <w:p>
            <w:pPr>
              <w:pStyle w:val="TableParagraph"/>
              <w:spacing w:line="247" w:lineRule="exact"/>
              <w:ind w:left="432"/>
              <w:rPr>
                <w:sz w:val="22"/>
              </w:rPr>
            </w:pPr>
            <w:r>
              <w:rPr>
                <w:w w:val="100"/>
                <w:sz w:val="22"/>
              </w:rPr>
              <w:t>L</w:t>
            </w:r>
          </w:p>
        </w:tc>
        <w:tc>
          <w:tcPr>
            <w:tcW w:w="1261" w:type="dxa"/>
          </w:tcPr>
          <w:p>
            <w:pPr>
              <w:pStyle w:val="TableParagraph"/>
              <w:spacing w:line="247" w:lineRule="exact"/>
              <w:ind w:left="1"/>
              <w:jc w:val="center"/>
              <w:rPr>
                <w:sz w:val="22"/>
              </w:rPr>
            </w:pPr>
            <w:r>
              <w:rPr>
                <w:w w:val="100"/>
                <w:sz w:val="22"/>
              </w:rPr>
              <w:t>√</w:t>
            </w:r>
          </w:p>
        </w:tc>
        <w:tc>
          <w:tcPr>
            <w:tcW w:w="1124" w:type="dxa"/>
          </w:tcPr>
          <w:p>
            <w:pPr>
              <w:pStyle w:val="TableParagraph"/>
              <w:spacing w:line="247" w:lineRule="exact"/>
              <w:ind w:left="162"/>
              <w:jc w:val="center"/>
              <w:rPr>
                <w:sz w:val="22"/>
              </w:rPr>
            </w:pPr>
            <w:r>
              <w:rPr>
                <w:w w:val="100"/>
                <w:sz w:val="22"/>
              </w:rPr>
              <w:t>√</w:t>
            </w:r>
          </w:p>
        </w:tc>
        <w:tc>
          <w:tcPr>
            <w:tcW w:w="1278" w:type="dxa"/>
          </w:tcPr>
          <w:p>
            <w:pPr>
              <w:pStyle w:val="TableParagraph"/>
              <w:spacing w:line="247" w:lineRule="exact"/>
              <w:ind w:right="7"/>
              <w:jc w:val="center"/>
              <w:rPr>
                <w:sz w:val="22"/>
              </w:rPr>
            </w:pPr>
            <w:r>
              <w:rPr>
                <w:w w:val="100"/>
                <w:sz w:val="22"/>
              </w:rPr>
              <w:t>Ø</w:t>
            </w:r>
          </w:p>
        </w:tc>
        <w:tc>
          <w:tcPr>
            <w:tcW w:w="1320" w:type="dxa"/>
          </w:tcPr>
          <w:p>
            <w:pPr>
              <w:pStyle w:val="TableParagraph"/>
              <w:spacing w:line="247" w:lineRule="exact"/>
              <w:ind w:right="2"/>
              <w:jc w:val="center"/>
              <w:rPr>
                <w:sz w:val="22"/>
              </w:rPr>
            </w:pPr>
            <w:r>
              <w:rPr>
                <w:w w:val="100"/>
                <w:sz w:val="22"/>
              </w:rPr>
              <w:t>Ø</w:t>
            </w:r>
          </w:p>
        </w:tc>
        <w:tc>
          <w:tcPr>
            <w:tcW w:w="1499" w:type="dxa"/>
          </w:tcPr>
          <w:p>
            <w:pPr>
              <w:pStyle w:val="TableParagraph"/>
              <w:spacing w:line="247" w:lineRule="exact"/>
              <w:jc w:val="center"/>
              <w:rPr>
                <w:sz w:val="22"/>
              </w:rPr>
            </w:pPr>
            <w:r>
              <w:rPr>
                <w:w w:val="100"/>
                <w:sz w:val="22"/>
              </w:rPr>
              <w:t>Ø</w:t>
            </w:r>
          </w:p>
        </w:tc>
        <w:tc>
          <w:tcPr>
            <w:tcW w:w="1210" w:type="dxa"/>
          </w:tcPr>
          <w:p>
            <w:pPr>
              <w:pStyle w:val="TableParagraph"/>
              <w:spacing w:line="247" w:lineRule="exact"/>
              <w:jc w:val="center"/>
              <w:rPr>
                <w:sz w:val="22"/>
              </w:rPr>
            </w:pPr>
            <w:r>
              <w:rPr>
                <w:w w:val="100"/>
                <w:sz w:val="22"/>
              </w:rPr>
              <w:t>1</w:t>
            </w:r>
          </w:p>
        </w:tc>
      </w:tr>
      <w:tr>
        <w:trPr>
          <w:trHeight w:val="259" w:hRule="exact"/>
        </w:trPr>
        <w:tc>
          <w:tcPr>
            <w:tcW w:w="1139" w:type="dxa"/>
          </w:tcPr>
          <w:p>
            <w:pPr>
              <w:pStyle w:val="TableParagraph"/>
              <w:spacing w:line="245" w:lineRule="exact"/>
              <w:ind w:left="403"/>
              <w:rPr>
                <w:sz w:val="22"/>
              </w:rPr>
            </w:pPr>
            <w:r>
              <w:rPr>
                <w:w w:val="100"/>
                <w:sz w:val="22"/>
              </w:rPr>
              <w:t>M</w:t>
            </w:r>
          </w:p>
        </w:tc>
        <w:tc>
          <w:tcPr>
            <w:tcW w:w="1261" w:type="dxa"/>
          </w:tcPr>
          <w:p>
            <w:pPr>
              <w:pStyle w:val="TableParagraph"/>
              <w:spacing w:line="245" w:lineRule="exact"/>
              <w:ind w:left="1"/>
              <w:jc w:val="center"/>
              <w:rPr>
                <w:sz w:val="22"/>
              </w:rPr>
            </w:pPr>
            <w:r>
              <w:rPr>
                <w:w w:val="100"/>
                <w:sz w:val="22"/>
              </w:rPr>
              <w:t>√</w:t>
            </w:r>
          </w:p>
        </w:tc>
        <w:tc>
          <w:tcPr>
            <w:tcW w:w="1124" w:type="dxa"/>
          </w:tcPr>
          <w:p>
            <w:pPr>
              <w:pStyle w:val="TableParagraph"/>
              <w:spacing w:line="245" w:lineRule="exact"/>
              <w:ind w:left="162"/>
              <w:jc w:val="center"/>
              <w:rPr>
                <w:sz w:val="22"/>
              </w:rPr>
            </w:pPr>
            <w:r>
              <w:rPr>
                <w:w w:val="100"/>
                <w:sz w:val="22"/>
              </w:rPr>
              <w:t>√</w:t>
            </w:r>
          </w:p>
        </w:tc>
        <w:tc>
          <w:tcPr>
            <w:tcW w:w="1278" w:type="dxa"/>
          </w:tcPr>
          <w:p>
            <w:pPr>
              <w:pStyle w:val="TableParagraph"/>
              <w:spacing w:line="245" w:lineRule="exact"/>
              <w:ind w:left="460" w:right="460"/>
              <w:jc w:val="center"/>
              <w:rPr>
                <w:sz w:val="22"/>
              </w:rPr>
            </w:pPr>
            <w:r>
              <w:rPr>
                <w:sz w:val="22"/>
              </w:rPr>
              <w:t>AØ</w:t>
            </w:r>
          </w:p>
        </w:tc>
        <w:tc>
          <w:tcPr>
            <w:tcW w:w="1320" w:type="dxa"/>
          </w:tcPr>
          <w:p>
            <w:pPr>
              <w:pStyle w:val="TableParagraph"/>
              <w:spacing w:line="245" w:lineRule="exact"/>
              <w:ind w:right="2"/>
              <w:jc w:val="center"/>
              <w:rPr>
                <w:sz w:val="22"/>
              </w:rPr>
            </w:pPr>
            <w:r>
              <w:rPr>
                <w:w w:val="100"/>
                <w:sz w:val="22"/>
              </w:rPr>
              <w:t>Ø</w:t>
            </w:r>
          </w:p>
        </w:tc>
        <w:tc>
          <w:tcPr>
            <w:tcW w:w="1499" w:type="dxa"/>
          </w:tcPr>
          <w:p>
            <w:pPr>
              <w:pStyle w:val="TableParagraph"/>
              <w:spacing w:line="245" w:lineRule="exact"/>
              <w:jc w:val="center"/>
              <w:rPr>
                <w:sz w:val="22"/>
              </w:rPr>
            </w:pPr>
            <w:r>
              <w:rPr>
                <w:w w:val="100"/>
                <w:sz w:val="22"/>
              </w:rPr>
              <w:t>Ø</w:t>
            </w:r>
          </w:p>
        </w:tc>
        <w:tc>
          <w:tcPr>
            <w:tcW w:w="1210" w:type="dxa"/>
          </w:tcPr>
          <w:p>
            <w:pPr>
              <w:pStyle w:val="TableParagraph"/>
              <w:spacing w:line="245" w:lineRule="exact"/>
              <w:ind w:left="462" w:right="462"/>
              <w:jc w:val="center"/>
              <w:rPr>
                <w:sz w:val="22"/>
              </w:rPr>
            </w:pPr>
            <w:r>
              <w:rPr>
                <w:sz w:val="22"/>
              </w:rPr>
              <w:t>10</w:t>
            </w:r>
          </w:p>
        </w:tc>
      </w:tr>
      <w:tr>
        <w:trPr>
          <w:trHeight w:val="259" w:hRule="exact"/>
        </w:trPr>
        <w:tc>
          <w:tcPr>
            <w:tcW w:w="1139" w:type="dxa"/>
          </w:tcPr>
          <w:p>
            <w:pPr>
              <w:pStyle w:val="TableParagraph"/>
              <w:spacing w:line="245" w:lineRule="exact"/>
              <w:ind w:left="413"/>
              <w:rPr>
                <w:sz w:val="22"/>
              </w:rPr>
            </w:pPr>
            <w:r>
              <w:rPr>
                <w:w w:val="100"/>
                <w:sz w:val="22"/>
              </w:rPr>
              <w:t>N</w:t>
            </w:r>
          </w:p>
        </w:tc>
        <w:tc>
          <w:tcPr>
            <w:tcW w:w="1261" w:type="dxa"/>
          </w:tcPr>
          <w:p>
            <w:pPr>
              <w:pStyle w:val="TableParagraph"/>
              <w:spacing w:line="245" w:lineRule="exact"/>
              <w:ind w:left="1"/>
              <w:jc w:val="center"/>
              <w:rPr>
                <w:sz w:val="22"/>
              </w:rPr>
            </w:pPr>
            <w:r>
              <w:rPr>
                <w:w w:val="100"/>
                <w:sz w:val="22"/>
              </w:rPr>
              <w:t>√</w:t>
            </w:r>
          </w:p>
        </w:tc>
        <w:tc>
          <w:tcPr>
            <w:tcW w:w="1124" w:type="dxa"/>
          </w:tcPr>
          <w:p>
            <w:pPr>
              <w:pStyle w:val="TableParagraph"/>
              <w:spacing w:line="245" w:lineRule="exact"/>
              <w:ind w:left="162"/>
              <w:jc w:val="center"/>
              <w:rPr>
                <w:sz w:val="22"/>
              </w:rPr>
            </w:pPr>
            <w:r>
              <w:rPr>
                <w:w w:val="100"/>
                <w:sz w:val="22"/>
              </w:rPr>
              <w:t>√</w:t>
            </w:r>
          </w:p>
        </w:tc>
        <w:tc>
          <w:tcPr>
            <w:tcW w:w="1278" w:type="dxa"/>
          </w:tcPr>
          <w:p>
            <w:pPr>
              <w:pStyle w:val="TableParagraph"/>
              <w:spacing w:line="245" w:lineRule="exact"/>
              <w:ind w:left="460" w:right="460"/>
              <w:jc w:val="center"/>
              <w:rPr>
                <w:sz w:val="22"/>
              </w:rPr>
            </w:pPr>
            <w:r>
              <w:rPr>
                <w:sz w:val="22"/>
              </w:rPr>
              <w:t>AØ</w:t>
            </w:r>
          </w:p>
        </w:tc>
        <w:tc>
          <w:tcPr>
            <w:tcW w:w="1320" w:type="dxa"/>
          </w:tcPr>
          <w:p>
            <w:pPr>
              <w:pStyle w:val="TableParagraph"/>
              <w:spacing w:line="245" w:lineRule="exact"/>
              <w:ind w:left="101" w:right="100"/>
              <w:jc w:val="center"/>
              <w:rPr>
                <w:sz w:val="22"/>
              </w:rPr>
            </w:pPr>
            <w:r>
              <w:rPr>
                <w:sz w:val="22"/>
              </w:rPr>
              <w:t>AØ</w:t>
            </w:r>
          </w:p>
        </w:tc>
        <w:tc>
          <w:tcPr>
            <w:tcW w:w="1499" w:type="dxa"/>
          </w:tcPr>
          <w:p>
            <w:pPr>
              <w:pStyle w:val="TableParagraph"/>
              <w:spacing w:line="245" w:lineRule="exact"/>
              <w:jc w:val="center"/>
              <w:rPr>
                <w:sz w:val="22"/>
              </w:rPr>
            </w:pPr>
            <w:r>
              <w:rPr>
                <w:w w:val="100"/>
                <w:sz w:val="22"/>
              </w:rPr>
              <w:t>Ø</w:t>
            </w:r>
          </w:p>
        </w:tc>
        <w:tc>
          <w:tcPr>
            <w:tcW w:w="1210" w:type="dxa"/>
          </w:tcPr>
          <w:p>
            <w:pPr>
              <w:pStyle w:val="TableParagraph"/>
              <w:spacing w:line="245" w:lineRule="exact"/>
              <w:ind w:left="462" w:right="462"/>
              <w:jc w:val="center"/>
              <w:rPr>
                <w:sz w:val="22"/>
              </w:rPr>
            </w:pPr>
            <w:r>
              <w:rPr>
                <w:sz w:val="22"/>
              </w:rPr>
              <w:t>24</w:t>
            </w:r>
          </w:p>
        </w:tc>
      </w:tr>
      <w:tr>
        <w:trPr>
          <w:trHeight w:val="259" w:hRule="exact"/>
        </w:trPr>
        <w:tc>
          <w:tcPr>
            <w:tcW w:w="1139" w:type="dxa"/>
          </w:tcPr>
          <w:p>
            <w:pPr>
              <w:pStyle w:val="TableParagraph"/>
              <w:spacing w:line="245" w:lineRule="exact"/>
              <w:ind w:left="413"/>
              <w:rPr>
                <w:sz w:val="22"/>
              </w:rPr>
            </w:pPr>
            <w:r>
              <w:rPr>
                <w:w w:val="100"/>
                <w:sz w:val="22"/>
              </w:rPr>
              <w:t>Ñ</w:t>
            </w:r>
          </w:p>
        </w:tc>
        <w:tc>
          <w:tcPr>
            <w:tcW w:w="1261" w:type="dxa"/>
          </w:tcPr>
          <w:p>
            <w:pPr>
              <w:pStyle w:val="TableParagraph"/>
              <w:spacing w:line="245" w:lineRule="exact"/>
              <w:ind w:left="1"/>
              <w:jc w:val="center"/>
              <w:rPr>
                <w:sz w:val="22"/>
              </w:rPr>
            </w:pPr>
            <w:r>
              <w:rPr>
                <w:w w:val="100"/>
                <w:sz w:val="22"/>
              </w:rPr>
              <w:t>√</w:t>
            </w:r>
          </w:p>
        </w:tc>
        <w:tc>
          <w:tcPr>
            <w:tcW w:w="1124" w:type="dxa"/>
          </w:tcPr>
          <w:p>
            <w:pPr>
              <w:pStyle w:val="TableParagraph"/>
              <w:spacing w:line="245" w:lineRule="exact"/>
              <w:ind w:left="162"/>
              <w:jc w:val="center"/>
              <w:rPr>
                <w:sz w:val="22"/>
              </w:rPr>
            </w:pPr>
            <w:r>
              <w:rPr>
                <w:w w:val="100"/>
                <w:sz w:val="22"/>
              </w:rPr>
              <w:t>√</w:t>
            </w:r>
          </w:p>
        </w:tc>
        <w:tc>
          <w:tcPr>
            <w:tcW w:w="1278" w:type="dxa"/>
          </w:tcPr>
          <w:p>
            <w:pPr>
              <w:pStyle w:val="TableParagraph"/>
              <w:spacing w:line="245" w:lineRule="exact"/>
              <w:ind w:left="460" w:right="460"/>
              <w:jc w:val="center"/>
              <w:rPr>
                <w:sz w:val="22"/>
              </w:rPr>
            </w:pPr>
            <w:r>
              <w:rPr>
                <w:sz w:val="22"/>
              </w:rPr>
              <w:t>AØ</w:t>
            </w:r>
          </w:p>
        </w:tc>
        <w:tc>
          <w:tcPr>
            <w:tcW w:w="1320" w:type="dxa"/>
          </w:tcPr>
          <w:p>
            <w:pPr>
              <w:pStyle w:val="TableParagraph"/>
              <w:spacing w:line="245" w:lineRule="exact"/>
              <w:ind w:left="101" w:right="100"/>
              <w:jc w:val="center"/>
              <w:rPr>
                <w:sz w:val="22"/>
              </w:rPr>
            </w:pPr>
            <w:r>
              <w:rPr>
                <w:sz w:val="22"/>
              </w:rPr>
              <w:t>AØ</w:t>
            </w:r>
          </w:p>
        </w:tc>
        <w:tc>
          <w:tcPr>
            <w:tcW w:w="1499" w:type="dxa"/>
          </w:tcPr>
          <w:p>
            <w:pPr>
              <w:pStyle w:val="TableParagraph"/>
              <w:spacing w:line="245" w:lineRule="exact"/>
              <w:ind w:left="100" w:right="95"/>
              <w:jc w:val="center"/>
              <w:rPr>
                <w:sz w:val="22"/>
              </w:rPr>
            </w:pPr>
            <w:r>
              <w:rPr>
                <w:sz w:val="22"/>
              </w:rPr>
              <w:t>AØ</w:t>
            </w:r>
          </w:p>
        </w:tc>
        <w:tc>
          <w:tcPr>
            <w:tcW w:w="1210" w:type="dxa"/>
          </w:tcPr>
          <w:p>
            <w:pPr>
              <w:pStyle w:val="TableParagraph"/>
              <w:spacing w:line="245" w:lineRule="exact"/>
              <w:ind w:left="462" w:right="462"/>
              <w:jc w:val="center"/>
              <w:rPr>
                <w:sz w:val="22"/>
              </w:rPr>
            </w:pPr>
            <w:r>
              <w:rPr>
                <w:sz w:val="22"/>
              </w:rPr>
              <w:t>19</w:t>
            </w:r>
          </w:p>
        </w:tc>
      </w:tr>
      <w:tr>
        <w:trPr>
          <w:trHeight w:val="259" w:hRule="exact"/>
        </w:trPr>
        <w:tc>
          <w:tcPr>
            <w:tcW w:w="1139" w:type="dxa"/>
          </w:tcPr>
          <w:p>
            <w:pPr>
              <w:pStyle w:val="TableParagraph"/>
              <w:spacing w:line="245" w:lineRule="exact"/>
              <w:ind w:left="408"/>
              <w:rPr>
                <w:sz w:val="22"/>
              </w:rPr>
            </w:pPr>
            <w:r>
              <w:rPr>
                <w:w w:val="100"/>
                <w:sz w:val="22"/>
              </w:rPr>
              <w:t>O</w:t>
            </w:r>
          </w:p>
        </w:tc>
        <w:tc>
          <w:tcPr>
            <w:tcW w:w="1261" w:type="dxa"/>
          </w:tcPr>
          <w:p>
            <w:pPr>
              <w:pStyle w:val="TableParagraph"/>
              <w:spacing w:line="245" w:lineRule="exact"/>
              <w:ind w:left="1"/>
              <w:jc w:val="center"/>
              <w:rPr>
                <w:sz w:val="22"/>
              </w:rPr>
            </w:pPr>
            <w:r>
              <w:rPr>
                <w:w w:val="100"/>
                <w:sz w:val="22"/>
              </w:rPr>
              <w:t>√</w:t>
            </w:r>
          </w:p>
        </w:tc>
        <w:tc>
          <w:tcPr>
            <w:tcW w:w="1124" w:type="dxa"/>
          </w:tcPr>
          <w:p>
            <w:pPr>
              <w:pStyle w:val="TableParagraph"/>
              <w:spacing w:line="245" w:lineRule="exact"/>
              <w:ind w:left="162"/>
              <w:jc w:val="center"/>
              <w:rPr>
                <w:sz w:val="22"/>
              </w:rPr>
            </w:pPr>
            <w:r>
              <w:rPr>
                <w:w w:val="100"/>
                <w:sz w:val="22"/>
              </w:rPr>
              <w:t>√</w:t>
            </w:r>
          </w:p>
        </w:tc>
        <w:tc>
          <w:tcPr>
            <w:tcW w:w="1278" w:type="dxa"/>
          </w:tcPr>
          <w:p>
            <w:pPr>
              <w:pStyle w:val="TableParagraph"/>
              <w:spacing w:line="245" w:lineRule="exact"/>
              <w:ind w:right="7"/>
              <w:jc w:val="center"/>
              <w:rPr>
                <w:sz w:val="22"/>
              </w:rPr>
            </w:pPr>
            <w:r>
              <w:rPr>
                <w:w w:val="100"/>
                <w:sz w:val="22"/>
              </w:rPr>
              <w:t>Ø</w:t>
            </w:r>
          </w:p>
        </w:tc>
        <w:tc>
          <w:tcPr>
            <w:tcW w:w="1320" w:type="dxa"/>
          </w:tcPr>
          <w:p>
            <w:pPr>
              <w:pStyle w:val="TableParagraph"/>
              <w:spacing w:line="245" w:lineRule="exact"/>
              <w:ind w:left="101" w:right="100"/>
              <w:jc w:val="center"/>
              <w:rPr>
                <w:sz w:val="22"/>
              </w:rPr>
            </w:pPr>
            <w:r>
              <w:rPr>
                <w:sz w:val="22"/>
              </w:rPr>
              <w:t>AØ</w:t>
            </w:r>
          </w:p>
        </w:tc>
        <w:tc>
          <w:tcPr>
            <w:tcW w:w="1499" w:type="dxa"/>
          </w:tcPr>
          <w:p>
            <w:pPr>
              <w:pStyle w:val="TableParagraph"/>
              <w:spacing w:line="245" w:lineRule="exact"/>
              <w:ind w:left="100" w:right="95"/>
              <w:jc w:val="center"/>
              <w:rPr>
                <w:sz w:val="22"/>
              </w:rPr>
            </w:pPr>
            <w:r>
              <w:rPr>
                <w:sz w:val="22"/>
              </w:rPr>
              <w:t>AØ</w:t>
            </w:r>
          </w:p>
        </w:tc>
        <w:tc>
          <w:tcPr>
            <w:tcW w:w="1210" w:type="dxa"/>
          </w:tcPr>
          <w:p>
            <w:pPr>
              <w:pStyle w:val="TableParagraph"/>
              <w:spacing w:line="245" w:lineRule="exact"/>
              <w:jc w:val="center"/>
              <w:rPr>
                <w:sz w:val="22"/>
              </w:rPr>
            </w:pPr>
            <w:r>
              <w:rPr>
                <w:w w:val="100"/>
                <w:sz w:val="22"/>
              </w:rPr>
              <w:t>1</w:t>
            </w:r>
          </w:p>
        </w:tc>
      </w:tr>
      <w:tr>
        <w:trPr>
          <w:trHeight w:val="384" w:hRule="exact"/>
        </w:trPr>
        <w:tc>
          <w:tcPr>
            <w:tcW w:w="1139" w:type="dxa"/>
          </w:tcPr>
          <w:p>
            <w:pPr>
              <w:pStyle w:val="TableParagraph"/>
              <w:spacing w:line="245" w:lineRule="exact"/>
              <w:ind w:left="418"/>
              <w:rPr>
                <w:sz w:val="22"/>
              </w:rPr>
            </w:pPr>
            <w:r>
              <w:rPr>
                <w:w w:val="100"/>
                <w:sz w:val="22"/>
              </w:rPr>
              <w:t>P</w:t>
            </w:r>
          </w:p>
        </w:tc>
        <w:tc>
          <w:tcPr>
            <w:tcW w:w="1261" w:type="dxa"/>
          </w:tcPr>
          <w:p>
            <w:pPr>
              <w:pStyle w:val="TableParagraph"/>
              <w:spacing w:line="245" w:lineRule="exact"/>
              <w:ind w:left="1"/>
              <w:jc w:val="center"/>
              <w:rPr>
                <w:sz w:val="22"/>
              </w:rPr>
            </w:pPr>
            <w:r>
              <w:rPr>
                <w:w w:val="100"/>
                <w:sz w:val="22"/>
              </w:rPr>
              <w:t>√</w:t>
            </w:r>
          </w:p>
        </w:tc>
        <w:tc>
          <w:tcPr>
            <w:tcW w:w="1124" w:type="dxa"/>
          </w:tcPr>
          <w:p>
            <w:pPr>
              <w:pStyle w:val="TableParagraph"/>
              <w:spacing w:line="245" w:lineRule="exact"/>
              <w:ind w:left="162"/>
              <w:jc w:val="center"/>
              <w:rPr>
                <w:sz w:val="22"/>
              </w:rPr>
            </w:pPr>
            <w:r>
              <w:rPr>
                <w:w w:val="100"/>
                <w:sz w:val="22"/>
              </w:rPr>
              <w:t>√</w:t>
            </w:r>
          </w:p>
        </w:tc>
        <w:tc>
          <w:tcPr>
            <w:tcW w:w="1278" w:type="dxa"/>
          </w:tcPr>
          <w:p>
            <w:pPr>
              <w:pStyle w:val="TableParagraph"/>
              <w:spacing w:line="245" w:lineRule="exact"/>
              <w:ind w:left="460" w:right="460"/>
              <w:jc w:val="center"/>
              <w:rPr>
                <w:sz w:val="22"/>
              </w:rPr>
            </w:pPr>
            <w:r>
              <w:rPr>
                <w:sz w:val="22"/>
              </w:rPr>
              <w:t>AØ</w:t>
            </w:r>
          </w:p>
        </w:tc>
        <w:tc>
          <w:tcPr>
            <w:tcW w:w="1320" w:type="dxa"/>
          </w:tcPr>
          <w:p>
            <w:pPr>
              <w:pStyle w:val="TableParagraph"/>
              <w:spacing w:line="245" w:lineRule="exact"/>
              <w:ind w:right="2"/>
              <w:jc w:val="center"/>
              <w:rPr>
                <w:sz w:val="22"/>
              </w:rPr>
            </w:pPr>
            <w:r>
              <w:rPr>
                <w:w w:val="100"/>
                <w:sz w:val="22"/>
              </w:rPr>
              <w:t>Ø</w:t>
            </w:r>
          </w:p>
        </w:tc>
        <w:tc>
          <w:tcPr>
            <w:tcW w:w="1499" w:type="dxa"/>
          </w:tcPr>
          <w:p>
            <w:pPr>
              <w:pStyle w:val="TableParagraph"/>
              <w:spacing w:line="245" w:lineRule="exact"/>
              <w:ind w:left="100" w:right="95"/>
              <w:jc w:val="center"/>
              <w:rPr>
                <w:sz w:val="22"/>
              </w:rPr>
            </w:pPr>
            <w:r>
              <w:rPr>
                <w:sz w:val="22"/>
              </w:rPr>
              <w:t>AØ</w:t>
            </w:r>
          </w:p>
        </w:tc>
        <w:tc>
          <w:tcPr>
            <w:tcW w:w="1210" w:type="dxa"/>
          </w:tcPr>
          <w:p>
            <w:pPr>
              <w:pStyle w:val="TableParagraph"/>
              <w:spacing w:line="245" w:lineRule="exact"/>
              <w:jc w:val="center"/>
              <w:rPr>
                <w:sz w:val="22"/>
              </w:rPr>
            </w:pPr>
            <w:r>
              <w:rPr>
                <w:w w:val="100"/>
                <w:sz w:val="22"/>
              </w:rPr>
              <w:t>1</w:t>
            </w:r>
          </w:p>
        </w:tc>
      </w:tr>
      <w:tr>
        <w:trPr>
          <w:trHeight w:val="390" w:hRule="exact"/>
        </w:trPr>
        <w:tc>
          <w:tcPr>
            <w:tcW w:w="1139" w:type="dxa"/>
            <w:tcBorders>
              <w:bottom w:val="single" w:sz="8" w:space="0" w:color="000000"/>
            </w:tcBorders>
          </w:tcPr>
          <w:p>
            <w:pPr/>
          </w:p>
        </w:tc>
        <w:tc>
          <w:tcPr>
            <w:tcW w:w="6482" w:type="dxa"/>
            <w:gridSpan w:val="5"/>
            <w:tcBorders>
              <w:bottom w:val="single" w:sz="8" w:space="0" w:color="000000"/>
            </w:tcBorders>
          </w:tcPr>
          <w:p>
            <w:pPr>
              <w:pStyle w:val="TableParagraph"/>
              <w:spacing w:before="116"/>
              <w:ind w:left="128"/>
              <w:rPr>
                <w:sz w:val="22"/>
              </w:rPr>
            </w:pPr>
            <w:r>
              <w:rPr>
                <w:sz w:val="22"/>
              </w:rPr>
              <w:t>√= Presencia; -- = Ausencia; Ø= Sin cambios; AØ= Con cambios</w:t>
            </w:r>
          </w:p>
        </w:tc>
        <w:tc>
          <w:tcPr>
            <w:tcW w:w="1210" w:type="dxa"/>
            <w:tcBorders>
              <w:bottom w:val="single" w:sz="8" w:space="0" w:color="000000"/>
            </w:tcBorders>
          </w:tcPr>
          <w:p>
            <w:pPr/>
          </w:p>
        </w:tc>
      </w:tr>
    </w:tbl>
    <w:p>
      <w:pPr>
        <w:pStyle w:val="BodyText"/>
      </w:pPr>
    </w:p>
    <w:p>
      <w:pPr>
        <w:pStyle w:val="BodyText"/>
        <w:rPr>
          <w:sz w:val="29"/>
        </w:rPr>
      </w:pPr>
    </w:p>
    <w:p>
      <w:pPr>
        <w:pStyle w:val="BodyText"/>
        <w:spacing w:line="360" w:lineRule="auto"/>
        <w:ind w:left="232" w:right="151"/>
        <w:jc w:val="both"/>
      </w:pPr>
      <w:r>
        <w:rPr/>
        <w:t>Al realizar el análisis en base al número de vacunaciones presentadas por los 100 pacientes positivos y el cuadro clínico presentado, encontramos que el 37% de los pacientes no había recibido ninguna inmunización contra parvovirus canino y se encontraba en un rango de edad de 2 meses a 2 años, El 23% de los pacientes evaluados recibió solo una inmunización y se encontraban en un rango de edad de 2 a 7 meses, 16% dos inmunizaciones con un rango de edad de 2 meses a 1 año, 14% tres inmunizaciones con un rango de edad de 3 meses a 1 año y el 10% recibió hasta cuatro inmunizaciones con un rango de edad de 4 meses a 5 años</w:t>
      </w:r>
    </w:p>
    <w:p>
      <w:pPr>
        <w:spacing w:after="0" w:line="360" w:lineRule="auto"/>
        <w:jc w:val="both"/>
        <w:sectPr>
          <w:footerReference w:type="default" r:id="rId31"/>
          <w:pgSz w:w="12240" w:h="15840"/>
          <w:pgMar w:footer="1713" w:header="1154" w:top="1520" w:bottom="1900" w:left="1640" w:right="1380"/>
          <w:pgNumType w:start="51"/>
        </w:sectPr>
      </w:pPr>
    </w:p>
    <w:p>
      <w:pPr>
        <w:pStyle w:val="BodyText"/>
        <w:spacing w:before="2"/>
        <w:rPr>
          <w:sz w:val="18"/>
        </w:rPr>
      </w:pPr>
    </w:p>
    <w:p>
      <w:pPr>
        <w:pStyle w:val="BodyText"/>
        <w:spacing w:line="360" w:lineRule="auto" w:before="70"/>
        <w:ind w:left="232" w:right="154"/>
        <w:jc w:val="both"/>
      </w:pPr>
      <w:r>
        <w:rPr/>
        <w:t>(Tabla 3). Cabe mencionar que en este análisis en todas las categorías de vacunación, se observa a pacientes que presentan cuadros clínicos  de  moderados a severos de gastroenteritis parvoviral sin importar el número de inmunizaciones con las que se encontraban</w:t>
      </w:r>
      <w:r>
        <w:rPr>
          <w:spacing w:val="-24"/>
        </w:rPr>
        <w:t> </w:t>
      </w:r>
      <w:r>
        <w:rPr/>
        <w:t>protegidos.</w:t>
      </w:r>
    </w:p>
    <w:p>
      <w:pPr>
        <w:pStyle w:val="BodyText"/>
        <w:spacing w:before="7"/>
        <w:rPr>
          <w:sz w:val="31"/>
        </w:rPr>
      </w:pPr>
    </w:p>
    <w:p>
      <w:pPr>
        <w:spacing w:line="250" w:lineRule="exact" w:before="0"/>
        <w:ind w:left="232" w:right="0" w:firstLine="0"/>
        <w:jc w:val="left"/>
        <w:rPr>
          <w:sz w:val="22"/>
        </w:rPr>
      </w:pPr>
      <w:r>
        <w:rPr>
          <w:sz w:val="22"/>
        </w:rPr>
        <w:t>Tabla 3. Numero de inmunizaciones y características de la diarrea presentadas en 100 pacientes positivos a PVC-2.</w:t>
      </w:r>
    </w:p>
    <w:p>
      <w:pPr>
        <w:pStyle w:val="BodyText"/>
        <w:spacing w:before="3"/>
        <w:rPr>
          <w:sz w:val="27"/>
        </w:rPr>
      </w:pPr>
    </w:p>
    <w:p>
      <w:pPr>
        <w:spacing w:after="0"/>
        <w:rPr>
          <w:sz w:val="27"/>
        </w:rPr>
        <w:sectPr>
          <w:pgSz w:w="12240" w:h="15840"/>
          <w:pgMar w:header="1154" w:footer="1713" w:top="1520" w:bottom="1900" w:left="1640" w:right="1380"/>
        </w:sectPr>
      </w:pPr>
    </w:p>
    <w:p>
      <w:pPr>
        <w:spacing w:before="73"/>
        <w:ind w:left="0" w:right="0" w:firstLine="0"/>
        <w:jc w:val="right"/>
        <w:rPr>
          <w:sz w:val="22"/>
        </w:rPr>
      </w:pPr>
      <w:r>
        <w:rPr/>
        <w:pict>
          <v:shape style="position:absolute;margin-left:88.103996pt;margin-top:-2.592151pt;width:446.85pt;height:386.5pt;mso-position-horizontal-relative:page;mso-position-vertical-relative:paragraph;z-index:150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29"/>
                    <w:gridCol w:w="951"/>
                    <w:gridCol w:w="2005"/>
                    <w:gridCol w:w="833"/>
                    <w:gridCol w:w="1383"/>
                    <w:gridCol w:w="1426"/>
                    <w:gridCol w:w="1210"/>
                  </w:tblGrid>
                  <w:tr>
                    <w:trPr>
                      <w:trHeight w:val="263" w:hRule="exact"/>
                    </w:trPr>
                    <w:tc>
                      <w:tcPr>
                        <w:tcW w:w="6300" w:type="dxa"/>
                        <w:gridSpan w:val="5"/>
                        <w:tcBorders>
                          <w:left w:val="nil"/>
                          <w:bottom w:val="nil"/>
                          <w:right w:val="nil"/>
                        </w:tcBorders>
                      </w:tcPr>
                      <w:p>
                        <w:pPr>
                          <w:pStyle w:val="TableParagraph"/>
                          <w:tabs>
                            <w:tab w:pos="2732" w:val="left" w:leader="none"/>
                            <w:tab w:pos="5306" w:val="left" w:leader="none"/>
                          </w:tabs>
                          <w:spacing w:line="248" w:lineRule="exact"/>
                          <w:ind w:left="442"/>
                          <w:rPr>
                            <w:sz w:val="22"/>
                          </w:rPr>
                        </w:pPr>
                        <w:r>
                          <w:rPr>
                            <w:sz w:val="22"/>
                          </w:rPr>
                          <w:t>Nº</w:t>
                          <w:tab/>
                          <w:t>Diarrea</w:t>
                          <w:tab/>
                          <w:t>Diarrea</w:t>
                        </w:r>
                      </w:p>
                    </w:tc>
                    <w:tc>
                      <w:tcPr>
                        <w:tcW w:w="2636" w:type="dxa"/>
                        <w:gridSpan w:val="2"/>
                        <w:tcBorders>
                          <w:left w:val="nil"/>
                          <w:bottom w:val="nil"/>
                          <w:right w:val="nil"/>
                        </w:tcBorders>
                      </w:tcPr>
                      <w:p>
                        <w:pPr>
                          <w:pStyle w:val="TableParagraph"/>
                          <w:spacing w:line="248" w:lineRule="exact"/>
                          <w:ind w:left="619"/>
                          <w:rPr>
                            <w:sz w:val="22"/>
                          </w:rPr>
                        </w:pPr>
                        <w:r>
                          <w:rPr>
                            <w:sz w:val="22"/>
                          </w:rPr>
                          <w:t>Nº</w:t>
                        </w:r>
                      </w:p>
                    </w:tc>
                  </w:tr>
                  <w:tr>
                    <w:trPr>
                      <w:trHeight w:val="251" w:hRule="exact"/>
                    </w:trPr>
                    <w:tc>
                      <w:tcPr>
                        <w:tcW w:w="1129" w:type="dxa"/>
                        <w:tcBorders>
                          <w:top w:val="nil"/>
                          <w:left w:val="nil"/>
                          <w:right w:val="nil"/>
                        </w:tcBorders>
                      </w:tcPr>
                      <w:p>
                        <w:pPr>
                          <w:pStyle w:val="TableParagraph"/>
                          <w:spacing w:line="226" w:lineRule="exact"/>
                          <w:ind w:left="116" w:right="116"/>
                          <w:jc w:val="center"/>
                          <w:rPr>
                            <w:sz w:val="22"/>
                          </w:rPr>
                        </w:pPr>
                        <w:r>
                          <w:rPr>
                            <w:sz w:val="22"/>
                          </w:rPr>
                          <w:t>Vacunas</w:t>
                        </w:r>
                      </w:p>
                    </w:tc>
                    <w:tc>
                      <w:tcPr>
                        <w:tcW w:w="951" w:type="dxa"/>
                        <w:tcBorders>
                          <w:top w:val="nil"/>
                          <w:left w:val="nil"/>
                          <w:right w:val="nil"/>
                        </w:tcBorders>
                      </w:tcPr>
                      <w:p>
                        <w:pPr/>
                      </w:p>
                    </w:tc>
                    <w:tc>
                      <w:tcPr>
                        <w:tcW w:w="2005" w:type="dxa"/>
                        <w:tcBorders>
                          <w:top w:val="nil"/>
                          <w:left w:val="nil"/>
                          <w:right w:val="nil"/>
                        </w:tcBorders>
                      </w:tcPr>
                      <w:p>
                        <w:pPr>
                          <w:pStyle w:val="TableParagraph"/>
                          <w:spacing w:line="226" w:lineRule="exact"/>
                          <w:ind w:left="310" w:right="284"/>
                          <w:jc w:val="center"/>
                          <w:rPr>
                            <w:sz w:val="22"/>
                          </w:rPr>
                        </w:pPr>
                        <w:r>
                          <w:rPr>
                            <w:sz w:val="22"/>
                          </w:rPr>
                          <w:t>sanguinolenta</w:t>
                        </w:r>
                      </w:p>
                    </w:tc>
                    <w:tc>
                      <w:tcPr>
                        <w:tcW w:w="833" w:type="dxa"/>
                        <w:tcBorders>
                          <w:top w:val="nil"/>
                          <w:left w:val="nil"/>
                          <w:right w:val="nil"/>
                        </w:tcBorders>
                      </w:tcPr>
                      <w:p>
                        <w:pPr/>
                      </w:p>
                    </w:tc>
                    <w:tc>
                      <w:tcPr>
                        <w:tcW w:w="1383" w:type="dxa"/>
                        <w:tcBorders>
                          <w:top w:val="nil"/>
                          <w:left w:val="nil"/>
                          <w:right w:val="nil"/>
                        </w:tcBorders>
                      </w:tcPr>
                      <w:p>
                        <w:pPr>
                          <w:pStyle w:val="TableParagraph"/>
                          <w:spacing w:line="226" w:lineRule="exact"/>
                          <w:ind w:left="366" w:right="242"/>
                          <w:jc w:val="center"/>
                          <w:rPr>
                            <w:sz w:val="22"/>
                          </w:rPr>
                        </w:pPr>
                        <w:r>
                          <w:rPr>
                            <w:sz w:val="22"/>
                          </w:rPr>
                          <w:t>catarral</w:t>
                        </w:r>
                      </w:p>
                    </w:tc>
                    <w:tc>
                      <w:tcPr>
                        <w:tcW w:w="1426" w:type="dxa"/>
                        <w:tcBorders>
                          <w:top w:val="nil"/>
                          <w:left w:val="nil"/>
                          <w:right w:val="nil"/>
                        </w:tcBorders>
                      </w:tcPr>
                      <w:p>
                        <w:pPr>
                          <w:pStyle w:val="TableParagraph"/>
                          <w:spacing w:line="226" w:lineRule="exact"/>
                          <w:ind w:left="240" w:right="179"/>
                          <w:jc w:val="center"/>
                          <w:rPr>
                            <w:sz w:val="22"/>
                          </w:rPr>
                        </w:pPr>
                        <w:r>
                          <w:rPr>
                            <w:sz w:val="22"/>
                          </w:rPr>
                          <w:t>Pacientes</w:t>
                        </w:r>
                      </w:p>
                    </w:tc>
                    <w:tc>
                      <w:tcPr>
                        <w:tcW w:w="1210" w:type="dxa"/>
                        <w:tcBorders>
                          <w:top w:val="nil"/>
                          <w:left w:val="nil"/>
                          <w:right w:val="nil"/>
                        </w:tcBorders>
                      </w:tcPr>
                      <w:p>
                        <w:pPr/>
                      </w:p>
                    </w:tc>
                  </w:tr>
                  <w:tr>
                    <w:trPr>
                      <w:trHeight w:val="265" w:hRule="exact"/>
                    </w:trPr>
                    <w:tc>
                      <w:tcPr>
                        <w:tcW w:w="1129" w:type="dxa"/>
                        <w:tcBorders>
                          <w:left w:val="nil"/>
                          <w:bottom w:val="nil"/>
                          <w:right w:val="nil"/>
                        </w:tcBorders>
                      </w:tcPr>
                      <w:p>
                        <w:pPr/>
                      </w:p>
                    </w:tc>
                    <w:tc>
                      <w:tcPr>
                        <w:tcW w:w="951" w:type="dxa"/>
                        <w:tcBorders>
                          <w:left w:val="nil"/>
                          <w:bottom w:val="nil"/>
                          <w:right w:val="nil"/>
                        </w:tcBorders>
                      </w:tcPr>
                      <w:p>
                        <w:pPr>
                          <w:pStyle w:val="TableParagraph"/>
                          <w:spacing w:line="248" w:lineRule="exact"/>
                          <w:ind w:right="337"/>
                          <w:jc w:val="right"/>
                          <w:rPr>
                            <w:sz w:val="22"/>
                          </w:rPr>
                        </w:pPr>
                        <w:r>
                          <w:rPr>
                            <w:w w:val="100"/>
                            <w:sz w:val="22"/>
                          </w:rPr>
                          <w:t>√</w:t>
                        </w:r>
                      </w:p>
                    </w:tc>
                    <w:tc>
                      <w:tcPr>
                        <w:tcW w:w="2005" w:type="dxa"/>
                        <w:tcBorders>
                          <w:left w:val="nil"/>
                          <w:bottom w:val="nil"/>
                          <w:right w:val="nil"/>
                        </w:tcBorders>
                      </w:tcPr>
                      <w:p>
                        <w:pPr>
                          <w:pStyle w:val="TableParagraph"/>
                          <w:spacing w:line="248" w:lineRule="exact"/>
                          <w:ind w:left="27"/>
                          <w:jc w:val="center"/>
                          <w:rPr>
                            <w:sz w:val="22"/>
                          </w:rPr>
                        </w:pPr>
                        <w:r>
                          <w:rPr>
                            <w:w w:val="100"/>
                            <w:sz w:val="22"/>
                          </w:rPr>
                          <w:t>√</w:t>
                        </w:r>
                      </w:p>
                    </w:tc>
                    <w:tc>
                      <w:tcPr>
                        <w:tcW w:w="833" w:type="dxa"/>
                        <w:tcBorders>
                          <w:left w:val="nil"/>
                          <w:bottom w:val="nil"/>
                          <w:right w:val="nil"/>
                        </w:tcBorders>
                      </w:tcPr>
                      <w:p>
                        <w:pPr/>
                      </w:p>
                    </w:tc>
                    <w:tc>
                      <w:tcPr>
                        <w:tcW w:w="1383" w:type="dxa"/>
                        <w:tcBorders>
                          <w:left w:val="nil"/>
                          <w:bottom w:val="nil"/>
                          <w:right w:val="nil"/>
                        </w:tcBorders>
                      </w:tcPr>
                      <w:p>
                        <w:pPr/>
                      </w:p>
                    </w:tc>
                    <w:tc>
                      <w:tcPr>
                        <w:tcW w:w="1426" w:type="dxa"/>
                        <w:tcBorders>
                          <w:left w:val="nil"/>
                          <w:bottom w:val="nil"/>
                          <w:right w:val="nil"/>
                        </w:tcBorders>
                      </w:tcPr>
                      <w:p>
                        <w:pPr>
                          <w:pStyle w:val="TableParagraph"/>
                          <w:spacing w:line="248" w:lineRule="exact"/>
                          <w:ind w:left="240" w:right="178"/>
                          <w:jc w:val="center"/>
                          <w:rPr>
                            <w:sz w:val="22"/>
                          </w:rPr>
                        </w:pPr>
                        <w:r>
                          <w:rPr>
                            <w:sz w:val="22"/>
                          </w:rPr>
                          <w:t>14</w:t>
                        </w:r>
                      </w:p>
                    </w:tc>
                    <w:tc>
                      <w:tcPr>
                        <w:tcW w:w="1210" w:type="dxa"/>
                        <w:tcBorders>
                          <w:left w:val="nil"/>
                          <w:bottom w:val="nil"/>
                          <w:right w:val="nil"/>
                        </w:tcBorders>
                      </w:tcPr>
                      <w:p>
                        <w:pPr/>
                      </w:p>
                    </w:tc>
                  </w:tr>
                  <w:tr>
                    <w:trPr>
                      <w:trHeight w:val="254" w:hRule="exact"/>
                    </w:trPr>
                    <w:tc>
                      <w:tcPr>
                        <w:tcW w:w="1129" w:type="dxa"/>
                        <w:tcBorders>
                          <w:top w:val="nil"/>
                          <w:left w:val="nil"/>
                          <w:bottom w:val="nil"/>
                          <w:right w:val="nil"/>
                        </w:tcBorders>
                      </w:tcPr>
                      <w:p>
                        <w:pPr/>
                      </w:p>
                    </w:tc>
                    <w:tc>
                      <w:tcPr>
                        <w:tcW w:w="951" w:type="dxa"/>
                        <w:tcBorders>
                          <w:top w:val="nil"/>
                          <w:left w:val="nil"/>
                          <w:bottom w:val="nil"/>
                          <w:right w:val="nil"/>
                        </w:tcBorders>
                      </w:tcPr>
                      <w:p>
                        <w:pPr>
                          <w:pStyle w:val="TableParagraph"/>
                          <w:spacing w:line="242" w:lineRule="exact"/>
                          <w:ind w:right="329"/>
                          <w:jc w:val="right"/>
                          <w:rPr>
                            <w:sz w:val="22"/>
                          </w:rPr>
                        </w:pPr>
                        <w:r>
                          <w:rPr>
                            <w:sz w:val="22"/>
                          </w:rPr>
                          <w:t>--</w:t>
                        </w:r>
                      </w:p>
                    </w:tc>
                    <w:tc>
                      <w:tcPr>
                        <w:tcW w:w="2005" w:type="dxa"/>
                        <w:tcBorders>
                          <w:top w:val="nil"/>
                          <w:left w:val="nil"/>
                          <w:bottom w:val="nil"/>
                          <w:right w:val="nil"/>
                        </w:tcBorders>
                      </w:tcPr>
                      <w:p>
                        <w:pPr>
                          <w:pStyle w:val="TableParagraph"/>
                          <w:spacing w:line="242" w:lineRule="exact"/>
                          <w:ind w:left="27"/>
                          <w:jc w:val="center"/>
                          <w:rPr>
                            <w:sz w:val="22"/>
                          </w:rPr>
                        </w:pPr>
                        <w:r>
                          <w:rPr>
                            <w:w w:val="100"/>
                            <w:sz w:val="22"/>
                          </w:rPr>
                          <w:t>√</w:t>
                        </w:r>
                      </w:p>
                    </w:tc>
                    <w:tc>
                      <w:tcPr>
                        <w:tcW w:w="833" w:type="dxa"/>
                        <w:tcBorders>
                          <w:top w:val="nil"/>
                          <w:left w:val="nil"/>
                          <w:bottom w:val="nil"/>
                          <w:right w:val="nil"/>
                        </w:tcBorders>
                      </w:tcPr>
                      <w:p>
                        <w:pPr/>
                      </w:p>
                    </w:tc>
                    <w:tc>
                      <w:tcPr>
                        <w:tcW w:w="1383" w:type="dxa"/>
                        <w:tcBorders>
                          <w:top w:val="nil"/>
                          <w:left w:val="nil"/>
                          <w:bottom w:val="nil"/>
                          <w:right w:val="nil"/>
                        </w:tcBorders>
                      </w:tcPr>
                      <w:p>
                        <w:pPr/>
                      </w:p>
                    </w:tc>
                    <w:tc>
                      <w:tcPr>
                        <w:tcW w:w="1426" w:type="dxa"/>
                        <w:tcBorders>
                          <w:top w:val="nil"/>
                          <w:left w:val="nil"/>
                          <w:bottom w:val="nil"/>
                          <w:right w:val="nil"/>
                        </w:tcBorders>
                      </w:tcPr>
                      <w:p>
                        <w:pPr>
                          <w:pStyle w:val="TableParagraph"/>
                          <w:spacing w:line="242" w:lineRule="exact"/>
                          <w:ind w:left="60"/>
                          <w:jc w:val="center"/>
                          <w:rPr>
                            <w:sz w:val="22"/>
                          </w:rPr>
                        </w:pPr>
                        <w:r>
                          <w:rPr>
                            <w:w w:val="100"/>
                            <w:sz w:val="22"/>
                          </w:rPr>
                          <w:t>4</w:t>
                        </w:r>
                      </w:p>
                    </w:tc>
                    <w:tc>
                      <w:tcPr>
                        <w:tcW w:w="1210" w:type="dxa"/>
                        <w:tcBorders>
                          <w:top w:val="nil"/>
                          <w:left w:val="nil"/>
                          <w:bottom w:val="nil"/>
                          <w:right w:val="nil"/>
                        </w:tcBorders>
                      </w:tcPr>
                      <w:p>
                        <w:pPr/>
                      </w:p>
                    </w:tc>
                  </w:tr>
                  <w:tr>
                    <w:trPr>
                      <w:trHeight w:val="252" w:hRule="exact"/>
                    </w:trPr>
                    <w:tc>
                      <w:tcPr>
                        <w:tcW w:w="1129" w:type="dxa"/>
                        <w:tcBorders>
                          <w:top w:val="nil"/>
                          <w:left w:val="nil"/>
                          <w:bottom w:val="nil"/>
                          <w:right w:val="nil"/>
                        </w:tcBorders>
                      </w:tcPr>
                      <w:p>
                        <w:pPr>
                          <w:pStyle w:val="TableParagraph"/>
                          <w:spacing w:line="178" w:lineRule="exact" w:before="114"/>
                          <w:ind w:left="3"/>
                          <w:jc w:val="center"/>
                          <w:rPr>
                            <w:sz w:val="22"/>
                          </w:rPr>
                        </w:pPr>
                        <w:r>
                          <w:rPr>
                            <w:w w:val="100"/>
                            <w:sz w:val="22"/>
                          </w:rPr>
                          <w:t>0</w:t>
                        </w:r>
                      </w:p>
                    </w:tc>
                    <w:tc>
                      <w:tcPr>
                        <w:tcW w:w="951" w:type="dxa"/>
                        <w:tcBorders>
                          <w:top w:val="nil"/>
                          <w:left w:val="nil"/>
                          <w:bottom w:val="nil"/>
                          <w:right w:val="nil"/>
                        </w:tcBorders>
                      </w:tcPr>
                      <w:p>
                        <w:pPr>
                          <w:pStyle w:val="TableParagraph"/>
                          <w:spacing w:line="242" w:lineRule="exact"/>
                          <w:ind w:right="337"/>
                          <w:jc w:val="right"/>
                          <w:rPr>
                            <w:sz w:val="22"/>
                          </w:rPr>
                        </w:pPr>
                        <w:r>
                          <w:rPr>
                            <w:w w:val="100"/>
                            <w:sz w:val="22"/>
                          </w:rPr>
                          <w:t>√</w:t>
                        </w:r>
                      </w:p>
                    </w:tc>
                    <w:tc>
                      <w:tcPr>
                        <w:tcW w:w="2005" w:type="dxa"/>
                        <w:tcBorders>
                          <w:top w:val="nil"/>
                          <w:left w:val="nil"/>
                          <w:bottom w:val="nil"/>
                          <w:right w:val="nil"/>
                        </w:tcBorders>
                      </w:tcPr>
                      <w:p>
                        <w:pPr/>
                      </w:p>
                    </w:tc>
                    <w:tc>
                      <w:tcPr>
                        <w:tcW w:w="833" w:type="dxa"/>
                        <w:tcBorders>
                          <w:top w:val="nil"/>
                          <w:left w:val="nil"/>
                          <w:bottom w:val="nil"/>
                          <w:right w:val="nil"/>
                        </w:tcBorders>
                      </w:tcPr>
                      <w:p>
                        <w:pPr>
                          <w:pStyle w:val="TableParagraph"/>
                          <w:spacing w:line="242" w:lineRule="exact"/>
                          <w:ind w:right="71"/>
                          <w:jc w:val="center"/>
                          <w:rPr>
                            <w:sz w:val="22"/>
                          </w:rPr>
                        </w:pPr>
                        <w:r>
                          <w:rPr>
                            <w:w w:val="100"/>
                            <w:sz w:val="22"/>
                          </w:rPr>
                          <w:t>√</w:t>
                        </w:r>
                      </w:p>
                    </w:tc>
                    <w:tc>
                      <w:tcPr>
                        <w:tcW w:w="1383" w:type="dxa"/>
                        <w:tcBorders>
                          <w:top w:val="nil"/>
                          <w:left w:val="nil"/>
                          <w:bottom w:val="nil"/>
                          <w:right w:val="nil"/>
                        </w:tcBorders>
                      </w:tcPr>
                      <w:p>
                        <w:pPr/>
                      </w:p>
                    </w:tc>
                    <w:tc>
                      <w:tcPr>
                        <w:tcW w:w="1426" w:type="dxa"/>
                        <w:tcBorders>
                          <w:top w:val="nil"/>
                          <w:left w:val="nil"/>
                          <w:bottom w:val="nil"/>
                          <w:right w:val="nil"/>
                        </w:tcBorders>
                      </w:tcPr>
                      <w:p>
                        <w:pPr>
                          <w:pStyle w:val="TableParagraph"/>
                          <w:spacing w:line="242" w:lineRule="exact"/>
                          <w:ind w:left="60"/>
                          <w:jc w:val="center"/>
                          <w:rPr>
                            <w:sz w:val="22"/>
                          </w:rPr>
                        </w:pPr>
                        <w:r>
                          <w:rPr>
                            <w:w w:val="100"/>
                            <w:sz w:val="22"/>
                          </w:rPr>
                          <w:t>9</w:t>
                        </w:r>
                      </w:p>
                    </w:tc>
                    <w:tc>
                      <w:tcPr>
                        <w:tcW w:w="1210" w:type="dxa"/>
                        <w:tcBorders>
                          <w:top w:val="nil"/>
                          <w:left w:val="nil"/>
                          <w:bottom w:val="nil"/>
                          <w:right w:val="nil"/>
                        </w:tcBorders>
                      </w:tcPr>
                      <w:p>
                        <w:pPr>
                          <w:pStyle w:val="TableParagraph"/>
                          <w:spacing w:line="178" w:lineRule="exact" w:before="114"/>
                          <w:ind w:left="462" w:right="462"/>
                          <w:jc w:val="center"/>
                          <w:rPr>
                            <w:sz w:val="22"/>
                          </w:rPr>
                        </w:pPr>
                        <w:r>
                          <w:rPr>
                            <w:sz w:val="22"/>
                          </w:rPr>
                          <w:t>37</w:t>
                        </w:r>
                      </w:p>
                    </w:tc>
                  </w:tr>
                  <w:tr>
                    <w:trPr>
                      <w:trHeight w:val="252" w:hRule="exact"/>
                    </w:trPr>
                    <w:tc>
                      <w:tcPr>
                        <w:tcW w:w="1129" w:type="dxa"/>
                        <w:tcBorders>
                          <w:top w:val="nil"/>
                          <w:left w:val="nil"/>
                          <w:bottom w:val="nil"/>
                          <w:right w:val="nil"/>
                        </w:tcBorders>
                      </w:tcPr>
                      <w:p>
                        <w:pPr/>
                      </w:p>
                    </w:tc>
                    <w:tc>
                      <w:tcPr>
                        <w:tcW w:w="951" w:type="dxa"/>
                        <w:tcBorders>
                          <w:top w:val="nil"/>
                          <w:left w:val="nil"/>
                          <w:bottom w:val="nil"/>
                          <w:right w:val="nil"/>
                        </w:tcBorders>
                      </w:tcPr>
                      <w:p>
                        <w:pPr>
                          <w:pStyle w:val="TableParagraph"/>
                          <w:spacing w:line="240" w:lineRule="exact"/>
                          <w:ind w:right="329"/>
                          <w:jc w:val="right"/>
                          <w:rPr>
                            <w:sz w:val="22"/>
                          </w:rPr>
                        </w:pPr>
                        <w:r>
                          <w:rPr>
                            <w:sz w:val="22"/>
                          </w:rPr>
                          <w:t>--</w:t>
                        </w:r>
                      </w:p>
                    </w:tc>
                    <w:tc>
                      <w:tcPr>
                        <w:tcW w:w="2005" w:type="dxa"/>
                        <w:tcBorders>
                          <w:top w:val="nil"/>
                          <w:left w:val="nil"/>
                          <w:bottom w:val="nil"/>
                          <w:right w:val="nil"/>
                        </w:tcBorders>
                      </w:tcPr>
                      <w:p>
                        <w:pPr/>
                      </w:p>
                    </w:tc>
                    <w:tc>
                      <w:tcPr>
                        <w:tcW w:w="833" w:type="dxa"/>
                        <w:tcBorders>
                          <w:top w:val="nil"/>
                          <w:left w:val="nil"/>
                          <w:bottom w:val="nil"/>
                          <w:right w:val="nil"/>
                        </w:tcBorders>
                      </w:tcPr>
                      <w:p>
                        <w:pPr>
                          <w:pStyle w:val="TableParagraph"/>
                          <w:spacing w:line="240" w:lineRule="exact"/>
                          <w:ind w:right="71"/>
                          <w:jc w:val="center"/>
                          <w:rPr>
                            <w:sz w:val="22"/>
                          </w:rPr>
                        </w:pPr>
                        <w:r>
                          <w:rPr>
                            <w:w w:val="100"/>
                            <w:sz w:val="22"/>
                          </w:rPr>
                          <w:t>√</w:t>
                        </w:r>
                      </w:p>
                    </w:tc>
                    <w:tc>
                      <w:tcPr>
                        <w:tcW w:w="1383" w:type="dxa"/>
                        <w:tcBorders>
                          <w:top w:val="nil"/>
                          <w:left w:val="nil"/>
                          <w:bottom w:val="nil"/>
                          <w:right w:val="nil"/>
                        </w:tcBorders>
                      </w:tcPr>
                      <w:p>
                        <w:pPr/>
                      </w:p>
                    </w:tc>
                    <w:tc>
                      <w:tcPr>
                        <w:tcW w:w="1426" w:type="dxa"/>
                        <w:tcBorders>
                          <w:top w:val="nil"/>
                          <w:left w:val="nil"/>
                          <w:bottom w:val="nil"/>
                          <w:right w:val="nil"/>
                        </w:tcBorders>
                      </w:tcPr>
                      <w:p>
                        <w:pPr>
                          <w:pStyle w:val="TableParagraph"/>
                          <w:spacing w:line="240" w:lineRule="exact"/>
                          <w:ind w:left="60"/>
                          <w:jc w:val="center"/>
                          <w:rPr>
                            <w:sz w:val="22"/>
                          </w:rPr>
                        </w:pPr>
                        <w:r>
                          <w:rPr>
                            <w:w w:val="100"/>
                            <w:sz w:val="22"/>
                          </w:rPr>
                          <w:t>2</w:t>
                        </w:r>
                      </w:p>
                    </w:tc>
                    <w:tc>
                      <w:tcPr>
                        <w:tcW w:w="1210" w:type="dxa"/>
                        <w:tcBorders>
                          <w:top w:val="nil"/>
                          <w:left w:val="nil"/>
                          <w:bottom w:val="nil"/>
                          <w:right w:val="nil"/>
                        </w:tcBorders>
                      </w:tcPr>
                      <w:p>
                        <w:pPr/>
                      </w:p>
                    </w:tc>
                  </w:tr>
                  <w:tr>
                    <w:trPr>
                      <w:trHeight w:val="254" w:hRule="exact"/>
                    </w:trPr>
                    <w:tc>
                      <w:tcPr>
                        <w:tcW w:w="1129" w:type="dxa"/>
                        <w:tcBorders>
                          <w:top w:val="nil"/>
                          <w:left w:val="nil"/>
                          <w:bottom w:val="nil"/>
                          <w:right w:val="nil"/>
                        </w:tcBorders>
                      </w:tcPr>
                      <w:p>
                        <w:pPr/>
                      </w:p>
                    </w:tc>
                    <w:tc>
                      <w:tcPr>
                        <w:tcW w:w="951" w:type="dxa"/>
                        <w:tcBorders>
                          <w:top w:val="nil"/>
                          <w:left w:val="nil"/>
                          <w:bottom w:val="nil"/>
                          <w:right w:val="nil"/>
                        </w:tcBorders>
                      </w:tcPr>
                      <w:p>
                        <w:pPr>
                          <w:pStyle w:val="TableParagraph"/>
                          <w:spacing w:line="242" w:lineRule="exact"/>
                          <w:ind w:right="337"/>
                          <w:jc w:val="right"/>
                          <w:rPr>
                            <w:sz w:val="22"/>
                          </w:rPr>
                        </w:pPr>
                        <w:r>
                          <w:rPr>
                            <w:w w:val="100"/>
                            <w:sz w:val="22"/>
                          </w:rPr>
                          <w:t>√</w:t>
                        </w:r>
                      </w:p>
                    </w:tc>
                    <w:tc>
                      <w:tcPr>
                        <w:tcW w:w="2005" w:type="dxa"/>
                        <w:tcBorders>
                          <w:top w:val="nil"/>
                          <w:left w:val="nil"/>
                          <w:bottom w:val="nil"/>
                          <w:right w:val="nil"/>
                        </w:tcBorders>
                      </w:tcPr>
                      <w:p>
                        <w:pPr/>
                      </w:p>
                    </w:tc>
                    <w:tc>
                      <w:tcPr>
                        <w:tcW w:w="833" w:type="dxa"/>
                        <w:tcBorders>
                          <w:top w:val="nil"/>
                          <w:left w:val="nil"/>
                          <w:bottom w:val="nil"/>
                          <w:right w:val="nil"/>
                        </w:tcBorders>
                      </w:tcPr>
                      <w:p>
                        <w:pPr/>
                      </w:p>
                    </w:tc>
                    <w:tc>
                      <w:tcPr>
                        <w:tcW w:w="1383" w:type="dxa"/>
                        <w:tcBorders>
                          <w:top w:val="nil"/>
                          <w:left w:val="nil"/>
                          <w:bottom w:val="nil"/>
                          <w:right w:val="nil"/>
                        </w:tcBorders>
                      </w:tcPr>
                      <w:p>
                        <w:pPr>
                          <w:pStyle w:val="TableParagraph"/>
                          <w:spacing w:line="242" w:lineRule="exact"/>
                          <w:ind w:left="121"/>
                          <w:jc w:val="center"/>
                          <w:rPr>
                            <w:sz w:val="22"/>
                          </w:rPr>
                        </w:pPr>
                        <w:r>
                          <w:rPr>
                            <w:w w:val="100"/>
                            <w:sz w:val="22"/>
                          </w:rPr>
                          <w:t>√</w:t>
                        </w:r>
                      </w:p>
                    </w:tc>
                    <w:tc>
                      <w:tcPr>
                        <w:tcW w:w="1426" w:type="dxa"/>
                        <w:tcBorders>
                          <w:top w:val="nil"/>
                          <w:left w:val="nil"/>
                          <w:bottom w:val="nil"/>
                          <w:right w:val="nil"/>
                        </w:tcBorders>
                      </w:tcPr>
                      <w:p>
                        <w:pPr>
                          <w:pStyle w:val="TableParagraph"/>
                          <w:spacing w:line="242" w:lineRule="exact"/>
                          <w:ind w:left="60"/>
                          <w:jc w:val="center"/>
                          <w:rPr>
                            <w:sz w:val="22"/>
                          </w:rPr>
                        </w:pPr>
                        <w:r>
                          <w:rPr>
                            <w:w w:val="100"/>
                            <w:sz w:val="22"/>
                          </w:rPr>
                          <w:t>4</w:t>
                        </w:r>
                      </w:p>
                    </w:tc>
                    <w:tc>
                      <w:tcPr>
                        <w:tcW w:w="1210" w:type="dxa"/>
                        <w:tcBorders>
                          <w:top w:val="nil"/>
                          <w:left w:val="nil"/>
                          <w:bottom w:val="nil"/>
                          <w:right w:val="nil"/>
                        </w:tcBorders>
                      </w:tcPr>
                      <w:p>
                        <w:pPr/>
                      </w:p>
                    </w:tc>
                  </w:tr>
                  <w:tr>
                    <w:trPr>
                      <w:trHeight w:val="253" w:hRule="exact"/>
                    </w:trPr>
                    <w:tc>
                      <w:tcPr>
                        <w:tcW w:w="1129" w:type="dxa"/>
                        <w:tcBorders>
                          <w:top w:val="nil"/>
                          <w:left w:val="nil"/>
                          <w:right w:val="nil"/>
                        </w:tcBorders>
                      </w:tcPr>
                      <w:p>
                        <w:pPr/>
                      </w:p>
                    </w:tc>
                    <w:tc>
                      <w:tcPr>
                        <w:tcW w:w="951" w:type="dxa"/>
                        <w:tcBorders>
                          <w:top w:val="nil"/>
                          <w:left w:val="nil"/>
                          <w:right w:val="nil"/>
                        </w:tcBorders>
                      </w:tcPr>
                      <w:p>
                        <w:pPr>
                          <w:pStyle w:val="TableParagraph"/>
                          <w:spacing w:line="242" w:lineRule="exact"/>
                          <w:ind w:right="337"/>
                          <w:jc w:val="right"/>
                          <w:rPr>
                            <w:sz w:val="22"/>
                          </w:rPr>
                        </w:pPr>
                        <w:r>
                          <w:rPr>
                            <w:w w:val="100"/>
                            <w:sz w:val="22"/>
                          </w:rPr>
                          <w:t>√</w:t>
                        </w:r>
                      </w:p>
                    </w:tc>
                    <w:tc>
                      <w:tcPr>
                        <w:tcW w:w="2005" w:type="dxa"/>
                        <w:tcBorders>
                          <w:top w:val="nil"/>
                          <w:left w:val="nil"/>
                          <w:right w:val="nil"/>
                        </w:tcBorders>
                      </w:tcPr>
                      <w:p>
                        <w:pPr>
                          <w:pStyle w:val="TableParagraph"/>
                          <w:spacing w:line="242" w:lineRule="exact"/>
                          <w:ind w:left="305" w:right="284"/>
                          <w:jc w:val="center"/>
                          <w:rPr>
                            <w:sz w:val="22"/>
                          </w:rPr>
                        </w:pPr>
                        <w:r>
                          <w:rPr>
                            <w:sz w:val="22"/>
                          </w:rPr>
                          <w:t>--</w:t>
                        </w:r>
                      </w:p>
                    </w:tc>
                    <w:tc>
                      <w:tcPr>
                        <w:tcW w:w="833" w:type="dxa"/>
                        <w:tcBorders>
                          <w:top w:val="nil"/>
                          <w:left w:val="nil"/>
                          <w:right w:val="nil"/>
                        </w:tcBorders>
                      </w:tcPr>
                      <w:p>
                        <w:pPr>
                          <w:pStyle w:val="TableParagraph"/>
                          <w:spacing w:line="242" w:lineRule="exact"/>
                          <w:ind w:left="284" w:right="361"/>
                          <w:jc w:val="center"/>
                          <w:rPr>
                            <w:sz w:val="22"/>
                          </w:rPr>
                        </w:pPr>
                        <w:r>
                          <w:rPr>
                            <w:sz w:val="22"/>
                          </w:rPr>
                          <w:t>--</w:t>
                        </w:r>
                      </w:p>
                    </w:tc>
                    <w:tc>
                      <w:tcPr>
                        <w:tcW w:w="1383" w:type="dxa"/>
                        <w:tcBorders>
                          <w:top w:val="nil"/>
                          <w:left w:val="nil"/>
                          <w:right w:val="nil"/>
                        </w:tcBorders>
                      </w:tcPr>
                      <w:p>
                        <w:pPr>
                          <w:pStyle w:val="TableParagraph"/>
                          <w:spacing w:line="242" w:lineRule="exact"/>
                          <w:ind w:left="357" w:right="242"/>
                          <w:jc w:val="center"/>
                          <w:rPr>
                            <w:sz w:val="22"/>
                          </w:rPr>
                        </w:pPr>
                        <w:r>
                          <w:rPr>
                            <w:sz w:val="22"/>
                          </w:rPr>
                          <w:t>--</w:t>
                        </w:r>
                      </w:p>
                    </w:tc>
                    <w:tc>
                      <w:tcPr>
                        <w:tcW w:w="1426" w:type="dxa"/>
                        <w:tcBorders>
                          <w:top w:val="nil"/>
                          <w:left w:val="nil"/>
                          <w:right w:val="nil"/>
                        </w:tcBorders>
                      </w:tcPr>
                      <w:p>
                        <w:pPr>
                          <w:pStyle w:val="TableParagraph"/>
                          <w:spacing w:line="242" w:lineRule="exact"/>
                          <w:ind w:left="60"/>
                          <w:jc w:val="center"/>
                          <w:rPr>
                            <w:sz w:val="22"/>
                          </w:rPr>
                        </w:pPr>
                        <w:r>
                          <w:rPr>
                            <w:w w:val="100"/>
                            <w:sz w:val="22"/>
                          </w:rPr>
                          <w:t>4</w:t>
                        </w:r>
                      </w:p>
                    </w:tc>
                    <w:tc>
                      <w:tcPr>
                        <w:tcW w:w="1210" w:type="dxa"/>
                        <w:tcBorders>
                          <w:top w:val="nil"/>
                          <w:left w:val="nil"/>
                          <w:right w:val="nil"/>
                        </w:tcBorders>
                      </w:tcPr>
                      <w:p>
                        <w:pPr/>
                      </w:p>
                    </w:tc>
                  </w:tr>
                  <w:tr>
                    <w:trPr>
                      <w:trHeight w:val="270" w:hRule="exact"/>
                    </w:trPr>
                    <w:tc>
                      <w:tcPr>
                        <w:tcW w:w="1129" w:type="dxa"/>
                        <w:tcBorders>
                          <w:left w:val="nil"/>
                          <w:bottom w:val="nil"/>
                          <w:right w:val="nil"/>
                        </w:tcBorders>
                      </w:tcPr>
                      <w:p>
                        <w:pPr/>
                      </w:p>
                    </w:tc>
                    <w:tc>
                      <w:tcPr>
                        <w:tcW w:w="951" w:type="dxa"/>
                        <w:tcBorders>
                          <w:left w:val="nil"/>
                          <w:bottom w:val="nil"/>
                          <w:right w:val="nil"/>
                        </w:tcBorders>
                      </w:tcPr>
                      <w:p>
                        <w:pPr>
                          <w:pStyle w:val="TableParagraph"/>
                          <w:ind w:right="337"/>
                          <w:jc w:val="right"/>
                          <w:rPr>
                            <w:sz w:val="22"/>
                          </w:rPr>
                        </w:pPr>
                        <w:r>
                          <w:rPr>
                            <w:w w:val="100"/>
                            <w:sz w:val="22"/>
                          </w:rPr>
                          <w:t>√</w:t>
                        </w:r>
                      </w:p>
                    </w:tc>
                    <w:tc>
                      <w:tcPr>
                        <w:tcW w:w="2005" w:type="dxa"/>
                        <w:tcBorders>
                          <w:left w:val="nil"/>
                          <w:bottom w:val="nil"/>
                          <w:right w:val="nil"/>
                        </w:tcBorders>
                      </w:tcPr>
                      <w:p>
                        <w:pPr>
                          <w:pStyle w:val="TableParagraph"/>
                          <w:ind w:left="27"/>
                          <w:jc w:val="center"/>
                          <w:rPr>
                            <w:sz w:val="22"/>
                          </w:rPr>
                        </w:pPr>
                        <w:r>
                          <w:rPr>
                            <w:w w:val="100"/>
                            <w:sz w:val="22"/>
                          </w:rPr>
                          <w:t>√</w:t>
                        </w:r>
                      </w:p>
                    </w:tc>
                    <w:tc>
                      <w:tcPr>
                        <w:tcW w:w="833" w:type="dxa"/>
                        <w:tcBorders>
                          <w:left w:val="nil"/>
                          <w:bottom w:val="nil"/>
                          <w:right w:val="nil"/>
                        </w:tcBorders>
                      </w:tcPr>
                      <w:p>
                        <w:pPr/>
                      </w:p>
                    </w:tc>
                    <w:tc>
                      <w:tcPr>
                        <w:tcW w:w="1383" w:type="dxa"/>
                        <w:tcBorders>
                          <w:left w:val="nil"/>
                          <w:bottom w:val="nil"/>
                          <w:right w:val="nil"/>
                        </w:tcBorders>
                      </w:tcPr>
                      <w:p>
                        <w:pPr/>
                      </w:p>
                    </w:tc>
                    <w:tc>
                      <w:tcPr>
                        <w:tcW w:w="1426" w:type="dxa"/>
                        <w:tcBorders>
                          <w:left w:val="nil"/>
                          <w:bottom w:val="nil"/>
                          <w:right w:val="nil"/>
                        </w:tcBorders>
                      </w:tcPr>
                      <w:p>
                        <w:pPr>
                          <w:pStyle w:val="TableParagraph"/>
                          <w:ind w:left="60"/>
                          <w:jc w:val="center"/>
                          <w:rPr>
                            <w:sz w:val="22"/>
                          </w:rPr>
                        </w:pPr>
                        <w:r>
                          <w:rPr>
                            <w:w w:val="100"/>
                            <w:sz w:val="22"/>
                          </w:rPr>
                          <w:t>7</w:t>
                        </w:r>
                      </w:p>
                    </w:tc>
                    <w:tc>
                      <w:tcPr>
                        <w:tcW w:w="1210" w:type="dxa"/>
                        <w:tcBorders>
                          <w:left w:val="nil"/>
                          <w:bottom w:val="nil"/>
                          <w:right w:val="nil"/>
                        </w:tcBorders>
                      </w:tcPr>
                      <w:p>
                        <w:pPr/>
                      </w:p>
                    </w:tc>
                  </w:tr>
                  <w:tr>
                    <w:trPr>
                      <w:trHeight w:val="254" w:hRule="exact"/>
                    </w:trPr>
                    <w:tc>
                      <w:tcPr>
                        <w:tcW w:w="1129" w:type="dxa"/>
                        <w:tcBorders>
                          <w:top w:val="nil"/>
                          <w:left w:val="nil"/>
                          <w:bottom w:val="nil"/>
                          <w:right w:val="nil"/>
                        </w:tcBorders>
                      </w:tcPr>
                      <w:p>
                        <w:pPr/>
                      </w:p>
                    </w:tc>
                    <w:tc>
                      <w:tcPr>
                        <w:tcW w:w="951" w:type="dxa"/>
                        <w:tcBorders>
                          <w:top w:val="nil"/>
                          <w:left w:val="nil"/>
                          <w:bottom w:val="nil"/>
                          <w:right w:val="nil"/>
                        </w:tcBorders>
                      </w:tcPr>
                      <w:p>
                        <w:pPr>
                          <w:pStyle w:val="TableParagraph"/>
                          <w:spacing w:line="242" w:lineRule="exact"/>
                          <w:ind w:right="337"/>
                          <w:jc w:val="right"/>
                          <w:rPr>
                            <w:sz w:val="22"/>
                          </w:rPr>
                        </w:pPr>
                        <w:r>
                          <w:rPr>
                            <w:w w:val="100"/>
                            <w:sz w:val="22"/>
                          </w:rPr>
                          <w:t>√</w:t>
                        </w:r>
                      </w:p>
                    </w:tc>
                    <w:tc>
                      <w:tcPr>
                        <w:tcW w:w="2005" w:type="dxa"/>
                        <w:tcBorders>
                          <w:top w:val="nil"/>
                          <w:left w:val="nil"/>
                          <w:bottom w:val="nil"/>
                          <w:right w:val="nil"/>
                        </w:tcBorders>
                      </w:tcPr>
                      <w:p>
                        <w:pPr/>
                      </w:p>
                    </w:tc>
                    <w:tc>
                      <w:tcPr>
                        <w:tcW w:w="833" w:type="dxa"/>
                        <w:tcBorders>
                          <w:top w:val="nil"/>
                          <w:left w:val="nil"/>
                          <w:bottom w:val="nil"/>
                          <w:right w:val="nil"/>
                        </w:tcBorders>
                      </w:tcPr>
                      <w:p>
                        <w:pPr>
                          <w:pStyle w:val="TableParagraph"/>
                          <w:spacing w:line="242" w:lineRule="exact"/>
                          <w:ind w:right="71"/>
                          <w:jc w:val="center"/>
                          <w:rPr>
                            <w:sz w:val="22"/>
                          </w:rPr>
                        </w:pPr>
                        <w:r>
                          <w:rPr>
                            <w:w w:val="100"/>
                            <w:sz w:val="22"/>
                          </w:rPr>
                          <w:t>√</w:t>
                        </w:r>
                      </w:p>
                    </w:tc>
                    <w:tc>
                      <w:tcPr>
                        <w:tcW w:w="1383" w:type="dxa"/>
                        <w:tcBorders>
                          <w:top w:val="nil"/>
                          <w:left w:val="nil"/>
                          <w:bottom w:val="nil"/>
                          <w:right w:val="nil"/>
                        </w:tcBorders>
                      </w:tcPr>
                      <w:p>
                        <w:pPr/>
                      </w:p>
                    </w:tc>
                    <w:tc>
                      <w:tcPr>
                        <w:tcW w:w="1426" w:type="dxa"/>
                        <w:tcBorders>
                          <w:top w:val="nil"/>
                          <w:left w:val="nil"/>
                          <w:bottom w:val="nil"/>
                          <w:right w:val="nil"/>
                        </w:tcBorders>
                      </w:tcPr>
                      <w:p>
                        <w:pPr>
                          <w:pStyle w:val="TableParagraph"/>
                          <w:spacing w:line="242" w:lineRule="exact"/>
                          <w:ind w:left="60"/>
                          <w:jc w:val="center"/>
                          <w:rPr>
                            <w:sz w:val="22"/>
                          </w:rPr>
                        </w:pPr>
                        <w:r>
                          <w:rPr>
                            <w:w w:val="100"/>
                            <w:sz w:val="22"/>
                          </w:rPr>
                          <w:t>1</w:t>
                        </w:r>
                      </w:p>
                    </w:tc>
                    <w:tc>
                      <w:tcPr>
                        <w:tcW w:w="1210" w:type="dxa"/>
                        <w:tcBorders>
                          <w:top w:val="nil"/>
                          <w:left w:val="nil"/>
                          <w:bottom w:val="nil"/>
                          <w:right w:val="nil"/>
                        </w:tcBorders>
                      </w:tcPr>
                      <w:p>
                        <w:pPr/>
                      </w:p>
                    </w:tc>
                  </w:tr>
                  <w:tr>
                    <w:trPr>
                      <w:trHeight w:val="257" w:hRule="exact"/>
                    </w:trPr>
                    <w:tc>
                      <w:tcPr>
                        <w:tcW w:w="1129" w:type="dxa"/>
                        <w:tcBorders>
                          <w:top w:val="nil"/>
                          <w:left w:val="nil"/>
                          <w:bottom w:val="nil"/>
                          <w:right w:val="nil"/>
                        </w:tcBorders>
                      </w:tcPr>
                      <w:p>
                        <w:pPr/>
                      </w:p>
                    </w:tc>
                    <w:tc>
                      <w:tcPr>
                        <w:tcW w:w="951" w:type="dxa"/>
                        <w:tcBorders>
                          <w:top w:val="nil"/>
                          <w:left w:val="nil"/>
                          <w:bottom w:val="nil"/>
                          <w:right w:val="nil"/>
                        </w:tcBorders>
                      </w:tcPr>
                      <w:p>
                        <w:pPr>
                          <w:pStyle w:val="TableParagraph"/>
                          <w:spacing w:line="242" w:lineRule="exact"/>
                          <w:ind w:right="337"/>
                          <w:jc w:val="right"/>
                          <w:rPr>
                            <w:sz w:val="22"/>
                          </w:rPr>
                        </w:pPr>
                        <w:r>
                          <w:rPr>
                            <w:w w:val="100"/>
                            <w:sz w:val="22"/>
                          </w:rPr>
                          <w:t>√</w:t>
                        </w:r>
                      </w:p>
                    </w:tc>
                    <w:tc>
                      <w:tcPr>
                        <w:tcW w:w="2005" w:type="dxa"/>
                        <w:tcBorders>
                          <w:top w:val="nil"/>
                          <w:left w:val="nil"/>
                          <w:bottom w:val="nil"/>
                          <w:right w:val="nil"/>
                        </w:tcBorders>
                      </w:tcPr>
                      <w:p>
                        <w:pPr/>
                      </w:p>
                    </w:tc>
                    <w:tc>
                      <w:tcPr>
                        <w:tcW w:w="833" w:type="dxa"/>
                        <w:tcBorders>
                          <w:top w:val="nil"/>
                          <w:left w:val="nil"/>
                          <w:bottom w:val="nil"/>
                          <w:right w:val="nil"/>
                        </w:tcBorders>
                      </w:tcPr>
                      <w:p>
                        <w:pPr/>
                      </w:p>
                    </w:tc>
                    <w:tc>
                      <w:tcPr>
                        <w:tcW w:w="1383" w:type="dxa"/>
                        <w:tcBorders>
                          <w:top w:val="nil"/>
                          <w:left w:val="nil"/>
                          <w:bottom w:val="nil"/>
                          <w:right w:val="nil"/>
                        </w:tcBorders>
                      </w:tcPr>
                      <w:p>
                        <w:pPr>
                          <w:pStyle w:val="TableParagraph"/>
                          <w:spacing w:line="242" w:lineRule="exact"/>
                          <w:ind w:left="121"/>
                          <w:jc w:val="center"/>
                          <w:rPr>
                            <w:sz w:val="22"/>
                          </w:rPr>
                        </w:pPr>
                        <w:r>
                          <w:rPr>
                            <w:w w:val="100"/>
                            <w:sz w:val="22"/>
                          </w:rPr>
                          <w:t>√</w:t>
                        </w:r>
                      </w:p>
                    </w:tc>
                    <w:tc>
                      <w:tcPr>
                        <w:tcW w:w="1426" w:type="dxa"/>
                        <w:tcBorders>
                          <w:top w:val="nil"/>
                          <w:left w:val="nil"/>
                          <w:bottom w:val="nil"/>
                          <w:right w:val="nil"/>
                        </w:tcBorders>
                      </w:tcPr>
                      <w:p>
                        <w:pPr>
                          <w:pStyle w:val="TableParagraph"/>
                          <w:spacing w:line="242" w:lineRule="exact"/>
                          <w:ind w:left="60"/>
                          <w:jc w:val="center"/>
                          <w:rPr>
                            <w:sz w:val="22"/>
                          </w:rPr>
                        </w:pPr>
                        <w:r>
                          <w:rPr>
                            <w:w w:val="100"/>
                            <w:sz w:val="22"/>
                          </w:rPr>
                          <w:t>2</w:t>
                        </w:r>
                      </w:p>
                    </w:tc>
                    <w:tc>
                      <w:tcPr>
                        <w:tcW w:w="1210" w:type="dxa"/>
                        <w:tcBorders>
                          <w:top w:val="nil"/>
                          <w:left w:val="nil"/>
                          <w:bottom w:val="nil"/>
                          <w:right w:val="nil"/>
                        </w:tcBorders>
                      </w:tcPr>
                      <w:p>
                        <w:pPr/>
                      </w:p>
                    </w:tc>
                  </w:tr>
                  <w:tr>
                    <w:trPr>
                      <w:trHeight w:val="257" w:hRule="exact"/>
                    </w:trPr>
                    <w:tc>
                      <w:tcPr>
                        <w:tcW w:w="1129" w:type="dxa"/>
                        <w:tcBorders>
                          <w:top w:val="nil"/>
                          <w:left w:val="nil"/>
                          <w:bottom w:val="nil"/>
                          <w:right w:val="nil"/>
                        </w:tcBorders>
                      </w:tcPr>
                      <w:p>
                        <w:pPr>
                          <w:pStyle w:val="TableParagraph"/>
                          <w:spacing w:line="180" w:lineRule="exact" w:before="116"/>
                          <w:ind w:left="3"/>
                          <w:jc w:val="center"/>
                          <w:rPr>
                            <w:sz w:val="22"/>
                          </w:rPr>
                        </w:pPr>
                        <w:r>
                          <w:rPr>
                            <w:w w:val="100"/>
                            <w:sz w:val="22"/>
                          </w:rPr>
                          <w:t>1</w:t>
                        </w:r>
                      </w:p>
                    </w:tc>
                    <w:tc>
                      <w:tcPr>
                        <w:tcW w:w="951" w:type="dxa"/>
                        <w:tcBorders>
                          <w:top w:val="nil"/>
                          <w:left w:val="nil"/>
                          <w:bottom w:val="nil"/>
                          <w:right w:val="nil"/>
                        </w:tcBorders>
                      </w:tcPr>
                      <w:p>
                        <w:pPr>
                          <w:pStyle w:val="TableParagraph"/>
                          <w:spacing w:line="245" w:lineRule="exact"/>
                          <w:ind w:right="337"/>
                          <w:jc w:val="right"/>
                          <w:rPr>
                            <w:sz w:val="22"/>
                          </w:rPr>
                        </w:pPr>
                        <w:r>
                          <w:rPr>
                            <w:w w:val="100"/>
                            <w:sz w:val="22"/>
                          </w:rPr>
                          <w:t>√</w:t>
                        </w:r>
                      </w:p>
                    </w:tc>
                    <w:tc>
                      <w:tcPr>
                        <w:tcW w:w="2005" w:type="dxa"/>
                        <w:tcBorders>
                          <w:top w:val="nil"/>
                          <w:left w:val="nil"/>
                          <w:bottom w:val="nil"/>
                          <w:right w:val="nil"/>
                        </w:tcBorders>
                      </w:tcPr>
                      <w:p>
                        <w:pPr>
                          <w:pStyle w:val="TableParagraph"/>
                          <w:spacing w:line="245" w:lineRule="exact"/>
                          <w:ind w:left="305" w:right="284"/>
                          <w:jc w:val="center"/>
                          <w:rPr>
                            <w:sz w:val="22"/>
                          </w:rPr>
                        </w:pPr>
                        <w:r>
                          <w:rPr>
                            <w:sz w:val="22"/>
                          </w:rPr>
                          <w:t>--</w:t>
                        </w:r>
                      </w:p>
                    </w:tc>
                    <w:tc>
                      <w:tcPr>
                        <w:tcW w:w="833" w:type="dxa"/>
                        <w:tcBorders>
                          <w:top w:val="nil"/>
                          <w:left w:val="nil"/>
                          <w:bottom w:val="nil"/>
                          <w:right w:val="nil"/>
                        </w:tcBorders>
                      </w:tcPr>
                      <w:p>
                        <w:pPr>
                          <w:pStyle w:val="TableParagraph"/>
                          <w:spacing w:line="245" w:lineRule="exact"/>
                          <w:ind w:left="284" w:right="361"/>
                          <w:jc w:val="center"/>
                          <w:rPr>
                            <w:sz w:val="22"/>
                          </w:rPr>
                        </w:pPr>
                        <w:r>
                          <w:rPr>
                            <w:sz w:val="22"/>
                          </w:rPr>
                          <w:t>--</w:t>
                        </w:r>
                      </w:p>
                    </w:tc>
                    <w:tc>
                      <w:tcPr>
                        <w:tcW w:w="1383" w:type="dxa"/>
                        <w:tcBorders>
                          <w:top w:val="nil"/>
                          <w:left w:val="nil"/>
                          <w:bottom w:val="nil"/>
                          <w:right w:val="nil"/>
                        </w:tcBorders>
                      </w:tcPr>
                      <w:p>
                        <w:pPr>
                          <w:pStyle w:val="TableParagraph"/>
                          <w:spacing w:line="245" w:lineRule="exact"/>
                          <w:ind w:left="357" w:right="242"/>
                          <w:jc w:val="center"/>
                          <w:rPr>
                            <w:sz w:val="22"/>
                          </w:rPr>
                        </w:pPr>
                        <w:r>
                          <w:rPr>
                            <w:sz w:val="22"/>
                          </w:rPr>
                          <w:t>--</w:t>
                        </w:r>
                      </w:p>
                    </w:tc>
                    <w:tc>
                      <w:tcPr>
                        <w:tcW w:w="1426" w:type="dxa"/>
                        <w:tcBorders>
                          <w:top w:val="nil"/>
                          <w:left w:val="nil"/>
                          <w:bottom w:val="nil"/>
                          <w:right w:val="nil"/>
                        </w:tcBorders>
                      </w:tcPr>
                      <w:p>
                        <w:pPr>
                          <w:pStyle w:val="TableParagraph"/>
                          <w:spacing w:line="245" w:lineRule="exact"/>
                          <w:ind w:left="60"/>
                          <w:jc w:val="center"/>
                          <w:rPr>
                            <w:sz w:val="22"/>
                          </w:rPr>
                        </w:pPr>
                        <w:r>
                          <w:rPr>
                            <w:w w:val="100"/>
                            <w:sz w:val="22"/>
                          </w:rPr>
                          <w:t>1</w:t>
                        </w:r>
                      </w:p>
                    </w:tc>
                    <w:tc>
                      <w:tcPr>
                        <w:tcW w:w="1210" w:type="dxa"/>
                        <w:tcBorders>
                          <w:top w:val="nil"/>
                          <w:left w:val="nil"/>
                          <w:bottom w:val="nil"/>
                          <w:right w:val="nil"/>
                        </w:tcBorders>
                      </w:tcPr>
                      <w:p>
                        <w:pPr>
                          <w:pStyle w:val="TableParagraph"/>
                          <w:spacing w:line="180" w:lineRule="exact" w:before="116"/>
                          <w:ind w:left="462" w:right="462"/>
                          <w:jc w:val="center"/>
                          <w:rPr>
                            <w:sz w:val="22"/>
                          </w:rPr>
                        </w:pPr>
                        <w:r>
                          <w:rPr>
                            <w:sz w:val="22"/>
                          </w:rPr>
                          <w:t>23</w:t>
                        </w:r>
                      </w:p>
                    </w:tc>
                  </w:tr>
                  <w:tr>
                    <w:trPr>
                      <w:trHeight w:val="254" w:hRule="exact"/>
                    </w:trPr>
                    <w:tc>
                      <w:tcPr>
                        <w:tcW w:w="1129" w:type="dxa"/>
                        <w:tcBorders>
                          <w:top w:val="nil"/>
                          <w:left w:val="nil"/>
                          <w:bottom w:val="nil"/>
                          <w:right w:val="nil"/>
                        </w:tcBorders>
                      </w:tcPr>
                      <w:p>
                        <w:pPr/>
                      </w:p>
                    </w:tc>
                    <w:tc>
                      <w:tcPr>
                        <w:tcW w:w="951" w:type="dxa"/>
                        <w:tcBorders>
                          <w:top w:val="nil"/>
                          <w:left w:val="nil"/>
                          <w:bottom w:val="nil"/>
                          <w:right w:val="nil"/>
                        </w:tcBorders>
                      </w:tcPr>
                      <w:p>
                        <w:pPr>
                          <w:pStyle w:val="TableParagraph"/>
                          <w:spacing w:line="242" w:lineRule="exact"/>
                          <w:ind w:right="329"/>
                          <w:jc w:val="right"/>
                          <w:rPr>
                            <w:sz w:val="22"/>
                          </w:rPr>
                        </w:pPr>
                        <w:r>
                          <w:rPr>
                            <w:sz w:val="22"/>
                          </w:rPr>
                          <w:t>--</w:t>
                        </w:r>
                      </w:p>
                    </w:tc>
                    <w:tc>
                      <w:tcPr>
                        <w:tcW w:w="2005" w:type="dxa"/>
                        <w:tcBorders>
                          <w:top w:val="nil"/>
                          <w:left w:val="nil"/>
                          <w:bottom w:val="nil"/>
                          <w:right w:val="nil"/>
                        </w:tcBorders>
                      </w:tcPr>
                      <w:p>
                        <w:pPr>
                          <w:pStyle w:val="TableParagraph"/>
                          <w:spacing w:line="242" w:lineRule="exact"/>
                          <w:ind w:left="27"/>
                          <w:jc w:val="center"/>
                          <w:rPr>
                            <w:sz w:val="22"/>
                          </w:rPr>
                        </w:pPr>
                        <w:r>
                          <w:rPr>
                            <w:w w:val="100"/>
                            <w:sz w:val="22"/>
                          </w:rPr>
                          <w:t>√</w:t>
                        </w:r>
                      </w:p>
                    </w:tc>
                    <w:tc>
                      <w:tcPr>
                        <w:tcW w:w="833" w:type="dxa"/>
                        <w:tcBorders>
                          <w:top w:val="nil"/>
                          <w:left w:val="nil"/>
                          <w:bottom w:val="nil"/>
                          <w:right w:val="nil"/>
                        </w:tcBorders>
                      </w:tcPr>
                      <w:p>
                        <w:pPr/>
                      </w:p>
                    </w:tc>
                    <w:tc>
                      <w:tcPr>
                        <w:tcW w:w="1383" w:type="dxa"/>
                        <w:tcBorders>
                          <w:top w:val="nil"/>
                          <w:left w:val="nil"/>
                          <w:bottom w:val="nil"/>
                          <w:right w:val="nil"/>
                        </w:tcBorders>
                      </w:tcPr>
                      <w:p>
                        <w:pPr/>
                      </w:p>
                    </w:tc>
                    <w:tc>
                      <w:tcPr>
                        <w:tcW w:w="1426" w:type="dxa"/>
                        <w:tcBorders>
                          <w:top w:val="nil"/>
                          <w:left w:val="nil"/>
                          <w:bottom w:val="nil"/>
                          <w:right w:val="nil"/>
                        </w:tcBorders>
                      </w:tcPr>
                      <w:p>
                        <w:pPr>
                          <w:pStyle w:val="TableParagraph"/>
                          <w:spacing w:line="242" w:lineRule="exact"/>
                          <w:ind w:left="60"/>
                          <w:jc w:val="center"/>
                          <w:rPr>
                            <w:sz w:val="22"/>
                          </w:rPr>
                        </w:pPr>
                        <w:r>
                          <w:rPr>
                            <w:w w:val="100"/>
                            <w:sz w:val="22"/>
                          </w:rPr>
                          <w:t>3</w:t>
                        </w:r>
                      </w:p>
                    </w:tc>
                    <w:tc>
                      <w:tcPr>
                        <w:tcW w:w="1210" w:type="dxa"/>
                        <w:tcBorders>
                          <w:top w:val="nil"/>
                          <w:left w:val="nil"/>
                          <w:bottom w:val="nil"/>
                          <w:right w:val="nil"/>
                        </w:tcBorders>
                      </w:tcPr>
                      <w:p>
                        <w:pPr/>
                      </w:p>
                    </w:tc>
                  </w:tr>
                  <w:tr>
                    <w:trPr>
                      <w:trHeight w:val="257" w:hRule="exact"/>
                    </w:trPr>
                    <w:tc>
                      <w:tcPr>
                        <w:tcW w:w="1129" w:type="dxa"/>
                        <w:tcBorders>
                          <w:top w:val="nil"/>
                          <w:left w:val="nil"/>
                          <w:bottom w:val="nil"/>
                          <w:right w:val="nil"/>
                        </w:tcBorders>
                      </w:tcPr>
                      <w:p>
                        <w:pPr/>
                      </w:p>
                    </w:tc>
                    <w:tc>
                      <w:tcPr>
                        <w:tcW w:w="951" w:type="dxa"/>
                        <w:tcBorders>
                          <w:top w:val="nil"/>
                          <w:left w:val="nil"/>
                          <w:bottom w:val="nil"/>
                          <w:right w:val="nil"/>
                        </w:tcBorders>
                      </w:tcPr>
                      <w:p>
                        <w:pPr>
                          <w:pStyle w:val="TableParagraph"/>
                          <w:spacing w:line="242" w:lineRule="exact"/>
                          <w:ind w:right="329"/>
                          <w:jc w:val="right"/>
                          <w:rPr>
                            <w:sz w:val="22"/>
                          </w:rPr>
                        </w:pPr>
                        <w:r>
                          <w:rPr>
                            <w:sz w:val="22"/>
                          </w:rPr>
                          <w:t>--</w:t>
                        </w:r>
                      </w:p>
                    </w:tc>
                    <w:tc>
                      <w:tcPr>
                        <w:tcW w:w="2005" w:type="dxa"/>
                        <w:tcBorders>
                          <w:top w:val="nil"/>
                          <w:left w:val="nil"/>
                          <w:bottom w:val="nil"/>
                          <w:right w:val="nil"/>
                        </w:tcBorders>
                      </w:tcPr>
                      <w:p>
                        <w:pPr/>
                      </w:p>
                    </w:tc>
                    <w:tc>
                      <w:tcPr>
                        <w:tcW w:w="833" w:type="dxa"/>
                        <w:tcBorders>
                          <w:top w:val="nil"/>
                          <w:left w:val="nil"/>
                          <w:bottom w:val="nil"/>
                          <w:right w:val="nil"/>
                        </w:tcBorders>
                      </w:tcPr>
                      <w:p>
                        <w:pPr>
                          <w:pStyle w:val="TableParagraph"/>
                          <w:spacing w:line="242" w:lineRule="exact"/>
                          <w:ind w:right="71"/>
                          <w:jc w:val="center"/>
                          <w:rPr>
                            <w:sz w:val="22"/>
                          </w:rPr>
                        </w:pPr>
                        <w:r>
                          <w:rPr>
                            <w:w w:val="100"/>
                            <w:sz w:val="22"/>
                          </w:rPr>
                          <w:t>√</w:t>
                        </w:r>
                      </w:p>
                    </w:tc>
                    <w:tc>
                      <w:tcPr>
                        <w:tcW w:w="1383" w:type="dxa"/>
                        <w:tcBorders>
                          <w:top w:val="nil"/>
                          <w:left w:val="nil"/>
                          <w:bottom w:val="nil"/>
                          <w:right w:val="nil"/>
                        </w:tcBorders>
                      </w:tcPr>
                      <w:p>
                        <w:pPr/>
                      </w:p>
                    </w:tc>
                    <w:tc>
                      <w:tcPr>
                        <w:tcW w:w="1426" w:type="dxa"/>
                        <w:tcBorders>
                          <w:top w:val="nil"/>
                          <w:left w:val="nil"/>
                          <w:bottom w:val="nil"/>
                          <w:right w:val="nil"/>
                        </w:tcBorders>
                      </w:tcPr>
                      <w:p>
                        <w:pPr>
                          <w:pStyle w:val="TableParagraph"/>
                          <w:spacing w:line="242" w:lineRule="exact"/>
                          <w:ind w:left="60"/>
                          <w:jc w:val="center"/>
                          <w:rPr>
                            <w:sz w:val="22"/>
                          </w:rPr>
                        </w:pPr>
                        <w:r>
                          <w:rPr>
                            <w:w w:val="100"/>
                            <w:sz w:val="22"/>
                          </w:rPr>
                          <w:t>4</w:t>
                        </w:r>
                      </w:p>
                    </w:tc>
                    <w:tc>
                      <w:tcPr>
                        <w:tcW w:w="1210" w:type="dxa"/>
                        <w:tcBorders>
                          <w:top w:val="nil"/>
                          <w:left w:val="nil"/>
                          <w:bottom w:val="nil"/>
                          <w:right w:val="nil"/>
                        </w:tcBorders>
                      </w:tcPr>
                      <w:p>
                        <w:pPr/>
                      </w:p>
                    </w:tc>
                  </w:tr>
                  <w:tr>
                    <w:trPr>
                      <w:trHeight w:val="257" w:hRule="exact"/>
                    </w:trPr>
                    <w:tc>
                      <w:tcPr>
                        <w:tcW w:w="1129" w:type="dxa"/>
                        <w:tcBorders>
                          <w:top w:val="nil"/>
                          <w:left w:val="nil"/>
                          <w:bottom w:val="nil"/>
                          <w:right w:val="nil"/>
                        </w:tcBorders>
                      </w:tcPr>
                      <w:p>
                        <w:pPr/>
                      </w:p>
                    </w:tc>
                    <w:tc>
                      <w:tcPr>
                        <w:tcW w:w="951" w:type="dxa"/>
                        <w:tcBorders>
                          <w:top w:val="nil"/>
                          <w:left w:val="nil"/>
                          <w:bottom w:val="nil"/>
                          <w:right w:val="nil"/>
                        </w:tcBorders>
                      </w:tcPr>
                      <w:p>
                        <w:pPr>
                          <w:pStyle w:val="TableParagraph"/>
                          <w:spacing w:line="245" w:lineRule="exact"/>
                          <w:ind w:right="329"/>
                          <w:jc w:val="right"/>
                          <w:rPr>
                            <w:sz w:val="22"/>
                          </w:rPr>
                        </w:pPr>
                        <w:r>
                          <w:rPr>
                            <w:sz w:val="22"/>
                          </w:rPr>
                          <w:t>--</w:t>
                        </w:r>
                      </w:p>
                    </w:tc>
                    <w:tc>
                      <w:tcPr>
                        <w:tcW w:w="2005" w:type="dxa"/>
                        <w:tcBorders>
                          <w:top w:val="nil"/>
                          <w:left w:val="nil"/>
                          <w:bottom w:val="nil"/>
                          <w:right w:val="nil"/>
                        </w:tcBorders>
                      </w:tcPr>
                      <w:p>
                        <w:pPr/>
                      </w:p>
                    </w:tc>
                    <w:tc>
                      <w:tcPr>
                        <w:tcW w:w="833" w:type="dxa"/>
                        <w:tcBorders>
                          <w:top w:val="nil"/>
                          <w:left w:val="nil"/>
                          <w:bottom w:val="nil"/>
                          <w:right w:val="nil"/>
                        </w:tcBorders>
                      </w:tcPr>
                      <w:p>
                        <w:pPr/>
                      </w:p>
                    </w:tc>
                    <w:tc>
                      <w:tcPr>
                        <w:tcW w:w="1383" w:type="dxa"/>
                        <w:tcBorders>
                          <w:top w:val="nil"/>
                          <w:left w:val="nil"/>
                          <w:bottom w:val="nil"/>
                          <w:right w:val="nil"/>
                        </w:tcBorders>
                      </w:tcPr>
                      <w:p>
                        <w:pPr>
                          <w:pStyle w:val="TableParagraph"/>
                          <w:spacing w:line="245" w:lineRule="exact"/>
                          <w:ind w:left="121"/>
                          <w:jc w:val="center"/>
                          <w:rPr>
                            <w:sz w:val="22"/>
                          </w:rPr>
                        </w:pPr>
                        <w:r>
                          <w:rPr>
                            <w:w w:val="100"/>
                            <w:sz w:val="22"/>
                          </w:rPr>
                          <w:t>√</w:t>
                        </w:r>
                      </w:p>
                    </w:tc>
                    <w:tc>
                      <w:tcPr>
                        <w:tcW w:w="1426" w:type="dxa"/>
                        <w:tcBorders>
                          <w:top w:val="nil"/>
                          <w:left w:val="nil"/>
                          <w:bottom w:val="nil"/>
                          <w:right w:val="nil"/>
                        </w:tcBorders>
                      </w:tcPr>
                      <w:p>
                        <w:pPr>
                          <w:pStyle w:val="TableParagraph"/>
                          <w:spacing w:line="245" w:lineRule="exact"/>
                          <w:ind w:left="60"/>
                          <w:jc w:val="center"/>
                          <w:rPr>
                            <w:sz w:val="22"/>
                          </w:rPr>
                        </w:pPr>
                        <w:r>
                          <w:rPr>
                            <w:w w:val="100"/>
                            <w:sz w:val="22"/>
                          </w:rPr>
                          <w:t>1</w:t>
                        </w:r>
                      </w:p>
                    </w:tc>
                    <w:tc>
                      <w:tcPr>
                        <w:tcW w:w="1210" w:type="dxa"/>
                        <w:tcBorders>
                          <w:top w:val="nil"/>
                          <w:left w:val="nil"/>
                          <w:bottom w:val="nil"/>
                          <w:right w:val="nil"/>
                        </w:tcBorders>
                      </w:tcPr>
                      <w:p>
                        <w:pPr/>
                      </w:p>
                    </w:tc>
                  </w:tr>
                  <w:tr>
                    <w:trPr>
                      <w:trHeight w:val="253" w:hRule="exact"/>
                    </w:trPr>
                    <w:tc>
                      <w:tcPr>
                        <w:tcW w:w="1129" w:type="dxa"/>
                        <w:tcBorders>
                          <w:top w:val="nil"/>
                          <w:left w:val="nil"/>
                          <w:right w:val="nil"/>
                        </w:tcBorders>
                      </w:tcPr>
                      <w:p>
                        <w:pPr/>
                      </w:p>
                    </w:tc>
                    <w:tc>
                      <w:tcPr>
                        <w:tcW w:w="951" w:type="dxa"/>
                        <w:tcBorders>
                          <w:top w:val="nil"/>
                          <w:left w:val="nil"/>
                          <w:right w:val="nil"/>
                        </w:tcBorders>
                      </w:tcPr>
                      <w:p>
                        <w:pPr>
                          <w:pStyle w:val="TableParagraph"/>
                          <w:spacing w:line="242" w:lineRule="exact"/>
                          <w:ind w:right="329"/>
                          <w:jc w:val="right"/>
                          <w:rPr>
                            <w:sz w:val="22"/>
                          </w:rPr>
                        </w:pPr>
                        <w:r>
                          <w:rPr>
                            <w:sz w:val="22"/>
                          </w:rPr>
                          <w:t>--</w:t>
                        </w:r>
                      </w:p>
                    </w:tc>
                    <w:tc>
                      <w:tcPr>
                        <w:tcW w:w="2005" w:type="dxa"/>
                        <w:tcBorders>
                          <w:top w:val="nil"/>
                          <w:left w:val="nil"/>
                          <w:right w:val="nil"/>
                        </w:tcBorders>
                      </w:tcPr>
                      <w:p>
                        <w:pPr>
                          <w:pStyle w:val="TableParagraph"/>
                          <w:spacing w:line="242" w:lineRule="exact"/>
                          <w:ind w:left="305" w:right="284"/>
                          <w:jc w:val="center"/>
                          <w:rPr>
                            <w:sz w:val="22"/>
                          </w:rPr>
                        </w:pPr>
                        <w:r>
                          <w:rPr>
                            <w:sz w:val="22"/>
                          </w:rPr>
                          <w:t>--</w:t>
                        </w:r>
                      </w:p>
                    </w:tc>
                    <w:tc>
                      <w:tcPr>
                        <w:tcW w:w="833" w:type="dxa"/>
                        <w:tcBorders>
                          <w:top w:val="nil"/>
                          <w:left w:val="nil"/>
                          <w:right w:val="nil"/>
                        </w:tcBorders>
                      </w:tcPr>
                      <w:p>
                        <w:pPr>
                          <w:pStyle w:val="TableParagraph"/>
                          <w:spacing w:line="242" w:lineRule="exact"/>
                          <w:ind w:left="284" w:right="361"/>
                          <w:jc w:val="center"/>
                          <w:rPr>
                            <w:sz w:val="22"/>
                          </w:rPr>
                        </w:pPr>
                        <w:r>
                          <w:rPr>
                            <w:sz w:val="22"/>
                          </w:rPr>
                          <w:t>--</w:t>
                        </w:r>
                      </w:p>
                    </w:tc>
                    <w:tc>
                      <w:tcPr>
                        <w:tcW w:w="1383" w:type="dxa"/>
                        <w:tcBorders>
                          <w:top w:val="nil"/>
                          <w:left w:val="nil"/>
                          <w:right w:val="nil"/>
                        </w:tcBorders>
                      </w:tcPr>
                      <w:p>
                        <w:pPr>
                          <w:pStyle w:val="TableParagraph"/>
                          <w:spacing w:line="242" w:lineRule="exact"/>
                          <w:ind w:left="357" w:right="242"/>
                          <w:jc w:val="center"/>
                          <w:rPr>
                            <w:sz w:val="22"/>
                          </w:rPr>
                        </w:pPr>
                        <w:r>
                          <w:rPr>
                            <w:sz w:val="22"/>
                          </w:rPr>
                          <w:t>--</w:t>
                        </w:r>
                      </w:p>
                    </w:tc>
                    <w:tc>
                      <w:tcPr>
                        <w:tcW w:w="1426" w:type="dxa"/>
                        <w:tcBorders>
                          <w:top w:val="nil"/>
                          <w:left w:val="nil"/>
                          <w:right w:val="nil"/>
                        </w:tcBorders>
                      </w:tcPr>
                      <w:p>
                        <w:pPr>
                          <w:pStyle w:val="TableParagraph"/>
                          <w:spacing w:line="242" w:lineRule="exact"/>
                          <w:ind w:left="60"/>
                          <w:jc w:val="center"/>
                          <w:rPr>
                            <w:sz w:val="22"/>
                          </w:rPr>
                        </w:pPr>
                        <w:r>
                          <w:rPr>
                            <w:w w:val="100"/>
                            <w:sz w:val="22"/>
                          </w:rPr>
                          <w:t>4</w:t>
                        </w:r>
                      </w:p>
                    </w:tc>
                    <w:tc>
                      <w:tcPr>
                        <w:tcW w:w="1210" w:type="dxa"/>
                        <w:tcBorders>
                          <w:top w:val="nil"/>
                          <w:left w:val="nil"/>
                          <w:right w:val="nil"/>
                        </w:tcBorders>
                      </w:tcPr>
                      <w:p>
                        <w:pPr/>
                      </w:p>
                    </w:tc>
                  </w:tr>
                  <w:tr>
                    <w:trPr>
                      <w:trHeight w:val="267" w:hRule="exact"/>
                    </w:trPr>
                    <w:tc>
                      <w:tcPr>
                        <w:tcW w:w="1129" w:type="dxa"/>
                        <w:tcBorders>
                          <w:left w:val="nil"/>
                          <w:bottom w:val="nil"/>
                          <w:right w:val="nil"/>
                        </w:tcBorders>
                      </w:tcPr>
                      <w:p>
                        <w:pPr/>
                      </w:p>
                    </w:tc>
                    <w:tc>
                      <w:tcPr>
                        <w:tcW w:w="951" w:type="dxa"/>
                        <w:tcBorders>
                          <w:left w:val="nil"/>
                          <w:bottom w:val="nil"/>
                          <w:right w:val="nil"/>
                        </w:tcBorders>
                      </w:tcPr>
                      <w:p>
                        <w:pPr>
                          <w:pStyle w:val="TableParagraph"/>
                          <w:spacing w:line="248" w:lineRule="exact"/>
                          <w:ind w:right="337"/>
                          <w:jc w:val="right"/>
                          <w:rPr>
                            <w:sz w:val="22"/>
                          </w:rPr>
                        </w:pPr>
                        <w:r>
                          <w:rPr>
                            <w:w w:val="100"/>
                            <w:sz w:val="22"/>
                          </w:rPr>
                          <w:t>√</w:t>
                        </w:r>
                      </w:p>
                    </w:tc>
                    <w:tc>
                      <w:tcPr>
                        <w:tcW w:w="2005" w:type="dxa"/>
                        <w:tcBorders>
                          <w:left w:val="nil"/>
                          <w:bottom w:val="nil"/>
                          <w:right w:val="nil"/>
                        </w:tcBorders>
                      </w:tcPr>
                      <w:p>
                        <w:pPr>
                          <w:pStyle w:val="TableParagraph"/>
                          <w:spacing w:line="248" w:lineRule="exact"/>
                          <w:ind w:left="27"/>
                          <w:jc w:val="center"/>
                          <w:rPr>
                            <w:sz w:val="22"/>
                          </w:rPr>
                        </w:pPr>
                        <w:r>
                          <w:rPr>
                            <w:w w:val="100"/>
                            <w:sz w:val="22"/>
                          </w:rPr>
                          <w:t>√</w:t>
                        </w:r>
                      </w:p>
                    </w:tc>
                    <w:tc>
                      <w:tcPr>
                        <w:tcW w:w="833" w:type="dxa"/>
                        <w:tcBorders>
                          <w:left w:val="nil"/>
                          <w:bottom w:val="nil"/>
                          <w:right w:val="nil"/>
                        </w:tcBorders>
                      </w:tcPr>
                      <w:p>
                        <w:pPr/>
                      </w:p>
                    </w:tc>
                    <w:tc>
                      <w:tcPr>
                        <w:tcW w:w="1383" w:type="dxa"/>
                        <w:tcBorders>
                          <w:left w:val="nil"/>
                          <w:bottom w:val="nil"/>
                          <w:right w:val="nil"/>
                        </w:tcBorders>
                      </w:tcPr>
                      <w:p>
                        <w:pPr/>
                      </w:p>
                    </w:tc>
                    <w:tc>
                      <w:tcPr>
                        <w:tcW w:w="1426" w:type="dxa"/>
                        <w:tcBorders>
                          <w:left w:val="nil"/>
                          <w:bottom w:val="nil"/>
                          <w:right w:val="nil"/>
                        </w:tcBorders>
                      </w:tcPr>
                      <w:p>
                        <w:pPr>
                          <w:pStyle w:val="TableParagraph"/>
                          <w:spacing w:line="248" w:lineRule="exact"/>
                          <w:ind w:left="60"/>
                          <w:jc w:val="center"/>
                          <w:rPr>
                            <w:sz w:val="22"/>
                          </w:rPr>
                        </w:pPr>
                        <w:r>
                          <w:rPr>
                            <w:w w:val="100"/>
                            <w:sz w:val="22"/>
                          </w:rPr>
                          <w:t>8</w:t>
                        </w:r>
                      </w:p>
                    </w:tc>
                    <w:tc>
                      <w:tcPr>
                        <w:tcW w:w="1210" w:type="dxa"/>
                        <w:tcBorders>
                          <w:left w:val="nil"/>
                          <w:bottom w:val="nil"/>
                          <w:right w:val="nil"/>
                        </w:tcBorders>
                      </w:tcPr>
                      <w:p>
                        <w:pPr/>
                      </w:p>
                    </w:tc>
                  </w:tr>
                  <w:tr>
                    <w:trPr>
                      <w:trHeight w:val="257" w:hRule="exact"/>
                    </w:trPr>
                    <w:tc>
                      <w:tcPr>
                        <w:tcW w:w="1129" w:type="dxa"/>
                        <w:tcBorders>
                          <w:top w:val="nil"/>
                          <w:left w:val="nil"/>
                          <w:bottom w:val="nil"/>
                          <w:right w:val="nil"/>
                        </w:tcBorders>
                      </w:tcPr>
                      <w:p>
                        <w:pPr>
                          <w:pStyle w:val="TableParagraph"/>
                          <w:spacing w:line="180" w:lineRule="exact" w:before="117"/>
                          <w:ind w:left="3"/>
                          <w:jc w:val="center"/>
                          <w:rPr>
                            <w:sz w:val="22"/>
                          </w:rPr>
                        </w:pPr>
                        <w:r>
                          <w:rPr>
                            <w:w w:val="100"/>
                            <w:sz w:val="22"/>
                          </w:rPr>
                          <w:t>2</w:t>
                        </w:r>
                      </w:p>
                    </w:tc>
                    <w:tc>
                      <w:tcPr>
                        <w:tcW w:w="951" w:type="dxa"/>
                        <w:tcBorders>
                          <w:top w:val="nil"/>
                          <w:left w:val="nil"/>
                          <w:bottom w:val="nil"/>
                          <w:right w:val="nil"/>
                        </w:tcBorders>
                      </w:tcPr>
                      <w:p>
                        <w:pPr>
                          <w:pStyle w:val="TableParagraph"/>
                          <w:spacing w:line="245" w:lineRule="exact"/>
                          <w:ind w:right="337"/>
                          <w:jc w:val="right"/>
                          <w:rPr>
                            <w:sz w:val="22"/>
                          </w:rPr>
                        </w:pPr>
                        <w:r>
                          <w:rPr>
                            <w:w w:val="100"/>
                            <w:sz w:val="22"/>
                          </w:rPr>
                          <w:t>√</w:t>
                        </w:r>
                      </w:p>
                    </w:tc>
                    <w:tc>
                      <w:tcPr>
                        <w:tcW w:w="2005" w:type="dxa"/>
                        <w:tcBorders>
                          <w:top w:val="nil"/>
                          <w:left w:val="nil"/>
                          <w:bottom w:val="nil"/>
                          <w:right w:val="nil"/>
                        </w:tcBorders>
                      </w:tcPr>
                      <w:p>
                        <w:pPr/>
                      </w:p>
                    </w:tc>
                    <w:tc>
                      <w:tcPr>
                        <w:tcW w:w="833" w:type="dxa"/>
                        <w:tcBorders>
                          <w:top w:val="nil"/>
                          <w:left w:val="nil"/>
                          <w:bottom w:val="nil"/>
                          <w:right w:val="nil"/>
                        </w:tcBorders>
                      </w:tcPr>
                      <w:p>
                        <w:pPr>
                          <w:pStyle w:val="TableParagraph"/>
                          <w:spacing w:line="245" w:lineRule="exact"/>
                          <w:ind w:right="71"/>
                          <w:jc w:val="center"/>
                          <w:rPr>
                            <w:sz w:val="22"/>
                          </w:rPr>
                        </w:pPr>
                        <w:r>
                          <w:rPr>
                            <w:w w:val="100"/>
                            <w:sz w:val="22"/>
                          </w:rPr>
                          <w:t>√</w:t>
                        </w:r>
                      </w:p>
                    </w:tc>
                    <w:tc>
                      <w:tcPr>
                        <w:tcW w:w="1383" w:type="dxa"/>
                        <w:tcBorders>
                          <w:top w:val="nil"/>
                          <w:left w:val="nil"/>
                          <w:bottom w:val="nil"/>
                          <w:right w:val="nil"/>
                        </w:tcBorders>
                      </w:tcPr>
                      <w:p>
                        <w:pPr/>
                      </w:p>
                    </w:tc>
                    <w:tc>
                      <w:tcPr>
                        <w:tcW w:w="1426" w:type="dxa"/>
                        <w:tcBorders>
                          <w:top w:val="nil"/>
                          <w:left w:val="nil"/>
                          <w:bottom w:val="nil"/>
                          <w:right w:val="nil"/>
                        </w:tcBorders>
                      </w:tcPr>
                      <w:p>
                        <w:pPr>
                          <w:pStyle w:val="TableParagraph"/>
                          <w:spacing w:line="245" w:lineRule="exact"/>
                          <w:ind w:left="60"/>
                          <w:jc w:val="center"/>
                          <w:rPr>
                            <w:sz w:val="22"/>
                          </w:rPr>
                        </w:pPr>
                        <w:r>
                          <w:rPr>
                            <w:w w:val="100"/>
                            <w:sz w:val="22"/>
                          </w:rPr>
                          <w:t>5</w:t>
                        </w:r>
                      </w:p>
                    </w:tc>
                    <w:tc>
                      <w:tcPr>
                        <w:tcW w:w="1210" w:type="dxa"/>
                        <w:tcBorders>
                          <w:top w:val="nil"/>
                          <w:left w:val="nil"/>
                          <w:bottom w:val="nil"/>
                          <w:right w:val="nil"/>
                        </w:tcBorders>
                      </w:tcPr>
                      <w:p>
                        <w:pPr>
                          <w:pStyle w:val="TableParagraph"/>
                          <w:spacing w:line="180" w:lineRule="exact" w:before="117"/>
                          <w:ind w:left="462" w:right="462"/>
                          <w:jc w:val="center"/>
                          <w:rPr>
                            <w:sz w:val="22"/>
                          </w:rPr>
                        </w:pPr>
                        <w:r>
                          <w:rPr>
                            <w:sz w:val="22"/>
                          </w:rPr>
                          <w:t>16</w:t>
                        </w:r>
                      </w:p>
                    </w:tc>
                  </w:tr>
                  <w:tr>
                    <w:trPr>
                      <w:trHeight w:val="255" w:hRule="exact"/>
                    </w:trPr>
                    <w:tc>
                      <w:tcPr>
                        <w:tcW w:w="1129" w:type="dxa"/>
                        <w:tcBorders>
                          <w:top w:val="nil"/>
                          <w:left w:val="nil"/>
                          <w:bottom w:val="nil"/>
                          <w:right w:val="nil"/>
                        </w:tcBorders>
                      </w:tcPr>
                      <w:p>
                        <w:pPr/>
                      </w:p>
                    </w:tc>
                    <w:tc>
                      <w:tcPr>
                        <w:tcW w:w="951" w:type="dxa"/>
                        <w:tcBorders>
                          <w:top w:val="nil"/>
                          <w:left w:val="nil"/>
                          <w:bottom w:val="nil"/>
                          <w:right w:val="nil"/>
                        </w:tcBorders>
                      </w:tcPr>
                      <w:p>
                        <w:pPr>
                          <w:pStyle w:val="TableParagraph"/>
                          <w:spacing w:line="243" w:lineRule="exact"/>
                          <w:ind w:right="337"/>
                          <w:jc w:val="right"/>
                          <w:rPr>
                            <w:sz w:val="22"/>
                          </w:rPr>
                        </w:pPr>
                        <w:r>
                          <w:rPr>
                            <w:w w:val="100"/>
                            <w:sz w:val="22"/>
                          </w:rPr>
                          <w:t>√</w:t>
                        </w:r>
                      </w:p>
                    </w:tc>
                    <w:tc>
                      <w:tcPr>
                        <w:tcW w:w="2005" w:type="dxa"/>
                        <w:tcBorders>
                          <w:top w:val="nil"/>
                          <w:left w:val="nil"/>
                          <w:bottom w:val="nil"/>
                          <w:right w:val="nil"/>
                        </w:tcBorders>
                      </w:tcPr>
                      <w:p>
                        <w:pPr/>
                      </w:p>
                    </w:tc>
                    <w:tc>
                      <w:tcPr>
                        <w:tcW w:w="833" w:type="dxa"/>
                        <w:tcBorders>
                          <w:top w:val="nil"/>
                          <w:left w:val="nil"/>
                          <w:bottom w:val="nil"/>
                          <w:right w:val="nil"/>
                        </w:tcBorders>
                      </w:tcPr>
                      <w:p>
                        <w:pPr/>
                      </w:p>
                    </w:tc>
                    <w:tc>
                      <w:tcPr>
                        <w:tcW w:w="1383" w:type="dxa"/>
                        <w:tcBorders>
                          <w:top w:val="nil"/>
                          <w:left w:val="nil"/>
                          <w:bottom w:val="nil"/>
                          <w:right w:val="nil"/>
                        </w:tcBorders>
                      </w:tcPr>
                      <w:p>
                        <w:pPr>
                          <w:pStyle w:val="TableParagraph"/>
                          <w:spacing w:line="243" w:lineRule="exact"/>
                          <w:ind w:left="121"/>
                          <w:jc w:val="center"/>
                          <w:rPr>
                            <w:sz w:val="22"/>
                          </w:rPr>
                        </w:pPr>
                        <w:r>
                          <w:rPr>
                            <w:w w:val="100"/>
                            <w:sz w:val="22"/>
                          </w:rPr>
                          <w:t>√</w:t>
                        </w:r>
                      </w:p>
                    </w:tc>
                    <w:tc>
                      <w:tcPr>
                        <w:tcW w:w="1426" w:type="dxa"/>
                        <w:tcBorders>
                          <w:top w:val="nil"/>
                          <w:left w:val="nil"/>
                          <w:bottom w:val="nil"/>
                          <w:right w:val="nil"/>
                        </w:tcBorders>
                      </w:tcPr>
                      <w:p>
                        <w:pPr>
                          <w:pStyle w:val="TableParagraph"/>
                          <w:spacing w:line="243" w:lineRule="exact"/>
                          <w:ind w:left="60"/>
                          <w:jc w:val="center"/>
                          <w:rPr>
                            <w:sz w:val="22"/>
                          </w:rPr>
                        </w:pPr>
                        <w:r>
                          <w:rPr>
                            <w:w w:val="100"/>
                            <w:sz w:val="22"/>
                          </w:rPr>
                          <w:t>1</w:t>
                        </w:r>
                      </w:p>
                    </w:tc>
                    <w:tc>
                      <w:tcPr>
                        <w:tcW w:w="1210" w:type="dxa"/>
                        <w:tcBorders>
                          <w:top w:val="nil"/>
                          <w:left w:val="nil"/>
                          <w:bottom w:val="nil"/>
                          <w:right w:val="nil"/>
                        </w:tcBorders>
                      </w:tcPr>
                      <w:p>
                        <w:pPr/>
                      </w:p>
                    </w:tc>
                  </w:tr>
                  <w:tr>
                    <w:trPr>
                      <w:trHeight w:val="253" w:hRule="exact"/>
                    </w:trPr>
                    <w:tc>
                      <w:tcPr>
                        <w:tcW w:w="1129" w:type="dxa"/>
                        <w:tcBorders>
                          <w:top w:val="nil"/>
                          <w:left w:val="nil"/>
                          <w:right w:val="nil"/>
                        </w:tcBorders>
                      </w:tcPr>
                      <w:p>
                        <w:pPr/>
                      </w:p>
                    </w:tc>
                    <w:tc>
                      <w:tcPr>
                        <w:tcW w:w="951" w:type="dxa"/>
                        <w:tcBorders>
                          <w:top w:val="nil"/>
                          <w:left w:val="nil"/>
                          <w:right w:val="nil"/>
                        </w:tcBorders>
                      </w:tcPr>
                      <w:p>
                        <w:pPr>
                          <w:pStyle w:val="TableParagraph"/>
                          <w:spacing w:line="242" w:lineRule="exact"/>
                          <w:ind w:right="337"/>
                          <w:jc w:val="right"/>
                          <w:rPr>
                            <w:sz w:val="22"/>
                          </w:rPr>
                        </w:pPr>
                        <w:r>
                          <w:rPr>
                            <w:w w:val="100"/>
                            <w:sz w:val="22"/>
                          </w:rPr>
                          <w:t>√</w:t>
                        </w:r>
                      </w:p>
                    </w:tc>
                    <w:tc>
                      <w:tcPr>
                        <w:tcW w:w="2005" w:type="dxa"/>
                        <w:tcBorders>
                          <w:top w:val="nil"/>
                          <w:left w:val="nil"/>
                          <w:right w:val="nil"/>
                        </w:tcBorders>
                      </w:tcPr>
                      <w:p>
                        <w:pPr>
                          <w:pStyle w:val="TableParagraph"/>
                          <w:spacing w:line="242" w:lineRule="exact"/>
                          <w:ind w:left="305" w:right="284"/>
                          <w:jc w:val="center"/>
                          <w:rPr>
                            <w:sz w:val="22"/>
                          </w:rPr>
                        </w:pPr>
                        <w:r>
                          <w:rPr>
                            <w:sz w:val="22"/>
                          </w:rPr>
                          <w:t>--</w:t>
                        </w:r>
                      </w:p>
                    </w:tc>
                    <w:tc>
                      <w:tcPr>
                        <w:tcW w:w="833" w:type="dxa"/>
                        <w:tcBorders>
                          <w:top w:val="nil"/>
                          <w:left w:val="nil"/>
                          <w:right w:val="nil"/>
                        </w:tcBorders>
                      </w:tcPr>
                      <w:p>
                        <w:pPr>
                          <w:pStyle w:val="TableParagraph"/>
                          <w:spacing w:line="242" w:lineRule="exact"/>
                          <w:ind w:left="284" w:right="361"/>
                          <w:jc w:val="center"/>
                          <w:rPr>
                            <w:sz w:val="22"/>
                          </w:rPr>
                        </w:pPr>
                        <w:r>
                          <w:rPr>
                            <w:sz w:val="22"/>
                          </w:rPr>
                          <w:t>--</w:t>
                        </w:r>
                      </w:p>
                    </w:tc>
                    <w:tc>
                      <w:tcPr>
                        <w:tcW w:w="1383" w:type="dxa"/>
                        <w:tcBorders>
                          <w:top w:val="nil"/>
                          <w:left w:val="nil"/>
                          <w:right w:val="nil"/>
                        </w:tcBorders>
                      </w:tcPr>
                      <w:p>
                        <w:pPr>
                          <w:pStyle w:val="TableParagraph"/>
                          <w:spacing w:line="242" w:lineRule="exact"/>
                          <w:ind w:left="357" w:right="242"/>
                          <w:jc w:val="center"/>
                          <w:rPr>
                            <w:sz w:val="22"/>
                          </w:rPr>
                        </w:pPr>
                        <w:r>
                          <w:rPr>
                            <w:sz w:val="22"/>
                          </w:rPr>
                          <w:t>--</w:t>
                        </w:r>
                      </w:p>
                    </w:tc>
                    <w:tc>
                      <w:tcPr>
                        <w:tcW w:w="1426" w:type="dxa"/>
                        <w:tcBorders>
                          <w:top w:val="nil"/>
                          <w:left w:val="nil"/>
                          <w:right w:val="nil"/>
                        </w:tcBorders>
                      </w:tcPr>
                      <w:p>
                        <w:pPr>
                          <w:pStyle w:val="TableParagraph"/>
                          <w:spacing w:line="242" w:lineRule="exact"/>
                          <w:ind w:left="60"/>
                          <w:jc w:val="center"/>
                          <w:rPr>
                            <w:sz w:val="22"/>
                          </w:rPr>
                        </w:pPr>
                        <w:r>
                          <w:rPr>
                            <w:w w:val="100"/>
                            <w:sz w:val="22"/>
                          </w:rPr>
                          <w:t>2</w:t>
                        </w:r>
                      </w:p>
                    </w:tc>
                    <w:tc>
                      <w:tcPr>
                        <w:tcW w:w="1210" w:type="dxa"/>
                        <w:tcBorders>
                          <w:top w:val="nil"/>
                          <w:left w:val="nil"/>
                          <w:right w:val="nil"/>
                        </w:tcBorders>
                      </w:tcPr>
                      <w:p>
                        <w:pPr/>
                      </w:p>
                    </w:tc>
                  </w:tr>
                  <w:tr>
                    <w:trPr>
                      <w:trHeight w:val="270" w:hRule="exact"/>
                    </w:trPr>
                    <w:tc>
                      <w:tcPr>
                        <w:tcW w:w="1129" w:type="dxa"/>
                        <w:tcBorders>
                          <w:left w:val="nil"/>
                          <w:bottom w:val="nil"/>
                          <w:right w:val="nil"/>
                        </w:tcBorders>
                      </w:tcPr>
                      <w:p>
                        <w:pPr/>
                      </w:p>
                    </w:tc>
                    <w:tc>
                      <w:tcPr>
                        <w:tcW w:w="951" w:type="dxa"/>
                        <w:tcBorders>
                          <w:left w:val="nil"/>
                          <w:bottom w:val="nil"/>
                          <w:right w:val="nil"/>
                        </w:tcBorders>
                      </w:tcPr>
                      <w:p>
                        <w:pPr>
                          <w:pStyle w:val="TableParagraph"/>
                          <w:ind w:right="337"/>
                          <w:jc w:val="right"/>
                          <w:rPr>
                            <w:sz w:val="22"/>
                          </w:rPr>
                        </w:pPr>
                        <w:r>
                          <w:rPr>
                            <w:w w:val="100"/>
                            <w:sz w:val="22"/>
                          </w:rPr>
                          <w:t>√</w:t>
                        </w:r>
                      </w:p>
                    </w:tc>
                    <w:tc>
                      <w:tcPr>
                        <w:tcW w:w="2005" w:type="dxa"/>
                        <w:tcBorders>
                          <w:left w:val="nil"/>
                          <w:bottom w:val="nil"/>
                          <w:right w:val="nil"/>
                        </w:tcBorders>
                      </w:tcPr>
                      <w:p>
                        <w:pPr>
                          <w:pStyle w:val="TableParagraph"/>
                          <w:ind w:left="27"/>
                          <w:jc w:val="center"/>
                          <w:rPr>
                            <w:sz w:val="22"/>
                          </w:rPr>
                        </w:pPr>
                        <w:r>
                          <w:rPr>
                            <w:w w:val="100"/>
                            <w:sz w:val="22"/>
                          </w:rPr>
                          <w:t>√</w:t>
                        </w:r>
                      </w:p>
                    </w:tc>
                    <w:tc>
                      <w:tcPr>
                        <w:tcW w:w="833" w:type="dxa"/>
                        <w:tcBorders>
                          <w:left w:val="nil"/>
                          <w:bottom w:val="nil"/>
                          <w:right w:val="nil"/>
                        </w:tcBorders>
                      </w:tcPr>
                      <w:p>
                        <w:pPr/>
                      </w:p>
                    </w:tc>
                    <w:tc>
                      <w:tcPr>
                        <w:tcW w:w="1383" w:type="dxa"/>
                        <w:tcBorders>
                          <w:left w:val="nil"/>
                          <w:bottom w:val="nil"/>
                          <w:right w:val="nil"/>
                        </w:tcBorders>
                      </w:tcPr>
                      <w:p>
                        <w:pPr/>
                      </w:p>
                    </w:tc>
                    <w:tc>
                      <w:tcPr>
                        <w:tcW w:w="1426" w:type="dxa"/>
                        <w:tcBorders>
                          <w:left w:val="nil"/>
                          <w:bottom w:val="nil"/>
                          <w:right w:val="nil"/>
                        </w:tcBorders>
                      </w:tcPr>
                      <w:p>
                        <w:pPr>
                          <w:pStyle w:val="TableParagraph"/>
                          <w:ind w:left="60"/>
                          <w:jc w:val="center"/>
                          <w:rPr>
                            <w:sz w:val="22"/>
                          </w:rPr>
                        </w:pPr>
                        <w:r>
                          <w:rPr>
                            <w:w w:val="100"/>
                            <w:sz w:val="22"/>
                          </w:rPr>
                          <w:t>6</w:t>
                        </w:r>
                      </w:p>
                    </w:tc>
                    <w:tc>
                      <w:tcPr>
                        <w:tcW w:w="1210" w:type="dxa"/>
                        <w:tcBorders>
                          <w:left w:val="nil"/>
                          <w:bottom w:val="nil"/>
                          <w:right w:val="nil"/>
                        </w:tcBorders>
                      </w:tcPr>
                      <w:p>
                        <w:pPr/>
                      </w:p>
                    </w:tc>
                  </w:tr>
                  <w:tr>
                    <w:trPr>
                      <w:trHeight w:val="254" w:hRule="exact"/>
                    </w:trPr>
                    <w:tc>
                      <w:tcPr>
                        <w:tcW w:w="1129" w:type="dxa"/>
                        <w:tcBorders>
                          <w:top w:val="nil"/>
                          <w:left w:val="nil"/>
                          <w:bottom w:val="nil"/>
                          <w:right w:val="nil"/>
                        </w:tcBorders>
                      </w:tcPr>
                      <w:p>
                        <w:pPr/>
                      </w:p>
                    </w:tc>
                    <w:tc>
                      <w:tcPr>
                        <w:tcW w:w="951" w:type="dxa"/>
                        <w:tcBorders>
                          <w:top w:val="nil"/>
                          <w:left w:val="nil"/>
                          <w:bottom w:val="nil"/>
                          <w:right w:val="nil"/>
                        </w:tcBorders>
                      </w:tcPr>
                      <w:p>
                        <w:pPr>
                          <w:pStyle w:val="TableParagraph"/>
                          <w:spacing w:line="242" w:lineRule="exact"/>
                          <w:ind w:right="337"/>
                          <w:jc w:val="right"/>
                          <w:rPr>
                            <w:sz w:val="22"/>
                          </w:rPr>
                        </w:pPr>
                        <w:r>
                          <w:rPr>
                            <w:w w:val="100"/>
                            <w:sz w:val="22"/>
                          </w:rPr>
                          <w:t>√</w:t>
                        </w:r>
                      </w:p>
                    </w:tc>
                    <w:tc>
                      <w:tcPr>
                        <w:tcW w:w="2005" w:type="dxa"/>
                        <w:tcBorders>
                          <w:top w:val="nil"/>
                          <w:left w:val="nil"/>
                          <w:bottom w:val="nil"/>
                          <w:right w:val="nil"/>
                        </w:tcBorders>
                      </w:tcPr>
                      <w:p>
                        <w:pPr/>
                      </w:p>
                    </w:tc>
                    <w:tc>
                      <w:tcPr>
                        <w:tcW w:w="833" w:type="dxa"/>
                        <w:tcBorders>
                          <w:top w:val="nil"/>
                          <w:left w:val="nil"/>
                          <w:bottom w:val="nil"/>
                          <w:right w:val="nil"/>
                        </w:tcBorders>
                      </w:tcPr>
                      <w:p>
                        <w:pPr>
                          <w:pStyle w:val="TableParagraph"/>
                          <w:spacing w:line="242" w:lineRule="exact"/>
                          <w:ind w:right="71"/>
                          <w:jc w:val="center"/>
                          <w:rPr>
                            <w:sz w:val="22"/>
                          </w:rPr>
                        </w:pPr>
                        <w:r>
                          <w:rPr>
                            <w:w w:val="100"/>
                            <w:sz w:val="22"/>
                          </w:rPr>
                          <w:t>√</w:t>
                        </w:r>
                      </w:p>
                    </w:tc>
                    <w:tc>
                      <w:tcPr>
                        <w:tcW w:w="1383" w:type="dxa"/>
                        <w:tcBorders>
                          <w:top w:val="nil"/>
                          <w:left w:val="nil"/>
                          <w:bottom w:val="nil"/>
                          <w:right w:val="nil"/>
                        </w:tcBorders>
                      </w:tcPr>
                      <w:p>
                        <w:pPr/>
                      </w:p>
                    </w:tc>
                    <w:tc>
                      <w:tcPr>
                        <w:tcW w:w="1426" w:type="dxa"/>
                        <w:tcBorders>
                          <w:top w:val="nil"/>
                          <w:left w:val="nil"/>
                          <w:bottom w:val="nil"/>
                          <w:right w:val="nil"/>
                        </w:tcBorders>
                      </w:tcPr>
                      <w:p>
                        <w:pPr>
                          <w:pStyle w:val="TableParagraph"/>
                          <w:spacing w:line="242" w:lineRule="exact"/>
                          <w:ind w:left="60"/>
                          <w:jc w:val="center"/>
                          <w:rPr>
                            <w:sz w:val="22"/>
                          </w:rPr>
                        </w:pPr>
                        <w:r>
                          <w:rPr>
                            <w:w w:val="100"/>
                            <w:sz w:val="22"/>
                          </w:rPr>
                          <w:t>2</w:t>
                        </w:r>
                      </w:p>
                    </w:tc>
                    <w:tc>
                      <w:tcPr>
                        <w:tcW w:w="1210" w:type="dxa"/>
                        <w:tcBorders>
                          <w:top w:val="nil"/>
                          <w:left w:val="nil"/>
                          <w:bottom w:val="nil"/>
                          <w:right w:val="nil"/>
                        </w:tcBorders>
                      </w:tcPr>
                      <w:p>
                        <w:pPr/>
                      </w:p>
                    </w:tc>
                  </w:tr>
                  <w:tr>
                    <w:trPr>
                      <w:trHeight w:val="257" w:hRule="exact"/>
                    </w:trPr>
                    <w:tc>
                      <w:tcPr>
                        <w:tcW w:w="1129" w:type="dxa"/>
                        <w:tcBorders>
                          <w:top w:val="nil"/>
                          <w:left w:val="nil"/>
                          <w:bottom w:val="nil"/>
                          <w:right w:val="nil"/>
                        </w:tcBorders>
                      </w:tcPr>
                      <w:p>
                        <w:pPr>
                          <w:pStyle w:val="TableParagraph"/>
                          <w:spacing w:line="242" w:lineRule="exact"/>
                          <w:ind w:left="3"/>
                          <w:jc w:val="center"/>
                          <w:rPr>
                            <w:sz w:val="22"/>
                          </w:rPr>
                        </w:pPr>
                        <w:r>
                          <w:rPr>
                            <w:w w:val="100"/>
                            <w:sz w:val="22"/>
                          </w:rPr>
                          <w:t>3</w:t>
                        </w:r>
                      </w:p>
                    </w:tc>
                    <w:tc>
                      <w:tcPr>
                        <w:tcW w:w="951" w:type="dxa"/>
                        <w:tcBorders>
                          <w:top w:val="nil"/>
                          <w:left w:val="nil"/>
                          <w:bottom w:val="nil"/>
                          <w:right w:val="nil"/>
                        </w:tcBorders>
                      </w:tcPr>
                      <w:p>
                        <w:pPr>
                          <w:pStyle w:val="TableParagraph"/>
                          <w:spacing w:line="242" w:lineRule="exact"/>
                          <w:ind w:right="337"/>
                          <w:jc w:val="right"/>
                          <w:rPr>
                            <w:sz w:val="22"/>
                          </w:rPr>
                        </w:pPr>
                        <w:r>
                          <w:rPr>
                            <w:w w:val="100"/>
                            <w:sz w:val="22"/>
                          </w:rPr>
                          <w:t>√</w:t>
                        </w:r>
                      </w:p>
                    </w:tc>
                    <w:tc>
                      <w:tcPr>
                        <w:tcW w:w="2005" w:type="dxa"/>
                        <w:tcBorders>
                          <w:top w:val="nil"/>
                          <w:left w:val="nil"/>
                          <w:bottom w:val="nil"/>
                          <w:right w:val="nil"/>
                        </w:tcBorders>
                      </w:tcPr>
                      <w:p>
                        <w:pPr>
                          <w:pStyle w:val="TableParagraph"/>
                          <w:spacing w:line="242" w:lineRule="exact"/>
                          <w:ind w:left="305" w:right="284"/>
                          <w:jc w:val="center"/>
                          <w:rPr>
                            <w:sz w:val="22"/>
                          </w:rPr>
                        </w:pPr>
                        <w:r>
                          <w:rPr>
                            <w:sz w:val="22"/>
                          </w:rPr>
                          <w:t>--</w:t>
                        </w:r>
                      </w:p>
                    </w:tc>
                    <w:tc>
                      <w:tcPr>
                        <w:tcW w:w="833" w:type="dxa"/>
                        <w:tcBorders>
                          <w:top w:val="nil"/>
                          <w:left w:val="nil"/>
                          <w:bottom w:val="nil"/>
                          <w:right w:val="nil"/>
                        </w:tcBorders>
                      </w:tcPr>
                      <w:p>
                        <w:pPr>
                          <w:pStyle w:val="TableParagraph"/>
                          <w:spacing w:line="242" w:lineRule="exact"/>
                          <w:ind w:left="284" w:right="361"/>
                          <w:jc w:val="center"/>
                          <w:rPr>
                            <w:sz w:val="22"/>
                          </w:rPr>
                        </w:pPr>
                        <w:r>
                          <w:rPr>
                            <w:sz w:val="22"/>
                          </w:rPr>
                          <w:t>--</w:t>
                        </w:r>
                      </w:p>
                    </w:tc>
                    <w:tc>
                      <w:tcPr>
                        <w:tcW w:w="1383" w:type="dxa"/>
                        <w:tcBorders>
                          <w:top w:val="nil"/>
                          <w:left w:val="nil"/>
                          <w:bottom w:val="nil"/>
                          <w:right w:val="nil"/>
                        </w:tcBorders>
                      </w:tcPr>
                      <w:p>
                        <w:pPr>
                          <w:pStyle w:val="TableParagraph"/>
                          <w:spacing w:line="242" w:lineRule="exact"/>
                          <w:ind w:left="357" w:right="242"/>
                          <w:jc w:val="center"/>
                          <w:rPr>
                            <w:sz w:val="22"/>
                          </w:rPr>
                        </w:pPr>
                        <w:r>
                          <w:rPr>
                            <w:sz w:val="22"/>
                          </w:rPr>
                          <w:t>--</w:t>
                        </w:r>
                      </w:p>
                    </w:tc>
                    <w:tc>
                      <w:tcPr>
                        <w:tcW w:w="1426" w:type="dxa"/>
                        <w:tcBorders>
                          <w:top w:val="nil"/>
                          <w:left w:val="nil"/>
                          <w:bottom w:val="nil"/>
                          <w:right w:val="nil"/>
                        </w:tcBorders>
                      </w:tcPr>
                      <w:p>
                        <w:pPr>
                          <w:pStyle w:val="TableParagraph"/>
                          <w:spacing w:line="242" w:lineRule="exact"/>
                          <w:ind w:left="60"/>
                          <w:jc w:val="center"/>
                          <w:rPr>
                            <w:sz w:val="22"/>
                          </w:rPr>
                        </w:pPr>
                        <w:r>
                          <w:rPr>
                            <w:w w:val="100"/>
                            <w:sz w:val="22"/>
                          </w:rPr>
                          <w:t>3</w:t>
                        </w:r>
                      </w:p>
                    </w:tc>
                    <w:tc>
                      <w:tcPr>
                        <w:tcW w:w="1210" w:type="dxa"/>
                        <w:tcBorders>
                          <w:top w:val="nil"/>
                          <w:left w:val="nil"/>
                          <w:bottom w:val="nil"/>
                          <w:right w:val="nil"/>
                        </w:tcBorders>
                      </w:tcPr>
                      <w:p>
                        <w:pPr>
                          <w:pStyle w:val="TableParagraph"/>
                          <w:spacing w:line="242" w:lineRule="exact"/>
                          <w:ind w:left="462" w:right="462"/>
                          <w:jc w:val="center"/>
                          <w:rPr>
                            <w:sz w:val="22"/>
                          </w:rPr>
                        </w:pPr>
                        <w:r>
                          <w:rPr>
                            <w:sz w:val="22"/>
                          </w:rPr>
                          <w:t>14</w:t>
                        </w:r>
                      </w:p>
                    </w:tc>
                  </w:tr>
                  <w:tr>
                    <w:trPr>
                      <w:trHeight w:val="257" w:hRule="exact"/>
                    </w:trPr>
                    <w:tc>
                      <w:tcPr>
                        <w:tcW w:w="1129" w:type="dxa"/>
                        <w:tcBorders>
                          <w:top w:val="nil"/>
                          <w:left w:val="nil"/>
                          <w:bottom w:val="nil"/>
                          <w:right w:val="nil"/>
                        </w:tcBorders>
                      </w:tcPr>
                      <w:p>
                        <w:pPr/>
                      </w:p>
                    </w:tc>
                    <w:tc>
                      <w:tcPr>
                        <w:tcW w:w="951" w:type="dxa"/>
                        <w:tcBorders>
                          <w:top w:val="nil"/>
                          <w:left w:val="nil"/>
                          <w:bottom w:val="nil"/>
                          <w:right w:val="nil"/>
                        </w:tcBorders>
                      </w:tcPr>
                      <w:p>
                        <w:pPr>
                          <w:pStyle w:val="TableParagraph"/>
                          <w:spacing w:line="245" w:lineRule="exact"/>
                          <w:ind w:right="329"/>
                          <w:jc w:val="right"/>
                          <w:rPr>
                            <w:sz w:val="22"/>
                          </w:rPr>
                        </w:pPr>
                        <w:r>
                          <w:rPr>
                            <w:sz w:val="22"/>
                          </w:rPr>
                          <w:t>--</w:t>
                        </w:r>
                      </w:p>
                    </w:tc>
                    <w:tc>
                      <w:tcPr>
                        <w:tcW w:w="2005" w:type="dxa"/>
                        <w:tcBorders>
                          <w:top w:val="nil"/>
                          <w:left w:val="nil"/>
                          <w:bottom w:val="nil"/>
                          <w:right w:val="nil"/>
                        </w:tcBorders>
                      </w:tcPr>
                      <w:p>
                        <w:pPr>
                          <w:pStyle w:val="TableParagraph"/>
                          <w:spacing w:line="245" w:lineRule="exact"/>
                          <w:ind w:left="27"/>
                          <w:jc w:val="center"/>
                          <w:rPr>
                            <w:sz w:val="22"/>
                          </w:rPr>
                        </w:pPr>
                        <w:r>
                          <w:rPr>
                            <w:w w:val="100"/>
                            <w:sz w:val="22"/>
                          </w:rPr>
                          <w:t>√</w:t>
                        </w:r>
                      </w:p>
                    </w:tc>
                    <w:tc>
                      <w:tcPr>
                        <w:tcW w:w="833" w:type="dxa"/>
                        <w:tcBorders>
                          <w:top w:val="nil"/>
                          <w:left w:val="nil"/>
                          <w:bottom w:val="nil"/>
                          <w:right w:val="nil"/>
                        </w:tcBorders>
                      </w:tcPr>
                      <w:p>
                        <w:pPr/>
                      </w:p>
                    </w:tc>
                    <w:tc>
                      <w:tcPr>
                        <w:tcW w:w="1383" w:type="dxa"/>
                        <w:tcBorders>
                          <w:top w:val="nil"/>
                          <w:left w:val="nil"/>
                          <w:bottom w:val="nil"/>
                          <w:right w:val="nil"/>
                        </w:tcBorders>
                      </w:tcPr>
                      <w:p>
                        <w:pPr/>
                      </w:p>
                    </w:tc>
                    <w:tc>
                      <w:tcPr>
                        <w:tcW w:w="1426" w:type="dxa"/>
                        <w:tcBorders>
                          <w:top w:val="nil"/>
                          <w:left w:val="nil"/>
                          <w:bottom w:val="nil"/>
                          <w:right w:val="nil"/>
                        </w:tcBorders>
                      </w:tcPr>
                      <w:p>
                        <w:pPr>
                          <w:pStyle w:val="TableParagraph"/>
                          <w:spacing w:line="245" w:lineRule="exact"/>
                          <w:ind w:left="60"/>
                          <w:jc w:val="center"/>
                          <w:rPr>
                            <w:sz w:val="22"/>
                          </w:rPr>
                        </w:pPr>
                        <w:r>
                          <w:rPr>
                            <w:w w:val="100"/>
                            <w:sz w:val="22"/>
                          </w:rPr>
                          <w:t>2</w:t>
                        </w:r>
                      </w:p>
                    </w:tc>
                    <w:tc>
                      <w:tcPr>
                        <w:tcW w:w="1210" w:type="dxa"/>
                        <w:tcBorders>
                          <w:top w:val="nil"/>
                          <w:left w:val="nil"/>
                          <w:bottom w:val="nil"/>
                          <w:right w:val="nil"/>
                        </w:tcBorders>
                      </w:tcPr>
                      <w:p>
                        <w:pPr/>
                      </w:p>
                    </w:tc>
                  </w:tr>
                  <w:tr>
                    <w:trPr>
                      <w:trHeight w:val="254" w:hRule="exact"/>
                    </w:trPr>
                    <w:tc>
                      <w:tcPr>
                        <w:tcW w:w="1129" w:type="dxa"/>
                        <w:tcBorders>
                          <w:top w:val="nil"/>
                          <w:left w:val="nil"/>
                          <w:right w:val="nil"/>
                        </w:tcBorders>
                      </w:tcPr>
                      <w:p>
                        <w:pPr/>
                      </w:p>
                    </w:tc>
                    <w:tc>
                      <w:tcPr>
                        <w:tcW w:w="951" w:type="dxa"/>
                        <w:tcBorders>
                          <w:top w:val="nil"/>
                          <w:left w:val="nil"/>
                          <w:right w:val="nil"/>
                        </w:tcBorders>
                      </w:tcPr>
                      <w:p>
                        <w:pPr>
                          <w:pStyle w:val="TableParagraph"/>
                          <w:spacing w:line="243" w:lineRule="exact"/>
                          <w:ind w:right="329"/>
                          <w:jc w:val="right"/>
                          <w:rPr>
                            <w:sz w:val="22"/>
                          </w:rPr>
                        </w:pPr>
                        <w:r>
                          <w:rPr>
                            <w:sz w:val="22"/>
                          </w:rPr>
                          <w:t>--</w:t>
                        </w:r>
                      </w:p>
                    </w:tc>
                    <w:tc>
                      <w:tcPr>
                        <w:tcW w:w="2005" w:type="dxa"/>
                        <w:tcBorders>
                          <w:top w:val="nil"/>
                          <w:left w:val="nil"/>
                          <w:right w:val="nil"/>
                        </w:tcBorders>
                      </w:tcPr>
                      <w:p>
                        <w:pPr/>
                      </w:p>
                    </w:tc>
                    <w:tc>
                      <w:tcPr>
                        <w:tcW w:w="833" w:type="dxa"/>
                        <w:tcBorders>
                          <w:top w:val="nil"/>
                          <w:left w:val="nil"/>
                          <w:right w:val="nil"/>
                        </w:tcBorders>
                      </w:tcPr>
                      <w:p>
                        <w:pPr>
                          <w:pStyle w:val="TableParagraph"/>
                          <w:spacing w:line="243" w:lineRule="exact"/>
                          <w:ind w:right="71"/>
                          <w:jc w:val="center"/>
                          <w:rPr>
                            <w:sz w:val="22"/>
                          </w:rPr>
                        </w:pPr>
                        <w:r>
                          <w:rPr>
                            <w:w w:val="100"/>
                            <w:sz w:val="22"/>
                          </w:rPr>
                          <w:t>√</w:t>
                        </w:r>
                      </w:p>
                    </w:tc>
                    <w:tc>
                      <w:tcPr>
                        <w:tcW w:w="1383" w:type="dxa"/>
                        <w:tcBorders>
                          <w:top w:val="nil"/>
                          <w:left w:val="nil"/>
                          <w:right w:val="nil"/>
                        </w:tcBorders>
                      </w:tcPr>
                      <w:p>
                        <w:pPr/>
                      </w:p>
                    </w:tc>
                    <w:tc>
                      <w:tcPr>
                        <w:tcW w:w="1426" w:type="dxa"/>
                        <w:tcBorders>
                          <w:top w:val="nil"/>
                          <w:left w:val="nil"/>
                          <w:right w:val="nil"/>
                        </w:tcBorders>
                      </w:tcPr>
                      <w:p>
                        <w:pPr>
                          <w:pStyle w:val="TableParagraph"/>
                          <w:spacing w:line="243" w:lineRule="exact"/>
                          <w:ind w:left="60"/>
                          <w:jc w:val="center"/>
                          <w:rPr>
                            <w:sz w:val="22"/>
                          </w:rPr>
                        </w:pPr>
                        <w:r>
                          <w:rPr>
                            <w:w w:val="100"/>
                            <w:sz w:val="22"/>
                          </w:rPr>
                          <w:t>1</w:t>
                        </w:r>
                      </w:p>
                    </w:tc>
                    <w:tc>
                      <w:tcPr>
                        <w:tcW w:w="1210" w:type="dxa"/>
                        <w:tcBorders>
                          <w:top w:val="nil"/>
                          <w:left w:val="nil"/>
                          <w:right w:val="nil"/>
                        </w:tcBorders>
                      </w:tcPr>
                      <w:p>
                        <w:pPr/>
                      </w:p>
                    </w:tc>
                  </w:tr>
                  <w:tr>
                    <w:trPr>
                      <w:trHeight w:val="267" w:hRule="exact"/>
                    </w:trPr>
                    <w:tc>
                      <w:tcPr>
                        <w:tcW w:w="1129" w:type="dxa"/>
                        <w:tcBorders>
                          <w:left w:val="nil"/>
                          <w:bottom w:val="nil"/>
                          <w:right w:val="nil"/>
                        </w:tcBorders>
                      </w:tcPr>
                      <w:p>
                        <w:pPr/>
                      </w:p>
                    </w:tc>
                    <w:tc>
                      <w:tcPr>
                        <w:tcW w:w="951" w:type="dxa"/>
                        <w:tcBorders>
                          <w:left w:val="nil"/>
                          <w:bottom w:val="nil"/>
                          <w:right w:val="nil"/>
                        </w:tcBorders>
                      </w:tcPr>
                      <w:p>
                        <w:pPr>
                          <w:pStyle w:val="TableParagraph"/>
                          <w:spacing w:line="248" w:lineRule="exact"/>
                          <w:ind w:right="337"/>
                          <w:jc w:val="right"/>
                          <w:rPr>
                            <w:sz w:val="22"/>
                          </w:rPr>
                        </w:pPr>
                        <w:r>
                          <w:rPr>
                            <w:w w:val="100"/>
                            <w:sz w:val="22"/>
                          </w:rPr>
                          <w:t>√</w:t>
                        </w:r>
                      </w:p>
                    </w:tc>
                    <w:tc>
                      <w:tcPr>
                        <w:tcW w:w="2005" w:type="dxa"/>
                        <w:tcBorders>
                          <w:left w:val="nil"/>
                          <w:bottom w:val="nil"/>
                          <w:right w:val="nil"/>
                        </w:tcBorders>
                      </w:tcPr>
                      <w:p>
                        <w:pPr>
                          <w:pStyle w:val="TableParagraph"/>
                          <w:spacing w:line="248" w:lineRule="exact"/>
                          <w:ind w:left="27"/>
                          <w:jc w:val="center"/>
                          <w:rPr>
                            <w:sz w:val="22"/>
                          </w:rPr>
                        </w:pPr>
                        <w:r>
                          <w:rPr>
                            <w:w w:val="100"/>
                            <w:sz w:val="22"/>
                          </w:rPr>
                          <w:t>√</w:t>
                        </w:r>
                      </w:p>
                    </w:tc>
                    <w:tc>
                      <w:tcPr>
                        <w:tcW w:w="833" w:type="dxa"/>
                        <w:tcBorders>
                          <w:left w:val="nil"/>
                          <w:bottom w:val="nil"/>
                          <w:right w:val="nil"/>
                        </w:tcBorders>
                      </w:tcPr>
                      <w:p>
                        <w:pPr/>
                      </w:p>
                    </w:tc>
                    <w:tc>
                      <w:tcPr>
                        <w:tcW w:w="1383" w:type="dxa"/>
                        <w:tcBorders>
                          <w:left w:val="nil"/>
                          <w:bottom w:val="nil"/>
                          <w:right w:val="nil"/>
                        </w:tcBorders>
                      </w:tcPr>
                      <w:p>
                        <w:pPr/>
                      </w:p>
                    </w:tc>
                    <w:tc>
                      <w:tcPr>
                        <w:tcW w:w="1426" w:type="dxa"/>
                        <w:tcBorders>
                          <w:left w:val="nil"/>
                          <w:bottom w:val="nil"/>
                          <w:right w:val="nil"/>
                        </w:tcBorders>
                      </w:tcPr>
                      <w:p>
                        <w:pPr>
                          <w:pStyle w:val="TableParagraph"/>
                          <w:spacing w:line="248" w:lineRule="exact"/>
                          <w:ind w:left="60"/>
                          <w:jc w:val="center"/>
                          <w:rPr>
                            <w:sz w:val="22"/>
                          </w:rPr>
                        </w:pPr>
                        <w:r>
                          <w:rPr>
                            <w:w w:val="100"/>
                            <w:sz w:val="22"/>
                          </w:rPr>
                          <w:t>5</w:t>
                        </w:r>
                      </w:p>
                    </w:tc>
                    <w:tc>
                      <w:tcPr>
                        <w:tcW w:w="1210" w:type="dxa"/>
                        <w:tcBorders>
                          <w:left w:val="nil"/>
                          <w:bottom w:val="nil"/>
                          <w:right w:val="nil"/>
                        </w:tcBorders>
                      </w:tcPr>
                      <w:p>
                        <w:pPr/>
                      </w:p>
                    </w:tc>
                  </w:tr>
                  <w:tr>
                    <w:trPr>
                      <w:trHeight w:val="257" w:hRule="exact"/>
                    </w:trPr>
                    <w:tc>
                      <w:tcPr>
                        <w:tcW w:w="1129" w:type="dxa"/>
                        <w:tcBorders>
                          <w:top w:val="nil"/>
                          <w:left w:val="nil"/>
                          <w:bottom w:val="nil"/>
                          <w:right w:val="nil"/>
                        </w:tcBorders>
                      </w:tcPr>
                      <w:p>
                        <w:pPr/>
                      </w:p>
                    </w:tc>
                    <w:tc>
                      <w:tcPr>
                        <w:tcW w:w="951" w:type="dxa"/>
                        <w:tcBorders>
                          <w:top w:val="nil"/>
                          <w:left w:val="nil"/>
                          <w:bottom w:val="nil"/>
                          <w:right w:val="nil"/>
                        </w:tcBorders>
                      </w:tcPr>
                      <w:p>
                        <w:pPr>
                          <w:pStyle w:val="TableParagraph"/>
                          <w:spacing w:line="245" w:lineRule="exact"/>
                          <w:ind w:right="337"/>
                          <w:jc w:val="right"/>
                          <w:rPr>
                            <w:sz w:val="22"/>
                          </w:rPr>
                        </w:pPr>
                        <w:r>
                          <w:rPr>
                            <w:w w:val="100"/>
                            <w:sz w:val="22"/>
                          </w:rPr>
                          <w:t>√</w:t>
                        </w:r>
                      </w:p>
                    </w:tc>
                    <w:tc>
                      <w:tcPr>
                        <w:tcW w:w="2005" w:type="dxa"/>
                        <w:tcBorders>
                          <w:top w:val="nil"/>
                          <w:left w:val="nil"/>
                          <w:bottom w:val="nil"/>
                          <w:right w:val="nil"/>
                        </w:tcBorders>
                      </w:tcPr>
                      <w:p>
                        <w:pPr/>
                      </w:p>
                    </w:tc>
                    <w:tc>
                      <w:tcPr>
                        <w:tcW w:w="833" w:type="dxa"/>
                        <w:tcBorders>
                          <w:top w:val="nil"/>
                          <w:left w:val="nil"/>
                          <w:bottom w:val="nil"/>
                          <w:right w:val="nil"/>
                        </w:tcBorders>
                      </w:tcPr>
                      <w:p>
                        <w:pPr>
                          <w:pStyle w:val="TableParagraph"/>
                          <w:spacing w:line="245" w:lineRule="exact"/>
                          <w:ind w:right="71"/>
                          <w:jc w:val="center"/>
                          <w:rPr>
                            <w:sz w:val="22"/>
                          </w:rPr>
                        </w:pPr>
                        <w:r>
                          <w:rPr>
                            <w:w w:val="100"/>
                            <w:sz w:val="22"/>
                          </w:rPr>
                          <w:t>√</w:t>
                        </w:r>
                      </w:p>
                    </w:tc>
                    <w:tc>
                      <w:tcPr>
                        <w:tcW w:w="1383" w:type="dxa"/>
                        <w:tcBorders>
                          <w:top w:val="nil"/>
                          <w:left w:val="nil"/>
                          <w:bottom w:val="nil"/>
                          <w:right w:val="nil"/>
                        </w:tcBorders>
                      </w:tcPr>
                      <w:p>
                        <w:pPr/>
                      </w:p>
                    </w:tc>
                    <w:tc>
                      <w:tcPr>
                        <w:tcW w:w="1426" w:type="dxa"/>
                        <w:tcBorders>
                          <w:top w:val="nil"/>
                          <w:left w:val="nil"/>
                          <w:bottom w:val="nil"/>
                          <w:right w:val="nil"/>
                        </w:tcBorders>
                      </w:tcPr>
                      <w:p>
                        <w:pPr>
                          <w:pStyle w:val="TableParagraph"/>
                          <w:spacing w:line="245" w:lineRule="exact"/>
                          <w:ind w:left="60"/>
                          <w:jc w:val="center"/>
                          <w:rPr>
                            <w:sz w:val="22"/>
                          </w:rPr>
                        </w:pPr>
                        <w:r>
                          <w:rPr>
                            <w:w w:val="100"/>
                            <w:sz w:val="22"/>
                          </w:rPr>
                          <w:t>2</w:t>
                        </w:r>
                      </w:p>
                    </w:tc>
                    <w:tc>
                      <w:tcPr>
                        <w:tcW w:w="1210" w:type="dxa"/>
                        <w:tcBorders>
                          <w:top w:val="nil"/>
                          <w:left w:val="nil"/>
                          <w:bottom w:val="nil"/>
                          <w:right w:val="nil"/>
                        </w:tcBorders>
                      </w:tcPr>
                      <w:p>
                        <w:pPr/>
                      </w:p>
                    </w:tc>
                  </w:tr>
                  <w:tr>
                    <w:trPr>
                      <w:trHeight w:val="254" w:hRule="exact"/>
                    </w:trPr>
                    <w:tc>
                      <w:tcPr>
                        <w:tcW w:w="1129" w:type="dxa"/>
                        <w:tcBorders>
                          <w:top w:val="nil"/>
                          <w:left w:val="nil"/>
                          <w:bottom w:val="nil"/>
                          <w:right w:val="nil"/>
                        </w:tcBorders>
                      </w:tcPr>
                      <w:p>
                        <w:pPr>
                          <w:pStyle w:val="TableParagraph"/>
                          <w:spacing w:line="242" w:lineRule="exact"/>
                          <w:ind w:left="3"/>
                          <w:jc w:val="center"/>
                          <w:rPr>
                            <w:sz w:val="22"/>
                          </w:rPr>
                        </w:pPr>
                        <w:r>
                          <w:rPr>
                            <w:w w:val="100"/>
                            <w:sz w:val="22"/>
                          </w:rPr>
                          <w:t>4</w:t>
                        </w:r>
                      </w:p>
                    </w:tc>
                    <w:tc>
                      <w:tcPr>
                        <w:tcW w:w="951" w:type="dxa"/>
                        <w:tcBorders>
                          <w:top w:val="nil"/>
                          <w:left w:val="nil"/>
                          <w:bottom w:val="nil"/>
                          <w:right w:val="nil"/>
                        </w:tcBorders>
                      </w:tcPr>
                      <w:p>
                        <w:pPr>
                          <w:pStyle w:val="TableParagraph"/>
                          <w:spacing w:line="242" w:lineRule="exact"/>
                          <w:ind w:right="337"/>
                          <w:jc w:val="right"/>
                          <w:rPr>
                            <w:sz w:val="22"/>
                          </w:rPr>
                        </w:pPr>
                        <w:r>
                          <w:rPr>
                            <w:w w:val="100"/>
                            <w:sz w:val="22"/>
                          </w:rPr>
                          <w:t>√</w:t>
                        </w:r>
                      </w:p>
                    </w:tc>
                    <w:tc>
                      <w:tcPr>
                        <w:tcW w:w="2005" w:type="dxa"/>
                        <w:tcBorders>
                          <w:top w:val="nil"/>
                          <w:left w:val="nil"/>
                          <w:bottom w:val="nil"/>
                          <w:right w:val="nil"/>
                        </w:tcBorders>
                      </w:tcPr>
                      <w:p>
                        <w:pPr/>
                      </w:p>
                    </w:tc>
                    <w:tc>
                      <w:tcPr>
                        <w:tcW w:w="833" w:type="dxa"/>
                        <w:tcBorders>
                          <w:top w:val="nil"/>
                          <w:left w:val="nil"/>
                          <w:bottom w:val="nil"/>
                          <w:right w:val="nil"/>
                        </w:tcBorders>
                      </w:tcPr>
                      <w:p>
                        <w:pPr/>
                      </w:p>
                    </w:tc>
                    <w:tc>
                      <w:tcPr>
                        <w:tcW w:w="1383" w:type="dxa"/>
                        <w:tcBorders>
                          <w:top w:val="nil"/>
                          <w:left w:val="nil"/>
                          <w:bottom w:val="nil"/>
                          <w:right w:val="nil"/>
                        </w:tcBorders>
                      </w:tcPr>
                      <w:p>
                        <w:pPr>
                          <w:pStyle w:val="TableParagraph"/>
                          <w:spacing w:line="242" w:lineRule="exact"/>
                          <w:ind w:left="121"/>
                          <w:jc w:val="center"/>
                          <w:rPr>
                            <w:sz w:val="22"/>
                          </w:rPr>
                        </w:pPr>
                        <w:r>
                          <w:rPr>
                            <w:w w:val="100"/>
                            <w:sz w:val="22"/>
                          </w:rPr>
                          <w:t>√</w:t>
                        </w:r>
                      </w:p>
                    </w:tc>
                    <w:tc>
                      <w:tcPr>
                        <w:tcW w:w="1426" w:type="dxa"/>
                        <w:tcBorders>
                          <w:top w:val="nil"/>
                          <w:left w:val="nil"/>
                          <w:bottom w:val="nil"/>
                          <w:right w:val="nil"/>
                        </w:tcBorders>
                      </w:tcPr>
                      <w:p>
                        <w:pPr>
                          <w:pStyle w:val="TableParagraph"/>
                          <w:spacing w:line="242" w:lineRule="exact"/>
                          <w:ind w:left="60"/>
                          <w:jc w:val="center"/>
                          <w:rPr>
                            <w:sz w:val="22"/>
                          </w:rPr>
                        </w:pPr>
                        <w:r>
                          <w:rPr>
                            <w:w w:val="100"/>
                            <w:sz w:val="22"/>
                          </w:rPr>
                          <w:t>1</w:t>
                        </w:r>
                      </w:p>
                    </w:tc>
                    <w:tc>
                      <w:tcPr>
                        <w:tcW w:w="1210" w:type="dxa"/>
                        <w:tcBorders>
                          <w:top w:val="nil"/>
                          <w:left w:val="nil"/>
                          <w:bottom w:val="nil"/>
                          <w:right w:val="nil"/>
                        </w:tcBorders>
                      </w:tcPr>
                      <w:p>
                        <w:pPr>
                          <w:pStyle w:val="TableParagraph"/>
                          <w:spacing w:line="242" w:lineRule="exact"/>
                          <w:ind w:left="462" w:right="462"/>
                          <w:jc w:val="center"/>
                          <w:rPr>
                            <w:sz w:val="22"/>
                          </w:rPr>
                        </w:pPr>
                        <w:r>
                          <w:rPr>
                            <w:sz w:val="22"/>
                          </w:rPr>
                          <w:t>10</w:t>
                        </w:r>
                      </w:p>
                    </w:tc>
                  </w:tr>
                  <w:tr>
                    <w:trPr>
                      <w:trHeight w:val="257" w:hRule="exact"/>
                    </w:trPr>
                    <w:tc>
                      <w:tcPr>
                        <w:tcW w:w="1129" w:type="dxa"/>
                        <w:tcBorders>
                          <w:top w:val="nil"/>
                          <w:left w:val="nil"/>
                          <w:bottom w:val="nil"/>
                          <w:right w:val="nil"/>
                        </w:tcBorders>
                      </w:tcPr>
                      <w:p>
                        <w:pPr/>
                      </w:p>
                    </w:tc>
                    <w:tc>
                      <w:tcPr>
                        <w:tcW w:w="951" w:type="dxa"/>
                        <w:tcBorders>
                          <w:top w:val="nil"/>
                          <w:left w:val="nil"/>
                          <w:bottom w:val="nil"/>
                          <w:right w:val="nil"/>
                        </w:tcBorders>
                      </w:tcPr>
                      <w:p>
                        <w:pPr>
                          <w:pStyle w:val="TableParagraph"/>
                          <w:spacing w:line="242" w:lineRule="exact"/>
                          <w:ind w:right="337"/>
                          <w:jc w:val="right"/>
                          <w:rPr>
                            <w:sz w:val="22"/>
                          </w:rPr>
                        </w:pPr>
                        <w:r>
                          <w:rPr>
                            <w:w w:val="100"/>
                            <w:sz w:val="22"/>
                          </w:rPr>
                          <w:t>√</w:t>
                        </w:r>
                      </w:p>
                    </w:tc>
                    <w:tc>
                      <w:tcPr>
                        <w:tcW w:w="2005" w:type="dxa"/>
                        <w:tcBorders>
                          <w:top w:val="nil"/>
                          <w:left w:val="nil"/>
                          <w:bottom w:val="nil"/>
                          <w:right w:val="nil"/>
                        </w:tcBorders>
                      </w:tcPr>
                      <w:p>
                        <w:pPr>
                          <w:pStyle w:val="TableParagraph"/>
                          <w:spacing w:line="242" w:lineRule="exact"/>
                          <w:ind w:left="305" w:right="284"/>
                          <w:jc w:val="center"/>
                          <w:rPr>
                            <w:sz w:val="22"/>
                          </w:rPr>
                        </w:pPr>
                        <w:r>
                          <w:rPr>
                            <w:sz w:val="22"/>
                          </w:rPr>
                          <w:t>--</w:t>
                        </w:r>
                      </w:p>
                    </w:tc>
                    <w:tc>
                      <w:tcPr>
                        <w:tcW w:w="833" w:type="dxa"/>
                        <w:tcBorders>
                          <w:top w:val="nil"/>
                          <w:left w:val="nil"/>
                          <w:bottom w:val="nil"/>
                          <w:right w:val="nil"/>
                        </w:tcBorders>
                      </w:tcPr>
                      <w:p>
                        <w:pPr>
                          <w:pStyle w:val="TableParagraph"/>
                          <w:spacing w:line="242" w:lineRule="exact"/>
                          <w:ind w:left="284" w:right="361"/>
                          <w:jc w:val="center"/>
                          <w:rPr>
                            <w:sz w:val="22"/>
                          </w:rPr>
                        </w:pPr>
                        <w:r>
                          <w:rPr>
                            <w:sz w:val="22"/>
                          </w:rPr>
                          <w:t>--</w:t>
                        </w:r>
                      </w:p>
                    </w:tc>
                    <w:tc>
                      <w:tcPr>
                        <w:tcW w:w="1383" w:type="dxa"/>
                        <w:tcBorders>
                          <w:top w:val="nil"/>
                          <w:left w:val="nil"/>
                          <w:bottom w:val="nil"/>
                          <w:right w:val="nil"/>
                        </w:tcBorders>
                      </w:tcPr>
                      <w:p>
                        <w:pPr>
                          <w:pStyle w:val="TableParagraph"/>
                          <w:spacing w:line="242" w:lineRule="exact"/>
                          <w:ind w:left="357" w:right="242"/>
                          <w:jc w:val="center"/>
                          <w:rPr>
                            <w:sz w:val="22"/>
                          </w:rPr>
                        </w:pPr>
                        <w:r>
                          <w:rPr>
                            <w:sz w:val="22"/>
                          </w:rPr>
                          <w:t>--</w:t>
                        </w:r>
                      </w:p>
                    </w:tc>
                    <w:tc>
                      <w:tcPr>
                        <w:tcW w:w="1426" w:type="dxa"/>
                        <w:tcBorders>
                          <w:top w:val="nil"/>
                          <w:left w:val="nil"/>
                          <w:bottom w:val="nil"/>
                          <w:right w:val="nil"/>
                        </w:tcBorders>
                      </w:tcPr>
                      <w:p>
                        <w:pPr>
                          <w:pStyle w:val="TableParagraph"/>
                          <w:spacing w:line="242" w:lineRule="exact"/>
                          <w:ind w:left="60"/>
                          <w:jc w:val="center"/>
                          <w:rPr>
                            <w:sz w:val="22"/>
                          </w:rPr>
                        </w:pPr>
                        <w:r>
                          <w:rPr>
                            <w:w w:val="100"/>
                            <w:sz w:val="22"/>
                          </w:rPr>
                          <w:t>1</w:t>
                        </w:r>
                      </w:p>
                    </w:tc>
                    <w:tc>
                      <w:tcPr>
                        <w:tcW w:w="1210" w:type="dxa"/>
                        <w:tcBorders>
                          <w:top w:val="nil"/>
                          <w:left w:val="nil"/>
                          <w:bottom w:val="nil"/>
                          <w:right w:val="nil"/>
                        </w:tcBorders>
                      </w:tcPr>
                      <w:p>
                        <w:pPr/>
                      </w:p>
                    </w:tc>
                  </w:tr>
                  <w:tr>
                    <w:trPr>
                      <w:trHeight w:val="256" w:hRule="exact"/>
                    </w:trPr>
                    <w:tc>
                      <w:tcPr>
                        <w:tcW w:w="1129" w:type="dxa"/>
                        <w:tcBorders>
                          <w:top w:val="nil"/>
                          <w:left w:val="nil"/>
                          <w:bottom w:val="nil"/>
                          <w:right w:val="nil"/>
                        </w:tcBorders>
                      </w:tcPr>
                      <w:p>
                        <w:pPr/>
                      </w:p>
                    </w:tc>
                    <w:tc>
                      <w:tcPr>
                        <w:tcW w:w="951" w:type="dxa"/>
                        <w:tcBorders>
                          <w:top w:val="nil"/>
                          <w:left w:val="nil"/>
                          <w:right w:val="nil"/>
                        </w:tcBorders>
                      </w:tcPr>
                      <w:p>
                        <w:pPr>
                          <w:pStyle w:val="TableParagraph"/>
                          <w:spacing w:line="245" w:lineRule="exact"/>
                          <w:ind w:right="329"/>
                          <w:jc w:val="right"/>
                          <w:rPr>
                            <w:sz w:val="22"/>
                          </w:rPr>
                        </w:pPr>
                        <w:r>
                          <w:rPr>
                            <w:sz w:val="22"/>
                          </w:rPr>
                          <w:t>--</w:t>
                        </w:r>
                      </w:p>
                    </w:tc>
                    <w:tc>
                      <w:tcPr>
                        <w:tcW w:w="2005" w:type="dxa"/>
                        <w:tcBorders>
                          <w:top w:val="nil"/>
                          <w:left w:val="nil"/>
                          <w:right w:val="nil"/>
                        </w:tcBorders>
                      </w:tcPr>
                      <w:p>
                        <w:pPr>
                          <w:pStyle w:val="TableParagraph"/>
                          <w:spacing w:line="245" w:lineRule="exact"/>
                          <w:ind w:left="27"/>
                          <w:jc w:val="center"/>
                          <w:rPr>
                            <w:sz w:val="22"/>
                          </w:rPr>
                        </w:pPr>
                        <w:r>
                          <w:rPr>
                            <w:w w:val="100"/>
                            <w:sz w:val="22"/>
                          </w:rPr>
                          <w:t>√</w:t>
                        </w:r>
                      </w:p>
                    </w:tc>
                    <w:tc>
                      <w:tcPr>
                        <w:tcW w:w="833" w:type="dxa"/>
                        <w:tcBorders>
                          <w:top w:val="nil"/>
                          <w:left w:val="nil"/>
                          <w:right w:val="nil"/>
                        </w:tcBorders>
                      </w:tcPr>
                      <w:p>
                        <w:pPr/>
                      </w:p>
                    </w:tc>
                    <w:tc>
                      <w:tcPr>
                        <w:tcW w:w="1383" w:type="dxa"/>
                        <w:tcBorders>
                          <w:top w:val="nil"/>
                          <w:left w:val="nil"/>
                          <w:right w:val="nil"/>
                        </w:tcBorders>
                      </w:tcPr>
                      <w:p>
                        <w:pPr/>
                      </w:p>
                    </w:tc>
                    <w:tc>
                      <w:tcPr>
                        <w:tcW w:w="1426" w:type="dxa"/>
                        <w:tcBorders>
                          <w:top w:val="nil"/>
                          <w:left w:val="nil"/>
                          <w:right w:val="nil"/>
                        </w:tcBorders>
                      </w:tcPr>
                      <w:p>
                        <w:pPr>
                          <w:pStyle w:val="TableParagraph"/>
                          <w:spacing w:line="245" w:lineRule="exact"/>
                          <w:ind w:left="60"/>
                          <w:jc w:val="center"/>
                          <w:rPr>
                            <w:sz w:val="22"/>
                          </w:rPr>
                        </w:pPr>
                        <w:r>
                          <w:rPr>
                            <w:w w:val="100"/>
                            <w:sz w:val="22"/>
                          </w:rPr>
                          <w:t>1</w:t>
                        </w:r>
                      </w:p>
                    </w:tc>
                    <w:tc>
                      <w:tcPr>
                        <w:tcW w:w="1210" w:type="dxa"/>
                        <w:tcBorders>
                          <w:top w:val="nil"/>
                          <w:left w:val="nil"/>
                          <w:bottom w:val="nil"/>
                          <w:right w:val="nil"/>
                        </w:tcBorders>
                      </w:tcPr>
                      <w:p>
                        <w:pPr/>
                      </w:p>
                    </w:tc>
                  </w:tr>
                </w:tbl>
                <w:p>
                  <w:pPr>
                    <w:pStyle w:val="BodyText"/>
                  </w:pPr>
                </w:p>
              </w:txbxContent>
            </v:textbox>
            <w10:wrap type="none"/>
          </v:shape>
        </w:pict>
      </w:r>
      <w:r>
        <w:rPr>
          <w:sz w:val="22"/>
        </w:rPr>
        <w:t>Vómito</w:t>
      </w:r>
    </w:p>
    <w:p>
      <w:pPr>
        <w:spacing w:before="73"/>
        <w:ind w:left="0" w:right="0" w:firstLine="0"/>
        <w:jc w:val="right"/>
        <w:rPr>
          <w:sz w:val="22"/>
        </w:rPr>
      </w:pPr>
      <w:r>
        <w:rPr/>
        <w:br w:type="column"/>
      </w:r>
      <w:r>
        <w:rPr>
          <w:sz w:val="22"/>
        </w:rPr>
        <w:t>Diarrea</w:t>
      </w:r>
    </w:p>
    <w:p>
      <w:pPr>
        <w:spacing w:before="73"/>
        <w:ind w:left="1457" w:right="0" w:firstLine="0"/>
        <w:jc w:val="left"/>
        <w:rPr>
          <w:sz w:val="22"/>
        </w:rPr>
      </w:pPr>
      <w:r>
        <w:rPr/>
        <w:br w:type="column"/>
      </w:r>
      <w:r>
        <w:rPr>
          <w:sz w:val="22"/>
        </w:rPr>
        <w:t>Total</w:t>
      </w:r>
    </w:p>
    <w:p>
      <w:pPr>
        <w:spacing w:after="0"/>
        <w:jc w:val="left"/>
        <w:rPr>
          <w:sz w:val="22"/>
        </w:rPr>
        <w:sectPr>
          <w:type w:val="continuous"/>
          <w:pgSz w:w="12240" w:h="15840"/>
          <w:pgMar w:top="3220" w:bottom="280" w:left="1640" w:right="1380"/>
          <w:cols w:num="3" w:equalWidth="0">
            <w:col w:w="2146" w:space="624"/>
            <w:col w:w="2180" w:space="1801"/>
            <w:col w:w="2469"/>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8"/>
        </w:rPr>
      </w:pPr>
    </w:p>
    <w:p>
      <w:pPr>
        <w:spacing w:before="0" w:after="6"/>
        <w:ind w:left="3215" w:right="3250" w:firstLine="0"/>
        <w:jc w:val="center"/>
        <w:rPr>
          <w:sz w:val="22"/>
        </w:rPr>
      </w:pPr>
      <w:r>
        <w:rPr>
          <w:sz w:val="22"/>
        </w:rPr>
        <w:t>√= Presencia; -- = Ausencia</w:t>
      </w:r>
    </w:p>
    <w:p>
      <w:pPr>
        <w:pStyle w:val="BodyText"/>
        <w:spacing w:line="20" w:lineRule="exact"/>
        <w:ind w:left="102"/>
        <w:rPr>
          <w:sz w:val="2"/>
        </w:rPr>
      </w:pPr>
      <w:r>
        <w:rPr>
          <w:sz w:val="2"/>
        </w:rPr>
        <w:pict>
          <v:group style="width:448.05pt;height:.5pt;mso-position-horizontal-relative:char;mso-position-vertical-relative:line" coordorigin="0,0" coordsize="8961,10">
            <v:line style="position:absolute" from="5,5" to="8956,5" stroked="true" strokeweight=".48004pt" strokecolor="#000000"/>
          </v:group>
        </w:pict>
      </w:r>
      <w:r>
        <w:rPr>
          <w:sz w:val="2"/>
        </w:rPr>
      </w:r>
    </w:p>
    <w:p>
      <w:pPr>
        <w:spacing w:after="0" w:line="20" w:lineRule="exact"/>
        <w:rPr>
          <w:sz w:val="2"/>
        </w:rPr>
        <w:sectPr>
          <w:type w:val="continuous"/>
          <w:pgSz w:w="12240" w:h="15840"/>
          <w:pgMar w:top="3220" w:bottom="280" w:left="1640" w:right="1380"/>
        </w:sectPr>
      </w:pPr>
    </w:p>
    <w:p>
      <w:pPr>
        <w:pStyle w:val="BodyText"/>
        <w:spacing w:before="4"/>
        <w:rPr>
          <w:sz w:val="17"/>
        </w:rPr>
      </w:pPr>
    </w:p>
    <w:p>
      <w:pPr>
        <w:pStyle w:val="Heading1"/>
        <w:numPr>
          <w:ilvl w:val="1"/>
          <w:numId w:val="1"/>
        </w:numPr>
        <w:tabs>
          <w:tab w:pos="557" w:val="left" w:leader="none"/>
        </w:tabs>
        <w:spacing w:line="240" w:lineRule="auto" w:before="69" w:after="0"/>
        <w:ind w:left="556" w:right="0" w:hanging="404"/>
        <w:jc w:val="both"/>
      </w:pPr>
      <w:r>
        <w:rPr/>
        <w:t>PCR</w:t>
      </w:r>
    </w:p>
    <w:p>
      <w:pPr>
        <w:pStyle w:val="BodyText"/>
        <w:spacing w:before="3"/>
        <w:rPr>
          <w:b/>
          <w:sz w:val="30"/>
        </w:rPr>
      </w:pPr>
    </w:p>
    <w:p>
      <w:pPr>
        <w:pStyle w:val="BodyText"/>
        <w:spacing w:line="357" w:lineRule="auto"/>
        <w:ind w:left="152" w:right="142"/>
        <w:jc w:val="both"/>
      </w:pPr>
      <w:r>
        <w:rPr/>
        <w:t>Se obtuvieron amplificaciones de 275 pb utilizando los iniciadores ParvoINT2FB y Parvo INT2CR (Figura 3). Las muestras que no logran ser visualizadas mediante PCR simple, lograron resolverse utilizando PCR anidada (Figura 4).</w:t>
      </w:r>
    </w:p>
    <w:p>
      <w:pPr>
        <w:pStyle w:val="BodyText"/>
        <w:spacing w:before="2"/>
        <w:rPr>
          <w:sz w:val="18"/>
        </w:rPr>
      </w:pPr>
      <w:r>
        <w:rPr/>
        <w:drawing>
          <wp:anchor distT="0" distB="0" distL="0" distR="0" allowOverlap="1" layoutInCell="1" locked="0" behindDoc="0" simplePos="0" relativeHeight="1528">
            <wp:simplePos x="0" y="0"/>
            <wp:positionH relativeFrom="page">
              <wp:posOffset>2517775</wp:posOffset>
            </wp:positionH>
            <wp:positionV relativeFrom="paragraph">
              <wp:posOffset>157962</wp:posOffset>
            </wp:positionV>
            <wp:extent cx="2946549" cy="2112264"/>
            <wp:effectExtent l="0" t="0" r="0" b="0"/>
            <wp:wrapTopAndBottom/>
            <wp:docPr id="33" name="image9.png" descr=""/>
            <wp:cNvGraphicFramePr>
              <a:graphicFrameLocks noChangeAspect="1"/>
            </wp:cNvGraphicFramePr>
            <a:graphic>
              <a:graphicData uri="http://schemas.openxmlformats.org/drawingml/2006/picture">
                <pic:pic>
                  <pic:nvPicPr>
                    <pic:cNvPr id="34" name="image9.png"/>
                    <pic:cNvPicPr/>
                  </pic:nvPicPr>
                  <pic:blipFill>
                    <a:blip r:embed="rId32" cstate="print"/>
                    <a:stretch>
                      <a:fillRect/>
                    </a:stretch>
                  </pic:blipFill>
                  <pic:spPr>
                    <a:xfrm>
                      <a:off x="0" y="0"/>
                      <a:ext cx="2946549" cy="2112264"/>
                    </a:xfrm>
                    <a:prstGeom prst="rect">
                      <a:avLst/>
                    </a:prstGeom>
                  </pic:spPr>
                </pic:pic>
              </a:graphicData>
            </a:graphic>
          </wp:anchor>
        </w:drawing>
      </w:r>
    </w:p>
    <w:p>
      <w:pPr>
        <w:spacing w:before="160"/>
        <w:ind w:left="815" w:right="802" w:firstLine="0"/>
        <w:jc w:val="both"/>
        <w:rPr>
          <w:sz w:val="20"/>
        </w:rPr>
      </w:pPr>
      <w:r>
        <w:rPr>
          <w:sz w:val="20"/>
        </w:rPr>
        <w:t>Figura 3. Gel de agarosa 2x PCR simple utilizando iniciadores ParvoINT2FB y Parvo INT2CR, en los carriles 3,5,7 se observa la amplifican del fragmento de 275 pb el carril 9 presenta una muestra que no puede ser resulta mediante PCR simple.</w:t>
      </w:r>
    </w:p>
    <w:p>
      <w:pPr>
        <w:pStyle w:val="BodyText"/>
        <w:rPr>
          <w:sz w:val="20"/>
        </w:rPr>
      </w:pPr>
    </w:p>
    <w:p>
      <w:pPr>
        <w:pStyle w:val="BodyText"/>
        <w:spacing w:before="1"/>
        <w:rPr>
          <w:sz w:val="21"/>
        </w:rPr>
      </w:pPr>
      <w:r>
        <w:rPr/>
        <w:drawing>
          <wp:anchor distT="0" distB="0" distL="0" distR="0" allowOverlap="1" layoutInCell="1" locked="0" behindDoc="0" simplePos="0" relativeHeight="1552">
            <wp:simplePos x="0" y="0"/>
            <wp:positionH relativeFrom="page">
              <wp:posOffset>2710560</wp:posOffset>
            </wp:positionH>
            <wp:positionV relativeFrom="paragraph">
              <wp:posOffset>179093</wp:posOffset>
            </wp:positionV>
            <wp:extent cx="2729768" cy="1991106"/>
            <wp:effectExtent l="0" t="0" r="0" b="0"/>
            <wp:wrapTopAndBottom/>
            <wp:docPr id="35" name="image10.png" descr=""/>
            <wp:cNvGraphicFramePr>
              <a:graphicFrameLocks noChangeAspect="1"/>
            </wp:cNvGraphicFramePr>
            <a:graphic>
              <a:graphicData uri="http://schemas.openxmlformats.org/drawingml/2006/picture">
                <pic:pic>
                  <pic:nvPicPr>
                    <pic:cNvPr id="36" name="image10.png"/>
                    <pic:cNvPicPr/>
                  </pic:nvPicPr>
                  <pic:blipFill>
                    <a:blip r:embed="rId33" cstate="print"/>
                    <a:stretch>
                      <a:fillRect/>
                    </a:stretch>
                  </pic:blipFill>
                  <pic:spPr>
                    <a:xfrm>
                      <a:off x="0" y="0"/>
                      <a:ext cx="2729768" cy="1991106"/>
                    </a:xfrm>
                    <a:prstGeom prst="rect">
                      <a:avLst/>
                    </a:prstGeom>
                  </pic:spPr>
                </pic:pic>
              </a:graphicData>
            </a:graphic>
          </wp:anchor>
        </w:drawing>
      </w:r>
    </w:p>
    <w:p>
      <w:pPr>
        <w:pStyle w:val="BodyText"/>
        <w:rPr>
          <w:sz w:val="20"/>
        </w:rPr>
      </w:pPr>
    </w:p>
    <w:p>
      <w:pPr>
        <w:pStyle w:val="BodyText"/>
        <w:spacing w:before="9"/>
        <w:rPr>
          <w:sz w:val="17"/>
        </w:rPr>
      </w:pPr>
    </w:p>
    <w:p>
      <w:pPr>
        <w:spacing w:before="76"/>
        <w:ind w:left="815" w:right="558" w:firstLine="0"/>
        <w:jc w:val="both"/>
        <w:rPr>
          <w:sz w:val="20"/>
        </w:rPr>
      </w:pPr>
      <w:r>
        <w:rPr>
          <w:sz w:val="20"/>
        </w:rPr>
        <w:t>Figura 4. Gel de agarosa 2x PCR anidada utilizando iniciadores ParvoINT2FB y Parvo INT2CR, y como templado 1µl del amplificado de los iniciadores ParvoExt1F y ParvoExt3R. En los carriles 2, 4, 6,8 se observa la amplifican del fragmento de 275 pb usando los templados de la figura 3.</w:t>
      </w:r>
    </w:p>
    <w:p>
      <w:pPr>
        <w:spacing w:after="0"/>
        <w:jc w:val="both"/>
        <w:rPr>
          <w:sz w:val="20"/>
        </w:rPr>
        <w:sectPr>
          <w:pgSz w:w="12240" w:h="15840"/>
          <w:pgMar w:header="1154" w:footer="1713" w:top="1520" w:bottom="1900" w:left="1720" w:right="1380"/>
        </w:sectPr>
      </w:pPr>
    </w:p>
    <w:p>
      <w:pPr>
        <w:pStyle w:val="BodyText"/>
        <w:spacing w:before="9"/>
        <w:rPr>
          <w:sz w:val="17"/>
        </w:rPr>
      </w:pPr>
    </w:p>
    <w:p>
      <w:pPr>
        <w:pStyle w:val="Heading1"/>
        <w:numPr>
          <w:ilvl w:val="1"/>
          <w:numId w:val="1"/>
        </w:numPr>
        <w:tabs>
          <w:tab w:pos="557" w:val="left" w:leader="none"/>
        </w:tabs>
        <w:spacing w:line="240" w:lineRule="auto" w:before="69" w:after="0"/>
        <w:ind w:left="556" w:right="0" w:hanging="404"/>
        <w:jc w:val="left"/>
      </w:pPr>
      <w:r>
        <w:rPr/>
        <w:t>Inmunocromatografía</w:t>
      </w:r>
    </w:p>
    <w:p>
      <w:pPr>
        <w:pStyle w:val="BodyText"/>
        <w:rPr>
          <w:b/>
        </w:rPr>
      </w:pPr>
    </w:p>
    <w:p>
      <w:pPr>
        <w:pStyle w:val="BodyText"/>
        <w:rPr>
          <w:b/>
        </w:rPr>
      </w:pPr>
    </w:p>
    <w:p>
      <w:pPr>
        <w:pStyle w:val="BodyText"/>
        <w:spacing w:line="360" w:lineRule="auto" w:before="204"/>
        <w:ind w:left="152" w:right="149"/>
        <w:jc w:val="both"/>
      </w:pPr>
      <w:r>
        <w:rPr/>
        <w:t>Los 60 pacientes fueron analizados por las dos marcas de pruebas rápidas de inmunocromatografía (Figura 5). La técnica de Anigen mostro una sensibilidad del 62% y una especificidad del 100% y la técnica de IDEXX mostro una sensibilidad del 48% y una especificidad del 100%.</w:t>
      </w:r>
    </w:p>
    <w:p>
      <w:pPr>
        <w:pStyle w:val="BodyText"/>
        <w:rPr>
          <w:sz w:val="20"/>
        </w:rPr>
      </w:pPr>
    </w:p>
    <w:p>
      <w:pPr>
        <w:pStyle w:val="BodyText"/>
        <w:rPr>
          <w:sz w:val="20"/>
        </w:rPr>
      </w:pPr>
    </w:p>
    <w:p>
      <w:pPr>
        <w:pStyle w:val="BodyText"/>
        <w:spacing w:before="5"/>
        <w:rPr>
          <w:sz w:val="28"/>
        </w:rPr>
      </w:pPr>
      <w:r>
        <w:rPr/>
        <w:pict>
          <v:group style="position:absolute;margin-left:113.169998pt;margin-top:18.325874pt;width:191.5pt;height:113.7pt;mso-position-horizontal-relative:page;mso-position-vertical-relative:paragraph;z-index:1600;mso-wrap-distance-left:0;mso-wrap-distance-right:0" coordorigin="2263,367" coordsize="3830,2274">
            <v:shape style="position:absolute;left:2263;top:367;width:3830;height:2273" type="#_x0000_t75" stroked="false">
              <v:imagedata r:id="rId34" o:title=""/>
            </v:shape>
            <v:shape style="position:absolute;left:2521;top:495;width:128;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A</w:t>
                    </w:r>
                  </w:p>
                </w:txbxContent>
              </v:textbox>
              <w10:wrap type="none"/>
            </v:shape>
            <w10:wrap type="topAndBottom"/>
          </v:group>
        </w:pict>
      </w:r>
      <w:r>
        <w:rPr/>
        <w:pict>
          <v:group style="position:absolute;margin-left:316.950012pt;margin-top:18.325874pt;width:177.5pt;height:108.7pt;mso-position-horizontal-relative:page;mso-position-vertical-relative:paragraph;z-index:1648;mso-wrap-distance-left:0;mso-wrap-distance-right:0" coordorigin="6339,367" coordsize="3550,2174">
            <v:shape style="position:absolute;left:6339;top:367;width:3550;height:2173" type="#_x0000_t75" stroked="false">
              <v:imagedata r:id="rId35" o:title=""/>
            </v:shape>
            <v:shape style="position:absolute;left:6526;top:524;width:121;height:221" type="#_x0000_t202" filled="false" stroked="false">
              <v:textbox inset="0,0,0,0">
                <w:txbxContent>
                  <w:p>
                    <w:pPr>
                      <w:spacing w:line="221" w:lineRule="exact" w:before="0"/>
                      <w:ind w:left="0" w:right="0" w:firstLine="0"/>
                      <w:jc w:val="left"/>
                      <w:rPr>
                        <w:rFonts w:ascii="Calibri"/>
                        <w:sz w:val="22"/>
                      </w:rPr>
                    </w:pPr>
                    <w:r>
                      <w:rPr>
                        <w:rFonts w:ascii="Calibri"/>
                        <w:w w:val="100"/>
                        <w:sz w:val="22"/>
                      </w:rPr>
                      <w:t>B</w:t>
                    </w:r>
                  </w:p>
                </w:txbxContent>
              </v:textbox>
              <w10:wrap type="none"/>
            </v:shape>
            <w10:wrap type="topAndBottom"/>
          </v:group>
        </w:pict>
      </w:r>
    </w:p>
    <w:p>
      <w:pPr>
        <w:spacing w:before="104"/>
        <w:ind w:left="513" w:right="153" w:firstLine="0"/>
        <w:jc w:val="left"/>
        <w:rPr>
          <w:sz w:val="20"/>
        </w:rPr>
      </w:pPr>
      <w:r>
        <w:rPr>
          <w:sz w:val="20"/>
        </w:rPr>
        <w:t>Figura 5. A Resultados positivo y negativos de la prueba de inmunocromatografía marca IDEXX. B marca Anigen.</w:t>
      </w:r>
    </w:p>
    <w:p>
      <w:pPr>
        <w:pStyle w:val="BodyText"/>
        <w:rPr>
          <w:sz w:val="20"/>
        </w:rPr>
      </w:pPr>
    </w:p>
    <w:p>
      <w:pPr>
        <w:pStyle w:val="BodyText"/>
        <w:rPr>
          <w:sz w:val="20"/>
        </w:rPr>
      </w:pPr>
    </w:p>
    <w:p>
      <w:pPr>
        <w:pStyle w:val="BodyText"/>
        <w:spacing w:before="9"/>
      </w:pPr>
    </w:p>
    <w:p>
      <w:pPr>
        <w:pStyle w:val="Heading1"/>
        <w:numPr>
          <w:ilvl w:val="1"/>
          <w:numId w:val="1"/>
        </w:numPr>
        <w:tabs>
          <w:tab w:pos="581" w:val="left" w:leader="none"/>
        </w:tabs>
        <w:spacing w:line="240" w:lineRule="auto" w:before="0" w:after="0"/>
        <w:ind w:left="580" w:right="0" w:hanging="428"/>
        <w:jc w:val="left"/>
      </w:pPr>
      <w:r>
        <w:rPr/>
        <w:t>Excreción de partículas virales</w:t>
      </w:r>
      <w:r>
        <w:rPr>
          <w:spacing w:val="-25"/>
        </w:rPr>
        <w:t> </w:t>
      </w:r>
      <w:r>
        <w:rPr/>
        <w:t>vacunales</w:t>
      </w:r>
    </w:p>
    <w:p>
      <w:pPr>
        <w:pStyle w:val="BodyText"/>
        <w:rPr>
          <w:b/>
        </w:rPr>
      </w:pPr>
    </w:p>
    <w:p>
      <w:pPr>
        <w:pStyle w:val="BodyText"/>
        <w:rPr>
          <w:b/>
          <w:sz w:val="25"/>
        </w:rPr>
      </w:pPr>
    </w:p>
    <w:p>
      <w:pPr>
        <w:pStyle w:val="BodyText"/>
        <w:spacing w:line="360" w:lineRule="auto" w:before="1"/>
        <w:ind w:left="152" w:right="153"/>
      </w:pPr>
      <w:r>
        <w:rPr/>
        <w:t>Las 3 pacientes fueron vacunadas y se evaluó la eliminación de partículas virales vacunales durante un periodo de 25 días utilizando las técnicas de PCR simple y PCR anidada, durante este periodo se evaluó la presencia de anticuerpos post vacunación mediante la técnica de inmunocromatografía de anticuerpos usando la marca Anigen Ab Parvo. Se evaluó la eliminación de partículas virales durante 25 días, la técnica de PCR anidada logro realizar la detección desde el día 7 post vacunación hasta el día 15. Los títulos de anticuerpos presentados por las pacientes fueron elevados a medios hasta el día 25 post vacunación (Tabla 4).</w:t>
      </w:r>
    </w:p>
    <w:p>
      <w:pPr>
        <w:spacing w:after="0" w:line="360" w:lineRule="auto"/>
        <w:sectPr>
          <w:pgSz w:w="12240" w:h="15840"/>
          <w:pgMar w:header="1154" w:footer="1713" w:top="1520" w:bottom="1900" w:left="1720" w:right="1380"/>
        </w:sectPr>
      </w:pPr>
    </w:p>
    <w:p>
      <w:pPr>
        <w:pStyle w:val="BodyText"/>
        <w:spacing w:before="6"/>
        <w:rPr>
          <w:sz w:val="19"/>
        </w:rPr>
      </w:pPr>
    </w:p>
    <w:p>
      <w:pPr>
        <w:spacing w:line="250" w:lineRule="exact" w:before="79"/>
        <w:ind w:left="152" w:right="153" w:firstLine="0"/>
        <w:jc w:val="left"/>
        <w:rPr>
          <w:sz w:val="22"/>
        </w:rPr>
      </w:pPr>
      <w:r>
        <w:rPr>
          <w:sz w:val="22"/>
        </w:rPr>
        <w:t>Tabla 4. Eliminación de partículas virales vacunales evaluadas por la técnica de PCR y PCR anidado</w:t>
      </w:r>
    </w:p>
    <w:p>
      <w:pPr>
        <w:pStyle w:val="BodyText"/>
        <w:rPr>
          <w:sz w:val="21"/>
        </w:rPr>
      </w:pPr>
      <w:r>
        <w:rPr/>
        <w:drawing>
          <wp:anchor distT="0" distB="0" distL="0" distR="0" allowOverlap="1" layoutInCell="1" locked="0" behindDoc="0" simplePos="0" relativeHeight="1672">
            <wp:simplePos x="0" y="0"/>
            <wp:positionH relativeFrom="page">
              <wp:posOffset>1188085</wp:posOffset>
            </wp:positionH>
            <wp:positionV relativeFrom="paragraph">
              <wp:posOffset>178307</wp:posOffset>
            </wp:positionV>
            <wp:extent cx="5336825" cy="2474976"/>
            <wp:effectExtent l="0" t="0" r="0" b="0"/>
            <wp:wrapTopAndBottom/>
            <wp:docPr id="37" name="image13.png" descr=""/>
            <wp:cNvGraphicFramePr>
              <a:graphicFrameLocks noChangeAspect="1"/>
            </wp:cNvGraphicFramePr>
            <a:graphic>
              <a:graphicData uri="http://schemas.openxmlformats.org/drawingml/2006/picture">
                <pic:pic>
                  <pic:nvPicPr>
                    <pic:cNvPr id="38" name="image13.png"/>
                    <pic:cNvPicPr/>
                  </pic:nvPicPr>
                  <pic:blipFill>
                    <a:blip r:embed="rId36" cstate="print"/>
                    <a:stretch>
                      <a:fillRect/>
                    </a:stretch>
                  </pic:blipFill>
                  <pic:spPr>
                    <a:xfrm>
                      <a:off x="0" y="0"/>
                      <a:ext cx="5336825" cy="2474976"/>
                    </a:xfrm>
                    <a:prstGeom prst="rect">
                      <a:avLst/>
                    </a:prstGeom>
                  </pic:spPr>
                </pic:pic>
              </a:graphicData>
            </a:graphic>
          </wp:anchor>
        </w:drawing>
      </w:r>
    </w:p>
    <w:p>
      <w:pPr>
        <w:pStyle w:val="BodyText"/>
        <w:rPr>
          <w:sz w:val="22"/>
        </w:rPr>
      </w:pPr>
    </w:p>
    <w:p>
      <w:pPr>
        <w:pStyle w:val="BodyText"/>
        <w:spacing w:before="1"/>
        <w:rPr>
          <w:sz w:val="19"/>
        </w:rPr>
      </w:pPr>
    </w:p>
    <w:p>
      <w:pPr>
        <w:pStyle w:val="Heading1"/>
        <w:numPr>
          <w:ilvl w:val="1"/>
          <w:numId w:val="1"/>
        </w:numPr>
        <w:tabs>
          <w:tab w:pos="556" w:val="left" w:leader="none"/>
        </w:tabs>
        <w:spacing w:line="240" w:lineRule="auto" w:before="0" w:after="0"/>
        <w:ind w:left="555" w:right="0" w:hanging="403"/>
        <w:jc w:val="both"/>
      </w:pPr>
      <w:r>
        <w:rPr/>
        <w:t>Desafío con virus de</w:t>
      </w:r>
      <w:r>
        <w:rPr>
          <w:spacing w:val="-17"/>
        </w:rPr>
        <w:t> </w:t>
      </w:r>
      <w:r>
        <w:rPr/>
        <w:t>campo</w:t>
      </w:r>
    </w:p>
    <w:p>
      <w:pPr>
        <w:pStyle w:val="BodyText"/>
        <w:spacing w:before="10"/>
        <w:rPr>
          <w:b/>
          <w:sz w:val="21"/>
        </w:rPr>
      </w:pPr>
    </w:p>
    <w:p>
      <w:pPr>
        <w:pStyle w:val="BodyText"/>
        <w:spacing w:line="360" w:lineRule="auto" w:before="1"/>
        <w:ind w:left="152" w:right="148"/>
        <w:jc w:val="both"/>
      </w:pPr>
      <w:r>
        <w:rPr/>
        <w:t>Las pacientes fueron valoradas durante un periodo de 16 días post infección y </w:t>
      </w:r>
      <w:r>
        <w:rPr>
          <w:spacing w:val="-3"/>
        </w:rPr>
        <w:t>se </w:t>
      </w:r>
      <w:r>
        <w:rPr/>
        <w:t>realizó la evaluación de sus constantes fisiológicas así como hemogramas seriados para evaluar el estado general de las pacientes. El  día 3 post infección  la paciente 3 mostro leucopenia y linfopenia, en los día 4 y 5 se observó cambio  en la consistencia de las heces, el día 6 post infección las tres pacientes  mostraron leucopenia y neutropenia, para el día 10 solo la paciente 3 mostraba leucopenia y no se observó recuperación por lo tanto se decidió realizar la eutanasia (Tabla</w:t>
      </w:r>
      <w:r>
        <w:rPr>
          <w:spacing w:val="-10"/>
        </w:rPr>
        <w:t> </w:t>
      </w:r>
      <w:r>
        <w:rPr/>
        <w:t>5,6).</w:t>
      </w:r>
    </w:p>
    <w:p>
      <w:pPr>
        <w:pStyle w:val="BodyText"/>
        <w:spacing w:line="360" w:lineRule="auto" w:before="209"/>
        <w:ind w:left="152" w:right="147"/>
        <w:jc w:val="both"/>
      </w:pPr>
      <w:r>
        <w:rPr/>
        <w:t>Las pruebas de inmunocromatografía no pudieron detectar a las pacientes como positivas a la infección por PVC-2. PCR simple solo detecto a las pacientes positivas durante el día 2 y 4 pero PCR aninada logro detectar partículas virales de la cepa de campo utilizada desde  el día 2 hasta el día 15 post infección (Tabla 7).</w:t>
      </w:r>
    </w:p>
    <w:p>
      <w:pPr>
        <w:spacing w:after="0" w:line="360" w:lineRule="auto"/>
        <w:jc w:val="both"/>
        <w:sectPr>
          <w:pgSz w:w="12240" w:h="15840"/>
          <w:pgMar w:header="1154" w:footer="1713" w:top="1520" w:bottom="1900" w:left="1720" w:right="1380"/>
        </w:sectPr>
      </w:pPr>
    </w:p>
    <w:p>
      <w:pPr>
        <w:pStyle w:val="BodyText"/>
        <w:spacing w:before="2"/>
        <w:rPr>
          <w:sz w:val="18"/>
        </w:rPr>
      </w:pPr>
    </w:p>
    <w:p>
      <w:pPr>
        <w:pStyle w:val="BodyText"/>
        <w:spacing w:line="357" w:lineRule="auto" w:before="70"/>
        <w:ind w:left="152" w:right="145"/>
        <w:jc w:val="both"/>
      </w:pPr>
      <w:r>
        <w:rPr/>
        <w:t>Las muestras de tejido linfoide tomadas a la paciente durante la necropsia fueron procesadas por PCR simple, para evaluar la replicación viral en pacientes inmunizadas y que contaban con anticuerpos protectores contra el virus (Figura 6).</w:t>
      </w:r>
    </w:p>
    <w:p>
      <w:pPr>
        <w:pStyle w:val="BodyText"/>
        <w:spacing w:before="5"/>
        <w:rPr>
          <w:sz w:val="15"/>
        </w:rPr>
      </w:pPr>
      <w:r>
        <w:rPr/>
        <w:drawing>
          <wp:anchor distT="0" distB="0" distL="0" distR="0" allowOverlap="1" layoutInCell="1" locked="0" behindDoc="0" simplePos="0" relativeHeight="1696">
            <wp:simplePos x="0" y="0"/>
            <wp:positionH relativeFrom="page">
              <wp:posOffset>2427223</wp:posOffset>
            </wp:positionH>
            <wp:positionV relativeFrom="paragraph">
              <wp:posOffset>137515</wp:posOffset>
            </wp:positionV>
            <wp:extent cx="3135057" cy="2090927"/>
            <wp:effectExtent l="0" t="0" r="0" b="0"/>
            <wp:wrapTopAndBottom/>
            <wp:docPr id="39" name="image14.png" descr=""/>
            <wp:cNvGraphicFramePr>
              <a:graphicFrameLocks noChangeAspect="1"/>
            </wp:cNvGraphicFramePr>
            <a:graphic>
              <a:graphicData uri="http://schemas.openxmlformats.org/drawingml/2006/picture">
                <pic:pic>
                  <pic:nvPicPr>
                    <pic:cNvPr id="40" name="image14.png"/>
                    <pic:cNvPicPr/>
                  </pic:nvPicPr>
                  <pic:blipFill>
                    <a:blip r:embed="rId37" cstate="print"/>
                    <a:stretch>
                      <a:fillRect/>
                    </a:stretch>
                  </pic:blipFill>
                  <pic:spPr>
                    <a:xfrm>
                      <a:off x="0" y="0"/>
                      <a:ext cx="3135057" cy="2090927"/>
                    </a:xfrm>
                    <a:prstGeom prst="rect">
                      <a:avLst/>
                    </a:prstGeom>
                  </pic:spPr>
                </pic:pic>
              </a:graphicData>
            </a:graphic>
          </wp:anchor>
        </w:drawing>
      </w:r>
    </w:p>
    <w:p>
      <w:pPr>
        <w:spacing w:before="197"/>
        <w:ind w:left="930" w:right="921" w:firstLine="0"/>
        <w:jc w:val="both"/>
        <w:rPr>
          <w:sz w:val="20"/>
        </w:rPr>
      </w:pPr>
      <w:r>
        <w:rPr>
          <w:sz w:val="20"/>
        </w:rPr>
        <w:t>Figura 6. Gel de agarosa 2x PCR simple utilizando iniciadores ParvoINT2FB y Parvo INT2CR amplifican un fragmento de 275 pb muestras de tejido. Carril 1. Medula ósea, 2 Intestino delgado,3 Ganglio linfático, 4 Bazo, 5 Timo, 6 Agua purificada, 7  Control positivo,  8 Control  negativo reactivo</w:t>
      </w:r>
    </w:p>
    <w:p>
      <w:pPr>
        <w:spacing w:after="0"/>
        <w:jc w:val="both"/>
        <w:rPr>
          <w:sz w:val="20"/>
        </w:rPr>
        <w:sectPr>
          <w:pgSz w:w="12240" w:h="15840"/>
          <w:pgMar w:header="1154" w:footer="1713" w:top="1520" w:bottom="1900" w:left="1720" w:right="1380"/>
        </w:sectPr>
      </w:pPr>
    </w:p>
    <w:p>
      <w:pPr>
        <w:pStyle w:val="BodyText"/>
        <w:rPr>
          <w:rFonts w:ascii="Times New Roman"/>
          <w:sz w:val="20"/>
        </w:rPr>
      </w:pPr>
      <w:r>
        <w:rPr/>
        <w:pict>
          <v:shape style="position:absolute;margin-left:128.584122pt;margin-top:89.613762pt;width:27.95pt;height:543.3pt;mso-position-horizontal-relative:page;mso-position-vertical-relative:page;z-index:1720" type="#_x0000_t202" filled="false" stroked="false">
            <v:textbox inset="0,0,0,0" style="layout-flow:vertical;mso-layout-flow-alt:bottom-to-top">
              <w:txbxContent>
                <w:p>
                  <w:pPr>
                    <w:spacing w:line="283" w:lineRule="auto" w:before="0"/>
                    <w:ind w:left="20" w:right="18" w:firstLine="0"/>
                    <w:jc w:val="left"/>
                    <w:rPr>
                      <w:sz w:val="22"/>
                    </w:rPr>
                  </w:pPr>
                  <w:r>
                    <w:rPr>
                      <w:w w:val="100"/>
                      <w:sz w:val="22"/>
                    </w:rPr>
                    <w:t>T</w:t>
                  </w:r>
                  <w:r>
                    <w:rPr>
                      <w:spacing w:val="1"/>
                      <w:w w:val="100"/>
                      <w:sz w:val="22"/>
                    </w:rPr>
                    <w:t>a</w:t>
                  </w:r>
                  <w:r>
                    <w:rPr>
                      <w:spacing w:val="1"/>
                      <w:w w:val="100"/>
                      <w:sz w:val="22"/>
                    </w:rPr>
                    <w:t>b</w:t>
                  </w:r>
                  <w:r>
                    <w:rPr>
                      <w:spacing w:val="-2"/>
                      <w:w w:val="100"/>
                      <w:sz w:val="22"/>
                    </w:rPr>
                    <w:t>l</w:t>
                  </w:r>
                  <w:r>
                    <w:rPr>
                      <w:w w:val="100"/>
                      <w:sz w:val="22"/>
                    </w:rPr>
                    <w:t>a</w:t>
                  </w:r>
                  <w:r>
                    <w:rPr>
                      <w:spacing w:val="-2"/>
                      <w:sz w:val="22"/>
                    </w:rPr>
                    <w:t> </w:t>
                  </w:r>
                  <w:r>
                    <w:rPr>
                      <w:spacing w:val="3"/>
                      <w:w w:val="100"/>
                      <w:sz w:val="22"/>
                    </w:rPr>
                    <w:t>5</w:t>
                  </w:r>
                  <w:r>
                    <w:rPr>
                      <w:w w:val="100"/>
                      <w:sz w:val="22"/>
                    </w:rPr>
                    <w:t>.</w:t>
                  </w:r>
                  <w:r>
                    <w:rPr>
                      <w:sz w:val="22"/>
                    </w:rPr>
                    <w:t> </w:t>
                  </w:r>
                  <w:r>
                    <w:rPr>
                      <w:spacing w:val="-2"/>
                      <w:sz w:val="22"/>
                    </w:rPr>
                    <w:t> </w:t>
                  </w:r>
                  <w:r>
                    <w:rPr>
                      <w:spacing w:val="1"/>
                      <w:w w:val="100"/>
                      <w:sz w:val="22"/>
                    </w:rPr>
                    <w:t>S</w:t>
                  </w:r>
                  <w:r>
                    <w:rPr>
                      <w:spacing w:val="-6"/>
                      <w:w w:val="100"/>
                      <w:sz w:val="22"/>
                    </w:rPr>
                    <w:t>i</w:t>
                  </w:r>
                  <w:r>
                    <w:rPr>
                      <w:spacing w:val="1"/>
                      <w:w w:val="100"/>
                      <w:sz w:val="22"/>
                    </w:rPr>
                    <w:t>g</w:t>
                  </w:r>
                  <w:r>
                    <w:rPr>
                      <w:spacing w:val="-3"/>
                      <w:w w:val="100"/>
                      <w:sz w:val="22"/>
                    </w:rPr>
                    <w:t>n</w:t>
                  </w:r>
                  <w:r>
                    <w:rPr>
                      <w:spacing w:val="1"/>
                      <w:w w:val="100"/>
                      <w:sz w:val="22"/>
                    </w:rPr>
                    <w:t>o</w:t>
                  </w:r>
                  <w:r>
                    <w:rPr>
                      <w:w w:val="100"/>
                      <w:sz w:val="22"/>
                    </w:rPr>
                    <w:t>s</w:t>
                  </w:r>
                  <w:r>
                    <w:rPr>
                      <w:spacing w:val="1"/>
                      <w:sz w:val="22"/>
                    </w:rPr>
                    <w:t> </w:t>
                  </w:r>
                  <w:r>
                    <w:rPr>
                      <w:w w:val="100"/>
                      <w:sz w:val="22"/>
                    </w:rPr>
                    <w:t>c</w:t>
                  </w:r>
                  <w:r>
                    <w:rPr>
                      <w:spacing w:val="-2"/>
                      <w:w w:val="100"/>
                      <w:sz w:val="22"/>
                    </w:rPr>
                    <w:t>l</w:t>
                  </w:r>
                  <w:r>
                    <w:rPr>
                      <w:spacing w:val="-4"/>
                      <w:w w:val="100"/>
                      <w:sz w:val="22"/>
                    </w:rPr>
                    <w:t>í</w:t>
                  </w:r>
                  <w:r>
                    <w:rPr>
                      <w:spacing w:val="1"/>
                      <w:w w:val="100"/>
                      <w:sz w:val="22"/>
                    </w:rPr>
                    <w:t>n</w:t>
                  </w:r>
                  <w:r>
                    <w:rPr>
                      <w:spacing w:val="-2"/>
                      <w:w w:val="100"/>
                      <w:sz w:val="22"/>
                    </w:rPr>
                    <w:t>i</w:t>
                  </w:r>
                  <w:r>
                    <w:rPr>
                      <w:w w:val="100"/>
                      <w:sz w:val="22"/>
                    </w:rPr>
                    <w:t>c</w:t>
                  </w:r>
                  <w:r>
                    <w:rPr>
                      <w:spacing w:val="1"/>
                      <w:w w:val="100"/>
                      <w:sz w:val="22"/>
                    </w:rPr>
                    <w:t>o</w:t>
                  </w:r>
                  <w:r>
                    <w:rPr>
                      <w:w w:val="100"/>
                      <w:sz w:val="22"/>
                    </w:rPr>
                    <w:t>s</w:t>
                  </w:r>
                  <w:r>
                    <w:rPr>
                      <w:spacing w:val="-4"/>
                      <w:sz w:val="22"/>
                    </w:rPr>
                    <w:t> </w:t>
                  </w:r>
                  <w:r>
                    <w:rPr>
                      <w:w w:val="100"/>
                      <w:sz w:val="22"/>
                    </w:rPr>
                    <w:t>y</w:t>
                  </w:r>
                  <w:r>
                    <w:rPr>
                      <w:spacing w:val="1"/>
                      <w:sz w:val="22"/>
                    </w:rPr>
                    <w:t> </w:t>
                  </w:r>
                  <w:r>
                    <w:rPr>
                      <w:spacing w:val="-5"/>
                      <w:w w:val="100"/>
                      <w:sz w:val="22"/>
                    </w:rPr>
                    <w:t>c</w:t>
                  </w:r>
                  <w:r>
                    <w:rPr>
                      <w:spacing w:val="1"/>
                      <w:w w:val="100"/>
                      <w:sz w:val="22"/>
                    </w:rPr>
                    <w:t>a</w:t>
                  </w:r>
                  <w:r>
                    <w:rPr>
                      <w:spacing w:val="-2"/>
                      <w:w w:val="100"/>
                      <w:sz w:val="22"/>
                    </w:rPr>
                    <w:t>m</w:t>
                  </w:r>
                  <w:r>
                    <w:rPr>
                      <w:spacing w:val="1"/>
                      <w:w w:val="100"/>
                      <w:sz w:val="22"/>
                    </w:rPr>
                    <w:t>b</w:t>
                  </w:r>
                  <w:r>
                    <w:rPr>
                      <w:spacing w:val="-2"/>
                      <w:w w:val="100"/>
                      <w:sz w:val="22"/>
                    </w:rPr>
                    <w:t>i</w:t>
                  </w:r>
                  <w:r>
                    <w:rPr>
                      <w:spacing w:val="1"/>
                      <w:w w:val="100"/>
                      <w:sz w:val="22"/>
                    </w:rPr>
                    <w:t>o</w:t>
                  </w:r>
                  <w:r>
                    <w:rPr>
                      <w:w w:val="100"/>
                      <w:sz w:val="22"/>
                    </w:rPr>
                    <w:t>s</w:t>
                  </w:r>
                  <w:r>
                    <w:rPr>
                      <w:spacing w:val="-4"/>
                      <w:sz w:val="22"/>
                    </w:rPr>
                    <w:t> </w:t>
                  </w:r>
                  <w:r>
                    <w:rPr>
                      <w:spacing w:val="-3"/>
                      <w:w w:val="100"/>
                      <w:sz w:val="22"/>
                    </w:rPr>
                    <w:t>e</w:t>
                  </w:r>
                  <w:r>
                    <w:rPr>
                      <w:w w:val="100"/>
                      <w:sz w:val="22"/>
                    </w:rPr>
                    <w:t>n</w:t>
                  </w:r>
                  <w:r>
                    <w:rPr>
                      <w:spacing w:val="2"/>
                      <w:sz w:val="22"/>
                    </w:rPr>
                    <w:t> </w:t>
                  </w:r>
                  <w:r>
                    <w:rPr>
                      <w:spacing w:val="1"/>
                      <w:w w:val="100"/>
                      <w:sz w:val="22"/>
                    </w:rPr>
                    <w:t>e</w:t>
                  </w:r>
                  <w:r>
                    <w:rPr>
                      <w:w w:val="100"/>
                      <w:sz w:val="22"/>
                    </w:rPr>
                    <w:t>l</w:t>
                  </w:r>
                  <w:r>
                    <w:rPr>
                      <w:spacing w:val="-5"/>
                      <w:sz w:val="22"/>
                    </w:rPr>
                    <w:t> </w:t>
                  </w:r>
                  <w:r>
                    <w:rPr>
                      <w:spacing w:val="1"/>
                      <w:w w:val="100"/>
                      <w:sz w:val="22"/>
                    </w:rPr>
                    <w:t>he</w:t>
                  </w:r>
                  <w:r>
                    <w:rPr>
                      <w:spacing w:val="-7"/>
                      <w:w w:val="100"/>
                      <w:sz w:val="22"/>
                    </w:rPr>
                    <w:t>m</w:t>
                  </w:r>
                  <w:r>
                    <w:rPr>
                      <w:spacing w:val="1"/>
                      <w:w w:val="100"/>
                      <w:sz w:val="22"/>
                    </w:rPr>
                    <w:t>og</w:t>
                  </w:r>
                  <w:r>
                    <w:rPr>
                      <w:spacing w:val="-7"/>
                      <w:w w:val="100"/>
                      <w:sz w:val="22"/>
                    </w:rPr>
                    <w:t>r</w:t>
                  </w:r>
                  <w:r>
                    <w:rPr>
                      <w:spacing w:val="-3"/>
                      <w:w w:val="100"/>
                      <w:sz w:val="22"/>
                    </w:rPr>
                    <w:t>a</w:t>
                  </w:r>
                  <w:r>
                    <w:rPr>
                      <w:spacing w:val="-2"/>
                      <w:w w:val="100"/>
                      <w:sz w:val="22"/>
                    </w:rPr>
                    <w:t>m</w:t>
                  </w:r>
                  <w:r>
                    <w:rPr>
                      <w:w w:val="100"/>
                      <w:sz w:val="22"/>
                    </w:rPr>
                    <w:t>a</w:t>
                  </w:r>
                  <w:r>
                    <w:rPr>
                      <w:spacing w:val="2"/>
                      <w:sz w:val="22"/>
                    </w:rPr>
                    <w:t> </w:t>
                  </w:r>
                  <w:r>
                    <w:rPr>
                      <w:spacing w:val="1"/>
                      <w:w w:val="100"/>
                      <w:sz w:val="22"/>
                    </w:rPr>
                    <w:t>p</w:t>
                  </w:r>
                  <w:r>
                    <w:rPr>
                      <w:spacing w:val="-2"/>
                      <w:w w:val="100"/>
                      <w:sz w:val="22"/>
                    </w:rPr>
                    <w:t>r</w:t>
                  </w:r>
                  <w:r>
                    <w:rPr>
                      <w:spacing w:val="1"/>
                      <w:w w:val="100"/>
                      <w:sz w:val="22"/>
                    </w:rPr>
                    <w:t>e</w:t>
                  </w:r>
                  <w:r>
                    <w:rPr>
                      <w:spacing w:val="-5"/>
                      <w:w w:val="100"/>
                      <w:sz w:val="22"/>
                    </w:rPr>
                    <w:t>s</w:t>
                  </w:r>
                  <w:r>
                    <w:rPr>
                      <w:spacing w:val="1"/>
                      <w:w w:val="100"/>
                      <w:sz w:val="22"/>
                    </w:rPr>
                    <w:t>e</w:t>
                  </w:r>
                  <w:r>
                    <w:rPr>
                      <w:spacing w:val="-3"/>
                      <w:w w:val="100"/>
                      <w:sz w:val="22"/>
                    </w:rPr>
                    <w:t>n</w:t>
                  </w:r>
                  <w:r>
                    <w:rPr>
                      <w:w w:val="100"/>
                      <w:sz w:val="22"/>
                    </w:rPr>
                    <w:t>t</w:t>
                  </w:r>
                  <w:r>
                    <w:rPr>
                      <w:spacing w:val="-3"/>
                      <w:w w:val="100"/>
                      <w:sz w:val="22"/>
                    </w:rPr>
                    <w:t>a</w:t>
                  </w:r>
                  <w:r>
                    <w:rPr>
                      <w:spacing w:val="1"/>
                      <w:w w:val="100"/>
                      <w:sz w:val="22"/>
                    </w:rPr>
                    <w:t>do</w:t>
                  </w:r>
                  <w:r>
                    <w:rPr>
                      <w:w w:val="100"/>
                      <w:sz w:val="22"/>
                    </w:rPr>
                    <w:t>s</w:t>
                  </w:r>
                  <w:r>
                    <w:rPr>
                      <w:spacing w:val="-4"/>
                      <w:sz w:val="22"/>
                    </w:rPr>
                    <w:t> </w:t>
                  </w:r>
                  <w:r>
                    <w:rPr>
                      <w:spacing w:val="-3"/>
                      <w:w w:val="100"/>
                      <w:sz w:val="22"/>
                    </w:rPr>
                    <w:t>p</w:t>
                  </w:r>
                  <w:r>
                    <w:rPr>
                      <w:spacing w:val="1"/>
                      <w:w w:val="100"/>
                      <w:sz w:val="22"/>
                    </w:rPr>
                    <w:t>o</w:t>
                  </w:r>
                  <w:r>
                    <w:rPr>
                      <w:w w:val="100"/>
                      <w:sz w:val="22"/>
                    </w:rPr>
                    <w:t>r</w:t>
                  </w:r>
                  <w:r>
                    <w:rPr>
                      <w:spacing w:val="-1"/>
                      <w:sz w:val="22"/>
                    </w:rPr>
                    <w:t> </w:t>
                  </w:r>
                  <w:r>
                    <w:rPr>
                      <w:spacing w:val="-2"/>
                      <w:w w:val="100"/>
                      <w:sz w:val="22"/>
                    </w:rPr>
                    <w:t>l</w:t>
                  </w:r>
                  <w:r>
                    <w:rPr>
                      <w:spacing w:val="1"/>
                      <w:w w:val="100"/>
                      <w:sz w:val="22"/>
                    </w:rPr>
                    <w:t>a</w:t>
                  </w:r>
                  <w:r>
                    <w:rPr>
                      <w:w w:val="100"/>
                      <w:sz w:val="22"/>
                    </w:rPr>
                    <w:t>s</w:t>
                  </w:r>
                  <w:r>
                    <w:rPr>
                      <w:spacing w:val="-4"/>
                      <w:sz w:val="22"/>
                    </w:rPr>
                    <w:t> </w:t>
                  </w:r>
                  <w:r>
                    <w:rPr>
                      <w:spacing w:val="1"/>
                      <w:w w:val="100"/>
                      <w:sz w:val="22"/>
                    </w:rPr>
                    <w:t>pa</w:t>
                  </w:r>
                  <w:r>
                    <w:rPr>
                      <w:w w:val="100"/>
                      <w:sz w:val="22"/>
                    </w:rPr>
                    <w:t>c</w:t>
                  </w:r>
                  <w:r>
                    <w:rPr>
                      <w:spacing w:val="-6"/>
                      <w:w w:val="100"/>
                      <w:sz w:val="22"/>
                    </w:rPr>
                    <w:t>i</w:t>
                  </w:r>
                  <w:r>
                    <w:rPr>
                      <w:spacing w:val="1"/>
                      <w:w w:val="100"/>
                      <w:sz w:val="22"/>
                    </w:rPr>
                    <w:t>e</w:t>
                  </w:r>
                  <w:r>
                    <w:rPr>
                      <w:spacing w:val="-3"/>
                      <w:w w:val="100"/>
                      <w:sz w:val="22"/>
                    </w:rPr>
                    <w:t>n</w:t>
                  </w:r>
                  <w:r>
                    <w:rPr>
                      <w:w w:val="100"/>
                      <w:sz w:val="22"/>
                    </w:rPr>
                    <w:t>t</w:t>
                  </w:r>
                  <w:r>
                    <w:rPr>
                      <w:spacing w:val="1"/>
                      <w:w w:val="100"/>
                      <w:sz w:val="22"/>
                    </w:rPr>
                    <w:t>e</w:t>
                  </w:r>
                  <w:r>
                    <w:rPr>
                      <w:w w:val="100"/>
                      <w:sz w:val="22"/>
                    </w:rPr>
                    <w:t>s</w:t>
                  </w:r>
                  <w:r>
                    <w:rPr>
                      <w:spacing w:val="13"/>
                      <w:sz w:val="22"/>
                    </w:rPr>
                    <w:t> </w:t>
                  </w:r>
                  <w:r>
                    <w:rPr>
                      <w:spacing w:val="-6"/>
                      <w:w w:val="100"/>
                      <w:sz w:val="22"/>
                    </w:rPr>
                    <w:t>i</w:t>
                  </w:r>
                  <w:r>
                    <w:rPr>
                      <w:spacing w:val="1"/>
                      <w:w w:val="100"/>
                      <w:sz w:val="22"/>
                    </w:rPr>
                    <w:t>n</w:t>
                  </w:r>
                  <w:r>
                    <w:rPr>
                      <w:spacing w:val="-4"/>
                      <w:w w:val="100"/>
                      <w:sz w:val="22"/>
                    </w:rPr>
                    <w:t>f</w:t>
                  </w:r>
                  <w:r>
                    <w:rPr>
                      <w:spacing w:val="1"/>
                      <w:w w:val="100"/>
                      <w:sz w:val="22"/>
                    </w:rPr>
                    <w:t>e</w:t>
                  </w:r>
                  <w:r>
                    <w:rPr>
                      <w:w w:val="100"/>
                      <w:sz w:val="22"/>
                    </w:rPr>
                    <w:t>ct</w:t>
                  </w:r>
                  <w:r>
                    <w:rPr>
                      <w:spacing w:val="-3"/>
                      <w:w w:val="100"/>
                      <w:sz w:val="22"/>
                    </w:rPr>
                    <w:t>a</w:t>
                  </w:r>
                  <w:r>
                    <w:rPr>
                      <w:spacing w:val="1"/>
                      <w:w w:val="100"/>
                      <w:sz w:val="22"/>
                    </w:rPr>
                    <w:t>d</w:t>
                  </w:r>
                  <w:r>
                    <w:rPr>
                      <w:spacing w:val="-3"/>
                      <w:w w:val="100"/>
                      <w:sz w:val="22"/>
                    </w:rPr>
                    <w:t>a</w:t>
                  </w:r>
                  <w:r>
                    <w:rPr>
                      <w:w w:val="100"/>
                      <w:sz w:val="22"/>
                    </w:rPr>
                    <w:t>s</w:t>
                  </w:r>
                  <w:r>
                    <w:rPr>
                      <w:spacing w:val="1"/>
                      <w:sz w:val="22"/>
                    </w:rPr>
                    <w:t> </w:t>
                  </w:r>
                  <w:r>
                    <w:rPr>
                      <w:w w:val="100"/>
                      <w:sz w:val="22"/>
                    </w:rPr>
                    <w:t>c</w:t>
                  </w:r>
                  <w:r>
                    <w:rPr>
                      <w:spacing w:val="-3"/>
                      <w:w w:val="100"/>
                      <w:sz w:val="22"/>
                    </w:rPr>
                    <w:t>o</w:t>
                  </w:r>
                  <w:r>
                    <w:rPr>
                      <w:w w:val="100"/>
                      <w:sz w:val="22"/>
                    </w:rPr>
                    <w:t>n</w:t>
                  </w:r>
                  <w:r>
                    <w:rPr>
                      <w:spacing w:val="-2"/>
                      <w:sz w:val="22"/>
                    </w:rPr>
                    <w:t> </w:t>
                  </w:r>
                  <w:r>
                    <w:rPr>
                      <w:spacing w:val="1"/>
                      <w:w w:val="100"/>
                      <w:sz w:val="22"/>
                    </w:rPr>
                    <w:t>PV</w:t>
                  </w:r>
                  <w:r>
                    <w:rPr>
                      <w:spacing w:val="1"/>
                      <w:w w:val="100"/>
                      <w:sz w:val="22"/>
                    </w:rPr>
                    <w:t>C</w:t>
                  </w:r>
                  <w:r>
                    <w:rPr>
                      <w:spacing w:val="-2"/>
                      <w:w w:val="100"/>
                      <w:sz w:val="22"/>
                    </w:rPr>
                    <w:t>-</w:t>
                  </w:r>
                  <w:r>
                    <w:rPr>
                      <w:spacing w:val="2"/>
                      <w:w w:val="100"/>
                      <w:sz w:val="22"/>
                    </w:rPr>
                    <w:t>2</w:t>
                  </w:r>
                  <w:r>
                    <w:rPr>
                      <w:w w:val="100"/>
                      <w:sz w:val="22"/>
                    </w:rPr>
                    <w:t>,</w:t>
                  </w:r>
                  <w:r>
                    <w:rPr>
                      <w:spacing w:val="-3"/>
                      <w:sz w:val="22"/>
                    </w:rPr>
                    <w:t> </w:t>
                  </w:r>
                  <w:r>
                    <w:rPr>
                      <w:spacing w:val="1"/>
                      <w:w w:val="100"/>
                      <w:sz w:val="22"/>
                    </w:rPr>
                    <w:t>d</w:t>
                  </w:r>
                  <w:r>
                    <w:rPr>
                      <w:spacing w:val="-4"/>
                      <w:w w:val="100"/>
                      <w:sz w:val="22"/>
                    </w:rPr>
                    <w:t>í</w:t>
                  </w:r>
                  <w:r>
                    <w:rPr>
                      <w:w w:val="100"/>
                      <w:sz w:val="22"/>
                    </w:rPr>
                    <w:t>a 0</w:t>
                  </w:r>
                  <w:r>
                    <w:rPr>
                      <w:spacing w:val="2"/>
                      <w:sz w:val="22"/>
                    </w:rPr>
                    <w:t> </w:t>
                  </w:r>
                  <w:r>
                    <w:rPr>
                      <w:spacing w:val="1"/>
                      <w:w w:val="100"/>
                      <w:sz w:val="22"/>
                    </w:rPr>
                    <w:t>a</w:t>
                  </w:r>
                  <w:r>
                    <w:rPr>
                      <w:w w:val="100"/>
                      <w:sz w:val="22"/>
                    </w:rPr>
                    <w:t>l</w:t>
                  </w:r>
                  <w:r>
                    <w:rPr>
                      <w:spacing w:val="-5"/>
                      <w:sz w:val="22"/>
                    </w:rPr>
                    <w:t> </w:t>
                  </w:r>
                  <w:r>
                    <w:rPr>
                      <w:w w:val="100"/>
                      <w:sz w:val="22"/>
                    </w:rPr>
                    <w:t>7</w:t>
                  </w:r>
                </w:p>
              </w:txbxContent>
            </v:textbox>
            <w10:wrap type="none"/>
          </v:shape>
        </w:pict>
      </w:r>
    </w:p>
    <w:p>
      <w:pPr>
        <w:pStyle w:val="BodyText"/>
        <w:spacing w:before="1" w:after="1"/>
        <w:rPr>
          <w:rFonts w:ascii="Times New Roman"/>
          <w:sz w:val="15"/>
        </w:rPr>
      </w:pPr>
    </w:p>
    <w:p>
      <w:pPr>
        <w:pStyle w:val="BodyText"/>
        <w:ind w:left="1819"/>
        <w:rPr>
          <w:rFonts w:ascii="Times New Roman"/>
          <w:sz w:val="20"/>
        </w:rPr>
      </w:pPr>
      <w:r>
        <w:rPr>
          <w:rFonts w:ascii="Times New Roman"/>
          <w:sz w:val="20"/>
        </w:rPr>
        <w:drawing>
          <wp:inline distT="0" distB="0" distL="0" distR="0">
            <wp:extent cx="4181732" cy="7040880"/>
            <wp:effectExtent l="0" t="0" r="0" b="0"/>
            <wp:docPr id="41" name="image15.png" descr=""/>
            <wp:cNvGraphicFramePr>
              <a:graphicFrameLocks noChangeAspect="1"/>
            </wp:cNvGraphicFramePr>
            <a:graphic>
              <a:graphicData uri="http://schemas.openxmlformats.org/drawingml/2006/picture">
                <pic:pic>
                  <pic:nvPicPr>
                    <pic:cNvPr id="42" name="image15.png"/>
                    <pic:cNvPicPr/>
                  </pic:nvPicPr>
                  <pic:blipFill>
                    <a:blip r:embed="rId38" cstate="print"/>
                    <a:stretch>
                      <a:fillRect/>
                    </a:stretch>
                  </pic:blipFill>
                  <pic:spPr>
                    <a:xfrm>
                      <a:off x="0" y="0"/>
                      <a:ext cx="4181732" cy="7040880"/>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1154" w:footer="1713" w:top="1520" w:bottom="1900" w:left="1720" w:right="0"/>
        </w:sectPr>
      </w:pPr>
    </w:p>
    <w:p>
      <w:pPr>
        <w:pStyle w:val="BodyText"/>
        <w:spacing w:before="6"/>
        <w:rPr>
          <w:rFonts w:ascii="Times New Roman"/>
          <w:sz w:val="10"/>
        </w:rPr>
      </w:pPr>
      <w:r>
        <w:rPr/>
        <w:pict>
          <v:shape style="position:absolute;margin-left:136.50412pt;margin-top:101.322876pt;width:26.05pt;height:527.950pt;mso-position-horizontal-relative:page;mso-position-vertical-relative:page;z-index:1744" type="#_x0000_t202" filled="false" stroked="false">
            <v:textbox inset="0,0,0,0" style="layout-flow:vertical;mso-layout-flow-alt:bottom-to-top">
              <w:txbxContent>
                <w:p>
                  <w:pPr>
                    <w:spacing w:line="247" w:lineRule="auto" w:before="0"/>
                    <w:ind w:left="20" w:right="18" w:firstLine="0"/>
                    <w:jc w:val="left"/>
                    <w:rPr>
                      <w:sz w:val="22"/>
                    </w:rPr>
                  </w:pPr>
                  <w:r>
                    <w:rPr>
                      <w:w w:val="100"/>
                      <w:sz w:val="22"/>
                    </w:rPr>
                    <w:t>T</w:t>
                  </w:r>
                  <w:r>
                    <w:rPr>
                      <w:spacing w:val="1"/>
                      <w:w w:val="100"/>
                      <w:sz w:val="22"/>
                    </w:rPr>
                    <w:t>a</w:t>
                  </w:r>
                  <w:r>
                    <w:rPr>
                      <w:spacing w:val="1"/>
                      <w:w w:val="100"/>
                      <w:sz w:val="22"/>
                    </w:rPr>
                    <w:t>b</w:t>
                  </w:r>
                  <w:r>
                    <w:rPr>
                      <w:spacing w:val="-2"/>
                      <w:w w:val="100"/>
                      <w:sz w:val="22"/>
                    </w:rPr>
                    <w:t>l</w:t>
                  </w:r>
                  <w:r>
                    <w:rPr>
                      <w:w w:val="100"/>
                      <w:sz w:val="22"/>
                    </w:rPr>
                    <w:t>a</w:t>
                  </w:r>
                  <w:r>
                    <w:rPr>
                      <w:spacing w:val="-2"/>
                      <w:sz w:val="22"/>
                    </w:rPr>
                    <w:t> </w:t>
                  </w:r>
                  <w:r>
                    <w:rPr>
                      <w:spacing w:val="1"/>
                      <w:w w:val="100"/>
                      <w:sz w:val="22"/>
                    </w:rPr>
                    <w:t>6</w:t>
                  </w:r>
                  <w:r>
                    <w:rPr>
                      <w:w w:val="100"/>
                      <w:sz w:val="22"/>
                    </w:rPr>
                    <w:t>.</w:t>
                  </w:r>
                  <w:r>
                    <w:rPr>
                      <w:sz w:val="22"/>
                    </w:rPr>
                    <w:t> </w:t>
                  </w:r>
                  <w:r>
                    <w:rPr>
                      <w:spacing w:val="-2"/>
                      <w:sz w:val="22"/>
                    </w:rPr>
                    <w:t> </w:t>
                  </w:r>
                  <w:r>
                    <w:rPr>
                      <w:spacing w:val="1"/>
                      <w:w w:val="100"/>
                      <w:sz w:val="22"/>
                    </w:rPr>
                    <w:t>S</w:t>
                  </w:r>
                  <w:r>
                    <w:rPr>
                      <w:spacing w:val="-6"/>
                      <w:w w:val="100"/>
                      <w:sz w:val="22"/>
                    </w:rPr>
                    <w:t>i</w:t>
                  </w:r>
                  <w:r>
                    <w:rPr>
                      <w:spacing w:val="1"/>
                      <w:w w:val="100"/>
                      <w:sz w:val="22"/>
                    </w:rPr>
                    <w:t>g</w:t>
                  </w:r>
                  <w:r>
                    <w:rPr>
                      <w:spacing w:val="-3"/>
                      <w:w w:val="100"/>
                      <w:sz w:val="22"/>
                    </w:rPr>
                    <w:t>n</w:t>
                  </w:r>
                  <w:r>
                    <w:rPr>
                      <w:spacing w:val="1"/>
                      <w:w w:val="100"/>
                      <w:sz w:val="22"/>
                    </w:rPr>
                    <w:t>o</w:t>
                  </w:r>
                  <w:r>
                    <w:rPr>
                      <w:w w:val="100"/>
                      <w:sz w:val="22"/>
                    </w:rPr>
                    <w:t>s</w:t>
                  </w:r>
                  <w:r>
                    <w:rPr>
                      <w:spacing w:val="1"/>
                      <w:sz w:val="22"/>
                    </w:rPr>
                    <w:t> </w:t>
                  </w:r>
                  <w:r>
                    <w:rPr>
                      <w:w w:val="100"/>
                      <w:sz w:val="22"/>
                    </w:rPr>
                    <w:t>c</w:t>
                  </w:r>
                  <w:r>
                    <w:rPr>
                      <w:spacing w:val="-2"/>
                      <w:w w:val="100"/>
                      <w:sz w:val="22"/>
                    </w:rPr>
                    <w:t>l</w:t>
                  </w:r>
                  <w:r>
                    <w:rPr>
                      <w:spacing w:val="-4"/>
                      <w:w w:val="100"/>
                      <w:sz w:val="22"/>
                    </w:rPr>
                    <w:t>í</w:t>
                  </w:r>
                  <w:r>
                    <w:rPr>
                      <w:spacing w:val="1"/>
                      <w:w w:val="100"/>
                      <w:sz w:val="22"/>
                    </w:rPr>
                    <w:t>n</w:t>
                  </w:r>
                  <w:r>
                    <w:rPr>
                      <w:spacing w:val="-2"/>
                      <w:w w:val="100"/>
                      <w:sz w:val="22"/>
                    </w:rPr>
                    <w:t>i</w:t>
                  </w:r>
                  <w:r>
                    <w:rPr>
                      <w:w w:val="100"/>
                      <w:sz w:val="22"/>
                    </w:rPr>
                    <w:t>c</w:t>
                  </w:r>
                  <w:r>
                    <w:rPr>
                      <w:spacing w:val="1"/>
                      <w:w w:val="100"/>
                      <w:sz w:val="22"/>
                    </w:rPr>
                    <w:t>o</w:t>
                  </w:r>
                  <w:r>
                    <w:rPr>
                      <w:w w:val="100"/>
                      <w:sz w:val="22"/>
                    </w:rPr>
                    <w:t>s</w:t>
                  </w:r>
                  <w:r>
                    <w:rPr>
                      <w:spacing w:val="-4"/>
                      <w:sz w:val="22"/>
                    </w:rPr>
                    <w:t> </w:t>
                  </w:r>
                  <w:r>
                    <w:rPr>
                      <w:w w:val="100"/>
                      <w:sz w:val="22"/>
                    </w:rPr>
                    <w:t>y</w:t>
                  </w:r>
                  <w:r>
                    <w:rPr>
                      <w:spacing w:val="1"/>
                      <w:sz w:val="22"/>
                    </w:rPr>
                    <w:t> </w:t>
                  </w:r>
                  <w:r>
                    <w:rPr>
                      <w:spacing w:val="-5"/>
                      <w:w w:val="100"/>
                      <w:sz w:val="22"/>
                    </w:rPr>
                    <w:t>c</w:t>
                  </w:r>
                  <w:r>
                    <w:rPr>
                      <w:spacing w:val="1"/>
                      <w:w w:val="100"/>
                      <w:sz w:val="22"/>
                    </w:rPr>
                    <w:t>a</w:t>
                  </w:r>
                  <w:r>
                    <w:rPr>
                      <w:spacing w:val="-2"/>
                      <w:w w:val="100"/>
                      <w:sz w:val="22"/>
                    </w:rPr>
                    <w:t>m</w:t>
                  </w:r>
                  <w:r>
                    <w:rPr>
                      <w:spacing w:val="1"/>
                      <w:w w:val="100"/>
                      <w:sz w:val="22"/>
                    </w:rPr>
                    <w:t>b</w:t>
                  </w:r>
                  <w:r>
                    <w:rPr>
                      <w:spacing w:val="-2"/>
                      <w:w w:val="100"/>
                      <w:sz w:val="22"/>
                    </w:rPr>
                    <w:t>i</w:t>
                  </w:r>
                  <w:r>
                    <w:rPr>
                      <w:spacing w:val="1"/>
                      <w:w w:val="100"/>
                      <w:sz w:val="22"/>
                    </w:rPr>
                    <w:t>o</w:t>
                  </w:r>
                  <w:r>
                    <w:rPr>
                      <w:w w:val="100"/>
                      <w:sz w:val="22"/>
                    </w:rPr>
                    <w:t>s</w:t>
                  </w:r>
                  <w:r>
                    <w:rPr>
                      <w:spacing w:val="-4"/>
                      <w:sz w:val="22"/>
                    </w:rPr>
                    <w:t> </w:t>
                  </w:r>
                  <w:r>
                    <w:rPr>
                      <w:spacing w:val="-3"/>
                      <w:w w:val="100"/>
                      <w:sz w:val="22"/>
                    </w:rPr>
                    <w:t>e</w:t>
                  </w:r>
                  <w:r>
                    <w:rPr>
                      <w:w w:val="100"/>
                      <w:sz w:val="22"/>
                    </w:rPr>
                    <w:t>n</w:t>
                  </w:r>
                  <w:r>
                    <w:rPr>
                      <w:spacing w:val="2"/>
                      <w:sz w:val="22"/>
                    </w:rPr>
                    <w:t> </w:t>
                  </w:r>
                  <w:r>
                    <w:rPr>
                      <w:spacing w:val="1"/>
                      <w:w w:val="100"/>
                      <w:sz w:val="22"/>
                    </w:rPr>
                    <w:t>e</w:t>
                  </w:r>
                  <w:r>
                    <w:rPr>
                      <w:w w:val="100"/>
                      <w:sz w:val="22"/>
                    </w:rPr>
                    <w:t>l</w:t>
                  </w:r>
                  <w:r>
                    <w:rPr>
                      <w:spacing w:val="-5"/>
                      <w:sz w:val="22"/>
                    </w:rPr>
                    <w:t> </w:t>
                  </w:r>
                  <w:r>
                    <w:rPr>
                      <w:spacing w:val="1"/>
                      <w:w w:val="100"/>
                      <w:sz w:val="22"/>
                    </w:rPr>
                    <w:t>he</w:t>
                  </w:r>
                  <w:r>
                    <w:rPr>
                      <w:spacing w:val="-7"/>
                      <w:w w:val="100"/>
                      <w:sz w:val="22"/>
                    </w:rPr>
                    <w:t>m</w:t>
                  </w:r>
                  <w:r>
                    <w:rPr>
                      <w:spacing w:val="1"/>
                      <w:w w:val="100"/>
                      <w:sz w:val="22"/>
                    </w:rPr>
                    <w:t>og</w:t>
                  </w:r>
                  <w:r>
                    <w:rPr>
                      <w:spacing w:val="-7"/>
                      <w:w w:val="100"/>
                      <w:sz w:val="22"/>
                    </w:rPr>
                    <w:t>r</w:t>
                  </w:r>
                  <w:r>
                    <w:rPr>
                      <w:spacing w:val="-3"/>
                      <w:w w:val="100"/>
                      <w:sz w:val="22"/>
                    </w:rPr>
                    <w:t>a</w:t>
                  </w:r>
                  <w:r>
                    <w:rPr>
                      <w:spacing w:val="-2"/>
                      <w:w w:val="100"/>
                      <w:sz w:val="22"/>
                    </w:rPr>
                    <w:t>m</w:t>
                  </w:r>
                  <w:r>
                    <w:rPr>
                      <w:w w:val="100"/>
                      <w:sz w:val="22"/>
                    </w:rPr>
                    <w:t>a</w:t>
                  </w:r>
                  <w:r>
                    <w:rPr>
                      <w:spacing w:val="2"/>
                      <w:sz w:val="22"/>
                    </w:rPr>
                    <w:t> </w:t>
                  </w:r>
                  <w:r>
                    <w:rPr>
                      <w:spacing w:val="1"/>
                      <w:w w:val="100"/>
                      <w:sz w:val="22"/>
                    </w:rPr>
                    <w:t>p</w:t>
                  </w:r>
                  <w:r>
                    <w:rPr>
                      <w:spacing w:val="-2"/>
                      <w:w w:val="100"/>
                      <w:sz w:val="22"/>
                    </w:rPr>
                    <w:t>r</w:t>
                  </w:r>
                  <w:r>
                    <w:rPr>
                      <w:spacing w:val="1"/>
                      <w:w w:val="100"/>
                      <w:sz w:val="22"/>
                    </w:rPr>
                    <w:t>e</w:t>
                  </w:r>
                  <w:r>
                    <w:rPr>
                      <w:spacing w:val="-5"/>
                      <w:w w:val="100"/>
                      <w:sz w:val="22"/>
                    </w:rPr>
                    <w:t>s</w:t>
                  </w:r>
                  <w:r>
                    <w:rPr>
                      <w:spacing w:val="1"/>
                      <w:w w:val="100"/>
                      <w:sz w:val="22"/>
                    </w:rPr>
                    <w:t>e</w:t>
                  </w:r>
                  <w:r>
                    <w:rPr>
                      <w:spacing w:val="-3"/>
                      <w:w w:val="100"/>
                      <w:sz w:val="22"/>
                    </w:rPr>
                    <w:t>n</w:t>
                  </w:r>
                  <w:r>
                    <w:rPr>
                      <w:w w:val="100"/>
                      <w:sz w:val="22"/>
                    </w:rPr>
                    <w:t>t</w:t>
                  </w:r>
                  <w:r>
                    <w:rPr>
                      <w:spacing w:val="-3"/>
                      <w:w w:val="100"/>
                      <w:sz w:val="22"/>
                    </w:rPr>
                    <w:t>a</w:t>
                  </w:r>
                  <w:r>
                    <w:rPr>
                      <w:spacing w:val="1"/>
                      <w:w w:val="100"/>
                      <w:sz w:val="22"/>
                    </w:rPr>
                    <w:t>do</w:t>
                  </w:r>
                  <w:r>
                    <w:rPr>
                      <w:w w:val="100"/>
                      <w:sz w:val="22"/>
                    </w:rPr>
                    <w:t>s</w:t>
                  </w:r>
                  <w:r>
                    <w:rPr>
                      <w:spacing w:val="-4"/>
                      <w:sz w:val="22"/>
                    </w:rPr>
                    <w:t> </w:t>
                  </w:r>
                  <w:r>
                    <w:rPr>
                      <w:spacing w:val="-3"/>
                      <w:w w:val="100"/>
                      <w:sz w:val="22"/>
                    </w:rPr>
                    <w:t>p</w:t>
                  </w:r>
                  <w:r>
                    <w:rPr>
                      <w:spacing w:val="1"/>
                      <w:w w:val="100"/>
                      <w:sz w:val="22"/>
                    </w:rPr>
                    <w:t>o</w:t>
                  </w:r>
                  <w:r>
                    <w:rPr>
                      <w:w w:val="100"/>
                      <w:sz w:val="22"/>
                    </w:rPr>
                    <w:t>r</w:t>
                  </w:r>
                  <w:r>
                    <w:rPr>
                      <w:spacing w:val="-1"/>
                      <w:sz w:val="22"/>
                    </w:rPr>
                    <w:t> </w:t>
                  </w:r>
                  <w:r>
                    <w:rPr>
                      <w:spacing w:val="-2"/>
                      <w:w w:val="100"/>
                      <w:sz w:val="22"/>
                    </w:rPr>
                    <w:t>l</w:t>
                  </w:r>
                  <w:r>
                    <w:rPr>
                      <w:spacing w:val="1"/>
                      <w:w w:val="100"/>
                      <w:sz w:val="22"/>
                    </w:rPr>
                    <w:t>a</w:t>
                  </w:r>
                  <w:r>
                    <w:rPr>
                      <w:w w:val="100"/>
                      <w:sz w:val="22"/>
                    </w:rPr>
                    <w:t>s</w:t>
                  </w:r>
                  <w:r>
                    <w:rPr>
                      <w:spacing w:val="-4"/>
                      <w:sz w:val="22"/>
                    </w:rPr>
                    <w:t> </w:t>
                  </w:r>
                  <w:r>
                    <w:rPr>
                      <w:spacing w:val="1"/>
                      <w:w w:val="100"/>
                      <w:sz w:val="22"/>
                    </w:rPr>
                    <w:t>pa</w:t>
                  </w:r>
                  <w:r>
                    <w:rPr>
                      <w:w w:val="100"/>
                      <w:sz w:val="22"/>
                    </w:rPr>
                    <w:t>c</w:t>
                  </w:r>
                  <w:r>
                    <w:rPr>
                      <w:spacing w:val="-6"/>
                      <w:w w:val="100"/>
                      <w:sz w:val="22"/>
                    </w:rPr>
                    <w:t>i</w:t>
                  </w:r>
                  <w:r>
                    <w:rPr>
                      <w:spacing w:val="1"/>
                      <w:w w:val="100"/>
                      <w:sz w:val="22"/>
                    </w:rPr>
                    <w:t>e</w:t>
                  </w:r>
                  <w:r>
                    <w:rPr>
                      <w:spacing w:val="-3"/>
                      <w:w w:val="100"/>
                      <w:sz w:val="22"/>
                    </w:rPr>
                    <w:t>n</w:t>
                  </w:r>
                  <w:r>
                    <w:rPr>
                      <w:w w:val="100"/>
                      <w:sz w:val="22"/>
                    </w:rPr>
                    <w:t>t</w:t>
                  </w:r>
                  <w:r>
                    <w:rPr>
                      <w:spacing w:val="1"/>
                      <w:w w:val="100"/>
                      <w:sz w:val="22"/>
                    </w:rPr>
                    <w:t>e</w:t>
                  </w:r>
                  <w:r>
                    <w:rPr>
                      <w:w w:val="100"/>
                      <w:sz w:val="22"/>
                    </w:rPr>
                    <w:t>s</w:t>
                  </w:r>
                  <w:r>
                    <w:rPr>
                      <w:spacing w:val="1"/>
                      <w:sz w:val="22"/>
                    </w:rPr>
                    <w:t> </w:t>
                  </w:r>
                  <w:r>
                    <w:rPr>
                      <w:spacing w:val="-6"/>
                      <w:w w:val="100"/>
                      <w:sz w:val="22"/>
                    </w:rPr>
                    <w:t>i</w:t>
                  </w:r>
                  <w:r>
                    <w:rPr>
                      <w:spacing w:val="1"/>
                      <w:w w:val="100"/>
                      <w:sz w:val="22"/>
                    </w:rPr>
                    <w:t>n</w:t>
                  </w:r>
                  <w:r>
                    <w:rPr>
                      <w:spacing w:val="-4"/>
                      <w:w w:val="100"/>
                      <w:sz w:val="22"/>
                    </w:rPr>
                    <w:t>f</w:t>
                  </w:r>
                  <w:r>
                    <w:rPr>
                      <w:spacing w:val="1"/>
                      <w:w w:val="100"/>
                      <w:sz w:val="22"/>
                    </w:rPr>
                    <w:t>e</w:t>
                  </w:r>
                  <w:r>
                    <w:rPr>
                      <w:w w:val="100"/>
                      <w:sz w:val="22"/>
                    </w:rPr>
                    <w:t>ct</w:t>
                  </w:r>
                  <w:r>
                    <w:rPr>
                      <w:spacing w:val="-3"/>
                      <w:w w:val="100"/>
                      <w:sz w:val="22"/>
                    </w:rPr>
                    <w:t>a</w:t>
                  </w:r>
                  <w:r>
                    <w:rPr>
                      <w:spacing w:val="1"/>
                      <w:w w:val="100"/>
                      <w:sz w:val="22"/>
                    </w:rPr>
                    <w:t>d</w:t>
                  </w:r>
                  <w:r>
                    <w:rPr>
                      <w:spacing w:val="-3"/>
                      <w:w w:val="100"/>
                      <w:sz w:val="22"/>
                    </w:rPr>
                    <w:t>a</w:t>
                  </w:r>
                  <w:r>
                    <w:rPr>
                      <w:w w:val="100"/>
                      <w:sz w:val="22"/>
                    </w:rPr>
                    <w:t>s</w:t>
                  </w:r>
                  <w:r>
                    <w:rPr>
                      <w:spacing w:val="1"/>
                      <w:sz w:val="22"/>
                    </w:rPr>
                    <w:t> </w:t>
                  </w:r>
                  <w:r>
                    <w:rPr>
                      <w:w w:val="100"/>
                      <w:sz w:val="22"/>
                    </w:rPr>
                    <w:t>c</w:t>
                  </w:r>
                  <w:r>
                    <w:rPr>
                      <w:spacing w:val="-3"/>
                      <w:w w:val="100"/>
                      <w:sz w:val="22"/>
                    </w:rPr>
                    <w:t>o</w:t>
                  </w:r>
                  <w:r>
                    <w:rPr>
                      <w:w w:val="100"/>
                      <w:sz w:val="22"/>
                    </w:rPr>
                    <w:t>n</w:t>
                  </w:r>
                  <w:r>
                    <w:rPr>
                      <w:spacing w:val="-2"/>
                      <w:sz w:val="22"/>
                    </w:rPr>
                    <w:t> </w:t>
                  </w:r>
                  <w:r>
                    <w:rPr>
                      <w:spacing w:val="1"/>
                      <w:w w:val="100"/>
                      <w:sz w:val="22"/>
                    </w:rPr>
                    <w:t>PV</w:t>
                  </w:r>
                  <w:r>
                    <w:rPr>
                      <w:spacing w:val="15"/>
                      <w:w w:val="100"/>
                      <w:sz w:val="22"/>
                    </w:rPr>
                    <w:t>C</w:t>
                  </w:r>
                  <w:r>
                    <w:rPr>
                      <w:spacing w:val="-2"/>
                      <w:w w:val="100"/>
                      <w:sz w:val="22"/>
                    </w:rPr>
                    <w:t>-</w:t>
                  </w:r>
                  <w:r>
                    <w:rPr>
                      <w:w w:val="100"/>
                      <w:sz w:val="22"/>
                    </w:rPr>
                    <w:t>2</w:t>
                  </w:r>
                  <w:r>
                    <w:rPr>
                      <w:spacing w:val="-2"/>
                      <w:sz w:val="22"/>
                    </w:rPr>
                    <w:t> </w:t>
                  </w:r>
                  <w:r>
                    <w:rPr>
                      <w:w w:val="100"/>
                      <w:sz w:val="22"/>
                    </w:rPr>
                    <w:t>, </w:t>
                  </w:r>
                  <w:r>
                    <w:rPr>
                      <w:spacing w:val="1"/>
                      <w:w w:val="100"/>
                      <w:sz w:val="22"/>
                    </w:rPr>
                    <w:t>d</w:t>
                  </w:r>
                  <w:r>
                    <w:rPr>
                      <w:w w:val="100"/>
                      <w:sz w:val="22"/>
                    </w:rPr>
                    <w:t>í</w:t>
                  </w:r>
                  <w:r>
                    <w:rPr>
                      <w:w w:val="100"/>
                      <w:sz w:val="22"/>
                    </w:rPr>
                    <w:t>a</w:t>
                  </w:r>
                  <w:r>
                    <w:rPr>
                      <w:spacing w:val="-2"/>
                      <w:sz w:val="22"/>
                    </w:rPr>
                    <w:t> </w:t>
                  </w:r>
                  <w:r>
                    <w:rPr>
                      <w:w w:val="100"/>
                      <w:sz w:val="22"/>
                    </w:rPr>
                    <w:t>8</w:t>
                  </w:r>
                  <w:r>
                    <w:rPr>
                      <w:spacing w:val="-2"/>
                      <w:sz w:val="22"/>
                    </w:rPr>
                    <w:t> </w:t>
                  </w:r>
                  <w:r>
                    <w:rPr>
                      <w:spacing w:val="1"/>
                      <w:w w:val="100"/>
                      <w:sz w:val="22"/>
                    </w:rPr>
                    <w:t>a</w:t>
                  </w:r>
                  <w:r>
                    <w:rPr>
                      <w:w w:val="100"/>
                      <w:sz w:val="22"/>
                    </w:rPr>
                    <w:t>l</w:t>
                  </w:r>
                  <w:r>
                    <w:rPr>
                      <w:sz w:val="22"/>
                    </w:rPr>
                    <w:t> </w:t>
                  </w:r>
                  <w:r>
                    <w:rPr>
                      <w:spacing w:val="-3"/>
                      <w:w w:val="100"/>
                      <w:sz w:val="22"/>
                    </w:rPr>
                    <w:t>1</w:t>
                  </w:r>
                  <w:r>
                    <w:rPr>
                      <w:w w:val="100"/>
                      <w:sz w:val="22"/>
                    </w:rPr>
                    <w:t>6</w:t>
                  </w:r>
                </w:p>
              </w:txbxContent>
            </v:textbox>
            <w10:wrap type="none"/>
          </v:shape>
        </w:pict>
      </w:r>
    </w:p>
    <w:p>
      <w:pPr>
        <w:pStyle w:val="BodyText"/>
        <w:ind w:left="1745"/>
        <w:rPr>
          <w:rFonts w:ascii="Times New Roman"/>
          <w:sz w:val="20"/>
        </w:rPr>
      </w:pPr>
      <w:r>
        <w:rPr>
          <w:rFonts w:ascii="Times New Roman"/>
          <w:sz w:val="20"/>
        </w:rPr>
        <w:drawing>
          <wp:inline distT="0" distB="0" distL="0" distR="0">
            <wp:extent cx="4559438" cy="6998208"/>
            <wp:effectExtent l="0" t="0" r="0" b="0"/>
            <wp:docPr id="43" name="image16.png" descr=""/>
            <wp:cNvGraphicFramePr>
              <a:graphicFrameLocks noChangeAspect="1"/>
            </wp:cNvGraphicFramePr>
            <a:graphic>
              <a:graphicData uri="http://schemas.openxmlformats.org/drawingml/2006/picture">
                <pic:pic>
                  <pic:nvPicPr>
                    <pic:cNvPr id="44" name="image16.png"/>
                    <pic:cNvPicPr/>
                  </pic:nvPicPr>
                  <pic:blipFill>
                    <a:blip r:embed="rId39" cstate="print"/>
                    <a:stretch>
                      <a:fillRect/>
                    </a:stretch>
                  </pic:blipFill>
                  <pic:spPr>
                    <a:xfrm>
                      <a:off x="0" y="0"/>
                      <a:ext cx="4559438" cy="6998208"/>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1154" w:footer="1713" w:top="1520" w:bottom="1900" w:left="1720" w:right="0"/>
        </w:sectPr>
      </w:pPr>
    </w:p>
    <w:p>
      <w:pPr>
        <w:pStyle w:val="BodyText"/>
        <w:rPr>
          <w:rFonts w:ascii="Times New Roman"/>
          <w:sz w:val="20"/>
        </w:rPr>
      </w:pPr>
      <w:r>
        <w:rPr/>
        <w:pict>
          <v:shape style="position:absolute;margin-left:119.646225pt;margin-top:91.545998pt;width:28.2pt;height:564.4pt;mso-position-horizontal-relative:page;mso-position-vertical-relative:page;z-index:1768" type="#_x0000_t202" filled="false" stroked="false">
            <v:textbox inset="0,0,0,0" style="layout-flow:vertical;mso-layout-flow-alt:bottom-to-top">
              <w:txbxContent>
                <w:p>
                  <w:pPr>
                    <w:pStyle w:val="BodyText"/>
                    <w:spacing w:line="247" w:lineRule="auto"/>
                    <w:ind w:left="20" w:right="18"/>
                  </w:pPr>
                  <w:r>
                    <w:rPr>
                      <w:spacing w:val="1"/>
                      <w:w w:val="100"/>
                    </w:rPr>
                    <w:t>T</w:t>
                  </w:r>
                  <w:r>
                    <w:rPr>
                      <w:w w:val="99"/>
                    </w:rPr>
                    <w:t>ab</w:t>
                  </w:r>
                  <w:r>
                    <w:rPr>
                      <w:w w:val="99"/>
                    </w:rPr>
                    <w:t>la</w:t>
                  </w:r>
                  <w:r>
                    <w:rPr/>
                    <w:t>  </w:t>
                  </w:r>
                  <w:r>
                    <w:rPr>
                      <w:spacing w:val="1"/>
                      <w:w w:val="99"/>
                    </w:rPr>
                    <w:t>7</w:t>
                  </w:r>
                  <w:r>
                    <w:rPr>
                      <w:w w:val="100"/>
                    </w:rPr>
                    <w:t>.</w:t>
                  </w:r>
                  <w:r>
                    <w:rPr/>
                    <w:t>  </w:t>
                  </w:r>
                  <w:r>
                    <w:rPr>
                      <w:spacing w:val="-4"/>
                    </w:rPr>
                    <w:t> </w:t>
                  </w:r>
                  <w:r>
                    <w:rPr/>
                    <w:t>Día</w:t>
                  </w:r>
                  <w:r>
                    <w:rPr>
                      <w:spacing w:val="1"/>
                    </w:rPr>
                    <w:t> </w:t>
                  </w:r>
                  <w:r>
                    <w:rPr>
                      <w:spacing w:val="-4"/>
                      <w:w w:val="99"/>
                    </w:rPr>
                    <w:t>d</w:t>
                  </w:r>
                  <w:r>
                    <w:rPr>
                      <w:w w:val="99"/>
                    </w:rPr>
                    <w:t>e</w:t>
                  </w:r>
                  <w:r>
                    <w:rPr/>
                    <w:t> </w:t>
                  </w:r>
                  <w:r>
                    <w:rPr>
                      <w:spacing w:val="1"/>
                      <w:w w:val="99"/>
                    </w:rPr>
                    <w:t>e</w:t>
                  </w:r>
                  <w:r>
                    <w:rPr>
                      <w:w w:val="99"/>
                    </w:rPr>
                    <w:t>va</w:t>
                  </w:r>
                  <w:r>
                    <w:rPr>
                      <w:w w:val="99"/>
                    </w:rPr>
                    <w:t>lu</w:t>
                  </w:r>
                  <w:r>
                    <w:rPr>
                      <w:spacing w:val="1"/>
                      <w:w w:val="99"/>
                    </w:rPr>
                    <w:t>a</w:t>
                  </w:r>
                  <w:r>
                    <w:rPr>
                      <w:w w:val="99"/>
                    </w:rPr>
                    <w:t>ci</w:t>
                  </w:r>
                  <w:r>
                    <w:rPr>
                      <w:spacing w:val="-5"/>
                      <w:w w:val="99"/>
                    </w:rPr>
                    <w:t>ó</w:t>
                  </w:r>
                  <w:r>
                    <w:rPr>
                      <w:w w:val="99"/>
                    </w:rPr>
                    <w:t>n</w:t>
                  </w:r>
                  <w:r>
                    <w:rPr/>
                    <w:t> </w:t>
                  </w:r>
                  <w:r>
                    <w:rPr>
                      <w:spacing w:val="1"/>
                    </w:rPr>
                    <w:t> </w:t>
                  </w:r>
                  <w:r>
                    <w:rPr>
                      <w:w w:val="99"/>
                    </w:rPr>
                    <w:t>de</w:t>
                  </w:r>
                  <w:r>
                    <w:rPr>
                      <w:spacing w:val="-4"/>
                    </w:rPr>
                    <w:t> </w:t>
                  </w:r>
                  <w:r>
                    <w:rPr>
                      <w:w w:val="99"/>
                    </w:rPr>
                    <w:t>e</w:t>
                  </w:r>
                  <w:r>
                    <w:rPr>
                      <w:w w:val="99"/>
                    </w:rPr>
                    <w:t>xc</w:t>
                  </w:r>
                  <w:r>
                    <w:rPr>
                      <w:spacing w:val="1"/>
                      <w:w w:val="99"/>
                    </w:rPr>
                    <w:t>r</w:t>
                  </w:r>
                  <w:r>
                    <w:rPr>
                      <w:w w:val="99"/>
                    </w:rPr>
                    <w:t>eción</w:t>
                  </w:r>
                  <w:r>
                    <w:rPr>
                      <w:spacing w:val="1"/>
                    </w:rPr>
                    <w:t> </w:t>
                  </w:r>
                  <w:r>
                    <w:rPr/>
                    <w:t>y</w:t>
                  </w:r>
                  <w:r>
                    <w:rPr>
                      <w:spacing w:val="-9"/>
                    </w:rPr>
                    <w:t> </w:t>
                  </w:r>
                  <w:r>
                    <w:rPr>
                      <w:w w:val="99"/>
                    </w:rPr>
                    <w:t>dia</w:t>
                  </w:r>
                  <w:r>
                    <w:rPr>
                      <w:spacing w:val="1"/>
                      <w:w w:val="99"/>
                    </w:rPr>
                    <w:t>g</w:t>
                  </w:r>
                  <w:r>
                    <w:rPr>
                      <w:w w:val="99"/>
                    </w:rPr>
                    <w:t>no</w:t>
                  </w:r>
                  <w:r>
                    <w:rPr>
                      <w:w w:val="99"/>
                    </w:rPr>
                    <w:t>stico</w:t>
                  </w:r>
                  <w:r>
                    <w:rPr>
                      <w:spacing w:val="-4"/>
                      <w:w w:val="99"/>
                    </w:rPr>
                    <w:t> </w:t>
                  </w:r>
                  <w:r>
                    <w:rPr>
                      <w:spacing w:val="1"/>
                      <w:w w:val="99"/>
                    </w:rPr>
                    <w:t>m</w:t>
                  </w:r>
                  <w:r>
                    <w:rPr>
                      <w:w w:val="99"/>
                    </w:rPr>
                    <w:t>edia</w:t>
                  </w:r>
                  <w:r>
                    <w:rPr>
                      <w:spacing w:val="1"/>
                      <w:w w:val="99"/>
                    </w:rPr>
                    <w:t>n</w:t>
                  </w:r>
                  <w:r>
                    <w:rPr>
                      <w:spacing w:val="-5"/>
                      <w:w w:val="100"/>
                    </w:rPr>
                    <w:t>t</w:t>
                  </w:r>
                  <w:r>
                    <w:rPr>
                      <w:w w:val="99"/>
                    </w:rPr>
                    <w:t>e</w:t>
                  </w:r>
                  <w:r>
                    <w:rPr/>
                    <w:t> </w:t>
                  </w:r>
                  <w:r>
                    <w:rPr>
                      <w:spacing w:val="1"/>
                      <w:w w:val="99"/>
                    </w:rPr>
                    <w:t>p</w:t>
                  </w:r>
                  <w:r>
                    <w:rPr>
                      <w:spacing w:val="1"/>
                      <w:w w:val="99"/>
                    </w:rPr>
                    <w:t>r</w:t>
                  </w:r>
                  <w:r>
                    <w:rPr>
                      <w:spacing w:val="-4"/>
                      <w:w w:val="99"/>
                    </w:rPr>
                    <w:t>u</w:t>
                  </w:r>
                  <w:r>
                    <w:rPr>
                      <w:w w:val="99"/>
                    </w:rPr>
                    <w:t>eba</w:t>
                  </w:r>
                  <w:r>
                    <w:rPr/>
                    <w:t>s </w:t>
                  </w:r>
                  <w:r>
                    <w:rPr>
                      <w:spacing w:val="-3"/>
                    </w:rPr>
                    <w:t>r</w:t>
                  </w:r>
                  <w:r>
                    <w:rPr>
                      <w:w w:val="99"/>
                    </w:rPr>
                    <w:t>ápid</w:t>
                  </w:r>
                  <w:r>
                    <w:rPr>
                      <w:spacing w:val="1"/>
                      <w:w w:val="99"/>
                    </w:rPr>
                    <w:t>a</w:t>
                  </w:r>
                  <w:r>
                    <w:rPr/>
                    <w:t>s </w:t>
                  </w:r>
                  <w:r>
                    <w:rPr>
                      <w:w w:val="100"/>
                    </w:rPr>
                    <w:t>,</w:t>
                  </w:r>
                  <w:r>
                    <w:rPr/>
                    <w:t> </w:t>
                  </w:r>
                  <w:r>
                    <w:rPr>
                      <w:spacing w:val="-2"/>
                    </w:rPr>
                    <w:t>P</w:t>
                  </w:r>
                  <w:r>
                    <w:rPr>
                      <w:w w:val="99"/>
                    </w:rPr>
                    <w:t>CR</w:t>
                  </w:r>
                  <w:r>
                    <w:rPr>
                      <w:spacing w:val="6"/>
                    </w:rPr>
                    <w:t> </w:t>
                  </w:r>
                  <w:r>
                    <w:rPr/>
                    <w:t>y </w:t>
                  </w:r>
                  <w:r>
                    <w:rPr>
                      <w:spacing w:val="-2"/>
                    </w:rPr>
                    <w:t>P</w:t>
                  </w:r>
                  <w:r>
                    <w:rPr>
                      <w:w w:val="99"/>
                    </w:rPr>
                    <w:t>CR</w:t>
                  </w:r>
                  <w:r>
                    <w:rPr>
                      <w:spacing w:val="-1"/>
                    </w:rPr>
                    <w:t> </w:t>
                  </w:r>
                  <w:r>
                    <w:rPr>
                      <w:spacing w:val="1"/>
                      <w:w w:val="99"/>
                    </w:rPr>
                    <w:t>a</w:t>
                  </w:r>
                  <w:r>
                    <w:rPr>
                      <w:w w:val="99"/>
                    </w:rPr>
                    <w:t>nid</w:t>
                  </w:r>
                  <w:r>
                    <w:rPr>
                      <w:spacing w:val="1"/>
                      <w:w w:val="99"/>
                    </w:rPr>
                    <w:t>a</w:t>
                  </w:r>
                  <w:r>
                    <w:rPr>
                      <w:w w:val="99"/>
                    </w:rPr>
                    <w:t>do en</w:t>
                  </w:r>
                  <w:r>
                    <w:rPr/>
                    <w:t> </w:t>
                  </w:r>
                  <w:r>
                    <w:rPr>
                      <w:spacing w:val="1"/>
                      <w:w w:val="99"/>
                    </w:rPr>
                    <w:t>p</w:t>
                  </w:r>
                  <w:r>
                    <w:rPr>
                      <w:w w:val="99"/>
                    </w:rPr>
                    <w:t>acie</w:t>
                  </w:r>
                  <w:r>
                    <w:rPr>
                      <w:spacing w:val="1"/>
                      <w:w w:val="99"/>
                    </w:rPr>
                    <w:t>n</w:t>
                  </w:r>
                  <w:r>
                    <w:rPr>
                      <w:w w:val="100"/>
                    </w:rPr>
                    <w:t>t</w:t>
                  </w:r>
                  <w:r>
                    <w:rPr>
                      <w:spacing w:val="1"/>
                      <w:w w:val="100"/>
                    </w:rPr>
                    <w:t>e</w:t>
                  </w:r>
                  <w:r>
                    <w:rPr>
                      <w:w w:val="100"/>
                    </w:rPr>
                    <w:t>s</w:t>
                  </w:r>
                  <w:r>
                    <w:rPr>
                      <w:spacing w:val="-5"/>
                      <w:w w:val="100"/>
                    </w:rPr>
                    <w:t> </w:t>
                  </w:r>
                  <w:r>
                    <w:rPr>
                      <w:w w:val="99"/>
                    </w:rPr>
                    <w:t>in</w:t>
                  </w:r>
                  <w:r>
                    <w:rPr>
                      <w:w w:val="100"/>
                    </w:rPr>
                    <w:t>f</w:t>
                  </w:r>
                  <w:r>
                    <w:rPr>
                      <w:spacing w:val="1"/>
                      <w:w w:val="100"/>
                    </w:rPr>
                    <w:t>e</w:t>
                  </w:r>
                  <w:r>
                    <w:rPr>
                      <w:w w:val="100"/>
                    </w:rPr>
                    <w:t>ct</w:t>
                  </w:r>
                  <w:r>
                    <w:rPr>
                      <w:spacing w:val="-4"/>
                      <w:w w:val="100"/>
                    </w:rPr>
                    <w:t>a</w:t>
                  </w:r>
                  <w:r>
                    <w:rPr>
                      <w:w w:val="99"/>
                    </w:rPr>
                    <w:t>da</w:t>
                  </w:r>
                  <w:r>
                    <w:rPr/>
                    <w:t>s </w:t>
                  </w:r>
                  <w:r>
                    <w:rPr>
                      <w:w w:val="99"/>
                    </w:rPr>
                    <w:t>c</w:t>
                  </w:r>
                  <w:r>
                    <w:rPr>
                      <w:spacing w:val="1"/>
                      <w:w w:val="99"/>
                    </w:rPr>
                    <w:t>o</w:t>
                  </w:r>
                  <w:r>
                    <w:rPr>
                      <w:w w:val="99"/>
                    </w:rPr>
                    <w:t>n</w:t>
                  </w:r>
                  <w:r>
                    <w:rPr/>
                    <w:t> </w:t>
                  </w:r>
                  <w:r>
                    <w:rPr>
                      <w:spacing w:val="-2"/>
                    </w:rPr>
                    <w:t>PV</w:t>
                  </w:r>
                  <w:r>
                    <w:rPr>
                      <w:spacing w:val="3"/>
                      <w:w w:val="99"/>
                    </w:rPr>
                    <w:t>C</w:t>
                  </w:r>
                  <w:r>
                    <w:rPr>
                      <w:spacing w:val="1"/>
                      <w:w w:val="99"/>
                    </w:rPr>
                    <w:t>-</w:t>
                  </w:r>
                  <w:r>
                    <w:rPr>
                      <w:w w:val="99"/>
                    </w:rPr>
                    <w:t>2</w:t>
                  </w: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2"/>
        </w:rPr>
      </w:pPr>
    </w:p>
    <w:p>
      <w:pPr>
        <w:pStyle w:val="BodyText"/>
        <w:ind w:left="1304"/>
        <w:rPr>
          <w:rFonts w:ascii="Times New Roman"/>
          <w:sz w:val="20"/>
        </w:rPr>
      </w:pPr>
      <w:r>
        <w:rPr>
          <w:rFonts w:ascii="Times New Roman"/>
          <w:sz w:val="20"/>
        </w:rPr>
        <w:drawing>
          <wp:inline distT="0" distB="0" distL="0" distR="0">
            <wp:extent cx="4534454" cy="6636924"/>
            <wp:effectExtent l="0" t="0" r="0" b="0"/>
            <wp:docPr id="45" name="image17.png" descr=""/>
            <wp:cNvGraphicFramePr>
              <a:graphicFrameLocks noChangeAspect="1"/>
            </wp:cNvGraphicFramePr>
            <a:graphic>
              <a:graphicData uri="http://schemas.openxmlformats.org/drawingml/2006/picture">
                <pic:pic>
                  <pic:nvPicPr>
                    <pic:cNvPr id="46" name="image17.png"/>
                    <pic:cNvPicPr/>
                  </pic:nvPicPr>
                  <pic:blipFill>
                    <a:blip r:embed="rId40" cstate="print"/>
                    <a:stretch>
                      <a:fillRect/>
                    </a:stretch>
                  </pic:blipFill>
                  <pic:spPr>
                    <a:xfrm>
                      <a:off x="0" y="0"/>
                      <a:ext cx="4534454" cy="6636924"/>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1154" w:footer="1713" w:top="1520" w:bottom="1900" w:left="1720" w:right="0"/>
        </w:sectPr>
      </w:pPr>
    </w:p>
    <w:p>
      <w:pPr>
        <w:pStyle w:val="BodyText"/>
        <w:spacing w:before="4"/>
        <w:rPr>
          <w:rFonts w:ascii="Times New Roman"/>
          <w:sz w:val="17"/>
        </w:rPr>
      </w:pPr>
    </w:p>
    <w:p>
      <w:pPr>
        <w:pStyle w:val="Heading1"/>
        <w:numPr>
          <w:ilvl w:val="0"/>
          <w:numId w:val="1"/>
        </w:numPr>
        <w:tabs>
          <w:tab w:pos="513" w:val="left" w:leader="none"/>
        </w:tabs>
        <w:spacing w:line="240" w:lineRule="auto" w:before="69" w:after="0"/>
        <w:ind w:left="513" w:right="0" w:hanging="361"/>
        <w:jc w:val="both"/>
      </w:pPr>
      <w:r>
        <w:rPr/>
        <w:t>DISCUSIÓN</w:t>
      </w:r>
      <w:r>
        <w:rPr>
          <w:spacing w:val="-13"/>
        </w:rPr>
        <w:t> </w:t>
      </w:r>
      <w:r>
        <w:rPr/>
        <w:t>GENERAL</w:t>
      </w:r>
    </w:p>
    <w:p>
      <w:pPr>
        <w:pStyle w:val="BodyText"/>
        <w:spacing w:before="3"/>
        <w:rPr>
          <w:b/>
          <w:sz w:val="30"/>
        </w:rPr>
      </w:pPr>
    </w:p>
    <w:p>
      <w:pPr>
        <w:pStyle w:val="BodyText"/>
        <w:spacing w:line="360" w:lineRule="auto"/>
        <w:ind w:left="152" w:right="150"/>
        <w:jc w:val="both"/>
      </w:pPr>
      <w:r>
        <w:rPr/>
        <w:t>La información obtenida de los médicos veterinarios que se dedican a clínica de perros y gatos nos muestran que las herramientas diagnosticas utilizadas en nuestro país con </w:t>
      </w:r>
      <w:r>
        <w:rPr>
          <w:spacing w:val="-3"/>
        </w:rPr>
        <w:t>más </w:t>
      </w:r>
      <w:r>
        <w:rPr/>
        <w:t>frecuencia, son la historia clínica, el examen físico general, el hemograma en busca de leucopenia, las pruebas de inmunocromatografía y en menor porcentaje el diagnóstico molecular, al obtener este resultado se analizó la sensibilidad y especificidad de </w:t>
      </w:r>
      <w:r>
        <w:rPr>
          <w:spacing w:val="3"/>
        </w:rPr>
        <w:t>las </w:t>
      </w:r>
      <w:r>
        <w:rPr/>
        <w:t>herramientas que utilizan los clínicos de nuestro país para emitir el diagnostico de parvovirus canino y así establecer su utilidad como herramienta diagnostica  en la práctica</w:t>
      </w:r>
      <w:r>
        <w:rPr>
          <w:spacing w:val="-15"/>
        </w:rPr>
        <w:t> </w:t>
      </w:r>
      <w:r>
        <w:rPr/>
        <w:t>clínica.</w:t>
      </w:r>
    </w:p>
    <w:p>
      <w:pPr>
        <w:pStyle w:val="BodyText"/>
        <w:spacing w:line="360" w:lineRule="auto" w:before="205"/>
        <w:ind w:left="152" w:right="144"/>
        <w:jc w:val="both"/>
      </w:pPr>
      <w:r>
        <w:rPr/>
        <w:t>El primer análisis realizado basado en el diagnóstico clínico nos muestra que solo el 48.6% de los pacientes fueron correctamente evaluados y estos pacientes mostraban signos clínicos como vómito, diarrea o diarrea sanguinolenta, el 51.6% de los médicos emitió un diagnóstico erróneo y estos pacientes diagnosticados como negativos mostraban un cuadro clínico no tan claro a una infección por PVC- 2 por lo que fueron diagnosticados como negativos, la variabilidad de los signos clínicos ya ha sido reportada por diversos autores y se discute, la edad, el estado inmunológico, ruta de exposición, dosis viral y virulencia de la cepa como factores que pueden modificar el cuadro clínico (Lamm y Rezabek, 2008, Decaro y Buonavoglia, 2012). La baja sensibilidad arrojada para el diagnóstico clínico (48.6%) revela que es posible que el clínico descarte la posibilidad de la infección en ausencia de signos clínicos clásicos de parvovirus canino, en casos de gastroenteritis en pacientes vacunados o adultos, o bien en pacientes con una historia clínica sin exposición viral.</w:t>
      </w:r>
    </w:p>
    <w:p>
      <w:pPr>
        <w:pStyle w:val="BodyText"/>
        <w:spacing w:line="360" w:lineRule="auto" w:before="204"/>
        <w:ind w:left="152" w:right="150"/>
        <w:jc w:val="both"/>
      </w:pPr>
      <w:r>
        <w:rPr/>
        <w:t>En el análisis que se realizó en base a las inmunizaciones que presentaban los 100 pacientes positivos se observó que el 37 % de los pacientes infectados no habían recibido ninguna inmunización contra PVC-2, los factores que pueden asociarse a la falta de vacunación   pueden ser falta de información por parte   </w:t>
      </w:r>
      <w:r>
        <w:rPr>
          <w:spacing w:val="14"/>
        </w:rPr>
        <w:t> </w:t>
      </w:r>
      <w:r>
        <w:rPr/>
        <w:t>del</w:t>
      </w:r>
    </w:p>
    <w:p>
      <w:pPr>
        <w:spacing w:after="0" w:line="360" w:lineRule="auto"/>
        <w:jc w:val="both"/>
        <w:sectPr>
          <w:footerReference w:type="default" r:id="rId41"/>
          <w:pgSz w:w="12240" w:h="15840"/>
          <w:pgMar w:footer="1713" w:header="1154" w:top="1520" w:bottom="1900" w:left="1720" w:right="1380"/>
        </w:sectPr>
      </w:pPr>
    </w:p>
    <w:p>
      <w:pPr>
        <w:pStyle w:val="BodyText"/>
        <w:spacing w:before="2"/>
        <w:rPr>
          <w:sz w:val="18"/>
        </w:rPr>
      </w:pPr>
    </w:p>
    <w:p>
      <w:pPr>
        <w:pStyle w:val="BodyText"/>
        <w:spacing w:line="360" w:lineRule="auto" w:before="70"/>
        <w:ind w:left="152" w:right="140"/>
        <w:jc w:val="both"/>
      </w:pPr>
      <w:r>
        <w:rPr/>
        <w:t>propietario o bien cuestiones socioeconómicas que no permiten iniciar con un esquema de vacunación para </w:t>
      </w:r>
      <w:r>
        <w:rPr>
          <w:spacing w:val="-3"/>
        </w:rPr>
        <w:t>su </w:t>
      </w:r>
      <w:r>
        <w:rPr/>
        <w:t>mascota. El 23% de los pacientes evaluados recibió solo una inmunización y se encontraban en un rango de edad de 2 a 7 meses, la interferencia por anticuerpos maternos es uno de los factores asociados a la falla en la vacunación primaria (Prittie, 2004; Decaro </w:t>
      </w:r>
      <w:r>
        <w:rPr>
          <w:i/>
        </w:rPr>
        <w:t>et al., </w:t>
      </w:r>
      <w:r>
        <w:rPr/>
        <w:t>2008; Decaro y Buonavoglia, 2012; Truyen, 2006). </w:t>
      </w:r>
      <w:r>
        <w:rPr>
          <w:spacing w:val="-4"/>
        </w:rPr>
        <w:t>El </w:t>
      </w:r>
      <w:r>
        <w:rPr/>
        <w:t>16% de los pacientes presentaban dos inmunizaciones, 14% tres inmunizaciones con un rango de edad de 3 meses a 1 año y el 10% recibió hasta cuatro inmunizaciones con un rango de edad de 4 meses a 5 años considerando que estos pacientes se encontraban vacunados es posible que la presencia de </w:t>
      </w:r>
      <w:r>
        <w:rPr>
          <w:spacing w:val="3"/>
        </w:rPr>
        <w:t>un </w:t>
      </w:r>
      <w:r>
        <w:rPr/>
        <w:t>cuadro gastroentérico sea asociado a otros organismos patógenos (bacterias o parásitos) o bien la presencia de  gastroenteritis posterior a la vacunación puede estar asociada a una infección previa con cepa de campo (Decaro </w:t>
      </w:r>
      <w:r>
        <w:rPr>
          <w:i/>
        </w:rPr>
        <w:t>et al., </w:t>
      </w:r>
      <w:r>
        <w:rPr/>
        <w:t>2007), considerando que el desarrollo de la inmunidad protectora lleva un poco </w:t>
      </w:r>
      <w:r>
        <w:rPr>
          <w:spacing w:val="-3"/>
        </w:rPr>
        <w:t>más </w:t>
      </w:r>
      <w:r>
        <w:rPr/>
        <w:t>de 15 días y depende también del éxito de la inmunización anterior, la vacunación a pacientes inmunocomprometidos puede mostrar una respuesta inadecuada al antígeno de la vacuna y también pueden ser considerado como un factor que genera falla vacunal (Ling </w:t>
      </w:r>
      <w:r>
        <w:rPr>
          <w:i/>
        </w:rPr>
        <w:t>et al., </w:t>
      </w:r>
      <w:r>
        <w:rPr/>
        <w:t>2012). Cabe mencionar que en este estudio en todas las categorías de vacunación, se observa a pacientes que presentaban cuadros clínicos severos de gastroenteritis parvo viral sin importar el número de inmunizaciones con las que se encontraban protegidos, la infección en adultos se observó en siete de nuestros registros, cuatro de ellos con calendario de vacunación completo, uno con una inmunización y dos de ellos sin inmunización, la presencia de infección por PVC-2 en pacientes vacunados y pacientes adultos ha sido reportada anteriormente (Decaro </w:t>
      </w:r>
      <w:r>
        <w:rPr>
          <w:i/>
        </w:rPr>
        <w:t>et al., </w:t>
      </w:r>
      <w:r>
        <w:rPr/>
        <w:t>2008; Lamm y Rezabek, 2008) se discuten la falta de protección cruzada entre la cepa de la vacuna y las nuevas cepas de campo, sin embargo la protección cruzada  adecuada ya ha sido reportada (Truyen, 2006), otros </w:t>
      </w:r>
      <w:r>
        <w:rPr>
          <w:spacing w:val="33"/>
        </w:rPr>
        <w:t> </w:t>
      </w:r>
      <w:r>
        <w:rPr/>
        <w:t>factores</w:t>
      </w:r>
    </w:p>
    <w:p>
      <w:pPr>
        <w:spacing w:after="0" w:line="360" w:lineRule="auto"/>
        <w:jc w:val="both"/>
        <w:sectPr>
          <w:footerReference w:type="default" r:id="rId42"/>
          <w:pgSz w:w="12240" w:h="15840"/>
          <w:pgMar w:footer="1713" w:header="1154" w:top="1520" w:bottom="1900" w:left="1720" w:right="1380"/>
          <w:pgNumType w:start="61"/>
        </w:sectPr>
      </w:pPr>
    </w:p>
    <w:p>
      <w:pPr>
        <w:pStyle w:val="BodyText"/>
        <w:spacing w:before="2"/>
        <w:rPr>
          <w:sz w:val="18"/>
        </w:rPr>
      </w:pPr>
    </w:p>
    <w:p>
      <w:pPr>
        <w:pStyle w:val="BodyText"/>
        <w:spacing w:line="355" w:lineRule="auto" w:before="70"/>
        <w:ind w:left="152" w:right="155"/>
        <w:jc w:val="both"/>
      </w:pPr>
      <w:r>
        <w:rPr/>
        <w:t>a analizar como la causa de la falla en la vacunación, son la baja calidad de la vacuna o bien su almacenamiento incorrecta (Decaro </w:t>
      </w:r>
      <w:r>
        <w:rPr>
          <w:i/>
        </w:rPr>
        <w:t>et al., </w:t>
      </w:r>
      <w:r>
        <w:rPr/>
        <w:t>2008).</w:t>
      </w:r>
    </w:p>
    <w:p>
      <w:pPr>
        <w:pStyle w:val="BodyText"/>
        <w:spacing w:line="360" w:lineRule="auto" w:before="215"/>
        <w:ind w:left="152" w:right="142"/>
        <w:jc w:val="both"/>
      </w:pPr>
      <w:r>
        <w:rPr/>
        <w:t>El 45% de los pacientes presentan leucopenia y/o panleucopenia al momento de  la evaluación y 7% presento únicamente linfopenia, ambos resultados concuerdan con los hallazgos hematológicos </w:t>
      </w:r>
      <w:r>
        <w:rPr>
          <w:spacing w:val="-3"/>
        </w:rPr>
        <w:t>más </w:t>
      </w:r>
      <w:r>
        <w:rPr/>
        <w:t>reportados por parvovirus canino que  ocurren como causa de la necrosis linfoide y destrucción de las células mieloproliferativas en la medula ósea (Prittie, 2004; Meunier </w:t>
      </w:r>
      <w:r>
        <w:rPr>
          <w:i/>
        </w:rPr>
        <w:t>et al., </w:t>
      </w:r>
      <w:r>
        <w:rPr/>
        <w:t>1985; Lamm y Rezabek,2008; Goddard y Leisewitz,2010).El 37.6% de los pacientes evaluados presentaron un hemograma normal al momento de ser ingresados a la evaluación hospitalaria lo cual concuerda con lo reportado por (Prittie, 2004). La baja sensibilidad reportada en esta herramienta (45%) indica que la leucopenia nos permitirá detectar a uno de cada dos pacientes positivos a parvovirus canino, pero su sensibilidad del 100% indica que </w:t>
      </w:r>
      <w:r>
        <w:rPr>
          <w:spacing w:val="-3"/>
        </w:rPr>
        <w:t>si </w:t>
      </w:r>
      <w:r>
        <w:rPr/>
        <w:t>el paciente presenta leucopenia es </w:t>
      </w:r>
      <w:r>
        <w:rPr>
          <w:spacing w:val="-3"/>
        </w:rPr>
        <w:t>muy </w:t>
      </w:r>
      <w:r>
        <w:rPr/>
        <w:t>posible que esté pasando por un cuadro clínico de gastroenteritis</w:t>
      </w:r>
      <w:r>
        <w:rPr>
          <w:spacing w:val="-32"/>
        </w:rPr>
        <w:t> </w:t>
      </w:r>
      <w:r>
        <w:rPr/>
        <w:t>viral.</w:t>
      </w:r>
    </w:p>
    <w:p>
      <w:pPr>
        <w:pStyle w:val="BodyText"/>
        <w:spacing w:line="360" w:lineRule="auto" w:before="209"/>
        <w:ind w:left="152" w:right="141"/>
        <w:jc w:val="both"/>
      </w:pPr>
      <w:r>
        <w:rPr/>
        <w:t>La prueba de inmunocromatografía mostro una sensibilidad de 63.2% y solo fue capaz de detectar al 51.6% de </w:t>
      </w:r>
      <w:r>
        <w:rPr>
          <w:spacing w:val="3"/>
        </w:rPr>
        <w:t>los </w:t>
      </w:r>
      <w:r>
        <w:rPr/>
        <w:t>pacientes positivos dicha  sensibilidad concuerda con la reportada por Desario y cols. 2005, en dicho estudio se mostró una sensibilidad del 56.1% comparando la técnica de inmunocromatografía con PCR en tiempo real. La baja sensibilidad de esta técnica puede explicarse debido a que una gran cantidad de partículas virales en las heces debe ser eliminada  para poder obtener un resultado positivo considerando que el pico de eliminación viral es de 7 a 10 días, evaluaciones posteriores a este periodo darán resultados negativos debido al cese de eliminación o a la escasa excreción de partículas virales en las heces debido a la unión de anticuerpos neutralizantes al antígeno que se encuentra en la diarrea generando el cese de la eliminación viral (Prittie, 2004;Goddard y Leisewitz, 2010;Desario </w:t>
      </w:r>
      <w:r>
        <w:rPr>
          <w:i/>
        </w:rPr>
        <w:t>et al., </w:t>
      </w:r>
      <w:r>
        <w:rPr/>
        <w:t>2005; Decaro </w:t>
      </w:r>
      <w:r>
        <w:rPr>
          <w:i/>
        </w:rPr>
        <w:t>et al.,</w:t>
      </w:r>
      <w:r>
        <w:rPr>
          <w:i/>
          <w:spacing w:val="-21"/>
        </w:rPr>
        <w:t> </w:t>
      </w:r>
      <w:r>
        <w:rPr/>
        <w:t>2010).</w:t>
      </w:r>
    </w:p>
    <w:p>
      <w:pPr>
        <w:spacing w:after="0" w:line="360" w:lineRule="auto"/>
        <w:jc w:val="both"/>
        <w:sectPr>
          <w:pgSz w:w="12240" w:h="15840"/>
          <w:pgMar w:header="1154" w:footer="1713" w:top="1520" w:bottom="1900" w:left="1720" w:right="1380"/>
        </w:sectPr>
      </w:pPr>
    </w:p>
    <w:p>
      <w:pPr>
        <w:pStyle w:val="BodyText"/>
        <w:spacing w:before="2"/>
        <w:rPr>
          <w:sz w:val="18"/>
        </w:rPr>
      </w:pPr>
    </w:p>
    <w:p>
      <w:pPr>
        <w:pStyle w:val="BodyText"/>
        <w:spacing w:line="360" w:lineRule="auto" w:before="70"/>
        <w:ind w:left="152" w:right="142"/>
        <w:jc w:val="both"/>
      </w:pPr>
      <w:r>
        <w:rPr/>
        <w:t>La técnica de PCR arroja una sensibilidad muy superior a la reportada por el resto de los métodos diagnostico esta sensibilidad es similar a la reportada por Desario y cols. 2005 al comparar PCR convencional con PCR en tiempo real, PCR ofrece la ventaja de ser una técnica altamente sensible y rápida en comparación a otras técnicas de laboratorio, pues cuenta con la capacidad de detectar bajos niveles de virus excretados en las heces en estadios tempranos y tardíos de la infección (Schunck </w:t>
      </w:r>
      <w:r>
        <w:rPr>
          <w:i/>
        </w:rPr>
        <w:t>et al., </w:t>
      </w:r>
      <w:r>
        <w:rPr/>
        <w:t>1995). Fue concordante con el 85.4% de los resultados arrojados por PCR anidada, solo el 14.5 % de los casos no pudieron resolverse mediante esta técnica pero esto puede ser explicado debido a una </w:t>
      </w:r>
      <w:r>
        <w:rPr>
          <w:spacing w:val="-3"/>
        </w:rPr>
        <w:t>baja </w:t>
      </w:r>
      <w:r>
        <w:rPr/>
        <w:t>carga viral en las heces de los pacientes evaluados, que no fue posible observar en el gel de agarosa.</w:t>
      </w:r>
    </w:p>
    <w:p>
      <w:pPr>
        <w:pStyle w:val="BodyText"/>
        <w:spacing w:line="360" w:lineRule="auto" w:before="209"/>
        <w:ind w:left="152" w:right="141"/>
        <w:jc w:val="both"/>
      </w:pPr>
      <w:r>
        <w:rPr/>
        <w:t>La excreción de partículas virales vacunales en las tres pacientes vacunadas fue detectada mediante PCR anidada por un periodo de 15 días, Decaro y cols. 2014 realizaron un análisis para evaluar la excreción de partículas virales vacunales mediante PCR en tiempo real y encontraron un promedio de 12 días para las vacunaciones realizadas con PVC-2b y de 19 días para las vacunaciones realizadas PVC-2. La seroconversión fue detectada mediante pruebas de inmunocromatografía hasta el día 25 post vacunación, mientras que por la técnica de HI pueden ser detectados anticuerpos medios el día 14, y anticuerpos máximos protectores el día 25 post vacunación ( Decaro </w:t>
      </w:r>
      <w:r>
        <w:rPr>
          <w:i/>
        </w:rPr>
        <w:t>et al., </w:t>
      </w:r>
      <w:r>
        <w:rPr/>
        <w:t>2014).</w:t>
      </w:r>
    </w:p>
    <w:p>
      <w:pPr>
        <w:pStyle w:val="BodyText"/>
        <w:spacing w:line="360" w:lineRule="auto" w:before="209"/>
        <w:ind w:left="152" w:right="141"/>
        <w:jc w:val="both"/>
      </w:pPr>
      <w:r>
        <w:rPr/>
        <w:t>La replicación viral presentada en la pacientes evaluadas muestra la capacidad del virus para replicarse en órganos linfoides, la pacientes presento leucopenia severa sin embargo, el cuadro clínico presentado en la pacientes infectadas que se encontraban vacunadas puede considerarse como subclínico debido a que nunca presentaron un cuadro gastrointestinal clásico de infección por PVC-2  la  presencia de cuadros subclínicos en pacientes vacunados ya ha sido previamente reportada (Decaro </w:t>
      </w:r>
      <w:r>
        <w:rPr>
          <w:i/>
        </w:rPr>
        <w:t>et al., </w:t>
      </w:r>
      <w:r>
        <w:rPr/>
        <w:t>2008; Lamm y Rezabek,</w:t>
      </w:r>
      <w:r>
        <w:rPr>
          <w:spacing w:val="-25"/>
        </w:rPr>
        <w:t> </w:t>
      </w:r>
      <w:r>
        <w:rPr/>
        <w:t>2008).</w:t>
      </w:r>
    </w:p>
    <w:p>
      <w:pPr>
        <w:spacing w:after="0" w:line="360" w:lineRule="auto"/>
        <w:jc w:val="both"/>
        <w:sectPr>
          <w:pgSz w:w="12240" w:h="15840"/>
          <w:pgMar w:header="1154" w:footer="1713" w:top="1520" w:bottom="1900" w:left="1720" w:right="1380"/>
        </w:sectPr>
      </w:pPr>
    </w:p>
    <w:p>
      <w:pPr>
        <w:pStyle w:val="BodyText"/>
        <w:spacing w:before="2"/>
        <w:rPr>
          <w:sz w:val="18"/>
        </w:rPr>
      </w:pPr>
    </w:p>
    <w:p>
      <w:pPr>
        <w:pStyle w:val="BodyText"/>
        <w:spacing w:line="360" w:lineRule="auto" w:before="70"/>
        <w:ind w:left="152" w:right="146"/>
        <w:jc w:val="both"/>
      </w:pPr>
      <w:r>
        <w:rPr/>
        <w:t>Los datos presentados aquí aportan información a los médicos veterinarios, para valorar los procedimientos diagnósticos que están llevando a cabo en la práctica clínica para emitir un diagnóstico preciso de PVC-2, así como la evaluación de periodos de eliminación (partículas virales o vacunales) y replicación viral que pueden brindar información de cómo se comporta el virus y que clase de interferencia puede tener esta eliminación para los métodos diagnósticos. Se espera que este estudio sea de utilidad para los veterinarios clínicos ya que le permitirá tomar mejores decisiones diagnósticas y favorecer al pronóstico y tratamiento del paciente.</w:t>
      </w:r>
    </w:p>
    <w:p>
      <w:pPr>
        <w:spacing w:after="0" w:line="360" w:lineRule="auto"/>
        <w:jc w:val="both"/>
        <w:sectPr>
          <w:pgSz w:w="12240" w:h="15840"/>
          <w:pgMar w:header="1154" w:footer="1713" w:top="1520" w:bottom="1900" w:left="1720" w:right="1380"/>
        </w:sectPr>
      </w:pPr>
    </w:p>
    <w:p>
      <w:pPr>
        <w:pStyle w:val="BodyText"/>
        <w:spacing w:before="4"/>
        <w:rPr>
          <w:sz w:val="17"/>
        </w:rPr>
      </w:pPr>
    </w:p>
    <w:p>
      <w:pPr>
        <w:pStyle w:val="Heading1"/>
        <w:numPr>
          <w:ilvl w:val="0"/>
          <w:numId w:val="1"/>
        </w:numPr>
        <w:tabs>
          <w:tab w:pos="513" w:val="left" w:leader="none"/>
        </w:tabs>
        <w:spacing w:line="240" w:lineRule="auto" w:before="69" w:after="0"/>
        <w:ind w:left="513" w:right="0" w:hanging="361"/>
        <w:jc w:val="both"/>
      </w:pPr>
      <w:r>
        <w:rPr/>
        <w:t>CONCLUSIONES</w:t>
      </w:r>
    </w:p>
    <w:p>
      <w:pPr>
        <w:pStyle w:val="BodyText"/>
        <w:spacing w:before="3"/>
        <w:rPr>
          <w:b/>
          <w:sz w:val="30"/>
        </w:rPr>
      </w:pPr>
    </w:p>
    <w:p>
      <w:pPr>
        <w:pStyle w:val="BodyText"/>
        <w:spacing w:line="360" w:lineRule="auto"/>
        <w:ind w:left="152" w:right="142"/>
        <w:jc w:val="both"/>
      </w:pPr>
      <w:r>
        <w:rPr/>
        <w:t>Este estudio permitió conocer las herramientas diagnosticas que utilizan los médicos veterinarios de </w:t>
      </w:r>
      <w:r>
        <w:rPr>
          <w:spacing w:val="-3"/>
        </w:rPr>
        <w:t>forma </w:t>
      </w:r>
      <w:r>
        <w:rPr/>
        <w:t>frecuente para el diagnóstico de PVC-2, entre ellos el diagnóstico clínico, hemograma, inmunocromatografía técnicas que no poseen la sensibilidad suficiente para considerarse </w:t>
      </w:r>
      <w:r>
        <w:rPr>
          <w:spacing w:val="-3"/>
        </w:rPr>
        <w:t>como </w:t>
      </w:r>
      <w:r>
        <w:rPr/>
        <w:t>única fuente de</w:t>
      </w:r>
      <w:r>
        <w:rPr>
          <w:spacing w:val="-13"/>
        </w:rPr>
        <w:t> </w:t>
      </w:r>
      <w:r>
        <w:rPr/>
        <w:t>diagnóstico.</w:t>
      </w:r>
    </w:p>
    <w:p>
      <w:pPr>
        <w:pStyle w:val="BodyText"/>
        <w:spacing w:line="360" w:lineRule="auto" w:before="204"/>
        <w:ind w:left="152" w:right="145"/>
        <w:jc w:val="both"/>
      </w:pPr>
      <w:r>
        <w:rPr/>
        <w:t>El análisis de demostró que las pruebas </w:t>
      </w:r>
      <w:r>
        <w:rPr>
          <w:spacing w:val="-3"/>
        </w:rPr>
        <w:t>más </w:t>
      </w:r>
      <w:r>
        <w:rPr/>
        <w:t>sensibles son las moleculares ya que cuentan con una capacidad de detección de hasta el 100% de los pacientes infectados sin embargo solo un bajo porcentaje de la población las utiliza a pesar de las ventajas con que cuentan, esto puede explicarse por  desconocimiento de  la técnica o bien porque no existe disponibilidad en los laboratorios a nivel  nacional por lo tanto </w:t>
      </w:r>
      <w:r>
        <w:rPr>
          <w:spacing w:val="-3"/>
        </w:rPr>
        <w:t>se </w:t>
      </w:r>
      <w:r>
        <w:rPr/>
        <w:t>hace necesario capacitar a los médicos veterinario para que la utilización de las nuevas tecnologías moleculares sea implementada en su diagnóstico y así brindar ventajas en el pronóstico y tratamiento de los</w:t>
      </w:r>
      <w:r>
        <w:rPr>
          <w:spacing w:val="-33"/>
        </w:rPr>
        <w:t> </w:t>
      </w:r>
      <w:r>
        <w:rPr/>
        <w:t>pacientes.</w:t>
      </w:r>
    </w:p>
    <w:p>
      <w:pPr>
        <w:spacing w:after="0" w:line="360" w:lineRule="auto"/>
        <w:jc w:val="both"/>
        <w:sectPr>
          <w:pgSz w:w="12240" w:h="15840"/>
          <w:pgMar w:header="1154" w:footer="1713" w:top="1520" w:bottom="1900" w:left="1720" w:right="1380"/>
        </w:sectPr>
      </w:pPr>
    </w:p>
    <w:p>
      <w:pPr>
        <w:pStyle w:val="BodyText"/>
        <w:spacing w:before="4"/>
        <w:rPr>
          <w:sz w:val="17"/>
        </w:rPr>
      </w:pPr>
    </w:p>
    <w:p>
      <w:pPr>
        <w:pStyle w:val="Heading1"/>
        <w:numPr>
          <w:ilvl w:val="0"/>
          <w:numId w:val="1"/>
        </w:numPr>
        <w:tabs>
          <w:tab w:pos="581" w:val="left" w:leader="none"/>
        </w:tabs>
        <w:spacing w:line="240" w:lineRule="auto" w:before="69" w:after="0"/>
        <w:ind w:left="580" w:right="0" w:hanging="428"/>
        <w:jc w:val="both"/>
      </w:pPr>
      <w:r>
        <w:rPr/>
        <w:t>REFERENCIAS</w:t>
      </w:r>
    </w:p>
    <w:p>
      <w:pPr>
        <w:pStyle w:val="BodyText"/>
        <w:spacing w:before="7"/>
        <w:rPr>
          <w:b/>
          <w:sz w:val="33"/>
        </w:rPr>
      </w:pPr>
    </w:p>
    <w:p>
      <w:pPr>
        <w:pStyle w:val="BodyText"/>
        <w:spacing w:line="360" w:lineRule="auto"/>
        <w:ind w:left="152" w:right="142"/>
        <w:jc w:val="both"/>
      </w:pPr>
      <w:r>
        <w:rPr/>
        <w:t>Battilani M, Balboni A, Ustulin M, Giaunti M, Scagliarini A, Prosperi S.(2011). Genetic complexity and multiple infection with more parvovirus species in naturally infected cats. Veterinary Research 2011,42:43.</w:t>
      </w:r>
    </w:p>
    <w:p>
      <w:pPr>
        <w:pStyle w:val="BodyText"/>
        <w:spacing w:line="357" w:lineRule="auto" w:before="209"/>
        <w:ind w:left="152" w:right="148"/>
        <w:jc w:val="both"/>
      </w:pPr>
      <w:r>
        <w:rPr/>
        <w:t>Buonavoglia C, V Martella, A Pratelli, M Tempesta, A Cavalli, D Buonavoglia, G Bozzo, G Elia, N Decaro, L Carmichael. (2001). Evidence for evolution of canine parvovirus type 2 in Italy. Journal of General Virology 82, 3021-3025.</w:t>
      </w:r>
    </w:p>
    <w:p>
      <w:pPr>
        <w:pStyle w:val="BodyText"/>
        <w:spacing w:before="8"/>
        <w:rPr>
          <w:sz w:val="21"/>
        </w:rPr>
      </w:pPr>
    </w:p>
    <w:p>
      <w:pPr>
        <w:pStyle w:val="BodyText"/>
        <w:spacing w:line="360" w:lineRule="auto"/>
        <w:ind w:left="152" w:right="154"/>
        <w:jc w:val="both"/>
      </w:pPr>
      <w:r>
        <w:rPr/>
        <w:t>Carmichael L, Schlafer D, Hashimoto A. (1994). Minute virus of canines (MVC, canine parvovirus type-1): pathogenicity for pups and seroprevalence estimate. Journal Veterinary Diagnostic Investigation 6:165- 174.</w:t>
      </w:r>
    </w:p>
    <w:p>
      <w:pPr>
        <w:pStyle w:val="BodyText"/>
        <w:spacing w:before="6"/>
        <w:rPr>
          <w:sz w:val="21"/>
        </w:rPr>
      </w:pPr>
    </w:p>
    <w:p>
      <w:pPr>
        <w:pStyle w:val="BodyText"/>
        <w:spacing w:line="355" w:lineRule="auto"/>
        <w:ind w:left="152" w:right="141"/>
        <w:jc w:val="both"/>
      </w:pPr>
      <w:r>
        <w:rPr/>
        <w:t>Carmichael L. (2005). An Annotated Historical Account of Canine Parvovirus. J. Vet. Med. 52: 303–311.</w:t>
      </w:r>
    </w:p>
    <w:p>
      <w:pPr>
        <w:pStyle w:val="BodyText"/>
        <w:rPr>
          <w:sz w:val="22"/>
        </w:rPr>
      </w:pPr>
    </w:p>
    <w:p>
      <w:pPr>
        <w:pStyle w:val="BodyText"/>
        <w:spacing w:line="360" w:lineRule="auto"/>
        <w:ind w:left="152" w:right="142"/>
        <w:jc w:val="both"/>
      </w:pPr>
      <w:r>
        <w:rPr/>
        <w:t>Cramer K, Stylianides E, Van Vuuren M. (2011). Efficacy of vaccination at 4 and 6 weeks in the control of canine parvovirus. Veterinary Microbiology 149 126- 132.</w:t>
      </w:r>
    </w:p>
    <w:p>
      <w:pPr>
        <w:pStyle w:val="BodyText"/>
        <w:spacing w:before="6"/>
        <w:rPr>
          <w:sz w:val="21"/>
        </w:rPr>
      </w:pPr>
    </w:p>
    <w:p>
      <w:pPr>
        <w:pStyle w:val="BodyText"/>
        <w:spacing w:line="360" w:lineRule="auto"/>
        <w:ind w:left="152" w:right="137"/>
        <w:jc w:val="both"/>
      </w:pPr>
      <w:r>
        <w:rPr/>
        <w:t>Decaro N, Crescenzo G, Desario C, Cavalli A, Losurdo M, Loredana M, Colaianni, Ventrella G, Rizzi S, Aulicino S, Lucente M, Buonavoglia C. (2014). Long-term viremia and fecal shedding in pups after modified-live canine parvovirus vaccination. Article in press.</w:t>
      </w:r>
    </w:p>
    <w:p>
      <w:pPr>
        <w:pStyle w:val="BodyText"/>
        <w:spacing w:before="6"/>
        <w:rPr>
          <w:sz w:val="21"/>
        </w:rPr>
      </w:pPr>
    </w:p>
    <w:p>
      <w:pPr>
        <w:pStyle w:val="BodyText"/>
        <w:spacing w:line="357" w:lineRule="auto"/>
        <w:ind w:left="152" w:right="140"/>
        <w:jc w:val="both"/>
      </w:pPr>
      <w:r>
        <w:rPr/>
        <w:t>Decaro N, Buonavoglia C. (2012). Canine parvovirus-A review of epidemiological and diagnostic aspects with emphasis on type 2c. Veterinary Microbiology 155, 1– 12.</w:t>
      </w:r>
    </w:p>
    <w:p>
      <w:pPr>
        <w:pStyle w:val="BodyText"/>
        <w:spacing w:line="360" w:lineRule="auto" w:before="212"/>
        <w:ind w:left="152" w:right="140"/>
        <w:jc w:val="both"/>
      </w:pPr>
      <w:r>
        <w:rPr/>
        <w:t>Decaro N, C Desario, G Elia, V Martella, V Mari, A Lavazza, M Nardi, C Buonavoglia. (2008). Evidence for immunization failure in vaccinated adult dogs infected with canine parvovirus type 2c. New Microbiologica 31, 125-130.</w:t>
      </w:r>
    </w:p>
    <w:p>
      <w:pPr>
        <w:spacing w:after="0" w:line="360" w:lineRule="auto"/>
        <w:jc w:val="both"/>
        <w:sectPr>
          <w:pgSz w:w="12240" w:h="15840"/>
          <w:pgMar w:header="1154" w:footer="1713" w:top="1520" w:bottom="1900" w:left="1720" w:right="1380"/>
        </w:sectPr>
      </w:pPr>
    </w:p>
    <w:p>
      <w:pPr>
        <w:pStyle w:val="BodyText"/>
        <w:spacing w:before="2"/>
        <w:rPr>
          <w:sz w:val="18"/>
        </w:rPr>
      </w:pPr>
    </w:p>
    <w:p>
      <w:pPr>
        <w:pStyle w:val="BodyText"/>
        <w:spacing w:line="357" w:lineRule="auto" w:before="70"/>
        <w:ind w:left="152" w:right="142"/>
        <w:jc w:val="both"/>
      </w:pPr>
      <w:r>
        <w:rPr/>
        <w:t>Decaro N, Desario C, Beall M, Cavalli A, Campolo M. (2010).Detection of canine parvovirus type 2c by a commercially available in-house rapid test. The Veterinary Journal 184 (2010) 373–375.</w:t>
      </w:r>
    </w:p>
    <w:p>
      <w:pPr>
        <w:pStyle w:val="BodyText"/>
        <w:spacing w:before="8"/>
        <w:rPr>
          <w:sz w:val="21"/>
        </w:rPr>
      </w:pPr>
    </w:p>
    <w:p>
      <w:pPr>
        <w:pStyle w:val="BodyText"/>
        <w:spacing w:line="360" w:lineRule="auto"/>
        <w:ind w:left="152" w:right="144"/>
        <w:jc w:val="both"/>
      </w:pPr>
      <w:r>
        <w:rPr/>
        <w:t>Decaro N, Desario C, Addie D, Martella V, Vieira M, Elia </w:t>
      </w:r>
      <w:r>
        <w:rPr>
          <w:spacing w:val="-3"/>
        </w:rPr>
        <w:t>G, </w:t>
      </w:r>
      <w:r>
        <w:rPr/>
        <w:t>Zicola A, Davis C, Thompson G, Thiry E, Truyen U, Buonavoglia C. (2007). Molecular Epidemiology  of canine parvovirus , Europe. Emerging Infectious Disease Vol. 13 8, August  2007.</w:t>
      </w:r>
    </w:p>
    <w:p>
      <w:pPr>
        <w:pStyle w:val="BodyText"/>
        <w:spacing w:before="6"/>
        <w:rPr>
          <w:sz w:val="21"/>
        </w:rPr>
      </w:pPr>
    </w:p>
    <w:p>
      <w:pPr>
        <w:pStyle w:val="BodyText"/>
        <w:spacing w:line="360" w:lineRule="auto"/>
        <w:ind w:left="152" w:right="150"/>
        <w:jc w:val="both"/>
      </w:pPr>
      <w:r>
        <w:rPr/>
        <w:t>Decaro N, Desario C, Elia G, Campolo M, Lorusso A, Mari V, Martella V, Buonavoglia C. (2007). Occurrence of severe gastroenteritis in pups after canine parvovirus vaccine administration: A clinical and laboratory diagnostic dilemma. Vaccine. 25: 1161–1166.</w:t>
      </w:r>
    </w:p>
    <w:p>
      <w:pPr>
        <w:pStyle w:val="BodyText"/>
        <w:spacing w:before="6"/>
        <w:rPr>
          <w:sz w:val="21"/>
        </w:rPr>
      </w:pPr>
    </w:p>
    <w:p>
      <w:pPr>
        <w:pStyle w:val="BodyText"/>
        <w:spacing w:line="360" w:lineRule="auto"/>
        <w:ind w:left="152" w:right="147"/>
        <w:jc w:val="both"/>
      </w:pPr>
      <w:r>
        <w:rPr/>
        <w:t>Decaro N, Elia G, Martella V, Desario C, Campolo M, Di Trani L, Tarsitano E, Tempesta M, Buonavoglia C. (2005).A real-time PCR assay for  rapid  detection and quantitation of canine parvovirus type 2 in the feces of dogs.Veterinary Microbiology 105 19-28.</w:t>
      </w:r>
    </w:p>
    <w:p>
      <w:pPr>
        <w:pStyle w:val="BodyText"/>
        <w:spacing w:line="360" w:lineRule="auto" w:before="209"/>
        <w:ind w:left="152" w:right="151"/>
        <w:jc w:val="both"/>
      </w:pPr>
      <w:r>
        <w:rPr/>
        <w:t>Decaro N, V Martella, G Elia, C Desario, M Campolo, E Lorusso, L Colaianni, E Lorusso, C Buonavoglia. (2007). Tissue distribution of the antigenic variants of canine parvovirus type 2 in dogs. Veterinary Microbiology 121, 39-44.</w:t>
      </w:r>
    </w:p>
    <w:p>
      <w:pPr>
        <w:pStyle w:val="BodyText"/>
        <w:spacing w:before="6"/>
        <w:rPr>
          <w:sz w:val="21"/>
        </w:rPr>
      </w:pPr>
    </w:p>
    <w:p>
      <w:pPr>
        <w:pStyle w:val="BodyText"/>
        <w:spacing w:line="357" w:lineRule="auto"/>
        <w:ind w:left="152" w:right="141"/>
        <w:jc w:val="both"/>
      </w:pPr>
      <w:r>
        <w:rPr/>
        <w:t>Desario C, Decaro N, Campolo M, Cavalli A, Cirone F, Elia G, Martella V, Lorusso E, Camero M, Buonavoglia C. (2005). Canine parvovirus infection: Witch  diagnostic test for virus?. Journal of Biological Methods 126,</w:t>
      </w:r>
      <w:r>
        <w:rPr>
          <w:spacing w:val="-25"/>
        </w:rPr>
        <w:t> </w:t>
      </w:r>
      <w:r>
        <w:rPr/>
        <w:t>179-185</w:t>
      </w:r>
    </w:p>
    <w:p>
      <w:pPr>
        <w:pStyle w:val="BodyText"/>
        <w:spacing w:line="360" w:lineRule="auto" w:before="212"/>
        <w:ind w:left="152" w:right="140"/>
        <w:jc w:val="both"/>
      </w:pPr>
      <w:r>
        <w:rPr/>
        <w:t>Esfandiari J, Klingeborn B. (2000). A comparative study of a new rapid and one step test for the detection of parvoviruses in faces from dogs, cats and mink. J. Vet Med 47, 145-153.</w:t>
      </w:r>
    </w:p>
    <w:p>
      <w:pPr>
        <w:spacing w:after="0" w:line="360" w:lineRule="auto"/>
        <w:jc w:val="both"/>
        <w:sectPr>
          <w:pgSz w:w="12240" w:h="15840"/>
          <w:pgMar w:header="1154" w:footer="1713" w:top="1520" w:bottom="1900" w:left="1720" w:right="1380"/>
        </w:sectPr>
      </w:pPr>
    </w:p>
    <w:p>
      <w:pPr>
        <w:pStyle w:val="BodyText"/>
        <w:spacing w:before="2"/>
        <w:rPr>
          <w:sz w:val="18"/>
        </w:rPr>
      </w:pPr>
    </w:p>
    <w:p>
      <w:pPr>
        <w:pStyle w:val="BodyText"/>
        <w:spacing w:line="360" w:lineRule="auto" w:before="70"/>
        <w:ind w:left="152" w:right="149"/>
        <w:jc w:val="both"/>
      </w:pPr>
      <w:r>
        <w:rPr/>
        <w:t>Gallo M, C Romanutti, A D´Antuono, L Keller, N Mattion, J La Torre. (2011). Evolution of canine parvovirus in Argentina between year 2003 and 2010: CPV2c has become the predominant variant affecting the domestic dog population. Virus Research 157, 106-110.</w:t>
      </w:r>
    </w:p>
    <w:p>
      <w:pPr>
        <w:pStyle w:val="BodyText"/>
        <w:spacing w:before="6"/>
        <w:rPr>
          <w:sz w:val="21"/>
        </w:rPr>
      </w:pPr>
    </w:p>
    <w:p>
      <w:pPr>
        <w:pStyle w:val="BodyText"/>
        <w:spacing w:line="360" w:lineRule="auto"/>
        <w:ind w:left="152" w:right="144"/>
        <w:jc w:val="both"/>
      </w:pPr>
      <w:r>
        <w:rPr/>
        <w:t>Gallo M, Nora M,BucafuscoD, Fogel, F,o Patricia Remorini, La Torre J. (2009).Molecular characterization of canine parvovirus strains in Argentina: Detection of the pathogenic variant CPV2c in vaccinated dogs. Journal of Virological Methods 159 141–145.</w:t>
      </w:r>
    </w:p>
    <w:p>
      <w:pPr>
        <w:pStyle w:val="BodyText"/>
        <w:spacing w:line="355" w:lineRule="auto" w:before="209"/>
        <w:ind w:left="152" w:right="144"/>
        <w:jc w:val="both"/>
      </w:pPr>
      <w:r>
        <w:rPr/>
        <w:t>Goddard A, A Leisewitz. (2010). Canine parvovirus. Veterinary Clinicall Small Animal practice 40,1041-1053.</w:t>
      </w:r>
    </w:p>
    <w:p>
      <w:pPr>
        <w:pStyle w:val="BodyText"/>
        <w:spacing w:line="357" w:lineRule="auto" w:before="214"/>
        <w:ind w:left="152" w:right="149"/>
        <w:jc w:val="both"/>
      </w:pPr>
      <w:r>
        <w:rPr/>
        <w:t>HirasawaT, TKaneshige,K Mikazuki. (1994). Sensitive detection of canine parvovirus DNA by the nested polymerase chain reaction. Veterinary Microbiology 41, 135-145.</w:t>
      </w:r>
    </w:p>
    <w:p>
      <w:pPr>
        <w:pStyle w:val="BodyText"/>
        <w:spacing w:before="8"/>
        <w:rPr>
          <w:sz w:val="21"/>
        </w:rPr>
      </w:pPr>
    </w:p>
    <w:p>
      <w:pPr>
        <w:pStyle w:val="BodyText"/>
        <w:spacing w:line="360" w:lineRule="auto"/>
        <w:ind w:left="152" w:right="154"/>
        <w:jc w:val="both"/>
      </w:pPr>
      <w:r>
        <w:rPr/>
        <w:t>Hoelzer K, Parrish C. (2010). The emergence of parvoviruses of carnivores. Veterinary. Research. 41:39.</w:t>
      </w:r>
    </w:p>
    <w:p>
      <w:pPr>
        <w:pStyle w:val="BodyText"/>
        <w:spacing w:before="6"/>
        <w:rPr>
          <w:sz w:val="21"/>
        </w:rPr>
      </w:pPr>
    </w:p>
    <w:p>
      <w:pPr>
        <w:pStyle w:val="BodyText"/>
        <w:spacing w:line="357" w:lineRule="auto"/>
        <w:ind w:left="152" w:right="146"/>
        <w:jc w:val="both"/>
      </w:pPr>
      <w:r>
        <w:rPr/>
        <w:t>Hoskins J. (2000). Enteritis viral canina en Enfermedades Infecciosas en perros y gatos. Craig E. Greene. Editorial McGraw- Hill Interamericana. Segunda Edición.Pp: 44-53</w:t>
      </w:r>
    </w:p>
    <w:p>
      <w:pPr>
        <w:pStyle w:val="BodyText"/>
        <w:spacing w:before="8"/>
        <w:rPr>
          <w:sz w:val="21"/>
        </w:rPr>
      </w:pPr>
    </w:p>
    <w:p>
      <w:pPr>
        <w:pStyle w:val="BodyText"/>
        <w:spacing w:line="360" w:lineRule="auto"/>
        <w:ind w:left="152" w:right="155"/>
        <w:jc w:val="both"/>
      </w:pPr>
      <w:r>
        <w:rPr/>
        <w:t>Hueffer K, Parrish C. (2003). Parvovirus host range, cell tropism and evolution. Current Opinion in Microbiology 2003, 6:392-398</w:t>
      </w:r>
    </w:p>
    <w:p>
      <w:pPr>
        <w:pStyle w:val="BodyText"/>
        <w:spacing w:line="324" w:lineRule="auto" w:before="209"/>
        <w:ind w:left="152" w:right="140"/>
        <w:jc w:val="both"/>
      </w:pPr>
      <w:r>
        <w:rPr/>
        <w:t>Jaramillo C, J Martínez. (2010) Evaluación de las pruebas diagnosticas. en: Epidemiología Veterinaria. 10</w:t>
      </w:r>
      <w:r>
        <w:rPr>
          <w:position w:val="11"/>
          <w:sz w:val="16"/>
        </w:rPr>
        <w:t>a </w:t>
      </w:r>
      <w:r>
        <w:rPr/>
        <w:t>ed. Manual Moderno. Pp 145-161</w:t>
      </w:r>
    </w:p>
    <w:p>
      <w:pPr>
        <w:pStyle w:val="BodyText"/>
        <w:spacing w:before="10"/>
        <w:rPr>
          <w:sz w:val="23"/>
        </w:rPr>
      </w:pPr>
    </w:p>
    <w:p>
      <w:pPr>
        <w:pStyle w:val="BodyText"/>
        <w:spacing w:line="360" w:lineRule="auto"/>
        <w:ind w:left="152" w:right="146"/>
        <w:jc w:val="both"/>
      </w:pPr>
      <w:r>
        <w:rPr/>
        <w:t>Kalli I, Leontides L,.Mylonakis M , Adamama-Moraitou K, Rallis T, Koutinas A. (2010).Factors  affecting  the  occurrence,  duration  of  hospitalization  and     final</w:t>
      </w:r>
    </w:p>
    <w:p>
      <w:pPr>
        <w:spacing w:after="0" w:line="360" w:lineRule="auto"/>
        <w:jc w:val="both"/>
        <w:sectPr>
          <w:pgSz w:w="12240" w:h="15840"/>
          <w:pgMar w:header="1154" w:footer="1713" w:top="1520" w:bottom="1900" w:left="1720" w:right="1380"/>
        </w:sectPr>
      </w:pPr>
    </w:p>
    <w:p>
      <w:pPr>
        <w:pStyle w:val="BodyText"/>
        <w:spacing w:before="2"/>
        <w:rPr>
          <w:sz w:val="18"/>
        </w:rPr>
      </w:pPr>
    </w:p>
    <w:p>
      <w:pPr>
        <w:pStyle w:val="BodyText"/>
        <w:spacing w:line="355" w:lineRule="auto" w:before="70"/>
        <w:ind w:left="152" w:right="157"/>
        <w:jc w:val="both"/>
      </w:pPr>
      <w:r>
        <w:rPr/>
        <w:t>outcome in canine parvovirus infection.Research in Veterinary Science 89 (2010) 174–178.</w:t>
      </w:r>
    </w:p>
    <w:p>
      <w:pPr>
        <w:pStyle w:val="BodyText"/>
        <w:spacing w:line="360" w:lineRule="auto" w:before="215"/>
        <w:ind w:left="152" w:right="152"/>
        <w:jc w:val="both"/>
      </w:pPr>
      <w:r>
        <w:rPr/>
        <w:t>Kumar M, S Chindri, S Nandi. (2011). A sensitive method to detect canine parvoviral DNA in faecal samples by nested polymerase chain reaction. Indian Journal of Biotechnology  10, 183-187.</w:t>
      </w:r>
    </w:p>
    <w:p>
      <w:pPr>
        <w:pStyle w:val="BodyText"/>
        <w:spacing w:line="360" w:lineRule="auto" w:before="204"/>
        <w:ind w:left="152" w:right="142"/>
        <w:jc w:val="both"/>
      </w:pPr>
      <w:r>
        <w:rPr/>
        <w:t>Lacheretz A, A Laperrousaz, A Kodjo, N Brajon, D Crevat, S Guillossou. (2003). Diagnosis of canine parvovirus by rapid inmunomigration on membrane. Veterinary Record 152, 48-50.</w:t>
      </w:r>
    </w:p>
    <w:p>
      <w:pPr>
        <w:pStyle w:val="BodyText"/>
        <w:spacing w:before="6"/>
        <w:rPr>
          <w:sz w:val="21"/>
        </w:rPr>
      </w:pPr>
    </w:p>
    <w:p>
      <w:pPr>
        <w:pStyle w:val="BodyText"/>
        <w:spacing w:line="355" w:lineRule="auto"/>
        <w:ind w:left="152" w:right="159"/>
        <w:jc w:val="both"/>
      </w:pPr>
      <w:r>
        <w:rPr/>
        <w:t>Lamm C, Rezabek G. (2008). Parvovirus infection in domestic companion animals. Veterinary  Clinical Small Animal Practice 38 837-850.</w:t>
      </w:r>
    </w:p>
    <w:p>
      <w:pPr>
        <w:pStyle w:val="BodyText"/>
        <w:spacing w:before="11"/>
        <w:rPr>
          <w:sz w:val="21"/>
        </w:rPr>
      </w:pPr>
    </w:p>
    <w:p>
      <w:pPr>
        <w:pStyle w:val="BodyText"/>
        <w:spacing w:line="360" w:lineRule="auto"/>
        <w:ind w:left="152" w:right="161"/>
        <w:jc w:val="both"/>
      </w:pPr>
      <w:r>
        <w:rPr/>
        <w:t>Ling M, Norris J, Kelman M, Ward M. (2012). Risk factors for death from canine parvoviral-related disease in Australia. Veterinary Microbiology .02.034.</w:t>
      </w:r>
    </w:p>
    <w:p>
      <w:pPr>
        <w:pStyle w:val="BodyText"/>
        <w:spacing w:before="6"/>
        <w:rPr>
          <w:sz w:val="21"/>
        </w:rPr>
      </w:pPr>
    </w:p>
    <w:p>
      <w:pPr>
        <w:pStyle w:val="BodyText"/>
        <w:spacing w:line="355" w:lineRule="auto"/>
        <w:ind w:left="152" w:right="145"/>
        <w:jc w:val="both"/>
      </w:pPr>
      <w:r>
        <w:rPr/>
        <w:t>MacLachlan N, Dubovi E. (2011). Parvoviridae en: Fenner’s Veterinary Virology, cuarta edición. Elsevier. Pp 225-235</w:t>
      </w:r>
    </w:p>
    <w:p>
      <w:pPr>
        <w:pStyle w:val="BodyText"/>
        <w:spacing w:before="11"/>
        <w:rPr>
          <w:sz w:val="21"/>
        </w:rPr>
      </w:pPr>
    </w:p>
    <w:p>
      <w:pPr>
        <w:pStyle w:val="BodyText"/>
        <w:spacing w:line="360" w:lineRule="auto"/>
        <w:ind w:left="152" w:right="143"/>
        <w:jc w:val="both"/>
      </w:pPr>
      <w:r>
        <w:rPr/>
        <w:t>Markovich J, Strucker K, Carr A, Harbison C, Scarlett J,Parrish C. (2012). Effect of canine parvovirus strain variations on diagnostic test results and clinical management of enteritis in dogs. JAVMA, Vol 241, N0. 1, July 1, 2012.</w:t>
      </w:r>
    </w:p>
    <w:p>
      <w:pPr>
        <w:pStyle w:val="BodyText"/>
        <w:spacing w:line="360" w:lineRule="auto" w:before="209"/>
        <w:ind w:left="152" w:right="140"/>
        <w:jc w:val="both"/>
      </w:pPr>
      <w:r>
        <w:rPr/>
        <w:t>Meunier P, B Cooper, M Appel, M Lanieu, D Slauson. (1985). Pathogenesis of canine parvovirus enteritis: sequential virus distribution and passive immunization studies. Veterinary. Pathology  22, 617-624.</w:t>
      </w:r>
    </w:p>
    <w:p>
      <w:pPr>
        <w:pStyle w:val="BodyText"/>
        <w:spacing w:before="1"/>
        <w:rPr>
          <w:sz w:val="21"/>
        </w:rPr>
      </w:pPr>
    </w:p>
    <w:p>
      <w:pPr>
        <w:pStyle w:val="BodyText"/>
        <w:spacing w:line="360" w:lineRule="auto"/>
        <w:ind w:left="152" w:right="142"/>
        <w:jc w:val="both"/>
      </w:pPr>
      <w:r>
        <w:rPr/>
        <w:t>Mohan R, Mukhopadhyay H, Thanislass J, Antony P, Pillai R. (2010). Isolation, molecular characterization and phylogenetic analysis of canine Parvovirus. Infection, Genetics and Evolution 10 (2010) 1237–1241.</w:t>
      </w:r>
    </w:p>
    <w:p>
      <w:pPr>
        <w:spacing w:after="0" w:line="360" w:lineRule="auto"/>
        <w:jc w:val="both"/>
        <w:sectPr>
          <w:pgSz w:w="12240" w:h="15840"/>
          <w:pgMar w:header="1154" w:footer="1713" w:top="1520" w:bottom="1900" w:left="1720" w:right="1380"/>
        </w:sectPr>
      </w:pPr>
    </w:p>
    <w:p>
      <w:pPr>
        <w:pStyle w:val="BodyText"/>
        <w:spacing w:before="2"/>
        <w:rPr>
          <w:sz w:val="18"/>
        </w:rPr>
      </w:pPr>
    </w:p>
    <w:p>
      <w:pPr>
        <w:pStyle w:val="BodyText"/>
        <w:spacing w:line="357" w:lineRule="auto" w:before="70"/>
        <w:ind w:left="152" w:right="154"/>
        <w:jc w:val="both"/>
      </w:pPr>
      <w:r>
        <w:rPr/>
        <w:t>Murphy F, Gibbs E, Horzinek M, Studdert M. (1999). Murphy F, Gibbs E, Horzinek M, Studdert M, (1999). Parvoviridae en: Veterinary virology, terceraedicion. Academic Press. Pp 343-356.</w:t>
      </w:r>
    </w:p>
    <w:p>
      <w:pPr>
        <w:pStyle w:val="BodyText"/>
        <w:spacing w:line="360" w:lineRule="auto" w:before="212"/>
        <w:ind w:left="152" w:right="153"/>
        <w:jc w:val="both"/>
      </w:pPr>
      <w:r>
        <w:rPr/>
        <w:t>Pereira C, T Monezi, D Mehnert, M D´Angelo, E Durigon. (2000). Molecular characterization of canine parvovirus in Brazil by polymerase chain reaction assay. Veterinary Microbiology 75, 127-133.</w:t>
      </w:r>
    </w:p>
    <w:p>
      <w:pPr>
        <w:pStyle w:val="BodyText"/>
        <w:spacing w:before="6"/>
        <w:rPr>
          <w:sz w:val="21"/>
        </w:rPr>
      </w:pPr>
    </w:p>
    <w:p>
      <w:pPr>
        <w:pStyle w:val="BodyText"/>
        <w:spacing w:line="360" w:lineRule="auto"/>
        <w:ind w:left="152" w:right="143"/>
        <w:jc w:val="both"/>
      </w:pPr>
      <w:r>
        <w:rPr/>
        <w:t>Pirjo M, Neuvonen E, Niskanen A, Juokslahti T. (1986). Latex agglutination Test for detecting Feline Panleucopenia virus, Canine Prvovirus, and parvovirus of fur animals. Journal of clinical microbiology, Mar. 1986 556-559.</w:t>
      </w:r>
    </w:p>
    <w:p>
      <w:pPr>
        <w:pStyle w:val="BodyText"/>
        <w:spacing w:before="1"/>
        <w:rPr>
          <w:sz w:val="21"/>
        </w:rPr>
      </w:pPr>
    </w:p>
    <w:p>
      <w:pPr>
        <w:pStyle w:val="BodyText"/>
        <w:spacing w:line="360" w:lineRule="auto" w:before="1"/>
        <w:ind w:left="152" w:right="153"/>
        <w:jc w:val="both"/>
      </w:pPr>
      <w:r>
        <w:rPr/>
        <w:t>Prittie J. (2004). Canine parvoviral enteriis, a review of diagnosis, management, and prevention. Journal of Veterinary Emergency and Critical Care 14(3) 2004, 167-176.</w:t>
      </w:r>
    </w:p>
    <w:p>
      <w:pPr>
        <w:pStyle w:val="BodyText"/>
        <w:spacing w:line="360" w:lineRule="auto" w:before="209"/>
        <w:ind w:left="152" w:right="142"/>
        <w:jc w:val="both"/>
      </w:pPr>
      <w:r>
        <w:rPr/>
        <w:t>Sagazio P, M Tempesta, D Buonavoglia, F Cirone, C Buonavoglia. (1998). Antigenic characterization of canine parvovirus strains isolated in Italy. Journal of Virological Methods 73, 197-200.</w:t>
      </w:r>
    </w:p>
    <w:p>
      <w:pPr>
        <w:pStyle w:val="BodyText"/>
        <w:spacing w:line="348" w:lineRule="auto" w:before="209"/>
        <w:ind w:left="152" w:right="142"/>
        <w:jc w:val="both"/>
      </w:pPr>
      <w:r>
        <w:rPr/>
        <w:t>Sánchez C, M Lozada, E Pichardo, P López, G Del Ángel, I Mata. (2006). Uso de cuestionarios de investigación. En: Sánchez N, Romero A, Esquivel M. (ed). Métodos clínicos y epidemiológicos de investigación médica. 1</w:t>
      </w:r>
      <w:r>
        <w:rPr>
          <w:position w:val="11"/>
          <w:sz w:val="16"/>
        </w:rPr>
        <w:t>a </w:t>
      </w:r>
      <w:r>
        <w:rPr/>
        <w:t>ed. Elsevier Masson Doyma México, Pp 195-218.</w:t>
      </w:r>
    </w:p>
    <w:p>
      <w:pPr>
        <w:pStyle w:val="BodyText"/>
        <w:spacing w:before="8"/>
        <w:rPr>
          <w:sz w:val="22"/>
        </w:rPr>
      </w:pPr>
    </w:p>
    <w:p>
      <w:pPr>
        <w:pStyle w:val="BodyText"/>
        <w:spacing w:line="360" w:lineRule="auto"/>
        <w:ind w:left="152" w:right="140"/>
        <w:jc w:val="both"/>
      </w:pPr>
      <w:r>
        <w:rPr/>
        <w:t>Schmitz S, CoenenC,König M, Jürgen H, Neiger R. (2009). Comparison of three rapid commercial Canine parvovirus antigen detection test with electron  microscopy and polymerase chain reaction. Journa Veterinary Diagnosis Investigation 21:</w:t>
      </w:r>
      <w:r>
        <w:rPr>
          <w:spacing w:val="-9"/>
        </w:rPr>
        <w:t> </w:t>
      </w:r>
      <w:r>
        <w:rPr/>
        <w:t>344-345.</w:t>
      </w:r>
    </w:p>
    <w:p>
      <w:pPr>
        <w:pStyle w:val="BodyText"/>
        <w:spacing w:line="355" w:lineRule="auto" w:before="209"/>
        <w:ind w:left="152" w:right="155"/>
        <w:jc w:val="both"/>
      </w:pPr>
      <w:r>
        <w:rPr/>
        <w:t>Schoeman J, A Goddard, A Leisewitz. (2013). Biomarkers in canine parvovirus enteritis. New Zealand Veterinary Journal 6, 217-222.</w:t>
      </w:r>
    </w:p>
    <w:p>
      <w:pPr>
        <w:spacing w:after="0" w:line="355" w:lineRule="auto"/>
        <w:jc w:val="both"/>
        <w:sectPr>
          <w:footerReference w:type="default" r:id="rId43"/>
          <w:pgSz w:w="12240" w:h="15840"/>
          <w:pgMar w:footer="1713" w:header="1154" w:top="1520" w:bottom="1900" w:left="1720" w:right="1380"/>
        </w:sectPr>
      </w:pPr>
    </w:p>
    <w:p>
      <w:pPr>
        <w:pStyle w:val="BodyText"/>
        <w:spacing w:before="2"/>
        <w:rPr>
          <w:sz w:val="18"/>
        </w:rPr>
      </w:pPr>
    </w:p>
    <w:p>
      <w:pPr>
        <w:pStyle w:val="BodyText"/>
        <w:spacing w:line="357" w:lineRule="auto" w:before="70"/>
        <w:ind w:left="152" w:right="145"/>
        <w:jc w:val="both"/>
      </w:pPr>
      <w:r>
        <w:rPr/>
        <w:t>Schunck B, W Kraft, U Truyen. (1995). A simple touch-down polymerase chain reaction for the detection of canine parvovirus and feline panleucopenia virus in feces. Journal of Virological Methods 55, 427-433.</w:t>
      </w:r>
    </w:p>
    <w:p>
      <w:pPr>
        <w:pStyle w:val="BodyText"/>
        <w:spacing w:before="8"/>
        <w:rPr>
          <w:sz w:val="21"/>
        </w:rPr>
      </w:pPr>
    </w:p>
    <w:p>
      <w:pPr>
        <w:pStyle w:val="BodyText"/>
        <w:spacing w:line="360" w:lineRule="auto"/>
        <w:ind w:left="152" w:right="155"/>
        <w:jc w:val="both"/>
      </w:pPr>
      <w:r>
        <w:rPr/>
        <w:t>Sellon R. (2007). Virosis caninas en Tratado de Medicina Interna Veterinaria Stephen J. Ettinger. Editorial Elsevier Sexta Edición.</w:t>
      </w:r>
    </w:p>
    <w:p>
      <w:pPr>
        <w:pStyle w:val="BodyText"/>
        <w:spacing w:line="355" w:lineRule="auto" w:before="209"/>
        <w:ind w:left="152" w:right="148"/>
        <w:jc w:val="both"/>
      </w:pPr>
      <w:r>
        <w:rPr/>
        <w:t>Shackelton L, C Parrish, U Truyen, E Holmes. (2005). High rate of viral evolution associated with the emergence of carnivore parvovirus. PNAS102, 379-384.</w:t>
      </w:r>
    </w:p>
    <w:p>
      <w:pPr>
        <w:pStyle w:val="BodyText"/>
        <w:spacing w:before="11"/>
        <w:rPr>
          <w:sz w:val="21"/>
        </w:rPr>
      </w:pPr>
    </w:p>
    <w:p>
      <w:pPr>
        <w:pStyle w:val="BodyText"/>
        <w:spacing w:line="360" w:lineRule="auto"/>
        <w:ind w:left="152" w:right="144"/>
        <w:jc w:val="both"/>
      </w:pPr>
      <w:r>
        <w:rPr/>
        <w:t>Truyen U. (1999). Emergence and recent evolution of canine  parvovirus.  Veterinary Microbiology 69 47-50.</w:t>
      </w:r>
    </w:p>
    <w:p>
      <w:pPr>
        <w:pStyle w:val="BodyText"/>
        <w:spacing w:before="1"/>
        <w:rPr>
          <w:sz w:val="21"/>
        </w:rPr>
      </w:pPr>
    </w:p>
    <w:p>
      <w:pPr>
        <w:pStyle w:val="BodyText"/>
        <w:spacing w:line="360" w:lineRule="auto"/>
        <w:ind w:left="152" w:right="142"/>
        <w:jc w:val="both"/>
      </w:pPr>
      <w:r>
        <w:rPr/>
        <w:t>Truyen U. (2006). Evolution of canine parvovirus-A need for new vaccines?. Veterinary Microbiology 117 (2006) 9-13.</w:t>
      </w:r>
    </w:p>
    <w:p>
      <w:pPr>
        <w:pStyle w:val="BodyText"/>
        <w:spacing w:line="357" w:lineRule="auto" w:before="209"/>
        <w:ind w:left="152" w:right="155"/>
        <w:jc w:val="both"/>
      </w:pPr>
      <w:r>
        <w:rPr/>
        <w:t>Uwatoko K, M Sunairi, M Nakajima, K Yamaura. (1995). Rapid method utilizing the polymerase chain reaction for detection of canine parvovirus in feces of diarrheic dogs. Veterinary Microbiology 43, 315-323.</w:t>
      </w:r>
    </w:p>
    <w:p>
      <w:pPr>
        <w:pStyle w:val="BodyText"/>
        <w:spacing w:before="8"/>
        <w:rPr>
          <w:sz w:val="21"/>
        </w:rPr>
      </w:pPr>
    </w:p>
    <w:p>
      <w:pPr>
        <w:pStyle w:val="BodyText"/>
        <w:spacing w:line="360" w:lineRule="auto"/>
        <w:ind w:left="152" w:right="146"/>
        <w:jc w:val="both"/>
      </w:pPr>
      <w:r>
        <w:rPr/>
        <w:t>Villiers E, Dunn J. (2000). Hematología básica en Manual de Patología clínica en pequeños animales. Malcom G. Davidson. Ediciones S. España.</w:t>
      </w:r>
    </w:p>
    <w:p>
      <w:pPr>
        <w:spacing w:after="0" w:line="360" w:lineRule="auto"/>
        <w:jc w:val="both"/>
        <w:sectPr>
          <w:footerReference w:type="default" r:id="rId44"/>
          <w:pgSz w:w="12240" w:h="15840"/>
          <w:pgMar w:footer="1713" w:header="1154" w:top="1520" w:bottom="1900" w:left="1720" w:right="1380"/>
          <w:pgNumType w:start="71"/>
        </w:sectPr>
      </w:pPr>
    </w:p>
    <w:p>
      <w:pPr>
        <w:pStyle w:val="BodyText"/>
        <w:spacing w:before="4"/>
        <w:rPr>
          <w:sz w:val="17"/>
        </w:rPr>
      </w:pPr>
    </w:p>
    <w:p>
      <w:pPr>
        <w:pStyle w:val="Heading1"/>
        <w:numPr>
          <w:ilvl w:val="0"/>
          <w:numId w:val="1"/>
        </w:numPr>
        <w:tabs>
          <w:tab w:pos="513" w:val="left" w:leader="none"/>
        </w:tabs>
        <w:spacing w:line="240" w:lineRule="auto" w:before="69" w:after="0"/>
        <w:ind w:left="513" w:right="0" w:hanging="361"/>
        <w:jc w:val="left"/>
      </w:pPr>
      <w:r>
        <w:rPr/>
        <w:t>ANEXOS</w:t>
      </w:r>
    </w:p>
    <w:p>
      <w:pPr>
        <w:pStyle w:val="BodyText"/>
        <w:spacing w:before="5"/>
        <w:rPr>
          <w:b/>
          <w:sz w:val="29"/>
        </w:rPr>
      </w:pPr>
    </w:p>
    <w:p>
      <w:pPr>
        <w:spacing w:before="0"/>
        <w:ind w:left="152" w:right="153" w:firstLine="0"/>
        <w:jc w:val="left"/>
        <w:rPr>
          <w:b/>
          <w:sz w:val="24"/>
        </w:rPr>
      </w:pPr>
      <w:r>
        <w:rPr>
          <w:b/>
          <w:sz w:val="24"/>
        </w:rPr>
        <w:t>1 Formato de encuesta realizada a los 1054 veterinarios.</w:t>
      </w:r>
    </w:p>
    <w:p>
      <w:pPr>
        <w:pStyle w:val="BodyText"/>
        <w:spacing w:before="1"/>
        <w:rPr>
          <w:b/>
          <w:sz w:val="27"/>
        </w:rPr>
      </w:pPr>
      <w:r>
        <w:rPr/>
        <w:drawing>
          <wp:anchor distT="0" distB="0" distL="0" distR="0" allowOverlap="1" layoutInCell="1" locked="0" behindDoc="0" simplePos="0" relativeHeight="1792">
            <wp:simplePos x="0" y="0"/>
            <wp:positionH relativeFrom="page">
              <wp:posOffset>1416685</wp:posOffset>
            </wp:positionH>
            <wp:positionV relativeFrom="paragraph">
              <wp:posOffset>223101</wp:posOffset>
            </wp:positionV>
            <wp:extent cx="4954469" cy="6270783"/>
            <wp:effectExtent l="0" t="0" r="0" b="0"/>
            <wp:wrapTopAndBottom/>
            <wp:docPr id="55" name="image18.png" descr=""/>
            <wp:cNvGraphicFramePr>
              <a:graphicFrameLocks noChangeAspect="1"/>
            </wp:cNvGraphicFramePr>
            <a:graphic>
              <a:graphicData uri="http://schemas.openxmlformats.org/drawingml/2006/picture">
                <pic:pic>
                  <pic:nvPicPr>
                    <pic:cNvPr id="56" name="image18.png"/>
                    <pic:cNvPicPr/>
                  </pic:nvPicPr>
                  <pic:blipFill>
                    <a:blip r:embed="rId45" cstate="print"/>
                    <a:stretch>
                      <a:fillRect/>
                    </a:stretch>
                  </pic:blipFill>
                  <pic:spPr>
                    <a:xfrm>
                      <a:off x="0" y="0"/>
                      <a:ext cx="4954469" cy="6270783"/>
                    </a:xfrm>
                    <a:prstGeom prst="rect">
                      <a:avLst/>
                    </a:prstGeom>
                  </pic:spPr>
                </pic:pic>
              </a:graphicData>
            </a:graphic>
          </wp:anchor>
        </w:drawing>
      </w:r>
    </w:p>
    <w:p>
      <w:pPr>
        <w:spacing w:after="0"/>
        <w:rPr>
          <w:sz w:val="27"/>
        </w:rPr>
        <w:sectPr>
          <w:pgSz w:w="12240" w:h="15840"/>
          <w:pgMar w:header="1154" w:footer="1713" w:top="1520" w:bottom="1900" w:left="1720" w:right="1380"/>
        </w:sectPr>
      </w:pPr>
    </w:p>
    <w:p>
      <w:pPr>
        <w:pStyle w:val="BodyText"/>
        <w:rPr>
          <w:b/>
          <w:sz w:val="20"/>
        </w:rPr>
      </w:pPr>
    </w:p>
    <w:p>
      <w:pPr>
        <w:pStyle w:val="BodyText"/>
        <w:rPr>
          <w:b/>
          <w:sz w:val="20"/>
        </w:rPr>
      </w:pPr>
    </w:p>
    <w:p>
      <w:pPr>
        <w:pStyle w:val="ListParagraph"/>
        <w:numPr>
          <w:ilvl w:val="0"/>
          <w:numId w:val="28"/>
        </w:numPr>
        <w:tabs>
          <w:tab w:pos="513" w:val="left" w:leader="none"/>
        </w:tabs>
        <w:spacing w:line="240" w:lineRule="auto" w:before="193" w:after="0"/>
        <w:ind w:left="513" w:right="0" w:hanging="361"/>
        <w:jc w:val="left"/>
        <w:rPr>
          <w:rFonts w:ascii="Arial" w:hAnsi="Arial"/>
          <w:b/>
          <w:sz w:val="24"/>
        </w:rPr>
      </w:pPr>
      <w:r>
        <w:rPr>
          <w:rFonts w:ascii="Arial" w:hAnsi="Arial"/>
          <w:b/>
          <w:sz w:val="24"/>
        </w:rPr>
        <w:t>Hoja de diagnóstico</w:t>
      </w:r>
      <w:r>
        <w:rPr>
          <w:rFonts w:ascii="Arial" w:hAnsi="Arial"/>
          <w:b/>
          <w:spacing w:val="-12"/>
          <w:sz w:val="24"/>
        </w:rPr>
        <w:t> </w:t>
      </w:r>
      <w:r>
        <w:rPr>
          <w:rFonts w:ascii="Arial" w:hAnsi="Arial"/>
          <w:b/>
          <w:sz w:val="24"/>
        </w:rPr>
        <w:t>clínico</w:t>
      </w:r>
    </w:p>
    <w:p>
      <w:pPr>
        <w:pStyle w:val="BodyText"/>
        <w:rPr>
          <w:b/>
          <w:sz w:val="20"/>
        </w:rPr>
      </w:pPr>
    </w:p>
    <w:p>
      <w:pPr>
        <w:pStyle w:val="BodyText"/>
        <w:spacing w:before="10"/>
        <w:rPr>
          <w:b/>
          <w:sz w:val="25"/>
        </w:rPr>
      </w:pPr>
      <w:r>
        <w:rPr/>
        <w:drawing>
          <wp:anchor distT="0" distB="0" distL="0" distR="0" allowOverlap="1" layoutInCell="1" locked="0" behindDoc="0" simplePos="0" relativeHeight="1816">
            <wp:simplePos x="0" y="0"/>
            <wp:positionH relativeFrom="page">
              <wp:posOffset>1197610</wp:posOffset>
            </wp:positionH>
            <wp:positionV relativeFrom="paragraph">
              <wp:posOffset>214096</wp:posOffset>
            </wp:positionV>
            <wp:extent cx="5555713" cy="6588252"/>
            <wp:effectExtent l="0" t="0" r="0" b="0"/>
            <wp:wrapTopAndBottom/>
            <wp:docPr id="57" name="image19.png" descr=""/>
            <wp:cNvGraphicFramePr>
              <a:graphicFrameLocks noChangeAspect="1"/>
            </wp:cNvGraphicFramePr>
            <a:graphic>
              <a:graphicData uri="http://schemas.openxmlformats.org/drawingml/2006/picture">
                <pic:pic>
                  <pic:nvPicPr>
                    <pic:cNvPr id="58" name="image19.png"/>
                    <pic:cNvPicPr/>
                  </pic:nvPicPr>
                  <pic:blipFill>
                    <a:blip r:embed="rId46" cstate="print"/>
                    <a:stretch>
                      <a:fillRect/>
                    </a:stretch>
                  </pic:blipFill>
                  <pic:spPr>
                    <a:xfrm>
                      <a:off x="0" y="0"/>
                      <a:ext cx="5555713" cy="6588252"/>
                    </a:xfrm>
                    <a:prstGeom prst="rect">
                      <a:avLst/>
                    </a:prstGeom>
                  </pic:spPr>
                </pic:pic>
              </a:graphicData>
            </a:graphic>
          </wp:anchor>
        </w:drawing>
      </w:r>
    </w:p>
    <w:p>
      <w:pPr>
        <w:spacing w:after="0"/>
        <w:rPr>
          <w:sz w:val="25"/>
        </w:rPr>
        <w:sectPr>
          <w:pgSz w:w="12240" w:h="15840"/>
          <w:pgMar w:header="1154" w:footer="1713" w:top="1520" w:bottom="1900" w:left="1720" w:right="1380"/>
        </w:sectPr>
      </w:pPr>
    </w:p>
    <w:p>
      <w:pPr>
        <w:pStyle w:val="BodyText"/>
        <w:spacing w:before="9"/>
        <w:rPr>
          <w:b/>
          <w:sz w:val="17"/>
        </w:rPr>
      </w:pPr>
    </w:p>
    <w:p>
      <w:pPr>
        <w:pStyle w:val="ListParagraph"/>
        <w:numPr>
          <w:ilvl w:val="0"/>
          <w:numId w:val="28"/>
        </w:numPr>
        <w:tabs>
          <w:tab w:pos="580" w:val="left" w:leader="none"/>
          <w:tab w:pos="581" w:val="left" w:leader="none"/>
        </w:tabs>
        <w:spacing w:line="240" w:lineRule="auto" w:before="69" w:after="0"/>
        <w:ind w:left="580" w:right="0" w:hanging="428"/>
        <w:jc w:val="left"/>
        <w:rPr>
          <w:rFonts w:ascii="Arial" w:hAnsi="Arial"/>
          <w:b/>
          <w:sz w:val="24"/>
        </w:rPr>
      </w:pPr>
      <w:r>
        <w:rPr>
          <w:rFonts w:ascii="Arial" w:hAnsi="Arial"/>
          <w:b/>
          <w:sz w:val="24"/>
        </w:rPr>
        <w:t>Protocolo de extracción de</w:t>
      </w:r>
      <w:r>
        <w:rPr>
          <w:rFonts w:ascii="Arial" w:hAnsi="Arial"/>
          <w:b/>
          <w:spacing w:val="-16"/>
          <w:sz w:val="24"/>
        </w:rPr>
        <w:t> </w:t>
      </w:r>
      <w:r>
        <w:rPr>
          <w:rFonts w:ascii="Arial" w:hAnsi="Arial"/>
          <w:b/>
          <w:sz w:val="24"/>
        </w:rPr>
        <w:t>DNA</w:t>
      </w:r>
    </w:p>
    <w:p>
      <w:pPr>
        <w:pStyle w:val="BodyText"/>
        <w:rPr>
          <w:b/>
        </w:rPr>
      </w:pPr>
    </w:p>
    <w:p>
      <w:pPr>
        <w:pStyle w:val="BodyText"/>
        <w:spacing w:before="3"/>
        <w:rPr>
          <w:b/>
        </w:rPr>
      </w:pPr>
    </w:p>
    <w:p>
      <w:pPr>
        <w:pStyle w:val="ListParagraph"/>
        <w:numPr>
          <w:ilvl w:val="0"/>
          <w:numId w:val="29"/>
        </w:numPr>
        <w:tabs>
          <w:tab w:pos="512" w:val="left" w:leader="none"/>
          <w:tab w:pos="513" w:val="left" w:leader="none"/>
        </w:tabs>
        <w:spacing w:line="240" w:lineRule="auto" w:before="0" w:after="0"/>
        <w:ind w:left="513" w:right="0" w:hanging="361"/>
        <w:jc w:val="left"/>
        <w:rPr>
          <w:rFonts w:ascii="Arial" w:hAnsi="Arial"/>
          <w:sz w:val="24"/>
        </w:rPr>
      </w:pPr>
      <w:r>
        <w:rPr>
          <w:rFonts w:ascii="Arial" w:hAnsi="Arial"/>
          <w:sz w:val="24"/>
        </w:rPr>
        <w:t>Prender baño seco a</w:t>
      </w:r>
      <w:r>
        <w:rPr>
          <w:rFonts w:ascii="Arial" w:hAnsi="Arial"/>
          <w:spacing w:val="-7"/>
          <w:sz w:val="24"/>
        </w:rPr>
        <w:t> </w:t>
      </w:r>
      <w:r>
        <w:rPr>
          <w:rFonts w:ascii="Arial" w:hAnsi="Arial"/>
          <w:sz w:val="24"/>
        </w:rPr>
        <w:t>56°C.</w:t>
      </w:r>
    </w:p>
    <w:p>
      <w:pPr>
        <w:pStyle w:val="ListParagraph"/>
        <w:numPr>
          <w:ilvl w:val="0"/>
          <w:numId w:val="29"/>
        </w:numPr>
        <w:tabs>
          <w:tab w:pos="512" w:val="left" w:leader="none"/>
          <w:tab w:pos="513" w:val="left" w:leader="none"/>
        </w:tabs>
        <w:spacing w:line="240" w:lineRule="auto" w:before="141" w:after="0"/>
        <w:ind w:left="513" w:right="0" w:hanging="361"/>
        <w:jc w:val="left"/>
        <w:rPr>
          <w:rFonts w:ascii="Arial" w:hAnsi="Arial"/>
          <w:sz w:val="24"/>
        </w:rPr>
      </w:pPr>
      <w:r>
        <w:rPr>
          <w:rFonts w:ascii="Arial" w:hAnsi="Arial"/>
          <w:sz w:val="24"/>
        </w:rPr>
        <w:t>Colocar la solución de elución en baño seco para su posterior</w:t>
      </w:r>
      <w:r>
        <w:rPr>
          <w:rFonts w:ascii="Arial" w:hAnsi="Arial"/>
          <w:spacing w:val="-24"/>
          <w:sz w:val="24"/>
        </w:rPr>
        <w:t> </w:t>
      </w:r>
      <w:r>
        <w:rPr>
          <w:rFonts w:ascii="Arial" w:hAnsi="Arial"/>
          <w:sz w:val="24"/>
        </w:rPr>
        <w:t>uso.</w:t>
      </w:r>
    </w:p>
    <w:p>
      <w:pPr>
        <w:pStyle w:val="ListParagraph"/>
        <w:numPr>
          <w:ilvl w:val="0"/>
          <w:numId w:val="29"/>
        </w:numPr>
        <w:tabs>
          <w:tab w:pos="513" w:val="left" w:leader="none"/>
        </w:tabs>
        <w:spacing w:line="360" w:lineRule="auto" w:before="137" w:after="0"/>
        <w:ind w:left="513" w:right="156" w:hanging="361"/>
        <w:jc w:val="both"/>
        <w:rPr>
          <w:rFonts w:ascii="Arial" w:hAnsi="Arial"/>
          <w:sz w:val="24"/>
        </w:rPr>
      </w:pPr>
      <w:r>
        <w:rPr>
          <w:rFonts w:ascii="Arial" w:hAnsi="Arial"/>
          <w:sz w:val="24"/>
        </w:rPr>
        <w:t>Agregar 50 µl de solución preparadora de columnas a la membrana de la columna y manténgala a temperatura ambiente hasta el procesamiento de la muestra.</w:t>
      </w:r>
    </w:p>
    <w:p>
      <w:pPr>
        <w:pStyle w:val="ListParagraph"/>
        <w:numPr>
          <w:ilvl w:val="0"/>
          <w:numId w:val="29"/>
        </w:numPr>
        <w:tabs>
          <w:tab w:pos="512" w:val="left" w:leader="none"/>
          <w:tab w:pos="513" w:val="left" w:leader="none"/>
        </w:tabs>
        <w:spacing w:line="360" w:lineRule="auto" w:before="7" w:after="0"/>
        <w:ind w:left="513" w:right="148" w:hanging="361"/>
        <w:jc w:val="left"/>
        <w:rPr>
          <w:rFonts w:ascii="Arial" w:hAnsi="Arial"/>
          <w:sz w:val="24"/>
        </w:rPr>
      </w:pPr>
      <w:r>
        <w:rPr>
          <w:rFonts w:ascii="Arial" w:hAnsi="Arial"/>
          <w:sz w:val="24"/>
        </w:rPr>
        <w:t>En un tubo de </w:t>
      </w:r>
      <w:r>
        <w:rPr>
          <w:rFonts w:ascii="Arial" w:hAnsi="Arial"/>
          <w:spacing w:val="-3"/>
          <w:sz w:val="24"/>
        </w:rPr>
        <w:t>1.5ml </w:t>
      </w:r>
      <w:r>
        <w:rPr>
          <w:rFonts w:ascii="Arial" w:hAnsi="Arial"/>
          <w:sz w:val="24"/>
        </w:rPr>
        <w:t>agregar 200µl de la muestra y 200µl de solución de lisis y 50µl de proteinasa K, mezclar mediante vortex e incubar 15 minutos a</w:t>
      </w:r>
      <w:r>
        <w:rPr>
          <w:rFonts w:ascii="Arial" w:hAnsi="Arial"/>
          <w:spacing w:val="-35"/>
          <w:sz w:val="24"/>
        </w:rPr>
        <w:t> </w:t>
      </w:r>
      <w:r>
        <w:rPr>
          <w:rFonts w:ascii="Arial" w:hAnsi="Arial"/>
          <w:sz w:val="24"/>
        </w:rPr>
        <w:t>56°C.</w:t>
      </w:r>
    </w:p>
    <w:p>
      <w:pPr>
        <w:pStyle w:val="ListParagraph"/>
        <w:numPr>
          <w:ilvl w:val="0"/>
          <w:numId w:val="29"/>
        </w:numPr>
        <w:tabs>
          <w:tab w:pos="512" w:val="left" w:leader="none"/>
          <w:tab w:pos="513" w:val="left" w:leader="none"/>
        </w:tabs>
        <w:spacing w:line="240" w:lineRule="auto" w:before="2" w:after="0"/>
        <w:ind w:left="513" w:right="0" w:hanging="361"/>
        <w:jc w:val="left"/>
        <w:rPr>
          <w:rFonts w:ascii="Arial" w:hAnsi="Arial"/>
          <w:sz w:val="24"/>
        </w:rPr>
      </w:pPr>
      <w:r>
        <w:rPr>
          <w:rFonts w:ascii="Arial" w:hAnsi="Arial"/>
          <w:sz w:val="24"/>
        </w:rPr>
        <w:t>Después de la incubación agregar 300µl de etanol 100% y</w:t>
      </w:r>
      <w:r>
        <w:rPr>
          <w:rFonts w:ascii="Arial" w:hAnsi="Arial"/>
          <w:spacing w:val="-33"/>
          <w:sz w:val="24"/>
        </w:rPr>
        <w:t> </w:t>
      </w:r>
      <w:r>
        <w:rPr>
          <w:rFonts w:ascii="Arial" w:hAnsi="Arial"/>
          <w:sz w:val="24"/>
        </w:rPr>
        <w:t>vortexear.</w:t>
      </w:r>
    </w:p>
    <w:p>
      <w:pPr>
        <w:pStyle w:val="ListParagraph"/>
        <w:numPr>
          <w:ilvl w:val="0"/>
          <w:numId w:val="29"/>
        </w:numPr>
        <w:tabs>
          <w:tab w:pos="512" w:val="left" w:leader="none"/>
          <w:tab w:pos="513" w:val="left" w:leader="none"/>
        </w:tabs>
        <w:spacing w:line="240" w:lineRule="auto" w:before="137" w:after="0"/>
        <w:ind w:left="513" w:right="0" w:hanging="361"/>
        <w:jc w:val="left"/>
        <w:rPr>
          <w:rFonts w:ascii="Arial"/>
          <w:sz w:val="24"/>
        </w:rPr>
      </w:pPr>
      <w:r>
        <w:rPr>
          <w:rFonts w:ascii="Arial"/>
          <w:sz w:val="24"/>
        </w:rPr>
        <w:t>Incubar a temperatura ambiente por 3</w:t>
      </w:r>
      <w:r>
        <w:rPr>
          <w:rFonts w:ascii="Arial"/>
          <w:spacing w:val="-26"/>
          <w:sz w:val="24"/>
        </w:rPr>
        <w:t> </w:t>
      </w:r>
      <w:r>
        <w:rPr>
          <w:rFonts w:ascii="Arial"/>
          <w:sz w:val="24"/>
        </w:rPr>
        <w:t>minutos.</w:t>
      </w:r>
    </w:p>
    <w:p>
      <w:pPr>
        <w:pStyle w:val="ListParagraph"/>
        <w:numPr>
          <w:ilvl w:val="0"/>
          <w:numId w:val="29"/>
        </w:numPr>
        <w:tabs>
          <w:tab w:pos="512" w:val="left" w:leader="none"/>
          <w:tab w:pos="513" w:val="left" w:leader="none"/>
        </w:tabs>
        <w:spacing w:line="360" w:lineRule="auto" w:before="141" w:after="0"/>
        <w:ind w:left="513" w:right="149" w:hanging="361"/>
        <w:jc w:val="left"/>
        <w:rPr>
          <w:rFonts w:ascii="Arial"/>
          <w:sz w:val="24"/>
        </w:rPr>
      </w:pPr>
      <w:r>
        <w:rPr>
          <w:rFonts w:ascii="Arial"/>
          <w:sz w:val="24"/>
        </w:rPr>
        <w:t>Colocar el lisado en columna pre ensamblada y centrifugar 1 minuto a 10000 rpm.</w:t>
      </w:r>
    </w:p>
    <w:p>
      <w:pPr>
        <w:pStyle w:val="ListParagraph"/>
        <w:numPr>
          <w:ilvl w:val="0"/>
          <w:numId w:val="29"/>
        </w:numPr>
        <w:tabs>
          <w:tab w:pos="512" w:val="left" w:leader="none"/>
          <w:tab w:pos="513" w:val="left" w:leader="none"/>
        </w:tabs>
        <w:spacing w:line="240" w:lineRule="auto" w:before="2" w:after="0"/>
        <w:ind w:left="513" w:right="0" w:hanging="361"/>
        <w:jc w:val="left"/>
        <w:rPr>
          <w:rFonts w:ascii="Arial" w:hAnsi="Arial"/>
          <w:sz w:val="24"/>
        </w:rPr>
      </w:pPr>
      <w:r>
        <w:rPr>
          <w:rFonts w:ascii="Arial" w:hAnsi="Arial"/>
          <w:sz w:val="24"/>
        </w:rPr>
        <w:t>Tirar el residuo y adicionar 700µl de solución cash tipo</w:t>
      </w:r>
      <w:r>
        <w:rPr>
          <w:rFonts w:ascii="Arial" w:hAnsi="Arial"/>
          <w:spacing w:val="-25"/>
          <w:sz w:val="24"/>
        </w:rPr>
        <w:t> </w:t>
      </w:r>
      <w:r>
        <w:rPr>
          <w:rFonts w:ascii="Arial" w:hAnsi="Arial"/>
          <w:sz w:val="24"/>
        </w:rPr>
        <w:t>1</w:t>
      </w:r>
    </w:p>
    <w:p>
      <w:pPr>
        <w:pStyle w:val="ListParagraph"/>
        <w:numPr>
          <w:ilvl w:val="0"/>
          <w:numId w:val="29"/>
        </w:numPr>
        <w:tabs>
          <w:tab w:pos="512" w:val="left" w:leader="none"/>
          <w:tab w:pos="513" w:val="left" w:leader="none"/>
        </w:tabs>
        <w:spacing w:line="240" w:lineRule="auto" w:before="137" w:after="0"/>
        <w:ind w:left="513" w:right="0" w:hanging="361"/>
        <w:jc w:val="left"/>
        <w:rPr>
          <w:rFonts w:ascii="Arial"/>
          <w:sz w:val="24"/>
        </w:rPr>
      </w:pPr>
      <w:r>
        <w:rPr>
          <w:rFonts w:ascii="Arial"/>
          <w:sz w:val="24"/>
        </w:rPr>
        <w:t>Centrifugar 1 minuto a 10000</w:t>
      </w:r>
      <w:r>
        <w:rPr>
          <w:rFonts w:ascii="Arial"/>
          <w:spacing w:val="-18"/>
          <w:sz w:val="24"/>
        </w:rPr>
        <w:t> </w:t>
      </w:r>
      <w:r>
        <w:rPr>
          <w:rFonts w:ascii="Arial"/>
          <w:sz w:val="24"/>
        </w:rPr>
        <w:t>rpm.</w:t>
      </w:r>
    </w:p>
    <w:p>
      <w:pPr>
        <w:pStyle w:val="ListParagraph"/>
        <w:numPr>
          <w:ilvl w:val="0"/>
          <w:numId w:val="29"/>
        </w:numPr>
        <w:tabs>
          <w:tab w:pos="513" w:val="left" w:leader="none"/>
        </w:tabs>
        <w:spacing w:line="360" w:lineRule="auto" w:before="141" w:after="0"/>
        <w:ind w:left="152" w:right="2773" w:firstLine="0"/>
        <w:jc w:val="left"/>
        <w:rPr>
          <w:rFonts w:ascii="Arial" w:hAnsi="Arial"/>
          <w:sz w:val="24"/>
        </w:rPr>
      </w:pPr>
      <w:r>
        <w:rPr>
          <w:rFonts w:ascii="Arial" w:hAnsi="Arial"/>
          <w:sz w:val="24"/>
        </w:rPr>
        <w:t>Tirar el residuo y adicionar 500µl de wash buffer tipo 2. 11 Centrifugar 1 minuto a 10000</w:t>
      </w:r>
      <w:r>
        <w:rPr>
          <w:rFonts w:ascii="Arial" w:hAnsi="Arial"/>
          <w:spacing w:val="7"/>
          <w:sz w:val="24"/>
        </w:rPr>
        <w:t> </w:t>
      </w:r>
      <w:r>
        <w:rPr>
          <w:rFonts w:ascii="Arial" w:hAnsi="Arial"/>
          <w:sz w:val="24"/>
        </w:rPr>
        <w:t>rpm.</w:t>
      </w:r>
    </w:p>
    <w:p>
      <w:pPr>
        <w:pStyle w:val="BodyText"/>
        <w:spacing w:line="360" w:lineRule="auto" w:before="2"/>
        <w:ind w:left="152" w:right="1185"/>
      </w:pPr>
      <w:r>
        <w:rPr/>
        <w:t>12 Tirar el residuo y adicionar nuevamente 500µl de Wash bufer tipo 2. 13 Centrifugar 1 minuto a 10000 rpm.</w:t>
      </w:r>
    </w:p>
    <w:p>
      <w:pPr>
        <w:pStyle w:val="ListParagraph"/>
        <w:numPr>
          <w:ilvl w:val="0"/>
          <w:numId w:val="30"/>
        </w:numPr>
        <w:tabs>
          <w:tab w:pos="513" w:val="left" w:leader="none"/>
        </w:tabs>
        <w:spacing w:line="240" w:lineRule="auto" w:before="7" w:after="0"/>
        <w:ind w:left="513" w:right="0" w:hanging="361"/>
        <w:jc w:val="left"/>
        <w:rPr>
          <w:rFonts w:ascii="Arial"/>
          <w:sz w:val="24"/>
        </w:rPr>
      </w:pPr>
      <w:r>
        <w:rPr>
          <w:rFonts w:ascii="Arial"/>
          <w:sz w:val="24"/>
        </w:rPr>
        <w:t>Tirar el residuo y centrifugar la columna 3 minutos a 10000</w:t>
      </w:r>
      <w:r>
        <w:rPr>
          <w:rFonts w:ascii="Arial"/>
          <w:spacing w:val="-26"/>
          <w:sz w:val="24"/>
        </w:rPr>
        <w:t> </w:t>
      </w:r>
      <w:r>
        <w:rPr>
          <w:rFonts w:ascii="Arial"/>
          <w:spacing w:val="-3"/>
          <w:sz w:val="24"/>
        </w:rPr>
        <w:t>rpm.</w:t>
      </w:r>
    </w:p>
    <w:p>
      <w:pPr>
        <w:pStyle w:val="ListParagraph"/>
        <w:numPr>
          <w:ilvl w:val="0"/>
          <w:numId w:val="30"/>
        </w:numPr>
        <w:tabs>
          <w:tab w:pos="513" w:val="left" w:leader="none"/>
        </w:tabs>
        <w:spacing w:line="360" w:lineRule="auto" w:before="137" w:after="0"/>
        <w:ind w:left="513" w:right="153" w:hanging="361"/>
        <w:jc w:val="both"/>
        <w:rPr>
          <w:rFonts w:ascii="Arial" w:hAnsi="Arial"/>
          <w:sz w:val="24"/>
        </w:rPr>
      </w:pPr>
      <w:r>
        <w:rPr>
          <w:rFonts w:ascii="Arial" w:hAnsi="Arial"/>
          <w:sz w:val="24"/>
        </w:rPr>
        <w:t>Colocar la columna en un tubo de 1.5 </w:t>
      </w:r>
      <w:r>
        <w:rPr>
          <w:rFonts w:ascii="Arial" w:hAnsi="Arial"/>
          <w:spacing w:val="-4"/>
          <w:sz w:val="24"/>
        </w:rPr>
        <w:t>ml </w:t>
      </w:r>
      <w:r>
        <w:rPr>
          <w:rFonts w:ascii="Arial" w:hAnsi="Arial"/>
          <w:sz w:val="24"/>
        </w:rPr>
        <w:t>y adicionar 50µl de solución de elución previamente calentada a 56°C e incubar por 2 minutos a temperatura ambiente.</w:t>
      </w:r>
    </w:p>
    <w:p>
      <w:pPr>
        <w:pStyle w:val="ListParagraph"/>
        <w:numPr>
          <w:ilvl w:val="0"/>
          <w:numId w:val="30"/>
        </w:numPr>
        <w:tabs>
          <w:tab w:pos="513" w:val="left" w:leader="none"/>
        </w:tabs>
        <w:spacing w:line="240" w:lineRule="auto" w:before="2" w:after="0"/>
        <w:ind w:left="513" w:right="0" w:hanging="361"/>
        <w:jc w:val="left"/>
        <w:rPr>
          <w:rFonts w:ascii="Arial"/>
          <w:sz w:val="24"/>
        </w:rPr>
      </w:pPr>
      <w:r>
        <w:rPr>
          <w:rFonts w:ascii="Arial"/>
          <w:sz w:val="24"/>
        </w:rPr>
        <w:t>Centrifugar por 1 minuto a 14000</w:t>
      </w:r>
      <w:r>
        <w:rPr>
          <w:rFonts w:ascii="Arial"/>
          <w:spacing w:val="-20"/>
          <w:sz w:val="24"/>
        </w:rPr>
        <w:t> </w:t>
      </w:r>
      <w:r>
        <w:rPr>
          <w:rFonts w:ascii="Arial"/>
          <w:sz w:val="24"/>
        </w:rPr>
        <w:t>rpm.</w:t>
      </w:r>
    </w:p>
    <w:p>
      <w:pPr>
        <w:pStyle w:val="ListParagraph"/>
        <w:numPr>
          <w:ilvl w:val="0"/>
          <w:numId w:val="30"/>
        </w:numPr>
        <w:tabs>
          <w:tab w:pos="513" w:val="left" w:leader="none"/>
        </w:tabs>
        <w:spacing w:line="240" w:lineRule="auto" w:before="141" w:after="0"/>
        <w:ind w:left="513" w:right="0" w:hanging="361"/>
        <w:jc w:val="left"/>
        <w:rPr>
          <w:rFonts w:ascii="Arial" w:hAnsi="Arial"/>
          <w:sz w:val="24"/>
        </w:rPr>
      </w:pPr>
      <w:r>
        <w:rPr>
          <w:rFonts w:ascii="Arial" w:hAnsi="Arial"/>
          <w:sz w:val="24"/>
        </w:rPr>
        <w:t>Tirar la columna y conservar el líquido del</w:t>
      </w:r>
      <w:r>
        <w:rPr>
          <w:rFonts w:ascii="Arial" w:hAnsi="Arial"/>
          <w:spacing w:val="-21"/>
          <w:sz w:val="24"/>
        </w:rPr>
        <w:t> </w:t>
      </w:r>
      <w:r>
        <w:rPr>
          <w:rFonts w:ascii="Arial" w:hAnsi="Arial"/>
          <w:sz w:val="24"/>
        </w:rPr>
        <w:t>tubo.</w:t>
      </w:r>
    </w:p>
    <w:p>
      <w:pPr>
        <w:pStyle w:val="ListParagraph"/>
        <w:numPr>
          <w:ilvl w:val="0"/>
          <w:numId w:val="30"/>
        </w:numPr>
        <w:tabs>
          <w:tab w:pos="513" w:val="left" w:leader="none"/>
        </w:tabs>
        <w:spacing w:line="240" w:lineRule="auto" w:before="137" w:after="0"/>
        <w:ind w:left="513" w:right="0" w:hanging="361"/>
        <w:jc w:val="left"/>
        <w:rPr>
          <w:rFonts w:ascii="Arial" w:hAnsi="Arial"/>
          <w:sz w:val="24"/>
        </w:rPr>
      </w:pPr>
      <w:r>
        <w:rPr>
          <w:rFonts w:ascii="Arial" w:hAnsi="Arial"/>
          <w:sz w:val="24"/>
        </w:rPr>
        <w:t>Utilizar DNA  inmediatamente o conservar a  -20°C hasta su</w:t>
      </w:r>
      <w:r>
        <w:rPr>
          <w:rFonts w:ascii="Arial" w:hAnsi="Arial"/>
          <w:spacing w:val="-14"/>
          <w:sz w:val="24"/>
        </w:rPr>
        <w:t> </w:t>
      </w:r>
      <w:r>
        <w:rPr>
          <w:rFonts w:ascii="Arial" w:hAnsi="Arial"/>
          <w:sz w:val="24"/>
        </w:rPr>
        <w:t>análisis</w:t>
      </w:r>
    </w:p>
    <w:p>
      <w:pPr>
        <w:spacing w:after="0" w:line="240" w:lineRule="auto"/>
        <w:jc w:val="left"/>
        <w:rPr>
          <w:rFonts w:ascii="Arial" w:hAnsi="Arial"/>
          <w:sz w:val="24"/>
        </w:rPr>
        <w:sectPr>
          <w:pgSz w:w="12240" w:h="15840"/>
          <w:pgMar w:header="1154" w:footer="1713" w:top="1520" w:bottom="1900" w:left="1720" w:right="1380"/>
        </w:sectPr>
      </w:pPr>
    </w:p>
    <w:p>
      <w:pPr>
        <w:pStyle w:val="BodyText"/>
        <w:spacing w:before="4"/>
        <w:rPr>
          <w:sz w:val="17"/>
        </w:rPr>
      </w:pPr>
    </w:p>
    <w:p>
      <w:pPr>
        <w:pStyle w:val="Heading1"/>
        <w:numPr>
          <w:ilvl w:val="0"/>
          <w:numId w:val="28"/>
        </w:numPr>
        <w:tabs>
          <w:tab w:pos="513" w:val="left" w:leader="none"/>
        </w:tabs>
        <w:spacing w:line="240" w:lineRule="auto" w:before="69" w:after="0"/>
        <w:ind w:left="513" w:right="0" w:hanging="361"/>
        <w:jc w:val="left"/>
      </w:pPr>
      <w:r>
        <w:rPr/>
        <w:t>Manual de uso Inmunocromatografía</w:t>
      </w:r>
      <w:r>
        <w:rPr>
          <w:spacing w:val="-20"/>
        </w:rPr>
        <w:t> </w:t>
      </w:r>
      <w:r>
        <w:rPr/>
        <w:t>Anigen</w:t>
      </w:r>
    </w:p>
    <w:p>
      <w:pPr>
        <w:pStyle w:val="BodyText"/>
        <w:spacing w:before="10"/>
        <w:rPr>
          <w:b/>
          <w:sz w:val="29"/>
        </w:rPr>
      </w:pPr>
    </w:p>
    <w:p>
      <w:pPr>
        <w:pStyle w:val="BodyText"/>
        <w:ind w:left="152"/>
      </w:pPr>
      <w:r>
        <w:rPr/>
        <w:t>Para realizar este test deben utilizarse muestras de heces caninas vía rectal.</w:t>
      </w:r>
    </w:p>
    <w:p>
      <w:pPr>
        <w:pStyle w:val="BodyText"/>
        <w:spacing w:before="9"/>
        <w:rPr>
          <w:sz w:val="29"/>
        </w:rPr>
      </w:pPr>
    </w:p>
    <w:p>
      <w:pPr>
        <w:pStyle w:val="ListParagraph"/>
        <w:numPr>
          <w:ilvl w:val="0"/>
          <w:numId w:val="31"/>
        </w:numPr>
        <w:tabs>
          <w:tab w:pos="513" w:val="left" w:leader="none"/>
        </w:tabs>
        <w:spacing w:line="240" w:lineRule="auto" w:before="0" w:after="0"/>
        <w:ind w:left="513" w:right="0" w:hanging="361"/>
        <w:jc w:val="left"/>
        <w:rPr>
          <w:rFonts w:ascii="Arial" w:hAnsi="Arial"/>
          <w:sz w:val="24"/>
        </w:rPr>
      </w:pPr>
      <w:r>
        <w:rPr>
          <w:rFonts w:ascii="Arial" w:hAnsi="Arial"/>
          <w:sz w:val="24"/>
        </w:rPr>
        <w:t>Recolecte muestras de heces vía rectal con ayuda de hisopo</w:t>
      </w:r>
      <w:r>
        <w:rPr>
          <w:rFonts w:ascii="Arial" w:hAnsi="Arial"/>
          <w:spacing w:val="-30"/>
          <w:sz w:val="24"/>
        </w:rPr>
        <w:t> </w:t>
      </w:r>
      <w:r>
        <w:rPr>
          <w:rFonts w:ascii="Arial" w:hAnsi="Arial"/>
          <w:sz w:val="24"/>
        </w:rPr>
        <w:t>estéril.</w:t>
      </w:r>
    </w:p>
    <w:p>
      <w:pPr>
        <w:pStyle w:val="ListParagraph"/>
        <w:numPr>
          <w:ilvl w:val="0"/>
          <w:numId w:val="31"/>
        </w:numPr>
        <w:tabs>
          <w:tab w:pos="513" w:val="left" w:leader="none"/>
        </w:tabs>
        <w:spacing w:line="360" w:lineRule="auto" w:before="137" w:after="0"/>
        <w:ind w:left="513" w:right="477" w:hanging="361"/>
        <w:jc w:val="both"/>
        <w:rPr>
          <w:rFonts w:ascii="Arial"/>
          <w:sz w:val="24"/>
        </w:rPr>
      </w:pPr>
      <w:r>
        <w:rPr>
          <w:rFonts w:ascii="Arial"/>
          <w:sz w:val="24"/>
        </w:rPr>
        <w:t>Inserte el hisopo en el tubo de muestras que contienen 1 </w:t>
      </w:r>
      <w:r>
        <w:rPr>
          <w:rFonts w:ascii="Arial"/>
          <w:spacing w:val="-4"/>
          <w:sz w:val="24"/>
        </w:rPr>
        <w:t>ml </w:t>
      </w:r>
      <w:r>
        <w:rPr>
          <w:rFonts w:ascii="Arial"/>
          <w:sz w:val="24"/>
        </w:rPr>
        <w:t>del diluyente de la prueba para PVC</w:t>
      </w:r>
      <w:r>
        <w:rPr>
          <w:rFonts w:ascii="Arial"/>
          <w:spacing w:val="-6"/>
          <w:sz w:val="24"/>
        </w:rPr>
        <w:t> </w:t>
      </w:r>
      <w:r>
        <w:rPr>
          <w:rFonts w:ascii="Arial"/>
          <w:sz w:val="24"/>
        </w:rPr>
        <w:t>Ag.</w:t>
      </w:r>
    </w:p>
    <w:p>
      <w:pPr>
        <w:pStyle w:val="ListParagraph"/>
        <w:numPr>
          <w:ilvl w:val="0"/>
          <w:numId w:val="31"/>
        </w:numPr>
        <w:tabs>
          <w:tab w:pos="513" w:val="left" w:leader="none"/>
        </w:tabs>
        <w:spacing w:line="240" w:lineRule="auto" w:before="3" w:after="0"/>
        <w:ind w:left="513" w:right="0" w:hanging="361"/>
        <w:jc w:val="left"/>
        <w:rPr>
          <w:rFonts w:ascii="Arial"/>
          <w:sz w:val="24"/>
        </w:rPr>
      </w:pPr>
      <w:r>
        <w:rPr>
          <w:rFonts w:ascii="Arial"/>
          <w:sz w:val="24"/>
        </w:rPr>
        <w:t>Mezcle las muestras de los hisopos con los</w:t>
      </w:r>
      <w:r>
        <w:rPr>
          <w:rFonts w:ascii="Arial"/>
          <w:spacing w:val="-20"/>
          <w:sz w:val="24"/>
        </w:rPr>
        <w:t> </w:t>
      </w:r>
      <w:r>
        <w:rPr>
          <w:rFonts w:ascii="Arial"/>
          <w:sz w:val="24"/>
        </w:rPr>
        <w:t>Reactivos.</w:t>
      </w:r>
    </w:p>
    <w:p>
      <w:pPr>
        <w:pStyle w:val="ListParagraph"/>
        <w:numPr>
          <w:ilvl w:val="0"/>
          <w:numId w:val="31"/>
        </w:numPr>
        <w:tabs>
          <w:tab w:pos="513" w:val="left" w:leader="none"/>
        </w:tabs>
        <w:spacing w:line="360" w:lineRule="auto" w:before="141" w:after="0"/>
        <w:ind w:left="513" w:right="476" w:hanging="361"/>
        <w:jc w:val="both"/>
        <w:rPr>
          <w:rFonts w:ascii="Arial" w:hAnsi="Arial"/>
          <w:sz w:val="24"/>
        </w:rPr>
      </w:pPr>
      <w:r>
        <w:rPr>
          <w:rFonts w:ascii="Arial" w:hAnsi="Arial"/>
          <w:sz w:val="24"/>
        </w:rPr>
        <w:t>Extraiga el dispositivo del test de la bolsa de papel aluminio  y colóquelo en  una superficie plana y</w:t>
      </w:r>
      <w:r>
        <w:rPr>
          <w:rFonts w:ascii="Arial" w:hAnsi="Arial"/>
          <w:spacing w:val="-9"/>
          <w:sz w:val="24"/>
        </w:rPr>
        <w:t> </w:t>
      </w:r>
      <w:r>
        <w:rPr>
          <w:rFonts w:ascii="Arial" w:hAnsi="Arial"/>
          <w:sz w:val="24"/>
        </w:rPr>
        <w:t>seca.</w:t>
      </w:r>
    </w:p>
    <w:p>
      <w:pPr>
        <w:pStyle w:val="ListParagraph"/>
        <w:numPr>
          <w:ilvl w:val="0"/>
          <w:numId w:val="31"/>
        </w:numPr>
        <w:tabs>
          <w:tab w:pos="513" w:val="left" w:leader="none"/>
        </w:tabs>
        <w:spacing w:line="360" w:lineRule="auto" w:before="2" w:after="0"/>
        <w:ind w:left="513" w:right="481" w:hanging="361"/>
        <w:jc w:val="both"/>
        <w:rPr>
          <w:rFonts w:ascii="Arial" w:hAnsi="Arial"/>
          <w:sz w:val="24"/>
        </w:rPr>
      </w:pPr>
      <w:r>
        <w:rPr>
          <w:rFonts w:ascii="Arial" w:hAnsi="Arial"/>
          <w:sz w:val="24"/>
        </w:rPr>
        <w:t>Usando el gotero provisto recoja la muestra mezclada evitando la mayor cantidad de material</w:t>
      </w:r>
      <w:r>
        <w:rPr>
          <w:rFonts w:ascii="Arial" w:hAnsi="Arial"/>
          <w:spacing w:val="-3"/>
          <w:sz w:val="24"/>
        </w:rPr>
        <w:t> </w:t>
      </w:r>
      <w:r>
        <w:rPr>
          <w:rFonts w:ascii="Arial" w:hAnsi="Arial"/>
          <w:sz w:val="24"/>
        </w:rPr>
        <w:t>sólido.</w:t>
      </w:r>
    </w:p>
    <w:p>
      <w:pPr>
        <w:pStyle w:val="ListParagraph"/>
        <w:numPr>
          <w:ilvl w:val="0"/>
          <w:numId w:val="31"/>
        </w:numPr>
        <w:tabs>
          <w:tab w:pos="513" w:val="left" w:leader="none"/>
        </w:tabs>
        <w:spacing w:line="240" w:lineRule="auto" w:before="7" w:after="0"/>
        <w:ind w:left="513" w:right="0" w:hanging="361"/>
        <w:jc w:val="left"/>
        <w:rPr>
          <w:rFonts w:ascii="Arial"/>
          <w:sz w:val="24"/>
        </w:rPr>
      </w:pPr>
      <w:r>
        <w:rPr>
          <w:rFonts w:ascii="Arial"/>
          <w:sz w:val="24"/>
        </w:rPr>
        <w:t>Agregue 4 gotas en el orificio de la muestra usando el gotero</w:t>
      </w:r>
      <w:r>
        <w:rPr>
          <w:rFonts w:ascii="Arial"/>
          <w:spacing w:val="-34"/>
          <w:sz w:val="24"/>
        </w:rPr>
        <w:t> </w:t>
      </w:r>
      <w:r>
        <w:rPr>
          <w:rFonts w:ascii="Arial"/>
          <w:sz w:val="24"/>
        </w:rPr>
        <w:t>desechable.</w:t>
      </w:r>
    </w:p>
    <w:p>
      <w:pPr>
        <w:pStyle w:val="ListParagraph"/>
        <w:numPr>
          <w:ilvl w:val="0"/>
          <w:numId w:val="31"/>
        </w:numPr>
        <w:tabs>
          <w:tab w:pos="513" w:val="left" w:leader="none"/>
        </w:tabs>
        <w:spacing w:line="360" w:lineRule="auto" w:before="137" w:after="0"/>
        <w:ind w:left="513" w:right="473" w:hanging="361"/>
        <w:jc w:val="both"/>
        <w:rPr>
          <w:rFonts w:ascii="Arial" w:hAnsi="Arial"/>
          <w:sz w:val="24"/>
        </w:rPr>
      </w:pPr>
      <w:r>
        <w:rPr>
          <w:rFonts w:ascii="Arial" w:hAnsi="Arial"/>
          <w:sz w:val="24"/>
        </w:rPr>
        <w:t>Al iniciar el funcionamiento </w:t>
      </w:r>
      <w:r>
        <w:rPr>
          <w:rFonts w:ascii="Arial" w:hAnsi="Arial"/>
          <w:spacing w:val="-3"/>
          <w:sz w:val="24"/>
        </w:rPr>
        <w:t>del </w:t>
      </w:r>
      <w:r>
        <w:rPr>
          <w:rFonts w:ascii="Arial" w:hAnsi="Arial"/>
          <w:sz w:val="24"/>
        </w:rPr>
        <w:t>test se verá un color purpura moverse en la ventana de resultados, en el centro del dispositivo del test. Si transcurrió un minuto y no se observa la migración agregue una gota </w:t>
      </w:r>
      <w:r>
        <w:rPr>
          <w:rFonts w:ascii="Arial" w:hAnsi="Arial"/>
          <w:spacing w:val="-3"/>
          <w:sz w:val="24"/>
        </w:rPr>
        <w:t>más </w:t>
      </w:r>
      <w:r>
        <w:rPr>
          <w:rFonts w:ascii="Arial" w:hAnsi="Arial"/>
          <w:sz w:val="24"/>
        </w:rPr>
        <w:t>del diluyente mezclado de la prueba al pozo de la</w:t>
      </w:r>
      <w:r>
        <w:rPr>
          <w:rFonts w:ascii="Arial" w:hAnsi="Arial"/>
          <w:spacing w:val="-22"/>
          <w:sz w:val="24"/>
        </w:rPr>
        <w:t> </w:t>
      </w:r>
      <w:r>
        <w:rPr>
          <w:rFonts w:ascii="Arial" w:hAnsi="Arial"/>
          <w:sz w:val="24"/>
        </w:rPr>
        <w:t>muestra.</w:t>
      </w:r>
    </w:p>
    <w:p>
      <w:pPr>
        <w:pStyle w:val="ListParagraph"/>
        <w:numPr>
          <w:ilvl w:val="0"/>
          <w:numId w:val="31"/>
        </w:numPr>
        <w:tabs>
          <w:tab w:pos="513" w:val="left" w:leader="none"/>
        </w:tabs>
        <w:spacing w:line="360" w:lineRule="auto" w:before="2" w:after="0"/>
        <w:ind w:left="513" w:right="469" w:hanging="361"/>
        <w:jc w:val="both"/>
        <w:rPr>
          <w:rFonts w:ascii="Arial" w:hAnsi="Arial"/>
          <w:sz w:val="24"/>
        </w:rPr>
      </w:pPr>
      <w:r>
        <w:rPr>
          <w:rFonts w:ascii="Arial" w:hAnsi="Arial"/>
          <w:sz w:val="24"/>
        </w:rPr>
        <w:t>Interprete los resultados del test 5- 10 minutos. No los interprete después de 20 minutos</w:t>
      </w:r>
      <w:r>
        <w:rPr>
          <w:rFonts w:ascii="Arial" w:hAnsi="Arial"/>
          <w:spacing w:val="-7"/>
          <w:sz w:val="24"/>
        </w:rPr>
        <w:t> </w:t>
      </w:r>
      <w:r>
        <w:rPr>
          <w:rFonts w:ascii="Arial" w:hAnsi="Arial"/>
          <w:sz w:val="24"/>
        </w:rPr>
        <w:t>transcurridos.</w:t>
      </w:r>
    </w:p>
    <w:p>
      <w:pPr>
        <w:pStyle w:val="ListParagraph"/>
        <w:numPr>
          <w:ilvl w:val="0"/>
          <w:numId w:val="31"/>
        </w:numPr>
        <w:tabs>
          <w:tab w:pos="513" w:val="left" w:leader="none"/>
        </w:tabs>
        <w:spacing w:line="360" w:lineRule="auto" w:before="3" w:after="0"/>
        <w:ind w:left="513" w:right="466" w:hanging="361"/>
        <w:jc w:val="both"/>
        <w:rPr>
          <w:rFonts w:ascii="Arial" w:hAnsi="Arial"/>
          <w:sz w:val="24"/>
        </w:rPr>
      </w:pPr>
      <w:r>
        <w:rPr>
          <w:rFonts w:ascii="Arial" w:hAnsi="Arial"/>
          <w:sz w:val="24"/>
        </w:rPr>
        <w:t>Interpretación: Una banda de color aparecerá en la sección izquierda de la ventana de resultados para mostrar que la prueba está funcionando apropiadamente esta banda es la línea control. La presencia de una  sola banda dentro de la ventana de resultados indica un resultado negativo. La presencia de dos bandas de color dentro de la ventana indica resultado positivo.</w:t>
      </w:r>
    </w:p>
    <w:p>
      <w:pPr>
        <w:pStyle w:val="BodyText"/>
        <w:spacing w:before="10"/>
        <w:rPr>
          <w:sz w:val="29"/>
        </w:rPr>
      </w:pPr>
      <w:r>
        <w:rPr/>
        <w:drawing>
          <wp:anchor distT="0" distB="0" distL="0" distR="0" allowOverlap="1" layoutInCell="1" locked="0" behindDoc="0" simplePos="0" relativeHeight="1840">
            <wp:simplePos x="0" y="0"/>
            <wp:positionH relativeFrom="page">
              <wp:posOffset>1188719</wp:posOffset>
            </wp:positionH>
            <wp:positionV relativeFrom="paragraph">
              <wp:posOffset>243127</wp:posOffset>
            </wp:positionV>
            <wp:extent cx="5739334" cy="949071"/>
            <wp:effectExtent l="0" t="0" r="0" b="0"/>
            <wp:wrapTopAndBottom/>
            <wp:docPr id="59" name="image20.png" descr=""/>
            <wp:cNvGraphicFramePr>
              <a:graphicFrameLocks noChangeAspect="1"/>
            </wp:cNvGraphicFramePr>
            <a:graphic>
              <a:graphicData uri="http://schemas.openxmlformats.org/drawingml/2006/picture">
                <pic:pic>
                  <pic:nvPicPr>
                    <pic:cNvPr id="60" name="image20.png"/>
                    <pic:cNvPicPr/>
                  </pic:nvPicPr>
                  <pic:blipFill>
                    <a:blip r:embed="rId47" cstate="print"/>
                    <a:stretch>
                      <a:fillRect/>
                    </a:stretch>
                  </pic:blipFill>
                  <pic:spPr>
                    <a:xfrm>
                      <a:off x="0" y="0"/>
                      <a:ext cx="5739334" cy="949071"/>
                    </a:xfrm>
                    <a:prstGeom prst="rect">
                      <a:avLst/>
                    </a:prstGeom>
                  </pic:spPr>
                </pic:pic>
              </a:graphicData>
            </a:graphic>
          </wp:anchor>
        </w:drawing>
      </w:r>
    </w:p>
    <w:p>
      <w:pPr>
        <w:spacing w:after="0"/>
        <w:rPr>
          <w:sz w:val="29"/>
        </w:rPr>
        <w:sectPr>
          <w:pgSz w:w="12240" w:h="15840"/>
          <w:pgMar w:header="1154" w:footer="1713" w:top="1520" w:bottom="1900" w:left="1720" w:right="1060"/>
        </w:sectPr>
      </w:pPr>
    </w:p>
    <w:p>
      <w:pPr>
        <w:pStyle w:val="BodyText"/>
        <w:rPr>
          <w:sz w:val="20"/>
        </w:rPr>
      </w:pPr>
    </w:p>
    <w:p>
      <w:pPr>
        <w:pStyle w:val="BodyText"/>
        <w:rPr>
          <w:sz w:val="20"/>
        </w:rPr>
      </w:pPr>
    </w:p>
    <w:p>
      <w:pPr>
        <w:pStyle w:val="BodyText"/>
        <w:spacing w:before="3"/>
        <w:rPr>
          <w:sz w:val="19"/>
        </w:rPr>
      </w:pPr>
    </w:p>
    <w:p>
      <w:pPr>
        <w:pStyle w:val="Heading1"/>
        <w:spacing w:before="0"/>
        <w:ind w:left="152" w:right="153" w:firstLine="0"/>
        <w:jc w:val="left"/>
      </w:pPr>
      <w:r>
        <w:rPr/>
        <w:t>4.  Manual de uso IDEXX SNAP Parvo</w:t>
      </w:r>
    </w:p>
    <w:p>
      <w:pPr>
        <w:pStyle w:val="BodyText"/>
        <w:spacing w:before="11"/>
        <w:rPr>
          <w:b/>
          <w:sz w:val="21"/>
        </w:rPr>
      </w:pPr>
    </w:p>
    <w:p>
      <w:pPr>
        <w:pStyle w:val="BodyText"/>
        <w:spacing w:line="355" w:lineRule="auto"/>
        <w:ind w:left="152" w:right="153"/>
      </w:pPr>
      <w:r>
        <w:rPr/>
        <w:t>Las muestras deben estar a temperatura ambiente (15°-30°C) antes de comenzar el proceso de análisis.</w:t>
      </w:r>
    </w:p>
    <w:p>
      <w:pPr>
        <w:pStyle w:val="BodyText"/>
        <w:spacing w:line="355" w:lineRule="auto" w:before="214"/>
        <w:ind w:left="152" w:right="153"/>
      </w:pPr>
      <w:r>
        <w:rPr/>
        <w:t>Para esta muestra se requiere materia fecal canina. Se proporcionan hisopos para la toma de muestras.</w:t>
      </w:r>
    </w:p>
    <w:p>
      <w:pPr>
        <w:pStyle w:val="BodyText"/>
        <w:spacing w:before="214"/>
        <w:ind w:left="152" w:right="153"/>
      </w:pPr>
      <w:r>
        <w:rPr/>
        <w:t>Las muestras fecales pueden almacenarse a una temperatura    de 2-8 °C durante</w:t>
      </w:r>
    </w:p>
    <w:p>
      <w:pPr>
        <w:pStyle w:val="BodyText"/>
        <w:spacing w:line="360" w:lineRule="auto" w:before="137"/>
        <w:ind w:left="152" w:right="153"/>
      </w:pPr>
      <w:r>
        <w:rPr/>
        <w:t>24 horas. Si se requiere un almacenamiento más largo deben congelarse las muestras.</w:t>
      </w:r>
    </w:p>
    <w:p>
      <w:pPr>
        <w:pStyle w:val="ListParagraph"/>
        <w:numPr>
          <w:ilvl w:val="0"/>
          <w:numId w:val="32"/>
        </w:numPr>
        <w:tabs>
          <w:tab w:pos="513" w:val="left" w:leader="none"/>
        </w:tabs>
        <w:spacing w:line="360" w:lineRule="auto" w:before="209" w:after="0"/>
        <w:ind w:left="513" w:right="146" w:hanging="361"/>
        <w:jc w:val="both"/>
        <w:rPr>
          <w:rFonts w:ascii="Arial"/>
          <w:sz w:val="24"/>
        </w:rPr>
      </w:pPr>
      <w:r>
        <w:rPr>
          <w:rFonts w:ascii="Arial"/>
          <w:sz w:val="24"/>
        </w:rPr>
        <w:t>Si los componentes se han refrigerado hay que esperar unos 30 minutos a que se equilibren a temperatura</w:t>
      </w:r>
      <w:r>
        <w:rPr>
          <w:rFonts w:ascii="Arial"/>
          <w:spacing w:val="-14"/>
          <w:sz w:val="24"/>
        </w:rPr>
        <w:t> </w:t>
      </w:r>
      <w:r>
        <w:rPr>
          <w:rFonts w:ascii="Arial"/>
          <w:sz w:val="24"/>
        </w:rPr>
        <w:t>ambiente.</w:t>
      </w:r>
    </w:p>
    <w:p>
      <w:pPr>
        <w:pStyle w:val="ListParagraph"/>
        <w:numPr>
          <w:ilvl w:val="0"/>
          <w:numId w:val="32"/>
        </w:numPr>
        <w:tabs>
          <w:tab w:pos="513" w:val="left" w:leader="none"/>
        </w:tabs>
        <w:spacing w:line="360" w:lineRule="auto" w:before="2" w:after="0"/>
        <w:ind w:left="513" w:right="155" w:hanging="361"/>
        <w:jc w:val="both"/>
        <w:rPr>
          <w:rFonts w:ascii="Arial" w:hAnsi="Arial"/>
          <w:sz w:val="24"/>
        </w:rPr>
      </w:pPr>
      <w:r>
        <w:rPr>
          <w:rFonts w:ascii="Arial" w:hAnsi="Arial"/>
          <w:sz w:val="24"/>
        </w:rPr>
        <w:t>Obtenga un hisopo de muestreo y un dispositivo SNAP para cada muestra que vaya a analizarse. Tire del tubo que cubre la punta del hisopo y gírelo para retirar dicho tubo del montaje del hisopo/depósito de reactivo (A). Usando el hisopo recubra la punta del mismo con el material fecal y devuelva el hisopo al tubo (B).</w:t>
      </w:r>
    </w:p>
    <w:p>
      <w:pPr>
        <w:pStyle w:val="ListParagraph"/>
        <w:numPr>
          <w:ilvl w:val="0"/>
          <w:numId w:val="32"/>
        </w:numPr>
        <w:tabs>
          <w:tab w:pos="513" w:val="left" w:leader="none"/>
        </w:tabs>
        <w:spacing w:line="360" w:lineRule="auto" w:before="3" w:after="0"/>
        <w:ind w:left="513" w:right="145" w:hanging="361"/>
        <w:jc w:val="both"/>
        <w:rPr>
          <w:rFonts w:ascii="Arial" w:hAnsi="Arial"/>
          <w:sz w:val="24"/>
        </w:rPr>
      </w:pPr>
      <w:r>
        <w:rPr>
          <w:rFonts w:ascii="Arial" w:hAnsi="Arial"/>
          <w:sz w:val="24"/>
        </w:rPr>
        <w:t>Rompa el vástago de la válvula morado situado en el depósito de reactivo doblando el conjunto a la altura del cuello estrecho. Comprima el depósito de reactivo 3 veces para hacer pasar la solución azul por la punta del hisopo y mezclarlo con la muestra</w:t>
      </w:r>
      <w:r>
        <w:rPr>
          <w:rFonts w:ascii="Arial" w:hAnsi="Arial"/>
          <w:spacing w:val="-10"/>
          <w:sz w:val="24"/>
        </w:rPr>
        <w:t> </w:t>
      </w:r>
      <w:r>
        <w:rPr>
          <w:rFonts w:ascii="Arial" w:hAnsi="Arial"/>
          <w:sz w:val="24"/>
        </w:rPr>
        <w:t>(D).</w:t>
      </w:r>
    </w:p>
    <w:p>
      <w:pPr>
        <w:pStyle w:val="ListParagraph"/>
        <w:numPr>
          <w:ilvl w:val="0"/>
          <w:numId w:val="32"/>
        </w:numPr>
        <w:tabs>
          <w:tab w:pos="513" w:val="left" w:leader="none"/>
        </w:tabs>
        <w:spacing w:line="360" w:lineRule="auto" w:before="3" w:after="0"/>
        <w:ind w:left="513" w:right="142" w:hanging="361"/>
        <w:jc w:val="both"/>
        <w:rPr>
          <w:rFonts w:ascii="Arial" w:hAnsi="Arial"/>
          <w:sz w:val="24"/>
        </w:rPr>
      </w:pPr>
      <w:r>
        <w:rPr>
          <w:rFonts w:ascii="Arial" w:hAnsi="Arial"/>
          <w:sz w:val="24"/>
        </w:rPr>
        <w:t>Coloque el dispositivo SNAP sobre una superficie horizontal. Use el hisopo como una pipeta, agrega 5 gotas del fluido en el pocillo de muestra (Figura 1). La muestra fluirá a través de una ventana de resultados, alcanzando el círculo de activación en unos 30-60 segundos. Parte de la muestra puede quedar en el pocillo.</w:t>
      </w:r>
    </w:p>
    <w:p>
      <w:pPr>
        <w:pStyle w:val="ListParagraph"/>
        <w:numPr>
          <w:ilvl w:val="0"/>
          <w:numId w:val="32"/>
        </w:numPr>
        <w:tabs>
          <w:tab w:pos="513" w:val="left" w:leader="none"/>
        </w:tabs>
        <w:spacing w:line="360" w:lineRule="auto" w:before="7" w:after="0"/>
        <w:ind w:left="513" w:right="145" w:hanging="361"/>
        <w:jc w:val="both"/>
        <w:rPr>
          <w:rFonts w:ascii="Arial" w:hAnsi="Arial"/>
          <w:sz w:val="24"/>
        </w:rPr>
      </w:pPr>
      <w:r>
        <w:rPr>
          <w:rFonts w:ascii="Arial" w:hAnsi="Arial"/>
          <w:sz w:val="24"/>
        </w:rPr>
        <w:t>En cuanto la muestra aparezca en el círculo de activación, presione con fuerza el activador hasta que quede alineado con el cuerpo </w:t>
      </w:r>
      <w:r>
        <w:rPr>
          <w:rFonts w:ascii="Arial" w:hAnsi="Arial"/>
          <w:spacing w:val="-3"/>
          <w:sz w:val="24"/>
        </w:rPr>
        <w:t>del </w:t>
      </w:r>
      <w:r>
        <w:rPr>
          <w:rFonts w:ascii="Arial" w:hAnsi="Arial"/>
          <w:sz w:val="24"/>
        </w:rPr>
        <w:t>dispositivo (Figura</w:t>
      </w:r>
      <w:r>
        <w:rPr>
          <w:rFonts w:ascii="Arial" w:hAnsi="Arial"/>
          <w:spacing w:val="-27"/>
          <w:sz w:val="24"/>
        </w:rPr>
        <w:t> </w:t>
      </w:r>
      <w:r>
        <w:rPr>
          <w:rFonts w:ascii="Arial" w:hAnsi="Arial"/>
          <w:sz w:val="24"/>
        </w:rPr>
        <w:t>2).</w:t>
      </w:r>
    </w:p>
    <w:p>
      <w:pPr>
        <w:spacing w:after="0" w:line="360" w:lineRule="auto"/>
        <w:jc w:val="both"/>
        <w:rPr>
          <w:rFonts w:ascii="Arial" w:hAnsi="Arial"/>
          <w:sz w:val="24"/>
        </w:rPr>
        <w:sectPr>
          <w:pgSz w:w="12240" w:h="15840"/>
          <w:pgMar w:header="1154" w:footer="1713" w:top="1520" w:bottom="1900" w:left="1720" w:right="1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7"/>
        </w:rPr>
      </w:pPr>
    </w:p>
    <w:p>
      <w:pPr>
        <w:pStyle w:val="ListParagraph"/>
        <w:numPr>
          <w:ilvl w:val="0"/>
          <w:numId w:val="32"/>
        </w:numPr>
        <w:tabs>
          <w:tab w:pos="533" w:val="left" w:leader="none"/>
        </w:tabs>
        <w:spacing w:line="240" w:lineRule="auto" w:before="70" w:after="0"/>
        <w:ind w:left="533" w:right="0" w:hanging="361"/>
        <w:jc w:val="left"/>
        <w:rPr>
          <w:rFonts w:ascii="Arial" w:hAnsi="Arial"/>
          <w:sz w:val="24"/>
        </w:rPr>
      </w:pPr>
      <w:r>
        <w:rPr/>
        <w:drawing>
          <wp:anchor distT="0" distB="0" distL="0" distR="0" allowOverlap="1" layoutInCell="1" locked="0" behindDoc="1" simplePos="0" relativeHeight="268333847">
            <wp:simplePos x="0" y="0"/>
            <wp:positionH relativeFrom="page">
              <wp:posOffset>1149096</wp:posOffset>
            </wp:positionH>
            <wp:positionV relativeFrom="paragraph">
              <wp:posOffset>-1182041</wp:posOffset>
            </wp:positionV>
            <wp:extent cx="5629656" cy="1286255"/>
            <wp:effectExtent l="0" t="0" r="0" b="0"/>
            <wp:wrapNone/>
            <wp:docPr id="61" name="image21.png" descr=""/>
            <wp:cNvGraphicFramePr>
              <a:graphicFrameLocks noChangeAspect="1"/>
            </wp:cNvGraphicFramePr>
            <a:graphic>
              <a:graphicData uri="http://schemas.openxmlformats.org/drawingml/2006/picture">
                <pic:pic>
                  <pic:nvPicPr>
                    <pic:cNvPr id="62" name="image21.png"/>
                    <pic:cNvPicPr/>
                  </pic:nvPicPr>
                  <pic:blipFill>
                    <a:blip r:embed="rId48" cstate="print"/>
                    <a:stretch>
                      <a:fillRect/>
                    </a:stretch>
                  </pic:blipFill>
                  <pic:spPr>
                    <a:xfrm>
                      <a:off x="0" y="0"/>
                      <a:ext cx="5629656" cy="1286255"/>
                    </a:xfrm>
                    <a:prstGeom prst="rect">
                      <a:avLst/>
                    </a:prstGeom>
                  </pic:spPr>
                </pic:pic>
              </a:graphicData>
            </a:graphic>
          </wp:anchor>
        </w:drawing>
      </w:r>
      <w:r>
        <w:rPr>
          <w:rFonts w:ascii="Arial" w:hAnsi="Arial"/>
          <w:sz w:val="24"/>
        </w:rPr>
        <w:t>Lea los resultados del análisis al cabo de  8</w:t>
      </w:r>
      <w:r>
        <w:rPr>
          <w:rFonts w:ascii="Arial" w:hAnsi="Arial"/>
          <w:spacing w:val="-23"/>
          <w:sz w:val="24"/>
        </w:rPr>
        <w:t> </w:t>
      </w:r>
      <w:r>
        <w:rPr>
          <w:rFonts w:ascii="Arial" w:hAnsi="Arial"/>
          <w:sz w:val="24"/>
        </w:rPr>
        <w:t>minutos.</w:t>
      </w:r>
    </w:p>
    <w:p>
      <w:pPr>
        <w:pStyle w:val="BodyText"/>
      </w:pPr>
    </w:p>
    <w:p>
      <w:pPr>
        <w:pStyle w:val="BodyText"/>
      </w:pPr>
    </w:p>
    <w:p>
      <w:pPr>
        <w:pStyle w:val="BodyText"/>
        <w:spacing w:before="3"/>
        <w:rPr>
          <w:sz w:val="35"/>
        </w:rPr>
      </w:pPr>
    </w:p>
    <w:p>
      <w:pPr>
        <w:pStyle w:val="ListParagraph"/>
        <w:numPr>
          <w:ilvl w:val="0"/>
          <w:numId w:val="32"/>
        </w:numPr>
        <w:tabs>
          <w:tab w:pos="533" w:val="left" w:leader="none"/>
        </w:tabs>
        <w:spacing w:line="360" w:lineRule="auto" w:before="0" w:after="0"/>
        <w:ind w:left="533" w:right="486" w:hanging="361"/>
        <w:jc w:val="both"/>
        <w:rPr>
          <w:rFonts w:ascii="Arial" w:hAnsi="Arial"/>
          <w:sz w:val="24"/>
        </w:rPr>
      </w:pPr>
      <w:r>
        <w:rPr>
          <w:rFonts w:ascii="Arial" w:hAnsi="Arial"/>
          <w:sz w:val="24"/>
        </w:rPr>
        <w:t>Interpretación de los resultados de análisis: para determinar el resultado de análisis, lea los puntos de reacción en la ventana de resultados y compare la intensidad del punto de la muestra con la del punto de control negativo. Resultados positivos serán considerados con la aparición de un color </w:t>
      </w:r>
      <w:r>
        <w:rPr>
          <w:rFonts w:ascii="Arial" w:hAnsi="Arial"/>
          <w:spacing w:val="-3"/>
          <w:sz w:val="24"/>
        </w:rPr>
        <w:t>más </w:t>
      </w:r>
      <w:r>
        <w:rPr>
          <w:rFonts w:ascii="Arial" w:hAnsi="Arial"/>
          <w:sz w:val="24"/>
        </w:rPr>
        <w:t>oscuro que el control negativo en los puntos de muestra y la presencia de antígeno de parvovirus en la muestra. Resultados negativos  serán considerados con la aparición de color únicamente en el punto control positivo. Resultados nulos </w:t>
      </w:r>
      <w:r>
        <w:rPr>
          <w:rFonts w:ascii="Arial" w:hAnsi="Arial"/>
          <w:spacing w:val="-3"/>
          <w:sz w:val="24"/>
        </w:rPr>
        <w:t>si </w:t>
      </w:r>
      <w:r>
        <w:rPr>
          <w:rFonts w:ascii="Arial" w:hAnsi="Arial"/>
          <w:sz w:val="24"/>
        </w:rPr>
        <w:t>el color en el punto de control negativo es igual o </w:t>
      </w:r>
      <w:r>
        <w:rPr>
          <w:rFonts w:ascii="Arial" w:hAnsi="Arial"/>
          <w:spacing w:val="-3"/>
          <w:sz w:val="24"/>
        </w:rPr>
        <w:t>más </w:t>
      </w:r>
      <w:r>
        <w:rPr>
          <w:rFonts w:ascii="Arial" w:hAnsi="Arial"/>
          <w:sz w:val="24"/>
        </w:rPr>
        <w:t>oscuro al color en el punto de muestra. Si el control positivo no se colorea repita el</w:t>
      </w:r>
      <w:r>
        <w:rPr>
          <w:rFonts w:ascii="Arial" w:hAnsi="Arial"/>
          <w:spacing w:val="-5"/>
          <w:sz w:val="24"/>
        </w:rPr>
        <w:t> </w:t>
      </w:r>
      <w:r>
        <w:rPr>
          <w:rFonts w:ascii="Arial" w:hAnsi="Arial"/>
          <w:sz w:val="24"/>
        </w:rPr>
        <w:t>análisis</w:t>
      </w:r>
    </w:p>
    <w:p>
      <w:pPr>
        <w:pStyle w:val="BodyText"/>
        <w:spacing w:before="1"/>
        <w:rPr>
          <w:sz w:val="19"/>
        </w:rPr>
      </w:pPr>
      <w:r>
        <w:rPr/>
        <w:drawing>
          <wp:anchor distT="0" distB="0" distL="0" distR="0" allowOverlap="1" layoutInCell="1" locked="0" behindDoc="0" simplePos="0" relativeHeight="1864">
            <wp:simplePos x="0" y="0"/>
            <wp:positionH relativeFrom="page">
              <wp:posOffset>1149096</wp:posOffset>
            </wp:positionH>
            <wp:positionV relativeFrom="paragraph">
              <wp:posOffset>648892</wp:posOffset>
            </wp:positionV>
            <wp:extent cx="1426463" cy="1728216"/>
            <wp:effectExtent l="0" t="0" r="0" b="0"/>
            <wp:wrapTopAndBottom/>
            <wp:docPr id="63" name="image22.png" descr=""/>
            <wp:cNvGraphicFramePr>
              <a:graphicFrameLocks noChangeAspect="1"/>
            </wp:cNvGraphicFramePr>
            <a:graphic>
              <a:graphicData uri="http://schemas.openxmlformats.org/drawingml/2006/picture">
                <pic:pic>
                  <pic:nvPicPr>
                    <pic:cNvPr id="64" name="image22.png"/>
                    <pic:cNvPicPr/>
                  </pic:nvPicPr>
                  <pic:blipFill>
                    <a:blip r:embed="rId49" cstate="print"/>
                    <a:stretch>
                      <a:fillRect/>
                    </a:stretch>
                  </pic:blipFill>
                  <pic:spPr>
                    <a:xfrm>
                      <a:off x="0" y="0"/>
                      <a:ext cx="1426463" cy="1728216"/>
                    </a:xfrm>
                    <a:prstGeom prst="rect">
                      <a:avLst/>
                    </a:prstGeom>
                  </pic:spPr>
                </pic:pic>
              </a:graphicData>
            </a:graphic>
          </wp:anchor>
        </w:drawing>
      </w:r>
      <w:r>
        <w:rPr/>
        <w:pict>
          <v:group style="position:absolute;margin-left:207.839996pt;margin-top:12.93392pt;width:347.05pt;height:189.85pt;mso-position-horizontal-relative:page;mso-position-vertical-relative:paragraph;z-index:1888;mso-wrap-distance-left:0;mso-wrap-distance-right:0" coordorigin="4157,259" coordsize="6941,3797">
            <v:shape style="position:absolute;left:4157;top:259;width:4162;height:3797" type="#_x0000_t75" stroked="false">
              <v:imagedata r:id="rId50" o:title=""/>
            </v:shape>
            <v:shape style="position:absolute;left:8357;top:1468;width:2741;height:1776" type="#_x0000_t75" stroked="false">
              <v:imagedata r:id="rId51" o:title=""/>
            </v:shape>
            <w10:wrap type="topAndBottom"/>
          </v:group>
        </w:pict>
      </w:r>
    </w:p>
    <w:p>
      <w:pPr>
        <w:spacing w:after="0"/>
        <w:rPr>
          <w:sz w:val="19"/>
        </w:rPr>
        <w:sectPr>
          <w:pgSz w:w="12240" w:h="15840"/>
          <w:pgMar w:header="1154" w:footer="1713" w:top="1520" w:bottom="1900" w:left="1700" w:right="1040"/>
        </w:sectPr>
      </w:pPr>
    </w:p>
    <w:p>
      <w:pPr>
        <w:pStyle w:val="BodyText"/>
        <w:spacing w:before="9"/>
        <w:rPr>
          <w:sz w:val="17"/>
        </w:rPr>
      </w:pPr>
    </w:p>
    <w:p>
      <w:pPr>
        <w:pStyle w:val="Heading1"/>
        <w:tabs>
          <w:tab w:pos="660" w:val="left" w:leader="none"/>
        </w:tabs>
        <w:ind w:left="232" w:firstLine="0"/>
        <w:jc w:val="left"/>
      </w:pPr>
      <w:r>
        <w:rPr/>
        <w:pict>
          <v:group style="position:absolute;margin-left:87.363998pt;margin-top:24.765881pt;width:456.25pt;height:494.15pt;mso-position-horizontal-relative:page;mso-position-vertical-relative:paragraph;z-index:-101584" coordorigin="1747,495" coordsize="9125,9883">
            <v:shape style="position:absolute;left:1767;top:640;width:9086;height:20" coordorigin="1767,640" coordsize="9086,20" path="m2574,640l1767,640,1767,659,2574,659,2574,640m3712,640l2593,640,2593,659,3712,659,3712,640m4859,640l3731,640,3731,659,4859,659,4859,640m6161,640l4879,640,4879,659,6161,659,6161,640m7481,640l6180,640,6180,659,7481,659,7481,640m8600,640l7500,640,7500,659,8600,659,8600,640m9714,640l8619,640,8619,659,9714,659,9714,640m10852,640l9738,640,9738,659,10852,659,10852,640e" filled="true" fillcolor="#b8cce3" stroked="false">
              <v:path arrowok="t"/>
              <v:fill type="solid"/>
            </v:shape>
            <v:rect style="position:absolute;left:1767;top:505;width:807;height:19" filled="true" fillcolor="#000000" stroked="false">
              <v:fill type="solid"/>
            </v:rect>
            <v:rect style="position:absolute;left:1767;top:525;width:807;height:115" filled="true" fillcolor="#b8cce3" stroked="false">
              <v:fill type="solid"/>
            </v:rect>
            <v:rect style="position:absolute;left:2593;top:505;width:1119;height:19" filled="true" fillcolor="#000000" stroked="false">
              <v:fill type="solid"/>
            </v:rect>
            <v:rect style="position:absolute;left:2593;top:525;width:1119;height:115" filled="true" fillcolor="#b8cce3" stroked="false">
              <v:fill type="solid"/>
            </v:rect>
            <v:rect style="position:absolute;left:3731;top:505;width:1128;height:19" filled="true" fillcolor="#000000" stroked="false">
              <v:fill type="solid"/>
            </v:rect>
            <v:rect style="position:absolute;left:3731;top:525;width:1128;height:115" filled="true" fillcolor="#b8cce3" stroked="false">
              <v:fill type="solid"/>
            </v:rect>
            <v:rect style="position:absolute;left:4879;top:505;width:1282;height:19" filled="true" fillcolor="#000000" stroked="false">
              <v:fill type="solid"/>
            </v:rect>
            <v:rect style="position:absolute;left:4879;top:525;width:1282;height:115" filled="true" fillcolor="#b8cce3" stroked="false">
              <v:fill type="solid"/>
            </v:rect>
            <v:rect style="position:absolute;left:6180;top:505;width:1301;height:19" filled="true" fillcolor="#000000" stroked="false">
              <v:fill type="solid"/>
            </v:rect>
            <v:rect style="position:absolute;left:6180;top:525;width:1301;height:115" filled="true" fillcolor="#b8cce3" stroked="false">
              <v:fill type="solid"/>
            </v:rect>
            <v:rect style="position:absolute;left:7500;top:505;width:1104;height:19" filled="true" fillcolor="#000000" stroked="false">
              <v:fill type="solid"/>
            </v:rect>
            <v:rect style="position:absolute;left:7500;top:525;width:1104;height:115" filled="true" fillcolor="#b8cce3" stroked="false">
              <v:fill type="solid"/>
            </v:rect>
            <v:rect style="position:absolute;left:8624;top:505;width:1095;height:19" filled="true" fillcolor="#000000" stroked="false">
              <v:fill type="solid"/>
            </v:rect>
            <v:rect style="position:absolute;left:8624;top:525;width:1095;height:115" filled="true" fillcolor="#b8cce3" stroked="false">
              <v:fill type="solid"/>
            </v:rect>
            <v:rect style="position:absolute;left:9738;top:505;width:1114;height:19" filled="true" fillcolor="#000000" stroked="false">
              <v:fill type="solid"/>
            </v:rect>
            <v:rect style="position:absolute;left:9738;top:525;width:1114;height:115" filled="true" fillcolor="#b8cce3" stroked="false">
              <v:fill type="solid"/>
            </v:rect>
            <v:rect style="position:absolute;left:1767;top:2791;width:807;height:19" filled="true" fillcolor="#000000" stroked="false">
              <v:fill type="solid"/>
            </v:rect>
            <v:line style="position:absolute" from="2593,2801" to="3712,2801" stroked="true" strokeweight=".96001pt" strokecolor="#000000"/>
            <v:rect style="position:absolute;left:3731;top:2791;width:1128;height:19" filled="true" fillcolor="#000000" stroked="false">
              <v:fill type="solid"/>
            </v:rect>
            <v:line style="position:absolute" from="4879,2801" to="6161,2801" stroked="true" strokeweight=".96001pt" strokecolor="#000000"/>
            <v:line style="position:absolute" from="6180,2801" to="7481,2801" stroked="true" strokeweight=".96001pt" strokecolor="#000000"/>
            <v:line style="position:absolute" from="7500,2801" to="8605,2801" stroked="true" strokeweight=".96001pt" strokecolor="#000000"/>
            <v:line style="position:absolute" from="8624,2801" to="9719,2801" stroked="true" strokeweight=".96001pt" strokecolor="#000000"/>
            <v:line style="position:absolute" from="9738,2801" to="10852,2801" stroked="true" strokeweight=".96001pt" strokecolor="#000000"/>
            <v:line style="position:absolute" from="1757,505" to="1757,10368" stroked="true" strokeweight=".96pt" strokecolor="#000000"/>
            <v:line style="position:absolute" from="2583,505" to="2583,10368" stroked="true" strokeweight=".95999pt" strokecolor="#000000"/>
            <v:line style="position:absolute" from="3721,505" to="3721,10368" stroked="true" strokeweight=".96001pt" strokecolor="#000000"/>
            <v:line style="position:absolute" from="4869,505" to="4869,10368" stroked="true" strokeweight=".96001pt" strokecolor="#000000"/>
            <v:line style="position:absolute" from="6170,505" to="6170,10368" stroked="true" strokeweight=".95999pt" strokecolor="#000000"/>
            <v:line style="position:absolute" from="7491,505" to="7491,10368" stroked="true" strokeweight=".96002pt" strokecolor="#000000"/>
            <v:line style="position:absolute" from="8615,505" to="8615,10368" stroked="true" strokeweight=".95999pt" strokecolor="#000000"/>
            <v:line style="position:absolute" from="9729,505" to="9729,10368" stroked="true" strokeweight=".96002pt" strokecolor="#000000"/>
            <v:line style="position:absolute" from="10862,505" to="10862,10368" stroked="true" strokeweight=".95996pt" strokecolor="#000000"/>
            <w10:wrap type="none"/>
          </v:group>
        </w:pict>
      </w:r>
      <w:r>
        <w:rPr/>
        <w:t>5.</w:t>
        <w:tab/>
        <w:t>Calendario utilizado durante la cinética de</w:t>
      </w:r>
      <w:r>
        <w:rPr>
          <w:spacing w:val="-35"/>
        </w:rPr>
        <w:t> </w:t>
      </w:r>
      <w:r>
        <w:rPr/>
        <w:t>vacunación.</w:t>
      </w:r>
    </w:p>
    <w:p>
      <w:pPr>
        <w:pStyle w:val="BodyText"/>
        <w:spacing w:before="9"/>
        <w:rPr>
          <w:b/>
          <w:sz w:val="19"/>
        </w:rPr>
      </w:pPr>
    </w:p>
    <w:tbl>
      <w:tblPr>
        <w:tblW w:w="0" w:type="auto"/>
        <w:jc w:val="left"/>
        <w:tblInd w:w="1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26"/>
        <w:gridCol w:w="1138"/>
        <w:gridCol w:w="1148"/>
        <w:gridCol w:w="1301"/>
        <w:gridCol w:w="1320"/>
        <w:gridCol w:w="1124"/>
        <w:gridCol w:w="1114"/>
        <w:gridCol w:w="1133"/>
      </w:tblGrid>
      <w:tr>
        <w:trPr>
          <w:trHeight w:val="274" w:hRule="exact"/>
        </w:trPr>
        <w:tc>
          <w:tcPr>
            <w:tcW w:w="826" w:type="dxa"/>
            <w:shd w:val="clear" w:color="auto" w:fill="B8CCE3"/>
          </w:tcPr>
          <w:p>
            <w:pPr>
              <w:pStyle w:val="TableParagraph"/>
              <w:spacing w:before="76"/>
              <w:ind w:left="114" w:right="119"/>
              <w:jc w:val="center"/>
              <w:rPr>
                <w:rFonts w:ascii="Trebuchet MS"/>
                <w:sz w:val="16"/>
              </w:rPr>
            </w:pPr>
            <w:r>
              <w:rPr>
                <w:rFonts w:ascii="Trebuchet MS"/>
                <w:sz w:val="16"/>
              </w:rPr>
              <w:t>Semana</w:t>
            </w:r>
          </w:p>
        </w:tc>
        <w:tc>
          <w:tcPr>
            <w:tcW w:w="1138" w:type="dxa"/>
            <w:shd w:val="clear" w:color="auto" w:fill="B8CCE3"/>
          </w:tcPr>
          <w:p>
            <w:pPr>
              <w:pStyle w:val="TableParagraph"/>
              <w:spacing w:before="76"/>
              <w:ind w:left="364" w:right="127"/>
              <w:rPr>
                <w:rFonts w:ascii="Trebuchet MS"/>
                <w:sz w:val="16"/>
              </w:rPr>
            </w:pPr>
            <w:r>
              <w:rPr>
                <w:rFonts w:ascii="Trebuchet MS"/>
                <w:sz w:val="16"/>
              </w:rPr>
              <w:t>Lunes</w:t>
            </w:r>
          </w:p>
        </w:tc>
        <w:tc>
          <w:tcPr>
            <w:tcW w:w="1148" w:type="dxa"/>
            <w:shd w:val="clear" w:color="auto" w:fill="B8CCE3"/>
          </w:tcPr>
          <w:p>
            <w:pPr>
              <w:pStyle w:val="TableParagraph"/>
              <w:spacing w:before="76"/>
              <w:ind w:left="335" w:right="146"/>
              <w:rPr>
                <w:rFonts w:ascii="Trebuchet MS"/>
                <w:sz w:val="16"/>
              </w:rPr>
            </w:pPr>
            <w:r>
              <w:rPr>
                <w:rFonts w:ascii="Trebuchet MS"/>
                <w:sz w:val="16"/>
              </w:rPr>
              <w:t>Martes</w:t>
            </w:r>
          </w:p>
        </w:tc>
        <w:tc>
          <w:tcPr>
            <w:tcW w:w="1301" w:type="dxa"/>
            <w:shd w:val="clear" w:color="auto" w:fill="B8CCE3"/>
          </w:tcPr>
          <w:p>
            <w:pPr>
              <w:pStyle w:val="TableParagraph"/>
              <w:spacing w:before="76"/>
              <w:ind w:left="311" w:right="64"/>
              <w:rPr>
                <w:rFonts w:ascii="Trebuchet MS" w:hAnsi="Trebuchet MS"/>
                <w:sz w:val="16"/>
              </w:rPr>
            </w:pPr>
            <w:r>
              <w:rPr>
                <w:rFonts w:ascii="Trebuchet MS" w:hAnsi="Trebuchet MS"/>
                <w:sz w:val="16"/>
              </w:rPr>
              <w:t>Miércoles</w:t>
            </w:r>
          </w:p>
        </w:tc>
        <w:tc>
          <w:tcPr>
            <w:tcW w:w="1320" w:type="dxa"/>
            <w:shd w:val="clear" w:color="auto" w:fill="B8CCE3"/>
          </w:tcPr>
          <w:p>
            <w:pPr>
              <w:pStyle w:val="TableParagraph"/>
              <w:spacing w:before="76"/>
              <w:ind w:left="418" w:right="83"/>
              <w:rPr>
                <w:rFonts w:ascii="Trebuchet MS"/>
                <w:sz w:val="16"/>
              </w:rPr>
            </w:pPr>
            <w:r>
              <w:rPr>
                <w:rFonts w:ascii="Trebuchet MS"/>
                <w:sz w:val="16"/>
              </w:rPr>
              <w:t>Jueves</w:t>
            </w:r>
          </w:p>
        </w:tc>
        <w:tc>
          <w:tcPr>
            <w:tcW w:w="1124" w:type="dxa"/>
            <w:shd w:val="clear" w:color="auto" w:fill="B8CCE3"/>
          </w:tcPr>
          <w:p>
            <w:pPr>
              <w:pStyle w:val="TableParagraph"/>
              <w:spacing w:before="76"/>
              <w:ind w:left="293"/>
              <w:rPr>
                <w:rFonts w:ascii="Trebuchet MS"/>
                <w:sz w:val="16"/>
              </w:rPr>
            </w:pPr>
            <w:r>
              <w:rPr>
                <w:rFonts w:ascii="Trebuchet MS"/>
                <w:sz w:val="16"/>
              </w:rPr>
              <w:t>Viernes</w:t>
            </w:r>
          </w:p>
        </w:tc>
        <w:tc>
          <w:tcPr>
            <w:tcW w:w="1114" w:type="dxa"/>
            <w:shd w:val="clear" w:color="auto" w:fill="B8CCE3"/>
          </w:tcPr>
          <w:p>
            <w:pPr>
              <w:pStyle w:val="TableParagraph"/>
              <w:spacing w:before="76"/>
              <w:ind w:left="298"/>
              <w:rPr>
                <w:rFonts w:ascii="Trebuchet MS" w:hAnsi="Trebuchet MS"/>
                <w:sz w:val="16"/>
              </w:rPr>
            </w:pPr>
            <w:r>
              <w:rPr>
                <w:rFonts w:ascii="Trebuchet MS" w:hAnsi="Trebuchet MS"/>
                <w:sz w:val="16"/>
              </w:rPr>
              <w:t>Sábado</w:t>
            </w:r>
          </w:p>
        </w:tc>
        <w:tc>
          <w:tcPr>
            <w:tcW w:w="1133" w:type="dxa"/>
            <w:shd w:val="clear" w:color="auto" w:fill="B8CCE3"/>
          </w:tcPr>
          <w:p>
            <w:pPr>
              <w:pStyle w:val="TableParagraph"/>
              <w:spacing w:before="76"/>
              <w:ind w:left="254"/>
              <w:rPr>
                <w:rFonts w:ascii="Trebuchet MS"/>
                <w:sz w:val="16"/>
              </w:rPr>
            </w:pPr>
            <w:r>
              <w:rPr>
                <w:rFonts w:ascii="Trebuchet MS"/>
                <w:sz w:val="16"/>
              </w:rPr>
              <w:t>Domingo</w:t>
            </w:r>
          </w:p>
        </w:tc>
      </w:tr>
      <w:tr>
        <w:trPr>
          <w:trHeight w:val="149" w:hRule="exact"/>
        </w:trPr>
        <w:tc>
          <w:tcPr>
            <w:tcW w:w="826" w:type="dxa"/>
            <w:tcBorders>
              <w:bottom w:val="single" w:sz="8" w:space="0" w:color="000000"/>
            </w:tcBorders>
            <w:shd w:val="clear" w:color="auto" w:fill="B8CCE3"/>
          </w:tcPr>
          <w:p>
            <w:pPr/>
          </w:p>
        </w:tc>
        <w:tc>
          <w:tcPr>
            <w:tcW w:w="1138" w:type="dxa"/>
            <w:tcBorders>
              <w:bottom w:val="single" w:sz="8" w:space="0" w:color="000000"/>
            </w:tcBorders>
            <w:shd w:val="clear" w:color="auto" w:fill="B8CCE3"/>
          </w:tcPr>
          <w:p>
            <w:pPr/>
          </w:p>
        </w:tc>
        <w:tc>
          <w:tcPr>
            <w:tcW w:w="1148" w:type="dxa"/>
            <w:tcBorders>
              <w:bottom w:val="single" w:sz="54" w:space="0" w:color="F1DBDB"/>
            </w:tcBorders>
            <w:shd w:val="clear" w:color="auto" w:fill="B8CCE3"/>
          </w:tcPr>
          <w:p>
            <w:pPr/>
          </w:p>
        </w:tc>
        <w:tc>
          <w:tcPr>
            <w:tcW w:w="1301" w:type="dxa"/>
            <w:tcBorders>
              <w:bottom w:val="single" w:sz="8" w:space="0" w:color="000000"/>
            </w:tcBorders>
            <w:shd w:val="clear" w:color="auto" w:fill="B8CCE3"/>
          </w:tcPr>
          <w:p>
            <w:pPr/>
          </w:p>
        </w:tc>
        <w:tc>
          <w:tcPr>
            <w:tcW w:w="1320" w:type="dxa"/>
            <w:tcBorders>
              <w:bottom w:val="single" w:sz="8" w:space="0" w:color="000000"/>
            </w:tcBorders>
            <w:shd w:val="clear" w:color="auto" w:fill="B8CCE3"/>
          </w:tcPr>
          <w:p>
            <w:pPr/>
          </w:p>
        </w:tc>
        <w:tc>
          <w:tcPr>
            <w:tcW w:w="1124" w:type="dxa"/>
            <w:tcBorders>
              <w:bottom w:val="single" w:sz="8" w:space="0" w:color="000000"/>
            </w:tcBorders>
            <w:shd w:val="clear" w:color="auto" w:fill="B8CCE3"/>
          </w:tcPr>
          <w:p>
            <w:pPr/>
          </w:p>
        </w:tc>
        <w:tc>
          <w:tcPr>
            <w:tcW w:w="1114" w:type="dxa"/>
            <w:tcBorders>
              <w:bottom w:val="single" w:sz="8" w:space="0" w:color="000000"/>
            </w:tcBorders>
            <w:shd w:val="clear" w:color="auto" w:fill="B8CCE3"/>
          </w:tcPr>
          <w:p>
            <w:pPr/>
          </w:p>
        </w:tc>
        <w:tc>
          <w:tcPr>
            <w:tcW w:w="1133" w:type="dxa"/>
            <w:tcBorders>
              <w:bottom w:val="single" w:sz="8" w:space="0" w:color="000000"/>
            </w:tcBorders>
            <w:shd w:val="clear" w:color="auto" w:fill="B8CCE3"/>
          </w:tcPr>
          <w:p>
            <w:pPr/>
          </w:p>
        </w:tc>
      </w:tr>
      <w:tr>
        <w:trPr>
          <w:trHeight w:val="1805" w:hRule="exact"/>
        </w:trPr>
        <w:tc>
          <w:tcPr>
            <w:tcW w:w="826" w:type="dxa"/>
            <w:tcBorders>
              <w:top w:val="single" w:sz="8" w:space="0" w:color="000000"/>
            </w:tcBorders>
            <w:shd w:val="clear" w:color="auto" w:fill="B8CCE3"/>
          </w:tcPr>
          <w:p>
            <w:pPr>
              <w:pStyle w:val="TableParagraph"/>
              <w:rPr>
                <w:b/>
                <w:sz w:val="16"/>
              </w:rPr>
            </w:pPr>
          </w:p>
          <w:p>
            <w:pPr>
              <w:pStyle w:val="TableParagraph"/>
              <w:rPr>
                <w:b/>
                <w:sz w:val="16"/>
              </w:rPr>
            </w:pPr>
          </w:p>
          <w:p>
            <w:pPr>
              <w:pStyle w:val="TableParagraph"/>
              <w:rPr>
                <w:b/>
                <w:sz w:val="16"/>
              </w:rPr>
            </w:pPr>
          </w:p>
          <w:p>
            <w:pPr>
              <w:pStyle w:val="TableParagraph"/>
              <w:spacing w:before="6"/>
              <w:rPr>
                <w:b/>
                <w:sz w:val="20"/>
              </w:rPr>
            </w:pPr>
          </w:p>
          <w:p>
            <w:pPr>
              <w:pStyle w:val="TableParagraph"/>
              <w:ind w:left="114" w:right="115"/>
              <w:jc w:val="center"/>
              <w:rPr>
                <w:rFonts w:ascii="Calibri" w:hAnsi="Calibri"/>
                <w:sz w:val="16"/>
              </w:rPr>
            </w:pPr>
            <w:r>
              <w:rPr>
                <w:rFonts w:ascii="Calibri" w:hAnsi="Calibri"/>
                <w:sz w:val="16"/>
              </w:rPr>
              <w:t>1º</w:t>
            </w:r>
          </w:p>
        </w:tc>
        <w:tc>
          <w:tcPr>
            <w:tcW w:w="1138" w:type="dxa"/>
            <w:tcBorders>
              <w:top w:val="single" w:sz="46" w:space="0" w:color="B8CCE3"/>
            </w:tcBorders>
          </w:tcPr>
          <w:p>
            <w:pPr>
              <w:pStyle w:val="TableParagraph"/>
              <w:spacing w:before="54"/>
              <w:ind w:left="297" w:right="127"/>
              <w:rPr>
                <w:rFonts w:ascii="Calibri"/>
                <w:sz w:val="16"/>
              </w:rPr>
            </w:pPr>
            <w:r>
              <w:rPr>
                <w:rFonts w:ascii="Calibri"/>
                <w:sz w:val="16"/>
              </w:rPr>
              <w:t>17 Sep.</w:t>
            </w:r>
          </w:p>
          <w:p>
            <w:pPr>
              <w:pStyle w:val="TableParagraph"/>
              <w:spacing w:before="2"/>
              <w:rPr>
                <w:b/>
                <w:sz w:val="17"/>
              </w:rPr>
            </w:pPr>
          </w:p>
          <w:p>
            <w:pPr>
              <w:pStyle w:val="TableParagraph"/>
              <w:spacing w:before="1"/>
              <w:ind w:left="297" w:right="127"/>
              <w:rPr>
                <w:rFonts w:ascii="Calibri" w:hAnsi="Calibri"/>
                <w:sz w:val="16"/>
              </w:rPr>
            </w:pPr>
            <w:r>
              <w:rPr>
                <w:rFonts w:ascii="Calibri" w:hAnsi="Calibri"/>
                <w:sz w:val="16"/>
              </w:rPr>
              <w:t>Toma de muestras Kit triple Títulos de </w:t>
            </w:r>
            <w:r>
              <w:rPr>
                <w:rFonts w:ascii="Calibri" w:hAnsi="Calibri"/>
                <w:w w:val="95"/>
                <w:sz w:val="16"/>
              </w:rPr>
              <w:t>anticuerpo </w:t>
            </w:r>
            <w:r>
              <w:rPr>
                <w:rFonts w:ascii="Calibri" w:hAnsi="Calibri"/>
                <w:sz w:val="16"/>
              </w:rPr>
              <w:t>s</w:t>
            </w:r>
          </w:p>
        </w:tc>
        <w:tc>
          <w:tcPr>
            <w:tcW w:w="1148" w:type="dxa"/>
            <w:tcBorders>
              <w:top w:val="single" w:sz="46" w:space="0" w:color="B8CCE3"/>
            </w:tcBorders>
            <w:shd w:val="clear" w:color="auto" w:fill="F1DBDB"/>
          </w:tcPr>
          <w:p>
            <w:pPr>
              <w:pStyle w:val="TableParagraph"/>
              <w:spacing w:before="54"/>
              <w:ind w:left="268" w:right="146"/>
              <w:rPr>
                <w:rFonts w:ascii="Calibri"/>
                <w:sz w:val="16"/>
              </w:rPr>
            </w:pPr>
            <w:r>
              <w:rPr>
                <w:rFonts w:ascii="Calibri"/>
                <w:sz w:val="16"/>
              </w:rPr>
              <w:t>18     Sep.</w:t>
            </w:r>
          </w:p>
          <w:p>
            <w:pPr>
              <w:pStyle w:val="TableParagraph"/>
              <w:spacing w:before="2"/>
              <w:rPr>
                <w:b/>
                <w:sz w:val="17"/>
              </w:rPr>
            </w:pPr>
          </w:p>
          <w:p>
            <w:pPr>
              <w:pStyle w:val="TableParagraph"/>
              <w:spacing w:before="1"/>
              <w:ind w:left="148" w:right="146"/>
              <w:rPr>
                <w:rFonts w:ascii="Calibri" w:hAnsi="Calibri"/>
                <w:sz w:val="16"/>
              </w:rPr>
            </w:pPr>
            <w:r>
              <w:rPr>
                <w:rFonts w:ascii="Calibri" w:hAnsi="Calibri"/>
                <w:sz w:val="16"/>
              </w:rPr>
              <w:t>Vacunación</w:t>
            </w:r>
          </w:p>
        </w:tc>
        <w:tc>
          <w:tcPr>
            <w:tcW w:w="1301" w:type="dxa"/>
            <w:tcBorders>
              <w:top w:val="single" w:sz="46" w:space="0" w:color="B8CCE3"/>
            </w:tcBorders>
          </w:tcPr>
          <w:p>
            <w:pPr>
              <w:pStyle w:val="TableParagraph"/>
              <w:spacing w:before="54"/>
              <w:ind w:left="143" w:right="64"/>
              <w:rPr>
                <w:rFonts w:ascii="Calibri"/>
                <w:sz w:val="16"/>
              </w:rPr>
            </w:pPr>
            <w:r>
              <w:rPr>
                <w:rFonts w:ascii="Calibri"/>
                <w:sz w:val="16"/>
              </w:rPr>
              <w:t>19     Sep.</w:t>
            </w:r>
          </w:p>
          <w:p>
            <w:pPr>
              <w:pStyle w:val="TableParagraph"/>
              <w:spacing w:before="2"/>
              <w:rPr>
                <w:b/>
                <w:sz w:val="17"/>
              </w:rPr>
            </w:pPr>
          </w:p>
          <w:p>
            <w:pPr>
              <w:pStyle w:val="TableParagraph"/>
              <w:spacing w:before="1"/>
              <w:ind w:left="143" w:right="64"/>
              <w:rPr>
                <w:rFonts w:ascii="Calibri" w:hAnsi="Calibri"/>
                <w:sz w:val="16"/>
              </w:rPr>
            </w:pPr>
            <w:r>
              <w:rPr>
                <w:rFonts w:ascii="Calibri" w:hAnsi="Calibri"/>
                <w:sz w:val="16"/>
              </w:rPr>
              <w:t>Muestras sanguínea y heces</w:t>
            </w:r>
          </w:p>
        </w:tc>
        <w:tc>
          <w:tcPr>
            <w:tcW w:w="1320" w:type="dxa"/>
            <w:tcBorders>
              <w:top w:val="single" w:sz="46" w:space="0" w:color="B8CCE3"/>
            </w:tcBorders>
          </w:tcPr>
          <w:p>
            <w:pPr>
              <w:pStyle w:val="TableParagraph"/>
              <w:spacing w:before="54"/>
              <w:ind w:left="144" w:right="83"/>
              <w:rPr>
                <w:rFonts w:ascii="Calibri"/>
                <w:sz w:val="16"/>
              </w:rPr>
            </w:pPr>
            <w:r>
              <w:rPr>
                <w:rFonts w:ascii="Calibri"/>
                <w:sz w:val="16"/>
              </w:rPr>
              <w:t>20     Sep.</w:t>
            </w:r>
          </w:p>
        </w:tc>
        <w:tc>
          <w:tcPr>
            <w:tcW w:w="1124" w:type="dxa"/>
            <w:tcBorders>
              <w:top w:val="single" w:sz="46" w:space="0" w:color="B8CCE3"/>
            </w:tcBorders>
          </w:tcPr>
          <w:p>
            <w:pPr>
              <w:pStyle w:val="TableParagraph"/>
              <w:spacing w:before="54"/>
              <w:ind w:left="115" w:firstLine="28"/>
              <w:rPr>
                <w:rFonts w:ascii="Calibri"/>
                <w:sz w:val="16"/>
              </w:rPr>
            </w:pPr>
            <w:r>
              <w:rPr>
                <w:rFonts w:ascii="Calibri"/>
                <w:sz w:val="16"/>
              </w:rPr>
              <w:t>21 Sep.</w:t>
            </w:r>
          </w:p>
          <w:p>
            <w:pPr>
              <w:pStyle w:val="TableParagraph"/>
              <w:spacing w:before="2"/>
              <w:rPr>
                <w:b/>
                <w:sz w:val="17"/>
              </w:rPr>
            </w:pPr>
          </w:p>
          <w:p>
            <w:pPr>
              <w:pStyle w:val="TableParagraph"/>
              <w:spacing w:before="1"/>
              <w:ind w:left="115"/>
              <w:rPr>
                <w:rFonts w:ascii="Calibri" w:hAnsi="Calibri"/>
                <w:sz w:val="16"/>
              </w:rPr>
            </w:pPr>
            <w:r>
              <w:rPr>
                <w:rFonts w:ascii="Calibri" w:hAnsi="Calibri"/>
                <w:sz w:val="16"/>
              </w:rPr>
              <w:t>Muestras sanguínea y heces</w:t>
            </w:r>
          </w:p>
        </w:tc>
        <w:tc>
          <w:tcPr>
            <w:tcW w:w="1114" w:type="dxa"/>
            <w:tcBorders>
              <w:top w:val="single" w:sz="46" w:space="0" w:color="B8CCE3"/>
            </w:tcBorders>
          </w:tcPr>
          <w:p>
            <w:pPr>
              <w:pStyle w:val="TableParagraph"/>
              <w:spacing w:before="54"/>
              <w:ind w:left="144"/>
              <w:rPr>
                <w:rFonts w:ascii="Calibri"/>
                <w:sz w:val="16"/>
              </w:rPr>
            </w:pPr>
            <w:r>
              <w:rPr>
                <w:rFonts w:ascii="Calibri"/>
                <w:sz w:val="16"/>
              </w:rPr>
              <w:t>22 Sep.</w:t>
            </w:r>
          </w:p>
        </w:tc>
        <w:tc>
          <w:tcPr>
            <w:tcW w:w="1133" w:type="dxa"/>
            <w:tcBorders>
              <w:top w:val="single" w:sz="46" w:space="0" w:color="B8CCE3"/>
            </w:tcBorders>
          </w:tcPr>
          <w:p>
            <w:pPr>
              <w:pStyle w:val="TableParagraph"/>
              <w:spacing w:before="54"/>
              <w:ind w:left="110" w:firstLine="33"/>
              <w:rPr>
                <w:rFonts w:ascii="Calibri"/>
                <w:sz w:val="16"/>
              </w:rPr>
            </w:pPr>
            <w:r>
              <w:rPr>
                <w:rFonts w:ascii="Calibri"/>
                <w:sz w:val="16"/>
              </w:rPr>
              <w:t>23 Sep.</w:t>
            </w:r>
          </w:p>
          <w:p>
            <w:pPr>
              <w:pStyle w:val="TableParagraph"/>
              <w:spacing w:before="2"/>
              <w:rPr>
                <w:b/>
                <w:sz w:val="17"/>
              </w:rPr>
            </w:pPr>
          </w:p>
          <w:p>
            <w:pPr>
              <w:pStyle w:val="TableParagraph"/>
              <w:spacing w:before="1"/>
              <w:ind w:left="110"/>
              <w:rPr>
                <w:rFonts w:ascii="Calibri" w:hAnsi="Calibri"/>
                <w:sz w:val="16"/>
              </w:rPr>
            </w:pPr>
            <w:r>
              <w:rPr>
                <w:rFonts w:ascii="Calibri" w:hAnsi="Calibri"/>
                <w:sz w:val="16"/>
              </w:rPr>
              <w:t>Muestras sanguínea y heces</w:t>
            </w:r>
          </w:p>
        </w:tc>
      </w:tr>
      <w:tr>
        <w:trPr>
          <w:trHeight w:val="1224" w:hRule="exact"/>
        </w:trPr>
        <w:tc>
          <w:tcPr>
            <w:tcW w:w="826" w:type="dxa"/>
            <w:tcBorders>
              <w:bottom w:val="single" w:sz="8" w:space="0" w:color="000000"/>
            </w:tcBorders>
            <w:shd w:val="clear" w:color="auto" w:fill="B8CCE3"/>
          </w:tcPr>
          <w:p>
            <w:pPr>
              <w:pStyle w:val="TableParagraph"/>
              <w:rPr>
                <w:b/>
                <w:sz w:val="16"/>
              </w:rPr>
            </w:pPr>
          </w:p>
          <w:p>
            <w:pPr>
              <w:pStyle w:val="TableParagraph"/>
              <w:rPr>
                <w:b/>
                <w:sz w:val="16"/>
              </w:rPr>
            </w:pPr>
          </w:p>
          <w:p>
            <w:pPr>
              <w:pStyle w:val="TableParagraph"/>
              <w:spacing w:before="142"/>
              <w:ind w:left="114" w:right="115"/>
              <w:jc w:val="center"/>
              <w:rPr>
                <w:rFonts w:ascii="Calibri" w:hAnsi="Calibri"/>
                <w:sz w:val="16"/>
              </w:rPr>
            </w:pPr>
            <w:r>
              <w:rPr>
                <w:rFonts w:ascii="Calibri" w:hAnsi="Calibri"/>
                <w:sz w:val="16"/>
              </w:rPr>
              <w:t>2º</w:t>
            </w:r>
          </w:p>
        </w:tc>
        <w:tc>
          <w:tcPr>
            <w:tcW w:w="1138" w:type="dxa"/>
            <w:tcBorders>
              <w:bottom w:val="single" w:sz="8" w:space="0" w:color="000000"/>
            </w:tcBorders>
          </w:tcPr>
          <w:p>
            <w:pPr>
              <w:pStyle w:val="TableParagraph"/>
              <w:spacing w:before="121"/>
              <w:ind w:left="148" w:right="127"/>
              <w:rPr>
                <w:rFonts w:ascii="Calibri"/>
                <w:sz w:val="16"/>
              </w:rPr>
            </w:pPr>
            <w:r>
              <w:rPr>
                <w:rFonts w:ascii="Calibri"/>
                <w:sz w:val="16"/>
              </w:rPr>
              <w:t>24 Sep.</w:t>
            </w:r>
          </w:p>
        </w:tc>
        <w:tc>
          <w:tcPr>
            <w:tcW w:w="1148" w:type="dxa"/>
            <w:tcBorders>
              <w:bottom w:val="single" w:sz="54" w:space="0" w:color="F1DBDB"/>
            </w:tcBorders>
          </w:tcPr>
          <w:p>
            <w:pPr>
              <w:pStyle w:val="TableParagraph"/>
              <w:spacing w:before="121"/>
              <w:ind w:left="115" w:right="146" w:firstLine="33"/>
              <w:rPr>
                <w:rFonts w:ascii="Calibri"/>
                <w:sz w:val="16"/>
              </w:rPr>
            </w:pPr>
            <w:r>
              <w:rPr>
                <w:rFonts w:ascii="Calibri"/>
                <w:sz w:val="16"/>
              </w:rPr>
              <w:t>25 Sep.</w:t>
            </w:r>
          </w:p>
          <w:p>
            <w:pPr>
              <w:pStyle w:val="TableParagraph"/>
              <w:spacing w:before="9"/>
              <w:rPr>
                <w:b/>
                <w:sz w:val="16"/>
              </w:rPr>
            </w:pPr>
          </w:p>
          <w:p>
            <w:pPr>
              <w:pStyle w:val="TableParagraph"/>
              <w:ind w:left="115" w:right="146"/>
              <w:rPr>
                <w:rFonts w:ascii="Calibri" w:hAnsi="Calibri"/>
                <w:sz w:val="16"/>
              </w:rPr>
            </w:pPr>
            <w:r>
              <w:rPr>
                <w:rFonts w:ascii="Calibri" w:hAnsi="Calibri"/>
                <w:sz w:val="16"/>
              </w:rPr>
              <w:t>Muestras sanguínea y heces</w:t>
            </w:r>
          </w:p>
        </w:tc>
        <w:tc>
          <w:tcPr>
            <w:tcW w:w="1301" w:type="dxa"/>
            <w:tcBorders>
              <w:bottom w:val="single" w:sz="8" w:space="0" w:color="000000"/>
            </w:tcBorders>
          </w:tcPr>
          <w:p>
            <w:pPr>
              <w:pStyle w:val="TableParagraph"/>
              <w:spacing w:before="121"/>
              <w:ind w:left="148" w:right="64"/>
              <w:rPr>
                <w:rFonts w:ascii="Calibri"/>
                <w:sz w:val="16"/>
              </w:rPr>
            </w:pPr>
            <w:r>
              <w:rPr>
                <w:rFonts w:ascii="Calibri"/>
                <w:sz w:val="16"/>
              </w:rPr>
              <w:t>26 Sep.</w:t>
            </w:r>
          </w:p>
        </w:tc>
        <w:tc>
          <w:tcPr>
            <w:tcW w:w="1320" w:type="dxa"/>
            <w:tcBorders>
              <w:bottom w:val="single" w:sz="8" w:space="0" w:color="000000"/>
            </w:tcBorders>
          </w:tcPr>
          <w:p>
            <w:pPr>
              <w:pStyle w:val="TableParagraph"/>
              <w:spacing w:before="121"/>
              <w:ind w:left="115" w:right="83" w:firstLine="33"/>
              <w:rPr>
                <w:rFonts w:ascii="Calibri"/>
                <w:sz w:val="16"/>
              </w:rPr>
            </w:pPr>
            <w:r>
              <w:rPr>
                <w:rFonts w:ascii="Calibri"/>
                <w:sz w:val="16"/>
              </w:rPr>
              <w:t>27 Sep.</w:t>
            </w:r>
          </w:p>
          <w:p>
            <w:pPr>
              <w:pStyle w:val="TableParagraph"/>
              <w:spacing w:before="9"/>
              <w:rPr>
                <w:b/>
                <w:sz w:val="16"/>
              </w:rPr>
            </w:pPr>
          </w:p>
          <w:p>
            <w:pPr>
              <w:pStyle w:val="TableParagraph"/>
              <w:ind w:left="115" w:right="83"/>
              <w:rPr>
                <w:rFonts w:ascii="Calibri" w:hAnsi="Calibri"/>
                <w:sz w:val="16"/>
              </w:rPr>
            </w:pPr>
            <w:r>
              <w:rPr>
                <w:rFonts w:ascii="Calibri" w:hAnsi="Calibri"/>
                <w:sz w:val="16"/>
              </w:rPr>
              <w:t>Muestras sanguínea y heces</w:t>
            </w:r>
          </w:p>
        </w:tc>
        <w:tc>
          <w:tcPr>
            <w:tcW w:w="1124" w:type="dxa"/>
            <w:tcBorders>
              <w:bottom w:val="single" w:sz="8" w:space="0" w:color="000000"/>
            </w:tcBorders>
          </w:tcPr>
          <w:p>
            <w:pPr>
              <w:pStyle w:val="TableParagraph"/>
              <w:spacing w:before="121"/>
              <w:ind w:left="148"/>
              <w:rPr>
                <w:rFonts w:ascii="Calibri"/>
                <w:sz w:val="16"/>
              </w:rPr>
            </w:pPr>
            <w:r>
              <w:rPr>
                <w:rFonts w:ascii="Calibri"/>
                <w:sz w:val="16"/>
              </w:rPr>
              <w:t>28 Sep.</w:t>
            </w:r>
          </w:p>
        </w:tc>
        <w:tc>
          <w:tcPr>
            <w:tcW w:w="1114" w:type="dxa"/>
            <w:tcBorders>
              <w:bottom w:val="single" w:sz="8" w:space="0" w:color="000000"/>
            </w:tcBorders>
          </w:tcPr>
          <w:p>
            <w:pPr>
              <w:pStyle w:val="TableParagraph"/>
              <w:spacing w:before="121"/>
              <w:ind w:left="144"/>
              <w:rPr>
                <w:rFonts w:ascii="Calibri"/>
                <w:sz w:val="16"/>
              </w:rPr>
            </w:pPr>
            <w:r>
              <w:rPr>
                <w:rFonts w:ascii="Calibri"/>
                <w:sz w:val="16"/>
              </w:rPr>
              <w:t>29 Sep.</w:t>
            </w:r>
          </w:p>
          <w:p>
            <w:pPr>
              <w:pStyle w:val="TableParagraph"/>
              <w:spacing w:before="9"/>
              <w:rPr>
                <w:b/>
                <w:sz w:val="16"/>
              </w:rPr>
            </w:pPr>
          </w:p>
          <w:p>
            <w:pPr>
              <w:pStyle w:val="TableParagraph"/>
              <w:ind w:left="110" w:firstLine="33"/>
              <w:rPr>
                <w:rFonts w:ascii="Calibri" w:hAnsi="Calibri"/>
                <w:sz w:val="16"/>
              </w:rPr>
            </w:pPr>
            <w:r>
              <w:rPr>
                <w:rFonts w:ascii="Calibri" w:hAnsi="Calibri"/>
                <w:sz w:val="16"/>
              </w:rPr>
              <w:t>Muestras sanguínea y heces</w:t>
            </w:r>
          </w:p>
        </w:tc>
        <w:tc>
          <w:tcPr>
            <w:tcW w:w="1133" w:type="dxa"/>
            <w:tcBorders>
              <w:bottom w:val="single" w:sz="8" w:space="0" w:color="000000"/>
            </w:tcBorders>
          </w:tcPr>
          <w:p>
            <w:pPr>
              <w:pStyle w:val="TableParagraph"/>
              <w:spacing w:before="121"/>
              <w:ind w:left="143"/>
              <w:rPr>
                <w:rFonts w:ascii="Calibri"/>
                <w:sz w:val="16"/>
              </w:rPr>
            </w:pPr>
            <w:r>
              <w:rPr>
                <w:rFonts w:ascii="Calibri"/>
                <w:sz w:val="16"/>
              </w:rPr>
              <w:t>30 Sep.</w:t>
            </w:r>
          </w:p>
        </w:tc>
      </w:tr>
      <w:tr>
        <w:trPr>
          <w:trHeight w:val="1229" w:hRule="exact"/>
        </w:trPr>
        <w:tc>
          <w:tcPr>
            <w:tcW w:w="826" w:type="dxa"/>
            <w:tcBorders>
              <w:top w:val="single" w:sz="8" w:space="0" w:color="000000"/>
              <w:bottom w:val="single" w:sz="8" w:space="0" w:color="000000"/>
            </w:tcBorders>
            <w:shd w:val="clear" w:color="auto" w:fill="B8CCE3"/>
          </w:tcPr>
          <w:p>
            <w:pPr>
              <w:pStyle w:val="TableParagraph"/>
              <w:rPr>
                <w:b/>
                <w:sz w:val="16"/>
              </w:rPr>
            </w:pPr>
          </w:p>
          <w:p>
            <w:pPr>
              <w:pStyle w:val="TableParagraph"/>
              <w:rPr>
                <w:b/>
                <w:sz w:val="16"/>
              </w:rPr>
            </w:pPr>
          </w:p>
          <w:p>
            <w:pPr>
              <w:pStyle w:val="TableParagraph"/>
              <w:spacing w:before="138"/>
              <w:ind w:left="114" w:right="115"/>
              <w:jc w:val="center"/>
              <w:rPr>
                <w:rFonts w:ascii="Calibri" w:hAnsi="Calibri"/>
                <w:sz w:val="16"/>
              </w:rPr>
            </w:pPr>
            <w:r>
              <w:rPr>
                <w:rFonts w:ascii="Calibri" w:hAnsi="Calibri"/>
                <w:sz w:val="16"/>
              </w:rPr>
              <w:t>3º</w:t>
            </w:r>
          </w:p>
        </w:tc>
        <w:tc>
          <w:tcPr>
            <w:tcW w:w="1138" w:type="dxa"/>
            <w:tcBorders>
              <w:top w:val="single" w:sz="8" w:space="0" w:color="000000"/>
              <w:bottom w:val="single" w:sz="8" w:space="0" w:color="000000"/>
            </w:tcBorders>
          </w:tcPr>
          <w:p>
            <w:pPr>
              <w:pStyle w:val="TableParagraph"/>
              <w:spacing w:before="112"/>
              <w:ind w:left="148" w:right="127"/>
              <w:rPr>
                <w:rFonts w:ascii="Calibri"/>
                <w:sz w:val="16"/>
              </w:rPr>
            </w:pPr>
            <w:r>
              <w:rPr>
                <w:rFonts w:ascii="Calibri"/>
                <w:sz w:val="16"/>
              </w:rPr>
              <w:t>1 Oct</w:t>
            </w:r>
          </w:p>
          <w:p>
            <w:pPr>
              <w:pStyle w:val="TableParagraph"/>
              <w:spacing w:before="2"/>
              <w:rPr>
                <w:b/>
                <w:sz w:val="17"/>
              </w:rPr>
            </w:pPr>
          </w:p>
          <w:p>
            <w:pPr>
              <w:pStyle w:val="TableParagraph"/>
              <w:spacing w:before="1"/>
              <w:ind w:left="115" w:right="127"/>
              <w:rPr>
                <w:rFonts w:ascii="Calibri" w:hAnsi="Calibri"/>
                <w:sz w:val="16"/>
              </w:rPr>
            </w:pPr>
            <w:r>
              <w:rPr>
                <w:rFonts w:ascii="Calibri" w:hAnsi="Calibri"/>
                <w:sz w:val="16"/>
              </w:rPr>
              <w:t>Muestras sanguínea y heces</w:t>
            </w:r>
          </w:p>
        </w:tc>
        <w:tc>
          <w:tcPr>
            <w:tcW w:w="1148" w:type="dxa"/>
            <w:tcBorders>
              <w:top w:val="single" w:sz="8" w:space="0" w:color="000000"/>
              <w:bottom w:val="single" w:sz="8" w:space="0" w:color="000000"/>
            </w:tcBorders>
            <w:shd w:val="clear" w:color="auto" w:fill="F1DBDB"/>
          </w:tcPr>
          <w:p>
            <w:pPr>
              <w:pStyle w:val="TableParagraph"/>
              <w:spacing w:before="112"/>
              <w:ind w:left="115" w:right="146"/>
              <w:rPr>
                <w:rFonts w:ascii="Calibri"/>
                <w:sz w:val="16"/>
              </w:rPr>
            </w:pPr>
            <w:r>
              <w:rPr>
                <w:rFonts w:ascii="Calibri"/>
                <w:sz w:val="16"/>
              </w:rPr>
              <w:t>2 Oct</w:t>
            </w:r>
          </w:p>
          <w:p>
            <w:pPr>
              <w:pStyle w:val="TableParagraph"/>
              <w:spacing w:before="2"/>
              <w:rPr>
                <w:b/>
                <w:sz w:val="17"/>
              </w:rPr>
            </w:pPr>
          </w:p>
          <w:p>
            <w:pPr>
              <w:pStyle w:val="TableParagraph"/>
              <w:spacing w:before="1"/>
              <w:ind w:left="115" w:right="260"/>
              <w:rPr>
                <w:rFonts w:ascii="Calibri" w:hAnsi="Calibri"/>
                <w:sz w:val="16"/>
              </w:rPr>
            </w:pPr>
            <w:r>
              <w:rPr>
                <w:rFonts w:ascii="Calibri" w:hAnsi="Calibri"/>
                <w:sz w:val="16"/>
              </w:rPr>
              <w:t>Vacunación Titulación </w:t>
            </w:r>
            <w:r>
              <w:rPr>
                <w:rFonts w:ascii="Calibri" w:hAnsi="Calibri"/>
                <w:w w:val="95"/>
                <w:sz w:val="16"/>
              </w:rPr>
              <w:t>anticuerpos</w:t>
            </w:r>
          </w:p>
        </w:tc>
        <w:tc>
          <w:tcPr>
            <w:tcW w:w="1301" w:type="dxa"/>
            <w:tcBorders>
              <w:top w:val="single" w:sz="8" w:space="0" w:color="000000"/>
              <w:bottom w:val="single" w:sz="8" w:space="0" w:color="000000"/>
            </w:tcBorders>
          </w:tcPr>
          <w:p>
            <w:pPr>
              <w:pStyle w:val="TableParagraph"/>
              <w:spacing w:before="112"/>
              <w:ind w:left="148" w:right="64"/>
              <w:rPr>
                <w:rFonts w:ascii="Calibri"/>
                <w:sz w:val="16"/>
              </w:rPr>
            </w:pPr>
            <w:r>
              <w:rPr>
                <w:rFonts w:ascii="Calibri"/>
                <w:sz w:val="16"/>
              </w:rPr>
              <w:t>3 Oct</w:t>
            </w:r>
          </w:p>
          <w:p>
            <w:pPr>
              <w:pStyle w:val="TableParagraph"/>
              <w:spacing w:before="2"/>
              <w:rPr>
                <w:b/>
                <w:sz w:val="17"/>
              </w:rPr>
            </w:pPr>
          </w:p>
          <w:p>
            <w:pPr>
              <w:pStyle w:val="TableParagraph"/>
              <w:spacing w:before="1"/>
              <w:ind w:left="115" w:right="64"/>
              <w:rPr>
                <w:rFonts w:ascii="Calibri" w:hAnsi="Calibri"/>
                <w:sz w:val="16"/>
              </w:rPr>
            </w:pPr>
            <w:r>
              <w:rPr>
                <w:rFonts w:ascii="Calibri" w:hAnsi="Calibri"/>
                <w:sz w:val="16"/>
              </w:rPr>
              <w:t>Muestras sanguínea y heces</w:t>
            </w:r>
          </w:p>
        </w:tc>
        <w:tc>
          <w:tcPr>
            <w:tcW w:w="1320" w:type="dxa"/>
            <w:tcBorders>
              <w:top w:val="single" w:sz="8" w:space="0" w:color="000000"/>
              <w:bottom w:val="single" w:sz="8" w:space="0" w:color="000000"/>
            </w:tcBorders>
          </w:tcPr>
          <w:p>
            <w:pPr>
              <w:pStyle w:val="TableParagraph"/>
              <w:spacing w:before="112"/>
              <w:ind w:left="148" w:right="83"/>
              <w:rPr>
                <w:rFonts w:ascii="Calibri"/>
                <w:sz w:val="16"/>
              </w:rPr>
            </w:pPr>
            <w:r>
              <w:rPr>
                <w:rFonts w:ascii="Calibri"/>
                <w:sz w:val="16"/>
              </w:rPr>
              <w:t>4 Oct</w:t>
            </w:r>
          </w:p>
        </w:tc>
        <w:tc>
          <w:tcPr>
            <w:tcW w:w="1124" w:type="dxa"/>
            <w:tcBorders>
              <w:top w:val="single" w:sz="8" w:space="0" w:color="000000"/>
              <w:bottom w:val="single" w:sz="8" w:space="0" w:color="000000"/>
            </w:tcBorders>
          </w:tcPr>
          <w:p>
            <w:pPr>
              <w:pStyle w:val="TableParagraph"/>
              <w:spacing w:before="112"/>
              <w:ind w:left="148"/>
              <w:rPr>
                <w:rFonts w:ascii="Calibri"/>
                <w:sz w:val="16"/>
              </w:rPr>
            </w:pPr>
            <w:r>
              <w:rPr>
                <w:rFonts w:ascii="Calibri"/>
                <w:sz w:val="16"/>
              </w:rPr>
              <w:t>5 Oct</w:t>
            </w:r>
          </w:p>
          <w:p>
            <w:pPr>
              <w:pStyle w:val="TableParagraph"/>
              <w:spacing w:before="2"/>
              <w:rPr>
                <w:b/>
                <w:sz w:val="17"/>
              </w:rPr>
            </w:pPr>
          </w:p>
          <w:p>
            <w:pPr>
              <w:pStyle w:val="TableParagraph"/>
              <w:spacing w:before="1"/>
              <w:ind w:left="115"/>
              <w:rPr>
                <w:rFonts w:ascii="Calibri" w:hAnsi="Calibri"/>
                <w:sz w:val="16"/>
              </w:rPr>
            </w:pPr>
            <w:r>
              <w:rPr>
                <w:rFonts w:ascii="Calibri" w:hAnsi="Calibri"/>
                <w:sz w:val="16"/>
              </w:rPr>
              <w:t>Muestras sanguínea y heces</w:t>
            </w:r>
          </w:p>
        </w:tc>
        <w:tc>
          <w:tcPr>
            <w:tcW w:w="1114" w:type="dxa"/>
            <w:tcBorders>
              <w:top w:val="single" w:sz="8" w:space="0" w:color="000000"/>
              <w:bottom w:val="single" w:sz="8" w:space="0" w:color="000000"/>
            </w:tcBorders>
          </w:tcPr>
          <w:p>
            <w:pPr>
              <w:pStyle w:val="TableParagraph"/>
              <w:spacing w:before="112"/>
              <w:ind w:left="144"/>
              <w:rPr>
                <w:rFonts w:ascii="Calibri"/>
                <w:sz w:val="16"/>
              </w:rPr>
            </w:pPr>
            <w:r>
              <w:rPr>
                <w:rFonts w:ascii="Calibri"/>
                <w:sz w:val="16"/>
              </w:rPr>
              <w:t>6 Oct</w:t>
            </w:r>
          </w:p>
        </w:tc>
        <w:tc>
          <w:tcPr>
            <w:tcW w:w="1133" w:type="dxa"/>
            <w:tcBorders>
              <w:top w:val="single" w:sz="8" w:space="0" w:color="000000"/>
              <w:bottom w:val="single" w:sz="8" w:space="0" w:color="000000"/>
            </w:tcBorders>
          </w:tcPr>
          <w:p>
            <w:pPr>
              <w:pStyle w:val="TableParagraph"/>
              <w:spacing w:before="112"/>
              <w:ind w:left="143"/>
              <w:rPr>
                <w:rFonts w:ascii="Calibri"/>
                <w:sz w:val="16"/>
              </w:rPr>
            </w:pPr>
            <w:r>
              <w:rPr>
                <w:rFonts w:ascii="Calibri"/>
                <w:sz w:val="16"/>
              </w:rPr>
              <w:t>7 Oct</w:t>
            </w:r>
          </w:p>
          <w:p>
            <w:pPr>
              <w:pStyle w:val="TableParagraph"/>
              <w:spacing w:before="2"/>
              <w:rPr>
                <w:b/>
                <w:sz w:val="17"/>
              </w:rPr>
            </w:pPr>
          </w:p>
          <w:p>
            <w:pPr>
              <w:pStyle w:val="TableParagraph"/>
              <w:spacing w:before="1"/>
              <w:ind w:left="110"/>
              <w:rPr>
                <w:rFonts w:ascii="Calibri" w:hAnsi="Calibri"/>
                <w:sz w:val="16"/>
              </w:rPr>
            </w:pPr>
            <w:r>
              <w:rPr>
                <w:rFonts w:ascii="Calibri" w:hAnsi="Calibri"/>
                <w:sz w:val="16"/>
              </w:rPr>
              <w:t>Muestras sanguínea y heces</w:t>
            </w:r>
          </w:p>
        </w:tc>
      </w:tr>
      <w:tr>
        <w:trPr>
          <w:trHeight w:val="1224" w:hRule="exact"/>
        </w:trPr>
        <w:tc>
          <w:tcPr>
            <w:tcW w:w="826" w:type="dxa"/>
            <w:tcBorders>
              <w:top w:val="single" w:sz="8" w:space="0" w:color="000000"/>
              <w:bottom w:val="single" w:sz="8" w:space="0" w:color="000000"/>
            </w:tcBorders>
            <w:shd w:val="clear" w:color="auto" w:fill="B8CCE3"/>
          </w:tcPr>
          <w:p>
            <w:pPr>
              <w:pStyle w:val="TableParagraph"/>
              <w:rPr>
                <w:b/>
                <w:sz w:val="16"/>
              </w:rPr>
            </w:pPr>
          </w:p>
          <w:p>
            <w:pPr>
              <w:pStyle w:val="TableParagraph"/>
              <w:rPr>
                <w:b/>
                <w:sz w:val="16"/>
              </w:rPr>
            </w:pPr>
          </w:p>
          <w:p>
            <w:pPr>
              <w:pStyle w:val="TableParagraph"/>
              <w:spacing w:before="133"/>
              <w:ind w:left="114" w:right="115"/>
              <w:jc w:val="center"/>
              <w:rPr>
                <w:rFonts w:ascii="Calibri" w:hAnsi="Calibri"/>
                <w:sz w:val="16"/>
              </w:rPr>
            </w:pPr>
            <w:r>
              <w:rPr>
                <w:rFonts w:ascii="Calibri" w:hAnsi="Calibri"/>
                <w:sz w:val="16"/>
              </w:rPr>
              <w:t>4º</w:t>
            </w:r>
          </w:p>
        </w:tc>
        <w:tc>
          <w:tcPr>
            <w:tcW w:w="1138" w:type="dxa"/>
            <w:tcBorders>
              <w:top w:val="single" w:sz="8" w:space="0" w:color="000000"/>
              <w:bottom w:val="single" w:sz="8" w:space="0" w:color="000000"/>
            </w:tcBorders>
          </w:tcPr>
          <w:p>
            <w:pPr>
              <w:pStyle w:val="TableParagraph"/>
              <w:spacing w:before="111"/>
              <w:ind w:left="148" w:right="127"/>
              <w:rPr>
                <w:rFonts w:ascii="Calibri"/>
                <w:sz w:val="16"/>
              </w:rPr>
            </w:pPr>
            <w:r>
              <w:rPr>
                <w:rFonts w:ascii="Calibri"/>
                <w:sz w:val="16"/>
              </w:rPr>
              <w:t>8 Oct</w:t>
            </w:r>
          </w:p>
        </w:tc>
        <w:tc>
          <w:tcPr>
            <w:tcW w:w="1148" w:type="dxa"/>
            <w:tcBorders>
              <w:top w:val="single" w:sz="54" w:space="0" w:color="F1DBDB"/>
              <w:bottom w:val="single" w:sz="54" w:space="0" w:color="F1DBDB"/>
            </w:tcBorders>
          </w:tcPr>
          <w:p>
            <w:pPr>
              <w:pStyle w:val="TableParagraph"/>
              <w:spacing w:before="54"/>
              <w:ind w:left="148" w:right="146"/>
              <w:rPr>
                <w:rFonts w:ascii="Calibri"/>
                <w:sz w:val="16"/>
              </w:rPr>
            </w:pPr>
            <w:r>
              <w:rPr>
                <w:rFonts w:ascii="Calibri"/>
                <w:sz w:val="16"/>
              </w:rPr>
              <w:t>9 Oct</w:t>
            </w:r>
          </w:p>
          <w:p>
            <w:pPr>
              <w:pStyle w:val="TableParagraph"/>
              <w:spacing w:before="9"/>
              <w:rPr>
                <w:b/>
                <w:sz w:val="16"/>
              </w:rPr>
            </w:pPr>
          </w:p>
          <w:p>
            <w:pPr>
              <w:pStyle w:val="TableParagraph"/>
              <w:spacing w:before="1"/>
              <w:ind w:left="115" w:right="146"/>
              <w:rPr>
                <w:rFonts w:ascii="Calibri" w:hAnsi="Calibri"/>
                <w:sz w:val="16"/>
              </w:rPr>
            </w:pPr>
            <w:r>
              <w:rPr>
                <w:rFonts w:ascii="Calibri" w:hAnsi="Calibri"/>
                <w:sz w:val="16"/>
              </w:rPr>
              <w:t>Muestras sanguínea y heces</w:t>
            </w:r>
          </w:p>
        </w:tc>
        <w:tc>
          <w:tcPr>
            <w:tcW w:w="1301" w:type="dxa"/>
            <w:tcBorders>
              <w:top w:val="single" w:sz="8" w:space="0" w:color="000000"/>
              <w:bottom w:val="single" w:sz="8" w:space="0" w:color="000000"/>
            </w:tcBorders>
          </w:tcPr>
          <w:p>
            <w:pPr>
              <w:pStyle w:val="TableParagraph"/>
              <w:spacing w:before="111"/>
              <w:ind w:left="148" w:right="64"/>
              <w:rPr>
                <w:rFonts w:ascii="Calibri"/>
                <w:sz w:val="16"/>
              </w:rPr>
            </w:pPr>
            <w:r>
              <w:rPr>
                <w:rFonts w:ascii="Calibri"/>
                <w:sz w:val="16"/>
              </w:rPr>
              <w:t>10 Oct</w:t>
            </w:r>
          </w:p>
        </w:tc>
        <w:tc>
          <w:tcPr>
            <w:tcW w:w="1320" w:type="dxa"/>
            <w:tcBorders>
              <w:top w:val="single" w:sz="8" w:space="0" w:color="000000"/>
              <w:bottom w:val="single" w:sz="8" w:space="0" w:color="000000"/>
            </w:tcBorders>
          </w:tcPr>
          <w:p>
            <w:pPr>
              <w:pStyle w:val="TableParagraph"/>
              <w:spacing w:before="111"/>
              <w:ind w:left="148" w:right="83"/>
              <w:rPr>
                <w:rFonts w:ascii="Calibri"/>
                <w:sz w:val="16"/>
              </w:rPr>
            </w:pPr>
            <w:r>
              <w:rPr>
                <w:rFonts w:ascii="Calibri"/>
                <w:sz w:val="16"/>
              </w:rPr>
              <w:t>11 Oct</w:t>
            </w:r>
          </w:p>
          <w:p>
            <w:pPr>
              <w:pStyle w:val="TableParagraph"/>
              <w:spacing w:before="9"/>
              <w:rPr>
                <w:b/>
                <w:sz w:val="16"/>
              </w:rPr>
            </w:pPr>
          </w:p>
          <w:p>
            <w:pPr>
              <w:pStyle w:val="TableParagraph"/>
              <w:spacing w:before="1"/>
              <w:ind w:left="115" w:right="83"/>
              <w:rPr>
                <w:rFonts w:ascii="Calibri" w:hAnsi="Calibri"/>
                <w:sz w:val="16"/>
              </w:rPr>
            </w:pPr>
            <w:r>
              <w:rPr>
                <w:rFonts w:ascii="Calibri" w:hAnsi="Calibri"/>
                <w:sz w:val="16"/>
              </w:rPr>
              <w:t>Muestras sanguínea y heces</w:t>
            </w:r>
          </w:p>
        </w:tc>
        <w:tc>
          <w:tcPr>
            <w:tcW w:w="1124" w:type="dxa"/>
            <w:tcBorders>
              <w:top w:val="single" w:sz="8" w:space="0" w:color="000000"/>
              <w:bottom w:val="single" w:sz="8" w:space="0" w:color="000000"/>
            </w:tcBorders>
          </w:tcPr>
          <w:p>
            <w:pPr>
              <w:pStyle w:val="TableParagraph"/>
              <w:spacing w:before="111"/>
              <w:ind w:left="148"/>
              <w:rPr>
                <w:rFonts w:ascii="Calibri"/>
                <w:sz w:val="16"/>
              </w:rPr>
            </w:pPr>
            <w:r>
              <w:rPr>
                <w:rFonts w:ascii="Calibri"/>
                <w:sz w:val="16"/>
              </w:rPr>
              <w:t>12 Oct</w:t>
            </w:r>
          </w:p>
        </w:tc>
        <w:tc>
          <w:tcPr>
            <w:tcW w:w="1114" w:type="dxa"/>
            <w:tcBorders>
              <w:top w:val="single" w:sz="8" w:space="0" w:color="000000"/>
              <w:bottom w:val="single" w:sz="8" w:space="0" w:color="000000"/>
            </w:tcBorders>
          </w:tcPr>
          <w:p>
            <w:pPr>
              <w:pStyle w:val="TableParagraph"/>
              <w:spacing w:before="111"/>
              <w:ind w:left="144"/>
              <w:rPr>
                <w:rFonts w:ascii="Calibri"/>
                <w:sz w:val="16"/>
              </w:rPr>
            </w:pPr>
            <w:r>
              <w:rPr>
                <w:rFonts w:ascii="Calibri"/>
                <w:sz w:val="16"/>
              </w:rPr>
              <w:t>13 Oct</w:t>
            </w:r>
          </w:p>
          <w:p>
            <w:pPr>
              <w:pStyle w:val="TableParagraph"/>
              <w:spacing w:before="9"/>
              <w:rPr>
                <w:b/>
                <w:sz w:val="16"/>
              </w:rPr>
            </w:pPr>
          </w:p>
          <w:p>
            <w:pPr>
              <w:pStyle w:val="TableParagraph"/>
              <w:spacing w:before="1"/>
              <w:ind w:left="110"/>
              <w:rPr>
                <w:rFonts w:ascii="Calibri" w:hAnsi="Calibri"/>
                <w:sz w:val="16"/>
              </w:rPr>
            </w:pPr>
            <w:r>
              <w:rPr>
                <w:rFonts w:ascii="Calibri" w:hAnsi="Calibri"/>
                <w:sz w:val="16"/>
              </w:rPr>
              <w:t>Muestras sanguínea y heces</w:t>
            </w:r>
          </w:p>
        </w:tc>
        <w:tc>
          <w:tcPr>
            <w:tcW w:w="1133" w:type="dxa"/>
            <w:tcBorders>
              <w:top w:val="single" w:sz="8" w:space="0" w:color="000000"/>
              <w:bottom w:val="single" w:sz="8" w:space="0" w:color="000000"/>
            </w:tcBorders>
          </w:tcPr>
          <w:p>
            <w:pPr>
              <w:pStyle w:val="TableParagraph"/>
              <w:spacing w:before="111"/>
              <w:ind w:left="143"/>
              <w:rPr>
                <w:rFonts w:ascii="Calibri"/>
                <w:sz w:val="16"/>
              </w:rPr>
            </w:pPr>
            <w:r>
              <w:rPr>
                <w:rFonts w:ascii="Calibri"/>
                <w:sz w:val="16"/>
              </w:rPr>
              <w:t>14 Oct</w:t>
            </w:r>
          </w:p>
        </w:tc>
      </w:tr>
      <w:tr>
        <w:trPr>
          <w:trHeight w:val="1229" w:hRule="exact"/>
        </w:trPr>
        <w:tc>
          <w:tcPr>
            <w:tcW w:w="826" w:type="dxa"/>
            <w:tcBorders>
              <w:top w:val="single" w:sz="8" w:space="0" w:color="000000"/>
              <w:bottom w:val="single" w:sz="8" w:space="0" w:color="000000"/>
            </w:tcBorders>
            <w:shd w:val="clear" w:color="auto" w:fill="B8CCE3"/>
          </w:tcPr>
          <w:p>
            <w:pPr>
              <w:pStyle w:val="TableParagraph"/>
              <w:rPr>
                <w:b/>
                <w:sz w:val="16"/>
              </w:rPr>
            </w:pPr>
          </w:p>
          <w:p>
            <w:pPr>
              <w:pStyle w:val="TableParagraph"/>
              <w:rPr>
                <w:b/>
                <w:sz w:val="16"/>
              </w:rPr>
            </w:pPr>
          </w:p>
          <w:p>
            <w:pPr>
              <w:pStyle w:val="TableParagraph"/>
              <w:spacing w:before="137"/>
              <w:ind w:left="114" w:right="115"/>
              <w:jc w:val="center"/>
              <w:rPr>
                <w:rFonts w:ascii="Calibri" w:hAnsi="Calibri"/>
                <w:sz w:val="16"/>
              </w:rPr>
            </w:pPr>
            <w:r>
              <w:rPr>
                <w:rFonts w:ascii="Calibri" w:hAnsi="Calibri"/>
                <w:sz w:val="16"/>
              </w:rPr>
              <w:t>5º</w:t>
            </w:r>
          </w:p>
        </w:tc>
        <w:tc>
          <w:tcPr>
            <w:tcW w:w="1138" w:type="dxa"/>
            <w:tcBorders>
              <w:top w:val="single" w:sz="8" w:space="0" w:color="000000"/>
              <w:bottom w:val="single" w:sz="8" w:space="0" w:color="000000"/>
            </w:tcBorders>
          </w:tcPr>
          <w:p>
            <w:pPr>
              <w:pStyle w:val="TableParagraph"/>
              <w:spacing w:before="116"/>
              <w:ind w:left="148" w:right="127"/>
              <w:rPr>
                <w:rFonts w:ascii="Calibri"/>
                <w:sz w:val="16"/>
              </w:rPr>
            </w:pPr>
            <w:r>
              <w:rPr>
                <w:rFonts w:ascii="Calibri"/>
                <w:sz w:val="16"/>
              </w:rPr>
              <w:t>15 Oct</w:t>
            </w:r>
          </w:p>
          <w:p>
            <w:pPr>
              <w:pStyle w:val="TableParagraph"/>
              <w:spacing w:before="9"/>
              <w:rPr>
                <w:b/>
                <w:sz w:val="16"/>
              </w:rPr>
            </w:pPr>
          </w:p>
          <w:p>
            <w:pPr>
              <w:pStyle w:val="TableParagraph"/>
              <w:ind w:left="115" w:right="127"/>
              <w:rPr>
                <w:rFonts w:ascii="Calibri" w:hAnsi="Calibri"/>
                <w:sz w:val="16"/>
              </w:rPr>
            </w:pPr>
            <w:r>
              <w:rPr>
                <w:rFonts w:ascii="Calibri" w:hAnsi="Calibri"/>
                <w:sz w:val="16"/>
              </w:rPr>
              <w:t>Muestras sanguínea y heces</w:t>
            </w:r>
          </w:p>
        </w:tc>
        <w:tc>
          <w:tcPr>
            <w:tcW w:w="1148" w:type="dxa"/>
            <w:tcBorders>
              <w:top w:val="single" w:sz="8" w:space="0" w:color="000000"/>
              <w:bottom w:val="single" w:sz="8" w:space="0" w:color="000000"/>
            </w:tcBorders>
            <w:shd w:val="clear" w:color="auto" w:fill="F1DBDB"/>
          </w:tcPr>
          <w:p>
            <w:pPr>
              <w:pStyle w:val="TableParagraph"/>
              <w:spacing w:before="116"/>
              <w:ind w:left="9" w:right="146" w:firstLine="139"/>
              <w:rPr>
                <w:rFonts w:ascii="Calibri"/>
                <w:sz w:val="16"/>
              </w:rPr>
            </w:pPr>
            <w:r>
              <w:rPr>
                <w:rFonts w:ascii="Calibri"/>
                <w:sz w:val="16"/>
              </w:rPr>
              <w:t>16 Oct</w:t>
            </w:r>
          </w:p>
          <w:p>
            <w:pPr>
              <w:pStyle w:val="TableParagraph"/>
              <w:spacing w:before="9"/>
              <w:rPr>
                <w:b/>
                <w:sz w:val="16"/>
              </w:rPr>
            </w:pPr>
          </w:p>
          <w:p>
            <w:pPr>
              <w:pStyle w:val="TableParagraph"/>
              <w:ind w:left="9" w:right="146"/>
              <w:rPr>
                <w:rFonts w:ascii="Calibri" w:hAnsi="Calibri"/>
                <w:sz w:val="16"/>
              </w:rPr>
            </w:pPr>
            <w:r>
              <w:rPr>
                <w:rFonts w:ascii="Calibri" w:hAnsi="Calibri"/>
                <w:sz w:val="16"/>
              </w:rPr>
              <w:t>Titulación </w:t>
            </w:r>
            <w:r>
              <w:rPr>
                <w:rFonts w:ascii="Calibri" w:hAnsi="Calibri"/>
                <w:w w:val="95"/>
                <w:sz w:val="16"/>
              </w:rPr>
              <w:t>anticuerpos</w:t>
            </w:r>
          </w:p>
        </w:tc>
        <w:tc>
          <w:tcPr>
            <w:tcW w:w="1301" w:type="dxa"/>
            <w:tcBorders>
              <w:top w:val="single" w:sz="8" w:space="0" w:color="000000"/>
              <w:bottom w:val="single" w:sz="8" w:space="0" w:color="000000"/>
            </w:tcBorders>
          </w:tcPr>
          <w:p>
            <w:pPr>
              <w:pStyle w:val="TableParagraph"/>
              <w:spacing w:before="116"/>
              <w:ind w:left="148" w:right="64"/>
              <w:rPr>
                <w:rFonts w:ascii="Calibri"/>
                <w:sz w:val="16"/>
              </w:rPr>
            </w:pPr>
            <w:r>
              <w:rPr>
                <w:rFonts w:ascii="Calibri"/>
                <w:sz w:val="16"/>
              </w:rPr>
              <w:t>17 Oct</w:t>
            </w:r>
          </w:p>
          <w:p>
            <w:pPr>
              <w:pStyle w:val="TableParagraph"/>
              <w:spacing w:before="9"/>
              <w:rPr>
                <w:b/>
                <w:sz w:val="16"/>
              </w:rPr>
            </w:pPr>
          </w:p>
          <w:p>
            <w:pPr>
              <w:pStyle w:val="TableParagraph"/>
              <w:ind w:left="115" w:right="64"/>
              <w:rPr>
                <w:rFonts w:ascii="Calibri" w:hAnsi="Calibri"/>
                <w:sz w:val="16"/>
              </w:rPr>
            </w:pPr>
            <w:r>
              <w:rPr>
                <w:rFonts w:ascii="Calibri" w:hAnsi="Calibri"/>
                <w:sz w:val="16"/>
              </w:rPr>
              <w:t>Muestras sanguínea y heces</w:t>
            </w:r>
          </w:p>
        </w:tc>
        <w:tc>
          <w:tcPr>
            <w:tcW w:w="1320" w:type="dxa"/>
            <w:tcBorders>
              <w:top w:val="single" w:sz="8" w:space="0" w:color="000000"/>
              <w:bottom w:val="single" w:sz="8" w:space="0" w:color="000000"/>
            </w:tcBorders>
          </w:tcPr>
          <w:p>
            <w:pPr>
              <w:pStyle w:val="TableParagraph"/>
              <w:spacing w:before="116"/>
              <w:ind w:left="148" w:right="83"/>
              <w:rPr>
                <w:rFonts w:ascii="Calibri"/>
                <w:sz w:val="16"/>
              </w:rPr>
            </w:pPr>
            <w:r>
              <w:rPr>
                <w:rFonts w:ascii="Calibri"/>
                <w:sz w:val="16"/>
              </w:rPr>
              <w:t>18 Oct</w:t>
            </w:r>
          </w:p>
        </w:tc>
        <w:tc>
          <w:tcPr>
            <w:tcW w:w="1124" w:type="dxa"/>
            <w:tcBorders>
              <w:top w:val="single" w:sz="8" w:space="0" w:color="000000"/>
              <w:bottom w:val="single" w:sz="8" w:space="0" w:color="000000"/>
            </w:tcBorders>
          </w:tcPr>
          <w:p>
            <w:pPr>
              <w:pStyle w:val="TableParagraph"/>
              <w:spacing w:before="116"/>
              <w:ind w:left="148"/>
              <w:rPr>
                <w:rFonts w:ascii="Calibri"/>
                <w:sz w:val="16"/>
              </w:rPr>
            </w:pPr>
            <w:r>
              <w:rPr>
                <w:rFonts w:ascii="Calibri"/>
                <w:sz w:val="16"/>
              </w:rPr>
              <w:t>19 Oct</w:t>
            </w:r>
          </w:p>
          <w:p>
            <w:pPr>
              <w:pStyle w:val="TableParagraph"/>
              <w:spacing w:before="9"/>
              <w:rPr>
                <w:b/>
                <w:sz w:val="16"/>
              </w:rPr>
            </w:pPr>
          </w:p>
          <w:p>
            <w:pPr>
              <w:pStyle w:val="TableParagraph"/>
              <w:ind w:left="115"/>
              <w:rPr>
                <w:rFonts w:ascii="Calibri" w:hAnsi="Calibri"/>
                <w:sz w:val="16"/>
              </w:rPr>
            </w:pPr>
            <w:r>
              <w:rPr>
                <w:rFonts w:ascii="Calibri" w:hAnsi="Calibri"/>
                <w:sz w:val="16"/>
              </w:rPr>
              <w:t>Muestras sanguínea y heces</w:t>
            </w:r>
          </w:p>
        </w:tc>
        <w:tc>
          <w:tcPr>
            <w:tcW w:w="1114" w:type="dxa"/>
            <w:tcBorders>
              <w:top w:val="single" w:sz="8" w:space="0" w:color="000000"/>
              <w:bottom w:val="single" w:sz="8" w:space="0" w:color="000000"/>
            </w:tcBorders>
          </w:tcPr>
          <w:p>
            <w:pPr>
              <w:pStyle w:val="TableParagraph"/>
              <w:spacing w:before="116"/>
              <w:ind w:left="144"/>
              <w:rPr>
                <w:rFonts w:ascii="Calibri"/>
                <w:sz w:val="16"/>
              </w:rPr>
            </w:pPr>
            <w:r>
              <w:rPr>
                <w:rFonts w:ascii="Calibri"/>
                <w:sz w:val="16"/>
              </w:rPr>
              <w:t>20 Oct</w:t>
            </w:r>
          </w:p>
        </w:tc>
        <w:tc>
          <w:tcPr>
            <w:tcW w:w="1133" w:type="dxa"/>
            <w:tcBorders>
              <w:top w:val="single" w:sz="8" w:space="0" w:color="000000"/>
              <w:bottom w:val="single" w:sz="8" w:space="0" w:color="000000"/>
            </w:tcBorders>
          </w:tcPr>
          <w:p>
            <w:pPr>
              <w:pStyle w:val="TableParagraph"/>
              <w:spacing w:before="116"/>
              <w:ind w:left="143"/>
              <w:rPr>
                <w:rFonts w:ascii="Calibri"/>
                <w:sz w:val="16"/>
              </w:rPr>
            </w:pPr>
            <w:r>
              <w:rPr>
                <w:rFonts w:ascii="Calibri"/>
                <w:sz w:val="16"/>
              </w:rPr>
              <w:t>21 Oct</w:t>
            </w:r>
          </w:p>
          <w:p>
            <w:pPr>
              <w:pStyle w:val="TableParagraph"/>
              <w:spacing w:before="9"/>
              <w:rPr>
                <w:b/>
                <w:sz w:val="16"/>
              </w:rPr>
            </w:pPr>
          </w:p>
          <w:p>
            <w:pPr>
              <w:pStyle w:val="TableParagraph"/>
              <w:ind w:left="110"/>
              <w:rPr>
                <w:rFonts w:ascii="Calibri" w:hAnsi="Calibri"/>
                <w:sz w:val="16"/>
              </w:rPr>
            </w:pPr>
            <w:r>
              <w:rPr>
                <w:rFonts w:ascii="Calibri" w:hAnsi="Calibri"/>
                <w:sz w:val="16"/>
              </w:rPr>
              <w:t>Muestras sanguínea y heces</w:t>
            </w:r>
          </w:p>
        </w:tc>
      </w:tr>
      <w:tr>
        <w:trPr>
          <w:trHeight w:val="1224" w:hRule="exact"/>
        </w:trPr>
        <w:tc>
          <w:tcPr>
            <w:tcW w:w="826" w:type="dxa"/>
            <w:tcBorders>
              <w:top w:val="single" w:sz="8" w:space="0" w:color="000000"/>
              <w:bottom w:val="single" w:sz="8" w:space="0" w:color="000000"/>
            </w:tcBorders>
            <w:shd w:val="clear" w:color="auto" w:fill="B8CCE3"/>
          </w:tcPr>
          <w:p>
            <w:pPr>
              <w:pStyle w:val="TableParagraph"/>
              <w:rPr>
                <w:b/>
                <w:sz w:val="16"/>
              </w:rPr>
            </w:pPr>
          </w:p>
          <w:p>
            <w:pPr>
              <w:pStyle w:val="TableParagraph"/>
              <w:rPr>
                <w:b/>
                <w:sz w:val="16"/>
              </w:rPr>
            </w:pPr>
          </w:p>
          <w:p>
            <w:pPr>
              <w:pStyle w:val="TableParagraph"/>
              <w:spacing w:before="132"/>
              <w:ind w:left="114" w:right="115"/>
              <w:jc w:val="center"/>
              <w:rPr>
                <w:rFonts w:ascii="Calibri" w:hAnsi="Calibri"/>
                <w:sz w:val="16"/>
              </w:rPr>
            </w:pPr>
            <w:r>
              <w:rPr>
                <w:rFonts w:ascii="Calibri" w:hAnsi="Calibri"/>
                <w:sz w:val="16"/>
              </w:rPr>
              <w:t>6º</w:t>
            </w:r>
          </w:p>
        </w:tc>
        <w:tc>
          <w:tcPr>
            <w:tcW w:w="1138" w:type="dxa"/>
            <w:tcBorders>
              <w:top w:val="single" w:sz="8" w:space="0" w:color="000000"/>
              <w:bottom w:val="single" w:sz="8" w:space="0" w:color="000000"/>
            </w:tcBorders>
          </w:tcPr>
          <w:p>
            <w:pPr>
              <w:pStyle w:val="TableParagraph"/>
              <w:spacing w:before="111"/>
              <w:ind w:left="148" w:right="127"/>
              <w:rPr>
                <w:rFonts w:ascii="Calibri"/>
                <w:sz w:val="16"/>
              </w:rPr>
            </w:pPr>
            <w:r>
              <w:rPr>
                <w:rFonts w:ascii="Calibri"/>
                <w:sz w:val="16"/>
              </w:rPr>
              <w:t>22 Oct</w:t>
            </w:r>
          </w:p>
        </w:tc>
        <w:tc>
          <w:tcPr>
            <w:tcW w:w="1148" w:type="dxa"/>
            <w:tcBorders>
              <w:top w:val="single" w:sz="54" w:space="0" w:color="F1DBDB"/>
              <w:bottom w:val="single" w:sz="54" w:space="0" w:color="F1DBDB"/>
            </w:tcBorders>
          </w:tcPr>
          <w:p>
            <w:pPr>
              <w:pStyle w:val="TableParagraph"/>
              <w:spacing w:before="54"/>
              <w:ind w:left="148" w:right="146"/>
              <w:rPr>
                <w:rFonts w:ascii="Calibri"/>
                <w:sz w:val="16"/>
              </w:rPr>
            </w:pPr>
            <w:r>
              <w:rPr>
                <w:rFonts w:ascii="Calibri"/>
                <w:sz w:val="16"/>
              </w:rPr>
              <w:t>23 Oct</w:t>
            </w:r>
          </w:p>
          <w:p>
            <w:pPr>
              <w:pStyle w:val="TableParagraph"/>
              <w:spacing w:before="9"/>
              <w:rPr>
                <w:b/>
                <w:sz w:val="16"/>
              </w:rPr>
            </w:pPr>
          </w:p>
          <w:p>
            <w:pPr>
              <w:pStyle w:val="TableParagraph"/>
              <w:ind w:left="115" w:right="146"/>
              <w:rPr>
                <w:rFonts w:ascii="Calibri" w:hAnsi="Calibri"/>
                <w:sz w:val="16"/>
              </w:rPr>
            </w:pPr>
            <w:r>
              <w:rPr>
                <w:rFonts w:ascii="Calibri" w:hAnsi="Calibri"/>
                <w:sz w:val="16"/>
              </w:rPr>
              <w:t>Muestras sanguínea y heces</w:t>
            </w:r>
          </w:p>
        </w:tc>
        <w:tc>
          <w:tcPr>
            <w:tcW w:w="1301" w:type="dxa"/>
            <w:tcBorders>
              <w:top w:val="single" w:sz="8" w:space="0" w:color="000000"/>
              <w:bottom w:val="single" w:sz="8" w:space="0" w:color="000000"/>
            </w:tcBorders>
          </w:tcPr>
          <w:p>
            <w:pPr>
              <w:pStyle w:val="TableParagraph"/>
              <w:spacing w:before="111"/>
              <w:ind w:left="148" w:right="64"/>
              <w:rPr>
                <w:rFonts w:ascii="Calibri"/>
                <w:sz w:val="16"/>
              </w:rPr>
            </w:pPr>
            <w:r>
              <w:rPr>
                <w:rFonts w:ascii="Calibri"/>
                <w:sz w:val="16"/>
              </w:rPr>
              <w:t>24 Oct</w:t>
            </w:r>
          </w:p>
        </w:tc>
        <w:tc>
          <w:tcPr>
            <w:tcW w:w="1320" w:type="dxa"/>
            <w:tcBorders>
              <w:top w:val="single" w:sz="8" w:space="0" w:color="000000"/>
              <w:bottom w:val="single" w:sz="8" w:space="0" w:color="000000"/>
            </w:tcBorders>
          </w:tcPr>
          <w:p>
            <w:pPr>
              <w:pStyle w:val="TableParagraph"/>
              <w:spacing w:before="111"/>
              <w:ind w:left="148" w:right="83"/>
              <w:rPr>
                <w:rFonts w:ascii="Calibri"/>
                <w:sz w:val="16"/>
              </w:rPr>
            </w:pPr>
            <w:r>
              <w:rPr>
                <w:rFonts w:ascii="Calibri"/>
                <w:sz w:val="16"/>
              </w:rPr>
              <w:t>25 Oct</w:t>
            </w:r>
          </w:p>
          <w:p>
            <w:pPr>
              <w:pStyle w:val="TableParagraph"/>
              <w:spacing w:before="9"/>
              <w:rPr>
                <w:b/>
                <w:sz w:val="16"/>
              </w:rPr>
            </w:pPr>
          </w:p>
          <w:p>
            <w:pPr>
              <w:pStyle w:val="TableParagraph"/>
              <w:ind w:left="115" w:right="83"/>
              <w:rPr>
                <w:rFonts w:ascii="Calibri" w:hAnsi="Calibri"/>
                <w:sz w:val="16"/>
              </w:rPr>
            </w:pPr>
            <w:r>
              <w:rPr>
                <w:rFonts w:ascii="Calibri" w:hAnsi="Calibri"/>
                <w:sz w:val="16"/>
              </w:rPr>
              <w:t>Muestras sanguínea y heces</w:t>
            </w:r>
          </w:p>
        </w:tc>
        <w:tc>
          <w:tcPr>
            <w:tcW w:w="1124" w:type="dxa"/>
            <w:tcBorders>
              <w:top w:val="single" w:sz="8" w:space="0" w:color="000000"/>
              <w:bottom w:val="single" w:sz="8" w:space="0" w:color="000000"/>
            </w:tcBorders>
          </w:tcPr>
          <w:p>
            <w:pPr>
              <w:pStyle w:val="TableParagraph"/>
              <w:spacing w:before="111"/>
              <w:ind w:left="148"/>
              <w:rPr>
                <w:rFonts w:ascii="Calibri"/>
                <w:sz w:val="16"/>
              </w:rPr>
            </w:pPr>
            <w:r>
              <w:rPr>
                <w:rFonts w:ascii="Calibri"/>
                <w:sz w:val="16"/>
              </w:rPr>
              <w:t>26 Oct</w:t>
            </w:r>
          </w:p>
        </w:tc>
        <w:tc>
          <w:tcPr>
            <w:tcW w:w="1114" w:type="dxa"/>
            <w:tcBorders>
              <w:top w:val="single" w:sz="8" w:space="0" w:color="000000"/>
              <w:bottom w:val="single" w:sz="8" w:space="0" w:color="000000"/>
            </w:tcBorders>
          </w:tcPr>
          <w:p>
            <w:pPr>
              <w:pStyle w:val="TableParagraph"/>
              <w:spacing w:before="111"/>
              <w:ind w:left="144"/>
              <w:rPr>
                <w:rFonts w:ascii="Calibri"/>
                <w:sz w:val="16"/>
              </w:rPr>
            </w:pPr>
            <w:r>
              <w:rPr>
                <w:rFonts w:ascii="Calibri"/>
                <w:sz w:val="16"/>
              </w:rPr>
              <w:t>27 Oct</w:t>
            </w:r>
          </w:p>
          <w:p>
            <w:pPr>
              <w:pStyle w:val="TableParagraph"/>
              <w:spacing w:before="9"/>
              <w:rPr>
                <w:b/>
                <w:sz w:val="16"/>
              </w:rPr>
            </w:pPr>
          </w:p>
          <w:p>
            <w:pPr>
              <w:pStyle w:val="TableParagraph"/>
              <w:ind w:left="110"/>
              <w:rPr>
                <w:rFonts w:ascii="Calibri" w:hAnsi="Calibri"/>
                <w:sz w:val="16"/>
              </w:rPr>
            </w:pPr>
            <w:r>
              <w:rPr>
                <w:rFonts w:ascii="Calibri" w:hAnsi="Calibri"/>
                <w:sz w:val="16"/>
              </w:rPr>
              <w:t>Muestras sanguínea y heces</w:t>
            </w:r>
          </w:p>
        </w:tc>
        <w:tc>
          <w:tcPr>
            <w:tcW w:w="1133" w:type="dxa"/>
            <w:tcBorders>
              <w:top w:val="single" w:sz="8" w:space="0" w:color="000000"/>
              <w:bottom w:val="single" w:sz="8" w:space="0" w:color="000000"/>
            </w:tcBorders>
          </w:tcPr>
          <w:p>
            <w:pPr>
              <w:pStyle w:val="TableParagraph"/>
              <w:spacing w:before="111"/>
              <w:ind w:left="143"/>
              <w:rPr>
                <w:rFonts w:ascii="Calibri"/>
                <w:sz w:val="16"/>
              </w:rPr>
            </w:pPr>
            <w:r>
              <w:rPr>
                <w:rFonts w:ascii="Calibri"/>
                <w:sz w:val="16"/>
              </w:rPr>
              <w:t>28 Oct</w:t>
            </w:r>
          </w:p>
        </w:tc>
      </w:tr>
      <w:tr>
        <w:trPr>
          <w:trHeight w:val="1426" w:hRule="exact"/>
        </w:trPr>
        <w:tc>
          <w:tcPr>
            <w:tcW w:w="826" w:type="dxa"/>
            <w:tcBorders>
              <w:top w:val="single" w:sz="8" w:space="0" w:color="000000"/>
              <w:bottom w:val="single" w:sz="8" w:space="0" w:color="000000"/>
            </w:tcBorders>
            <w:shd w:val="clear" w:color="auto" w:fill="B8CCE3"/>
          </w:tcPr>
          <w:p>
            <w:pPr>
              <w:pStyle w:val="TableParagraph"/>
              <w:rPr>
                <w:b/>
                <w:sz w:val="16"/>
              </w:rPr>
            </w:pPr>
          </w:p>
          <w:p>
            <w:pPr>
              <w:pStyle w:val="TableParagraph"/>
              <w:rPr>
                <w:b/>
                <w:sz w:val="16"/>
              </w:rPr>
            </w:pPr>
          </w:p>
          <w:p>
            <w:pPr>
              <w:pStyle w:val="TableParagraph"/>
              <w:spacing w:before="3"/>
              <w:rPr>
                <w:b/>
                <w:sz w:val="20"/>
              </w:rPr>
            </w:pPr>
          </w:p>
          <w:p>
            <w:pPr>
              <w:pStyle w:val="TableParagraph"/>
              <w:spacing w:before="1"/>
              <w:ind w:left="114" w:right="115"/>
              <w:jc w:val="center"/>
              <w:rPr>
                <w:rFonts w:ascii="Calibri" w:hAnsi="Calibri"/>
                <w:sz w:val="16"/>
              </w:rPr>
            </w:pPr>
            <w:r>
              <w:rPr>
                <w:rFonts w:ascii="Calibri" w:hAnsi="Calibri"/>
                <w:sz w:val="16"/>
              </w:rPr>
              <w:t>7º</w:t>
            </w:r>
          </w:p>
        </w:tc>
        <w:tc>
          <w:tcPr>
            <w:tcW w:w="1138" w:type="dxa"/>
            <w:tcBorders>
              <w:top w:val="single" w:sz="8" w:space="0" w:color="000000"/>
              <w:bottom w:val="single" w:sz="8" w:space="0" w:color="000000"/>
            </w:tcBorders>
          </w:tcPr>
          <w:p>
            <w:pPr>
              <w:pStyle w:val="TableParagraph"/>
              <w:spacing w:before="117"/>
              <w:ind w:left="148" w:right="127"/>
              <w:rPr>
                <w:rFonts w:ascii="Calibri"/>
                <w:sz w:val="16"/>
              </w:rPr>
            </w:pPr>
            <w:r>
              <w:rPr>
                <w:rFonts w:ascii="Calibri"/>
                <w:sz w:val="16"/>
              </w:rPr>
              <w:t>29 Oct</w:t>
            </w:r>
          </w:p>
          <w:p>
            <w:pPr>
              <w:pStyle w:val="TableParagraph"/>
              <w:spacing w:before="9"/>
              <w:rPr>
                <w:b/>
                <w:sz w:val="16"/>
              </w:rPr>
            </w:pPr>
          </w:p>
          <w:p>
            <w:pPr>
              <w:pStyle w:val="TableParagraph"/>
              <w:ind w:left="115" w:right="127"/>
              <w:rPr>
                <w:rFonts w:ascii="Calibri" w:hAnsi="Calibri"/>
                <w:sz w:val="16"/>
              </w:rPr>
            </w:pPr>
            <w:r>
              <w:rPr>
                <w:rFonts w:ascii="Calibri" w:hAnsi="Calibri"/>
                <w:sz w:val="16"/>
              </w:rPr>
              <w:t>Muestras sanguínea y heces</w:t>
            </w:r>
          </w:p>
        </w:tc>
        <w:tc>
          <w:tcPr>
            <w:tcW w:w="1148" w:type="dxa"/>
            <w:tcBorders>
              <w:top w:val="single" w:sz="8" w:space="0" w:color="000000"/>
              <w:bottom w:val="single" w:sz="8" w:space="0" w:color="000000"/>
            </w:tcBorders>
            <w:shd w:val="clear" w:color="auto" w:fill="F1DBDB"/>
          </w:tcPr>
          <w:p>
            <w:pPr>
              <w:pStyle w:val="TableParagraph"/>
              <w:spacing w:before="117"/>
              <w:ind w:left="148" w:right="146"/>
              <w:rPr>
                <w:rFonts w:ascii="Calibri"/>
                <w:sz w:val="16"/>
              </w:rPr>
            </w:pPr>
            <w:r>
              <w:rPr>
                <w:rFonts w:ascii="Calibri"/>
                <w:sz w:val="16"/>
              </w:rPr>
              <w:t>30 Oct</w:t>
            </w:r>
          </w:p>
          <w:p>
            <w:pPr>
              <w:pStyle w:val="TableParagraph"/>
              <w:spacing w:before="9"/>
              <w:rPr>
                <w:b/>
                <w:sz w:val="16"/>
              </w:rPr>
            </w:pPr>
          </w:p>
          <w:p>
            <w:pPr>
              <w:pStyle w:val="TableParagraph"/>
              <w:ind w:left="115" w:right="146"/>
              <w:rPr>
                <w:rFonts w:ascii="Calibri" w:hAnsi="Calibri"/>
                <w:sz w:val="16"/>
              </w:rPr>
            </w:pPr>
            <w:r>
              <w:rPr>
                <w:rFonts w:ascii="Calibri" w:hAnsi="Calibri"/>
                <w:sz w:val="16"/>
              </w:rPr>
              <w:t>Día 45, Títulos de anticuerpos y vacunación.</w:t>
            </w:r>
          </w:p>
        </w:tc>
        <w:tc>
          <w:tcPr>
            <w:tcW w:w="1301" w:type="dxa"/>
            <w:tcBorders>
              <w:top w:val="single" w:sz="8" w:space="0" w:color="000000"/>
              <w:bottom w:val="single" w:sz="8" w:space="0" w:color="000000"/>
            </w:tcBorders>
          </w:tcPr>
          <w:p>
            <w:pPr>
              <w:pStyle w:val="TableParagraph"/>
              <w:spacing w:before="117"/>
              <w:ind w:left="148" w:right="64"/>
              <w:rPr>
                <w:rFonts w:ascii="Calibri"/>
                <w:sz w:val="16"/>
              </w:rPr>
            </w:pPr>
            <w:r>
              <w:rPr>
                <w:rFonts w:ascii="Calibri"/>
                <w:sz w:val="16"/>
              </w:rPr>
              <w:t>31 Oct</w:t>
            </w:r>
          </w:p>
        </w:tc>
        <w:tc>
          <w:tcPr>
            <w:tcW w:w="1320" w:type="dxa"/>
            <w:tcBorders>
              <w:top w:val="single" w:sz="8" w:space="0" w:color="000000"/>
              <w:bottom w:val="single" w:sz="8" w:space="0" w:color="000000"/>
            </w:tcBorders>
          </w:tcPr>
          <w:p>
            <w:pPr>
              <w:pStyle w:val="TableParagraph"/>
              <w:spacing w:before="117"/>
              <w:ind w:left="148" w:right="83"/>
              <w:rPr>
                <w:rFonts w:ascii="Calibri"/>
                <w:sz w:val="16"/>
              </w:rPr>
            </w:pPr>
            <w:r>
              <w:rPr>
                <w:rFonts w:ascii="Calibri"/>
                <w:sz w:val="16"/>
              </w:rPr>
              <w:t>1 Noviembre</w:t>
            </w:r>
          </w:p>
        </w:tc>
        <w:tc>
          <w:tcPr>
            <w:tcW w:w="1124" w:type="dxa"/>
            <w:tcBorders>
              <w:top w:val="single" w:sz="8" w:space="0" w:color="000000"/>
              <w:bottom w:val="single" w:sz="8" w:space="0" w:color="000000"/>
            </w:tcBorders>
          </w:tcPr>
          <w:p>
            <w:pPr/>
          </w:p>
        </w:tc>
        <w:tc>
          <w:tcPr>
            <w:tcW w:w="1114" w:type="dxa"/>
            <w:tcBorders>
              <w:top w:val="single" w:sz="8" w:space="0" w:color="000000"/>
              <w:bottom w:val="single" w:sz="8" w:space="0" w:color="000000"/>
            </w:tcBorders>
          </w:tcPr>
          <w:p>
            <w:pPr/>
          </w:p>
        </w:tc>
        <w:tc>
          <w:tcPr>
            <w:tcW w:w="1133" w:type="dxa"/>
            <w:tcBorders>
              <w:top w:val="single" w:sz="8" w:space="0" w:color="000000"/>
              <w:bottom w:val="single" w:sz="8" w:space="0" w:color="000000"/>
            </w:tcBorders>
          </w:tcPr>
          <w:p>
            <w:pPr/>
          </w:p>
        </w:tc>
      </w:tr>
    </w:tbl>
    <w:sectPr>
      <w:pgSz w:w="12240" w:h="15840"/>
      <w:pgMar w:header="1154" w:footer="1713" w:top="1520" w:bottom="1900" w:left="1640" w:right="12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Trebuchet MS">
    <w:altName w:val="Trebuchet MS"/>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3055">
          <wp:simplePos x="0" y="0"/>
          <wp:positionH relativeFrom="page">
            <wp:posOffset>1265555</wp:posOffset>
          </wp:positionH>
          <wp:positionV relativeFrom="page">
            <wp:posOffset>8805544</wp:posOffset>
          </wp:positionV>
          <wp:extent cx="5467350" cy="45085"/>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1" cstate="print"/>
                  <a:stretch>
                    <a:fillRect/>
                  </a:stretch>
                </pic:blipFill>
                <pic:spPr>
                  <a:xfrm>
                    <a:off x="0" y="0"/>
                    <a:ext cx="5467350" cy="45085"/>
                  </a:xfrm>
                  <a:prstGeom prst="rect">
                    <a:avLst/>
                  </a:prstGeom>
                </pic:spPr>
              </pic:pic>
            </a:graphicData>
          </a:graphic>
        </wp:anchor>
      </w:drawing>
    </w:r>
    <w:r>
      <w:rPr/>
      <w:pict>
        <v:shape style="position:absolute;margin-left:521.179993pt;margin-top:698.432007pt;width:16.8pt;height:13.05pt;mso-position-horizontal-relative:page;mso-position-vertical-relative:page;z-index:-1023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3559">
          <wp:simplePos x="0" y="0"/>
          <wp:positionH relativeFrom="page">
            <wp:posOffset>1265555</wp:posOffset>
          </wp:positionH>
          <wp:positionV relativeFrom="page">
            <wp:posOffset>8805544</wp:posOffset>
          </wp:positionV>
          <wp:extent cx="5467350" cy="45085"/>
          <wp:effectExtent l="0" t="0" r="0" b="0"/>
          <wp:wrapNone/>
          <wp:docPr id="21" name="image2.png" descr=""/>
          <wp:cNvGraphicFramePr>
            <a:graphicFrameLocks noChangeAspect="1"/>
          </wp:cNvGraphicFramePr>
          <a:graphic>
            <a:graphicData uri="http://schemas.openxmlformats.org/drawingml/2006/picture">
              <pic:pic>
                <pic:nvPicPr>
                  <pic:cNvPr id="22" name="image2.png"/>
                  <pic:cNvPicPr/>
                </pic:nvPicPr>
                <pic:blipFill>
                  <a:blip r:embed="rId1" cstate="print"/>
                  <a:stretch>
                    <a:fillRect/>
                  </a:stretch>
                </pic:blipFill>
                <pic:spPr>
                  <a:xfrm>
                    <a:off x="0" y="0"/>
                    <a:ext cx="5467350" cy="45085"/>
                  </a:xfrm>
                  <a:prstGeom prst="rect">
                    <a:avLst/>
                  </a:prstGeom>
                </pic:spPr>
              </pic:pic>
            </a:graphicData>
          </a:graphic>
        </wp:anchor>
      </w:drawing>
    </w:r>
    <w:r>
      <w:rPr/>
      <w:pict>
        <v:shape style="position:absolute;margin-left:523.619995pt;margin-top:698.432007pt;width:13.05pt;height:13.05pt;mso-position-horizontal-relative:page;mso-position-vertical-relative:page;z-index:-101872" type="#_x0000_t202" filled="false" stroked="false">
          <v:textbox inset="0,0,0,0">
            <w:txbxContent>
              <w:p>
                <w:pPr>
                  <w:spacing w:line="245" w:lineRule="exact" w:before="0"/>
                  <w:ind w:left="20" w:right="-2" w:firstLine="0"/>
                  <w:jc w:val="left"/>
                  <w:rPr>
                    <w:rFonts w:ascii="Calibri"/>
                    <w:sz w:val="22"/>
                  </w:rPr>
                </w:pPr>
                <w:r>
                  <w:rPr>
                    <w:rFonts w:ascii="Calibri"/>
                    <w:sz w:val="22"/>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3607">
          <wp:simplePos x="0" y="0"/>
          <wp:positionH relativeFrom="page">
            <wp:posOffset>1265555</wp:posOffset>
          </wp:positionH>
          <wp:positionV relativeFrom="page">
            <wp:posOffset>8805544</wp:posOffset>
          </wp:positionV>
          <wp:extent cx="5467350" cy="45085"/>
          <wp:effectExtent l="0" t="0" r="0" b="0"/>
          <wp:wrapNone/>
          <wp:docPr id="23" name="image2.png" descr=""/>
          <wp:cNvGraphicFramePr>
            <a:graphicFrameLocks noChangeAspect="1"/>
          </wp:cNvGraphicFramePr>
          <a:graphic>
            <a:graphicData uri="http://schemas.openxmlformats.org/drawingml/2006/picture">
              <pic:pic>
                <pic:nvPicPr>
                  <pic:cNvPr id="24" name="image2.png"/>
                  <pic:cNvPicPr/>
                </pic:nvPicPr>
                <pic:blipFill>
                  <a:blip r:embed="rId1" cstate="print"/>
                  <a:stretch>
                    <a:fillRect/>
                  </a:stretch>
                </pic:blipFill>
                <pic:spPr>
                  <a:xfrm>
                    <a:off x="0" y="0"/>
                    <a:ext cx="5467350" cy="45085"/>
                  </a:xfrm>
                  <a:prstGeom prst="rect">
                    <a:avLst/>
                  </a:prstGeom>
                </pic:spPr>
              </pic:pic>
            </a:graphicData>
          </a:graphic>
        </wp:anchor>
      </w:drawing>
    </w:r>
    <w:r>
      <w:rPr/>
      <w:pict>
        <v:shape style="position:absolute;margin-left:522.619995pt;margin-top:698.432007pt;width:15.05pt;height:13.05pt;mso-position-horizontal-relative:page;mso-position-vertical-relative:page;z-index:-1018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3727">
          <wp:simplePos x="0" y="0"/>
          <wp:positionH relativeFrom="page">
            <wp:posOffset>1265555</wp:posOffset>
          </wp:positionH>
          <wp:positionV relativeFrom="page">
            <wp:posOffset>8805544</wp:posOffset>
          </wp:positionV>
          <wp:extent cx="5467350" cy="45085"/>
          <wp:effectExtent l="0" t="0" r="0" b="0"/>
          <wp:wrapNone/>
          <wp:docPr id="29" name="image2.png" descr=""/>
          <wp:cNvGraphicFramePr>
            <a:graphicFrameLocks noChangeAspect="1"/>
          </wp:cNvGraphicFramePr>
          <a:graphic>
            <a:graphicData uri="http://schemas.openxmlformats.org/drawingml/2006/picture">
              <pic:pic>
                <pic:nvPicPr>
                  <pic:cNvPr id="30" name="image2.png"/>
                  <pic:cNvPicPr/>
                </pic:nvPicPr>
                <pic:blipFill>
                  <a:blip r:embed="rId1" cstate="print"/>
                  <a:stretch>
                    <a:fillRect/>
                  </a:stretch>
                </pic:blipFill>
                <pic:spPr>
                  <a:xfrm>
                    <a:off x="0" y="0"/>
                    <a:ext cx="5467350" cy="45085"/>
                  </a:xfrm>
                  <a:prstGeom prst="rect">
                    <a:avLst/>
                  </a:prstGeom>
                </pic:spPr>
              </pic:pic>
            </a:graphicData>
          </a:graphic>
        </wp:anchor>
      </w:drawing>
    </w:r>
    <w:r>
      <w:rPr/>
      <w:pict>
        <v:shape style="position:absolute;margin-left:523.619995pt;margin-top:698.432007pt;width:13.05pt;height:13.05pt;mso-position-horizontal-relative:page;mso-position-vertical-relative:page;z-index:-101704" type="#_x0000_t202" filled="false" stroked="false">
          <v:textbox inset="0,0,0,0">
            <w:txbxContent>
              <w:p>
                <w:pPr>
                  <w:spacing w:line="245" w:lineRule="exact" w:before="0"/>
                  <w:ind w:left="20" w:right="-2" w:firstLine="0"/>
                  <w:jc w:val="left"/>
                  <w:rPr>
                    <w:rFonts w:ascii="Calibri"/>
                    <w:sz w:val="22"/>
                  </w:rPr>
                </w:pPr>
                <w:r>
                  <w:rPr>
                    <w:rFonts w:ascii="Calibri"/>
                    <w:sz w:val="22"/>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3775">
          <wp:simplePos x="0" y="0"/>
          <wp:positionH relativeFrom="page">
            <wp:posOffset>1265555</wp:posOffset>
          </wp:positionH>
          <wp:positionV relativeFrom="page">
            <wp:posOffset>8805544</wp:posOffset>
          </wp:positionV>
          <wp:extent cx="5467350" cy="45085"/>
          <wp:effectExtent l="0" t="0" r="0" b="0"/>
          <wp:wrapNone/>
          <wp:docPr id="31" name="image2.png" descr=""/>
          <wp:cNvGraphicFramePr>
            <a:graphicFrameLocks noChangeAspect="1"/>
          </wp:cNvGraphicFramePr>
          <a:graphic>
            <a:graphicData uri="http://schemas.openxmlformats.org/drawingml/2006/picture">
              <pic:pic>
                <pic:nvPicPr>
                  <pic:cNvPr id="32" name="image2.png"/>
                  <pic:cNvPicPr/>
                </pic:nvPicPr>
                <pic:blipFill>
                  <a:blip r:embed="rId1" cstate="print"/>
                  <a:stretch>
                    <a:fillRect/>
                  </a:stretch>
                </pic:blipFill>
                <pic:spPr>
                  <a:xfrm>
                    <a:off x="0" y="0"/>
                    <a:ext cx="5467350" cy="45085"/>
                  </a:xfrm>
                  <a:prstGeom prst="rect">
                    <a:avLst/>
                  </a:prstGeom>
                </pic:spPr>
              </pic:pic>
            </a:graphicData>
          </a:graphic>
        </wp:anchor>
      </w:drawing>
    </w:r>
    <w:r>
      <w:rPr/>
      <w:pict>
        <v:shape style="position:absolute;margin-left:522.619995pt;margin-top:698.432007pt;width:15.05pt;height:13.05pt;mso-position-horizontal-relative:page;mso-position-vertical-relative:page;z-index:-1016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3823">
          <wp:simplePos x="0" y="0"/>
          <wp:positionH relativeFrom="page">
            <wp:posOffset>1265555</wp:posOffset>
          </wp:positionH>
          <wp:positionV relativeFrom="page">
            <wp:posOffset>8805544</wp:posOffset>
          </wp:positionV>
          <wp:extent cx="5467350" cy="45085"/>
          <wp:effectExtent l="0" t="0" r="0" b="0"/>
          <wp:wrapNone/>
          <wp:docPr id="47" name="image2.png" descr=""/>
          <wp:cNvGraphicFramePr>
            <a:graphicFrameLocks noChangeAspect="1"/>
          </wp:cNvGraphicFramePr>
          <a:graphic>
            <a:graphicData uri="http://schemas.openxmlformats.org/drawingml/2006/picture">
              <pic:pic>
                <pic:nvPicPr>
                  <pic:cNvPr id="48" name="image2.png"/>
                  <pic:cNvPicPr/>
                </pic:nvPicPr>
                <pic:blipFill>
                  <a:blip r:embed="rId1" cstate="print"/>
                  <a:stretch>
                    <a:fillRect/>
                  </a:stretch>
                </pic:blipFill>
                <pic:spPr>
                  <a:xfrm>
                    <a:off x="0" y="0"/>
                    <a:ext cx="5467350" cy="45085"/>
                  </a:xfrm>
                  <a:prstGeom prst="rect">
                    <a:avLst/>
                  </a:prstGeom>
                </pic:spPr>
              </pic:pic>
            </a:graphicData>
          </a:graphic>
        </wp:anchor>
      </w:drawing>
    </w:r>
    <w:r>
      <w:rPr/>
      <w:pict>
        <v:shape style="position:absolute;margin-left:523.619995pt;margin-top:698.432007pt;width:13.05pt;height:13.05pt;mso-position-horizontal-relative:page;mso-position-vertical-relative:page;z-index:-101608" type="#_x0000_t202" filled="false" stroked="false">
          <v:textbox inset="0,0,0,0">
            <w:txbxContent>
              <w:p>
                <w:pPr>
                  <w:spacing w:line="245" w:lineRule="exact" w:before="0"/>
                  <w:ind w:left="20" w:right="-2" w:firstLine="0"/>
                  <w:jc w:val="left"/>
                  <w:rPr>
                    <w:rFonts w:ascii="Calibri"/>
                    <w:sz w:val="22"/>
                  </w:rPr>
                </w:pPr>
                <w:r>
                  <w:rPr>
                    <w:rFonts w:ascii="Calibri"/>
                    <w:sz w:val="22"/>
                  </w:rPr>
                  <w:t>60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3871">
          <wp:simplePos x="0" y="0"/>
          <wp:positionH relativeFrom="page">
            <wp:posOffset>1265555</wp:posOffset>
          </wp:positionH>
          <wp:positionV relativeFrom="page">
            <wp:posOffset>8805544</wp:posOffset>
          </wp:positionV>
          <wp:extent cx="5467350" cy="45085"/>
          <wp:effectExtent l="0" t="0" r="0" b="0"/>
          <wp:wrapNone/>
          <wp:docPr id="49" name="image2.png" descr=""/>
          <wp:cNvGraphicFramePr>
            <a:graphicFrameLocks noChangeAspect="1"/>
          </wp:cNvGraphicFramePr>
          <a:graphic>
            <a:graphicData uri="http://schemas.openxmlformats.org/drawingml/2006/picture">
              <pic:pic>
                <pic:nvPicPr>
                  <pic:cNvPr id="50" name="image2.png"/>
                  <pic:cNvPicPr/>
                </pic:nvPicPr>
                <pic:blipFill>
                  <a:blip r:embed="rId1" cstate="print"/>
                  <a:stretch>
                    <a:fillRect/>
                  </a:stretch>
                </pic:blipFill>
                <pic:spPr>
                  <a:xfrm>
                    <a:off x="0" y="0"/>
                    <a:ext cx="5467350" cy="45085"/>
                  </a:xfrm>
                  <a:prstGeom prst="rect">
                    <a:avLst/>
                  </a:prstGeom>
                </pic:spPr>
              </pic:pic>
            </a:graphicData>
          </a:graphic>
        </wp:anchor>
      </w:drawing>
    </w:r>
    <w:r>
      <w:rPr/>
      <w:pict>
        <v:shape style="position:absolute;margin-left:522.619995pt;margin-top:698.432007pt;width:15.05pt;height:13.05pt;mso-position-horizontal-relative:page;mso-position-vertical-relative:page;z-index:-1015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3919">
          <wp:simplePos x="0" y="0"/>
          <wp:positionH relativeFrom="page">
            <wp:posOffset>1265555</wp:posOffset>
          </wp:positionH>
          <wp:positionV relativeFrom="page">
            <wp:posOffset>8805544</wp:posOffset>
          </wp:positionV>
          <wp:extent cx="5467350" cy="45085"/>
          <wp:effectExtent l="0" t="0" r="0" b="0"/>
          <wp:wrapNone/>
          <wp:docPr id="51" name="image2.png" descr=""/>
          <wp:cNvGraphicFramePr>
            <a:graphicFrameLocks noChangeAspect="1"/>
          </wp:cNvGraphicFramePr>
          <a:graphic>
            <a:graphicData uri="http://schemas.openxmlformats.org/drawingml/2006/picture">
              <pic:pic>
                <pic:nvPicPr>
                  <pic:cNvPr id="52" name="image2.png"/>
                  <pic:cNvPicPr/>
                </pic:nvPicPr>
                <pic:blipFill>
                  <a:blip r:embed="rId1" cstate="print"/>
                  <a:stretch>
                    <a:fillRect/>
                  </a:stretch>
                </pic:blipFill>
                <pic:spPr>
                  <a:xfrm>
                    <a:off x="0" y="0"/>
                    <a:ext cx="5467350" cy="45085"/>
                  </a:xfrm>
                  <a:prstGeom prst="rect">
                    <a:avLst/>
                  </a:prstGeom>
                </pic:spPr>
              </pic:pic>
            </a:graphicData>
          </a:graphic>
        </wp:anchor>
      </w:drawing>
    </w:r>
    <w:r>
      <w:rPr/>
      <w:pict>
        <v:shape style="position:absolute;margin-left:523.619995pt;margin-top:698.432007pt;width:13.05pt;height:13.05pt;mso-position-horizontal-relative:page;mso-position-vertical-relative:page;z-index:-101512" type="#_x0000_t202" filled="false" stroked="false">
          <v:textbox inset="0,0,0,0">
            <w:txbxContent>
              <w:p>
                <w:pPr>
                  <w:spacing w:line="245" w:lineRule="exact" w:before="0"/>
                  <w:ind w:left="20" w:right="-2" w:firstLine="0"/>
                  <w:jc w:val="left"/>
                  <w:rPr>
                    <w:rFonts w:ascii="Calibri"/>
                    <w:sz w:val="22"/>
                  </w:rPr>
                </w:pPr>
                <w:r>
                  <w:rPr>
                    <w:rFonts w:ascii="Calibri"/>
                    <w:sz w:val="22"/>
                  </w:rPr>
                  <w:t>70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3967">
          <wp:simplePos x="0" y="0"/>
          <wp:positionH relativeFrom="page">
            <wp:posOffset>1265555</wp:posOffset>
          </wp:positionH>
          <wp:positionV relativeFrom="page">
            <wp:posOffset>8805544</wp:posOffset>
          </wp:positionV>
          <wp:extent cx="5467350" cy="45085"/>
          <wp:effectExtent l="0" t="0" r="0" b="0"/>
          <wp:wrapNone/>
          <wp:docPr id="53" name="image2.png" descr=""/>
          <wp:cNvGraphicFramePr>
            <a:graphicFrameLocks noChangeAspect="1"/>
          </wp:cNvGraphicFramePr>
          <a:graphic>
            <a:graphicData uri="http://schemas.openxmlformats.org/drawingml/2006/picture">
              <pic:pic>
                <pic:nvPicPr>
                  <pic:cNvPr id="54" name="image2.png"/>
                  <pic:cNvPicPr/>
                </pic:nvPicPr>
                <pic:blipFill>
                  <a:blip r:embed="rId1" cstate="print"/>
                  <a:stretch>
                    <a:fillRect/>
                  </a:stretch>
                </pic:blipFill>
                <pic:spPr>
                  <a:xfrm>
                    <a:off x="0" y="0"/>
                    <a:ext cx="5467350" cy="45085"/>
                  </a:xfrm>
                  <a:prstGeom prst="rect">
                    <a:avLst/>
                  </a:prstGeom>
                </pic:spPr>
              </pic:pic>
            </a:graphicData>
          </a:graphic>
        </wp:anchor>
      </w:drawing>
    </w:r>
    <w:r>
      <w:rPr/>
      <w:pict>
        <v:shape style="position:absolute;margin-left:522.619995pt;margin-top:698.432007pt;width:15.05pt;height:13.05pt;mso-position-horizontal-relative:page;mso-position-vertical-relative:page;z-index:-1014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3103">
          <wp:simplePos x="0" y="0"/>
          <wp:positionH relativeFrom="page">
            <wp:posOffset>1265555</wp:posOffset>
          </wp:positionH>
          <wp:positionV relativeFrom="page">
            <wp:posOffset>8805544</wp:posOffset>
          </wp:positionV>
          <wp:extent cx="5467350" cy="45085"/>
          <wp:effectExtent l="0" t="0" r="0" b="0"/>
          <wp:wrapNone/>
          <wp:docPr id="5" name="image2.png" descr=""/>
          <wp:cNvGraphicFramePr>
            <a:graphicFrameLocks noChangeAspect="1"/>
          </wp:cNvGraphicFramePr>
          <a:graphic>
            <a:graphicData uri="http://schemas.openxmlformats.org/drawingml/2006/picture">
              <pic:pic>
                <pic:nvPicPr>
                  <pic:cNvPr id="6" name="image2.png"/>
                  <pic:cNvPicPr/>
                </pic:nvPicPr>
                <pic:blipFill>
                  <a:blip r:embed="rId1" cstate="print"/>
                  <a:stretch>
                    <a:fillRect/>
                  </a:stretch>
                </pic:blipFill>
                <pic:spPr>
                  <a:xfrm>
                    <a:off x="0" y="0"/>
                    <a:ext cx="5467350" cy="45085"/>
                  </a:xfrm>
                  <a:prstGeom prst="rect">
                    <a:avLst/>
                  </a:prstGeom>
                </pic:spPr>
              </pic:pic>
            </a:graphicData>
          </a:graphic>
        </wp:anchor>
      </w:drawing>
    </w:r>
    <w:r>
      <w:rPr/>
      <w:pict>
        <v:shape style="position:absolute;margin-left:526.460022pt;margin-top:698.432007pt;width:11.55pt;height:13.05pt;mso-position-horizontal-relative:page;mso-position-vertical-relative:page;z-index:-1023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ix</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3151">
          <wp:simplePos x="0" y="0"/>
          <wp:positionH relativeFrom="page">
            <wp:posOffset>1265555</wp:posOffset>
          </wp:positionH>
          <wp:positionV relativeFrom="page">
            <wp:posOffset>8805544</wp:posOffset>
          </wp:positionV>
          <wp:extent cx="5467350" cy="45085"/>
          <wp:effectExtent l="0" t="0" r="0" b="0"/>
          <wp:wrapNone/>
          <wp:docPr id="7" name="image2.png" descr=""/>
          <wp:cNvGraphicFramePr>
            <a:graphicFrameLocks noChangeAspect="1"/>
          </wp:cNvGraphicFramePr>
          <a:graphic>
            <a:graphicData uri="http://schemas.openxmlformats.org/drawingml/2006/picture">
              <pic:pic>
                <pic:nvPicPr>
                  <pic:cNvPr id="8" name="image2.png"/>
                  <pic:cNvPicPr/>
                </pic:nvPicPr>
                <pic:blipFill>
                  <a:blip r:embed="rId1" cstate="print"/>
                  <a:stretch>
                    <a:fillRect/>
                  </a:stretch>
                </pic:blipFill>
                <pic:spPr>
                  <a:xfrm>
                    <a:off x="0" y="0"/>
                    <a:ext cx="5467350" cy="45085"/>
                  </a:xfrm>
                  <a:prstGeom prst="rect">
                    <a:avLst/>
                  </a:prstGeom>
                </pic:spPr>
              </pic:pic>
            </a:graphicData>
          </a:graphic>
        </wp:anchor>
      </w:drawing>
    </w:r>
    <w:r>
      <w:rPr/>
      <w:pict>
        <v:shape style="position:absolute;margin-left:528.140015pt;margin-top:698.432007pt;width:9.6pt;height:13.05pt;mso-position-horizontal-relative:page;mso-position-vertical-relative:page;z-index:-1022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3199">
          <wp:simplePos x="0" y="0"/>
          <wp:positionH relativeFrom="page">
            <wp:posOffset>1265555</wp:posOffset>
          </wp:positionH>
          <wp:positionV relativeFrom="page">
            <wp:posOffset>8805544</wp:posOffset>
          </wp:positionV>
          <wp:extent cx="5467350" cy="45085"/>
          <wp:effectExtent l="0" t="0" r="0" b="0"/>
          <wp:wrapNone/>
          <wp:docPr id="9" name="image2.png" descr=""/>
          <wp:cNvGraphicFramePr>
            <a:graphicFrameLocks noChangeAspect="1"/>
          </wp:cNvGraphicFramePr>
          <a:graphic>
            <a:graphicData uri="http://schemas.openxmlformats.org/drawingml/2006/picture">
              <pic:pic>
                <pic:nvPicPr>
                  <pic:cNvPr id="10" name="image2.png"/>
                  <pic:cNvPicPr/>
                </pic:nvPicPr>
                <pic:blipFill>
                  <a:blip r:embed="rId1" cstate="print"/>
                  <a:stretch>
                    <a:fillRect/>
                  </a:stretch>
                </pic:blipFill>
                <pic:spPr>
                  <a:xfrm>
                    <a:off x="0" y="0"/>
                    <a:ext cx="5467350" cy="45085"/>
                  </a:xfrm>
                  <a:prstGeom prst="rect">
                    <a:avLst/>
                  </a:prstGeom>
                </pic:spPr>
              </pic:pic>
            </a:graphicData>
          </a:graphic>
        </wp:anchor>
      </w:drawing>
    </w:r>
    <w:r>
      <w:rPr/>
      <w:pict>
        <v:shape style="position:absolute;margin-left:523.619995pt;margin-top:698.432007pt;width:13.05pt;height:13.05pt;mso-position-horizontal-relative:page;mso-position-vertical-relative:page;z-index:-102232"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3247">
          <wp:simplePos x="0" y="0"/>
          <wp:positionH relativeFrom="page">
            <wp:posOffset>1265555</wp:posOffset>
          </wp:positionH>
          <wp:positionV relativeFrom="page">
            <wp:posOffset>8805544</wp:posOffset>
          </wp:positionV>
          <wp:extent cx="5467350" cy="45085"/>
          <wp:effectExtent l="0" t="0" r="0" b="0"/>
          <wp:wrapNone/>
          <wp:docPr id="11" name="image2.png" descr=""/>
          <wp:cNvGraphicFramePr>
            <a:graphicFrameLocks noChangeAspect="1"/>
          </wp:cNvGraphicFramePr>
          <a:graphic>
            <a:graphicData uri="http://schemas.openxmlformats.org/drawingml/2006/picture">
              <pic:pic>
                <pic:nvPicPr>
                  <pic:cNvPr id="12" name="image2.png"/>
                  <pic:cNvPicPr/>
                </pic:nvPicPr>
                <pic:blipFill>
                  <a:blip r:embed="rId1" cstate="print"/>
                  <a:stretch>
                    <a:fillRect/>
                  </a:stretch>
                </pic:blipFill>
                <pic:spPr>
                  <a:xfrm>
                    <a:off x="0" y="0"/>
                    <a:ext cx="5467350" cy="45085"/>
                  </a:xfrm>
                  <a:prstGeom prst="rect">
                    <a:avLst/>
                  </a:prstGeom>
                </pic:spPr>
              </pic:pic>
            </a:graphicData>
          </a:graphic>
        </wp:anchor>
      </w:drawing>
    </w:r>
    <w:r>
      <w:rPr/>
      <w:pict>
        <v:shape style="position:absolute;margin-left:522.619995pt;margin-top:698.432007pt;width:15.05pt;height:13.05pt;mso-position-horizontal-relative:page;mso-position-vertical-relative:page;z-index:-1021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3295">
          <wp:simplePos x="0" y="0"/>
          <wp:positionH relativeFrom="page">
            <wp:posOffset>1265555</wp:posOffset>
          </wp:positionH>
          <wp:positionV relativeFrom="page">
            <wp:posOffset>8805544</wp:posOffset>
          </wp:positionV>
          <wp:extent cx="5467350" cy="45085"/>
          <wp:effectExtent l="0" t="0" r="0" b="0"/>
          <wp:wrapNone/>
          <wp:docPr id="13" name="image2.png" descr=""/>
          <wp:cNvGraphicFramePr>
            <a:graphicFrameLocks noChangeAspect="1"/>
          </wp:cNvGraphicFramePr>
          <a:graphic>
            <a:graphicData uri="http://schemas.openxmlformats.org/drawingml/2006/picture">
              <pic:pic>
                <pic:nvPicPr>
                  <pic:cNvPr id="14" name="image2.png"/>
                  <pic:cNvPicPr/>
                </pic:nvPicPr>
                <pic:blipFill>
                  <a:blip r:embed="rId1" cstate="print"/>
                  <a:stretch>
                    <a:fillRect/>
                  </a:stretch>
                </pic:blipFill>
                <pic:spPr>
                  <a:xfrm>
                    <a:off x="0" y="0"/>
                    <a:ext cx="5467350" cy="45085"/>
                  </a:xfrm>
                  <a:prstGeom prst="rect">
                    <a:avLst/>
                  </a:prstGeom>
                </pic:spPr>
              </pic:pic>
            </a:graphicData>
          </a:graphic>
        </wp:anchor>
      </w:drawing>
    </w:r>
    <w:r>
      <w:rPr/>
      <w:pict>
        <v:shape style="position:absolute;margin-left:523.619995pt;margin-top:698.432007pt;width:13.05pt;height:13.05pt;mso-position-horizontal-relative:page;mso-position-vertical-relative:page;z-index:-102136"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3343">
          <wp:simplePos x="0" y="0"/>
          <wp:positionH relativeFrom="page">
            <wp:posOffset>1265555</wp:posOffset>
          </wp:positionH>
          <wp:positionV relativeFrom="page">
            <wp:posOffset>8805544</wp:posOffset>
          </wp:positionV>
          <wp:extent cx="5467350" cy="45085"/>
          <wp:effectExtent l="0" t="0" r="0" b="0"/>
          <wp:wrapNone/>
          <wp:docPr id="15" name="image2.png" descr=""/>
          <wp:cNvGraphicFramePr>
            <a:graphicFrameLocks noChangeAspect="1"/>
          </wp:cNvGraphicFramePr>
          <a:graphic>
            <a:graphicData uri="http://schemas.openxmlformats.org/drawingml/2006/picture">
              <pic:pic>
                <pic:nvPicPr>
                  <pic:cNvPr id="16" name="image2.png"/>
                  <pic:cNvPicPr/>
                </pic:nvPicPr>
                <pic:blipFill>
                  <a:blip r:embed="rId1" cstate="print"/>
                  <a:stretch>
                    <a:fillRect/>
                  </a:stretch>
                </pic:blipFill>
                <pic:spPr>
                  <a:xfrm>
                    <a:off x="0" y="0"/>
                    <a:ext cx="5467350" cy="45085"/>
                  </a:xfrm>
                  <a:prstGeom prst="rect">
                    <a:avLst/>
                  </a:prstGeom>
                </pic:spPr>
              </pic:pic>
            </a:graphicData>
          </a:graphic>
        </wp:anchor>
      </w:drawing>
    </w:r>
    <w:r>
      <w:rPr/>
      <w:pict>
        <v:shape style="position:absolute;margin-left:522.619995pt;margin-top:698.432007pt;width:15.05pt;height:13.05pt;mso-position-horizontal-relative:page;mso-position-vertical-relative:page;z-index:-1020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3463">
          <wp:simplePos x="0" y="0"/>
          <wp:positionH relativeFrom="page">
            <wp:posOffset>1265555</wp:posOffset>
          </wp:positionH>
          <wp:positionV relativeFrom="page">
            <wp:posOffset>8805544</wp:posOffset>
          </wp:positionV>
          <wp:extent cx="5467350" cy="45085"/>
          <wp:effectExtent l="0" t="0" r="0" b="0"/>
          <wp:wrapNone/>
          <wp:docPr id="17" name="image2.png" descr=""/>
          <wp:cNvGraphicFramePr>
            <a:graphicFrameLocks noChangeAspect="1"/>
          </wp:cNvGraphicFramePr>
          <a:graphic>
            <a:graphicData uri="http://schemas.openxmlformats.org/drawingml/2006/picture">
              <pic:pic>
                <pic:nvPicPr>
                  <pic:cNvPr id="18" name="image2.png"/>
                  <pic:cNvPicPr/>
                </pic:nvPicPr>
                <pic:blipFill>
                  <a:blip r:embed="rId1" cstate="print"/>
                  <a:stretch>
                    <a:fillRect/>
                  </a:stretch>
                </pic:blipFill>
                <pic:spPr>
                  <a:xfrm>
                    <a:off x="0" y="0"/>
                    <a:ext cx="5467350" cy="45085"/>
                  </a:xfrm>
                  <a:prstGeom prst="rect">
                    <a:avLst/>
                  </a:prstGeom>
                </pic:spPr>
              </pic:pic>
            </a:graphicData>
          </a:graphic>
        </wp:anchor>
      </w:drawing>
    </w:r>
    <w:r>
      <w:rPr/>
      <w:pict>
        <v:shape style="position:absolute;margin-left:523.619995pt;margin-top:698.432007pt;width:13.05pt;height:13.05pt;mso-position-horizontal-relative:page;mso-position-vertical-relative:page;z-index:-101968" type="#_x0000_t202" filled="false" stroked="false">
          <v:textbox inset="0,0,0,0">
            <w:txbxContent>
              <w:p>
                <w:pPr>
                  <w:spacing w:line="245" w:lineRule="exact" w:before="0"/>
                  <w:ind w:left="20" w:right="-2" w:firstLine="0"/>
                  <w:jc w:val="left"/>
                  <w:rPr>
                    <w:rFonts w:ascii="Calibri"/>
                    <w:sz w:val="22"/>
                  </w:rPr>
                </w:pPr>
                <w:r>
                  <w:rPr>
                    <w:rFonts w:ascii="Calibri"/>
                    <w:sz w:val="22"/>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3511">
          <wp:simplePos x="0" y="0"/>
          <wp:positionH relativeFrom="page">
            <wp:posOffset>1265555</wp:posOffset>
          </wp:positionH>
          <wp:positionV relativeFrom="page">
            <wp:posOffset>8805544</wp:posOffset>
          </wp:positionV>
          <wp:extent cx="5467350" cy="45085"/>
          <wp:effectExtent l="0" t="0" r="0" b="0"/>
          <wp:wrapNone/>
          <wp:docPr id="19" name="image2.png" descr=""/>
          <wp:cNvGraphicFramePr>
            <a:graphicFrameLocks noChangeAspect="1"/>
          </wp:cNvGraphicFramePr>
          <a:graphic>
            <a:graphicData uri="http://schemas.openxmlformats.org/drawingml/2006/picture">
              <pic:pic>
                <pic:nvPicPr>
                  <pic:cNvPr id="20" name="image2.png"/>
                  <pic:cNvPicPr/>
                </pic:nvPicPr>
                <pic:blipFill>
                  <a:blip r:embed="rId1" cstate="print"/>
                  <a:stretch>
                    <a:fillRect/>
                  </a:stretch>
                </pic:blipFill>
                <pic:spPr>
                  <a:xfrm>
                    <a:off x="0" y="0"/>
                    <a:ext cx="5467350" cy="45085"/>
                  </a:xfrm>
                  <a:prstGeom prst="rect">
                    <a:avLst/>
                  </a:prstGeom>
                </pic:spPr>
              </pic:pic>
            </a:graphicData>
          </a:graphic>
        </wp:anchor>
      </w:drawing>
    </w:r>
    <w:r>
      <w:rPr/>
      <w:pict>
        <v:shape style="position:absolute;margin-left:522.619995pt;margin-top:698.432007pt;width:15.05pt;height:13.05pt;mso-position-horizontal-relative:page;mso-position-vertical-relative:page;z-index:-1019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drawing>
        <wp:anchor distT="0" distB="0" distL="0" distR="0" allowOverlap="1" layoutInCell="1" locked="0" behindDoc="1" simplePos="0" relativeHeight="268332959">
          <wp:simplePos x="0" y="0"/>
          <wp:positionH relativeFrom="page">
            <wp:posOffset>761365</wp:posOffset>
          </wp:positionH>
          <wp:positionV relativeFrom="page">
            <wp:posOffset>1139189</wp:posOffset>
          </wp:positionV>
          <wp:extent cx="1221384" cy="1032509"/>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1" cstate="print"/>
                  <a:stretch>
                    <a:fillRect/>
                  </a:stretch>
                </pic:blipFill>
                <pic:spPr>
                  <a:xfrm>
                    <a:off x="0" y="0"/>
                    <a:ext cx="1221384" cy="1032509"/>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179.550003pt;margin-top:91.350143pt;width:340.6pt;height:36.6pt;mso-position-horizontal-relative:page;mso-position-vertical-relative:page;z-index:-102472" type="#_x0000_t202" filled="false" stroked="false">
          <v:textbox inset="0,0,0,0">
            <w:txbxContent>
              <w:p>
                <w:pPr>
                  <w:spacing w:line="348" w:lineRule="exact" w:before="0"/>
                  <w:ind w:left="0" w:right="0" w:firstLine="0"/>
                  <w:jc w:val="center"/>
                  <w:rPr>
                    <w:sz w:val="32"/>
                  </w:rPr>
                </w:pPr>
                <w:r>
                  <w:rPr>
                    <w:sz w:val="32"/>
                  </w:rPr>
                  <w:t>UNIVERSIDAD AUTÓNOMA DEL ESTADO DE</w:t>
                </w:r>
              </w:p>
              <w:p>
                <w:pPr>
                  <w:spacing w:before="1"/>
                  <w:ind w:left="0" w:right="1" w:firstLine="0"/>
                  <w:jc w:val="center"/>
                  <w:rPr>
                    <w:sz w:val="32"/>
                  </w:rPr>
                </w:pPr>
                <w:r>
                  <w:rPr>
                    <w:sz w:val="32"/>
                  </w:rPr>
                  <w:t>MÉXICO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2448" from="92.208pt,76.339996pt" to="537.098pt,76.339996pt" stroked="true" strokeweight=".48pt" strokecolor="#000000">
          <w10:wrap type="none"/>
        </v:line>
      </w:pict>
    </w:r>
    <w:r>
      <w:rPr/>
      <w:pict>
        <v:shape style="position:absolute;margin-left:93.127998pt;margin-top:56.682308pt;width:443.8pt;height:19.3pt;mso-position-horizontal-relative:page;mso-position-vertical-relative:page;z-index:-102424" type="#_x0000_t202" filled="false" stroked="false">
          <v:textbox inset="0,0,0,0">
            <w:txbxContent>
              <w:p>
                <w:pPr>
                  <w:spacing w:line="182" w:lineRule="exact" w:before="0"/>
                  <w:ind w:left="0" w:right="36" w:firstLine="0"/>
                  <w:jc w:val="right"/>
                  <w:rPr>
                    <w:sz w:val="16"/>
                  </w:rPr>
                </w:pPr>
                <w:r>
                  <w:rPr>
                    <w:sz w:val="16"/>
                  </w:rPr>
                  <w:t>Análisis de la sensibilidad de métodos diagnósticos comúnmente utilizados en hospitales veterinarios para el diagnóstico de</w:t>
                </w:r>
              </w:p>
              <w:p>
                <w:pPr>
                  <w:spacing w:before="3"/>
                  <w:ind w:left="0" w:right="18" w:firstLine="0"/>
                  <w:jc w:val="right"/>
                  <w:rPr>
                    <w:sz w:val="16"/>
                  </w:rPr>
                </w:pPr>
                <w:r>
                  <w:rPr>
                    <w:sz w:val="16"/>
                  </w:rPr>
                  <w:t>parvovirus canino</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3.127998pt;margin-top:56.682308pt;width:443.8pt;height:19.3pt;mso-position-horizontal-relative:page;mso-position-vertical-relative:page;z-index:-102064" type="#_x0000_t202" filled="false" stroked="false">
          <v:textbox inset="0,0,0,0">
            <w:txbxContent>
              <w:p>
                <w:pPr>
                  <w:spacing w:line="182" w:lineRule="exact" w:before="0"/>
                  <w:ind w:left="0" w:right="36" w:firstLine="0"/>
                  <w:jc w:val="right"/>
                  <w:rPr>
                    <w:sz w:val="16"/>
                  </w:rPr>
                </w:pPr>
                <w:r>
                  <w:rPr>
                    <w:sz w:val="16"/>
                  </w:rPr>
                  <w:t>Análisis de la sensibilidad de métodos diagnósticos comúnmente utilizados en hospitales veterinarios para el diagnóstico de</w:t>
                </w:r>
              </w:p>
              <w:p>
                <w:pPr>
                  <w:spacing w:before="3"/>
                  <w:ind w:left="0" w:right="18" w:firstLine="0"/>
                  <w:jc w:val="right"/>
                  <w:rPr>
                    <w:sz w:val="16"/>
                  </w:rPr>
                </w:pPr>
                <w:r>
                  <w:rPr>
                    <w:sz w:val="16"/>
                  </w:rPr>
                  <w:t>parvovirus canino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2040" from="92.208pt,76.339996pt" to="537.098pt,76.339996pt" stroked="true" strokeweight=".48pt" strokecolor="#000000">
          <w10:wrap type="none"/>
        </v:line>
      </w:pict>
    </w:r>
    <w:r>
      <w:rPr/>
      <w:pict>
        <v:shape style="position:absolute;margin-left:93.127998pt;margin-top:56.682308pt;width:443.8pt;height:19.3pt;mso-position-horizontal-relative:page;mso-position-vertical-relative:page;z-index:-102016" type="#_x0000_t202" filled="false" stroked="false">
          <v:textbox inset="0,0,0,0">
            <w:txbxContent>
              <w:p>
                <w:pPr>
                  <w:spacing w:line="182" w:lineRule="exact" w:before="0"/>
                  <w:ind w:left="0" w:right="36" w:firstLine="0"/>
                  <w:jc w:val="right"/>
                  <w:rPr>
                    <w:sz w:val="16"/>
                  </w:rPr>
                </w:pPr>
                <w:r>
                  <w:rPr>
                    <w:sz w:val="16"/>
                  </w:rPr>
                  <w:t>Análisis de la sensibilidad de métodos diagnósticos comúnmente utilizados en hospitales veterinarios para el diagnóstico de</w:t>
                </w:r>
              </w:p>
              <w:p>
                <w:pPr>
                  <w:spacing w:before="3"/>
                  <w:ind w:left="0" w:right="18" w:firstLine="0"/>
                  <w:jc w:val="right"/>
                  <w:rPr>
                    <w:sz w:val="16"/>
                  </w:rPr>
                </w:pPr>
                <w:r>
                  <w:rPr>
                    <w:sz w:val="16"/>
                  </w:rPr>
                  <w:t>parvovirus canino</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3.127998pt;margin-top:56.682308pt;width:443.8pt;height:19.3pt;mso-position-horizontal-relative:page;mso-position-vertical-relative:page;z-index:-101800" type="#_x0000_t202" filled="false" stroked="false">
          <v:textbox inset="0,0,0,0">
            <w:txbxContent>
              <w:p>
                <w:pPr>
                  <w:spacing w:line="182" w:lineRule="exact" w:before="0"/>
                  <w:ind w:left="0" w:right="36" w:firstLine="0"/>
                  <w:jc w:val="right"/>
                  <w:rPr>
                    <w:sz w:val="16"/>
                  </w:rPr>
                </w:pPr>
                <w:r>
                  <w:rPr>
                    <w:sz w:val="16"/>
                  </w:rPr>
                  <w:t>Análisis de la sensibilidad de métodos diagnósticos comúnmente utilizados en hospitales veterinarios para el diagnóstico de</w:t>
                </w:r>
              </w:p>
              <w:p>
                <w:pPr>
                  <w:spacing w:before="3"/>
                  <w:ind w:left="0" w:right="18" w:firstLine="0"/>
                  <w:jc w:val="right"/>
                  <w:rPr>
                    <w:sz w:val="16"/>
                  </w:rPr>
                </w:pPr>
                <w:r>
                  <w:rPr>
                    <w:sz w:val="16"/>
                  </w:rPr>
                  <w:t>parvovirus canino</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1776" from="92.208pt,76.339996pt" to="537.098pt,76.339996pt" stroked="true" strokeweight=".48pt" strokecolor="#000000">
          <w10:wrap type="none"/>
        </v:line>
      </w:pict>
    </w:r>
    <w:r>
      <w:rPr/>
      <w:pict>
        <v:shape style="position:absolute;margin-left:93.127998pt;margin-top:56.682308pt;width:443.8pt;height:19.3pt;mso-position-horizontal-relative:page;mso-position-vertical-relative:page;z-index:-101752" type="#_x0000_t202" filled="false" stroked="false">
          <v:textbox inset="0,0,0,0">
            <w:txbxContent>
              <w:p>
                <w:pPr>
                  <w:spacing w:line="182" w:lineRule="exact" w:before="0"/>
                  <w:ind w:left="0" w:right="36" w:firstLine="0"/>
                  <w:jc w:val="right"/>
                  <w:rPr>
                    <w:sz w:val="16"/>
                  </w:rPr>
                </w:pPr>
                <w:r>
                  <w:rPr>
                    <w:sz w:val="16"/>
                  </w:rPr>
                  <w:t>Análisis de la sensibilidad de métodos diagnósticos comúnmente utilizados en hospitales veterinarios para el diagnóstico de</w:t>
                </w:r>
              </w:p>
              <w:p>
                <w:pPr>
                  <w:spacing w:before="3"/>
                  <w:ind w:left="0" w:right="18" w:firstLine="0"/>
                  <w:jc w:val="right"/>
                  <w:rPr>
                    <w:sz w:val="16"/>
                  </w:rPr>
                </w:pPr>
                <w:r>
                  <w:rPr>
                    <w:sz w:val="16"/>
                  </w:rPr>
                  <w:t>parvovirus canino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1">
    <w:multiLevelType w:val="hybridMultilevel"/>
    <w:lvl w:ilvl="0">
      <w:start w:val="1"/>
      <w:numFmt w:val="decimal"/>
      <w:lvlText w:val="%1."/>
      <w:lvlJc w:val="left"/>
      <w:pPr>
        <w:ind w:left="513" w:hanging="361"/>
        <w:jc w:val="left"/>
      </w:pPr>
      <w:rPr>
        <w:rFonts w:hint="default" w:ascii="Arial" w:hAnsi="Arial" w:eastAsia="Arial" w:cs="Arial"/>
        <w:spacing w:val="-8"/>
        <w:w w:val="99"/>
        <w:sz w:val="24"/>
        <w:szCs w:val="24"/>
      </w:rPr>
    </w:lvl>
    <w:lvl w:ilvl="1">
      <w:start w:val="1"/>
      <w:numFmt w:val="bullet"/>
      <w:lvlText w:val="•"/>
      <w:lvlJc w:val="left"/>
      <w:pPr>
        <w:ind w:left="1382" w:hanging="361"/>
      </w:pPr>
      <w:rPr>
        <w:rFonts w:hint="default"/>
      </w:rPr>
    </w:lvl>
    <w:lvl w:ilvl="2">
      <w:start w:val="1"/>
      <w:numFmt w:val="bullet"/>
      <w:lvlText w:val="•"/>
      <w:lvlJc w:val="left"/>
      <w:pPr>
        <w:ind w:left="2244" w:hanging="361"/>
      </w:pPr>
      <w:rPr>
        <w:rFonts w:hint="default"/>
      </w:rPr>
    </w:lvl>
    <w:lvl w:ilvl="3">
      <w:start w:val="1"/>
      <w:numFmt w:val="bullet"/>
      <w:lvlText w:val="•"/>
      <w:lvlJc w:val="left"/>
      <w:pPr>
        <w:ind w:left="3106" w:hanging="361"/>
      </w:pPr>
      <w:rPr>
        <w:rFonts w:hint="default"/>
      </w:rPr>
    </w:lvl>
    <w:lvl w:ilvl="4">
      <w:start w:val="1"/>
      <w:numFmt w:val="bullet"/>
      <w:lvlText w:val="•"/>
      <w:lvlJc w:val="left"/>
      <w:pPr>
        <w:ind w:left="3968" w:hanging="361"/>
      </w:pPr>
      <w:rPr>
        <w:rFonts w:hint="default"/>
      </w:rPr>
    </w:lvl>
    <w:lvl w:ilvl="5">
      <w:start w:val="1"/>
      <w:numFmt w:val="bullet"/>
      <w:lvlText w:val="•"/>
      <w:lvlJc w:val="left"/>
      <w:pPr>
        <w:ind w:left="4830" w:hanging="361"/>
      </w:pPr>
      <w:rPr>
        <w:rFonts w:hint="default"/>
      </w:rPr>
    </w:lvl>
    <w:lvl w:ilvl="6">
      <w:start w:val="1"/>
      <w:numFmt w:val="bullet"/>
      <w:lvlText w:val="•"/>
      <w:lvlJc w:val="left"/>
      <w:pPr>
        <w:ind w:left="5692" w:hanging="361"/>
      </w:pPr>
      <w:rPr>
        <w:rFonts w:hint="default"/>
      </w:rPr>
    </w:lvl>
    <w:lvl w:ilvl="7">
      <w:start w:val="1"/>
      <w:numFmt w:val="bullet"/>
      <w:lvlText w:val="•"/>
      <w:lvlJc w:val="left"/>
      <w:pPr>
        <w:ind w:left="6554" w:hanging="361"/>
      </w:pPr>
      <w:rPr>
        <w:rFonts w:hint="default"/>
      </w:rPr>
    </w:lvl>
    <w:lvl w:ilvl="8">
      <w:start w:val="1"/>
      <w:numFmt w:val="bullet"/>
      <w:lvlText w:val="•"/>
      <w:lvlJc w:val="left"/>
      <w:pPr>
        <w:ind w:left="7416" w:hanging="361"/>
      </w:pPr>
      <w:rPr>
        <w:rFonts w:hint="default"/>
      </w:rPr>
    </w:lvl>
  </w:abstractNum>
  <w:abstractNum w:abstractNumId="30">
    <w:multiLevelType w:val="hybridMultilevel"/>
    <w:lvl w:ilvl="0">
      <w:start w:val="1"/>
      <w:numFmt w:val="decimal"/>
      <w:lvlText w:val="%1."/>
      <w:lvlJc w:val="left"/>
      <w:pPr>
        <w:ind w:left="513" w:hanging="361"/>
        <w:jc w:val="left"/>
      </w:pPr>
      <w:rPr>
        <w:rFonts w:hint="default" w:ascii="Arial" w:hAnsi="Arial" w:eastAsia="Arial" w:cs="Arial"/>
        <w:spacing w:val="-8"/>
        <w:w w:val="99"/>
        <w:sz w:val="24"/>
        <w:szCs w:val="24"/>
      </w:rPr>
    </w:lvl>
    <w:lvl w:ilvl="1">
      <w:start w:val="1"/>
      <w:numFmt w:val="bullet"/>
      <w:lvlText w:val="•"/>
      <w:lvlJc w:val="left"/>
      <w:pPr>
        <w:ind w:left="1414" w:hanging="361"/>
      </w:pPr>
      <w:rPr>
        <w:rFonts w:hint="default"/>
      </w:rPr>
    </w:lvl>
    <w:lvl w:ilvl="2">
      <w:start w:val="1"/>
      <w:numFmt w:val="bullet"/>
      <w:lvlText w:val="•"/>
      <w:lvlJc w:val="left"/>
      <w:pPr>
        <w:ind w:left="2308" w:hanging="361"/>
      </w:pPr>
      <w:rPr>
        <w:rFonts w:hint="default"/>
      </w:rPr>
    </w:lvl>
    <w:lvl w:ilvl="3">
      <w:start w:val="1"/>
      <w:numFmt w:val="bullet"/>
      <w:lvlText w:val="•"/>
      <w:lvlJc w:val="left"/>
      <w:pPr>
        <w:ind w:left="3202" w:hanging="361"/>
      </w:pPr>
      <w:rPr>
        <w:rFonts w:hint="default"/>
      </w:rPr>
    </w:lvl>
    <w:lvl w:ilvl="4">
      <w:start w:val="1"/>
      <w:numFmt w:val="bullet"/>
      <w:lvlText w:val="•"/>
      <w:lvlJc w:val="left"/>
      <w:pPr>
        <w:ind w:left="4096" w:hanging="361"/>
      </w:pPr>
      <w:rPr>
        <w:rFonts w:hint="default"/>
      </w:rPr>
    </w:lvl>
    <w:lvl w:ilvl="5">
      <w:start w:val="1"/>
      <w:numFmt w:val="bullet"/>
      <w:lvlText w:val="•"/>
      <w:lvlJc w:val="left"/>
      <w:pPr>
        <w:ind w:left="4990" w:hanging="361"/>
      </w:pPr>
      <w:rPr>
        <w:rFonts w:hint="default"/>
      </w:rPr>
    </w:lvl>
    <w:lvl w:ilvl="6">
      <w:start w:val="1"/>
      <w:numFmt w:val="bullet"/>
      <w:lvlText w:val="•"/>
      <w:lvlJc w:val="left"/>
      <w:pPr>
        <w:ind w:left="5884" w:hanging="361"/>
      </w:pPr>
      <w:rPr>
        <w:rFonts w:hint="default"/>
      </w:rPr>
    </w:lvl>
    <w:lvl w:ilvl="7">
      <w:start w:val="1"/>
      <w:numFmt w:val="bullet"/>
      <w:lvlText w:val="•"/>
      <w:lvlJc w:val="left"/>
      <w:pPr>
        <w:ind w:left="6778" w:hanging="361"/>
      </w:pPr>
      <w:rPr>
        <w:rFonts w:hint="default"/>
      </w:rPr>
    </w:lvl>
    <w:lvl w:ilvl="8">
      <w:start w:val="1"/>
      <w:numFmt w:val="bullet"/>
      <w:lvlText w:val="•"/>
      <w:lvlJc w:val="left"/>
      <w:pPr>
        <w:ind w:left="7672" w:hanging="361"/>
      </w:pPr>
      <w:rPr>
        <w:rFonts w:hint="default"/>
      </w:rPr>
    </w:lvl>
  </w:abstractNum>
  <w:abstractNum w:abstractNumId="29">
    <w:multiLevelType w:val="hybridMultilevel"/>
    <w:lvl w:ilvl="0">
      <w:start w:val="14"/>
      <w:numFmt w:val="decimal"/>
      <w:lvlText w:val="%1"/>
      <w:lvlJc w:val="left"/>
      <w:pPr>
        <w:ind w:left="513" w:hanging="361"/>
        <w:jc w:val="left"/>
      </w:pPr>
      <w:rPr>
        <w:rFonts w:hint="default" w:ascii="Arial" w:hAnsi="Arial" w:eastAsia="Arial" w:cs="Arial"/>
        <w:w w:val="99"/>
        <w:sz w:val="24"/>
        <w:szCs w:val="24"/>
      </w:rPr>
    </w:lvl>
    <w:lvl w:ilvl="1">
      <w:start w:val="1"/>
      <w:numFmt w:val="bullet"/>
      <w:lvlText w:val="•"/>
      <w:lvlJc w:val="left"/>
      <w:pPr>
        <w:ind w:left="1382" w:hanging="361"/>
      </w:pPr>
      <w:rPr>
        <w:rFonts w:hint="default"/>
      </w:rPr>
    </w:lvl>
    <w:lvl w:ilvl="2">
      <w:start w:val="1"/>
      <w:numFmt w:val="bullet"/>
      <w:lvlText w:val="•"/>
      <w:lvlJc w:val="left"/>
      <w:pPr>
        <w:ind w:left="2244" w:hanging="361"/>
      </w:pPr>
      <w:rPr>
        <w:rFonts w:hint="default"/>
      </w:rPr>
    </w:lvl>
    <w:lvl w:ilvl="3">
      <w:start w:val="1"/>
      <w:numFmt w:val="bullet"/>
      <w:lvlText w:val="•"/>
      <w:lvlJc w:val="left"/>
      <w:pPr>
        <w:ind w:left="3106" w:hanging="361"/>
      </w:pPr>
      <w:rPr>
        <w:rFonts w:hint="default"/>
      </w:rPr>
    </w:lvl>
    <w:lvl w:ilvl="4">
      <w:start w:val="1"/>
      <w:numFmt w:val="bullet"/>
      <w:lvlText w:val="•"/>
      <w:lvlJc w:val="left"/>
      <w:pPr>
        <w:ind w:left="3968" w:hanging="361"/>
      </w:pPr>
      <w:rPr>
        <w:rFonts w:hint="default"/>
      </w:rPr>
    </w:lvl>
    <w:lvl w:ilvl="5">
      <w:start w:val="1"/>
      <w:numFmt w:val="bullet"/>
      <w:lvlText w:val="•"/>
      <w:lvlJc w:val="left"/>
      <w:pPr>
        <w:ind w:left="4830" w:hanging="361"/>
      </w:pPr>
      <w:rPr>
        <w:rFonts w:hint="default"/>
      </w:rPr>
    </w:lvl>
    <w:lvl w:ilvl="6">
      <w:start w:val="1"/>
      <w:numFmt w:val="bullet"/>
      <w:lvlText w:val="•"/>
      <w:lvlJc w:val="left"/>
      <w:pPr>
        <w:ind w:left="5692" w:hanging="361"/>
      </w:pPr>
      <w:rPr>
        <w:rFonts w:hint="default"/>
      </w:rPr>
    </w:lvl>
    <w:lvl w:ilvl="7">
      <w:start w:val="1"/>
      <w:numFmt w:val="bullet"/>
      <w:lvlText w:val="•"/>
      <w:lvlJc w:val="left"/>
      <w:pPr>
        <w:ind w:left="6554" w:hanging="361"/>
      </w:pPr>
      <w:rPr>
        <w:rFonts w:hint="default"/>
      </w:rPr>
    </w:lvl>
    <w:lvl w:ilvl="8">
      <w:start w:val="1"/>
      <w:numFmt w:val="bullet"/>
      <w:lvlText w:val="•"/>
      <w:lvlJc w:val="left"/>
      <w:pPr>
        <w:ind w:left="7416" w:hanging="361"/>
      </w:pPr>
      <w:rPr>
        <w:rFonts w:hint="default"/>
      </w:rPr>
    </w:lvl>
  </w:abstractNum>
  <w:abstractNum w:abstractNumId="28">
    <w:multiLevelType w:val="hybridMultilevel"/>
    <w:lvl w:ilvl="0">
      <w:start w:val="1"/>
      <w:numFmt w:val="decimal"/>
      <w:lvlText w:val="%1"/>
      <w:lvlJc w:val="left"/>
      <w:pPr>
        <w:ind w:left="513" w:hanging="361"/>
        <w:jc w:val="left"/>
      </w:pPr>
      <w:rPr>
        <w:rFonts w:hint="default" w:ascii="Arial" w:hAnsi="Arial" w:eastAsia="Arial" w:cs="Arial"/>
        <w:w w:val="99"/>
        <w:sz w:val="24"/>
        <w:szCs w:val="24"/>
      </w:rPr>
    </w:lvl>
    <w:lvl w:ilvl="1">
      <w:start w:val="1"/>
      <w:numFmt w:val="bullet"/>
      <w:lvlText w:val="•"/>
      <w:lvlJc w:val="left"/>
      <w:pPr>
        <w:ind w:left="1382" w:hanging="361"/>
      </w:pPr>
      <w:rPr>
        <w:rFonts w:hint="default"/>
      </w:rPr>
    </w:lvl>
    <w:lvl w:ilvl="2">
      <w:start w:val="1"/>
      <w:numFmt w:val="bullet"/>
      <w:lvlText w:val="•"/>
      <w:lvlJc w:val="left"/>
      <w:pPr>
        <w:ind w:left="2244" w:hanging="361"/>
      </w:pPr>
      <w:rPr>
        <w:rFonts w:hint="default"/>
      </w:rPr>
    </w:lvl>
    <w:lvl w:ilvl="3">
      <w:start w:val="1"/>
      <w:numFmt w:val="bullet"/>
      <w:lvlText w:val="•"/>
      <w:lvlJc w:val="left"/>
      <w:pPr>
        <w:ind w:left="3106" w:hanging="361"/>
      </w:pPr>
      <w:rPr>
        <w:rFonts w:hint="default"/>
      </w:rPr>
    </w:lvl>
    <w:lvl w:ilvl="4">
      <w:start w:val="1"/>
      <w:numFmt w:val="bullet"/>
      <w:lvlText w:val="•"/>
      <w:lvlJc w:val="left"/>
      <w:pPr>
        <w:ind w:left="3968" w:hanging="361"/>
      </w:pPr>
      <w:rPr>
        <w:rFonts w:hint="default"/>
      </w:rPr>
    </w:lvl>
    <w:lvl w:ilvl="5">
      <w:start w:val="1"/>
      <w:numFmt w:val="bullet"/>
      <w:lvlText w:val="•"/>
      <w:lvlJc w:val="left"/>
      <w:pPr>
        <w:ind w:left="4830" w:hanging="361"/>
      </w:pPr>
      <w:rPr>
        <w:rFonts w:hint="default"/>
      </w:rPr>
    </w:lvl>
    <w:lvl w:ilvl="6">
      <w:start w:val="1"/>
      <w:numFmt w:val="bullet"/>
      <w:lvlText w:val="•"/>
      <w:lvlJc w:val="left"/>
      <w:pPr>
        <w:ind w:left="5692" w:hanging="361"/>
      </w:pPr>
      <w:rPr>
        <w:rFonts w:hint="default"/>
      </w:rPr>
    </w:lvl>
    <w:lvl w:ilvl="7">
      <w:start w:val="1"/>
      <w:numFmt w:val="bullet"/>
      <w:lvlText w:val="•"/>
      <w:lvlJc w:val="left"/>
      <w:pPr>
        <w:ind w:left="6554" w:hanging="361"/>
      </w:pPr>
      <w:rPr>
        <w:rFonts w:hint="default"/>
      </w:rPr>
    </w:lvl>
    <w:lvl w:ilvl="8">
      <w:start w:val="1"/>
      <w:numFmt w:val="bullet"/>
      <w:lvlText w:val="•"/>
      <w:lvlJc w:val="left"/>
      <w:pPr>
        <w:ind w:left="7416" w:hanging="361"/>
      </w:pPr>
      <w:rPr>
        <w:rFonts w:hint="default"/>
      </w:rPr>
    </w:lvl>
  </w:abstractNum>
  <w:abstractNum w:abstractNumId="27">
    <w:multiLevelType w:val="hybridMultilevel"/>
    <w:lvl w:ilvl="0">
      <w:start w:val="1"/>
      <w:numFmt w:val="decimal"/>
      <w:lvlText w:val="%1."/>
      <w:lvlJc w:val="left"/>
      <w:pPr>
        <w:ind w:left="513" w:hanging="361"/>
        <w:jc w:val="left"/>
      </w:pPr>
      <w:rPr>
        <w:rFonts w:hint="default" w:ascii="Arial" w:hAnsi="Arial" w:eastAsia="Arial" w:cs="Arial"/>
        <w:b/>
        <w:bCs/>
        <w:w w:val="99"/>
        <w:sz w:val="24"/>
        <w:szCs w:val="24"/>
      </w:rPr>
    </w:lvl>
    <w:lvl w:ilvl="1">
      <w:start w:val="1"/>
      <w:numFmt w:val="bullet"/>
      <w:lvlText w:val="•"/>
      <w:lvlJc w:val="left"/>
      <w:pPr>
        <w:ind w:left="1382" w:hanging="361"/>
      </w:pPr>
      <w:rPr>
        <w:rFonts w:hint="default"/>
      </w:rPr>
    </w:lvl>
    <w:lvl w:ilvl="2">
      <w:start w:val="1"/>
      <w:numFmt w:val="bullet"/>
      <w:lvlText w:val="•"/>
      <w:lvlJc w:val="left"/>
      <w:pPr>
        <w:ind w:left="2244" w:hanging="361"/>
      </w:pPr>
      <w:rPr>
        <w:rFonts w:hint="default"/>
      </w:rPr>
    </w:lvl>
    <w:lvl w:ilvl="3">
      <w:start w:val="1"/>
      <w:numFmt w:val="bullet"/>
      <w:lvlText w:val="•"/>
      <w:lvlJc w:val="left"/>
      <w:pPr>
        <w:ind w:left="3106" w:hanging="361"/>
      </w:pPr>
      <w:rPr>
        <w:rFonts w:hint="default"/>
      </w:rPr>
    </w:lvl>
    <w:lvl w:ilvl="4">
      <w:start w:val="1"/>
      <w:numFmt w:val="bullet"/>
      <w:lvlText w:val="•"/>
      <w:lvlJc w:val="left"/>
      <w:pPr>
        <w:ind w:left="3968" w:hanging="361"/>
      </w:pPr>
      <w:rPr>
        <w:rFonts w:hint="default"/>
      </w:rPr>
    </w:lvl>
    <w:lvl w:ilvl="5">
      <w:start w:val="1"/>
      <w:numFmt w:val="bullet"/>
      <w:lvlText w:val="•"/>
      <w:lvlJc w:val="left"/>
      <w:pPr>
        <w:ind w:left="4830" w:hanging="361"/>
      </w:pPr>
      <w:rPr>
        <w:rFonts w:hint="default"/>
      </w:rPr>
    </w:lvl>
    <w:lvl w:ilvl="6">
      <w:start w:val="1"/>
      <w:numFmt w:val="bullet"/>
      <w:lvlText w:val="•"/>
      <w:lvlJc w:val="left"/>
      <w:pPr>
        <w:ind w:left="5692" w:hanging="361"/>
      </w:pPr>
      <w:rPr>
        <w:rFonts w:hint="default"/>
      </w:rPr>
    </w:lvl>
    <w:lvl w:ilvl="7">
      <w:start w:val="1"/>
      <w:numFmt w:val="bullet"/>
      <w:lvlText w:val="•"/>
      <w:lvlJc w:val="left"/>
      <w:pPr>
        <w:ind w:left="6554" w:hanging="361"/>
      </w:pPr>
      <w:rPr>
        <w:rFonts w:hint="default"/>
      </w:rPr>
    </w:lvl>
    <w:lvl w:ilvl="8">
      <w:start w:val="1"/>
      <w:numFmt w:val="bullet"/>
      <w:lvlText w:val="•"/>
      <w:lvlJc w:val="left"/>
      <w:pPr>
        <w:ind w:left="7416" w:hanging="361"/>
      </w:pPr>
      <w:rPr>
        <w:rFonts w:hint="default"/>
      </w:rPr>
    </w:lvl>
  </w:abstractNum>
  <w:abstractNum w:abstractNumId="26">
    <w:multiLevelType w:val="hybridMultilevel"/>
    <w:lvl w:ilvl="0">
      <w:start w:val="12"/>
      <w:numFmt w:val="decimal"/>
      <w:lvlText w:val="%1"/>
      <w:lvlJc w:val="left"/>
      <w:pPr>
        <w:ind w:left="1470" w:hanging="1359"/>
        <w:jc w:val="left"/>
      </w:pPr>
      <w:rPr>
        <w:rFonts w:hint="default" w:ascii="Calibri" w:hAnsi="Calibri" w:eastAsia="Calibri" w:cs="Calibri"/>
        <w:spacing w:val="-2"/>
        <w:w w:val="100"/>
        <w:position w:val="6"/>
        <w:sz w:val="22"/>
        <w:szCs w:val="22"/>
      </w:rPr>
    </w:lvl>
    <w:lvl w:ilvl="1">
      <w:start w:val="1"/>
      <w:numFmt w:val="bullet"/>
      <w:lvlText w:val="•"/>
      <w:lvlJc w:val="left"/>
      <w:pPr>
        <w:ind w:left="2300" w:hanging="1359"/>
      </w:pPr>
      <w:rPr>
        <w:rFonts w:hint="default"/>
      </w:rPr>
    </w:lvl>
    <w:lvl w:ilvl="2">
      <w:start w:val="1"/>
      <w:numFmt w:val="bullet"/>
      <w:lvlText w:val="•"/>
      <w:lvlJc w:val="left"/>
      <w:pPr>
        <w:ind w:left="3120" w:hanging="1359"/>
      </w:pPr>
      <w:rPr>
        <w:rFonts w:hint="default"/>
      </w:rPr>
    </w:lvl>
    <w:lvl w:ilvl="3">
      <w:start w:val="1"/>
      <w:numFmt w:val="bullet"/>
      <w:lvlText w:val="•"/>
      <w:lvlJc w:val="left"/>
      <w:pPr>
        <w:ind w:left="3940" w:hanging="1359"/>
      </w:pPr>
      <w:rPr>
        <w:rFonts w:hint="default"/>
      </w:rPr>
    </w:lvl>
    <w:lvl w:ilvl="4">
      <w:start w:val="1"/>
      <w:numFmt w:val="bullet"/>
      <w:lvlText w:val="•"/>
      <w:lvlJc w:val="left"/>
      <w:pPr>
        <w:ind w:left="4760" w:hanging="1359"/>
      </w:pPr>
      <w:rPr>
        <w:rFonts w:hint="default"/>
      </w:rPr>
    </w:lvl>
    <w:lvl w:ilvl="5">
      <w:start w:val="1"/>
      <w:numFmt w:val="bullet"/>
      <w:lvlText w:val="•"/>
      <w:lvlJc w:val="left"/>
      <w:pPr>
        <w:ind w:left="5580" w:hanging="1359"/>
      </w:pPr>
      <w:rPr>
        <w:rFonts w:hint="default"/>
      </w:rPr>
    </w:lvl>
    <w:lvl w:ilvl="6">
      <w:start w:val="1"/>
      <w:numFmt w:val="bullet"/>
      <w:lvlText w:val="•"/>
      <w:lvlJc w:val="left"/>
      <w:pPr>
        <w:ind w:left="6400" w:hanging="1359"/>
      </w:pPr>
      <w:rPr>
        <w:rFonts w:hint="default"/>
      </w:rPr>
    </w:lvl>
    <w:lvl w:ilvl="7">
      <w:start w:val="1"/>
      <w:numFmt w:val="bullet"/>
      <w:lvlText w:val="•"/>
      <w:lvlJc w:val="left"/>
      <w:pPr>
        <w:ind w:left="7220" w:hanging="1359"/>
      </w:pPr>
      <w:rPr>
        <w:rFonts w:hint="default"/>
      </w:rPr>
    </w:lvl>
    <w:lvl w:ilvl="8">
      <w:start w:val="1"/>
      <w:numFmt w:val="bullet"/>
      <w:lvlText w:val="•"/>
      <w:lvlJc w:val="left"/>
      <w:pPr>
        <w:ind w:left="8040" w:hanging="1359"/>
      </w:pPr>
      <w:rPr>
        <w:rFonts w:hint="default"/>
      </w:rPr>
    </w:lvl>
  </w:abstractNum>
  <w:abstractNum w:abstractNumId="25">
    <w:multiLevelType w:val="hybridMultilevel"/>
    <w:lvl w:ilvl="0">
      <w:start w:val="8"/>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24">
    <w:multiLevelType w:val="hybridMultilevel"/>
    <w:lvl w:ilvl="0">
      <w:start w:val="21"/>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decimal"/>
      <w:lvlText w:val="%2"/>
      <w:lvlJc w:val="left"/>
      <w:pPr>
        <w:ind w:left="692" w:hanging="471"/>
        <w:jc w:val="left"/>
      </w:pPr>
      <w:rPr>
        <w:rFonts w:hint="default" w:ascii="Calibri" w:hAnsi="Calibri" w:eastAsia="Calibri" w:cs="Calibri"/>
        <w:w w:val="100"/>
        <w:sz w:val="22"/>
        <w:szCs w:val="22"/>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23">
    <w:multiLevelType w:val="hybridMultilevel"/>
    <w:lvl w:ilvl="0">
      <w:start w:val="12"/>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bullet"/>
      <w:lvlText w:val="•"/>
      <w:lvlJc w:val="left"/>
      <w:pPr>
        <w:ind w:left="1598" w:hanging="582"/>
      </w:pPr>
      <w:rPr>
        <w:rFonts w:hint="default"/>
      </w:rPr>
    </w:lvl>
    <w:lvl w:ilvl="2">
      <w:start w:val="1"/>
      <w:numFmt w:val="bullet"/>
      <w:lvlText w:val="•"/>
      <w:lvlJc w:val="left"/>
      <w:pPr>
        <w:ind w:left="2496" w:hanging="582"/>
      </w:pPr>
      <w:rPr>
        <w:rFonts w:hint="default"/>
      </w:rPr>
    </w:lvl>
    <w:lvl w:ilvl="3">
      <w:start w:val="1"/>
      <w:numFmt w:val="bullet"/>
      <w:lvlText w:val="•"/>
      <w:lvlJc w:val="left"/>
      <w:pPr>
        <w:ind w:left="3394" w:hanging="582"/>
      </w:pPr>
      <w:rPr>
        <w:rFonts w:hint="default"/>
      </w:rPr>
    </w:lvl>
    <w:lvl w:ilvl="4">
      <w:start w:val="1"/>
      <w:numFmt w:val="bullet"/>
      <w:lvlText w:val="•"/>
      <w:lvlJc w:val="left"/>
      <w:pPr>
        <w:ind w:left="4292" w:hanging="582"/>
      </w:pPr>
      <w:rPr>
        <w:rFonts w:hint="default"/>
      </w:rPr>
    </w:lvl>
    <w:lvl w:ilvl="5">
      <w:start w:val="1"/>
      <w:numFmt w:val="bullet"/>
      <w:lvlText w:val="•"/>
      <w:lvlJc w:val="left"/>
      <w:pPr>
        <w:ind w:left="5190" w:hanging="582"/>
      </w:pPr>
      <w:rPr>
        <w:rFonts w:hint="default"/>
      </w:rPr>
    </w:lvl>
    <w:lvl w:ilvl="6">
      <w:start w:val="1"/>
      <w:numFmt w:val="bullet"/>
      <w:lvlText w:val="•"/>
      <w:lvlJc w:val="left"/>
      <w:pPr>
        <w:ind w:left="6088" w:hanging="582"/>
      </w:pPr>
      <w:rPr>
        <w:rFonts w:hint="default"/>
      </w:rPr>
    </w:lvl>
    <w:lvl w:ilvl="7">
      <w:start w:val="1"/>
      <w:numFmt w:val="bullet"/>
      <w:lvlText w:val="•"/>
      <w:lvlJc w:val="left"/>
      <w:pPr>
        <w:ind w:left="6986" w:hanging="582"/>
      </w:pPr>
      <w:rPr>
        <w:rFonts w:hint="default"/>
      </w:rPr>
    </w:lvl>
    <w:lvl w:ilvl="8">
      <w:start w:val="1"/>
      <w:numFmt w:val="bullet"/>
      <w:lvlText w:val="•"/>
      <w:lvlJc w:val="left"/>
      <w:pPr>
        <w:ind w:left="7884" w:hanging="582"/>
      </w:pPr>
      <w:rPr>
        <w:rFonts w:hint="default"/>
      </w:rPr>
    </w:lvl>
  </w:abstractNum>
  <w:abstractNum w:abstractNumId="22">
    <w:multiLevelType w:val="hybridMultilevel"/>
    <w:lvl w:ilvl="0">
      <w:start w:val="4"/>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21">
    <w:multiLevelType w:val="hybridMultilevel"/>
    <w:lvl w:ilvl="0">
      <w:start w:val="18"/>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decimal"/>
      <w:lvlText w:val="%2"/>
      <w:lvlJc w:val="left"/>
      <w:pPr>
        <w:ind w:left="692" w:hanging="471"/>
        <w:jc w:val="left"/>
      </w:pPr>
      <w:rPr>
        <w:rFonts w:hint="default" w:ascii="Calibri" w:hAnsi="Calibri" w:eastAsia="Calibri" w:cs="Calibri"/>
        <w:w w:val="100"/>
        <w:sz w:val="22"/>
        <w:szCs w:val="22"/>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20">
    <w:multiLevelType w:val="hybridMultilevel"/>
    <w:lvl w:ilvl="0">
      <w:start w:val="13"/>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bullet"/>
      <w:lvlText w:val="•"/>
      <w:lvlJc w:val="left"/>
      <w:pPr>
        <w:ind w:left="1598" w:hanging="582"/>
      </w:pPr>
      <w:rPr>
        <w:rFonts w:hint="default"/>
      </w:rPr>
    </w:lvl>
    <w:lvl w:ilvl="2">
      <w:start w:val="1"/>
      <w:numFmt w:val="bullet"/>
      <w:lvlText w:val="•"/>
      <w:lvlJc w:val="left"/>
      <w:pPr>
        <w:ind w:left="2496" w:hanging="582"/>
      </w:pPr>
      <w:rPr>
        <w:rFonts w:hint="default"/>
      </w:rPr>
    </w:lvl>
    <w:lvl w:ilvl="3">
      <w:start w:val="1"/>
      <w:numFmt w:val="bullet"/>
      <w:lvlText w:val="•"/>
      <w:lvlJc w:val="left"/>
      <w:pPr>
        <w:ind w:left="3394" w:hanging="582"/>
      </w:pPr>
      <w:rPr>
        <w:rFonts w:hint="default"/>
      </w:rPr>
    </w:lvl>
    <w:lvl w:ilvl="4">
      <w:start w:val="1"/>
      <w:numFmt w:val="bullet"/>
      <w:lvlText w:val="•"/>
      <w:lvlJc w:val="left"/>
      <w:pPr>
        <w:ind w:left="4292" w:hanging="582"/>
      </w:pPr>
      <w:rPr>
        <w:rFonts w:hint="default"/>
      </w:rPr>
    </w:lvl>
    <w:lvl w:ilvl="5">
      <w:start w:val="1"/>
      <w:numFmt w:val="bullet"/>
      <w:lvlText w:val="•"/>
      <w:lvlJc w:val="left"/>
      <w:pPr>
        <w:ind w:left="5190" w:hanging="582"/>
      </w:pPr>
      <w:rPr>
        <w:rFonts w:hint="default"/>
      </w:rPr>
    </w:lvl>
    <w:lvl w:ilvl="6">
      <w:start w:val="1"/>
      <w:numFmt w:val="bullet"/>
      <w:lvlText w:val="•"/>
      <w:lvlJc w:val="left"/>
      <w:pPr>
        <w:ind w:left="6088" w:hanging="582"/>
      </w:pPr>
      <w:rPr>
        <w:rFonts w:hint="default"/>
      </w:rPr>
    </w:lvl>
    <w:lvl w:ilvl="7">
      <w:start w:val="1"/>
      <w:numFmt w:val="bullet"/>
      <w:lvlText w:val="•"/>
      <w:lvlJc w:val="left"/>
      <w:pPr>
        <w:ind w:left="6986" w:hanging="582"/>
      </w:pPr>
      <w:rPr>
        <w:rFonts w:hint="default"/>
      </w:rPr>
    </w:lvl>
    <w:lvl w:ilvl="8">
      <w:start w:val="1"/>
      <w:numFmt w:val="bullet"/>
      <w:lvlText w:val="•"/>
      <w:lvlJc w:val="left"/>
      <w:pPr>
        <w:ind w:left="7884" w:hanging="582"/>
      </w:pPr>
      <w:rPr>
        <w:rFonts w:hint="default"/>
      </w:rPr>
    </w:lvl>
  </w:abstractNum>
  <w:abstractNum w:abstractNumId="19">
    <w:multiLevelType w:val="hybridMultilevel"/>
    <w:lvl w:ilvl="0">
      <w:start w:val="4"/>
      <w:numFmt w:val="decimal"/>
      <w:lvlText w:val="%1"/>
      <w:lvlJc w:val="left"/>
      <w:pPr>
        <w:ind w:left="692" w:hanging="471"/>
        <w:jc w:val="lef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8">
    <w:multiLevelType w:val="hybridMultilevel"/>
    <w:lvl w:ilvl="0">
      <w:start w:val="10"/>
      <w:numFmt w:val="decimal"/>
      <w:lvlText w:val="%1"/>
      <w:lvlJc w:val="left"/>
      <w:pPr>
        <w:ind w:left="1403" w:hanging="1292"/>
        <w:jc w:val="left"/>
      </w:pPr>
      <w:rPr>
        <w:rFonts w:hint="default" w:ascii="Calibri" w:hAnsi="Calibri" w:eastAsia="Calibri" w:cs="Calibri"/>
        <w:spacing w:val="-2"/>
        <w:w w:val="100"/>
        <w:sz w:val="22"/>
        <w:szCs w:val="22"/>
      </w:rPr>
    </w:lvl>
    <w:lvl w:ilvl="1">
      <w:start w:val="1"/>
      <w:numFmt w:val="decimal"/>
      <w:lvlText w:val="%2"/>
      <w:lvlJc w:val="left"/>
      <w:pPr>
        <w:ind w:left="692" w:hanging="471"/>
        <w:jc w:val="left"/>
      </w:pPr>
      <w:rPr>
        <w:rFonts w:hint="default" w:ascii="Calibri" w:hAnsi="Calibri" w:eastAsia="Calibri" w:cs="Calibri"/>
        <w:w w:val="100"/>
        <w:sz w:val="22"/>
        <w:szCs w:val="22"/>
      </w:rPr>
    </w:lvl>
    <w:lvl w:ilvl="2">
      <w:start w:val="1"/>
      <w:numFmt w:val="bullet"/>
      <w:lvlText w:val="•"/>
      <w:lvlJc w:val="left"/>
      <w:pPr>
        <w:ind w:left="2320" w:hanging="471"/>
      </w:pPr>
      <w:rPr>
        <w:rFonts w:hint="default"/>
      </w:rPr>
    </w:lvl>
    <w:lvl w:ilvl="3">
      <w:start w:val="1"/>
      <w:numFmt w:val="bullet"/>
      <w:lvlText w:val="•"/>
      <w:lvlJc w:val="left"/>
      <w:pPr>
        <w:ind w:left="3240" w:hanging="471"/>
      </w:pPr>
      <w:rPr>
        <w:rFonts w:hint="default"/>
      </w:rPr>
    </w:lvl>
    <w:lvl w:ilvl="4">
      <w:start w:val="1"/>
      <w:numFmt w:val="bullet"/>
      <w:lvlText w:val="•"/>
      <w:lvlJc w:val="left"/>
      <w:pPr>
        <w:ind w:left="4160" w:hanging="471"/>
      </w:pPr>
      <w:rPr>
        <w:rFonts w:hint="default"/>
      </w:rPr>
    </w:lvl>
    <w:lvl w:ilvl="5">
      <w:start w:val="1"/>
      <w:numFmt w:val="bullet"/>
      <w:lvlText w:val="•"/>
      <w:lvlJc w:val="left"/>
      <w:pPr>
        <w:ind w:left="5080" w:hanging="471"/>
      </w:pPr>
      <w:rPr>
        <w:rFonts w:hint="default"/>
      </w:rPr>
    </w:lvl>
    <w:lvl w:ilvl="6">
      <w:start w:val="1"/>
      <w:numFmt w:val="bullet"/>
      <w:lvlText w:val="•"/>
      <w:lvlJc w:val="left"/>
      <w:pPr>
        <w:ind w:left="6000" w:hanging="471"/>
      </w:pPr>
      <w:rPr>
        <w:rFonts w:hint="default"/>
      </w:rPr>
    </w:lvl>
    <w:lvl w:ilvl="7">
      <w:start w:val="1"/>
      <w:numFmt w:val="bullet"/>
      <w:lvlText w:val="•"/>
      <w:lvlJc w:val="left"/>
      <w:pPr>
        <w:ind w:left="6920" w:hanging="471"/>
      </w:pPr>
      <w:rPr>
        <w:rFonts w:hint="default"/>
      </w:rPr>
    </w:lvl>
    <w:lvl w:ilvl="8">
      <w:start w:val="1"/>
      <w:numFmt w:val="bullet"/>
      <w:lvlText w:val="•"/>
      <w:lvlJc w:val="left"/>
      <w:pPr>
        <w:ind w:left="7840" w:hanging="471"/>
      </w:pPr>
      <w:rPr>
        <w:rFonts w:hint="default"/>
      </w:rPr>
    </w:lvl>
  </w:abstractNum>
  <w:abstractNum w:abstractNumId="17">
    <w:multiLevelType w:val="hybridMultilevel"/>
    <w:lvl w:ilvl="0">
      <w:start w:val="1"/>
      <w:numFmt w:val="decimal"/>
      <w:lvlText w:val="%1"/>
      <w:lvlJc w:val="left"/>
      <w:pPr>
        <w:ind w:left="692" w:hanging="471"/>
        <w:jc w:val="lef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6">
    <w:multiLevelType w:val="hybridMultilevel"/>
    <w:lvl w:ilvl="0">
      <w:start w:val="1"/>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5">
    <w:multiLevelType w:val="hybridMultilevel"/>
    <w:lvl w:ilvl="0">
      <w:start w:val="1"/>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4">
    <w:multiLevelType w:val="hybridMultilevel"/>
    <w:lvl w:ilvl="0">
      <w:start w:val="1"/>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3">
    <w:multiLevelType w:val="hybridMultilevel"/>
    <w:lvl w:ilvl="0">
      <w:start w:val="17"/>
      <w:numFmt w:val="decimal"/>
      <w:lvlText w:val="%1"/>
      <w:lvlJc w:val="left"/>
      <w:pPr>
        <w:ind w:left="990" w:hanging="879"/>
        <w:jc w:val="left"/>
      </w:pPr>
      <w:rPr>
        <w:rFonts w:hint="default" w:ascii="Calibri" w:hAnsi="Calibri" w:eastAsia="Calibri" w:cs="Calibri"/>
        <w:spacing w:val="-2"/>
        <w:w w:val="100"/>
        <w:sz w:val="22"/>
        <w:szCs w:val="22"/>
      </w:rPr>
    </w:lvl>
    <w:lvl w:ilvl="1">
      <w:start w:val="1"/>
      <w:numFmt w:val="bullet"/>
      <w:lvlText w:val="•"/>
      <w:lvlJc w:val="left"/>
      <w:pPr>
        <w:ind w:left="1868" w:hanging="879"/>
      </w:pPr>
      <w:rPr>
        <w:rFonts w:hint="default"/>
      </w:rPr>
    </w:lvl>
    <w:lvl w:ilvl="2">
      <w:start w:val="1"/>
      <w:numFmt w:val="bullet"/>
      <w:lvlText w:val="•"/>
      <w:lvlJc w:val="left"/>
      <w:pPr>
        <w:ind w:left="2736" w:hanging="879"/>
      </w:pPr>
      <w:rPr>
        <w:rFonts w:hint="default"/>
      </w:rPr>
    </w:lvl>
    <w:lvl w:ilvl="3">
      <w:start w:val="1"/>
      <w:numFmt w:val="bullet"/>
      <w:lvlText w:val="•"/>
      <w:lvlJc w:val="left"/>
      <w:pPr>
        <w:ind w:left="3604" w:hanging="879"/>
      </w:pPr>
      <w:rPr>
        <w:rFonts w:hint="default"/>
      </w:rPr>
    </w:lvl>
    <w:lvl w:ilvl="4">
      <w:start w:val="1"/>
      <w:numFmt w:val="bullet"/>
      <w:lvlText w:val="•"/>
      <w:lvlJc w:val="left"/>
      <w:pPr>
        <w:ind w:left="4472" w:hanging="879"/>
      </w:pPr>
      <w:rPr>
        <w:rFonts w:hint="default"/>
      </w:rPr>
    </w:lvl>
    <w:lvl w:ilvl="5">
      <w:start w:val="1"/>
      <w:numFmt w:val="bullet"/>
      <w:lvlText w:val="•"/>
      <w:lvlJc w:val="left"/>
      <w:pPr>
        <w:ind w:left="5340" w:hanging="879"/>
      </w:pPr>
      <w:rPr>
        <w:rFonts w:hint="default"/>
      </w:rPr>
    </w:lvl>
    <w:lvl w:ilvl="6">
      <w:start w:val="1"/>
      <w:numFmt w:val="bullet"/>
      <w:lvlText w:val="•"/>
      <w:lvlJc w:val="left"/>
      <w:pPr>
        <w:ind w:left="6208" w:hanging="879"/>
      </w:pPr>
      <w:rPr>
        <w:rFonts w:hint="default"/>
      </w:rPr>
    </w:lvl>
    <w:lvl w:ilvl="7">
      <w:start w:val="1"/>
      <w:numFmt w:val="bullet"/>
      <w:lvlText w:val="•"/>
      <w:lvlJc w:val="left"/>
      <w:pPr>
        <w:ind w:left="7076" w:hanging="879"/>
      </w:pPr>
      <w:rPr>
        <w:rFonts w:hint="default"/>
      </w:rPr>
    </w:lvl>
    <w:lvl w:ilvl="8">
      <w:start w:val="1"/>
      <w:numFmt w:val="bullet"/>
      <w:lvlText w:val="•"/>
      <w:lvlJc w:val="left"/>
      <w:pPr>
        <w:ind w:left="7944" w:hanging="879"/>
      </w:pPr>
      <w:rPr>
        <w:rFonts w:hint="default"/>
      </w:rPr>
    </w:lvl>
  </w:abstractNum>
  <w:abstractNum w:abstractNumId="12">
    <w:multiLevelType w:val="hybridMultilevel"/>
    <w:lvl w:ilvl="0">
      <w:start w:val="1"/>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11">
    <w:multiLevelType w:val="hybridMultilevel"/>
    <w:lvl w:ilvl="0">
      <w:start w:val="1"/>
      <w:numFmt w:val="decimal"/>
      <w:lvlText w:val="%1"/>
      <w:lvlJc w:val="left"/>
      <w:pPr>
        <w:ind w:left="692" w:hanging="471"/>
        <w:jc w:val="right"/>
      </w:pPr>
      <w:rPr>
        <w:rFonts w:hint="default" w:ascii="Calibri" w:hAnsi="Calibri" w:eastAsia="Calibri" w:cs="Calibri"/>
        <w:w w:val="100"/>
        <w:sz w:val="22"/>
        <w:szCs w:val="22"/>
      </w:rPr>
    </w:lvl>
    <w:lvl w:ilvl="1">
      <w:start w:val="1"/>
      <w:numFmt w:val="decimal"/>
      <w:lvlText w:val="%2"/>
      <w:lvlJc w:val="left"/>
      <w:pPr>
        <w:ind w:left="1048" w:hanging="827"/>
        <w:jc w:val="right"/>
      </w:pPr>
      <w:rPr>
        <w:rFonts w:hint="default" w:ascii="Calibri" w:hAnsi="Calibri" w:eastAsia="Calibri" w:cs="Calibri"/>
        <w:w w:val="100"/>
        <w:sz w:val="22"/>
        <w:szCs w:val="22"/>
      </w:rPr>
    </w:lvl>
    <w:lvl w:ilvl="2">
      <w:start w:val="1"/>
      <w:numFmt w:val="bullet"/>
      <w:lvlText w:val="•"/>
      <w:lvlJc w:val="left"/>
      <w:pPr>
        <w:ind w:left="2000" w:hanging="827"/>
      </w:pPr>
      <w:rPr>
        <w:rFonts w:hint="default"/>
      </w:rPr>
    </w:lvl>
    <w:lvl w:ilvl="3">
      <w:start w:val="1"/>
      <w:numFmt w:val="bullet"/>
      <w:lvlText w:val="•"/>
      <w:lvlJc w:val="left"/>
      <w:pPr>
        <w:ind w:left="2960" w:hanging="827"/>
      </w:pPr>
      <w:rPr>
        <w:rFonts w:hint="default"/>
      </w:rPr>
    </w:lvl>
    <w:lvl w:ilvl="4">
      <w:start w:val="1"/>
      <w:numFmt w:val="bullet"/>
      <w:lvlText w:val="•"/>
      <w:lvlJc w:val="left"/>
      <w:pPr>
        <w:ind w:left="3920" w:hanging="827"/>
      </w:pPr>
      <w:rPr>
        <w:rFonts w:hint="default"/>
      </w:rPr>
    </w:lvl>
    <w:lvl w:ilvl="5">
      <w:start w:val="1"/>
      <w:numFmt w:val="bullet"/>
      <w:lvlText w:val="•"/>
      <w:lvlJc w:val="left"/>
      <w:pPr>
        <w:ind w:left="4880" w:hanging="827"/>
      </w:pPr>
      <w:rPr>
        <w:rFonts w:hint="default"/>
      </w:rPr>
    </w:lvl>
    <w:lvl w:ilvl="6">
      <w:start w:val="1"/>
      <w:numFmt w:val="bullet"/>
      <w:lvlText w:val="•"/>
      <w:lvlJc w:val="left"/>
      <w:pPr>
        <w:ind w:left="5840" w:hanging="827"/>
      </w:pPr>
      <w:rPr>
        <w:rFonts w:hint="default"/>
      </w:rPr>
    </w:lvl>
    <w:lvl w:ilvl="7">
      <w:start w:val="1"/>
      <w:numFmt w:val="bullet"/>
      <w:lvlText w:val="•"/>
      <w:lvlJc w:val="left"/>
      <w:pPr>
        <w:ind w:left="6800" w:hanging="827"/>
      </w:pPr>
      <w:rPr>
        <w:rFonts w:hint="default"/>
      </w:rPr>
    </w:lvl>
    <w:lvl w:ilvl="8">
      <w:start w:val="1"/>
      <w:numFmt w:val="bullet"/>
      <w:lvlText w:val="•"/>
      <w:lvlJc w:val="left"/>
      <w:pPr>
        <w:ind w:left="7760" w:hanging="827"/>
      </w:pPr>
      <w:rPr>
        <w:rFonts w:hint="default"/>
      </w:rPr>
    </w:lvl>
  </w:abstractNum>
  <w:abstractNum w:abstractNumId="10">
    <w:multiLevelType w:val="hybridMultilevel"/>
    <w:lvl w:ilvl="0">
      <w:start w:val="1"/>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9">
    <w:multiLevelType w:val="hybridMultilevel"/>
    <w:lvl w:ilvl="0">
      <w:start w:val="1"/>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8">
    <w:multiLevelType w:val="hybridMultilevel"/>
    <w:lvl w:ilvl="0">
      <w:start w:val="1"/>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7">
    <w:multiLevelType w:val="hybridMultilevel"/>
    <w:lvl w:ilvl="0">
      <w:start w:val="1"/>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6">
    <w:multiLevelType w:val="hybridMultilevel"/>
    <w:lvl w:ilvl="0">
      <w:start w:val="1"/>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5">
    <w:multiLevelType w:val="hybridMultilevel"/>
    <w:lvl w:ilvl="0">
      <w:start w:val="1"/>
      <w:numFmt w:val="decimal"/>
      <w:lvlText w:val="%1"/>
      <w:lvlJc w:val="left"/>
      <w:pPr>
        <w:ind w:left="692" w:hanging="471"/>
        <w:jc w:val="right"/>
      </w:pPr>
      <w:rPr>
        <w:rFonts w:hint="default" w:ascii="Calibri" w:hAnsi="Calibri" w:eastAsia="Calibri" w:cs="Calibri"/>
        <w:w w:val="100"/>
        <w:sz w:val="22"/>
        <w:szCs w:val="22"/>
      </w:rPr>
    </w:lvl>
    <w:lvl w:ilvl="1">
      <w:start w:val="1"/>
      <w:numFmt w:val="bullet"/>
      <w:lvlText w:val="•"/>
      <w:lvlJc w:val="left"/>
      <w:pPr>
        <w:ind w:left="1598" w:hanging="471"/>
      </w:pPr>
      <w:rPr>
        <w:rFonts w:hint="default"/>
      </w:rPr>
    </w:lvl>
    <w:lvl w:ilvl="2">
      <w:start w:val="1"/>
      <w:numFmt w:val="bullet"/>
      <w:lvlText w:val="•"/>
      <w:lvlJc w:val="left"/>
      <w:pPr>
        <w:ind w:left="2496" w:hanging="471"/>
      </w:pPr>
      <w:rPr>
        <w:rFonts w:hint="default"/>
      </w:rPr>
    </w:lvl>
    <w:lvl w:ilvl="3">
      <w:start w:val="1"/>
      <w:numFmt w:val="bullet"/>
      <w:lvlText w:val="•"/>
      <w:lvlJc w:val="left"/>
      <w:pPr>
        <w:ind w:left="3394" w:hanging="471"/>
      </w:pPr>
      <w:rPr>
        <w:rFonts w:hint="default"/>
      </w:rPr>
    </w:lvl>
    <w:lvl w:ilvl="4">
      <w:start w:val="1"/>
      <w:numFmt w:val="bullet"/>
      <w:lvlText w:val="•"/>
      <w:lvlJc w:val="left"/>
      <w:pPr>
        <w:ind w:left="4292" w:hanging="471"/>
      </w:pPr>
      <w:rPr>
        <w:rFonts w:hint="default"/>
      </w:rPr>
    </w:lvl>
    <w:lvl w:ilvl="5">
      <w:start w:val="1"/>
      <w:numFmt w:val="bullet"/>
      <w:lvlText w:val="•"/>
      <w:lvlJc w:val="left"/>
      <w:pPr>
        <w:ind w:left="5190" w:hanging="471"/>
      </w:pPr>
      <w:rPr>
        <w:rFonts w:hint="default"/>
      </w:rPr>
    </w:lvl>
    <w:lvl w:ilvl="6">
      <w:start w:val="1"/>
      <w:numFmt w:val="bullet"/>
      <w:lvlText w:val="•"/>
      <w:lvlJc w:val="left"/>
      <w:pPr>
        <w:ind w:left="6088" w:hanging="471"/>
      </w:pPr>
      <w:rPr>
        <w:rFonts w:hint="default"/>
      </w:rPr>
    </w:lvl>
    <w:lvl w:ilvl="7">
      <w:start w:val="1"/>
      <w:numFmt w:val="bullet"/>
      <w:lvlText w:val="•"/>
      <w:lvlJc w:val="left"/>
      <w:pPr>
        <w:ind w:left="6986" w:hanging="471"/>
      </w:pPr>
      <w:rPr>
        <w:rFonts w:hint="default"/>
      </w:rPr>
    </w:lvl>
    <w:lvl w:ilvl="8">
      <w:start w:val="1"/>
      <w:numFmt w:val="bullet"/>
      <w:lvlText w:val="•"/>
      <w:lvlJc w:val="left"/>
      <w:pPr>
        <w:ind w:left="7884" w:hanging="471"/>
      </w:pPr>
      <w:rPr>
        <w:rFonts w:hint="default"/>
      </w:rPr>
    </w:lvl>
  </w:abstractNum>
  <w:abstractNum w:abstractNumId="4">
    <w:multiLevelType w:val="hybridMultilevel"/>
    <w:lvl w:ilvl="0">
      <w:start w:val="23"/>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bullet"/>
      <w:lvlText w:val="•"/>
      <w:lvlJc w:val="left"/>
      <w:pPr>
        <w:ind w:left="1598" w:hanging="582"/>
      </w:pPr>
      <w:rPr>
        <w:rFonts w:hint="default"/>
      </w:rPr>
    </w:lvl>
    <w:lvl w:ilvl="2">
      <w:start w:val="1"/>
      <w:numFmt w:val="bullet"/>
      <w:lvlText w:val="•"/>
      <w:lvlJc w:val="left"/>
      <w:pPr>
        <w:ind w:left="2496" w:hanging="582"/>
      </w:pPr>
      <w:rPr>
        <w:rFonts w:hint="default"/>
      </w:rPr>
    </w:lvl>
    <w:lvl w:ilvl="3">
      <w:start w:val="1"/>
      <w:numFmt w:val="bullet"/>
      <w:lvlText w:val="•"/>
      <w:lvlJc w:val="left"/>
      <w:pPr>
        <w:ind w:left="3394" w:hanging="582"/>
      </w:pPr>
      <w:rPr>
        <w:rFonts w:hint="default"/>
      </w:rPr>
    </w:lvl>
    <w:lvl w:ilvl="4">
      <w:start w:val="1"/>
      <w:numFmt w:val="bullet"/>
      <w:lvlText w:val="•"/>
      <w:lvlJc w:val="left"/>
      <w:pPr>
        <w:ind w:left="4292" w:hanging="582"/>
      </w:pPr>
      <w:rPr>
        <w:rFonts w:hint="default"/>
      </w:rPr>
    </w:lvl>
    <w:lvl w:ilvl="5">
      <w:start w:val="1"/>
      <w:numFmt w:val="bullet"/>
      <w:lvlText w:val="•"/>
      <w:lvlJc w:val="left"/>
      <w:pPr>
        <w:ind w:left="5190" w:hanging="582"/>
      </w:pPr>
      <w:rPr>
        <w:rFonts w:hint="default"/>
      </w:rPr>
    </w:lvl>
    <w:lvl w:ilvl="6">
      <w:start w:val="1"/>
      <w:numFmt w:val="bullet"/>
      <w:lvlText w:val="•"/>
      <w:lvlJc w:val="left"/>
      <w:pPr>
        <w:ind w:left="6088" w:hanging="582"/>
      </w:pPr>
      <w:rPr>
        <w:rFonts w:hint="default"/>
      </w:rPr>
    </w:lvl>
    <w:lvl w:ilvl="7">
      <w:start w:val="1"/>
      <w:numFmt w:val="bullet"/>
      <w:lvlText w:val="•"/>
      <w:lvlJc w:val="left"/>
      <w:pPr>
        <w:ind w:left="6986" w:hanging="582"/>
      </w:pPr>
      <w:rPr>
        <w:rFonts w:hint="default"/>
      </w:rPr>
    </w:lvl>
    <w:lvl w:ilvl="8">
      <w:start w:val="1"/>
      <w:numFmt w:val="bullet"/>
      <w:lvlText w:val="•"/>
      <w:lvlJc w:val="left"/>
      <w:pPr>
        <w:ind w:left="7884" w:hanging="582"/>
      </w:pPr>
      <w:rPr>
        <w:rFonts w:hint="default"/>
      </w:rPr>
    </w:lvl>
  </w:abstractNum>
  <w:abstractNum w:abstractNumId="3">
    <w:multiLevelType w:val="hybridMultilevel"/>
    <w:lvl w:ilvl="0">
      <w:start w:val="10"/>
      <w:numFmt w:val="decimal"/>
      <w:lvlText w:val="%1"/>
      <w:lvlJc w:val="left"/>
      <w:pPr>
        <w:ind w:left="692" w:hanging="582"/>
        <w:jc w:val="left"/>
      </w:pPr>
      <w:rPr>
        <w:rFonts w:hint="default" w:ascii="Calibri" w:hAnsi="Calibri" w:eastAsia="Calibri" w:cs="Calibri"/>
        <w:spacing w:val="-2"/>
        <w:w w:val="100"/>
        <w:sz w:val="22"/>
        <w:szCs w:val="22"/>
      </w:rPr>
    </w:lvl>
    <w:lvl w:ilvl="1">
      <w:start w:val="1"/>
      <w:numFmt w:val="bullet"/>
      <w:lvlText w:val="•"/>
      <w:lvlJc w:val="left"/>
      <w:pPr>
        <w:ind w:left="1598" w:hanging="582"/>
      </w:pPr>
      <w:rPr>
        <w:rFonts w:hint="default"/>
      </w:rPr>
    </w:lvl>
    <w:lvl w:ilvl="2">
      <w:start w:val="1"/>
      <w:numFmt w:val="bullet"/>
      <w:lvlText w:val="•"/>
      <w:lvlJc w:val="left"/>
      <w:pPr>
        <w:ind w:left="2496" w:hanging="582"/>
      </w:pPr>
      <w:rPr>
        <w:rFonts w:hint="default"/>
      </w:rPr>
    </w:lvl>
    <w:lvl w:ilvl="3">
      <w:start w:val="1"/>
      <w:numFmt w:val="bullet"/>
      <w:lvlText w:val="•"/>
      <w:lvlJc w:val="left"/>
      <w:pPr>
        <w:ind w:left="3394" w:hanging="582"/>
      </w:pPr>
      <w:rPr>
        <w:rFonts w:hint="default"/>
      </w:rPr>
    </w:lvl>
    <w:lvl w:ilvl="4">
      <w:start w:val="1"/>
      <w:numFmt w:val="bullet"/>
      <w:lvlText w:val="•"/>
      <w:lvlJc w:val="left"/>
      <w:pPr>
        <w:ind w:left="4292" w:hanging="582"/>
      </w:pPr>
      <w:rPr>
        <w:rFonts w:hint="default"/>
      </w:rPr>
    </w:lvl>
    <w:lvl w:ilvl="5">
      <w:start w:val="1"/>
      <w:numFmt w:val="bullet"/>
      <w:lvlText w:val="•"/>
      <w:lvlJc w:val="left"/>
      <w:pPr>
        <w:ind w:left="5190" w:hanging="582"/>
      </w:pPr>
      <w:rPr>
        <w:rFonts w:hint="default"/>
      </w:rPr>
    </w:lvl>
    <w:lvl w:ilvl="6">
      <w:start w:val="1"/>
      <w:numFmt w:val="bullet"/>
      <w:lvlText w:val="•"/>
      <w:lvlJc w:val="left"/>
      <w:pPr>
        <w:ind w:left="6088" w:hanging="582"/>
      </w:pPr>
      <w:rPr>
        <w:rFonts w:hint="default"/>
      </w:rPr>
    </w:lvl>
    <w:lvl w:ilvl="7">
      <w:start w:val="1"/>
      <w:numFmt w:val="bullet"/>
      <w:lvlText w:val="•"/>
      <w:lvlJc w:val="left"/>
      <w:pPr>
        <w:ind w:left="6986" w:hanging="582"/>
      </w:pPr>
      <w:rPr>
        <w:rFonts w:hint="default"/>
      </w:rPr>
    </w:lvl>
    <w:lvl w:ilvl="8">
      <w:start w:val="1"/>
      <w:numFmt w:val="bullet"/>
      <w:lvlText w:val="•"/>
      <w:lvlJc w:val="left"/>
      <w:pPr>
        <w:ind w:left="7884" w:hanging="582"/>
      </w:pPr>
      <w:rPr>
        <w:rFonts w:hint="default"/>
      </w:rPr>
    </w:lvl>
  </w:abstractNum>
  <w:abstractNum w:abstractNumId="2">
    <w:multiLevelType w:val="hybridMultilevel"/>
    <w:lvl w:ilvl="0">
      <w:start w:val="5"/>
      <w:numFmt w:val="decimal"/>
      <w:lvlText w:val="%1"/>
      <w:lvlJc w:val="left"/>
      <w:pPr>
        <w:ind w:left="865" w:hanging="644"/>
        <w:jc w:val="left"/>
      </w:pPr>
      <w:rPr>
        <w:rFonts w:hint="default" w:ascii="Calibri" w:hAnsi="Calibri" w:eastAsia="Calibri" w:cs="Calibri"/>
        <w:w w:val="100"/>
        <w:sz w:val="22"/>
        <w:szCs w:val="22"/>
      </w:rPr>
    </w:lvl>
    <w:lvl w:ilvl="1">
      <w:start w:val="1"/>
      <w:numFmt w:val="bullet"/>
      <w:lvlText w:val="•"/>
      <w:lvlJc w:val="left"/>
      <w:pPr>
        <w:ind w:left="1742" w:hanging="644"/>
      </w:pPr>
      <w:rPr>
        <w:rFonts w:hint="default"/>
      </w:rPr>
    </w:lvl>
    <w:lvl w:ilvl="2">
      <w:start w:val="1"/>
      <w:numFmt w:val="bullet"/>
      <w:lvlText w:val="•"/>
      <w:lvlJc w:val="left"/>
      <w:pPr>
        <w:ind w:left="2624" w:hanging="644"/>
      </w:pPr>
      <w:rPr>
        <w:rFonts w:hint="default"/>
      </w:rPr>
    </w:lvl>
    <w:lvl w:ilvl="3">
      <w:start w:val="1"/>
      <w:numFmt w:val="bullet"/>
      <w:lvlText w:val="•"/>
      <w:lvlJc w:val="left"/>
      <w:pPr>
        <w:ind w:left="3506" w:hanging="644"/>
      </w:pPr>
      <w:rPr>
        <w:rFonts w:hint="default"/>
      </w:rPr>
    </w:lvl>
    <w:lvl w:ilvl="4">
      <w:start w:val="1"/>
      <w:numFmt w:val="bullet"/>
      <w:lvlText w:val="•"/>
      <w:lvlJc w:val="left"/>
      <w:pPr>
        <w:ind w:left="4388" w:hanging="644"/>
      </w:pPr>
      <w:rPr>
        <w:rFonts w:hint="default"/>
      </w:rPr>
    </w:lvl>
    <w:lvl w:ilvl="5">
      <w:start w:val="1"/>
      <w:numFmt w:val="bullet"/>
      <w:lvlText w:val="•"/>
      <w:lvlJc w:val="left"/>
      <w:pPr>
        <w:ind w:left="5270" w:hanging="644"/>
      </w:pPr>
      <w:rPr>
        <w:rFonts w:hint="default"/>
      </w:rPr>
    </w:lvl>
    <w:lvl w:ilvl="6">
      <w:start w:val="1"/>
      <w:numFmt w:val="bullet"/>
      <w:lvlText w:val="•"/>
      <w:lvlJc w:val="left"/>
      <w:pPr>
        <w:ind w:left="6152" w:hanging="644"/>
      </w:pPr>
      <w:rPr>
        <w:rFonts w:hint="default"/>
      </w:rPr>
    </w:lvl>
    <w:lvl w:ilvl="7">
      <w:start w:val="1"/>
      <w:numFmt w:val="bullet"/>
      <w:lvlText w:val="•"/>
      <w:lvlJc w:val="left"/>
      <w:pPr>
        <w:ind w:left="7034" w:hanging="644"/>
      </w:pPr>
      <w:rPr>
        <w:rFonts w:hint="default"/>
      </w:rPr>
    </w:lvl>
    <w:lvl w:ilvl="8">
      <w:start w:val="1"/>
      <w:numFmt w:val="bullet"/>
      <w:lvlText w:val="•"/>
      <w:lvlJc w:val="left"/>
      <w:pPr>
        <w:ind w:left="7916" w:hanging="644"/>
      </w:pPr>
      <w:rPr>
        <w:rFonts w:hint="default"/>
      </w:rPr>
    </w:lvl>
  </w:abstractNum>
  <w:abstractNum w:abstractNumId="1">
    <w:multiLevelType w:val="hybridMultilevel"/>
    <w:lvl w:ilvl="0">
      <w:start w:val="1"/>
      <w:numFmt w:val="bullet"/>
      <w:lvlText w:val=""/>
      <w:lvlJc w:val="left"/>
      <w:pPr>
        <w:ind w:left="513" w:hanging="361"/>
      </w:pPr>
      <w:rPr>
        <w:rFonts w:hint="default" w:ascii="Symbol" w:hAnsi="Symbol" w:eastAsia="Symbol" w:cs="Symbol"/>
        <w:w w:val="100"/>
        <w:sz w:val="24"/>
        <w:szCs w:val="24"/>
      </w:rPr>
    </w:lvl>
    <w:lvl w:ilvl="1">
      <w:start w:val="1"/>
      <w:numFmt w:val="bullet"/>
      <w:lvlText w:val="•"/>
      <w:lvlJc w:val="left"/>
      <w:pPr>
        <w:ind w:left="1382" w:hanging="361"/>
      </w:pPr>
      <w:rPr>
        <w:rFonts w:hint="default"/>
      </w:rPr>
    </w:lvl>
    <w:lvl w:ilvl="2">
      <w:start w:val="1"/>
      <w:numFmt w:val="bullet"/>
      <w:lvlText w:val="•"/>
      <w:lvlJc w:val="left"/>
      <w:pPr>
        <w:ind w:left="2244" w:hanging="361"/>
      </w:pPr>
      <w:rPr>
        <w:rFonts w:hint="default"/>
      </w:rPr>
    </w:lvl>
    <w:lvl w:ilvl="3">
      <w:start w:val="1"/>
      <w:numFmt w:val="bullet"/>
      <w:lvlText w:val="•"/>
      <w:lvlJc w:val="left"/>
      <w:pPr>
        <w:ind w:left="3106" w:hanging="361"/>
      </w:pPr>
      <w:rPr>
        <w:rFonts w:hint="default"/>
      </w:rPr>
    </w:lvl>
    <w:lvl w:ilvl="4">
      <w:start w:val="1"/>
      <w:numFmt w:val="bullet"/>
      <w:lvlText w:val="•"/>
      <w:lvlJc w:val="left"/>
      <w:pPr>
        <w:ind w:left="3968" w:hanging="361"/>
      </w:pPr>
      <w:rPr>
        <w:rFonts w:hint="default"/>
      </w:rPr>
    </w:lvl>
    <w:lvl w:ilvl="5">
      <w:start w:val="1"/>
      <w:numFmt w:val="bullet"/>
      <w:lvlText w:val="•"/>
      <w:lvlJc w:val="left"/>
      <w:pPr>
        <w:ind w:left="4830" w:hanging="361"/>
      </w:pPr>
      <w:rPr>
        <w:rFonts w:hint="default"/>
      </w:rPr>
    </w:lvl>
    <w:lvl w:ilvl="6">
      <w:start w:val="1"/>
      <w:numFmt w:val="bullet"/>
      <w:lvlText w:val="•"/>
      <w:lvlJc w:val="left"/>
      <w:pPr>
        <w:ind w:left="5692" w:hanging="361"/>
      </w:pPr>
      <w:rPr>
        <w:rFonts w:hint="default"/>
      </w:rPr>
    </w:lvl>
    <w:lvl w:ilvl="7">
      <w:start w:val="1"/>
      <w:numFmt w:val="bullet"/>
      <w:lvlText w:val="•"/>
      <w:lvlJc w:val="left"/>
      <w:pPr>
        <w:ind w:left="6554" w:hanging="361"/>
      </w:pPr>
      <w:rPr>
        <w:rFonts w:hint="default"/>
      </w:rPr>
    </w:lvl>
    <w:lvl w:ilvl="8">
      <w:start w:val="1"/>
      <w:numFmt w:val="bullet"/>
      <w:lvlText w:val="•"/>
      <w:lvlJc w:val="left"/>
      <w:pPr>
        <w:ind w:left="7416" w:hanging="361"/>
      </w:pPr>
      <w:rPr>
        <w:rFonts w:hint="default"/>
      </w:rPr>
    </w:lvl>
  </w:abstractNum>
  <w:abstractNum w:abstractNumId="0">
    <w:multiLevelType w:val="hybridMultilevel"/>
    <w:lvl w:ilvl="0">
      <w:start w:val="1"/>
      <w:numFmt w:val="decimal"/>
      <w:lvlText w:val="%1."/>
      <w:lvlJc w:val="left"/>
      <w:pPr>
        <w:ind w:left="513" w:hanging="361"/>
        <w:jc w:val="left"/>
      </w:pPr>
      <w:rPr>
        <w:rFonts w:hint="default" w:ascii="Arial" w:hAnsi="Arial" w:eastAsia="Arial" w:cs="Arial"/>
        <w:b/>
        <w:bCs/>
        <w:w w:val="99"/>
        <w:sz w:val="24"/>
        <w:szCs w:val="24"/>
      </w:rPr>
    </w:lvl>
    <w:lvl w:ilvl="1">
      <w:start w:val="1"/>
      <w:numFmt w:val="decimal"/>
      <w:lvlText w:val="%1.%2"/>
      <w:lvlJc w:val="left"/>
      <w:pPr>
        <w:ind w:left="513" w:hanging="361"/>
        <w:jc w:val="left"/>
      </w:pPr>
      <w:rPr>
        <w:rFonts w:hint="default" w:ascii="Arial" w:hAnsi="Arial" w:eastAsia="Arial" w:cs="Arial"/>
        <w:b/>
        <w:bCs/>
        <w:w w:val="99"/>
        <w:sz w:val="24"/>
        <w:szCs w:val="24"/>
      </w:rPr>
    </w:lvl>
    <w:lvl w:ilvl="2">
      <w:start w:val="1"/>
      <w:numFmt w:val="bullet"/>
      <w:lvlText w:val="•"/>
      <w:lvlJc w:val="left"/>
      <w:pPr>
        <w:ind w:left="560" w:hanging="361"/>
      </w:pPr>
      <w:rPr>
        <w:rFonts w:hint="default"/>
      </w:rPr>
    </w:lvl>
    <w:lvl w:ilvl="3">
      <w:start w:val="1"/>
      <w:numFmt w:val="bullet"/>
      <w:lvlText w:val="•"/>
      <w:lvlJc w:val="left"/>
      <w:pPr>
        <w:ind w:left="1632" w:hanging="361"/>
      </w:pPr>
      <w:rPr>
        <w:rFonts w:hint="default"/>
      </w:rPr>
    </w:lvl>
    <w:lvl w:ilvl="4">
      <w:start w:val="1"/>
      <w:numFmt w:val="bullet"/>
      <w:lvlText w:val="•"/>
      <w:lvlJc w:val="left"/>
      <w:pPr>
        <w:ind w:left="2705" w:hanging="361"/>
      </w:pPr>
      <w:rPr>
        <w:rFonts w:hint="default"/>
      </w:rPr>
    </w:lvl>
    <w:lvl w:ilvl="5">
      <w:start w:val="1"/>
      <w:numFmt w:val="bullet"/>
      <w:lvlText w:val="•"/>
      <w:lvlJc w:val="left"/>
      <w:pPr>
        <w:ind w:left="3777" w:hanging="361"/>
      </w:pPr>
      <w:rPr>
        <w:rFonts w:hint="default"/>
      </w:rPr>
    </w:lvl>
    <w:lvl w:ilvl="6">
      <w:start w:val="1"/>
      <w:numFmt w:val="bullet"/>
      <w:lvlText w:val="•"/>
      <w:lvlJc w:val="left"/>
      <w:pPr>
        <w:ind w:left="4850" w:hanging="361"/>
      </w:pPr>
      <w:rPr>
        <w:rFonts w:hint="default"/>
      </w:rPr>
    </w:lvl>
    <w:lvl w:ilvl="7">
      <w:start w:val="1"/>
      <w:numFmt w:val="bullet"/>
      <w:lvlText w:val="•"/>
      <w:lvlJc w:val="left"/>
      <w:pPr>
        <w:ind w:left="5922" w:hanging="361"/>
      </w:pPr>
      <w:rPr>
        <w:rFonts w:hint="default"/>
      </w:rPr>
    </w:lvl>
    <w:lvl w:ilvl="8">
      <w:start w:val="1"/>
      <w:numFmt w:val="bullet"/>
      <w:lvlText w:val="•"/>
      <w:lvlJc w:val="left"/>
      <w:pPr>
        <w:ind w:left="6995" w:hanging="361"/>
      </w:pPr>
      <w:rPr>
        <w:rFonts w:hint="default"/>
      </w:rPr>
    </w:lvl>
  </w:abstract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9"/>
      <w:ind w:left="555" w:hanging="403"/>
      <w:jc w:val="both"/>
      <w:outlineLvl w:val="1"/>
    </w:pPr>
    <w:rPr>
      <w:rFonts w:ascii="Arial" w:hAnsi="Arial" w:eastAsia="Arial" w:cs="Arial"/>
      <w:b/>
      <w:bCs/>
      <w:sz w:val="24"/>
      <w:szCs w:val="24"/>
    </w:rPr>
  </w:style>
  <w:style w:styleId="ListParagraph" w:type="paragraph">
    <w:name w:val="List Paragraph"/>
    <w:basedOn w:val="Normal"/>
    <w:uiPriority w:val="1"/>
    <w:qFormat/>
    <w:pPr>
      <w:spacing w:before="129"/>
      <w:ind w:left="692" w:hanging="581"/>
    </w:pPr>
    <w:rPr>
      <w:rFonts w:ascii="Times New Roman" w:hAnsi="Times New Roman" w:eastAsia="Times New Roman" w:cs="Times New Roman"/>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footer" Target="footer5.xml"/><Relationship Id="rId12" Type="http://schemas.openxmlformats.org/officeDocument/2006/relationships/image" Target="media/image3.jpeg"/><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footer" Target="footer6.xml"/><Relationship Id="rId16" Type="http://schemas.openxmlformats.org/officeDocument/2006/relationships/footer" Target="footer7.xml"/><Relationship Id="rId17" Type="http://schemas.openxmlformats.org/officeDocument/2006/relationships/header" Target="header3.xml"/><Relationship Id="rId18" Type="http://schemas.openxmlformats.org/officeDocument/2006/relationships/header" Target="header4.xml"/><Relationship Id="rId19" Type="http://schemas.openxmlformats.org/officeDocument/2006/relationships/image" Target="media/image6.jpeg"/><Relationship Id="rId20" Type="http://schemas.openxmlformats.org/officeDocument/2006/relationships/hyperlink" Target="mailto:jsmartinezc@uaemex.mx" TargetMode="External"/><Relationship Id="rId21" Type="http://schemas.openxmlformats.org/officeDocument/2006/relationships/footer" Target="footer8.xml"/><Relationship Id="rId22" Type="http://schemas.openxmlformats.org/officeDocument/2006/relationships/footer" Target="footer9.xml"/><Relationship Id="rId23" Type="http://schemas.openxmlformats.org/officeDocument/2006/relationships/footer" Target="footer10.xml"/><Relationship Id="rId24" Type="http://schemas.openxmlformats.org/officeDocument/2006/relationships/footer" Target="footer11.xml"/><Relationship Id="rId25" Type="http://schemas.openxmlformats.org/officeDocument/2006/relationships/hyperlink" Target="http://www.ncbi.nlm.nih.gov/pubmed/?term=PNAS%2B102%2C%2B379-384" TargetMode="External"/><Relationship Id="rId26" Type="http://schemas.openxmlformats.org/officeDocument/2006/relationships/image" Target="media/image7.jpeg"/><Relationship Id="rId27" Type="http://schemas.openxmlformats.org/officeDocument/2006/relationships/image" Target="media/image8.jpeg"/><Relationship Id="rId28" Type="http://schemas.openxmlformats.org/officeDocument/2006/relationships/header" Target="header5.xml"/><Relationship Id="rId29" Type="http://schemas.openxmlformats.org/officeDocument/2006/relationships/header" Target="header6.xml"/><Relationship Id="rId30" Type="http://schemas.openxmlformats.org/officeDocument/2006/relationships/footer" Target="footer12.xml"/><Relationship Id="rId31" Type="http://schemas.openxmlformats.org/officeDocument/2006/relationships/footer" Target="footer13.xml"/><Relationship Id="rId32" Type="http://schemas.openxmlformats.org/officeDocument/2006/relationships/image" Target="media/image9.png"/><Relationship Id="rId33" Type="http://schemas.openxmlformats.org/officeDocument/2006/relationships/image" Target="media/image10.png"/><Relationship Id="rId34" Type="http://schemas.openxmlformats.org/officeDocument/2006/relationships/image" Target="media/image11.jpeg"/><Relationship Id="rId35" Type="http://schemas.openxmlformats.org/officeDocument/2006/relationships/image" Target="media/image12.jpeg"/><Relationship Id="rId36" Type="http://schemas.openxmlformats.org/officeDocument/2006/relationships/image" Target="media/image13.png"/><Relationship Id="rId37" Type="http://schemas.openxmlformats.org/officeDocument/2006/relationships/image" Target="media/image14.png"/><Relationship Id="rId38" Type="http://schemas.openxmlformats.org/officeDocument/2006/relationships/image" Target="media/image15.png"/><Relationship Id="rId39" Type="http://schemas.openxmlformats.org/officeDocument/2006/relationships/image" Target="media/image16.png"/><Relationship Id="rId40" Type="http://schemas.openxmlformats.org/officeDocument/2006/relationships/image" Target="media/image17.png"/><Relationship Id="rId41" Type="http://schemas.openxmlformats.org/officeDocument/2006/relationships/footer" Target="footer14.xml"/><Relationship Id="rId42" Type="http://schemas.openxmlformats.org/officeDocument/2006/relationships/footer" Target="footer15.xml"/><Relationship Id="rId43" Type="http://schemas.openxmlformats.org/officeDocument/2006/relationships/footer" Target="footer16.xml"/><Relationship Id="rId44" Type="http://schemas.openxmlformats.org/officeDocument/2006/relationships/footer" Target="footer17.xml"/><Relationship Id="rId45" Type="http://schemas.openxmlformats.org/officeDocument/2006/relationships/image" Target="media/image18.png"/><Relationship Id="rId46" Type="http://schemas.openxmlformats.org/officeDocument/2006/relationships/image" Target="media/image19.png"/><Relationship Id="rId47" Type="http://schemas.openxmlformats.org/officeDocument/2006/relationships/image" Target="media/image20.png"/><Relationship Id="rId48" Type="http://schemas.openxmlformats.org/officeDocument/2006/relationships/image" Target="media/image21.png"/><Relationship Id="rId49" Type="http://schemas.openxmlformats.org/officeDocument/2006/relationships/image" Target="media/image22.png"/><Relationship Id="rId50" Type="http://schemas.openxmlformats.org/officeDocument/2006/relationships/image" Target="media/image23.png"/><Relationship Id="rId51" Type="http://schemas.openxmlformats.org/officeDocument/2006/relationships/image" Target="media/image24.png"/><Relationship Id="rId52"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10.xml.rels><?xml version="1.0" encoding="UTF-8" standalone="yes"?>
<Relationships xmlns="http://schemas.openxmlformats.org/package/2006/relationships"><Relationship Id="rId1" Type="http://schemas.openxmlformats.org/officeDocument/2006/relationships/image" Target="media/image2.png"/></Relationships>

</file>

<file path=word/_rels/footer11.xml.rels><?xml version="1.0" encoding="UTF-8" standalone="yes"?>
<Relationships xmlns="http://schemas.openxmlformats.org/package/2006/relationships"><Relationship Id="rId1" Type="http://schemas.openxmlformats.org/officeDocument/2006/relationships/image" Target="media/image2.png"/></Relationships>

</file>

<file path=word/_rels/footer12.xml.rels><?xml version="1.0" encoding="UTF-8" standalone="yes"?>
<Relationships xmlns="http://schemas.openxmlformats.org/package/2006/relationships"><Relationship Id="rId1" Type="http://schemas.openxmlformats.org/officeDocument/2006/relationships/image" Target="media/image2.png"/></Relationships>

</file>

<file path=word/_rels/footer13.xml.rels><?xml version="1.0" encoding="UTF-8" standalone="yes"?>
<Relationships xmlns="http://schemas.openxmlformats.org/package/2006/relationships"><Relationship Id="rId1" Type="http://schemas.openxmlformats.org/officeDocument/2006/relationships/image" Target="media/image2.png"/></Relationships>

</file>

<file path=word/_rels/footer14.xml.rels><?xml version="1.0" encoding="UTF-8" standalone="yes"?>
<Relationships xmlns="http://schemas.openxmlformats.org/package/2006/relationships"><Relationship Id="rId1" Type="http://schemas.openxmlformats.org/officeDocument/2006/relationships/image" Target="media/image2.png"/></Relationships>

</file>

<file path=word/_rels/footer15.xml.rels><?xml version="1.0" encoding="UTF-8" standalone="yes"?>
<Relationships xmlns="http://schemas.openxmlformats.org/package/2006/relationships"><Relationship Id="rId1" Type="http://schemas.openxmlformats.org/officeDocument/2006/relationships/image" Target="media/image2.png"/></Relationships>

</file>

<file path=word/_rels/footer16.xml.rels><?xml version="1.0" encoding="UTF-8" standalone="yes"?>
<Relationships xmlns="http://schemas.openxmlformats.org/package/2006/relationships"><Relationship Id="rId1" Type="http://schemas.openxmlformats.org/officeDocument/2006/relationships/image" Target="media/image2.png"/></Relationships>

</file>

<file path=word/_rels/footer17.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1" Type="http://schemas.openxmlformats.org/officeDocument/2006/relationships/image" Target="media/image2.png"/></Relationships>

</file>

<file path=word/_rels/footer5.xml.rels><?xml version="1.0" encoding="UTF-8" standalone="yes"?>
<Relationships xmlns="http://schemas.openxmlformats.org/package/2006/relationships"><Relationship Id="rId1" Type="http://schemas.openxmlformats.org/officeDocument/2006/relationships/image" Target="media/image2.png"/></Relationships>

</file>

<file path=word/_rels/footer6.xml.rels><?xml version="1.0" encoding="UTF-8" standalone="yes"?>
<Relationships xmlns="http://schemas.openxmlformats.org/package/2006/relationships"><Relationship Id="rId1" Type="http://schemas.openxmlformats.org/officeDocument/2006/relationships/image" Target="media/image2.png"/></Relationships>

</file>

<file path=word/_rels/footer7.xml.rels><?xml version="1.0" encoding="UTF-8" standalone="yes"?>
<Relationships xmlns="http://schemas.openxmlformats.org/package/2006/relationships"><Relationship Id="rId1" Type="http://schemas.openxmlformats.org/officeDocument/2006/relationships/image" Target="media/image2.png"/></Relationships>

</file>

<file path=word/_rels/footer8.xml.rels><?xml version="1.0" encoding="UTF-8" standalone="yes"?>
<Relationships xmlns="http://schemas.openxmlformats.org/package/2006/relationships"><Relationship Id="rId1" Type="http://schemas.openxmlformats.org/officeDocument/2006/relationships/image" Target="media/image2.png"/></Relationships>

</file>

<file path=word/_rels/footer9.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GABRIELMTZ</dc:creator>
  <dcterms:created xsi:type="dcterms:W3CDTF">2017-05-18T17:23:15Z</dcterms:created>
  <dcterms:modified xsi:type="dcterms:W3CDTF">2017-05-18T17:23:15Z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2014-07-16T00:00:00Z</vt:filetime>
  </property>
  <property fmtid="{D5CDD505-2E9C-101B-9397-08002B2CF9AE}" pid="3" name="Creator">
    <vt:lpwstr>Microsoft® Word 2010</vt:lpwstr>
  </property>
  <property fmtid="{D5CDD505-2E9C-101B-9397-08002B2CF9AE}" pid="4" name="LastSaved">
    <vt:filetime>2017-05-18T00:00:00Z</vt:filetime>
  </property>
</Properties>
</file>