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rFonts w:ascii="Times New Roman"/>
          <w:sz w:val="25"/>
        </w:rPr>
      </w:pPr>
    </w:p>
    <w:p>
      <w:pPr>
        <w:pStyle w:val="BodyText"/>
        <w:spacing w:before="70"/>
        <w:ind w:left="2142" w:right="90"/>
        <w:jc w:val="center"/>
      </w:pPr>
      <w:r>
        <w:rPr/>
        <w:drawing>
          <wp:anchor distT="0" distB="0" distL="0" distR="0" allowOverlap="1" layoutInCell="1" locked="0" behindDoc="0" simplePos="0" relativeHeight="0">
            <wp:simplePos x="0" y="0"/>
            <wp:positionH relativeFrom="page">
              <wp:posOffset>823849</wp:posOffset>
            </wp:positionH>
            <wp:positionV relativeFrom="paragraph">
              <wp:posOffset>-104240</wp:posOffset>
            </wp:positionV>
            <wp:extent cx="1079074" cy="93495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79074" cy="934951"/>
                    </a:xfrm>
                    <a:prstGeom prst="rect">
                      <a:avLst/>
                    </a:prstGeom>
                  </pic:spPr>
                </pic:pic>
              </a:graphicData>
            </a:graphic>
          </wp:anchor>
        </w:drawing>
      </w:r>
      <w:r>
        <w:rPr/>
        <w:t>UNIVERSIDAD AUTÓNOMA DEL ESTADO DE MÉXICO</w:t>
      </w:r>
    </w:p>
    <w:p>
      <w:pPr>
        <w:pStyle w:val="BodyText"/>
        <w:spacing w:before="10"/>
        <w:rPr>
          <w:sz w:val="29"/>
        </w:rPr>
      </w:pPr>
    </w:p>
    <w:p>
      <w:pPr>
        <w:pStyle w:val="BodyText"/>
        <w:spacing w:line="360" w:lineRule="auto"/>
        <w:ind w:left="2148" w:right="90"/>
        <w:jc w:val="center"/>
      </w:pPr>
      <w:r>
        <w:rPr/>
        <w:t>PROGRAMA MAESTRÍA Y DOCTORADO EN CIENCIAS AGROPECUARIAS Y RECURSOS NATURALES</w:t>
      </w:r>
    </w:p>
    <w:p>
      <w:pPr>
        <w:pStyle w:val="BodyText"/>
      </w:pPr>
    </w:p>
    <w:p>
      <w:pPr>
        <w:pStyle w:val="BodyText"/>
      </w:pPr>
    </w:p>
    <w:p>
      <w:pPr>
        <w:pStyle w:val="BodyText"/>
      </w:pPr>
    </w:p>
    <w:p>
      <w:pPr>
        <w:pStyle w:val="BodyText"/>
      </w:pPr>
    </w:p>
    <w:p>
      <w:pPr>
        <w:pStyle w:val="BodyText"/>
        <w:spacing w:line="360" w:lineRule="auto" w:before="142"/>
        <w:ind w:left="2344" w:right="287" w:hanging="2"/>
        <w:jc w:val="center"/>
      </w:pPr>
      <w:r>
        <w:rPr/>
        <w:t>DETERMINACIÓN DE FACTORES DE MIGRACIÓN INTERNACIONAL: ANÁLISIS EN LOCALIDADES DEL SUR DEL ESTADO DE MÉXICO</w:t>
      </w:r>
    </w:p>
    <w:p>
      <w:pPr>
        <w:pStyle w:val="BodyText"/>
      </w:pPr>
    </w:p>
    <w:p>
      <w:pPr>
        <w:spacing w:before="145"/>
        <w:ind w:left="2148" w:right="90" w:firstLine="0"/>
        <w:jc w:val="center"/>
        <w:rPr>
          <w:b/>
          <w:sz w:val="48"/>
        </w:rPr>
      </w:pPr>
      <w:r>
        <w:rPr>
          <w:b/>
          <w:sz w:val="48"/>
        </w:rPr>
        <w:t>TESIS</w:t>
      </w:r>
    </w:p>
    <w:p>
      <w:pPr>
        <w:pStyle w:val="BodyText"/>
        <w:rPr>
          <w:b/>
          <w:sz w:val="48"/>
        </w:rPr>
      </w:pPr>
    </w:p>
    <w:p>
      <w:pPr>
        <w:pStyle w:val="BodyText"/>
        <w:spacing w:before="3"/>
        <w:rPr>
          <w:b/>
          <w:sz w:val="46"/>
        </w:rPr>
      </w:pPr>
    </w:p>
    <w:p>
      <w:pPr>
        <w:pStyle w:val="BodyText"/>
        <w:spacing w:line="535" w:lineRule="auto" w:before="1"/>
        <w:ind w:left="2594" w:right="537" w:hanging="5"/>
        <w:jc w:val="center"/>
      </w:pPr>
      <w:r>
        <w:rPr/>
        <w:t>QUE PARA OBTENER EL GRADO DE MAESTRA EN CIENCIAS AGROPECUARIAS Y RECURSOS</w:t>
      </w:r>
      <w:r>
        <w:rPr>
          <w:spacing w:val="-19"/>
        </w:rPr>
        <w:t> </w:t>
      </w:r>
      <w:r>
        <w:rPr/>
        <w:t>NATURALES</w:t>
      </w:r>
    </w:p>
    <w:p>
      <w:pPr>
        <w:pStyle w:val="BodyText"/>
      </w:pPr>
    </w:p>
    <w:p>
      <w:pPr>
        <w:pStyle w:val="BodyText"/>
        <w:spacing w:before="2"/>
        <w:rPr>
          <w:sz w:val="30"/>
        </w:rPr>
      </w:pPr>
    </w:p>
    <w:p>
      <w:pPr>
        <w:pStyle w:val="BodyText"/>
        <w:ind w:left="2148" w:right="90"/>
        <w:jc w:val="center"/>
      </w:pPr>
      <w:r>
        <w:rPr/>
        <w:t>PRESENTA</w:t>
      </w:r>
    </w:p>
    <w:p>
      <w:pPr>
        <w:pStyle w:val="BodyText"/>
        <w:spacing w:before="4"/>
        <w:rPr>
          <w:sz w:val="29"/>
        </w:rPr>
      </w:pPr>
    </w:p>
    <w:p>
      <w:pPr>
        <w:pStyle w:val="BodyText"/>
        <w:spacing w:before="1"/>
        <w:ind w:left="3238"/>
      </w:pPr>
      <w:r>
        <w:rPr/>
        <w:t>L.R.E.I. MARÍA GUADALUPE ACOSTA MILLÁN</w:t>
      </w:r>
    </w:p>
    <w:p>
      <w:pPr>
        <w:pStyle w:val="BodyText"/>
      </w:pPr>
    </w:p>
    <w:p>
      <w:pPr>
        <w:pStyle w:val="BodyText"/>
      </w:pPr>
    </w:p>
    <w:p>
      <w:pPr>
        <w:pStyle w:val="BodyText"/>
      </w:pPr>
    </w:p>
    <w:p>
      <w:pPr>
        <w:pStyle w:val="BodyText"/>
      </w:pPr>
    </w:p>
    <w:p>
      <w:pPr>
        <w:pStyle w:val="BodyText"/>
      </w:pPr>
    </w:p>
    <w:p>
      <w:pPr>
        <w:pStyle w:val="BodyText"/>
        <w:spacing w:before="183"/>
        <w:ind w:left="2153" w:right="90"/>
        <w:jc w:val="center"/>
      </w:pPr>
      <w:r>
        <w:rPr/>
        <w:t>El Cerrillo Piedras Blancas, Toluca, Estado de México, julio de 2014.</w:t>
      </w:r>
    </w:p>
    <w:p>
      <w:pPr>
        <w:spacing w:after="0"/>
        <w:jc w:val="center"/>
        <w:sectPr>
          <w:footerReference w:type="default" r:id="rId5"/>
          <w:type w:val="continuous"/>
          <w:pgSz w:w="12240" w:h="15840"/>
          <w:pgMar w:footer="1382" w:top="1500" w:bottom="1580" w:left="1180" w:right="1480"/>
          <w:pgNumType w:start="1"/>
        </w:sectPr>
      </w:pPr>
    </w:p>
    <w:p>
      <w:pPr>
        <w:pStyle w:val="BodyText"/>
        <w:spacing w:before="6"/>
        <w:rPr>
          <w:sz w:val="25"/>
        </w:rPr>
      </w:pPr>
    </w:p>
    <w:p>
      <w:pPr>
        <w:pStyle w:val="BodyText"/>
        <w:spacing w:before="70"/>
        <w:ind w:left="1882" w:right="90"/>
        <w:jc w:val="center"/>
      </w:pPr>
      <w:r>
        <w:rPr/>
        <w:drawing>
          <wp:anchor distT="0" distB="0" distL="0" distR="0" allowOverlap="1" layoutInCell="1" locked="0" behindDoc="0" simplePos="0" relativeHeight="1048">
            <wp:simplePos x="0" y="0"/>
            <wp:positionH relativeFrom="page">
              <wp:posOffset>985774</wp:posOffset>
            </wp:positionH>
            <wp:positionV relativeFrom="paragraph">
              <wp:posOffset>-37538</wp:posOffset>
            </wp:positionV>
            <wp:extent cx="1104971" cy="957723"/>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104971" cy="957723"/>
                    </a:xfrm>
                    <a:prstGeom prst="rect">
                      <a:avLst/>
                    </a:prstGeom>
                  </pic:spPr>
                </pic:pic>
              </a:graphicData>
            </a:graphic>
          </wp:anchor>
        </w:drawing>
      </w:r>
      <w:r>
        <w:rPr/>
        <w:t>UNIVERSIDAD AUTÓNOMA DEL ESTADO DE MÉXICO</w:t>
      </w:r>
    </w:p>
    <w:p>
      <w:pPr>
        <w:pStyle w:val="BodyText"/>
        <w:spacing w:before="10"/>
        <w:rPr>
          <w:sz w:val="29"/>
        </w:rPr>
      </w:pPr>
    </w:p>
    <w:p>
      <w:pPr>
        <w:pStyle w:val="BodyText"/>
        <w:spacing w:line="360" w:lineRule="auto"/>
        <w:ind w:left="1889" w:right="90"/>
        <w:jc w:val="center"/>
      </w:pPr>
      <w:r>
        <w:rPr/>
        <w:t>PROGRAMA MAESTRÍA Y DOCTORADO EN CIENCIAS AGROPECUARIAS Y RECURSOS NATURALES</w:t>
      </w:r>
    </w:p>
    <w:p>
      <w:pPr>
        <w:pStyle w:val="BodyText"/>
      </w:pPr>
    </w:p>
    <w:p>
      <w:pPr>
        <w:pStyle w:val="BodyText"/>
        <w:spacing w:line="362" w:lineRule="auto" w:before="139"/>
        <w:ind w:left="2050" w:right="253" w:hanging="2"/>
        <w:jc w:val="center"/>
      </w:pPr>
      <w:r>
        <w:rPr/>
        <w:t>DETERMINACIÓN DE FACTORES DE MIGRACIÓN INTERNACIONAL: ANÁLISIS EN LOCALIDADES DEL SUR DEL ESTADO DE MÉXICO</w:t>
      </w:r>
    </w:p>
    <w:p>
      <w:pPr>
        <w:pStyle w:val="BodyText"/>
      </w:pPr>
    </w:p>
    <w:p>
      <w:pPr>
        <w:pStyle w:val="BodyText"/>
      </w:pPr>
    </w:p>
    <w:p>
      <w:pPr>
        <w:pStyle w:val="BodyText"/>
        <w:spacing w:before="8"/>
        <w:rPr>
          <w:sz w:val="29"/>
        </w:rPr>
      </w:pPr>
    </w:p>
    <w:p>
      <w:pPr>
        <w:spacing w:before="0"/>
        <w:ind w:left="1888" w:right="90" w:firstLine="0"/>
        <w:jc w:val="center"/>
        <w:rPr>
          <w:b/>
          <w:sz w:val="48"/>
        </w:rPr>
      </w:pPr>
      <w:r>
        <w:rPr>
          <w:b/>
          <w:sz w:val="48"/>
        </w:rPr>
        <w:t>TESIS</w:t>
      </w:r>
    </w:p>
    <w:p>
      <w:pPr>
        <w:pStyle w:val="BodyText"/>
        <w:spacing w:before="10"/>
        <w:rPr>
          <w:b/>
          <w:sz w:val="40"/>
        </w:rPr>
      </w:pPr>
    </w:p>
    <w:p>
      <w:pPr>
        <w:pStyle w:val="BodyText"/>
        <w:spacing w:line="535" w:lineRule="auto"/>
        <w:ind w:left="2334" w:right="537" w:hanging="7"/>
        <w:jc w:val="center"/>
      </w:pPr>
      <w:r>
        <w:rPr/>
        <w:t>QUE PARA OBTENER EL GRADO DE MAESTRA EN CIENCIAS AGROPECUARIAS Y RECURSOS</w:t>
      </w:r>
      <w:r>
        <w:rPr>
          <w:spacing w:val="-19"/>
        </w:rPr>
        <w:t> </w:t>
      </w:r>
      <w:r>
        <w:rPr/>
        <w:t>NATURALES</w:t>
      </w:r>
    </w:p>
    <w:p>
      <w:pPr>
        <w:pStyle w:val="BodyText"/>
      </w:pPr>
    </w:p>
    <w:p>
      <w:pPr>
        <w:pStyle w:val="BodyText"/>
        <w:spacing w:before="8"/>
        <w:rPr>
          <w:sz w:val="29"/>
        </w:rPr>
      </w:pPr>
    </w:p>
    <w:p>
      <w:pPr>
        <w:pStyle w:val="BodyText"/>
        <w:ind w:left="1888" w:right="90"/>
        <w:jc w:val="center"/>
      </w:pPr>
      <w:r>
        <w:rPr/>
        <w:t>PRESENTA</w:t>
      </w:r>
    </w:p>
    <w:p>
      <w:pPr>
        <w:pStyle w:val="BodyText"/>
        <w:spacing w:before="5"/>
        <w:rPr>
          <w:sz w:val="29"/>
        </w:rPr>
      </w:pPr>
    </w:p>
    <w:p>
      <w:pPr>
        <w:pStyle w:val="BodyText"/>
        <w:ind w:left="2978" w:right="269"/>
      </w:pPr>
      <w:r>
        <w:rPr/>
        <w:t>L.R.E.I. MARÍA GUADALUPE ACOSTA MILLÁN</w:t>
      </w:r>
    </w:p>
    <w:p>
      <w:pPr>
        <w:pStyle w:val="BodyText"/>
      </w:pPr>
    </w:p>
    <w:p>
      <w:pPr>
        <w:pStyle w:val="BodyText"/>
      </w:pPr>
    </w:p>
    <w:p>
      <w:pPr>
        <w:pStyle w:val="BodyText"/>
        <w:spacing w:before="9"/>
        <w:rPr>
          <w:sz w:val="34"/>
        </w:rPr>
      </w:pPr>
    </w:p>
    <w:p>
      <w:pPr>
        <w:pStyle w:val="BodyText"/>
        <w:spacing w:before="1"/>
        <w:ind w:left="1889" w:right="90"/>
        <w:jc w:val="center"/>
      </w:pPr>
      <w:r>
        <w:rPr/>
        <w:t>COMITÉ TUTORIAL</w:t>
      </w:r>
    </w:p>
    <w:p>
      <w:pPr>
        <w:pStyle w:val="BodyText"/>
        <w:spacing w:before="5"/>
        <w:rPr>
          <w:sz w:val="29"/>
        </w:rPr>
      </w:pPr>
    </w:p>
    <w:p>
      <w:pPr>
        <w:pStyle w:val="BodyText"/>
        <w:spacing w:line="535" w:lineRule="auto"/>
        <w:ind w:left="3104" w:right="1310"/>
        <w:jc w:val="center"/>
      </w:pPr>
      <w:r>
        <w:rPr/>
        <w:t>DR. JAVIER JESÚS RAMÍREZ HERNÁNDEZ DR. TIRZO CASTAÑEDA MARTÍNEZ</w:t>
      </w:r>
    </w:p>
    <w:p>
      <w:pPr>
        <w:pStyle w:val="BodyText"/>
        <w:spacing w:before="9"/>
        <w:ind w:left="1882" w:right="90"/>
        <w:jc w:val="center"/>
      </w:pPr>
      <w:r>
        <w:rPr/>
        <w:t>DR. COSME RUBÉN NIERTO HERNÁNDEZ</w:t>
      </w:r>
    </w:p>
    <w:p>
      <w:pPr>
        <w:pStyle w:val="BodyText"/>
      </w:pPr>
    </w:p>
    <w:p>
      <w:pPr>
        <w:pStyle w:val="BodyText"/>
      </w:pPr>
    </w:p>
    <w:p>
      <w:pPr>
        <w:pStyle w:val="BodyText"/>
        <w:spacing w:before="9"/>
        <w:rPr>
          <w:sz w:val="34"/>
        </w:rPr>
      </w:pPr>
    </w:p>
    <w:p>
      <w:pPr>
        <w:pStyle w:val="BodyText"/>
        <w:spacing w:before="1"/>
        <w:ind w:left="1893" w:right="90"/>
        <w:jc w:val="center"/>
      </w:pPr>
      <w:r>
        <w:rPr/>
        <w:t>El Cerrillo Piedras Blancas, Toluca, Estado de México, julio de 2014.</w:t>
      </w:r>
    </w:p>
    <w:p>
      <w:pPr>
        <w:spacing w:after="0"/>
        <w:jc w:val="center"/>
        <w:sectPr>
          <w:pgSz w:w="12240" w:h="15840"/>
          <w:pgMar w:header="0" w:footer="1382" w:top="1500" w:bottom="1580" w:left="1440" w:right="1480"/>
        </w:sectPr>
      </w:pPr>
    </w:p>
    <w:p>
      <w:pPr>
        <w:pStyle w:val="BodyText"/>
        <w:spacing w:before="1"/>
        <w:rPr>
          <w:sz w:val="25"/>
        </w:rPr>
      </w:pPr>
    </w:p>
    <w:p>
      <w:pPr>
        <w:pStyle w:val="Heading2"/>
        <w:ind w:left="3357" w:right="3321"/>
        <w:jc w:val="center"/>
      </w:pPr>
      <w:bookmarkStart w:name="_bookmark0" w:id="1"/>
      <w:bookmarkEnd w:id="1"/>
      <w:r>
        <w:rPr>
          <w:b w:val="0"/>
        </w:rPr>
      </w:r>
      <w:r>
        <w:rPr/>
        <w:t>RESUMEN</w:t>
      </w:r>
    </w:p>
    <w:p>
      <w:pPr>
        <w:pStyle w:val="BodyText"/>
        <w:rPr>
          <w:b/>
        </w:rPr>
      </w:pPr>
    </w:p>
    <w:p>
      <w:pPr>
        <w:pStyle w:val="BodyText"/>
        <w:spacing w:before="9"/>
        <w:rPr>
          <w:b/>
          <w:sz w:val="33"/>
        </w:rPr>
      </w:pPr>
    </w:p>
    <w:p>
      <w:pPr>
        <w:pStyle w:val="BodyText"/>
        <w:spacing w:line="360" w:lineRule="auto" w:before="1"/>
        <w:ind w:left="152" w:right="101"/>
        <w:jc w:val="both"/>
      </w:pPr>
      <w:r>
        <w:rPr/>
        <w:t>Los flujos migratorios a nivel mundial se han incrementado, las causas son diversas de acuerdo con las condiciones, económicas, sociales y políticas. </w:t>
      </w:r>
      <w:r>
        <w:rPr>
          <w:spacing w:val="-4"/>
        </w:rPr>
        <w:t>El </w:t>
      </w:r>
      <w:r>
        <w:rPr/>
        <w:t>Estado de México, a pesar de ser considerado la segunda economía </w:t>
      </w:r>
      <w:r>
        <w:rPr>
          <w:spacing w:val="-3"/>
        </w:rPr>
        <w:t>más  </w:t>
      </w:r>
      <w:r>
        <w:rPr/>
        <w:t>dinámica y productiva a nivel nacional, </w:t>
      </w:r>
      <w:r>
        <w:rPr>
          <w:spacing w:val="-3"/>
        </w:rPr>
        <w:t>se </w:t>
      </w:r>
      <w:r>
        <w:rPr/>
        <w:t>encuentra insertado dentro de la migración</w:t>
      </w:r>
      <w:r>
        <w:rPr>
          <w:spacing w:val="-5"/>
        </w:rPr>
        <w:t> </w:t>
      </w:r>
      <w:r>
        <w:rPr/>
        <w:t>internacional.</w:t>
      </w:r>
    </w:p>
    <w:p>
      <w:pPr>
        <w:pStyle w:val="BodyText"/>
        <w:spacing w:line="360" w:lineRule="auto" w:before="209"/>
        <w:ind w:left="152" w:right="101"/>
        <w:jc w:val="both"/>
      </w:pPr>
      <w:r>
        <w:rPr/>
        <w:t>A partir  de  los últimos  treinta años  México ha sido  expulsor de importantes  flujos de población migrante. En la actualidad, se estima que </w:t>
      </w:r>
      <w:r>
        <w:rPr>
          <w:spacing w:val="-3"/>
        </w:rPr>
        <w:t>más  </w:t>
      </w:r>
      <w:r>
        <w:rPr/>
        <w:t>del  10 por ciento de la población nacida en México reside en otros países y regiones del mundo, principalmente en Estados Unidos. El objetivo de este documento es mostrar la situación que presenta hoy en día la tendencia de la migración internacional en el Estado de México, mediante el análisis de la situación sociodemográfica de los migrantes a nivel local y el comportamiento del fenómeno migratorio en el sur del Estado de México dado un contexto de migración internacional a nivel país en referencia a la intensidad y dinámica del</w:t>
      </w:r>
      <w:r>
        <w:rPr>
          <w:spacing w:val="-39"/>
        </w:rPr>
        <w:t> </w:t>
      </w:r>
      <w:r>
        <w:rPr/>
        <w:t>fenómeno.</w:t>
      </w:r>
    </w:p>
    <w:p>
      <w:pPr>
        <w:pStyle w:val="BodyText"/>
        <w:spacing w:line="360" w:lineRule="auto" w:before="209"/>
        <w:ind w:left="152" w:right="100"/>
        <w:jc w:val="both"/>
      </w:pPr>
      <w:r>
        <w:rPr/>
        <w:t>La metodología utilizada en la investigación consistió en la utilización de la técnica de estadística Componentes Principales para identificar, agrupar y clasificar municipios del Estado de México que presenten mayor intensidad migratoria. Los resultados señalan que las comunidades </w:t>
      </w:r>
      <w:r>
        <w:rPr>
          <w:spacing w:val="-3"/>
        </w:rPr>
        <w:t>más </w:t>
      </w:r>
      <w:r>
        <w:rPr/>
        <w:t>expulsoras de migrantes del Estado de México no tienen un perfil único definido, entre las características que presentan son localidades con bajo índice  de marginación, la  mayoría  presenta un índice de desarrollo humano medio-alto y la migración internacional ha aumentado tanto en zonas urbanas como rurales. Los municipios que presentan mayor índice de desarrollo sociodemográfico son los </w:t>
      </w:r>
      <w:r>
        <w:rPr>
          <w:spacing w:val="-3"/>
        </w:rPr>
        <w:t>más </w:t>
      </w:r>
      <w:r>
        <w:rPr/>
        <w:t>propensos a</w:t>
      </w:r>
      <w:r>
        <w:rPr>
          <w:spacing w:val="-9"/>
        </w:rPr>
        <w:t> </w:t>
      </w:r>
      <w:r>
        <w:rPr/>
        <w:t>emigrar.</w:t>
      </w:r>
    </w:p>
    <w:p>
      <w:pPr>
        <w:pStyle w:val="BodyText"/>
        <w:spacing w:line="362" w:lineRule="auto" w:before="209"/>
        <w:ind w:left="152" w:right="102"/>
        <w:jc w:val="both"/>
      </w:pPr>
      <w:r>
        <w:rPr/>
        <w:t>Posteriormente se eligieron cuatro localidades de perfil rural que presentan altos índices  de  migración  del  municipio  de Tenancingo  donde  se aplicó  trabajo  de</w:t>
      </w:r>
    </w:p>
    <w:p>
      <w:pPr>
        <w:spacing w:after="0" w:line="362"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0"/>
        <w:jc w:val="both"/>
      </w:pPr>
      <w:r>
        <w:rPr/>
        <w:t>campo como principal herramienta de análisis por medio de encuestas semiestructuradas abordando temas como; perfil socioeconómico de los migrantes, causas de la migración, lugares destino, remesa y reemigración, dirigidas a la población objetivo que la constituyen los migrantes, dado que el objetivo de esta investigación es analizar causas y efectos </w:t>
      </w:r>
      <w:r>
        <w:rPr>
          <w:spacing w:val="-3"/>
        </w:rPr>
        <w:t>del </w:t>
      </w:r>
      <w:r>
        <w:rPr/>
        <w:t>fenómeno  migratorio internacional México-Estados Unidos en localidades expulsoras de migrantes del sur del Estado de</w:t>
      </w:r>
      <w:r>
        <w:rPr>
          <w:spacing w:val="-8"/>
        </w:rPr>
        <w:t> </w:t>
      </w:r>
      <w:r>
        <w:rPr/>
        <w:t>México.</w:t>
      </w:r>
    </w:p>
    <w:p>
      <w:pPr>
        <w:spacing w:after="0" w:line="360" w:lineRule="auto"/>
        <w:jc w:val="both"/>
        <w:sectPr>
          <w:pgSz w:w="12240" w:h="15840"/>
          <w:pgMar w:header="0" w:footer="1382" w:top="1500" w:bottom="1580" w:left="1720" w:right="1420"/>
        </w:sectPr>
      </w:pPr>
    </w:p>
    <w:p>
      <w:pPr>
        <w:pStyle w:val="BodyText"/>
        <w:spacing w:before="1"/>
        <w:rPr>
          <w:sz w:val="25"/>
        </w:rPr>
      </w:pPr>
    </w:p>
    <w:p>
      <w:pPr>
        <w:pStyle w:val="Heading2"/>
        <w:ind w:left="3365" w:right="3321"/>
        <w:jc w:val="center"/>
      </w:pPr>
      <w:bookmarkStart w:name="_bookmark1" w:id="2"/>
      <w:bookmarkEnd w:id="2"/>
      <w:r>
        <w:rPr>
          <w:b w:val="0"/>
        </w:rPr>
      </w:r>
      <w:r>
        <w:rPr/>
        <w:t>AGRADECIMIENTOS</w:t>
      </w:r>
    </w:p>
    <w:p>
      <w:pPr>
        <w:pStyle w:val="BodyText"/>
        <w:rPr>
          <w:b/>
        </w:rPr>
      </w:pPr>
    </w:p>
    <w:p>
      <w:pPr>
        <w:pStyle w:val="BodyText"/>
        <w:spacing w:before="9"/>
        <w:rPr>
          <w:b/>
          <w:sz w:val="33"/>
        </w:rPr>
      </w:pPr>
    </w:p>
    <w:p>
      <w:pPr>
        <w:pStyle w:val="BodyText"/>
        <w:spacing w:line="357" w:lineRule="auto" w:before="1"/>
        <w:ind w:left="152" w:right="104"/>
        <w:jc w:val="both"/>
      </w:pPr>
      <w:r>
        <w:rPr/>
        <w:t>A la Universidad Autónoma del Estado de México por abrirme las puertas para mi desarrollo profesional y al Concejo Nacional de Ciencia y Tecnología por su apoyo económico en la realización de mis estudios de maestría.</w:t>
      </w:r>
    </w:p>
    <w:p>
      <w:pPr>
        <w:pStyle w:val="BodyText"/>
        <w:spacing w:line="360" w:lineRule="auto" w:before="212"/>
        <w:ind w:left="152" w:right="105"/>
        <w:jc w:val="both"/>
      </w:pPr>
      <w:r>
        <w:rPr/>
        <w:t>A </w:t>
      </w:r>
      <w:r>
        <w:rPr>
          <w:spacing w:val="-4"/>
        </w:rPr>
        <w:t>mi </w:t>
      </w:r>
      <w:r>
        <w:rPr/>
        <w:t>tutor Dr. Javier Jesús Ramírez Hernández por su apoyo académico e impulso personal que </w:t>
      </w:r>
      <w:r>
        <w:rPr>
          <w:spacing w:val="-4"/>
        </w:rPr>
        <w:t>me </w:t>
      </w:r>
      <w:r>
        <w:rPr/>
        <w:t>brindo desde la primera aproximación, así mismo al comité tutorial que </w:t>
      </w:r>
      <w:r>
        <w:rPr>
          <w:spacing w:val="-4"/>
        </w:rPr>
        <w:t>me </w:t>
      </w:r>
      <w:r>
        <w:rPr/>
        <w:t>instruyeron sobre diversos aspectos durante el desarrollo de los estudios de</w:t>
      </w:r>
      <w:r>
        <w:rPr>
          <w:spacing w:val="-5"/>
        </w:rPr>
        <w:t> </w:t>
      </w:r>
      <w:r>
        <w:rPr/>
        <w:t>maestría.</w:t>
      </w:r>
    </w:p>
    <w:p>
      <w:pPr>
        <w:pStyle w:val="BodyText"/>
        <w:spacing w:line="355" w:lineRule="auto" w:before="209"/>
        <w:ind w:left="152" w:right="115"/>
        <w:jc w:val="both"/>
      </w:pPr>
      <w:r>
        <w:rPr/>
        <w:t>A todas las personas que durante estos dos años de estudio me concedieron su tiempo y conocimientos, manifiesto mi gratitud y aprecio.</w:t>
      </w:r>
    </w:p>
    <w:p>
      <w:pPr>
        <w:pStyle w:val="BodyText"/>
        <w:spacing w:line="355" w:lineRule="auto" w:before="214"/>
        <w:ind w:left="152" w:right="114"/>
        <w:jc w:val="both"/>
      </w:pPr>
      <w:r>
        <w:rPr/>
        <w:t>A mis amistades y familiares que me apoyaron en todo momento durante las realización de mis estudios principalmente a mi esposos Antonio.</w:t>
      </w:r>
    </w:p>
    <w:p>
      <w:pPr>
        <w:spacing w:after="0" w:line="355" w:lineRule="auto"/>
        <w:jc w:val="both"/>
        <w:sectPr>
          <w:pgSz w:w="12240" w:h="15840"/>
          <w:pgMar w:header="0" w:footer="1382" w:top="1500" w:bottom="1580" w:left="1720" w:right="1420"/>
        </w:sectPr>
      </w:pPr>
    </w:p>
    <w:p>
      <w:pPr>
        <w:pStyle w:val="BodyText"/>
        <w:spacing w:before="1"/>
        <w:rPr>
          <w:sz w:val="25"/>
        </w:rPr>
      </w:pPr>
    </w:p>
    <w:p>
      <w:pPr>
        <w:pStyle w:val="Heading2"/>
        <w:ind w:left="3363" w:right="3321"/>
        <w:jc w:val="center"/>
      </w:pPr>
      <w:r>
        <w:rPr/>
        <w:t>ÍNDICE</w:t>
      </w:r>
    </w:p>
    <w:p>
      <w:pPr>
        <w:spacing w:after="0"/>
        <w:jc w:val="center"/>
        <w:sectPr>
          <w:pgSz w:w="12240" w:h="15840"/>
          <w:pgMar w:header="0" w:footer="1382" w:top="1500" w:bottom="2144" w:left="1720" w:right="1420"/>
        </w:sectPr>
      </w:pPr>
    </w:p>
    <w:sdt>
      <w:sdtPr>
        <w:docPartObj>
          <w:docPartGallery w:val="Table of Contents"/>
          <w:docPartUnique/>
        </w:docPartObj>
      </w:sdtPr>
      <w:sdtEndPr/>
      <w:sdtContent>
        <w:p>
          <w:pPr>
            <w:pStyle w:val="TOC1"/>
            <w:tabs>
              <w:tab w:pos="8985" w:val="right" w:leader="dot"/>
            </w:tabs>
            <w:spacing w:before="56"/>
            <w:rPr>
              <w:rFonts w:ascii="Calibri"/>
            </w:rPr>
          </w:pPr>
          <w:hyperlink w:history="true" w:anchor="_bookmark0">
            <w:r>
              <w:rPr/>
              <w:t>RESUMEN</w:t>
            </w:r>
            <w:r>
              <w:rPr>
                <w:rFonts w:ascii="Calibri"/>
              </w:rPr>
              <w:tab/>
              <w:t>3</w:t>
            </w:r>
          </w:hyperlink>
        </w:p>
        <w:p>
          <w:pPr>
            <w:pStyle w:val="TOC1"/>
            <w:tabs>
              <w:tab w:pos="8985" w:val="right" w:leader="dot"/>
            </w:tabs>
            <w:spacing w:before="140"/>
            <w:rPr>
              <w:rFonts w:ascii="Calibri"/>
            </w:rPr>
          </w:pPr>
          <w:hyperlink w:history="true" w:anchor="_bookmark1">
            <w:r>
              <w:rPr/>
              <w:t>AGRADECIMIENTOS</w:t>
            </w:r>
            <w:r>
              <w:rPr>
                <w:rFonts w:ascii="Calibri"/>
              </w:rPr>
              <w:tab/>
              <w:t>5</w:t>
            </w:r>
          </w:hyperlink>
        </w:p>
        <w:p>
          <w:pPr>
            <w:pStyle w:val="TOC1"/>
            <w:tabs>
              <w:tab w:pos="8985" w:val="right" w:leader="dot"/>
            </w:tabs>
            <w:rPr>
              <w:rFonts w:ascii="Calibri" w:hAnsi="Calibri"/>
            </w:rPr>
          </w:pPr>
          <w:hyperlink w:history="true" w:anchor="_bookmark2">
            <w:r>
              <w:rPr/>
              <w:t>ÍNDICE</w:t>
            </w:r>
            <w:r>
              <w:rPr>
                <w:spacing w:val="1"/>
              </w:rPr>
              <w:t> </w:t>
            </w:r>
            <w:r>
              <w:rPr/>
              <w:t>DE</w:t>
            </w:r>
            <w:r>
              <w:rPr>
                <w:spacing w:val="1"/>
              </w:rPr>
              <w:t> </w:t>
            </w:r>
            <w:r>
              <w:rPr/>
              <w:t>TABLAS</w:t>
            </w:r>
            <w:r>
              <w:rPr>
                <w:rFonts w:ascii="Calibri" w:hAnsi="Calibri"/>
              </w:rPr>
              <w:tab/>
              <w:t>8</w:t>
            </w:r>
          </w:hyperlink>
        </w:p>
        <w:p>
          <w:pPr>
            <w:pStyle w:val="TOC1"/>
            <w:numPr>
              <w:ilvl w:val="0"/>
              <w:numId w:val="1"/>
            </w:numPr>
            <w:tabs>
              <w:tab w:pos="336" w:val="left" w:leader="none"/>
              <w:tab w:pos="8985" w:val="right" w:leader="dot"/>
            </w:tabs>
            <w:spacing w:line="240" w:lineRule="auto" w:before="139" w:after="0"/>
            <w:ind w:left="152" w:right="0" w:firstLine="0"/>
            <w:jc w:val="left"/>
            <w:rPr>
              <w:rFonts w:ascii="Calibri" w:hAnsi="Calibri"/>
            </w:rPr>
          </w:pPr>
          <w:hyperlink w:history="true" w:anchor="_bookmark3">
            <w:r>
              <w:rPr/>
              <w:t>INTRODUCCIÓN</w:t>
            </w:r>
            <w:r>
              <w:rPr>
                <w:rFonts w:ascii="Calibri" w:hAnsi="Calibri"/>
              </w:rPr>
              <w:tab/>
              <w:t>9</w:t>
            </w:r>
          </w:hyperlink>
        </w:p>
        <w:p>
          <w:pPr>
            <w:pStyle w:val="TOC1"/>
            <w:numPr>
              <w:ilvl w:val="0"/>
              <w:numId w:val="1"/>
            </w:numPr>
            <w:tabs>
              <w:tab w:pos="393" w:val="left" w:leader="none"/>
              <w:tab w:pos="8983" w:val="right" w:leader="dot"/>
            </w:tabs>
            <w:spacing w:line="240" w:lineRule="auto" w:before="144" w:after="0"/>
            <w:ind w:left="392" w:right="0" w:hanging="240"/>
            <w:jc w:val="left"/>
            <w:rPr>
              <w:rFonts w:ascii="Calibri"/>
            </w:rPr>
          </w:pPr>
          <w:hyperlink w:history="true" w:anchor="_bookmark4">
            <w:r>
              <w:rPr/>
              <w:t>PLANTEAMIENTO DEL</w:t>
            </w:r>
            <w:r>
              <w:rPr>
                <w:spacing w:val="-3"/>
              </w:rPr>
              <w:t> </w:t>
            </w:r>
            <w:r>
              <w:rPr/>
              <w:t>PROBLEMA</w:t>
            </w:r>
            <w:r>
              <w:rPr>
                <w:rFonts w:ascii="Calibri"/>
              </w:rPr>
              <w:tab/>
              <w:t>11</w:t>
            </w:r>
          </w:hyperlink>
        </w:p>
        <w:p>
          <w:pPr>
            <w:pStyle w:val="TOC1"/>
            <w:numPr>
              <w:ilvl w:val="0"/>
              <w:numId w:val="1"/>
            </w:numPr>
            <w:tabs>
              <w:tab w:pos="455" w:val="left" w:leader="none"/>
              <w:tab w:pos="8983" w:val="right" w:leader="dot"/>
            </w:tabs>
            <w:spacing w:line="240" w:lineRule="auto" w:before="140" w:after="0"/>
            <w:ind w:left="455" w:right="0" w:hanging="303"/>
            <w:jc w:val="left"/>
            <w:rPr>
              <w:rFonts w:ascii="Calibri" w:hAnsi="Calibri"/>
            </w:rPr>
          </w:pPr>
          <w:hyperlink w:history="true" w:anchor="_bookmark5">
            <w:r>
              <w:rPr/>
              <w:t>JUSTIFICACIÓN</w:t>
            </w:r>
            <w:r>
              <w:rPr>
                <w:rFonts w:ascii="Calibri" w:hAnsi="Calibri"/>
              </w:rPr>
              <w:tab/>
              <w:t>13</w:t>
            </w:r>
          </w:hyperlink>
        </w:p>
        <w:p>
          <w:pPr>
            <w:pStyle w:val="TOC1"/>
            <w:numPr>
              <w:ilvl w:val="0"/>
              <w:numId w:val="1"/>
            </w:numPr>
            <w:tabs>
              <w:tab w:pos="484" w:val="left" w:leader="none"/>
              <w:tab w:pos="8983" w:val="right" w:leader="dot"/>
            </w:tabs>
            <w:spacing w:line="240" w:lineRule="auto" w:before="139" w:after="0"/>
            <w:ind w:left="483" w:right="0" w:hanging="331"/>
            <w:jc w:val="left"/>
            <w:rPr>
              <w:rFonts w:ascii="Calibri"/>
            </w:rPr>
          </w:pPr>
          <w:hyperlink w:history="true" w:anchor="_bookmark6">
            <w:r>
              <w:rPr/>
              <w:t>OBJETIVOS</w:t>
            </w:r>
            <w:r>
              <w:rPr>
                <w:rFonts w:ascii="Calibri"/>
              </w:rPr>
              <w:tab/>
              <w:t>15</w:t>
            </w:r>
          </w:hyperlink>
        </w:p>
        <w:p>
          <w:pPr>
            <w:pStyle w:val="TOC1"/>
            <w:numPr>
              <w:ilvl w:val="0"/>
              <w:numId w:val="1"/>
            </w:numPr>
            <w:tabs>
              <w:tab w:pos="427" w:val="left" w:leader="none"/>
              <w:tab w:pos="8983" w:val="right" w:leader="dot"/>
            </w:tabs>
            <w:spacing w:line="240" w:lineRule="auto" w:before="139" w:after="0"/>
            <w:ind w:left="426" w:right="0" w:hanging="274"/>
            <w:jc w:val="left"/>
            <w:rPr>
              <w:rFonts w:ascii="Calibri" w:hAnsi="Calibri"/>
            </w:rPr>
          </w:pPr>
          <w:hyperlink w:history="true" w:anchor="_bookmark7">
            <w:r>
              <w:rPr/>
              <w:t>HIPÓTESIS</w:t>
            </w:r>
            <w:r>
              <w:rPr>
                <w:rFonts w:ascii="Calibri" w:hAnsi="Calibri"/>
              </w:rPr>
              <w:tab/>
              <w:t>16</w:t>
            </w:r>
          </w:hyperlink>
        </w:p>
        <w:p>
          <w:pPr>
            <w:pStyle w:val="TOC1"/>
            <w:numPr>
              <w:ilvl w:val="0"/>
              <w:numId w:val="1"/>
            </w:numPr>
            <w:tabs>
              <w:tab w:pos="484" w:val="left" w:leader="none"/>
              <w:tab w:pos="8983" w:val="right" w:leader="dot"/>
            </w:tabs>
            <w:spacing w:line="240" w:lineRule="auto" w:before="139" w:after="0"/>
            <w:ind w:left="483" w:right="0" w:hanging="331"/>
            <w:jc w:val="left"/>
            <w:rPr>
              <w:rFonts w:ascii="Calibri"/>
            </w:rPr>
          </w:pPr>
          <w:hyperlink w:history="true" w:anchor="_bookmark8">
            <w:r>
              <w:rPr/>
              <w:t>ANTECEDENTES</w:t>
            </w:r>
            <w:r>
              <w:rPr>
                <w:rFonts w:ascii="Calibri"/>
              </w:rPr>
              <w:tab/>
              <w:t>17</w:t>
            </w:r>
          </w:hyperlink>
        </w:p>
        <w:p>
          <w:pPr>
            <w:pStyle w:val="TOC2"/>
            <w:numPr>
              <w:ilvl w:val="1"/>
              <w:numId w:val="2"/>
            </w:numPr>
            <w:tabs>
              <w:tab w:pos="806" w:val="left" w:leader="none"/>
              <w:tab w:pos="8983" w:val="right" w:leader="dot"/>
            </w:tabs>
            <w:spacing w:line="240" w:lineRule="auto" w:before="140" w:after="0"/>
            <w:ind w:left="805" w:right="0" w:hanging="432"/>
            <w:jc w:val="left"/>
            <w:rPr>
              <w:rFonts w:ascii="Calibri" w:hAnsi="Calibri"/>
            </w:rPr>
          </w:pPr>
          <w:hyperlink w:history="true" w:anchor="_bookmark9">
            <w:r>
              <w:rPr/>
              <w:t>Antecedentes de la migración internacional</w:t>
            </w:r>
            <w:r>
              <w:rPr>
                <w:spacing w:val="-4"/>
              </w:rPr>
              <w:t> </w:t>
            </w:r>
            <w:r>
              <w:rPr/>
              <w:t>México-Estados</w:t>
            </w:r>
            <w:r>
              <w:rPr>
                <w:spacing w:val="-1"/>
              </w:rPr>
              <w:t> </w:t>
            </w:r>
            <w:r>
              <w:rPr/>
              <w:t>Unidos</w:t>
            </w:r>
            <w:r>
              <w:rPr>
                <w:rFonts w:ascii="Calibri" w:hAnsi="Calibri"/>
              </w:rPr>
              <w:tab/>
              <w:t>17</w:t>
            </w:r>
          </w:hyperlink>
        </w:p>
        <w:p>
          <w:pPr>
            <w:pStyle w:val="TOC2"/>
            <w:numPr>
              <w:ilvl w:val="1"/>
              <w:numId w:val="2"/>
            </w:numPr>
            <w:tabs>
              <w:tab w:pos="806" w:val="left" w:leader="none"/>
              <w:tab w:pos="8983" w:val="right" w:leader="dot"/>
            </w:tabs>
            <w:spacing w:line="240" w:lineRule="auto" w:before="144" w:after="0"/>
            <w:ind w:left="805" w:right="0" w:hanging="432"/>
            <w:jc w:val="left"/>
            <w:rPr>
              <w:rFonts w:ascii="Calibri" w:hAnsi="Calibri"/>
            </w:rPr>
          </w:pPr>
          <w:hyperlink w:history="true" w:anchor="_bookmark10">
            <w:r>
              <w:rPr/>
              <w:t>Descripción de la migración internacional del Estado</w:t>
            </w:r>
            <w:r>
              <w:rPr>
                <w:spacing w:val="-12"/>
              </w:rPr>
              <w:t> </w:t>
            </w:r>
            <w:r>
              <w:rPr/>
              <w:t>de</w:t>
            </w:r>
            <w:r>
              <w:rPr>
                <w:spacing w:val="1"/>
              </w:rPr>
              <w:t> </w:t>
            </w:r>
            <w:r>
              <w:rPr/>
              <w:t>México</w:t>
            </w:r>
            <w:r>
              <w:rPr>
                <w:rFonts w:ascii="Calibri" w:hAnsi="Calibri"/>
              </w:rPr>
              <w:tab/>
              <w:t>22</w:t>
            </w:r>
          </w:hyperlink>
        </w:p>
        <w:p>
          <w:pPr>
            <w:pStyle w:val="TOC2"/>
            <w:numPr>
              <w:ilvl w:val="1"/>
              <w:numId w:val="2"/>
            </w:numPr>
            <w:tabs>
              <w:tab w:pos="806" w:val="left" w:leader="none"/>
              <w:tab w:pos="8983" w:val="right" w:leader="dot"/>
            </w:tabs>
            <w:spacing w:line="240" w:lineRule="auto" w:before="139" w:after="0"/>
            <w:ind w:left="805" w:right="0" w:hanging="432"/>
            <w:jc w:val="left"/>
            <w:rPr>
              <w:rFonts w:ascii="Calibri" w:hAnsi="Calibri"/>
            </w:rPr>
          </w:pPr>
          <w:hyperlink w:history="true" w:anchor="_bookmark11">
            <w:r>
              <w:rPr/>
              <w:t>Referente</w:t>
            </w:r>
            <w:r>
              <w:rPr>
                <w:spacing w:val="1"/>
              </w:rPr>
              <w:t> </w:t>
            </w:r>
            <w:r>
              <w:rPr/>
              <w:t>teórico</w:t>
            </w:r>
            <w:r>
              <w:rPr>
                <w:rFonts w:ascii="Calibri" w:hAnsi="Calibri"/>
              </w:rPr>
              <w:tab/>
              <w:t>26</w:t>
            </w:r>
          </w:hyperlink>
        </w:p>
        <w:p>
          <w:pPr>
            <w:pStyle w:val="TOC3"/>
            <w:numPr>
              <w:ilvl w:val="2"/>
              <w:numId w:val="2"/>
            </w:numPr>
            <w:tabs>
              <w:tab w:pos="1208" w:val="left" w:leader="none"/>
              <w:tab w:pos="8983" w:val="right" w:leader="dot"/>
            </w:tabs>
            <w:spacing w:line="240" w:lineRule="auto" w:before="139" w:after="0"/>
            <w:ind w:left="1208" w:right="0" w:hanging="614"/>
            <w:jc w:val="left"/>
            <w:rPr>
              <w:rFonts w:ascii="Calibri" w:hAnsi="Calibri"/>
              <w:i w:val="0"/>
            </w:rPr>
          </w:pPr>
          <w:hyperlink w:history="true" w:anchor="_bookmark12">
            <w:r>
              <w:rPr>
                <w:i/>
              </w:rPr>
              <w:t>Teoría neoclásica:</w:t>
            </w:r>
            <w:r>
              <w:rPr>
                <w:i/>
                <w:spacing w:val="-2"/>
              </w:rPr>
              <w:t> </w:t>
            </w:r>
            <w:r>
              <w:rPr>
                <w:i/>
              </w:rPr>
              <w:t>modelo</w:t>
            </w:r>
            <w:r>
              <w:rPr>
                <w:i/>
                <w:spacing w:val="1"/>
              </w:rPr>
              <w:t> </w:t>
            </w:r>
            <w:r>
              <w:rPr>
                <w:i/>
              </w:rPr>
              <w:t>macroeconómico</w:t>
            </w:r>
            <w:r>
              <w:rPr>
                <w:rFonts w:ascii="Calibri" w:hAnsi="Calibri"/>
                <w:i w:val="0"/>
              </w:rPr>
              <w:tab/>
              <w:t>26</w:t>
            </w:r>
          </w:hyperlink>
        </w:p>
        <w:p>
          <w:pPr>
            <w:pStyle w:val="TOC3"/>
            <w:numPr>
              <w:ilvl w:val="2"/>
              <w:numId w:val="2"/>
            </w:numPr>
            <w:tabs>
              <w:tab w:pos="1208" w:val="left" w:leader="none"/>
              <w:tab w:pos="8983" w:val="right" w:leader="dot"/>
            </w:tabs>
            <w:spacing w:line="240" w:lineRule="auto" w:before="140" w:after="0"/>
            <w:ind w:left="1208" w:right="0" w:hanging="614"/>
            <w:jc w:val="left"/>
            <w:rPr>
              <w:rFonts w:ascii="Calibri" w:hAnsi="Calibri"/>
              <w:i w:val="0"/>
            </w:rPr>
          </w:pPr>
          <w:hyperlink w:history="true" w:anchor="_bookmark13">
            <w:r>
              <w:rPr>
                <w:i/>
              </w:rPr>
              <w:t>Teoría neoclásica:</w:t>
            </w:r>
            <w:r>
              <w:rPr>
                <w:i/>
                <w:spacing w:val="-2"/>
              </w:rPr>
              <w:t> </w:t>
            </w:r>
            <w:r>
              <w:rPr>
                <w:i/>
              </w:rPr>
              <w:t>modelo</w:t>
            </w:r>
            <w:r>
              <w:rPr>
                <w:i/>
                <w:spacing w:val="1"/>
              </w:rPr>
              <w:t> </w:t>
            </w:r>
            <w:r>
              <w:rPr>
                <w:i/>
              </w:rPr>
              <w:t>microeconómico</w:t>
            </w:r>
            <w:r>
              <w:rPr>
                <w:rFonts w:ascii="Calibri" w:hAnsi="Calibri"/>
                <w:i w:val="0"/>
              </w:rPr>
              <w:tab/>
              <w:t>28</w:t>
            </w:r>
          </w:hyperlink>
        </w:p>
        <w:p>
          <w:pPr>
            <w:pStyle w:val="TOC3"/>
            <w:numPr>
              <w:ilvl w:val="2"/>
              <w:numId w:val="2"/>
            </w:numPr>
            <w:tabs>
              <w:tab w:pos="1208" w:val="left" w:leader="none"/>
              <w:tab w:pos="8983" w:val="right" w:leader="dot"/>
            </w:tabs>
            <w:spacing w:line="240" w:lineRule="auto" w:before="139" w:after="0"/>
            <w:ind w:left="1208" w:right="0" w:hanging="614"/>
            <w:jc w:val="left"/>
            <w:rPr>
              <w:rFonts w:ascii="Calibri" w:hAnsi="Calibri"/>
              <w:i w:val="0"/>
            </w:rPr>
          </w:pPr>
          <w:hyperlink w:history="true" w:anchor="_bookmark14">
            <w:r>
              <w:rPr>
                <w:i/>
              </w:rPr>
              <w:t>Teoría</w:t>
            </w:r>
            <w:r>
              <w:rPr>
                <w:i/>
                <w:spacing w:val="-3"/>
              </w:rPr>
              <w:t> </w:t>
            </w:r>
            <w:r>
              <w:rPr>
                <w:i/>
              </w:rPr>
              <w:t>de</w:t>
            </w:r>
            <w:r>
              <w:rPr>
                <w:i/>
                <w:spacing w:val="-3"/>
              </w:rPr>
              <w:t> </w:t>
            </w:r>
            <w:r>
              <w:rPr>
                <w:i/>
              </w:rPr>
              <w:t>redes</w:t>
            </w:r>
            <w:r>
              <w:rPr>
                <w:rFonts w:ascii="Calibri" w:hAnsi="Calibri"/>
                <w:i w:val="0"/>
              </w:rPr>
              <w:tab/>
              <w:t>30</w:t>
            </w:r>
          </w:hyperlink>
        </w:p>
        <w:p>
          <w:pPr>
            <w:pStyle w:val="TOC3"/>
            <w:tabs>
              <w:tab w:pos="8983" w:val="right" w:leader="dot"/>
            </w:tabs>
            <w:spacing w:before="144"/>
            <w:ind w:left="594" w:firstLine="0"/>
            <w:rPr>
              <w:rFonts w:ascii="Calibri" w:hAnsi="Calibri"/>
              <w:i w:val="0"/>
            </w:rPr>
          </w:pPr>
          <w:hyperlink w:history="true" w:anchor="_bookmark15">
            <w:r>
              <w:rPr>
                <w:i/>
              </w:rPr>
              <w:t>6.4.4. La nueva teoría económica de</w:t>
            </w:r>
            <w:r>
              <w:rPr>
                <w:i/>
                <w:spacing w:val="-7"/>
              </w:rPr>
              <w:t> </w:t>
            </w:r>
            <w:r>
              <w:rPr>
                <w:i/>
                <w:spacing w:val="-3"/>
              </w:rPr>
              <w:t>la</w:t>
            </w:r>
            <w:r>
              <w:rPr>
                <w:i/>
                <w:spacing w:val="1"/>
              </w:rPr>
              <w:t> </w:t>
            </w:r>
            <w:r>
              <w:rPr>
                <w:i/>
              </w:rPr>
              <w:t>migración</w:t>
            </w:r>
            <w:r>
              <w:rPr>
                <w:rFonts w:ascii="Calibri" w:hAnsi="Calibri"/>
                <w:i w:val="0"/>
              </w:rPr>
              <w:tab/>
              <w:t>33</w:t>
            </w:r>
          </w:hyperlink>
        </w:p>
        <w:p>
          <w:pPr>
            <w:pStyle w:val="TOC1"/>
            <w:numPr>
              <w:ilvl w:val="0"/>
              <w:numId w:val="1"/>
            </w:numPr>
            <w:tabs>
              <w:tab w:pos="542" w:val="left" w:leader="none"/>
              <w:tab w:pos="8983" w:val="right" w:leader="dot"/>
            </w:tabs>
            <w:spacing w:line="278" w:lineRule="auto" w:before="133" w:after="0"/>
            <w:ind w:left="152" w:right="114" w:firstLine="0"/>
            <w:jc w:val="left"/>
            <w:rPr>
              <w:rFonts w:ascii="Calibri" w:hAnsi="Calibri"/>
            </w:rPr>
          </w:pPr>
          <w:hyperlink w:history="true" w:anchor="_bookmark16">
            <w:r>
              <w:rPr/>
              <w:t>DETERMINACIÓN DE FACTORES DE MIGRACIÓN INTERNACIONAL EN</w:t>
            </w:r>
          </w:hyperlink>
          <w:r>
            <w:rPr/>
            <w:t> </w:t>
          </w:r>
          <w:hyperlink w:history="true" w:anchor="_bookmark16">
            <w:r>
              <w:rPr/>
              <w:t>LOCALIDADES DEL SUR </w:t>
            </w:r>
            <w:r>
              <w:rPr>
                <w:spacing w:val="-2"/>
              </w:rPr>
              <w:t>DEL </w:t>
            </w:r>
            <w:r>
              <w:rPr/>
              <w:t>ESTADO DE</w:t>
            </w:r>
            <w:r>
              <w:rPr>
                <w:spacing w:val="-4"/>
              </w:rPr>
              <w:t> </w:t>
            </w:r>
            <w:r>
              <w:rPr/>
              <w:t>MÉXICO</w:t>
            </w:r>
            <w:r>
              <w:rPr>
                <w:rFonts w:ascii="Calibri" w:hAnsi="Calibri"/>
              </w:rPr>
              <w:tab/>
              <w:t>43</w:t>
            </w:r>
          </w:hyperlink>
        </w:p>
        <w:p>
          <w:pPr>
            <w:pStyle w:val="TOC2"/>
            <w:numPr>
              <w:ilvl w:val="1"/>
              <w:numId w:val="3"/>
            </w:numPr>
            <w:tabs>
              <w:tab w:pos="806" w:val="left" w:leader="none"/>
              <w:tab w:pos="8983" w:val="right" w:leader="dot"/>
            </w:tabs>
            <w:spacing w:line="240" w:lineRule="auto" w:before="97" w:after="0"/>
            <w:ind w:left="805" w:right="0" w:hanging="432"/>
            <w:jc w:val="left"/>
            <w:rPr>
              <w:rFonts w:ascii="Calibri" w:hAnsi="Calibri"/>
            </w:rPr>
          </w:pPr>
          <w:hyperlink w:history="true" w:anchor="_bookmark17">
            <w:r>
              <w:rPr/>
              <w:t>Introducción</w:t>
            </w:r>
            <w:r>
              <w:rPr>
                <w:rFonts w:ascii="Calibri" w:hAnsi="Calibri"/>
              </w:rPr>
              <w:tab/>
              <w:t>43</w:t>
            </w:r>
          </w:hyperlink>
        </w:p>
        <w:p>
          <w:pPr>
            <w:pStyle w:val="TOC2"/>
            <w:numPr>
              <w:ilvl w:val="1"/>
              <w:numId w:val="3"/>
            </w:numPr>
            <w:tabs>
              <w:tab w:pos="743" w:val="left" w:leader="none"/>
              <w:tab w:pos="8983" w:val="right" w:leader="dot"/>
            </w:tabs>
            <w:spacing w:line="240" w:lineRule="auto" w:before="144" w:after="0"/>
            <w:ind w:left="742" w:right="0" w:hanging="369"/>
            <w:jc w:val="left"/>
            <w:rPr>
              <w:rFonts w:ascii="Calibri"/>
            </w:rPr>
          </w:pPr>
          <w:hyperlink w:history="true" w:anchor="_bookmark18">
            <w:r>
              <w:rPr/>
              <w:t>Antecedentes</w:t>
            </w:r>
            <w:r>
              <w:rPr>
                <w:rFonts w:ascii="Calibri"/>
              </w:rPr>
              <w:tab/>
              <w:t>45</w:t>
            </w:r>
          </w:hyperlink>
        </w:p>
        <w:p>
          <w:pPr>
            <w:pStyle w:val="TOC2"/>
            <w:numPr>
              <w:ilvl w:val="1"/>
              <w:numId w:val="3"/>
            </w:numPr>
            <w:tabs>
              <w:tab w:pos="743" w:val="left" w:leader="none"/>
              <w:tab w:pos="8983" w:val="right" w:leader="dot"/>
            </w:tabs>
            <w:spacing w:line="240" w:lineRule="auto" w:before="139" w:after="0"/>
            <w:ind w:left="742" w:right="0" w:hanging="369"/>
            <w:jc w:val="left"/>
            <w:rPr>
              <w:rFonts w:ascii="Calibri" w:hAnsi="Calibri"/>
            </w:rPr>
          </w:pPr>
          <w:hyperlink w:history="true" w:anchor="_bookmark19">
            <w:r>
              <w:rPr/>
              <w:t>Metodología</w:t>
            </w:r>
            <w:r>
              <w:rPr>
                <w:rFonts w:ascii="Calibri" w:hAnsi="Calibri"/>
              </w:rPr>
              <w:tab/>
              <w:t>47</w:t>
            </w:r>
          </w:hyperlink>
        </w:p>
        <w:p>
          <w:pPr>
            <w:pStyle w:val="TOC2"/>
            <w:numPr>
              <w:ilvl w:val="1"/>
              <w:numId w:val="3"/>
            </w:numPr>
            <w:tabs>
              <w:tab w:pos="743" w:val="left" w:leader="none"/>
              <w:tab w:pos="8983" w:val="right" w:leader="dot"/>
            </w:tabs>
            <w:spacing w:line="240" w:lineRule="auto" w:before="139" w:after="0"/>
            <w:ind w:left="742" w:right="0" w:hanging="369"/>
            <w:jc w:val="left"/>
            <w:rPr>
              <w:rFonts w:ascii="Calibri"/>
            </w:rPr>
          </w:pPr>
          <w:hyperlink w:history="true" w:anchor="_bookmark20">
            <w:r>
              <w:rPr/>
              <w:t>Resultados</w:t>
            </w:r>
            <w:r>
              <w:rPr>
                <w:rFonts w:ascii="Calibri"/>
              </w:rPr>
              <w:tab/>
              <w:t>49</w:t>
            </w:r>
          </w:hyperlink>
        </w:p>
        <w:p>
          <w:pPr>
            <w:pStyle w:val="TOC2"/>
            <w:numPr>
              <w:ilvl w:val="1"/>
              <w:numId w:val="3"/>
            </w:numPr>
            <w:tabs>
              <w:tab w:pos="743" w:val="left" w:leader="none"/>
              <w:tab w:pos="8983" w:val="right" w:leader="dot"/>
            </w:tabs>
            <w:spacing w:line="240" w:lineRule="auto" w:before="140" w:after="0"/>
            <w:ind w:left="742" w:right="0" w:hanging="369"/>
            <w:jc w:val="left"/>
            <w:rPr>
              <w:rFonts w:ascii="Calibri"/>
            </w:rPr>
          </w:pPr>
          <w:hyperlink w:history="true" w:anchor="_bookmark21">
            <w:r>
              <w:rPr/>
              <w:t>Conclusiones</w:t>
            </w:r>
            <w:r>
              <w:rPr>
                <w:rFonts w:ascii="Calibri"/>
              </w:rPr>
              <w:tab/>
              <w:t>52</w:t>
            </w:r>
          </w:hyperlink>
        </w:p>
        <w:p>
          <w:pPr>
            <w:pStyle w:val="TOC1"/>
            <w:numPr>
              <w:ilvl w:val="0"/>
              <w:numId w:val="1"/>
            </w:numPr>
            <w:tabs>
              <w:tab w:pos="604" w:val="left" w:leader="none"/>
              <w:tab w:pos="8983" w:val="right" w:leader="dot"/>
            </w:tabs>
            <w:spacing w:line="283" w:lineRule="auto" w:before="133" w:after="0"/>
            <w:ind w:left="152" w:right="114" w:firstLine="0"/>
            <w:jc w:val="left"/>
            <w:rPr>
              <w:rFonts w:ascii="Calibri" w:hAnsi="Calibri"/>
            </w:rPr>
          </w:pPr>
          <w:hyperlink w:history="true" w:anchor="_bookmark22">
            <w:r>
              <w:rPr/>
              <w:t>TENDENCIAS EN LA MIGRACIÓN TRASNACIONAL MÉXICO-ESTADOS UNIDOS:</w:t>
            </w:r>
          </w:hyperlink>
          <w:r>
            <w:rPr/>
            <w:t> </w:t>
          </w:r>
          <w:hyperlink w:history="true" w:anchor="_bookmark22">
            <w:r>
              <w:rPr/>
              <w:t>ANÁLISIS DE LOCALIDADES EN, TENANCINGO ESTADO</w:t>
            </w:r>
            <w:r>
              <w:rPr>
                <w:spacing w:val="-1"/>
              </w:rPr>
              <w:t> </w:t>
            </w:r>
            <w:r>
              <w:rPr>
                <w:spacing w:val="-3"/>
              </w:rPr>
              <w:t>DE</w:t>
            </w:r>
            <w:r>
              <w:rPr/>
              <w:t> MÉXICO</w:t>
            </w:r>
            <w:r>
              <w:rPr>
                <w:rFonts w:ascii="Calibri" w:hAnsi="Calibri"/>
              </w:rPr>
              <w:tab/>
              <w:t>54</w:t>
            </w:r>
          </w:hyperlink>
        </w:p>
        <w:p>
          <w:pPr>
            <w:pStyle w:val="TOC2"/>
            <w:tabs>
              <w:tab w:pos="8983" w:val="right" w:leader="dot"/>
            </w:tabs>
            <w:spacing w:before="91"/>
            <w:ind w:left="373" w:firstLine="0"/>
            <w:rPr>
              <w:rFonts w:ascii="Calibri" w:hAnsi="Calibri"/>
            </w:rPr>
          </w:pPr>
          <w:hyperlink w:history="true" w:anchor="_bookmark23">
            <w:r>
              <w:rPr/>
              <w:t>8.1.</w:t>
            </w:r>
            <w:r>
              <w:rPr>
                <w:spacing w:val="1"/>
              </w:rPr>
              <w:t> </w:t>
            </w:r>
            <w:r>
              <w:rPr/>
              <w:t>Introducción</w:t>
            </w:r>
            <w:r>
              <w:rPr>
                <w:rFonts w:ascii="Calibri" w:hAnsi="Calibri"/>
              </w:rPr>
              <w:tab/>
              <w:t>54</w:t>
            </w:r>
          </w:hyperlink>
        </w:p>
        <w:p>
          <w:pPr>
            <w:pStyle w:val="TOC2"/>
            <w:numPr>
              <w:ilvl w:val="1"/>
              <w:numId w:val="4"/>
            </w:numPr>
            <w:tabs>
              <w:tab w:pos="743" w:val="left" w:leader="none"/>
              <w:tab w:pos="8983" w:val="right" w:leader="dot"/>
            </w:tabs>
            <w:spacing w:line="240" w:lineRule="auto" w:before="140" w:after="0"/>
            <w:ind w:left="742" w:right="0" w:hanging="369"/>
            <w:jc w:val="left"/>
            <w:rPr>
              <w:rFonts w:ascii="Calibri"/>
            </w:rPr>
          </w:pPr>
          <w:hyperlink w:history="true" w:anchor="_bookmark24">
            <w:r>
              <w:rPr/>
              <w:t>Antecedentes</w:t>
            </w:r>
            <w:r>
              <w:rPr>
                <w:rFonts w:ascii="Calibri"/>
              </w:rPr>
              <w:tab/>
              <w:t>56</w:t>
            </w:r>
          </w:hyperlink>
        </w:p>
        <w:p>
          <w:pPr>
            <w:pStyle w:val="TOC2"/>
            <w:numPr>
              <w:ilvl w:val="1"/>
              <w:numId w:val="4"/>
            </w:numPr>
            <w:tabs>
              <w:tab w:pos="743" w:val="left" w:leader="none"/>
              <w:tab w:pos="8983" w:val="right" w:leader="dot"/>
            </w:tabs>
            <w:spacing w:line="240" w:lineRule="auto" w:before="139" w:after="0"/>
            <w:ind w:left="742" w:right="0" w:hanging="369"/>
            <w:jc w:val="left"/>
            <w:rPr>
              <w:rFonts w:ascii="Calibri" w:hAnsi="Calibri"/>
            </w:rPr>
          </w:pPr>
          <w:hyperlink w:history="true" w:anchor="_bookmark25">
            <w:r>
              <w:rPr/>
              <w:t>Metodología</w:t>
            </w:r>
            <w:r>
              <w:rPr>
                <w:rFonts w:ascii="Calibri" w:hAnsi="Calibri"/>
              </w:rPr>
              <w:tab/>
              <w:t>59</w:t>
            </w:r>
          </w:hyperlink>
        </w:p>
        <w:p>
          <w:pPr>
            <w:pStyle w:val="TOC2"/>
            <w:numPr>
              <w:ilvl w:val="1"/>
              <w:numId w:val="4"/>
            </w:numPr>
            <w:tabs>
              <w:tab w:pos="743" w:val="left" w:leader="none"/>
              <w:tab w:pos="8983" w:val="right" w:leader="dot"/>
            </w:tabs>
            <w:spacing w:line="240" w:lineRule="auto" w:before="144" w:after="0"/>
            <w:ind w:left="742" w:right="0" w:hanging="369"/>
            <w:jc w:val="left"/>
            <w:rPr>
              <w:rFonts w:ascii="Calibri" w:hAnsi="Calibri"/>
            </w:rPr>
          </w:pPr>
          <w:hyperlink w:history="true" w:anchor="_bookmark26">
            <w:r>
              <w:rPr/>
              <w:t>Presentación y análisis</w:t>
            </w:r>
            <w:r>
              <w:rPr>
                <w:spacing w:val="-7"/>
              </w:rPr>
              <w:t> </w:t>
            </w:r>
            <w:r>
              <w:rPr/>
              <w:t>de</w:t>
            </w:r>
            <w:r>
              <w:rPr>
                <w:spacing w:val="1"/>
              </w:rPr>
              <w:t> </w:t>
            </w:r>
            <w:r>
              <w:rPr/>
              <w:t>resultados</w:t>
            </w:r>
            <w:r>
              <w:rPr>
                <w:rFonts w:ascii="Calibri" w:hAnsi="Calibri"/>
              </w:rPr>
              <w:tab/>
              <w:t>63</w:t>
            </w:r>
          </w:hyperlink>
        </w:p>
        <w:p>
          <w:pPr>
            <w:pStyle w:val="TOC3"/>
            <w:numPr>
              <w:ilvl w:val="2"/>
              <w:numId w:val="4"/>
            </w:numPr>
            <w:tabs>
              <w:tab w:pos="1208" w:val="left" w:leader="none"/>
              <w:tab w:pos="8983" w:val="right" w:leader="dot"/>
            </w:tabs>
            <w:spacing w:line="240" w:lineRule="auto" w:before="374" w:after="0"/>
            <w:ind w:left="1208" w:right="0" w:hanging="614"/>
            <w:jc w:val="left"/>
            <w:rPr>
              <w:rFonts w:ascii="Calibri" w:hAnsi="Calibri"/>
              <w:i w:val="0"/>
            </w:rPr>
          </w:pPr>
          <w:hyperlink w:history="true" w:anchor="_bookmark27">
            <w:r>
              <w:rPr>
                <w:i/>
              </w:rPr>
              <w:t>Situación socioeconómica del municipio</w:t>
            </w:r>
            <w:r>
              <w:rPr>
                <w:i/>
                <w:spacing w:val="-1"/>
              </w:rPr>
              <w:t> </w:t>
            </w:r>
            <w:r>
              <w:rPr>
                <w:i/>
              </w:rPr>
              <w:t>de</w:t>
            </w:r>
            <w:r>
              <w:rPr>
                <w:i/>
                <w:spacing w:val="-3"/>
              </w:rPr>
              <w:t> </w:t>
            </w:r>
            <w:r>
              <w:rPr>
                <w:i/>
              </w:rPr>
              <w:t>Tenancingo</w:t>
            </w:r>
            <w:r>
              <w:rPr>
                <w:rFonts w:ascii="Calibri" w:hAnsi="Calibri"/>
                <w:i w:val="0"/>
              </w:rPr>
              <w:tab/>
              <w:t>63</w:t>
            </w:r>
          </w:hyperlink>
        </w:p>
        <w:p>
          <w:pPr>
            <w:pStyle w:val="TOC3"/>
            <w:numPr>
              <w:ilvl w:val="2"/>
              <w:numId w:val="4"/>
            </w:numPr>
            <w:tabs>
              <w:tab w:pos="1208" w:val="left" w:leader="none"/>
              <w:tab w:pos="8983" w:val="right" w:leader="dot"/>
            </w:tabs>
            <w:spacing w:line="240" w:lineRule="auto" w:before="139" w:after="0"/>
            <w:ind w:left="1208" w:right="0" w:hanging="614"/>
            <w:jc w:val="left"/>
            <w:rPr>
              <w:rFonts w:ascii="Calibri" w:hAnsi="Calibri"/>
              <w:i w:val="0"/>
            </w:rPr>
          </w:pPr>
          <w:hyperlink w:history="true" w:anchor="_bookmark28">
            <w:r>
              <w:rPr>
                <w:i/>
              </w:rPr>
              <w:t>Descripción</w:t>
            </w:r>
            <w:r>
              <w:rPr>
                <w:i/>
                <w:spacing w:val="-3"/>
              </w:rPr>
              <w:t> </w:t>
            </w:r>
            <w:r>
              <w:rPr>
                <w:i/>
              </w:rPr>
              <w:t>de</w:t>
            </w:r>
            <w:r>
              <w:rPr>
                <w:i/>
                <w:spacing w:val="1"/>
              </w:rPr>
              <w:t> </w:t>
            </w:r>
            <w:r>
              <w:rPr>
                <w:i/>
              </w:rPr>
              <w:t>resultados</w:t>
            </w:r>
            <w:r>
              <w:rPr>
                <w:rFonts w:ascii="Calibri" w:hAnsi="Calibri"/>
                <w:i w:val="0"/>
              </w:rPr>
              <w:tab/>
              <w:t>64</w:t>
            </w:r>
          </w:hyperlink>
        </w:p>
        <w:p>
          <w:pPr>
            <w:pStyle w:val="TOC2"/>
            <w:numPr>
              <w:ilvl w:val="1"/>
              <w:numId w:val="4"/>
            </w:numPr>
            <w:tabs>
              <w:tab w:pos="743" w:val="left" w:leader="none"/>
              <w:tab w:pos="8983" w:val="right" w:leader="dot"/>
            </w:tabs>
            <w:spacing w:line="240" w:lineRule="auto" w:before="140" w:after="0"/>
            <w:ind w:left="742" w:right="0" w:hanging="369"/>
            <w:jc w:val="left"/>
            <w:rPr>
              <w:rFonts w:ascii="Calibri"/>
            </w:rPr>
          </w:pPr>
          <w:hyperlink w:history="true" w:anchor="_bookmark29">
            <w:r>
              <w:rPr/>
              <w:t>Conclusiones</w:t>
            </w:r>
            <w:r>
              <w:rPr>
                <w:rFonts w:ascii="Calibri"/>
              </w:rPr>
              <w:tab/>
              <w:t>67</w:t>
            </w:r>
          </w:hyperlink>
        </w:p>
        <w:p>
          <w:pPr>
            <w:pStyle w:val="TOC1"/>
            <w:numPr>
              <w:ilvl w:val="0"/>
              <w:numId w:val="1"/>
            </w:numPr>
            <w:tabs>
              <w:tab w:pos="484" w:val="left" w:leader="none"/>
              <w:tab w:pos="8983" w:val="right" w:leader="dot"/>
            </w:tabs>
            <w:spacing w:line="240" w:lineRule="auto" w:before="139" w:after="0"/>
            <w:ind w:left="483" w:right="0" w:hanging="331"/>
            <w:jc w:val="left"/>
            <w:rPr>
              <w:rFonts w:ascii="Calibri"/>
            </w:rPr>
          </w:pPr>
          <w:hyperlink w:history="true" w:anchor="_bookmark30">
            <w:r>
              <w:rPr/>
              <w:t>CONCLUSIONES</w:t>
            </w:r>
            <w:r>
              <w:rPr>
                <w:rFonts w:ascii="Calibri"/>
              </w:rPr>
              <w:tab/>
              <w:t>69</w:t>
            </w:r>
          </w:hyperlink>
        </w:p>
        <w:p>
          <w:pPr>
            <w:pStyle w:val="TOC1"/>
            <w:numPr>
              <w:ilvl w:val="0"/>
              <w:numId w:val="1"/>
            </w:numPr>
            <w:tabs>
              <w:tab w:pos="427" w:val="left" w:leader="none"/>
              <w:tab w:pos="8983" w:val="right" w:leader="dot"/>
            </w:tabs>
            <w:spacing w:line="240" w:lineRule="auto" w:before="139" w:after="0"/>
            <w:ind w:left="426" w:right="0" w:hanging="274"/>
            <w:jc w:val="left"/>
            <w:rPr>
              <w:rFonts w:ascii="Calibri" w:hAnsi="Calibri"/>
            </w:rPr>
          </w:pPr>
          <w:hyperlink w:history="true" w:anchor="_bookmark31">
            <w:r>
              <w:rPr/>
              <w:t>BIBLIOGRAFÍA</w:t>
            </w:r>
            <w:r>
              <w:rPr>
                <w:rFonts w:ascii="Calibri" w:hAnsi="Calibri"/>
              </w:rPr>
              <w:tab/>
              <w:t>73</w:t>
            </w:r>
          </w:hyperlink>
        </w:p>
        <w:p>
          <w:pPr>
            <w:pStyle w:val="TOC1"/>
            <w:tabs>
              <w:tab w:pos="8983" w:val="right" w:leader="dot"/>
            </w:tabs>
            <w:spacing w:before="144"/>
            <w:rPr>
              <w:rFonts w:ascii="Calibri"/>
            </w:rPr>
          </w:pPr>
          <w:hyperlink w:history="true" w:anchor="_bookmark32">
            <w:r>
              <w:rPr/>
              <w:t>ANEXO</w:t>
            </w:r>
            <w:r>
              <w:rPr>
                <w:rFonts w:ascii="Calibri"/>
              </w:rPr>
              <w:tab/>
              <w:t>77</w:t>
            </w:r>
          </w:hyperlink>
        </w:p>
      </w:sdtContent>
    </w:sdt>
    <w:p>
      <w:pPr>
        <w:spacing w:after="0"/>
        <w:rPr>
          <w:rFonts w:ascii="Calibri"/>
        </w:rPr>
        <w:sectPr>
          <w:type w:val="continuous"/>
          <w:pgSz w:w="12240" w:h="15840"/>
          <w:pgMar w:top="1500" w:bottom="2144" w:left="1720" w:right="1420"/>
        </w:sectPr>
      </w:pPr>
    </w:p>
    <w:p>
      <w:pPr>
        <w:pStyle w:val="BodyText"/>
        <w:spacing w:before="4"/>
        <w:rPr>
          <w:rFonts w:ascii="Calibri"/>
          <w:sz w:val="29"/>
        </w:rPr>
      </w:pPr>
    </w:p>
    <w:p>
      <w:pPr>
        <w:pStyle w:val="Heading2"/>
        <w:spacing w:before="0"/>
        <w:ind w:left="3361" w:right="3321"/>
        <w:jc w:val="center"/>
      </w:pPr>
      <w:bookmarkStart w:name="_bookmark2" w:id="3"/>
      <w:bookmarkEnd w:id="3"/>
      <w:r>
        <w:rPr>
          <w:b w:val="0"/>
        </w:rPr>
      </w:r>
      <w:r>
        <w:rPr/>
        <w:t>ÍNDICE DE TABLAS</w:t>
      </w:r>
    </w:p>
    <w:p>
      <w:pPr>
        <w:pStyle w:val="BodyText"/>
        <w:rPr>
          <w:b/>
        </w:rPr>
      </w:pPr>
    </w:p>
    <w:p>
      <w:pPr>
        <w:pStyle w:val="BodyText"/>
        <w:spacing w:before="5"/>
        <w:rPr>
          <w:b/>
          <w:sz w:val="33"/>
        </w:rPr>
      </w:pPr>
    </w:p>
    <w:p>
      <w:pPr>
        <w:pStyle w:val="BodyText"/>
        <w:tabs>
          <w:tab w:pos="8393" w:val="left" w:leader="dot"/>
        </w:tabs>
        <w:ind w:left="152"/>
      </w:pPr>
      <w:r>
        <w:rPr/>
        <w:t>Tabla 1. Antecedentes de la</w:t>
      </w:r>
      <w:r>
        <w:rPr>
          <w:spacing w:val="-15"/>
        </w:rPr>
        <w:t> </w:t>
      </w:r>
      <w:r>
        <w:rPr/>
        <w:t>migración</w:t>
      </w:r>
      <w:r>
        <w:rPr>
          <w:spacing w:val="1"/>
        </w:rPr>
        <w:t> </w:t>
      </w:r>
      <w:r>
        <w:rPr/>
        <w:t>internacional</w:t>
        <w:tab/>
        <w:t>21</w:t>
      </w:r>
    </w:p>
    <w:p>
      <w:pPr>
        <w:pStyle w:val="BodyText"/>
        <w:spacing w:before="4"/>
        <w:rPr>
          <w:sz w:val="29"/>
        </w:rPr>
      </w:pPr>
    </w:p>
    <w:p>
      <w:pPr>
        <w:pStyle w:val="BodyText"/>
        <w:tabs>
          <w:tab w:pos="8393" w:val="left" w:leader="dot"/>
        </w:tabs>
        <w:spacing w:before="1"/>
        <w:ind w:left="152"/>
      </w:pPr>
      <w:r>
        <w:rPr/>
        <w:t>Tabla 2. Teorías de</w:t>
      </w:r>
      <w:r>
        <w:rPr>
          <w:spacing w:val="-13"/>
        </w:rPr>
        <w:t> </w:t>
      </w:r>
      <w:r>
        <w:rPr/>
        <w:t>la migración</w:t>
        <w:tab/>
        <w:t>41</w:t>
      </w:r>
    </w:p>
    <w:p>
      <w:pPr>
        <w:pStyle w:val="BodyText"/>
        <w:spacing w:before="5"/>
        <w:rPr>
          <w:sz w:val="29"/>
        </w:rPr>
      </w:pPr>
    </w:p>
    <w:p>
      <w:pPr>
        <w:pStyle w:val="BodyText"/>
        <w:tabs>
          <w:tab w:pos="8393" w:val="left" w:leader="dot"/>
        </w:tabs>
        <w:ind w:left="152"/>
      </w:pPr>
      <w:r>
        <w:rPr/>
        <w:t>Tabla 3. Variables utilizadas para el análisis de</w:t>
      </w:r>
      <w:r>
        <w:rPr>
          <w:spacing w:val="-14"/>
        </w:rPr>
        <w:t> </w:t>
      </w:r>
      <w:r>
        <w:rPr/>
        <w:t>componentes</w:t>
      </w:r>
      <w:r>
        <w:rPr>
          <w:spacing w:val="-3"/>
        </w:rPr>
        <w:t> </w:t>
      </w:r>
      <w:r>
        <w:rPr/>
        <w:t>principales</w:t>
        <w:tab/>
        <w:t>48</w:t>
      </w:r>
    </w:p>
    <w:p>
      <w:pPr>
        <w:pStyle w:val="BodyText"/>
        <w:spacing w:before="9"/>
        <w:rPr>
          <w:sz w:val="29"/>
        </w:rPr>
      </w:pPr>
    </w:p>
    <w:p>
      <w:pPr>
        <w:pStyle w:val="BodyText"/>
        <w:tabs>
          <w:tab w:pos="8393" w:val="left" w:leader="dot"/>
        </w:tabs>
        <w:spacing w:line="355" w:lineRule="auto"/>
        <w:ind w:left="1146" w:right="138" w:hanging="994"/>
      </w:pPr>
      <w:r>
        <w:rPr/>
        <w:t>Tabla 4. Regiones del Estado de  México  de  acuerdo  a  Componentes Principales</w:t>
        <w:tab/>
        <w:t>50</w:t>
      </w:r>
    </w:p>
    <w:p>
      <w:pPr>
        <w:pStyle w:val="BodyText"/>
        <w:tabs>
          <w:tab w:pos="2313" w:val="left" w:leader="none"/>
          <w:tab w:pos="8393" w:val="left" w:leader="dot"/>
        </w:tabs>
        <w:spacing w:line="355" w:lineRule="auto" w:before="215"/>
        <w:ind w:left="1146" w:right="104" w:hanging="994"/>
      </w:pPr>
      <w:r>
        <w:rPr/>
        <w:t>Tabla </w:t>
      </w:r>
      <w:r>
        <w:rPr>
          <w:spacing w:val="13"/>
        </w:rPr>
        <w:t> </w:t>
      </w:r>
      <w:r>
        <w:rPr/>
        <w:t>5. </w:t>
      </w:r>
      <w:r>
        <w:rPr>
          <w:spacing w:val="13"/>
        </w:rPr>
        <w:t> </w:t>
      </w:r>
      <w:r>
        <w:rPr/>
        <w:t>Región</w:t>
        <w:tab/>
        <w:t>sur    del    Estado  de  México  de  acuerdo  </w:t>
      </w:r>
      <w:r>
        <w:rPr>
          <w:spacing w:val="56"/>
        </w:rPr>
        <w:t> </w:t>
      </w:r>
      <w:r>
        <w:rPr/>
        <w:t>a </w:t>
      </w:r>
      <w:r>
        <w:rPr>
          <w:spacing w:val="13"/>
        </w:rPr>
        <w:t> </w:t>
      </w:r>
      <w:r>
        <w:rPr/>
        <w:t>Componentes</w:t>
      </w:r>
      <w:r>
        <w:rPr>
          <w:w w:val="100"/>
        </w:rPr>
        <w:t> </w:t>
      </w:r>
      <w:r>
        <w:rPr/>
        <w:t>Principales</w:t>
        <w:tab/>
        <w:t>51</w:t>
      </w:r>
    </w:p>
    <w:p>
      <w:pPr>
        <w:pStyle w:val="BodyText"/>
        <w:tabs>
          <w:tab w:pos="8393" w:val="left" w:leader="dot"/>
        </w:tabs>
        <w:spacing w:before="209"/>
        <w:ind w:left="152"/>
      </w:pPr>
      <w:r>
        <w:rPr/>
        <w:t>Tabla 6. Principales elementos del sustento teórico de</w:t>
      </w:r>
      <w:r>
        <w:rPr>
          <w:spacing w:val="-13"/>
        </w:rPr>
        <w:t> </w:t>
      </w:r>
      <w:r>
        <w:rPr/>
        <w:t>la</w:t>
      </w:r>
      <w:r>
        <w:rPr>
          <w:spacing w:val="-6"/>
        </w:rPr>
        <w:t> </w:t>
      </w:r>
      <w:r>
        <w:rPr/>
        <w:t>investigación</w:t>
        <w:tab/>
        <w:t>58</w:t>
      </w:r>
    </w:p>
    <w:p>
      <w:pPr>
        <w:pStyle w:val="BodyText"/>
        <w:spacing w:before="4"/>
        <w:rPr>
          <w:sz w:val="29"/>
        </w:rPr>
      </w:pPr>
    </w:p>
    <w:p>
      <w:pPr>
        <w:pStyle w:val="BodyText"/>
        <w:tabs>
          <w:tab w:pos="8393" w:val="left" w:leader="dot"/>
        </w:tabs>
        <w:spacing w:before="1"/>
        <w:ind w:left="152"/>
      </w:pPr>
      <w:r>
        <w:rPr/>
        <w:t>Tabla 7. Población total de</w:t>
      </w:r>
      <w:r>
        <w:rPr>
          <w:spacing w:val="-12"/>
        </w:rPr>
        <w:t> </w:t>
      </w:r>
      <w:r>
        <w:rPr/>
        <w:t>localidades</w:t>
      </w:r>
      <w:r>
        <w:rPr>
          <w:spacing w:val="-3"/>
        </w:rPr>
        <w:t> </w:t>
      </w:r>
      <w:r>
        <w:rPr/>
        <w:t>encuestadas</w:t>
        <w:tab/>
        <w:t>61</w:t>
      </w:r>
    </w:p>
    <w:p>
      <w:pPr>
        <w:pStyle w:val="BodyText"/>
        <w:spacing w:before="5"/>
        <w:rPr>
          <w:sz w:val="29"/>
        </w:rPr>
      </w:pPr>
    </w:p>
    <w:p>
      <w:pPr>
        <w:pStyle w:val="BodyText"/>
        <w:tabs>
          <w:tab w:pos="8393" w:val="left" w:leader="dot"/>
        </w:tabs>
        <w:ind w:left="152"/>
      </w:pPr>
      <w:r>
        <w:rPr/>
        <w:t>Tabla 8.</w:t>
      </w:r>
      <w:r>
        <w:rPr>
          <w:spacing w:val="-5"/>
        </w:rPr>
        <w:t> </w:t>
      </w:r>
      <w:r>
        <w:rPr/>
        <w:t>Aspectos</w:t>
      </w:r>
      <w:r>
        <w:rPr>
          <w:spacing w:val="-3"/>
        </w:rPr>
        <w:t> </w:t>
      </w:r>
      <w:r>
        <w:rPr/>
        <w:t>socioeconómicos</w:t>
        <w:tab/>
        <w:t>64</w:t>
      </w:r>
    </w:p>
    <w:p>
      <w:pPr>
        <w:pStyle w:val="BodyText"/>
        <w:spacing w:before="4"/>
        <w:rPr>
          <w:sz w:val="29"/>
        </w:rPr>
      </w:pPr>
    </w:p>
    <w:p>
      <w:pPr>
        <w:pStyle w:val="BodyText"/>
        <w:tabs>
          <w:tab w:pos="8393" w:val="left" w:leader="dot"/>
        </w:tabs>
        <w:spacing w:before="1"/>
        <w:ind w:left="152"/>
      </w:pPr>
      <w:r>
        <w:rPr/>
        <w:t>Tabla</w:t>
      </w:r>
      <w:r>
        <w:rPr>
          <w:spacing w:val="-2"/>
        </w:rPr>
        <w:t> </w:t>
      </w:r>
      <w:r>
        <w:rPr/>
        <w:t>9.</w:t>
      </w:r>
      <w:r>
        <w:rPr>
          <w:spacing w:val="-2"/>
        </w:rPr>
        <w:t> </w:t>
      </w:r>
      <w:r>
        <w:rPr/>
        <w:t>Migración</w:t>
        <w:tab/>
        <w:t>65</w:t>
      </w:r>
    </w:p>
    <w:p>
      <w:pPr>
        <w:pStyle w:val="BodyText"/>
        <w:rPr>
          <w:sz w:val="29"/>
        </w:rPr>
      </w:pPr>
    </w:p>
    <w:p>
      <w:pPr>
        <w:pStyle w:val="BodyText"/>
        <w:tabs>
          <w:tab w:pos="8393" w:val="left" w:leader="dot"/>
        </w:tabs>
        <w:ind w:left="152"/>
      </w:pPr>
      <w:r>
        <w:rPr/>
        <w:t>Tabla</w:t>
      </w:r>
      <w:r>
        <w:rPr>
          <w:spacing w:val="-3"/>
        </w:rPr>
        <w:t> </w:t>
      </w:r>
      <w:r>
        <w:rPr/>
        <w:t>10.</w:t>
      </w:r>
      <w:r>
        <w:rPr>
          <w:spacing w:val="-3"/>
        </w:rPr>
        <w:t> </w:t>
      </w:r>
      <w:r>
        <w:rPr/>
        <w:t>Remesas</w:t>
        <w:tab/>
        <w:t>67</w:t>
      </w:r>
    </w:p>
    <w:p>
      <w:pPr>
        <w:spacing w:after="0"/>
        <w:sectPr>
          <w:pgSz w:w="12240" w:h="15840"/>
          <w:pgMar w:header="0" w:footer="1382" w:top="1500" w:bottom="1580" w:left="1720" w:right="1420"/>
        </w:sectPr>
      </w:pPr>
    </w:p>
    <w:p>
      <w:pPr>
        <w:pStyle w:val="BodyText"/>
        <w:spacing w:before="1"/>
        <w:rPr>
          <w:sz w:val="25"/>
        </w:rPr>
      </w:pPr>
    </w:p>
    <w:p>
      <w:pPr>
        <w:pStyle w:val="Heading2"/>
        <w:numPr>
          <w:ilvl w:val="1"/>
          <w:numId w:val="1"/>
        </w:numPr>
        <w:tabs>
          <w:tab w:pos="3740" w:val="left" w:leader="none"/>
        </w:tabs>
        <w:spacing w:line="240" w:lineRule="auto" w:before="70" w:after="0"/>
        <w:ind w:left="1598" w:right="0" w:firstLine="1940"/>
        <w:jc w:val="left"/>
      </w:pPr>
      <w:bookmarkStart w:name="_bookmark3" w:id="4"/>
      <w:bookmarkEnd w:id="4"/>
      <w:r>
        <w:rPr>
          <w:b w:val="0"/>
        </w:rPr>
      </w:r>
      <w:bookmarkStart w:name="_bookmark3" w:id="5"/>
      <w:bookmarkEnd w:id="5"/>
      <w:r>
        <w:rPr/>
        <w:t>I</w:t>
      </w:r>
      <w:r>
        <w:rPr/>
        <w:t>NTRODUCCIÓN</w:t>
      </w:r>
    </w:p>
    <w:p>
      <w:pPr>
        <w:pStyle w:val="BodyText"/>
        <w:rPr>
          <w:b/>
        </w:rPr>
      </w:pPr>
    </w:p>
    <w:p>
      <w:pPr>
        <w:pStyle w:val="BodyText"/>
        <w:spacing w:before="9"/>
        <w:rPr>
          <w:b/>
          <w:sz w:val="33"/>
        </w:rPr>
      </w:pPr>
    </w:p>
    <w:p>
      <w:pPr>
        <w:pStyle w:val="BodyText"/>
        <w:spacing w:line="360" w:lineRule="auto" w:before="1"/>
        <w:ind w:left="152" w:right="113"/>
        <w:jc w:val="both"/>
      </w:pPr>
      <w:r>
        <w:rPr/>
        <w:t>La migración internacional es uno de los grandes fenómenos globales de nuestros días, se observa que en diferentes regiones del mundo y en el devenir de la historia se han dado de manera constante. Actualmente es cada vez mayor la movilidad de personas que cruzan limites internacionales y se desplazan a países que incluso pueden llegar a ser lejanos.</w:t>
      </w:r>
    </w:p>
    <w:p>
      <w:pPr>
        <w:pStyle w:val="BodyText"/>
      </w:pPr>
    </w:p>
    <w:p>
      <w:pPr>
        <w:pStyle w:val="BodyText"/>
        <w:spacing w:line="360" w:lineRule="auto" w:before="139"/>
        <w:ind w:left="152" w:right="112"/>
        <w:jc w:val="both"/>
      </w:pPr>
      <w:r>
        <w:rPr/>
        <w:t>La migración internacional es un fenómeno complejo, asociado a los movimientos de mercancías de capitales que </w:t>
      </w:r>
      <w:r>
        <w:rPr>
          <w:spacing w:val="-3"/>
        </w:rPr>
        <w:t>se </w:t>
      </w:r>
      <w:r>
        <w:rPr/>
        <w:t>ha acelerado a partir del proceso de  interacción global entre las naciones. Sus flujos se incrementaron a mediados de los años ochenta ocupando un rango de primera importancia en los ámbitos gubernamental y académico. En América del Norte se presenta un importante flujo migratorio del sur al norte (Becerril,</w:t>
      </w:r>
      <w:r>
        <w:rPr>
          <w:spacing w:val="-20"/>
        </w:rPr>
        <w:t> </w:t>
      </w:r>
      <w:r>
        <w:rPr/>
        <w:t>1998).</w:t>
      </w:r>
    </w:p>
    <w:p>
      <w:pPr>
        <w:pStyle w:val="BodyText"/>
      </w:pPr>
    </w:p>
    <w:p>
      <w:pPr>
        <w:pStyle w:val="BodyText"/>
        <w:spacing w:line="360" w:lineRule="auto" w:before="144"/>
        <w:ind w:left="152" w:right="101"/>
        <w:jc w:val="both"/>
      </w:pPr>
      <w:r>
        <w:rPr/>
        <w:t>Las características actuales del patrón migratorio internacional México-Estados Unidos son resultado de un cambio radical, </w:t>
      </w:r>
      <w:r>
        <w:rPr>
          <w:spacing w:val="-3"/>
        </w:rPr>
        <w:t>se </w:t>
      </w:r>
      <w:r>
        <w:rPr/>
        <w:t>caracteriza por una tendencia hacia una estancia definitiva, una creciente población de origen urbano adicional a la rural, la incorporación de las mujeres en los flujos migratorios la ampliación en los rangos de edad incluyendo infantes, adolescentes, ancianos y adultos. Ante barreras e impedimentos legales para ingresar a los países de destino, así como  la ausencia de tratados poblacionales entre países que regulen la migración internacional, la mayoría de las personas se desplaza de </w:t>
      </w:r>
      <w:r>
        <w:rPr>
          <w:spacing w:val="-3"/>
        </w:rPr>
        <w:t>forma </w:t>
      </w:r>
      <w:r>
        <w:rPr/>
        <w:t>ilegal (Díaz,</w:t>
      </w:r>
      <w:r>
        <w:rPr>
          <w:spacing w:val="-16"/>
        </w:rPr>
        <w:t> </w:t>
      </w:r>
      <w:r>
        <w:rPr/>
        <w:t>2008).</w:t>
      </w:r>
    </w:p>
    <w:p>
      <w:pPr>
        <w:pStyle w:val="BodyText"/>
      </w:pPr>
    </w:p>
    <w:p>
      <w:pPr>
        <w:pStyle w:val="BodyText"/>
        <w:spacing w:line="360" w:lineRule="auto" w:before="139"/>
        <w:ind w:left="152" w:right="102"/>
        <w:jc w:val="both"/>
      </w:pPr>
      <w:r>
        <w:rPr/>
        <w:t>De acuerdo con los datos del Conteo General de Población y Vivienda de 1995 y del Censo de Población del 2000, el Estado de México ocupó el cuarto lugar de todas las entidades federativas en cuanto a la expulsión de población a Estados Unidos  y  el  resto  del  mundo.  La  participación  del  Estado  de  México  en     la</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16"/>
        <w:jc w:val="both"/>
      </w:pPr>
      <w:r>
        <w:rPr/>
        <w:t>migración a Estados Unidos pasó del lugar 20 en 1970, al cuarto en 2000 (González, 2006).</w:t>
      </w:r>
    </w:p>
    <w:p>
      <w:pPr>
        <w:pStyle w:val="BodyText"/>
      </w:pPr>
    </w:p>
    <w:p>
      <w:pPr>
        <w:pStyle w:val="BodyText"/>
        <w:spacing w:line="360" w:lineRule="auto" w:before="145"/>
        <w:ind w:left="152" w:right="100"/>
        <w:jc w:val="both"/>
      </w:pPr>
      <w:r>
        <w:rPr/>
        <w:t>El presente documento aborda las causas y efectos del fenómeno migratorio internacional en localidades pertenecientes a la región sur del Estado de México, se integra por las siguientes secciones, en primer término, los antecedentes históricos </w:t>
      </w:r>
      <w:r>
        <w:rPr>
          <w:spacing w:val="-3"/>
        </w:rPr>
        <w:t>más </w:t>
      </w:r>
      <w:r>
        <w:rPr/>
        <w:t>relevantes de este fenómeno migratorio correspondiendo al siglo XX y los inicios del XXI. En segundo lugar, se aborda el sustento teórico, cabe señalar que se parte de enfoques que cubren un análisis compartido entre lo  social y lo económico de las condiciones locales y externas, además, se establecen las diferencias salariales y las oportunidades de empleo como elemento explicativo del fenómeno migratorio aunado a una tradición migratoria a través de redes socioculturales representadas por las familias de los migrantes en ambos lados de la</w:t>
      </w:r>
      <w:r>
        <w:rPr>
          <w:spacing w:val="-11"/>
        </w:rPr>
        <w:t> </w:t>
      </w:r>
      <w:r>
        <w:rPr/>
        <w:t>frontera.</w:t>
      </w:r>
    </w:p>
    <w:p>
      <w:pPr>
        <w:pStyle w:val="BodyText"/>
      </w:pPr>
    </w:p>
    <w:p>
      <w:pPr>
        <w:pStyle w:val="BodyText"/>
        <w:spacing w:line="360" w:lineRule="auto" w:before="197"/>
        <w:ind w:left="152" w:right="105" w:firstLine="67"/>
        <w:jc w:val="both"/>
      </w:pPr>
      <w:r>
        <w:rPr/>
        <w:t>La propuesta metodológica consiste en la técnica estadística componentes principales, con la finalidad de agrupar los municipios del sur del Estado de México por grado de marginación, de esa manera, obtener las localidades que presentarían mayor intensidad migratoria dada esa condición, una segunda fase consiste en la realización de trabajo de campo en localidades detectadas como expulsoras del municipio de Tenancingo perteneciente al sur del Estado  de México, por medio de muestreo se encuesta a la población con la finalidad de obtener un perfil del migrante, las causas de la migración, motivos de migración, uso y destino de las remesas.</w:t>
      </w:r>
    </w:p>
    <w:p>
      <w:pPr>
        <w:spacing w:after="0" w:line="360" w:lineRule="auto"/>
        <w:jc w:val="both"/>
        <w:sectPr>
          <w:footerReference w:type="default" r:id="rId7"/>
          <w:pgSz w:w="12240" w:h="15840"/>
          <w:pgMar w:footer="1382" w:header="0" w:top="1500" w:bottom="1580" w:left="1720" w:right="1420"/>
        </w:sectPr>
      </w:pPr>
    </w:p>
    <w:p>
      <w:pPr>
        <w:pStyle w:val="BodyText"/>
        <w:spacing w:before="1"/>
        <w:rPr>
          <w:sz w:val="25"/>
        </w:rPr>
      </w:pPr>
    </w:p>
    <w:p>
      <w:pPr>
        <w:pStyle w:val="Heading2"/>
        <w:numPr>
          <w:ilvl w:val="1"/>
          <w:numId w:val="1"/>
        </w:numPr>
        <w:tabs>
          <w:tab w:pos="2674" w:val="left" w:leader="none"/>
        </w:tabs>
        <w:spacing w:line="240" w:lineRule="auto" w:before="70" w:after="0"/>
        <w:ind w:left="2674" w:right="0" w:hanging="265"/>
        <w:jc w:val="left"/>
      </w:pPr>
      <w:bookmarkStart w:name="_bookmark4" w:id="6"/>
      <w:bookmarkEnd w:id="6"/>
      <w:r>
        <w:rPr>
          <w:b w:val="0"/>
        </w:rPr>
      </w:r>
      <w:bookmarkStart w:name="_bookmark4" w:id="7"/>
      <w:bookmarkEnd w:id="7"/>
      <w:r>
        <w:rPr/>
        <w:t>P</w:t>
      </w:r>
      <w:r>
        <w:rPr/>
        <w:t>LANTEAMIENTO DEL</w:t>
      </w:r>
      <w:r>
        <w:rPr>
          <w:spacing w:val="-8"/>
        </w:rPr>
        <w:t> </w:t>
      </w:r>
      <w:r>
        <w:rPr/>
        <w:t>PROBLEMA</w:t>
      </w:r>
    </w:p>
    <w:p>
      <w:pPr>
        <w:pStyle w:val="BodyText"/>
        <w:rPr>
          <w:b/>
        </w:rPr>
      </w:pPr>
    </w:p>
    <w:p>
      <w:pPr>
        <w:pStyle w:val="BodyText"/>
        <w:spacing w:line="360" w:lineRule="auto" w:before="188"/>
        <w:ind w:left="152" w:right="105"/>
        <w:jc w:val="both"/>
      </w:pPr>
      <w:r>
        <w:rPr/>
        <w:t>Las crisis recurrentes por las que ha atravesado todo el continente  latinoamericano y principalmente México, a lo largo de las últimas décadas del Siglo XX, ha provocado que los mexicanos busquen nuevas alternativas de solución a sus problemas</w:t>
      </w:r>
      <w:r>
        <w:rPr>
          <w:spacing w:val="-15"/>
        </w:rPr>
        <w:t> </w:t>
      </w:r>
      <w:r>
        <w:rPr/>
        <w:t>económicos.</w:t>
      </w:r>
    </w:p>
    <w:p>
      <w:pPr>
        <w:pStyle w:val="BodyText"/>
      </w:pPr>
    </w:p>
    <w:p>
      <w:pPr>
        <w:pStyle w:val="BodyText"/>
        <w:spacing w:line="360" w:lineRule="auto" w:before="140"/>
        <w:ind w:left="152" w:right="109"/>
        <w:jc w:val="both"/>
      </w:pPr>
      <w:r>
        <w:rPr/>
        <w:t>Efectivamente, una de las opciones que eligieron las familias de las zonas urbanas y rurales del país, fue emigrar hacia las regiones de desarrollo que en ese momento se estaban generando en todo lo largo y ancho de la República Mexicana, ciudades como el Distrito Federal, Guadalajara, Monterrey, Puebla, sólo por mencionar algunas, se fueron convirtiendo en fuertes polos de atracción para la población</w:t>
      </w:r>
      <w:r>
        <w:rPr>
          <w:spacing w:val="-7"/>
        </w:rPr>
        <w:t> </w:t>
      </w:r>
      <w:r>
        <w:rPr/>
        <w:t>nacional.</w:t>
      </w:r>
    </w:p>
    <w:p>
      <w:pPr>
        <w:pStyle w:val="BodyText"/>
      </w:pPr>
    </w:p>
    <w:p>
      <w:pPr>
        <w:pStyle w:val="BodyText"/>
        <w:spacing w:line="360" w:lineRule="auto" w:before="140"/>
        <w:ind w:left="152" w:right="102"/>
        <w:jc w:val="both"/>
      </w:pPr>
      <w:r>
        <w:rPr/>
        <w:t>El fenómeno migratorio nacional e internacional, ha contribuido a reconfigurar la distribución poblacional en las diferentes regiones y poblaciones de la república Mexicana, así observamos zonas urbanas altamente pobladas, en contraste con las zonas rurales en franca disminución demográfica, producto esta migración desde luego al auge y desarrollo económico que se ha presentado en las diferentes ciudades del país, sobre todo de aquellas favorecidas con la inversión, generando esto por otro lado, un alto grado de desarrollo social en su población, además de la pérdida de las actividades productivas del campo, consecuencia de las crisis económicas que ha sufrido el país, después de la década de los 80’s, profundizadas durante el proceso de modernización e industrialización de las actividades productivas en México.</w:t>
      </w:r>
    </w:p>
    <w:p>
      <w:pPr>
        <w:pStyle w:val="BodyText"/>
      </w:pPr>
    </w:p>
    <w:p>
      <w:pPr>
        <w:pStyle w:val="BodyText"/>
        <w:spacing w:line="360" w:lineRule="auto" w:before="144"/>
        <w:ind w:left="152" w:right="115"/>
        <w:jc w:val="both"/>
      </w:pPr>
      <w:r>
        <w:rPr/>
        <w:t>Aunque ha existido siempre, según muestran algunos estudios desde 1920 hasta la actualidad, la migración de mexiquenses a Estados Unidos ha llegado a magnitudes  importantes  desde  el  inicio  de  la  década  de  1980  y  varía  de un</w:t>
      </w:r>
    </w:p>
    <w:p>
      <w:pPr>
        <w:spacing w:after="0" w:line="360" w:lineRule="auto"/>
        <w:jc w:val="both"/>
        <w:sectPr>
          <w:footerReference w:type="default" r:id="rId8"/>
          <w:pgSz w:w="12240" w:h="15840"/>
          <w:pgMar w:footer="1382" w:header="0" w:top="1500" w:bottom="1580" w:left="1720" w:right="1420"/>
          <w:pgNumType w:start="11"/>
        </w:sectPr>
      </w:pPr>
    </w:p>
    <w:p>
      <w:pPr>
        <w:pStyle w:val="BodyText"/>
        <w:spacing w:before="11"/>
        <w:rPr>
          <w:sz w:val="25"/>
        </w:rPr>
      </w:pPr>
    </w:p>
    <w:p>
      <w:pPr>
        <w:pStyle w:val="BodyText"/>
        <w:spacing w:line="360" w:lineRule="auto" w:before="69"/>
        <w:ind w:left="152" w:right="105"/>
        <w:jc w:val="both"/>
      </w:pPr>
      <w:bookmarkStart w:name="_bookmark5" w:id="8"/>
      <w:bookmarkEnd w:id="8"/>
      <w:r>
        <w:rPr/>
      </w:r>
      <w:r>
        <w:rPr/>
        <w:t>municipio a otro, según sean las localidades urbana-rural, con tradición o de incipiente incorporación en el tiempo. De acuerdo con el Censo de Población del 2010, el Estado de México ocupó el cuarto lugar de todas las entidades  federativas en cuanto a la expulsión de población a Estados Unidos y el resto del mundo. La participación del Estado de México en la migración a Estados Unidos pasó del lugar 20, en 1970, al cuarto en</w:t>
      </w:r>
      <w:r>
        <w:rPr>
          <w:spacing w:val="-21"/>
        </w:rPr>
        <w:t> </w:t>
      </w:r>
      <w:r>
        <w:rPr/>
        <w:t>2010.</w:t>
      </w:r>
    </w:p>
    <w:p>
      <w:pPr>
        <w:pStyle w:val="BodyText"/>
      </w:pPr>
    </w:p>
    <w:p>
      <w:pPr>
        <w:pStyle w:val="BodyText"/>
        <w:spacing w:line="360" w:lineRule="auto" w:before="140"/>
        <w:ind w:left="152" w:right="110"/>
        <w:jc w:val="both"/>
      </w:pPr>
      <w:r>
        <w:rPr/>
        <w:t>La importancia que ha adquirido la migración internacional en dicha entidad se refleja en la derrama económica generada por las remesas. Castro (2008) menciona las siguientes cifras publicadas por le Gobierno del Estado de México: En 2003 la entidad recibió por concepto de remesas un monto de 900 millones de dólares: cifra que superó los recursos generados por su sector turístico y su inversión extranjera directa. Según un informe del Banco de México ocupó el cuarto lugar nacional en términos de percepción de remesas en el 2009.</w:t>
      </w:r>
    </w:p>
    <w:p>
      <w:pPr>
        <w:pStyle w:val="BodyText"/>
      </w:pPr>
    </w:p>
    <w:p>
      <w:pPr>
        <w:pStyle w:val="BodyText"/>
        <w:spacing w:line="360" w:lineRule="auto" w:before="140"/>
        <w:ind w:left="152" w:right="105"/>
        <w:jc w:val="both"/>
      </w:pPr>
      <w:r>
        <w:rPr/>
        <w:t>La presente investigación aborda las causas que han influido en la migración internacional en la región sur del Estado de México específicamente en el municipio de Tenancingo.</w:t>
      </w:r>
    </w:p>
    <w:p>
      <w:pPr>
        <w:spacing w:after="0" w:line="360" w:lineRule="auto"/>
        <w:jc w:val="both"/>
        <w:sectPr>
          <w:pgSz w:w="12240" w:h="15840"/>
          <w:pgMar w:header="0" w:footer="1382" w:top="1500" w:bottom="1580" w:left="1720" w:right="1420"/>
        </w:sectPr>
      </w:pPr>
    </w:p>
    <w:p>
      <w:pPr>
        <w:pStyle w:val="BodyText"/>
        <w:spacing w:before="1"/>
        <w:rPr>
          <w:sz w:val="25"/>
        </w:rPr>
      </w:pPr>
    </w:p>
    <w:p>
      <w:pPr>
        <w:pStyle w:val="Heading2"/>
        <w:numPr>
          <w:ilvl w:val="1"/>
          <w:numId w:val="1"/>
        </w:numPr>
        <w:tabs>
          <w:tab w:pos="3817" w:val="left" w:leader="none"/>
        </w:tabs>
        <w:spacing w:line="240" w:lineRule="auto" w:before="70" w:after="0"/>
        <w:ind w:left="3816" w:right="0" w:hanging="331"/>
        <w:jc w:val="left"/>
      </w:pPr>
      <w:r>
        <w:rPr/>
        <w:t>JUSTIFICACIÓN</w:t>
      </w:r>
    </w:p>
    <w:p>
      <w:pPr>
        <w:pStyle w:val="BodyText"/>
        <w:rPr>
          <w:b/>
        </w:rPr>
      </w:pPr>
    </w:p>
    <w:p>
      <w:pPr>
        <w:pStyle w:val="BodyText"/>
        <w:spacing w:line="360" w:lineRule="auto" w:before="188"/>
        <w:ind w:left="152" w:right="104"/>
        <w:jc w:val="both"/>
      </w:pPr>
      <w:r>
        <w:rPr/>
        <w:t>La movilidad de personas a través de las fronteras internacionales tiene su origen en factores económicos, sociales, políticos y culturales que forman parte del proceso de desarrollo, al mismo tiempo, afecta la dinámica del progreso en las zonas de origen y destino, incidiendo directamente en las familias involucradas en los movimientos (CEPAL, 1999). Existen cuatro factores que explican la migración: familiar, cultural, social y económico, éste último es uno de los que tiene mayor incidencia debido a las desigualdades económicas entre países (Guevara, 2007).</w:t>
      </w:r>
    </w:p>
    <w:p>
      <w:pPr>
        <w:pStyle w:val="BodyText"/>
      </w:pPr>
    </w:p>
    <w:p>
      <w:pPr>
        <w:pStyle w:val="BodyText"/>
        <w:spacing w:line="360" w:lineRule="auto" w:before="140"/>
        <w:ind w:left="152" w:right="101"/>
        <w:jc w:val="both"/>
      </w:pPr>
      <w:r>
        <w:rPr/>
        <w:t>Entre las razones fundamentales por las que la gente emigra se encuentran su situación económica, personal y el contexto nacional. El subempleo y los salarios bajos complementan este proceso, en casi todos los casos, la red familiar en el exterior funciona como un estímulo adicional para que el emigrante se decida a marchar. En muchos casos la decisión es compartida por la familia o por algunos miembros de la familia.</w:t>
      </w:r>
    </w:p>
    <w:p>
      <w:pPr>
        <w:pStyle w:val="BodyText"/>
      </w:pPr>
    </w:p>
    <w:p>
      <w:pPr>
        <w:pStyle w:val="BodyText"/>
        <w:spacing w:line="360" w:lineRule="auto" w:before="144"/>
        <w:ind w:left="152" w:right="102"/>
        <w:jc w:val="both"/>
      </w:pPr>
      <w:r>
        <w:rPr/>
        <w:t>En el año 2000-2010 la tasa de crecimiento poblacional del municipio de Tenancingo fue de – 0.2 por ciento lo cual indica que hay menos cantidad de personas, esto lleva a pensar que este decrecimiento poblacional se debe a que la población se esta desplazando hacia otros lugares (INEGI, 2000 y 2010).</w:t>
      </w:r>
    </w:p>
    <w:p>
      <w:pPr>
        <w:pStyle w:val="BodyText"/>
      </w:pPr>
    </w:p>
    <w:p>
      <w:pPr>
        <w:pStyle w:val="BodyText"/>
        <w:spacing w:line="360" w:lineRule="auto" w:before="140"/>
        <w:ind w:left="152" w:right="114"/>
        <w:jc w:val="both"/>
      </w:pPr>
      <w:r>
        <w:rPr/>
        <w:t>De los 125 municipios que conforman el Estado de México, aquellos que expulsan en mayor cuantía fuerza de trabajo hacia los Estados Unidos se encuentran en la región sur de la entidad, de esa forma representa la mayor intensidad migratoria CONAPO (2010).</w:t>
      </w:r>
    </w:p>
    <w:p>
      <w:pPr>
        <w:pStyle w:val="BodyText"/>
      </w:pPr>
    </w:p>
    <w:p>
      <w:pPr>
        <w:pStyle w:val="BodyText"/>
        <w:spacing w:line="360" w:lineRule="auto" w:before="140"/>
        <w:ind w:left="152" w:right="106"/>
        <w:jc w:val="both"/>
      </w:pPr>
      <w:r>
        <w:rPr/>
        <w:t>El fenómeno migratorio internacional, ha sido motivo de investigación por diferentes estudiosos, así vemos que la gran mayoría de estos, regularmente se</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1"/>
        <w:jc w:val="both"/>
      </w:pPr>
      <w:r>
        <w:rPr/>
        <w:t>han ocupado </w:t>
      </w:r>
      <w:r>
        <w:rPr>
          <w:spacing w:val="-3"/>
        </w:rPr>
        <w:t>del </w:t>
      </w:r>
      <w:r>
        <w:rPr/>
        <w:t>estudio de las remesas y el impacto económico que tienen en los lugares de expulsión de los migrantes. Debido a la necesidad de exploraciones en otras vertientes se ha determinado llevar acabo la presente investigación en la  cual se analizan los motivos, causas y efectos del fenómeno migratorio en localidades de Tenancingo perteneciente a la región sur del Estado de</w:t>
      </w:r>
      <w:r>
        <w:rPr>
          <w:spacing w:val="-35"/>
        </w:rPr>
        <w:t> </w:t>
      </w:r>
      <w:r>
        <w:rPr/>
        <w:t>México.</w:t>
      </w:r>
    </w:p>
    <w:p>
      <w:pPr>
        <w:spacing w:after="0" w:line="360" w:lineRule="auto"/>
        <w:jc w:val="both"/>
        <w:sectPr>
          <w:pgSz w:w="12240" w:h="15840"/>
          <w:pgMar w:header="0" w:footer="1382" w:top="1500" w:bottom="1580" w:left="17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2"/>
        <w:numPr>
          <w:ilvl w:val="1"/>
          <w:numId w:val="1"/>
        </w:numPr>
        <w:tabs>
          <w:tab w:pos="4062" w:val="left" w:leader="none"/>
        </w:tabs>
        <w:spacing w:line="240" w:lineRule="auto" w:before="70" w:after="0"/>
        <w:ind w:left="4061" w:right="0" w:hanging="355"/>
        <w:jc w:val="left"/>
      </w:pPr>
      <w:bookmarkStart w:name="_bookmark6" w:id="9"/>
      <w:bookmarkEnd w:id="9"/>
      <w:r>
        <w:rPr>
          <w:b w:val="0"/>
        </w:rPr>
      </w:r>
      <w:bookmarkStart w:name="_bookmark6" w:id="10"/>
      <w:bookmarkEnd w:id="10"/>
      <w:r>
        <w:rPr/>
        <w:t>OBJ</w:t>
      </w:r>
      <w:r>
        <w:rPr/>
        <w:t>ETIVOS</w:t>
      </w:r>
    </w:p>
    <w:p>
      <w:pPr>
        <w:pStyle w:val="BodyText"/>
        <w:rPr>
          <w:b/>
          <w:sz w:val="20"/>
        </w:rPr>
      </w:pPr>
    </w:p>
    <w:p>
      <w:pPr>
        <w:pStyle w:val="BodyText"/>
        <w:spacing w:before="5"/>
        <w:rPr>
          <w:b/>
          <w:sz w:val="19"/>
        </w:rPr>
      </w:pPr>
    </w:p>
    <w:p>
      <w:pPr>
        <w:pStyle w:val="BodyText"/>
        <w:ind w:left="152"/>
        <w:jc w:val="both"/>
      </w:pPr>
      <w:r>
        <w:rPr/>
        <w:t>Objetivo General</w:t>
      </w:r>
    </w:p>
    <w:p>
      <w:pPr>
        <w:pStyle w:val="BodyText"/>
        <w:spacing w:before="10"/>
        <w:rPr>
          <w:sz w:val="29"/>
        </w:rPr>
      </w:pPr>
    </w:p>
    <w:p>
      <w:pPr>
        <w:pStyle w:val="BodyText"/>
        <w:spacing w:line="360" w:lineRule="auto"/>
        <w:ind w:left="152" w:right="101"/>
        <w:jc w:val="both"/>
      </w:pPr>
      <w:r>
        <w:rPr/>
        <w:t>Analizar causas y efectos del fenómeno migratorio internacional México-Estados Unidos en localidades expulsoras de migrantes del sur del Estado de México: municipio de Tenancingo.</w:t>
      </w:r>
    </w:p>
    <w:p>
      <w:pPr>
        <w:pStyle w:val="BodyText"/>
        <w:spacing w:before="8"/>
        <w:rPr>
          <w:sz w:val="35"/>
        </w:rPr>
      </w:pPr>
    </w:p>
    <w:p>
      <w:pPr>
        <w:pStyle w:val="BodyText"/>
        <w:spacing w:before="1"/>
        <w:ind w:left="152"/>
        <w:jc w:val="both"/>
      </w:pPr>
      <w:r>
        <w:rPr/>
        <w:t>Objetivos Específicos</w:t>
      </w:r>
    </w:p>
    <w:p>
      <w:pPr>
        <w:pStyle w:val="BodyText"/>
        <w:spacing w:before="9"/>
        <w:rPr>
          <w:sz w:val="29"/>
        </w:rPr>
      </w:pPr>
    </w:p>
    <w:p>
      <w:pPr>
        <w:pStyle w:val="ListParagraph"/>
        <w:numPr>
          <w:ilvl w:val="0"/>
          <w:numId w:val="5"/>
        </w:numPr>
        <w:tabs>
          <w:tab w:pos="873" w:val="left" w:leader="none"/>
        </w:tabs>
        <w:spacing w:line="360" w:lineRule="auto" w:before="0" w:after="0"/>
        <w:ind w:left="873" w:right="113" w:hanging="360"/>
        <w:jc w:val="both"/>
        <w:rPr>
          <w:sz w:val="24"/>
        </w:rPr>
      </w:pPr>
      <w:r>
        <w:rPr>
          <w:sz w:val="24"/>
        </w:rPr>
        <w:t>Establecer los determinantes económicos, sociales y demográficos que impactan en la intensidad migratoria internacional presente en los municipios del sur del Estado de</w:t>
      </w:r>
      <w:r>
        <w:rPr>
          <w:spacing w:val="-12"/>
          <w:sz w:val="24"/>
        </w:rPr>
        <w:t> </w:t>
      </w:r>
      <w:r>
        <w:rPr>
          <w:sz w:val="24"/>
        </w:rPr>
        <w:t>México.</w:t>
      </w:r>
    </w:p>
    <w:p>
      <w:pPr>
        <w:pStyle w:val="BodyText"/>
      </w:pPr>
    </w:p>
    <w:p>
      <w:pPr>
        <w:pStyle w:val="ListParagraph"/>
        <w:numPr>
          <w:ilvl w:val="0"/>
          <w:numId w:val="5"/>
        </w:numPr>
        <w:tabs>
          <w:tab w:pos="869" w:val="left" w:leader="none"/>
        </w:tabs>
        <w:spacing w:line="360" w:lineRule="auto" w:before="140" w:after="0"/>
        <w:ind w:left="868" w:right="114" w:hanging="360"/>
        <w:jc w:val="both"/>
        <w:rPr>
          <w:sz w:val="24"/>
        </w:rPr>
      </w:pPr>
      <w:r>
        <w:rPr>
          <w:sz w:val="24"/>
        </w:rPr>
        <w:t>Mediante la técnica estadística Componentes Principales agrupar municipios y localidades de la región sur del Estado de México que presenten alta intensidad</w:t>
      </w:r>
      <w:r>
        <w:rPr>
          <w:spacing w:val="-12"/>
          <w:sz w:val="24"/>
        </w:rPr>
        <w:t> </w:t>
      </w:r>
      <w:r>
        <w:rPr>
          <w:sz w:val="24"/>
        </w:rPr>
        <w:t>migratoria.</w:t>
      </w:r>
    </w:p>
    <w:p>
      <w:pPr>
        <w:pStyle w:val="BodyText"/>
      </w:pPr>
    </w:p>
    <w:p>
      <w:pPr>
        <w:pStyle w:val="BodyText"/>
      </w:pPr>
    </w:p>
    <w:p>
      <w:pPr>
        <w:pStyle w:val="ListParagraph"/>
        <w:numPr>
          <w:ilvl w:val="0"/>
          <w:numId w:val="5"/>
        </w:numPr>
        <w:tabs>
          <w:tab w:pos="869" w:val="left" w:leader="none"/>
        </w:tabs>
        <w:spacing w:line="360" w:lineRule="auto" w:before="181" w:after="0"/>
        <w:ind w:left="868" w:right="108" w:hanging="360"/>
        <w:jc w:val="both"/>
        <w:rPr>
          <w:sz w:val="24"/>
        </w:rPr>
      </w:pPr>
      <w:r>
        <w:rPr>
          <w:sz w:val="24"/>
        </w:rPr>
        <w:t>Analizar el perfil sociodemográfico de los migrantes internacionales en las localidades expulsoras y estudiar el destino de las remesas, en las familias de emigrantes internacionales en estas localidades receptoras y sus efectos en el desarrollo económico-social en localidades del municipio de Tenancingo.</w:t>
      </w:r>
    </w:p>
    <w:p>
      <w:pPr>
        <w:spacing w:after="0" w:line="360" w:lineRule="auto"/>
        <w:jc w:val="both"/>
        <w:rPr>
          <w:sz w:val="24"/>
        </w:rPr>
        <w:sectPr>
          <w:pgSz w:w="12240" w:h="15840"/>
          <w:pgMar w:header="0" w:footer="1382" w:top="1500" w:bottom="1580" w:left="17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2"/>
        <w:numPr>
          <w:ilvl w:val="1"/>
          <w:numId w:val="1"/>
        </w:numPr>
        <w:tabs>
          <w:tab w:pos="4076" w:val="left" w:leader="none"/>
        </w:tabs>
        <w:spacing w:line="240" w:lineRule="auto" w:before="70" w:after="0"/>
        <w:ind w:left="4076" w:right="0" w:hanging="293"/>
        <w:jc w:val="left"/>
      </w:pPr>
      <w:bookmarkStart w:name="_bookmark8" w:id="11"/>
      <w:bookmarkEnd w:id="11"/>
      <w:r>
        <w:rPr>
          <w:b w:val="0"/>
        </w:rPr>
      </w:r>
      <w:bookmarkStart w:name="_bookmark7" w:id="12"/>
      <w:bookmarkEnd w:id="12"/>
      <w:r>
        <w:rPr>
          <w:b w:val="0"/>
        </w:rPr>
      </w:r>
      <w:bookmarkStart w:name="_bookmark7" w:id="13"/>
      <w:bookmarkEnd w:id="13"/>
      <w:r>
        <w:rPr/>
        <w:t>H</w:t>
      </w:r>
      <w:r>
        <w:rPr/>
        <w:t>IPÓTESIS</w:t>
      </w:r>
    </w:p>
    <w:p>
      <w:pPr>
        <w:pStyle w:val="BodyText"/>
        <w:rPr>
          <w:b/>
        </w:rPr>
      </w:pPr>
    </w:p>
    <w:p>
      <w:pPr>
        <w:pStyle w:val="BodyText"/>
        <w:spacing w:before="4"/>
        <w:rPr>
          <w:b/>
          <w:sz w:val="33"/>
        </w:rPr>
      </w:pPr>
    </w:p>
    <w:p>
      <w:pPr>
        <w:pStyle w:val="BodyText"/>
        <w:spacing w:line="360" w:lineRule="auto"/>
        <w:ind w:left="152" w:right="107"/>
        <w:jc w:val="both"/>
      </w:pPr>
      <w:r>
        <w:rPr/>
        <w:t>Los determinantes de la migración internacional México a Estados Unidos en localidades rurales del municipio de Tenancingo han cambiado en años recientes, pues pasan de factores de corte económico a otros aspectos sociales, culturales y familiares.</w:t>
      </w:r>
    </w:p>
    <w:p>
      <w:pPr>
        <w:spacing w:after="0" w:line="360" w:lineRule="auto"/>
        <w:jc w:val="both"/>
        <w:sectPr>
          <w:pgSz w:w="12240" w:h="15840"/>
          <w:pgMar w:header="0" w:footer="1382" w:top="1500" w:bottom="1580" w:left="1720" w:right="1420"/>
        </w:sectPr>
      </w:pPr>
    </w:p>
    <w:p>
      <w:pPr>
        <w:pStyle w:val="BodyText"/>
        <w:spacing w:before="1"/>
        <w:rPr>
          <w:sz w:val="25"/>
        </w:rPr>
      </w:pPr>
    </w:p>
    <w:p>
      <w:pPr>
        <w:pStyle w:val="Heading2"/>
        <w:numPr>
          <w:ilvl w:val="1"/>
          <w:numId w:val="1"/>
        </w:numPr>
        <w:tabs>
          <w:tab w:pos="3774" w:val="left" w:leader="none"/>
        </w:tabs>
        <w:spacing w:line="240" w:lineRule="auto" w:before="70" w:after="0"/>
        <w:ind w:left="3773" w:right="0" w:hanging="360"/>
        <w:jc w:val="left"/>
      </w:pPr>
      <w:r>
        <w:rPr/>
        <w:t>ANTECEDENTES</w:t>
      </w:r>
    </w:p>
    <w:p>
      <w:pPr>
        <w:pStyle w:val="BodyText"/>
        <w:rPr>
          <w:b/>
        </w:rPr>
      </w:pPr>
    </w:p>
    <w:p>
      <w:pPr>
        <w:pStyle w:val="BodyText"/>
        <w:spacing w:line="360" w:lineRule="auto" w:before="188"/>
        <w:ind w:left="152" w:right="100"/>
        <w:jc w:val="both"/>
      </w:pPr>
      <w:r>
        <w:rPr/>
        <w:t>Los antecedentes de la migración no sólo </w:t>
      </w:r>
      <w:r>
        <w:rPr>
          <w:spacing w:val="-3"/>
        </w:rPr>
        <w:t>se </w:t>
      </w:r>
      <w:r>
        <w:rPr/>
        <w:t>restringen a los límites territoriales entre México y Estados unidos, sino a las condiciones legales, políticas, económicas y de seguridad generados entre los dos países y con efectos en la población migrante. A través del tiempo, las demandas de los migrantes y las reacciones de ambos gobiernos han conformado la historia de este movimiento, del </w:t>
      </w:r>
      <w:r>
        <w:rPr>
          <w:spacing w:val="-3"/>
        </w:rPr>
        <w:t>cual </w:t>
      </w:r>
      <w:r>
        <w:rPr/>
        <w:t>la población mexicana ha sido protagonista en la Unión</w:t>
      </w:r>
      <w:r>
        <w:rPr>
          <w:spacing w:val="-13"/>
        </w:rPr>
        <w:t> </w:t>
      </w:r>
      <w:r>
        <w:rPr/>
        <w:t>Americana.</w:t>
      </w:r>
    </w:p>
    <w:p>
      <w:pPr>
        <w:pStyle w:val="BodyText"/>
      </w:pPr>
    </w:p>
    <w:p>
      <w:pPr>
        <w:pStyle w:val="Heading2"/>
        <w:numPr>
          <w:ilvl w:val="1"/>
          <w:numId w:val="6"/>
        </w:numPr>
        <w:tabs>
          <w:tab w:pos="624" w:val="left" w:leader="none"/>
        </w:tabs>
        <w:spacing w:line="240" w:lineRule="auto" w:before="139" w:after="0"/>
        <w:ind w:left="623" w:right="0" w:hanging="471"/>
        <w:jc w:val="both"/>
      </w:pPr>
      <w:bookmarkStart w:name="_bookmark9" w:id="14"/>
      <w:bookmarkEnd w:id="14"/>
      <w:r>
        <w:rPr>
          <w:b w:val="0"/>
        </w:rPr>
      </w:r>
      <w:bookmarkStart w:name="_bookmark9" w:id="15"/>
      <w:bookmarkEnd w:id="15"/>
      <w:r>
        <w:rPr/>
        <w:t>A</w:t>
      </w:r>
      <w:r>
        <w:rPr/>
        <w:t>ntecedentes de la migración internacional México-Estados</w:t>
      </w:r>
      <w:r>
        <w:rPr>
          <w:spacing w:val="-34"/>
        </w:rPr>
        <w:t> </w:t>
      </w:r>
      <w:r>
        <w:rPr/>
        <w:t>Unidos</w:t>
      </w:r>
    </w:p>
    <w:p>
      <w:pPr>
        <w:pStyle w:val="BodyText"/>
        <w:rPr>
          <w:b/>
        </w:rPr>
      </w:pPr>
    </w:p>
    <w:p>
      <w:pPr>
        <w:pStyle w:val="BodyText"/>
        <w:spacing w:before="3"/>
        <w:rPr>
          <w:b/>
        </w:rPr>
      </w:pPr>
    </w:p>
    <w:p>
      <w:pPr>
        <w:pStyle w:val="BodyText"/>
        <w:spacing w:line="360" w:lineRule="auto"/>
        <w:ind w:left="152" w:right="106"/>
        <w:jc w:val="both"/>
      </w:pPr>
      <w:r>
        <w:rPr/>
        <w:t>Según Massey, </w:t>
      </w:r>
      <w:r>
        <w:rPr>
          <w:i/>
        </w:rPr>
        <w:t>et .al. </w:t>
      </w:r>
      <w:r>
        <w:rPr/>
        <w:t>(2002) y Durand (2013), es posible distinguir cinco fases en la migración de México a los Estados Unidos. </w:t>
      </w:r>
      <w:r>
        <w:rPr>
          <w:spacing w:val="5"/>
        </w:rPr>
        <w:t>La </w:t>
      </w:r>
      <w:r>
        <w:rPr/>
        <w:t>primera de 1900 a 1929, durante la cuál se formaron grupos de trabajadores a partir de relaciones familiares, con ánimos de lograr prosperidad económica, se dedicó a la agricultura y a los ferrocarriles. Se estima que en ese periodo emigraron alrededor de 730 </w:t>
      </w:r>
      <w:r>
        <w:rPr>
          <w:spacing w:val="-3"/>
        </w:rPr>
        <w:t>mil </w:t>
      </w:r>
      <w:r>
        <w:rPr/>
        <w:t>mexicanos al país del norte, en donde Texas era el principal punto de concentración. Ya para los años que corresponden a 1910 y 1920 se incremento  la emigración a Estados Unidos debido a la escasez de trabajadores agrícolas en el sur de ese país, pero principalmente debido a los efectos expulsores de la Revolución Mexicana, en el cual varios sectores de la población mexicana decidió abandonar las zonas de conflicto en dirección a la frontera norte de nuestro</w:t>
      </w:r>
      <w:r>
        <w:rPr>
          <w:spacing w:val="-39"/>
        </w:rPr>
        <w:t> </w:t>
      </w:r>
      <w:r>
        <w:rPr/>
        <w:t>país.</w:t>
      </w:r>
    </w:p>
    <w:p>
      <w:pPr>
        <w:pStyle w:val="BodyText"/>
      </w:pPr>
    </w:p>
    <w:p>
      <w:pPr>
        <w:pStyle w:val="BodyText"/>
        <w:spacing w:line="360" w:lineRule="auto" w:before="140"/>
        <w:ind w:left="152" w:right="109"/>
        <w:jc w:val="both"/>
      </w:pPr>
      <w:r>
        <w:rPr/>
        <w:t>La crisis de 1929 se convirtió en un factor determinante para el cambio de la política migratoria de Estados Unidos hacia México, la crisis financiera suscito un cierre total de las fronteras, aunque no era exclusivamente para mexicanos, sino para cualquier individuo que tuviera intención de emigrar a Estados Unidos.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1"/>
        <w:jc w:val="both"/>
      </w:pPr>
      <w:r>
        <w:rPr/>
        <w:t>Una segunda etapa se presentó entre 1930 y 1941, y se caracterizó por una deportación masiva y por un movimiento limitado de personas, similar al primero, pero en donde más de medio millón de mexicanos fueron repatriados en estos años. De 1934-1940, el crecimiento del país fue lento, este apenas iniciaba su proceso de industrialización con el modelo de “crecimiento hacia dentro” y “sustitución de importaciones” impulsado por el presidente Lázaro Cárdenas.</w:t>
      </w:r>
    </w:p>
    <w:p>
      <w:pPr>
        <w:pStyle w:val="BodyText"/>
      </w:pPr>
    </w:p>
    <w:p>
      <w:pPr>
        <w:pStyle w:val="BodyText"/>
        <w:spacing w:line="360" w:lineRule="auto" w:before="140"/>
        <w:ind w:left="152" w:right="103"/>
        <w:jc w:val="both"/>
      </w:pPr>
      <w:r>
        <w:rPr/>
        <w:t>La tercera etapa, surge ante la demanda de trabajadores en Estados Unidos por la Segunda Guerra Mundial, durante 1942 a 1964. En estos periodos se estableció el programa “Bracero” un acuerdo bilateral a través del cual se controlaba de manera temporal a trabajadores mexicanos para realizar actividades agrícolas. Se estima que cerca de 5 millones de trabajadores mexicanos emigraron de forma legal a EEUU. Lo cuál constituyo una de las oleadas migratorias históricas más importantes que se tenían registradas hasta ese momento. Los migrantes mexicanos comenzaron a establecerse en California y a constituir redes sociales que les facilitaron el traslado y la expansión hacia otros estados.</w:t>
      </w:r>
    </w:p>
    <w:p>
      <w:pPr>
        <w:pStyle w:val="BodyText"/>
      </w:pPr>
    </w:p>
    <w:p>
      <w:pPr>
        <w:pStyle w:val="BodyText"/>
        <w:spacing w:line="360" w:lineRule="auto" w:before="144"/>
        <w:ind w:left="152" w:right="107"/>
        <w:jc w:val="both"/>
      </w:pPr>
      <w:r>
        <w:rPr/>
        <w:t>La cuarta fase es conocida como la migración indocumentada y abarca de 1965 a 1986. Esta de genera ante la decisión del gobierno de EEUU de suspender el programa “Bracero” lo que impulso el desarrollo del coyotaje y el trafico de  ilegales. De la noche a la mañana terminó la migración legal y ordenada y se optó por facilitar, tolerar o permitir el flujo paralelo de migración irregular, pues al fin y al cabo alguien tenía que recoger las cosechas. Durante esta fase rige la ley conocida como Texas Proviso, que penaliza al migrante que trabaja en condición irregular y exime de culpa al empleador que contrata un trabajador irregular. De una tasa ligeramente superior a 1 por 100 en 1965, el número relativo de mexicanos aprehendidos aumentó a 21 por 1000 en 1986. </w:t>
      </w:r>
      <w:r>
        <w:rPr>
          <w:spacing w:val="-3"/>
        </w:rPr>
        <w:t>No </w:t>
      </w:r>
      <w:r>
        <w:rPr/>
        <w:t>obstante, a pesar  de los intentos por controles migratorios, se registró un incremento </w:t>
      </w:r>
      <w:r>
        <w:rPr>
          <w:spacing w:val="3"/>
        </w:rPr>
        <w:t>neto </w:t>
      </w:r>
      <w:r>
        <w:rPr/>
        <w:t>de mexicanos  en  EEUU  similar  al  observado  en  el  periodo  precedente, </w:t>
      </w:r>
      <w:r>
        <w:rPr>
          <w:spacing w:val="12"/>
        </w:rPr>
        <w:t> </w:t>
      </w:r>
      <w:r>
        <w:rPr/>
        <w:t>llegaron</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20"/>
        <w:jc w:val="both"/>
      </w:pPr>
      <w:r>
        <w:rPr/>
        <w:t>aproximadamente 5.7 millones, donde 81 por ciento eran indocumentados (</w:t>
      </w:r>
      <w:r>
        <w:rPr>
          <w:i/>
        </w:rPr>
        <w:t>Massey. et. al</w:t>
      </w:r>
      <w:r>
        <w:rPr/>
        <w:t>., 2002).</w:t>
      </w:r>
    </w:p>
    <w:p>
      <w:pPr>
        <w:pStyle w:val="BodyText"/>
      </w:pPr>
    </w:p>
    <w:p>
      <w:pPr>
        <w:pStyle w:val="BodyText"/>
        <w:spacing w:line="360" w:lineRule="auto" w:before="145"/>
        <w:ind w:left="152" w:right="104"/>
        <w:jc w:val="both"/>
      </w:pPr>
      <w:r>
        <w:rPr/>
        <w:t>La quinta fase comprende de 1986 a 2006. Comenzó en 1986, concluyó en 2007 cuando la migración mexicana llegó a su tope máximo con 12 millones de migrantes nacidos en México, de los cuales la mitad eran indocumentados. Se trata de un periodo realmente complicado en el cual se dio hitos relevantes que reconfiguraron un nuevo patrón migratorio, </w:t>
      </w:r>
      <w:r>
        <w:rPr>
          <w:spacing w:val="-3"/>
        </w:rPr>
        <w:t>más </w:t>
      </w:r>
      <w:r>
        <w:rPr/>
        <w:t>allá del fuerte impacto que  significó la</w:t>
      </w:r>
      <w:r>
        <w:rPr>
          <w:spacing w:val="-8"/>
        </w:rPr>
        <w:t> </w:t>
      </w:r>
      <w:r>
        <w:rPr/>
        <w:t>legalización.</w:t>
      </w:r>
    </w:p>
    <w:p>
      <w:pPr>
        <w:pStyle w:val="BodyText"/>
      </w:pPr>
    </w:p>
    <w:p>
      <w:pPr>
        <w:pStyle w:val="BodyText"/>
        <w:spacing w:line="360" w:lineRule="auto" w:before="140"/>
        <w:ind w:left="152" w:right="104"/>
        <w:jc w:val="both"/>
      </w:pPr>
      <w:r>
        <w:rPr/>
        <w:t>Esta fase se caracteriza por una doble dinámica: a consecuencia de la legalización se incrementaron los procesos de reunificación familiar (formales e informales), aumentaron notablemente las naturalizaciones y se generó el asentamiento definitivo y familiar en Estados Unidos. De manera paralela se generó un flujo masivo de migrantes irregulares, se incrementaron los costos y los riesgos del cruce fronterizo debido a la militarización de la frontera, lo que dio como resultado el alargamiento de la estancia. Se rompió el proceso de migración circular y aumentó considerablemente la tasa de no retorno entre los migrantes irregulares, lo que dio como resultado un incremento del volumen total que se quedaba en Estados Unidos. De manera complementaria las sanciones legales a empleadores se convirtieron en letra muerta y se toleró la utilización masiva de documentos falsificados.</w:t>
      </w:r>
    </w:p>
    <w:p>
      <w:pPr>
        <w:pStyle w:val="BodyText"/>
      </w:pPr>
    </w:p>
    <w:p>
      <w:pPr>
        <w:pStyle w:val="BodyText"/>
        <w:spacing w:line="360" w:lineRule="auto" w:before="140"/>
        <w:ind w:left="152" w:right="102"/>
        <w:jc w:val="both"/>
      </w:pPr>
      <w:r>
        <w:rPr/>
        <w:t>Durante este periodo las redes sociales de los migrantes se han ido consolidando, se ha incrementado la emigración femenina los migrantes se han esparcido por todo la unión Americana, se han desplazado en forma generalizada hacia otros sectores productivos distintos a los tradicionales, aparecen en la construcción, en las manufacturas y en los servicios; una alta proporción de migrantes han prolongado  su  estadía  en  aquel  país  y  ha  dejado  de  considerar  su potencial</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7"/>
        <w:jc w:val="both"/>
      </w:pPr>
      <w:r>
        <w:rPr/>
        <w:t>retorno, integrándose a la sociedad norteamericana y formando a través de sus familias migrantes de segunda generación o posteriores. A partir del llamado “error de diciembre” de 1994, que se derivó en una devaluación, se genero una aleada de migrantes que llegó casi a duplicar las cifras que anteriormente se venían presentando. También a finales de 1994 y hasta principios de 1997 se perdieron millones de fuentes de trabajo, con una caída de 20 por ciento en los salarios de los</w:t>
      </w:r>
      <w:r>
        <w:rPr>
          <w:spacing w:val="-5"/>
        </w:rPr>
        <w:t> </w:t>
      </w:r>
      <w:r>
        <w:rPr/>
        <w:t>trabajadores.</w:t>
      </w:r>
    </w:p>
    <w:p>
      <w:pPr>
        <w:pStyle w:val="BodyText"/>
      </w:pPr>
    </w:p>
    <w:p>
      <w:pPr>
        <w:pStyle w:val="BodyText"/>
        <w:spacing w:line="360" w:lineRule="auto" w:before="144"/>
        <w:ind w:left="152" w:right="105"/>
        <w:jc w:val="both"/>
      </w:pPr>
      <w:r>
        <w:rPr/>
        <w:t>La sexta etapa de 2007 a 2013 más que un cambio espectacular o un factor preponderante en el nuevo patrón migratorio que se va conformando, se ha entretejido un complicado engranaje compuesto de múltiples piezas que trabajan en algunos casos articuladas, en otros por separado y también en abierta contradicción. Estos tres engranajes le dan impulso al nuevo modelo migratorio: la dinámica migratoria, económica y legal. El control migratorio se encarga de regular la oferta de mano de obra, la dinámica económica de ciertos mercados de trabajo le marca el ritmo a la demanda de mano de obra migrante; finalmente el aparato legal regula la relación entre oferta y demanda, entre trabajadores y empleadores, entre los estados y la federación.</w:t>
      </w:r>
    </w:p>
    <w:p>
      <w:pPr>
        <w:pStyle w:val="BodyText"/>
      </w:pPr>
    </w:p>
    <w:p>
      <w:pPr>
        <w:pStyle w:val="BodyText"/>
        <w:spacing w:line="360" w:lineRule="auto" w:before="140"/>
        <w:ind w:left="152" w:right="105"/>
        <w:jc w:val="both"/>
      </w:pPr>
      <w:r>
        <w:rPr/>
        <w:t>Aunado a lo anterior durante esta etapa se presenta un freno en la migración internacional México-Estados Unidos. La recesión económica que presentó Estados Unidos a finales del 2007 e inicios del 2008 trajo como consecuencia una alta pérdida de empleos de trabajadores mexicanos, así como un gran número de deportaciones de trabajadores ilegales, aunado a ello los controles fronterizos se han vuelto cada día más estrictos a raíz de los ataques terroristas del 11 de septiembre de 2001, los cuales han frenado la entrada de inmigrantes a América del Norte.</w:t>
      </w:r>
    </w:p>
    <w:p>
      <w:pPr>
        <w:spacing w:after="0" w:line="360" w:lineRule="auto"/>
        <w:jc w:val="both"/>
        <w:sectPr>
          <w:footerReference w:type="default" r:id="rId9"/>
          <w:pgSz w:w="12240" w:h="15840"/>
          <w:pgMar w:footer="1382" w:header="0" w:top="1500" w:bottom="1580" w:left="1720" w:right="1420"/>
        </w:sectPr>
      </w:pPr>
    </w:p>
    <w:p>
      <w:pPr>
        <w:pStyle w:val="BodyText"/>
        <w:spacing w:before="11"/>
        <w:rPr>
          <w:sz w:val="25"/>
        </w:rPr>
      </w:pPr>
    </w:p>
    <w:p>
      <w:pPr>
        <w:pStyle w:val="BodyText"/>
        <w:spacing w:line="355" w:lineRule="auto" w:before="69"/>
        <w:ind w:left="232" w:right="269"/>
      </w:pPr>
      <w:r>
        <w:rPr/>
        <w:t>A continuación se presenta un resumen de las etapas de la migración de acuerdo a Massey</w:t>
      </w:r>
      <w:r>
        <w:rPr>
          <w:i/>
        </w:rPr>
        <w:t>, et.al, </w:t>
      </w:r>
      <w:r>
        <w:rPr/>
        <w:t>(2002) y Durand (2013). Véase tabla</w:t>
      </w:r>
      <w:r>
        <w:rPr>
          <w:spacing w:val="-19"/>
        </w:rPr>
        <w:t> </w:t>
      </w:r>
      <w:r>
        <w:rPr/>
        <w:t>1.</w:t>
      </w:r>
    </w:p>
    <w:p>
      <w:pPr>
        <w:pStyle w:val="BodyText"/>
        <w:spacing w:before="210"/>
        <w:ind w:left="1855" w:right="269"/>
      </w:pPr>
      <w:r>
        <w:rPr/>
        <w:t>Tabla  1. Antecedentes de la migración internacional</w:t>
      </w:r>
    </w:p>
    <w:p>
      <w:pPr>
        <w:pStyle w:val="BodyText"/>
        <w:rPr>
          <w:sz w:val="20"/>
        </w:rPr>
      </w:pPr>
    </w:p>
    <w:p>
      <w:pPr>
        <w:pStyle w:val="BodyText"/>
        <w:spacing w:before="2"/>
        <w:rPr>
          <w:sz w:val="10"/>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87"/>
        <w:gridCol w:w="1630"/>
        <w:gridCol w:w="1313"/>
        <w:gridCol w:w="1688"/>
        <w:gridCol w:w="1652"/>
        <w:gridCol w:w="1191"/>
      </w:tblGrid>
      <w:tr>
        <w:trPr>
          <w:trHeight w:val="269" w:hRule="exact"/>
        </w:trPr>
        <w:tc>
          <w:tcPr>
            <w:tcW w:w="9062" w:type="dxa"/>
            <w:gridSpan w:val="6"/>
            <w:shd w:val="clear" w:color="auto" w:fill="C0C0C0"/>
          </w:tcPr>
          <w:p>
            <w:pPr>
              <w:pStyle w:val="TableParagraph"/>
              <w:spacing w:line="201" w:lineRule="exact"/>
              <w:ind w:left="101"/>
              <w:rPr>
                <w:sz w:val="18"/>
              </w:rPr>
            </w:pPr>
            <w:r>
              <w:rPr>
                <w:sz w:val="18"/>
              </w:rPr>
              <w:t>Etapas de acuerdo a Massey, </w:t>
            </w:r>
            <w:r>
              <w:rPr>
                <w:i/>
                <w:sz w:val="18"/>
              </w:rPr>
              <w:t>et.al, </w:t>
            </w:r>
            <w:r>
              <w:rPr>
                <w:sz w:val="18"/>
              </w:rPr>
              <w:t>(2002) y Durand (2013).</w:t>
            </w:r>
          </w:p>
        </w:tc>
      </w:tr>
      <w:tr>
        <w:trPr>
          <w:trHeight w:val="586" w:hRule="exact"/>
        </w:trPr>
        <w:tc>
          <w:tcPr>
            <w:tcW w:w="1587" w:type="dxa"/>
            <w:shd w:val="clear" w:color="auto" w:fill="C0C0C0"/>
          </w:tcPr>
          <w:p>
            <w:pPr>
              <w:pStyle w:val="TableParagraph"/>
              <w:ind w:left="101" w:right="600"/>
              <w:rPr>
                <w:sz w:val="18"/>
              </w:rPr>
            </w:pPr>
            <w:r>
              <w:rPr>
                <w:sz w:val="18"/>
              </w:rPr>
              <w:t>1ra. Etapa 1900-1920</w:t>
            </w:r>
          </w:p>
        </w:tc>
        <w:tc>
          <w:tcPr>
            <w:tcW w:w="1630" w:type="dxa"/>
          </w:tcPr>
          <w:p>
            <w:pPr>
              <w:pStyle w:val="TableParagraph"/>
              <w:ind w:left="98" w:right="636"/>
              <w:rPr>
                <w:sz w:val="18"/>
              </w:rPr>
            </w:pPr>
            <w:r>
              <w:rPr>
                <w:sz w:val="18"/>
              </w:rPr>
              <w:t>2da. Etapa 1921-1941</w:t>
            </w:r>
          </w:p>
        </w:tc>
        <w:tc>
          <w:tcPr>
            <w:tcW w:w="1313" w:type="dxa"/>
            <w:shd w:val="clear" w:color="auto" w:fill="C0C0C0"/>
          </w:tcPr>
          <w:p>
            <w:pPr>
              <w:pStyle w:val="TableParagraph"/>
              <w:ind w:left="95" w:right="330"/>
              <w:rPr>
                <w:sz w:val="18"/>
              </w:rPr>
            </w:pPr>
            <w:r>
              <w:rPr>
                <w:sz w:val="18"/>
              </w:rPr>
              <w:t>3ra. Etapa 1942-1964</w:t>
            </w:r>
          </w:p>
        </w:tc>
        <w:tc>
          <w:tcPr>
            <w:tcW w:w="1688" w:type="dxa"/>
          </w:tcPr>
          <w:p>
            <w:pPr>
              <w:pStyle w:val="TableParagraph"/>
              <w:ind w:left="98" w:right="703"/>
              <w:rPr>
                <w:sz w:val="18"/>
              </w:rPr>
            </w:pPr>
            <w:r>
              <w:rPr>
                <w:sz w:val="18"/>
              </w:rPr>
              <w:t>4ta. Etapa 1965-1985</w:t>
            </w:r>
          </w:p>
        </w:tc>
        <w:tc>
          <w:tcPr>
            <w:tcW w:w="1652" w:type="dxa"/>
            <w:shd w:val="clear" w:color="auto" w:fill="C0C0C0"/>
          </w:tcPr>
          <w:p>
            <w:pPr>
              <w:pStyle w:val="TableParagraph"/>
              <w:ind w:left="95" w:right="669"/>
              <w:rPr>
                <w:sz w:val="18"/>
              </w:rPr>
            </w:pPr>
            <w:r>
              <w:rPr>
                <w:sz w:val="18"/>
              </w:rPr>
              <w:t>5ta.Etapa 1986-2006</w:t>
            </w:r>
          </w:p>
        </w:tc>
        <w:tc>
          <w:tcPr>
            <w:tcW w:w="1191" w:type="dxa"/>
          </w:tcPr>
          <w:p>
            <w:pPr>
              <w:pStyle w:val="TableParagraph"/>
              <w:ind w:left="96" w:right="208"/>
              <w:rPr>
                <w:sz w:val="18"/>
              </w:rPr>
            </w:pPr>
            <w:r>
              <w:rPr>
                <w:sz w:val="18"/>
              </w:rPr>
              <w:t>6ta. Etapa 2007-2011</w:t>
            </w:r>
          </w:p>
        </w:tc>
      </w:tr>
      <w:tr>
        <w:trPr>
          <w:trHeight w:val="1054" w:hRule="exact"/>
        </w:trPr>
        <w:tc>
          <w:tcPr>
            <w:tcW w:w="1587" w:type="dxa"/>
            <w:shd w:val="clear" w:color="auto" w:fill="C0C0C0"/>
          </w:tcPr>
          <w:p>
            <w:pPr>
              <w:pStyle w:val="TableParagraph"/>
              <w:spacing w:line="201" w:lineRule="exact"/>
              <w:ind w:left="101" w:right="136"/>
              <w:rPr>
                <w:b/>
                <w:sz w:val="18"/>
              </w:rPr>
            </w:pPr>
            <w:r>
              <w:rPr>
                <w:b/>
                <w:sz w:val="18"/>
              </w:rPr>
              <w:t>El enganche</w:t>
            </w:r>
          </w:p>
        </w:tc>
        <w:tc>
          <w:tcPr>
            <w:tcW w:w="1630" w:type="dxa"/>
            <w:shd w:val="clear" w:color="auto" w:fill="C0C0C0"/>
          </w:tcPr>
          <w:p>
            <w:pPr>
              <w:pStyle w:val="TableParagraph"/>
              <w:ind w:left="98" w:right="262"/>
              <w:rPr>
                <w:b/>
                <w:sz w:val="18"/>
              </w:rPr>
            </w:pPr>
            <w:r>
              <w:rPr>
                <w:b/>
                <w:sz w:val="18"/>
              </w:rPr>
              <w:t>Etapa de las grandes deportaciones</w:t>
            </w:r>
          </w:p>
        </w:tc>
        <w:tc>
          <w:tcPr>
            <w:tcW w:w="1313" w:type="dxa"/>
            <w:shd w:val="clear" w:color="auto" w:fill="C0C0C0"/>
          </w:tcPr>
          <w:p>
            <w:pPr>
              <w:pStyle w:val="TableParagraph"/>
              <w:ind w:left="95" w:right="258"/>
              <w:rPr>
                <w:b/>
                <w:sz w:val="18"/>
              </w:rPr>
            </w:pPr>
            <w:r>
              <w:rPr>
                <w:b/>
                <w:sz w:val="18"/>
              </w:rPr>
              <w:t>Apertura y migración legal “programa bracero”</w:t>
            </w:r>
          </w:p>
        </w:tc>
        <w:tc>
          <w:tcPr>
            <w:tcW w:w="1688" w:type="dxa"/>
            <w:shd w:val="clear" w:color="auto" w:fill="C0C0C0"/>
          </w:tcPr>
          <w:p>
            <w:pPr>
              <w:pStyle w:val="TableParagraph"/>
              <w:ind w:left="98" w:right="220"/>
              <w:rPr>
                <w:b/>
                <w:sz w:val="18"/>
              </w:rPr>
            </w:pPr>
            <w:r>
              <w:rPr>
                <w:b/>
                <w:sz w:val="18"/>
              </w:rPr>
              <w:t>Era indocumentada</w:t>
            </w:r>
          </w:p>
        </w:tc>
        <w:tc>
          <w:tcPr>
            <w:tcW w:w="1652" w:type="dxa"/>
            <w:shd w:val="clear" w:color="auto" w:fill="C0C0C0"/>
          </w:tcPr>
          <w:p>
            <w:pPr>
              <w:pStyle w:val="TableParagraph"/>
              <w:spacing w:line="201" w:lineRule="exact"/>
              <w:ind w:left="95" w:right="326"/>
              <w:rPr>
                <w:b/>
                <w:sz w:val="18"/>
              </w:rPr>
            </w:pPr>
            <w:r>
              <w:rPr>
                <w:b/>
                <w:sz w:val="18"/>
              </w:rPr>
              <w:t>Fase bipolar</w:t>
            </w:r>
          </w:p>
        </w:tc>
        <w:tc>
          <w:tcPr>
            <w:tcW w:w="1191" w:type="dxa"/>
            <w:shd w:val="clear" w:color="auto" w:fill="C0C0C0"/>
          </w:tcPr>
          <w:p>
            <w:pPr>
              <w:pStyle w:val="TableParagraph"/>
              <w:ind w:left="96" w:right="105"/>
              <w:rPr>
                <w:b/>
                <w:sz w:val="18"/>
              </w:rPr>
            </w:pPr>
            <w:r>
              <w:rPr>
                <w:b/>
                <w:sz w:val="18"/>
              </w:rPr>
              <w:t>Nueva fase migratoria</w:t>
            </w:r>
          </w:p>
        </w:tc>
      </w:tr>
      <w:tr>
        <w:trPr>
          <w:trHeight w:val="7267" w:hRule="exact"/>
        </w:trPr>
        <w:tc>
          <w:tcPr>
            <w:tcW w:w="1587" w:type="dxa"/>
            <w:shd w:val="clear" w:color="auto" w:fill="C0C0C0"/>
          </w:tcPr>
          <w:p>
            <w:pPr>
              <w:pStyle w:val="TableParagraph"/>
              <w:ind w:left="101" w:right="136"/>
              <w:rPr>
                <w:sz w:val="18"/>
              </w:rPr>
            </w:pPr>
            <w:r>
              <w:rPr>
                <w:sz w:val="18"/>
              </w:rPr>
              <w:t>Durante esta etapa se incrementó la emigración a Estados Unidos debido a la escasez de trabajadores agrícolas en el sur de ese país, pero principalmente debido a los efectos expulsores de la Revolución Mexicana.</w:t>
            </w:r>
          </w:p>
          <w:p>
            <w:pPr>
              <w:pStyle w:val="TableParagraph"/>
              <w:spacing w:before="4"/>
              <w:ind w:left="101" w:right="196"/>
              <w:rPr>
                <w:sz w:val="18"/>
              </w:rPr>
            </w:pPr>
            <w:r>
              <w:rPr>
                <w:sz w:val="18"/>
              </w:rPr>
              <w:t>Fueron tiempos de trabajo semiforzado, sistemas de endeudamiento y migración familiar.</w:t>
            </w:r>
          </w:p>
        </w:tc>
        <w:tc>
          <w:tcPr>
            <w:tcW w:w="1630" w:type="dxa"/>
          </w:tcPr>
          <w:p>
            <w:pPr>
              <w:pStyle w:val="TableParagraph"/>
              <w:ind w:left="98" w:right="102"/>
              <w:rPr>
                <w:sz w:val="18"/>
              </w:rPr>
            </w:pPr>
            <w:r>
              <w:rPr>
                <w:sz w:val="18"/>
              </w:rPr>
              <w:t>Un periodo de recesiones y crisis consecutivas que llegó a su</w:t>
            </w:r>
          </w:p>
          <w:p>
            <w:pPr>
              <w:pStyle w:val="TableParagraph"/>
              <w:ind w:left="98" w:right="112"/>
              <w:rPr>
                <w:sz w:val="18"/>
              </w:rPr>
            </w:pPr>
            <w:r>
              <w:rPr>
                <w:sz w:val="18"/>
              </w:rPr>
              <w:t>punto culminante con el crack de 1929 y se caracterizó por la expulsión y</w:t>
            </w:r>
          </w:p>
          <w:p>
            <w:pPr>
              <w:pStyle w:val="TableParagraph"/>
              <w:ind w:left="98" w:right="112"/>
              <w:rPr>
                <w:sz w:val="18"/>
              </w:rPr>
            </w:pPr>
            <w:r>
              <w:rPr>
                <w:sz w:val="18"/>
              </w:rPr>
              <w:t>el retorno masivo y forzado de más de medio millón de migrantes mexicanos.</w:t>
            </w:r>
          </w:p>
          <w:p>
            <w:pPr>
              <w:pStyle w:val="TableParagraph"/>
              <w:ind w:left="98" w:right="122"/>
              <w:rPr>
                <w:sz w:val="18"/>
              </w:rPr>
            </w:pPr>
            <w:r>
              <w:rPr>
                <w:sz w:val="18"/>
              </w:rPr>
              <w:t>Durante este periodo el crecimiento de México fue lento, este apenas iniciaba su proceso de industrialización con el modelo de “crecimiento hacia dentro” y “sustitución de importaciones”</w:t>
            </w:r>
          </w:p>
        </w:tc>
        <w:tc>
          <w:tcPr>
            <w:tcW w:w="1313" w:type="dxa"/>
            <w:shd w:val="clear" w:color="auto" w:fill="C0C0C0"/>
          </w:tcPr>
          <w:p>
            <w:pPr>
              <w:pStyle w:val="TableParagraph"/>
              <w:ind w:left="95" w:right="88"/>
              <w:rPr>
                <w:sz w:val="18"/>
              </w:rPr>
            </w:pPr>
            <w:r>
              <w:rPr>
                <w:sz w:val="18"/>
              </w:rPr>
              <w:t>Inicio del “programa bracero” un acuerdo bilateral a través del cual se controlaba de manera temporal a trabajadores mexicanos para realizar actividades agrícolas.</w:t>
            </w:r>
          </w:p>
        </w:tc>
        <w:tc>
          <w:tcPr>
            <w:tcW w:w="1688" w:type="dxa"/>
          </w:tcPr>
          <w:p>
            <w:pPr>
              <w:pStyle w:val="TableParagraph"/>
              <w:ind w:left="98" w:right="117"/>
              <w:rPr>
                <w:sz w:val="18"/>
              </w:rPr>
            </w:pPr>
            <w:r>
              <w:rPr>
                <w:b/>
                <w:sz w:val="18"/>
              </w:rPr>
              <w:t>“</w:t>
            </w:r>
            <w:r>
              <w:rPr>
                <w:sz w:val="18"/>
              </w:rPr>
              <w:t>Suspensión </w:t>
            </w:r>
            <w:r>
              <w:rPr>
                <w:spacing w:val="-3"/>
                <w:sz w:val="18"/>
              </w:rPr>
              <w:t>del </w:t>
            </w:r>
            <w:r>
              <w:rPr>
                <w:sz w:val="18"/>
              </w:rPr>
              <w:t>“programa bracero” lo que impulso </w:t>
            </w:r>
            <w:r>
              <w:rPr>
                <w:spacing w:val="-3"/>
                <w:sz w:val="18"/>
              </w:rPr>
              <w:t>el </w:t>
            </w:r>
            <w:r>
              <w:rPr>
                <w:sz w:val="18"/>
              </w:rPr>
              <w:t>desarrollo </w:t>
            </w:r>
            <w:r>
              <w:rPr>
                <w:spacing w:val="-3"/>
                <w:sz w:val="18"/>
              </w:rPr>
              <w:t>del </w:t>
            </w:r>
            <w:r>
              <w:rPr>
                <w:sz w:val="18"/>
              </w:rPr>
              <w:t>coyotaje y </w:t>
            </w:r>
            <w:r>
              <w:rPr>
                <w:spacing w:val="-3"/>
                <w:sz w:val="18"/>
              </w:rPr>
              <w:t>el </w:t>
            </w:r>
            <w:r>
              <w:rPr>
                <w:sz w:val="18"/>
              </w:rPr>
              <w:t>trafico de ilegales. De la noche a la mañana terminó la migración</w:t>
            </w:r>
          </w:p>
          <w:p>
            <w:pPr>
              <w:pStyle w:val="TableParagraph"/>
              <w:ind w:left="98" w:right="219"/>
              <w:rPr>
                <w:sz w:val="18"/>
              </w:rPr>
            </w:pPr>
            <w:r>
              <w:rPr>
                <w:sz w:val="18"/>
              </w:rPr>
              <w:t>legal y ordenada y se optó por facilitar, tolerar o permitir el flujo paralelo</w:t>
            </w:r>
          </w:p>
          <w:p>
            <w:pPr>
              <w:pStyle w:val="TableParagraph"/>
              <w:ind w:left="98" w:right="520"/>
              <w:rPr>
                <w:sz w:val="18"/>
              </w:rPr>
            </w:pPr>
            <w:r>
              <w:rPr>
                <w:sz w:val="18"/>
              </w:rPr>
              <w:t>de migración irregular</w:t>
            </w:r>
          </w:p>
        </w:tc>
        <w:tc>
          <w:tcPr>
            <w:tcW w:w="1652" w:type="dxa"/>
            <w:shd w:val="clear" w:color="auto" w:fill="C0C0C0"/>
          </w:tcPr>
          <w:p>
            <w:pPr>
              <w:pStyle w:val="TableParagraph"/>
              <w:ind w:left="95" w:right="326"/>
              <w:rPr>
                <w:sz w:val="18"/>
              </w:rPr>
            </w:pPr>
            <w:r>
              <w:rPr>
                <w:sz w:val="18"/>
              </w:rPr>
              <w:t>Esta fase se caracteriza por una doble dinámica: a consecuencia</w:t>
            </w:r>
          </w:p>
          <w:p>
            <w:pPr>
              <w:pStyle w:val="TableParagraph"/>
              <w:ind w:left="95" w:right="137"/>
              <w:rPr>
                <w:sz w:val="18"/>
              </w:rPr>
            </w:pPr>
            <w:r>
              <w:rPr>
                <w:sz w:val="18"/>
              </w:rPr>
              <w:t>de la legalización se incrementaron los procesos de reunificación familiar, aumentaron notablemente las naturalizaciones y se </w:t>
            </w:r>
            <w:r>
              <w:rPr>
                <w:spacing w:val="-3"/>
                <w:sz w:val="18"/>
              </w:rPr>
              <w:t>generó el </w:t>
            </w:r>
            <w:r>
              <w:rPr>
                <w:sz w:val="18"/>
              </w:rPr>
              <w:t>asentamiento definitivo y familiar </w:t>
            </w:r>
            <w:r>
              <w:rPr>
                <w:spacing w:val="-3"/>
                <w:sz w:val="18"/>
              </w:rPr>
              <w:t>en </w:t>
            </w:r>
            <w:r>
              <w:rPr>
                <w:sz w:val="18"/>
              </w:rPr>
              <w:t>Estados Unidos. De manera paralela se </w:t>
            </w:r>
            <w:r>
              <w:rPr>
                <w:spacing w:val="-3"/>
                <w:sz w:val="18"/>
              </w:rPr>
              <w:t>generó </w:t>
            </w:r>
            <w:r>
              <w:rPr>
                <w:sz w:val="18"/>
              </w:rPr>
              <w:t>un flujo masivo de migrantes irregulares,</w:t>
            </w:r>
          </w:p>
          <w:p>
            <w:pPr>
              <w:pStyle w:val="TableParagraph"/>
              <w:ind w:left="95" w:right="126"/>
              <w:rPr>
                <w:sz w:val="18"/>
              </w:rPr>
            </w:pPr>
            <w:r>
              <w:rPr>
                <w:sz w:val="18"/>
              </w:rPr>
              <w:t>se incrementaron los costos y los riesgos del cruce fronterizo debido a la</w:t>
            </w:r>
          </w:p>
          <w:p>
            <w:pPr>
              <w:pStyle w:val="TableParagraph"/>
              <w:ind w:left="95" w:right="116"/>
              <w:rPr>
                <w:sz w:val="18"/>
              </w:rPr>
            </w:pPr>
            <w:r>
              <w:rPr>
                <w:sz w:val="18"/>
              </w:rPr>
              <w:t>militarización de la frontera, lo que dio como resultado el alargamiento de la estancia.</w:t>
            </w:r>
          </w:p>
        </w:tc>
        <w:tc>
          <w:tcPr>
            <w:tcW w:w="1191" w:type="dxa"/>
          </w:tcPr>
          <w:p>
            <w:pPr>
              <w:pStyle w:val="TableParagraph"/>
              <w:ind w:left="96" w:right="115"/>
              <w:rPr>
                <w:sz w:val="18"/>
              </w:rPr>
            </w:pPr>
            <w:r>
              <w:rPr>
                <w:sz w:val="18"/>
              </w:rPr>
              <w:t>Son tres los engranajes que le dan Impulso al nuevo modelo migratorio: la dinámica migratoria, económica y legal.</w:t>
            </w:r>
          </w:p>
          <w:p>
            <w:pPr>
              <w:pStyle w:val="TableParagraph"/>
              <w:ind w:left="96" w:right="125"/>
              <w:rPr>
                <w:sz w:val="18"/>
              </w:rPr>
            </w:pPr>
            <w:r>
              <w:rPr>
                <w:sz w:val="18"/>
              </w:rPr>
              <w:t>Freno de la migración, recesión de la actividad económica de Estados Unidos e incremento en los controles fronterizos.</w:t>
            </w:r>
          </w:p>
        </w:tc>
      </w:tr>
    </w:tbl>
    <w:p>
      <w:pPr>
        <w:pStyle w:val="BodyText"/>
        <w:spacing w:line="267" w:lineRule="exact"/>
        <w:ind w:left="232" w:right="269"/>
      </w:pPr>
      <w:r>
        <w:rPr/>
        <w:t>Fuente: elaboración propia con base en Massey 2002 y Durand 2013.</w:t>
      </w:r>
    </w:p>
    <w:p>
      <w:pPr>
        <w:spacing w:after="0" w:line="267" w:lineRule="exact"/>
        <w:sectPr>
          <w:footerReference w:type="default" r:id="rId10"/>
          <w:pgSz w:w="12240" w:h="15840"/>
          <w:pgMar w:footer="1382" w:header="0" w:top="1500" w:bottom="1580" w:left="1640" w:right="1280"/>
          <w:pgNumType w:start="21"/>
        </w:sectPr>
      </w:pPr>
    </w:p>
    <w:p>
      <w:pPr>
        <w:pStyle w:val="BodyText"/>
        <w:spacing w:before="6"/>
        <w:rPr>
          <w:sz w:val="25"/>
        </w:rPr>
      </w:pPr>
    </w:p>
    <w:p>
      <w:pPr>
        <w:pStyle w:val="Heading2"/>
        <w:numPr>
          <w:ilvl w:val="1"/>
          <w:numId w:val="6"/>
        </w:numPr>
        <w:tabs>
          <w:tab w:pos="624" w:val="left" w:leader="none"/>
        </w:tabs>
        <w:spacing w:line="240" w:lineRule="auto" w:before="70" w:after="0"/>
        <w:ind w:left="623" w:right="0" w:hanging="471"/>
        <w:jc w:val="both"/>
      </w:pPr>
      <w:bookmarkStart w:name="_bookmark10" w:id="16"/>
      <w:bookmarkEnd w:id="16"/>
      <w:r>
        <w:rPr>
          <w:b w:val="0"/>
        </w:rPr>
      </w:r>
      <w:bookmarkStart w:name="_bookmark10" w:id="17"/>
      <w:bookmarkEnd w:id="17"/>
      <w:r>
        <w:rPr/>
        <w:t>De</w:t>
      </w:r>
      <w:r>
        <w:rPr/>
        <w:t>scripción de la migración internacional del Estado de</w:t>
      </w:r>
      <w:r>
        <w:rPr>
          <w:spacing w:val="-32"/>
        </w:rPr>
        <w:t> </w:t>
      </w:r>
      <w:r>
        <w:rPr/>
        <w:t>México</w:t>
      </w:r>
    </w:p>
    <w:p>
      <w:pPr>
        <w:pStyle w:val="BodyText"/>
        <w:rPr>
          <w:b/>
        </w:rPr>
      </w:pPr>
    </w:p>
    <w:p>
      <w:pPr>
        <w:pStyle w:val="BodyText"/>
        <w:spacing w:before="3"/>
        <w:rPr>
          <w:b/>
        </w:rPr>
      </w:pPr>
    </w:p>
    <w:p>
      <w:pPr>
        <w:pStyle w:val="BodyText"/>
        <w:spacing w:line="360" w:lineRule="auto"/>
        <w:ind w:left="152" w:right="115"/>
        <w:jc w:val="both"/>
      </w:pPr>
      <w:r>
        <w:rPr/>
        <w:t>Los antecedentes de la migración de mexiquenses a Estados Unidos pueden rastrearse desde el establecimiento del Programa Bracero para trabajadores agrícolas, que fue negociado conjuntamente entre los gobiernos de México y Estados Unidos y tuvo  vigencia de 1942 a 1964.</w:t>
      </w:r>
    </w:p>
    <w:p>
      <w:pPr>
        <w:pStyle w:val="BodyText"/>
      </w:pPr>
    </w:p>
    <w:p>
      <w:pPr>
        <w:pStyle w:val="BodyText"/>
        <w:spacing w:line="360" w:lineRule="auto" w:before="140"/>
        <w:ind w:left="152" w:right="102"/>
        <w:jc w:val="both"/>
      </w:pPr>
      <w:r>
        <w:rPr/>
        <w:t>En ese periodo, el mosaico económico de la entidad fue marcado por la política   de desarrollo que se había establecido en el país. El modelo de sustitución de importaciones fue creando desigualdades en el desarrollo regional. Muestra de  ello son las zonas metropolitanas de la Ciudad de México y de Toluca, que fueron beneﬁciadas por dicho modelo. Estas regiones y municipios han tenido un grado similar de desarrollo industrial y de servicios, convirtiéndose así en lugares con mayor concentración de población de la entidad y del país, y </w:t>
      </w:r>
      <w:r>
        <w:rPr>
          <w:spacing w:val="-3"/>
        </w:rPr>
        <w:t>más </w:t>
      </w:r>
      <w:r>
        <w:rPr/>
        <w:t>atrayentes para la población y las familias, de </w:t>
      </w:r>
      <w:r>
        <w:rPr>
          <w:spacing w:val="-3"/>
        </w:rPr>
        <w:t>muy </w:t>
      </w:r>
      <w:r>
        <w:rPr/>
        <w:t>diversos orígenes, que buscan mejores oportunidades de vida. Por otra parte, existen regiones y municipios, principalmente rurales, que se encuentran desconectados de los beneﬁcios del desarrollo. Esto ha creado una desigualdad estructural en el acceso, por ejemplo, al mercado de</w:t>
      </w:r>
      <w:r>
        <w:rPr>
          <w:spacing w:val="-12"/>
        </w:rPr>
        <w:t> </w:t>
      </w:r>
      <w:r>
        <w:rPr/>
        <w:t>trabajo.</w:t>
      </w:r>
    </w:p>
    <w:p>
      <w:pPr>
        <w:pStyle w:val="BodyText"/>
      </w:pPr>
    </w:p>
    <w:p>
      <w:pPr>
        <w:pStyle w:val="BodyText"/>
        <w:spacing w:line="360" w:lineRule="auto" w:before="144"/>
        <w:ind w:left="152" w:right="101"/>
        <w:jc w:val="both"/>
      </w:pPr>
      <w:r>
        <w:rPr/>
        <w:t>Aunque ha existido siempre, según muestran algunos estudios desde 1920 hasta la actualidad, la migración de mexiquenses a Estados Unidos ha llegado a magnitudes importantes desde el inicio de la década de 1980 y varía de un municipio a otro, según sean las localidades urbana-rural, urbana o rural, con tradición o de incipiente incorporación en el tiempo. De acuerdo con el Censo de Población del 2010, el Estado de México ocupó el cuarto lugar de </w:t>
      </w:r>
      <w:r>
        <w:rPr>
          <w:spacing w:val="2"/>
        </w:rPr>
        <w:t>todas </w:t>
      </w:r>
      <w:r>
        <w:rPr/>
        <w:t>las entidades federativas en cuanto a la expulsión de población a Estados Unidos y el resto del mundo. La participación del Estado de México en la migración a Estados Unidos pasó del lugar 20, en 1970, al cuarto en 2010 (véase grafica</w:t>
      </w:r>
      <w:r>
        <w:rPr>
          <w:spacing w:val="-19"/>
        </w:rPr>
        <w:t> </w:t>
      </w:r>
      <w:r>
        <w:rPr/>
        <w:t>1).</w:t>
      </w:r>
    </w:p>
    <w:p>
      <w:pPr>
        <w:spacing w:after="0" w:line="360" w:lineRule="auto"/>
        <w:jc w:val="both"/>
        <w:sectPr>
          <w:pgSz w:w="12240" w:h="15840"/>
          <w:pgMar w:header="0" w:footer="1382" w:top="1500" w:bottom="1580" w:left="1720" w:right="1420"/>
        </w:sectPr>
      </w:pPr>
    </w:p>
    <w:p>
      <w:pPr>
        <w:pStyle w:val="BodyText"/>
        <w:spacing w:before="6"/>
        <w:rPr>
          <w:sz w:val="25"/>
        </w:rPr>
      </w:pPr>
    </w:p>
    <w:p>
      <w:pPr>
        <w:pStyle w:val="BodyText"/>
        <w:spacing w:before="70"/>
        <w:ind w:left="1929"/>
      </w:pPr>
      <w:r>
        <w:rPr/>
        <w:t>Grafica 1. Migrantes por entidad federativa, 2010.</w:t>
      </w:r>
    </w:p>
    <w:p>
      <w:pPr>
        <w:pStyle w:val="BodyText"/>
        <w:rPr>
          <w:sz w:val="26"/>
        </w:rPr>
      </w:pPr>
      <w:r>
        <w:rPr/>
        <w:pict>
          <v:group style="position:absolute;margin-left:139.375pt;margin-top:16.912048pt;width:349.45pt;height:415.8pt;mso-position-horizontal-relative:page;mso-position-vertical-relative:paragraph;z-index:1168;mso-wrap-distance-left:0;mso-wrap-distance-right:0" coordorigin="2788,338" coordsize="6989,8316">
            <v:line style="position:absolute" from="4493,7941" to="4493,8042" stroked="true" strokeweight="3.84pt" strokecolor="#4f81bc"/>
            <v:rect style="position:absolute;left:4454;top:7701;width:101;height:96" filled="true" fillcolor="#4f81bc" stroked="false">
              <v:fill type="solid"/>
            </v:rect>
            <v:rect style="position:absolute;left:4454;top:7456;width:149;height:101" filled="true" fillcolor="#4f81bc" stroked="false">
              <v:fill type="solid"/>
            </v:rect>
            <v:rect style="position:absolute;left:4454;top:7216;width:197;height:101" filled="true" fillcolor="#4f81bc" stroked="false">
              <v:fill type="solid"/>
            </v:rect>
            <v:rect style="position:absolute;left:4454;top:6976;width:235;height:101" filled="true" fillcolor="#4f81bc" stroked="false">
              <v:fill type="solid"/>
            </v:rect>
            <v:rect style="position:absolute;left:4454;top:6736;width:245;height:101" filled="true" fillcolor="#4f81bc" stroked="false">
              <v:fill type="solid"/>
            </v:rect>
            <v:rect style="position:absolute;left:4454;top:6496;width:442;height:96" filled="true" fillcolor="#4f81bc" stroked="false">
              <v:fill type="solid"/>
            </v:rect>
            <v:rect style="position:absolute;left:4454;top:6251;width:504;height:101" filled="true" fillcolor="#4f81bc" stroked="false">
              <v:fill type="solid"/>
            </v:rect>
            <v:rect style="position:absolute;left:4454;top:6011;width:528;height:101" filled="true" fillcolor="#4f81bc" stroked="false">
              <v:fill type="solid"/>
            </v:rect>
            <v:rect style="position:absolute;left:4454;top:5771;width:533;height:101" filled="true" fillcolor="#4f81bc" stroked="false">
              <v:fill type="solid"/>
            </v:rect>
            <v:rect style="position:absolute;left:4454;top:5531;width:562;height:101" filled="true" fillcolor="#4f81bc" stroked="false">
              <v:fill type="solid"/>
            </v:rect>
            <v:rect style="position:absolute;left:4454;top:5291;width:581;height:96" filled="true" fillcolor="#4f81bc" stroked="false">
              <v:fill type="solid"/>
            </v:rect>
            <v:rect style="position:absolute;left:4454;top:5046;width:643;height:101" filled="true" fillcolor="#4f81bc" stroked="false">
              <v:fill type="solid"/>
            </v:rect>
            <v:rect style="position:absolute;left:4454;top:4806;width:629;height:101" filled="true" fillcolor="#4f81bc" stroked="false">
              <v:fill type="solid"/>
            </v:rect>
            <v:rect style="position:absolute;left:4454;top:4566;width:715;height:101" filled="true" fillcolor="#4f81bc" stroked="false">
              <v:fill type="solid"/>
            </v:rect>
            <v:rect style="position:absolute;left:4454;top:4326;width:739;height:101" filled="true" fillcolor="#4f81bc" stroked="false">
              <v:fill type="solid"/>
            </v:rect>
            <v:rect style="position:absolute;left:4454;top:4086;width:744;height:96" filled="true" fillcolor="#4f81bc" stroked="false">
              <v:fill type="solid"/>
            </v:rect>
            <v:rect style="position:absolute;left:4454;top:3842;width:902;height:101" filled="true" fillcolor="#4f81bc" stroked="false">
              <v:fill type="solid"/>
            </v:rect>
            <v:rect style="position:absolute;left:4454;top:3602;width:1032;height:101" filled="true" fillcolor="#4f81bc" stroked="false">
              <v:fill type="solid"/>
            </v:rect>
            <v:rect style="position:absolute;left:4454;top:3362;width:1066;height:101" filled="true" fillcolor="#4f81bc" stroked="false">
              <v:fill type="solid"/>
            </v:rect>
            <v:rect style="position:absolute;left:4454;top:3122;width:1162;height:101" filled="true" fillcolor="#4f81bc" stroked="false">
              <v:fill type="solid"/>
            </v:rect>
            <v:rect style="position:absolute;left:4454;top:2882;width:1387;height:96" filled="true" fillcolor="#4f81bc" stroked="false">
              <v:fill type="solid"/>
            </v:rect>
            <v:rect style="position:absolute;left:4454;top:2637;width:1469;height:101" filled="true" fillcolor="#4f81bc" stroked="false">
              <v:fill type="solid"/>
            </v:rect>
            <v:rect style="position:absolute;left:4454;top:2397;width:1714;height:101" filled="true" fillcolor="#4f81bc" stroked="false">
              <v:fill type="solid"/>
            </v:rect>
            <v:rect style="position:absolute;left:4454;top:2157;width:2006;height:101" filled="true" fillcolor="#4f81bc" stroked="false">
              <v:fill type="solid"/>
            </v:rect>
            <v:rect style="position:absolute;left:4454;top:1917;width:2136;height:101" filled="true" fillcolor="#4f81bc" stroked="false">
              <v:fill type="solid"/>
            </v:rect>
            <v:rect style="position:absolute;left:4454;top:1677;width:2501;height:96" filled="true" fillcolor="#4f81bc" stroked="false">
              <v:fill type="solid"/>
            </v:rect>
            <v:rect style="position:absolute;left:4454;top:1432;width:2578;height:101" filled="true" fillcolor="#4f81bc" stroked="false">
              <v:fill type="solid"/>
            </v:rect>
            <v:rect style="position:absolute;left:4454;top:1192;width:2904;height:101" filled="true" fillcolor="#4f81bc" stroked="false">
              <v:fill type="solid"/>
            </v:rect>
            <v:rect style="position:absolute;left:4454;top:952;width:2938;height:101" filled="true" fillcolor="#4f81bc" stroked="false">
              <v:fill type="solid"/>
            </v:rect>
            <v:rect style="position:absolute;left:4454;top:712;width:4080;height:101" filled="true" fillcolor="#4f81bc" stroked="false">
              <v:fill type="solid"/>
            </v:rect>
            <v:line style="position:absolute" from="4457,8111" to="4457,642" stroked="true" strokeweight=".72pt" strokecolor="#858585"/>
            <v:rect style="position:absolute;left:2795;top:346;width:6974;height:8301" filled="false" stroked="true" strokeweight=".75pt" strokecolor="#858585"/>
            <v:shape style="position:absolute;left:3514;top:1509;width:869;height:192" type="#_x0000_t75" stroked="false">
              <v:imagedata r:id="rId11" o:title=""/>
            </v:shape>
            <v:line style="position:absolute" from="3584,1568" to="4310,1579" stroked="true" strokeweight="2pt" strokecolor="#000000"/>
            <v:shape style="position:absolute;left:2885;top:662;width:1603;height:7433" type="#_x0000_t202" filled="false" stroked="false">
              <v:textbox inset="0,0,0,0">
                <w:txbxContent>
                  <w:p>
                    <w:pPr>
                      <w:spacing w:line="206" w:lineRule="exact" w:before="0"/>
                      <w:ind w:left="0" w:right="199" w:firstLine="0"/>
                      <w:jc w:val="right"/>
                      <w:rPr>
                        <w:sz w:val="20"/>
                      </w:rPr>
                    </w:pPr>
                    <w:r>
                      <w:rPr>
                        <w:sz w:val="20"/>
                      </w:rPr>
                      <w:t>Guanajuato</w:t>
                    </w:r>
                  </w:p>
                  <w:p>
                    <w:pPr>
                      <w:spacing w:line="252" w:lineRule="auto" w:before="11"/>
                      <w:ind w:left="378" w:right="198" w:firstLine="411"/>
                      <w:jc w:val="right"/>
                      <w:rPr>
                        <w:sz w:val="20"/>
                      </w:rPr>
                    </w:pPr>
                    <w:r>
                      <w:rPr>
                        <w:sz w:val="20"/>
                      </w:rPr>
                      <w:t>Jalisco Michoacán</w:t>
                    </w:r>
                  </w:p>
                  <w:p>
                    <w:pPr>
                      <w:spacing w:line="252" w:lineRule="auto" w:before="0"/>
                      <w:ind w:left="20" w:right="195" w:firstLine="722"/>
                      <w:jc w:val="right"/>
                      <w:rPr>
                        <w:sz w:val="20"/>
                      </w:rPr>
                    </w:pPr>
                    <w:r>
                      <w:rPr>
                        <w:sz w:val="20"/>
                      </w:rPr>
                      <w:t>México Puebla Veracruz Oaxaca Distrito Federal</w:t>
                    </w:r>
                  </w:p>
                  <w:p>
                    <w:pPr>
                      <w:spacing w:line="252" w:lineRule="auto" w:before="0"/>
                      <w:ind w:left="723" w:right="196" w:hanging="122"/>
                      <w:jc w:val="right"/>
                      <w:rPr>
                        <w:sz w:val="20"/>
                      </w:rPr>
                    </w:pPr>
                    <w:r>
                      <w:rPr>
                        <w:sz w:val="20"/>
                      </w:rPr>
                      <w:t>Guerrero Hidalgo</w:t>
                    </w:r>
                  </w:p>
                  <w:p>
                    <w:pPr>
                      <w:spacing w:before="0"/>
                      <w:ind w:left="0" w:right="200" w:firstLine="0"/>
                      <w:jc w:val="right"/>
                      <w:rPr>
                        <w:sz w:val="20"/>
                      </w:rPr>
                    </w:pPr>
                    <w:r>
                      <w:rPr>
                        <w:sz w:val="20"/>
                      </w:rPr>
                      <w:t>San Luis Potosí</w:t>
                    </w:r>
                  </w:p>
                  <w:p>
                    <w:pPr>
                      <w:spacing w:line="252" w:lineRule="auto" w:before="11"/>
                      <w:ind w:left="367" w:right="196" w:firstLine="111"/>
                      <w:jc w:val="right"/>
                      <w:rPr>
                        <w:sz w:val="20"/>
                      </w:rPr>
                    </w:pPr>
                    <w:r>
                      <w:rPr>
                        <w:sz w:val="20"/>
                      </w:rPr>
                      <w:t>Zacatecas Chihuahua Querétaro Chiapas Tamaulipas</w:t>
                    </w:r>
                  </w:p>
                  <w:p>
                    <w:pPr>
                      <w:spacing w:line="252" w:lineRule="auto" w:before="0"/>
                      <w:ind w:left="100" w:right="197" w:firstLine="589"/>
                      <w:jc w:val="right"/>
                      <w:rPr>
                        <w:sz w:val="20"/>
                      </w:rPr>
                    </w:pPr>
                    <w:r>
                      <w:rPr>
                        <w:sz w:val="20"/>
                      </w:rPr>
                      <w:t>Morelos Baja California</w:t>
                    </w:r>
                  </w:p>
                  <w:p>
                    <w:pPr>
                      <w:spacing w:line="252" w:lineRule="auto" w:before="0"/>
                      <w:ind w:left="44" w:right="196" w:firstLine="589"/>
                      <w:jc w:val="right"/>
                      <w:rPr>
                        <w:sz w:val="20"/>
                      </w:rPr>
                    </w:pPr>
                    <w:r>
                      <w:rPr>
                        <w:sz w:val="20"/>
                      </w:rPr>
                      <w:t>Durango Aguascalientes Nuevo León</w:t>
                    </w:r>
                  </w:p>
                  <w:p>
                    <w:pPr>
                      <w:spacing w:line="252" w:lineRule="auto" w:before="0"/>
                      <w:ind w:left="734" w:right="197" w:firstLine="33"/>
                      <w:jc w:val="right"/>
                      <w:rPr>
                        <w:sz w:val="20"/>
                      </w:rPr>
                    </w:pPr>
                    <w:r>
                      <w:rPr>
                        <w:sz w:val="20"/>
                      </w:rPr>
                      <w:t>Nayarit Sinaloa</w:t>
                    </w:r>
                  </w:p>
                  <w:p>
                    <w:pPr>
                      <w:spacing w:line="252" w:lineRule="auto" w:before="0"/>
                      <w:ind w:left="167" w:right="195" w:firstLine="389"/>
                      <w:jc w:val="right"/>
                      <w:rPr>
                        <w:sz w:val="20"/>
                      </w:rPr>
                    </w:pPr>
                    <w:r>
                      <w:rPr>
                        <w:sz w:val="20"/>
                      </w:rPr>
                      <w:t>Coahuila Tlaxcala Colima Yucatán Tabasco Quintana Roo</w:t>
                    </w:r>
                  </w:p>
                  <w:p>
                    <w:pPr>
                      <w:spacing w:line="252" w:lineRule="auto" w:before="0"/>
                      <w:ind w:left="434" w:right="-18" w:firstLine="566"/>
                      <w:jc w:val="left"/>
                      <w:rPr>
                        <w:sz w:val="20"/>
                      </w:rPr>
                    </w:pPr>
                    <w:r>
                      <w:rPr>
                        <w:sz w:val="20"/>
                      </w:rPr>
                      <w:t>Baja… Campeche</w:t>
                    </w:r>
                  </w:p>
                </w:txbxContent>
              </v:textbox>
              <w10:wrap type="none"/>
            </v:shape>
            <v:shape style="position:absolute;left:8685;top:682;width:679;height:135" type="#_x0000_t202" filled="false" stroked="false">
              <v:textbox inset="0,0,0,0">
                <w:txbxContent>
                  <w:p>
                    <w:pPr>
                      <w:spacing w:line="134" w:lineRule="exact" w:before="0"/>
                      <w:ind w:left="0" w:right="0" w:firstLine="0"/>
                      <w:jc w:val="left"/>
                      <w:rPr>
                        <w:sz w:val="13"/>
                      </w:rPr>
                    </w:pPr>
                    <w:r>
                      <w:rPr>
                        <w:sz w:val="13"/>
                      </w:rPr>
                      <w:t>119,706.00</w:t>
                    </w:r>
                  </w:p>
                </w:txbxContent>
              </v:textbox>
              <w10:wrap type="none"/>
            </v:shape>
            <v:shape style="position:absolute;left:4644;top:918;width:3679;height:7173" type="#_x0000_t202" filled="false" stroked="false">
              <v:textbox inset="0,0,0,0">
                <w:txbxContent>
                  <w:p>
                    <w:pPr>
                      <w:spacing w:line="186" w:lineRule="exact" w:before="0"/>
                      <w:ind w:left="0" w:right="0" w:firstLine="0"/>
                      <w:jc w:val="right"/>
                      <w:rPr>
                        <w:sz w:val="18"/>
                      </w:rPr>
                    </w:pPr>
                    <w:r>
                      <w:rPr>
                        <w:sz w:val="18"/>
                      </w:rPr>
                      <w:t>86,152.00</w:t>
                    </w:r>
                  </w:p>
                  <w:p>
                    <w:pPr>
                      <w:spacing w:before="34"/>
                      <w:ind w:left="0" w:right="34" w:firstLine="0"/>
                      <w:jc w:val="right"/>
                      <w:rPr>
                        <w:sz w:val="18"/>
                      </w:rPr>
                    </w:pPr>
                    <w:r>
                      <w:rPr>
                        <w:sz w:val="18"/>
                      </w:rPr>
                      <w:t>85,175.00</w:t>
                    </w:r>
                  </w:p>
                  <w:p>
                    <w:pPr>
                      <w:spacing w:before="34"/>
                      <w:ind w:left="0" w:right="357" w:firstLine="0"/>
                      <w:jc w:val="right"/>
                      <w:rPr>
                        <w:sz w:val="18"/>
                      </w:rPr>
                    </w:pPr>
                    <w:r>
                      <w:rPr>
                        <w:sz w:val="18"/>
                      </w:rPr>
                      <w:t>75,694.00</w:t>
                    </w:r>
                  </w:p>
                  <w:p>
                    <w:pPr>
                      <w:spacing w:before="34"/>
                      <w:ind w:left="0" w:right="430" w:firstLine="0"/>
                      <w:jc w:val="right"/>
                      <w:rPr>
                        <w:sz w:val="18"/>
                      </w:rPr>
                    </w:pPr>
                    <w:r>
                      <w:rPr>
                        <w:sz w:val="18"/>
                      </w:rPr>
                      <w:t>73,458.00</w:t>
                    </w:r>
                  </w:p>
                  <w:p>
                    <w:pPr>
                      <w:spacing w:before="34"/>
                      <w:ind w:left="2065" w:right="0" w:firstLine="0"/>
                      <w:jc w:val="left"/>
                      <w:rPr>
                        <w:sz w:val="18"/>
                      </w:rPr>
                    </w:pPr>
                    <w:r>
                      <w:rPr>
                        <w:sz w:val="18"/>
                      </w:rPr>
                      <w:t>62,720.00</w:t>
                    </w:r>
                  </w:p>
                  <w:p>
                    <w:pPr>
                      <w:spacing w:before="34"/>
                      <w:ind w:left="1935" w:right="0" w:firstLine="0"/>
                      <w:jc w:val="left"/>
                      <w:rPr>
                        <w:sz w:val="18"/>
                      </w:rPr>
                    </w:pPr>
                    <w:r>
                      <w:rPr>
                        <w:sz w:val="18"/>
                      </w:rPr>
                      <w:t>58,913.00</w:t>
                    </w:r>
                  </w:p>
                  <w:p>
                    <w:pPr>
                      <w:spacing w:before="34"/>
                      <w:ind w:left="1641" w:right="0" w:firstLine="0"/>
                      <w:jc w:val="left"/>
                      <w:rPr>
                        <w:sz w:val="18"/>
                      </w:rPr>
                    </w:pPr>
                    <w:r>
                      <w:rPr>
                        <w:sz w:val="18"/>
                      </w:rPr>
                      <w:t>50,281.00</w:t>
                    </w:r>
                  </w:p>
                  <w:p>
                    <w:pPr>
                      <w:spacing w:before="34"/>
                      <w:ind w:left="1301" w:right="1370" w:firstLine="0"/>
                      <w:jc w:val="center"/>
                      <w:rPr>
                        <w:sz w:val="18"/>
                      </w:rPr>
                    </w:pPr>
                    <w:r>
                      <w:rPr>
                        <w:sz w:val="18"/>
                      </w:rPr>
                      <w:t>43,111.00</w:t>
                    </w:r>
                  </w:p>
                  <w:p>
                    <w:pPr>
                      <w:spacing w:before="34"/>
                      <w:ind w:left="1217" w:right="1453" w:firstLine="0"/>
                      <w:jc w:val="center"/>
                      <w:rPr>
                        <w:sz w:val="18"/>
                      </w:rPr>
                    </w:pPr>
                    <w:r>
                      <w:rPr>
                        <w:sz w:val="18"/>
                      </w:rPr>
                      <w:t>40,659.00</w:t>
                    </w:r>
                  </w:p>
                  <w:p>
                    <w:pPr>
                      <w:spacing w:before="34"/>
                      <w:ind w:left="1088" w:right="0" w:firstLine="0"/>
                      <w:jc w:val="left"/>
                      <w:rPr>
                        <w:sz w:val="18"/>
                      </w:rPr>
                    </w:pPr>
                    <w:r>
                      <w:rPr>
                        <w:sz w:val="18"/>
                      </w:rPr>
                      <w:t>34,044.00</w:t>
                    </w:r>
                  </w:p>
                  <w:p>
                    <w:pPr>
                      <w:spacing w:before="34"/>
                      <w:ind w:left="991" w:right="0" w:firstLine="0"/>
                      <w:jc w:val="left"/>
                      <w:rPr>
                        <w:sz w:val="18"/>
                      </w:rPr>
                    </w:pPr>
                    <w:r>
                      <w:rPr>
                        <w:sz w:val="18"/>
                      </w:rPr>
                      <w:t>31,205.00</w:t>
                    </w:r>
                  </w:p>
                  <w:p>
                    <w:pPr>
                      <w:spacing w:before="34"/>
                      <w:ind w:left="961" w:right="0" w:firstLine="0"/>
                      <w:jc w:val="left"/>
                      <w:rPr>
                        <w:sz w:val="18"/>
                      </w:rPr>
                    </w:pPr>
                    <w:r>
                      <w:rPr>
                        <w:sz w:val="18"/>
                      </w:rPr>
                      <w:t>30,313.00</w:t>
                    </w:r>
                  </w:p>
                  <w:p>
                    <w:pPr>
                      <w:spacing w:before="34"/>
                      <w:ind w:left="828" w:right="0" w:firstLine="0"/>
                      <w:jc w:val="left"/>
                      <w:rPr>
                        <w:sz w:val="18"/>
                      </w:rPr>
                    </w:pPr>
                    <w:r>
                      <w:rPr>
                        <w:sz w:val="18"/>
                      </w:rPr>
                      <w:t>26,424.00</w:t>
                    </w:r>
                  </w:p>
                  <w:p>
                    <w:pPr>
                      <w:spacing w:before="34"/>
                      <w:ind w:left="671" w:right="0" w:firstLine="0"/>
                      <w:jc w:val="left"/>
                      <w:rPr>
                        <w:sz w:val="18"/>
                      </w:rPr>
                    </w:pPr>
                    <w:r>
                      <w:rPr>
                        <w:sz w:val="18"/>
                      </w:rPr>
                      <w:t>21,797.00</w:t>
                    </w:r>
                  </w:p>
                  <w:p>
                    <w:pPr>
                      <w:spacing w:before="34"/>
                      <w:ind w:left="667" w:right="0" w:firstLine="0"/>
                      <w:jc w:val="left"/>
                      <w:rPr>
                        <w:sz w:val="18"/>
                      </w:rPr>
                    </w:pPr>
                    <w:r>
                      <w:rPr>
                        <w:sz w:val="18"/>
                      </w:rPr>
                      <w:t>21,671.00</w:t>
                    </w:r>
                  </w:p>
                  <w:p>
                    <w:pPr>
                      <w:spacing w:before="34"/>
                      <w:ind w:left="640" w:right="0" w:firstLine="0"/>
                      <w:jc w:val="left"/>
                      <w:rPr>
                        <w:sz w:val="18"/>
                      </w:rPr>
                    </w:pPr>
                    <w:r>
                      <w:rPr>
                        <w:sz w:val="18"/>
                      </w:rPr>
                      <w:t>20,898.00</w:t>
                    </w:r>
                  </w:p>
                  <w:p>
                    <w:pPr>
                      <w:spacing w:before="34"/>
                      <w:ind w:left="556" w:right="0" w:firstLine="0"/>
                      <w:jc w:val="left"/>
                      <w:rPr>
                        <w:sz w:val="18"/>
                      </w:rPr>
                    </w:pPr>
                    <w:r>
                      <w:rPr>
                        <w:sz w:val="18"/>
                      </w:rPr>
                      <w:t>18,432.00</w:t>
                    </w:r>
                  </w:p>
                  <w:p>
                    <w:pPr>
                      <w:spacing w:before="34"/>
                      <w:ind w:left="569" w:right="0" w:firstLine="0"/>
                      <w:jc w:val="left"/>
                      <w:rPr>
                        <w:sz w:val="18"/>
                      </w:rPr>
                    </w:pPr>
                    <w:r>
                      <w:rPr>
                        <w:sz w:val="18"/>
                      </w:rPr>
                      <w:t>18,808.00</w:t>
                    </w:r>
                  </w:p>
                  <w:p>
                    <w:pPr>
                      <w:spacing w:before="34"/>
                      <w:ind w:left="509" w:right="0" w:firstLine="0"/>
                      <w:jc w:val="left"/>
                      <w:rPr>
                        <w:sz w:val="18"/>
                      </w:rPr>
                    </w:pPr>
                    <w:r>
                      <w:rPr>
                        <w:sz w:val="18"/>
                      </w:rPr>
                      <w:t>17,057.00</w:t>
                    </w:r>
                  </w:p>
                  <w:p>
                    <w:pPr>
                      <w:spacing w:before="34"/>
                      <w:ind w:left="489" w:right="0" w:firstLine="0"/>
                      <w:jc w:val="left"/>
                      <w:rPr>
                        <w:sz w:val="18"/>
                      </w:rPr>
                    </w:pPr>
                    <w:r>
                      <w:rPr>
                        <w:sz w:val="18"/>
                      </w:rPr>
                      <w:t>16,448.00</w:t>
                    </w:r>
                  </w:p>
                  <w:p>
                    <w:pPr>
                      <w:spacing w:before="34"/>
                      <w:ind w:left="459" w:right="0" w:firstLine="0"/>
                      <w:jc w:val="left"/>
                      <w:rPr>
                        <w:sz w:val="18"/>
                      </w:rPr>
                    </w:pPr>
                    <w:r>
                      <w:rPr>
                        <w:sz w:val="18"/>
                      </w:rPr>
                      <w:t>15,585.00</w:t>
                    </w:r>
                  </w:p>
                  <w:p>
                    <w:pPr>
                      <w:spacing w:before="34"/>
                      <w:ind w:left="454" w:right="0" w:firstLine="0"/>
                      <w:jc w:val="left"/>
                      <w:rPr>
                        <w:sz w:val="18"/>
                      </w:rPr>
                    </w:pPr>
                    <w:r>
                      <w:rPr>
                        <w:sz w:val="18"/>
                      </w:rPr>
                      <w:t>15,427.00</w:t>
                    </w:r>
                  </w:p>
                  <w:p>
                    <w:pPr>
                      <w:spacing w:before="34"/>
                      <w:ind w:left="433" w:right="0" w:firstLine="0"/>
                      <w:jc w:val="left"/>
                      <w:rPr>
                        <w:sz w:val="18"/>
                      </w:rPr>
                    </w:pPr>
                    <w:r>
                      <w:rPr>
                        <w:sz w:val="18"/>
                      </w:rPr>
                      <w:t>14,795.00</w:t>
                    </w:r>
                  </w:p>
                  <w:p>
                    <w:pPr>
                      <w:spacing w:before="34"/>
                      <w:ind w:left="369" w:right="0" w:firstLine="0"/>
                      <w:jc w:val="left"/>
                      <w:rPr>
                        <w:sz w:val="18"/>
                      </w:rPr>
                    </w:pPr>
                    <w:r>
                      <w:rPr>
                        <w:sz w:val="18"/>
                      </w:rPr>
                      <w:t>12,947.00</w:t>
                    </w:r>
                  </w:p>
                  <w:p>
                    <w:pPr>
                      <w:spacing w:before="34"/>
                      <w:ind w:left="169" w:right="0" w:firstLine="0"/>
                      <w:jc w:val="left"/>
                      <w:rPr>
                        <w:sz w:val="18"/>
                      </w:rPr>
                    </w:pPr>
                    <w:r>
                      <w:rPr>
                        <w:sz w:val="18"/>
                      </w:rPr>
                      <w:t>7,118.00</w:t>
                    </w:r>
                  </w:p>
                  <w:p>
                    <w:pPr>
                      <w:spacing w:before="34"/>
                      <w:ind w:left="161" w:right="0" w:firstLine="0"/>
                      <w:jc w:val="left"/>
                      <w:rPr>
                        <w:sz w:val="18"/>
                      </w:rPr>
                    </w:pPr>
                    <w:r>
                      <w:rPr>
                        <w:sz w:val="18"/>
                      </w:rPr>
                      <w:t>6,909.00</w:t>
                    </w:r>
                  </w:p>
                  <w:p>
                    <w:pPr>
                      <w:spacing w:before="34"/>
                      <w:ind w:left="124" w:right="0" w:firstLine="0"/>
                      <w:jc w:val="left"/>
                      <w:rPr>
                        <w:sz w:val="18"/>
                      </w:rPr>
                    </w:pPr>
                    <w:r>
                      <w:rPr>
                        <w:sz w:val="18"/>
                      </w:rPr>
                      <w:t>5,807.00</w:t>
                    </w:r>
                  </w:p>
                  <w:p>
                    <w:pPr>
                      <w:spacing w:before="34"/>
                      <w:ind w:left="76" w:right="0" w:firstLine="0"/>
                      <w:jc w:val="left"/>
                      <w:rPr>
                        <w:sz w:val="18"/>
                      </w:rPr>
                    </w:pPr>
                    <w:r>
                      <w:rPr>
                        <w:sz w:val="18"/>
                      </w:rPr>
                      <w:t>4,401.00</w:t>
                    </w:r>
                  </w:p>
                  <w:p>
                    <w:pPr>
                      <w:spacing w:before="34"/>
                      <w:ind w:left="27" w:right="0" w:firstLine="0"/>
                      <w:jc w:val="left"/>
                      <w:rPr>
                        <w:sz w:val="18"/>
                      </w:rPr>
                    </w:pPr>
                    <w:r>
                      <w:rPr>
                        <w:sz w:val="18"/>
                      </w:rPr>
                      <w:t>2,966.00</w:t>
                    </w:r>
                  </w:p>
                  <w:p>
                    <w:pPr>
                      <w:spacing w:line="203" w:lineRule="exact" w:before="34"/>
                      <w:ind w:left="0" w:right="0" w:firstLine="0"/>
                      <w:jc w:val="left"/>
                      <w:rPr>
                        <w:sz w:val="18"/>
                      </w:rPr>
                    </w:pPr>
                    <w:r>
                      <w:rPr>
                        <w:sz w:val="18"/>
                      </w:rPr>
                      <w:t>2,155.00</w:t>
                    </w:r>
                  </w:p>
                </w:txbxContent>
              </v:textbox>
              <w10:wrap type="none"/>
            </v:shape>
            <v:shape style="position:absolute;left:4050;top:8319;width:1619;height:202" type="#_x0000_t202" filled="false" stroked="false">
              <v:textbox inset="0,0,0,0">
                <w:txbxContent>
                  <w:p>
                    <w:pPr>
                      <w:spacing w:line="202" w:lineRule="exact" w:before="0"/>
                      <w:ind w:left="0" w:right="-10" w:firstLine="0"/>
                      <w:jc w:val="left"/>
                      <w:rPr>
                        <w:rFonts w:ascii="Calibri"/>
                        <w:sz w:val="20"/>
                      </w:rPr>
                    </w:pPr>
                    <w:r>
                      <w:rPr>
                        <w:rFonts w:ascii="Calibri"/>
                        <w:sz w:val="20"/>
                      </w:rPr>
                      <w:t>Fuente: INEGI,</w:t>
                    </w:r>
                    <w:r>
                      <w:rPr>
                        <w:rFonts w:ascii="Calibri"/>
                        <w:spacing w:val="-13"/>
                        <w:sz w:val="20"/>
                      </w:rPr>
                      <w:t> </w:t>
                    </w:r>
                    <w:r>
                      <w:rPr>
                        <w:rFonts w:ascii="Calibri"/>
                        <w:sz w:val="20"/>
                      </w:rPr>
                      <w:t>2010</w:t>
                    </w:r>
                  </w:p>
                </w:txbxContent>
              </v:textbox>
              <w10:wrap type="none"/>
            </v:shape>
            <w10:wrap type="topAndBottom"/>
          </v:group>
        </w:pict>
      </w:r>
    </w:p>
    <w:p>
      <w:pPr>
        <w:pStyle w:val="BodyText"/>
      </w:pPr>
    </w:p>
    <w:p>
      <w:pPr>
        <w:pStyle w:val="BodyText"/>
      </w:pPr>
    </w:p>
    <w:p>
      <w:pPr>
        <w:pStyle w:val="BodyText"/>
        <w:spacing w:line="360" w:lineRule="auto" w:before="202"/>
        <w:ind w:left="152" w:right="106"/>
        <w:jc w:val="both"/>
      </w:pPr>
      <w:r>
        <w:rPr/>
        <w:t>Por lo que aunque la migración internacional de los mexiquenses es un proceso relativamente reciente que tomo particular importancia en 1995, este ya juega un papel importante en la reconfiguración política, social, económica y cultural en la entidad, los cambios se ven reflejados en las prácticas políticas, organizacionales, económicas, culturales y sociales y ha cambiado también el perfil de los migrantes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pPr>
      <w:r>
        <w:rPr/>
        <w:t>en particular, la zona sur del Estado se ha convertido en una zona expulsora con tasas de intensidad migratoria altas.</w:t>
      </w:r>
    </w:p>
    <w:p>
      <w:pPr>
        <w:pStyle w:val="BodyText"/>
      </w:pPr>
    </w:p>
    <w:p>
      <w:pPr>
        <w:pStyle w:val="BodyText"/>
        <w:spacing w:line="355" w:lineRule="auto" w:before="145"/>
        <w:ind w:left="152"/>
      </w:pPr>
      <w:r>
        <w:rPr/>
        <w:t>La entidad mexiquense presenta varios patrones de emigración a Estados Unidos (González, 2006):</w:t>
      </w:r>
    </w:p>
    <w:p>
      <w:pPr>
        <w:pStyle w:val="ListParagraph"/>
        <w:numPr>
          <w:ilvl w:val="2"/>
          <w:numId w:val="6"/>
        </w:numPr>
        <w:tabs>
          <w:tab w:pos="873" w:val="left" w:leader="none"/>
        </w:tabs>
        <w:spacing w:line="360" w:lineRule="auto" w:before="215" w:after="0"/>
        <w:ind w:left="873" w:right="103" w:hanging="360"/>
        <w:jc w:val="both"/>
        <w:rPr>
          <w:sz w:val="24"/>
        </w:rPr>
      </w:pPr>
      <w:r>
        <w:rPr>
          <w:sz w:val="24"/>
        </w:rPr>
        <w:t>El que procede de zonas de alta tradición migratoria (por ejemplo, el sur del Estado de México, entre otros). Esto se refleja en una distinción regional en el comportamiento </w:t>
      </w:r>
      <w:r>
        <w:rPr>
          <w:spacing w:val="-3"/>
          <w:sz w:val="24"/>
        </w:rPr>
        <w:t>del </w:t>
      </w:r>
      <w:r>
        <w:rPr>
          <w:sz w:val="24"/>
        </w:rPr>
        <w:t>fenómeno migratorio entre patrones circulares bien establecidos desde hace años y los emergentes o que pueden estar en la primera fase del ciclo migratorio a partir de las crisis recurrentes y la reestructuración económica, así como de la integración económica, e  inician un nuevo proceso circular de</w:t>
      </w:r>
      <w:r>
        <w:rPr>
          <w:spacing w:val="-24"/>
          <w:sz w:val="24"/>
        </w:rPr>
        <w:t> </w:t>
      </w:r>
      <w:r>
        <w:rPr>
          <w:sz w:val="24"/>
        </w:rPr>
        <w:t>migración.</w:t>
      </w:r>
    </w:p>
    <w:p>
      <w:pPr>
        <w:pStyle w:val="ListParagraph"/>
        <w:numPr>
          <w:ilvl w:val="2"/>
          <w:numId w:val="6"/>
        </w:numPr>
        <w:tabs>
          <w:tab w:pos="873" w:val="left" w:leader="none"/>
        </w:tabs>
        <w:spacing w:line="360" w:lineRule="auto" w:before="2" w:after="0"/>
        <w:ind w:left="873" w:right="104" w:hanging="360"/>
        <w:jc w:val="both"/>
        <w:rPr>
          <w:sz w:val="24"/>
        </w:rPr>
      </w:pPr>
      <w:r>
        <w:rPr>
          <w:sz w:val="24"/>
        </w:rPr>
        <w:t>Quienes salen de zonas urbanas, que se pueden considerar como zonas emergentes de la migración internacional; por ejemplo, los municipios de Nezahualcóyotl, La Paz, Chimalhuacán, Ecatepec, Naucalpan, Tlalnepantla y Toluca, entre</w:t>
      </w:r>
      <w:r>
        <w:rPr>
          <w:spacing w:val="-5"/>
          <w:sz w:val="24"/>
        </w:rPr>
        <w:t> </w:t>
      </w:r>
      <w:r>
        <w:rPr>
          <w:sz w:val="24"/>
        </w:rPr>
        <w:t>otros.</w:t>
      </w:r>
    </w:p>
    <w:p>
      <w:pPr>
        <w:pStyle w:val="ListParagraph"/>
        <w:numPr>
          <w:ilvl w:val="2"/>
          <w:numId w:val="6"/>
        </w:numPr>
        <w:tabs>
          <w:tab w:pos="873" w:val="left" w:leader="none"/>
        </w:tabs>
        <w:spacing w:line="360" w:lineRule="auto" w:before="2" w:after="0"/>
        <w:ind w:left="873" w:right="104" w:hanging="360"/>
        <w:jc w:val="both"/>
        <w:rPr>
          <w:sz w:val="24"/>
        </w:rPr>
      </w:pPr>
      <w:r>
        <w:rPr>
          <w:sz w:val="24"/>
        </w:rPr>
        <w:t>Otras zonas consideradas emergentes son las comunidades indígenas (mazahuas y otomíes) que tradicionalmente migraban a los principales centros urbanos </w:t>
      </w:r>
      <w:r>
        <w:rPr>
          <w:spacing w:val="-3"/>
          <w:sz w:val="24"/>
        </w:rPr>
        <w:t>del </w:t>
      </w:r>
      <w:r>
        <w:rPr>
          <w:sz w:val="24"/>
        </w:rPr>
        <w:t>país, preferentemente a la Ciudad de México, y a las principales ciudades fronterizas, como Ciudad Juárez, Tijuana, Matamoros, Reynosa, Piedras Negras, etc., pero ahora lo hacen a Estados Unidos y Canadá. En estas comunidades indígenas se vive un doble de norteñización, distinta a la del sur de la entidad. Es decir, norteñización americana para la población mestiza y norteñización a la mexicana para los indígenas mazahuas y</w:t>
      </w:r>
      <w:r>
        <w:rPr>
          <w:spacing w:val="-16"/>
          <w:sz w:val="24"/>
        </w:rPr>
        <w:t> </w:t>
      </w:r>
      <w:r>
        <w:rPr>
          <w:sz w:val="24"/>
        </w:rPr>
        <w:t>otomíes.</w:t>
      </w:r>
    </w:p>
    <w:p>
      <w:pPr>
        <w:pStyle w:val="ListParagraph"/>
        <w:numPr>
          <w:ilvl w:val="2"/>
          <w:numId w:val="6"/>
        </w:numPr>
        <w:tabs>
          <w:tab w:pos="873" w:val="left" w:leader="none"/>
        </w:tabs>
        <w:spacing w:line="360" w:lineRule="auto" w:before="8" w:after="0"/>
        <w:ind w:left="873" w:right="106" w:hanging="360"/>
        <w:jc w:val="both"/>
        <w:rPr>
          <w:sz w:val="24"/>
        </w:rPr>
      </w:pPr>
      <w:r>
        <w:rPr>
          <w:sz w:val="24"/>
        </w:rPr>
        <w:t>Por último, una incipiente migración a Canadá y el resto del mundo, principalmente a Europa (González,</w:t>
      </w:r>
      <w:r>
        <w:rPr>
          <w:spacing w:val="-17"/>
          <w:sz w:val="24"/>
        </w:rPr>
        <w:t> </w:t>
      </w:r>
      <w:r>
        <w:rPr>
          <w:sz w:val="24"/>
        </w:rPr>
        <w:t>2002).</w:t>
      </w:r>
    </w:p>
    <w:p>
      <w:pPr>
        <w:spacing w:after="0" w:line="360" w:lineRule="auto"/>
        <w:jc w:val="both"/>
        <w:rPr>
          <w:sz w:val="24"/>
        </w:rPr>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3"/>
        <w:jc w:val="both"/>
      </w:pPr>
      <w:r>
        <w:rPr/>
        <w:t>Estos nuevos patrones de la migración internacional de los mexiquenses indican que las poblaciones de cientos de ejidos, rancherías, pueblos y ciudades del Estado de México han aprendido a ganarse la vida y a reproducir sus  solidaridades tradicionales adaptándolas a las actuales circunstancias de globalización e integración económica, teniendo que aprender el modo de vivir en dos o varios lugares al </w:t>
      </w:r>
      <w:r>
        <w:rPr>
          <w:spacing w:val="-3"/>
        </w:rPr>
        <w:t>mismo </w:t>
      </w:r>
      <w:r>
        <w:rPr/>
        <w:t>tiempo, en donde adquieren nuevas habilidades, afianzan sus recursos financieros y </w:t>
      </w:r>
      <w:r>
        <w:rPr>
          <w:spacing w:val="-3"/>
        </w:rPr>
        <w:t>se </w:t>
      </w:r>
      <w:r>
        <w:rPr/>
        <w:t>protegen de los caprichos de la naturaleza, del mercado mundial y hasta de una mayor vigilancia fronteriza, como la ocurrida a partir de los ataques a los símbolos del poder económico de Estados Unidos del 11 de septiembre de</w:t>
      </w:r>
      <w:r>
        <w:rPr>
          <w:spacing w:val="-6"/>
        </w:rPr>
        <w:t> </w:t>
      </w:r>
      <w:r>
        <w:rPr/>
        <w:t>2001.</w:t>
      </w:r>
    </w:p>
    <w:p>
      <w:pPr>
        <w:pStyle w:val="BodyText"/>
      </w:pPr>
    </w:p>
    <w:p>
      <w:pPr>
        <w:pStyle w:val="BodyText"/>
        <w:spacing w:line="360" w:lineRule="auto" w:before="140"/>
        <w:ind w:left="152" w:right="114"/>
        <w:jc w:val="both"/>
      </w:pPr>
      <w:r>
        <w:rPr/>
        <w:t>La migración de mexiquenses a Estados Unidos en las décadas de 1960 y 1970  se caracterizaban por ser temporal y de campesinos, cuyos ciclos se ajustaban a la demanda de mano de obra de Estados Unidos. En la actualidad, las crisis de la deuda y la devaluación han sido factores que han empujado a la emigración a jóvenes y profesionales urbanos, empobrecidos y desempleados, quienes corren el riesgo de la peligrosa travesía allende la frontera del norte del país, debido a su militarización por parte </w:t>
      </w:r>
      <w:r>
        <w:rPr>
          <w:spacing w:val="2"/>
        </w:rPr>
        <w:t>de </w:t>
      </w:r>
      <w:r>
        <w:rPr/>
        <w:t>Estados Unidos. Esto ha incitado a que la mano de obra migrante cíclica busque una residencia permanente en los lugares de destino (González,</w:t>
      </w:r>
      <w:r>
        <w:rPr>
          <w:spacing w:val="-6"/>
        </w:rPr>
        <w:t> </w:t>
      </w:r>
      <w:r>
        <w:rPr/>
        <w:t>2006).</w:t>
      </w:r>
    </w:p>
    <w:p>
      <w:pPr>
        <w:pStyle w:val="BodyText"/>
      </w:pPr>
    </w:p>
    <w:p>
      <w:pPr>
        <w:pStyle w:val="BodyText"/>
        <w:spacing w:line="360" w:lineRule="auto" w:before="144"/>
        <w:ind w:left="152" w:right="101"/>
        <w:jc w:val="both"/>
      </w:pPr>
      <w:r>
        <w:rPr/>
        <w:t>Muchas de las localidades del sur del Estado de México se caracterizan por ser comunidades transnacionales, al grado que se ha dado lo que algunos investigadores llaman norteñización, porque existen comunidades que son suburbios transnacionales en California (Los Ángeles y San Francisco), Texas (Austin, Dallas, San Antonio), Illinois (Chicago), Pensilvania y Idaho, entre otros estados. Para asegurarse su sustento, los emigrantes se ven obligados a extender sus familias y sus hogares a uno y otro lado de la frontera, creando hogares y comunidades transnacionales.</w:t>
      </w:r>
    </w:p>
    <w:p>
      <w:pPr>
        <w:spacing w:after="0" w:line="360" w:lineRule="auto"/>
        <w:jc w:val="both"/>
        <w:sectPr>
          <w:pgSz w:w="12240" w:h="15840"/>
          <w:pgMar w:header="0" w:footer="1382" w:top="1500" w:bottom="1580" w:left="1720" w:right="1420"/>
        </w:sectPr>
      </w:pPr>
    </w:p>
    <w:p>
      <w:pPr>
        <w:pStyle w:val="BodyText"/>
        <w:spacing w:before="6"/>
        <w:rPr>
          <w:sz w:val="25"/>
        </w:rPr>
      </w:pPr>
    </w:p>
    <w:p>
      <w:pPr>
        <w:pStyle w:val="Heading2"/>
        <w:numPr>
          <w:ilvl w:val="1"/>
          <w:numId w:val="6"/>
        </w:numPr>
        <w:tabs>
          <w:tab w:pos="624" w:val="left" w:leader="none"/>
        </w:tabs>
        <w:spacing w:line="240" w:lineRule="auto" w:before="70" w:after="0"/>
        <w:ind w:left="623" w:right="0" w:hanging="471"/>
        <w:jc w:val="both"/>
      </w:pPr>
      <w:bookmarkStart w:name="_bookmark11" w:id="18"/>
      <w:bookmarkEnd w:id="18"/>
      <w:r>
        <w:rPr>
          <w:b w:val="0"/>
        </w:rPr>
      </w:r>
      <w:bookmarkStart w:name="_bookmark11" w:id="19"/>
      <w:bookmarkEnd w:id="19"/>
      <w:r>
        <w:rPr/>
        <w:t>Re</w:t>
      </w:r>
      <w:r>
        <w:rPr/>
        <w:t>ferente</w:t>
      </w:r>
      <w:r>
        <w:rPr>
          <w:spacing w:val="-12"/>
        </w:rPr>
        <w:t> </w:t>
      </w:r>
      <w:r>
        <w:rPr/>
        <w:t>teórico</w:t>
      </w:r>
    </w:p>
    <w:p>
      <w:pPr>
        <w:pStyle w:val="BodyText"/>
        <w:rPr>
          <w:b/>
        </w:rPr>
      </w:pPr>
    </w:p>
    <w:p>
      <w:pPr>
        <w:pStyle w:val="BodyText"/>
        <w:spacing w:before="3"/>
        <w:rPr>
          <w:b/>
        </w:rPr>
      </w:pPr>
    </w:p>
    <w:p>
      <w:pPr>
        <w:pStyle w:val="BodyText"/>
        <w:spacing w:line="360" w:lineRule="auto"/>
        <w:ind w:left="152" w:right="102"/>
        <w:jc w:val="both"/>
      </w:pPr>
      <w:r>
        <w:rPr/>
        <w:t>Existe una variedad </w:t>
      </w:r>
      <w:r>
        <w:rPr>
          <w:spacing w:val="2"/>
        </w:rPr>
        <w:t>de </w:t>
      </w:r>
      <w:r>
        <w:rPr/>
        <w:t>modelos teóricos para explicar la migración internacional, si bien cada una trata de explicar el </w:t>
      </w:r>
      <w:r>
        <w:rPr>
          <w:spacing w:val="-3"/>
        </w:rPr>
        <w:t>mismo </w:t>
      </w:r>
      <w:r>
        <w:rPr/>
        <w:t>tema, emplean conceptos, supuestos y marcos de referencia diferentes. A continuación se presentan las teorías sobre las cuales se sustenta la investigación, tomando como base la teoría económica neoclásica, donde por parte de la teoría macroeconómica sustenta que las causas de la migración internacional implican una oferta de trabajo por parte </w:t>
      </w:r>
      <w:r>
        <w:rPr>
          <w:spacing w:val="-3"/>
        </w:rPr>
        <w:t>del </w:t>
      </w:r>
      <w:r>
        <w:rPr/>
        <w:t>país receptor y una demanda de trabajo por parte del país expulsor y la teoría microeconómica sustenta que la migración implica un coste-beneficio que los conduce a expectativas de un beneficio neto positivo, normalmente monetario, del desplazamiento.</w:t>
      </w:r>
    </w:p>
    <w:p>
      <w:pPr>
        <w:pStyle w:val="BodyText"/>
      </w:pPr>
    </w:p>
    <w:p>
      <w:pPr>
        <w:pStyle w:val="BodyText"/>
        <w:spacing w:line="360" w:lineRule="auto" w:before="144"/>
        <w:ind w:left="152" w:right="104"/>
        <w:jc w:val="both"/>
      </w:pPr>
      <w:r>
        <w:rPr/>
        <w:t>Las teorías de redes y nueva economía de la migración complementan el sustento teórico de la investigación sobre las causa de a migración internacional. La teoría de redes sustenta que la migración es una decisión individual, pero argumenta que las migraciones previas alteran sistemáticamente el contexto dentro del cual se incrementa la posibilidad de que otros decidan migrar, lo cual lleva a una nueva economía de la migración donde la migración no se determina por decisiones de carácter individual, si no por unidades más amplias de lazos parentales, típicamente familias u hogares.</w:t>
      </w:r>
    </w:p>
    <w:p>
      <w:pPr>
        <w:pStyle w:val="BodyText"/>
      </w:pPr>
    </w:p>
    <w:p>
      <w:pPr>
        <w:pStyle w:val="BodyText"/>
        <w:spacing w:before="3"/>
        <w:rPr>
          <w:sz w:val="29"/>
        </w:rPr>
      </w:pPr>
    </w:p>
    <w:p>
      <w:pPr>
        <w:pStyle w:val="Heading3"/>
        <w:numPr>
          <w:ilvl w:val="2"/>
          <w:numId w:val="7"/>
        </w:numPr>
        <w:tabs>
          <w:tab w:pos="825" w:val="left" w:leader="none"/>
        </w:tabs>
        <w:spacing w:line="240" w:lineRule="auto" w:before="0" w:after="0"/>
        <w:ind w:left="825" w:right="0" w:hanging="673"/>
        <w:jc w:val="both"/>
        <w:rPr>
          <w:i/>
        </w:rPr>
      </w:pPr>
      <w:bookmarkStart w:name="_bookmark12" w:id="20"/>
      <w:bookmarkEnd w:id="20"/>
      <w:r>
        <w:rPr>
          <w:b w:val="0"/>
          <w:i w:val="0"/>
        </w:rPr>
      </w:r>
      <w:bookmarkStart w:name="_bookmark12" w:id="21"/>
      <w:bookmarkEnd w:id="21"/>
      <w:r>
        <w:rPr>
          <w:i/>
        </w:rPr>
        <w:t>T</w:t>
      </w:r>
      <w:r>
        <w:rPr>
          <w:i/>
        </w:rPr>
        <w:t>eoría neoclásica: modelo</w:t>
      </w:r>
      <w:r>
        <w:rPr>
          <w:i/>
          <w:spacing w:val="-26"/>
        </w:rPr>
        <w:t> </w:t>
      </w:r>
      <w:r>
        <w:rPr>
          <w:i/>
        </w:rPr>
        <w:t>macroeconómico</w:t>
      </w:r>
    </w:p>
    <w:p>
      <w:pPr>
        <w:pStyle w:val="BodyText"/>
        <w:rPr>
          <w:b/>
          <w:i/>
        </w:rPr>
      </w:pPr>
    </w:p>
    <w:p>
      <w:pPr>
        <w:pStyle w:val="BodyText"/>
        <w:spacing w:line="360" w:lineRule="auto" w:before="182"/>
        <w:ind w:left="152" w:right="110"/>
        <w:jc w:val="both"/>
      </w:pPr>
      <w:r>
        <w:rPr/>
        <w:t>Probablemente la teoría de migración internacional </w:t>
      </w:r>
      <w:r>
        <w:rPr>
          <w:spacing w:val="-3"/>
        </w:rPr>
        <w:t>más </w:t>
      </w:r>
      <w:r>
        <w:rPr/>
        <w:t>antigua y mejor conocida fue desarrollada originalmente para explicar la migración laboral en los procesos de desarrollo económico (Lewis, 1954; Ranis y Fei, 1961, Harris y Todaro, 1970: Todaro, 1976). </w:t>
      </w:r>
      <w:r>
        <w:rPr>
          <w:spacing w:val="-3"/>
        </w:rPr>
        <w:t>De </w:t>
      </w:r>
      <w:r>
        <w:rPr/>
        <w:t>acuerdo con esta teoría y sus términos, la migración internacional,</w:t>
      </w:r>
      <w:r>
        <w:rPr>
          <w:spacing w:val="59"/>
        </w:rPr>
        <w:t> </w:t>
      </w:r>
      <w:r>
        <w:rPr/>
        <w:t>así</w:t>
      </w:r>
      <w:r>
        <w:rPr>
          <w:spacing w:val="54"/>
        </w:rPr>
        <w:t> </w:t>
      </w:r>
      <w:r>
        <w:rPr/>
        <w:t>como</w:t>
      </w:r>
      <w:r>
        <w:rPr>
          <w:spacing w:val="59"/>
        </w:rPr>
        <w:t> </w:t>
      </w:r>
      <w:r>
        <w:rPr/>
        <w:t>su</w:t>
      </w:r>
      <w:r>
        <w:rPr>
          <w:spacing w:val="59"/>
        </w:rPr>
        <w:t> </w:t>
      </w:r>
      <w:r>
        <w:rPr/>
        <w:t>equivalente</w:t>
      </w:r>
      <w:r>
        <w:rPr>
          <w:spacing w:val="55"/>
        </w:rPr>
        <w:t> </w:t>
      </w:r>
      <w:r>
        <w:rPr/>
        <w:t>nacional,</w:t>
      </w:r>
      <w:r>
        <w:rPr>
          <w:spacing w:val="59"/>
        </w:rPr>
        <w:t> </w:t>
      </w:r>
      <w:r>
        <w:rPr/>
        <w:t>trae</w:t>
      </w:r>
      <w:r>
        <w:rPr>
          <w:spacing w:val="59"/>
        </w:rPr>
        <w:t> </w:t>
      </w:r>
      <w:r>
        <w:rPr/>
        <w:t>causa</w:t>
      </w:r>
      <w:r>
        <w:rPr>
          <w:spacing w:val="54"/>
        </w:rPr>
        <w:t> </w:t>
      </w:r>
      <w:r>
        <w:rPr/>
        <w:t>de</w:t>
      </w:r>
      <w:r>
        <w:rPr>
          <w:spacing w:val="54"/>
        </w:rPr>
        <w:t> </w:t>
      </w:r>
      <w:r>
        <w:rPr/>
        <w:t>las</w:t>
      </w:r>
      <w:r>
        <w:rPr>
          <w:spacing w:val="54"/>
        </w:rPr>
        <w:t> </w:t>
      </w:r>
      <w:r>
        <w:rPr/>
        <w:t>diferencias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0"/>
        <w:jc w:val="both"/>
      </w:pPr>
      <w:r>
        <w:rPr/>
        <w:t>geográficas en la oferta y demanda de mano de obra. Los Estados con una amplia demanda de trabajo en relación al capital tienen un equilibrio salarial bajo, mientras que los Estados con una dotación laboral limitada respecto al capital se caracterizan por salarios de mercado altos, como se expresa gráficamente en la interacción entre la oferta de trabajo y la curva de la demanda. Las diferencias salariales resultantes provocan el desplazamiento de </w:t>
      </w:r>
      <w:r>
        <w:rPr>
          <w:spacing w:val="4"/>
        </w:rPr>
        <w:t>los </w:t>
      </w:r>
      <w:r>
        <w:rPr/>
        <w:t>trabajadores desde los países de salarios bajos hacia aquellos de salarios altos. Como resultado de este desplazamiento la demanda de trabajo decrece y los salarios aumentan en los países pobres, mientras que la demanda de trabajo se incrementa y los salarios caen en los países ricos, conduciendo, en equilibrio, a una diferencia salarial internacional que sólo refleja los costes pecuniarios y psíquicos del  desplazamiento</w:t>
      </w:r>
      <w:r>
        <w:rPr>
          <w:spacing w:val="-12"/>
        </w:rPr>
        <w:t> </w:t>
      </w:r>
      <w:r>
        <w:rPr/>
        <w:t>internacional.</w:t>
      </w:r>
    </w:p>
    <w:p>
      <w:pPr>
        <w:pStyle w:val="BodyText"/>
      </w:pPr>
    </w:p>
    <w:p>
      <w:pPr>
        <w:pStyle w:val="BodyText"/>
        <w:spacing w:line="360" w:lineRule="auto" w:before="144"/>
        <w:ind w:left="152" w:right="100"/>
        <w:jc w:val="both"/>
      </w:pPr>
      <w:r>
        <w:rPr/>
        <w:t>El reflejo del movimiento de trabajadores desde los países con excedentes de mano de obra hacia los lugares con escasez es un flujo de inversión de capital desde los países ricos a los países pobres. La relativa escasez de capital en los países pobres produce un índice de beneficios alto en comparación con el estándar internacional, y por este motivo atrae la inversión. Los movimientos de capital también incluyen capital humano, con trabajadores altamente cualificados que se desplazan desde los países ricos a los pobres con la intención de obtener beneficios respecto a </w:t>
      </w:r>
      <w:r>
        <w:rPr>
          <w:spacing w:val="-3"/>
        </w:rPr>
        <w:t>su </w:t>
      </w:r>
      <w:r>
        <w:rPr/>
        <w:t>cualificación en un medio donde escasea el capital humano, lo que conduce a un desplazamiento paralelo de gerentes, técnicos y todo tipo de trabajadores especializados. </w:t>
      </w:r>
      <w:r>
        <w:rPr>
          <w:spacing w:val="-4"/>
        </w:rPr>
        <w:t>El </w:t>
      </w:r>
      <w:r>
        <w:rPr/>
        <w:t>flujo internacional de mano de obra debe distinguirse conceptualmente del flujo de capital humano, concepto asociado al </w:t>
      </w:r>
      <w:r>
        <w:rPr>
          <w:spacing w:val="-2"/>
        </w:rPr>
        <w:t>mismo. </w:t>
      </w:r>
      <w:r>
        <w:rPr/>
        <w:t>Incluso en los mayores modelos macroeconómicos agregados, la heterogeneidad de los inmigrantes según sus niveles de cualificación debe ser claramente reconocida. La sencilla y convincente explicación sobre migración internacional ofrecida por el modelo macroeconómico neoclásico ha marcado profundamente el pensamiento público y ha proporcionado las bases </w:t>
      </w:r>
      <w:r>
        <w:rPr>
          <w:spacing w:val="5"/>
        </w:rPr>
        <w:t> </w:t>
      </w:r>
      <w:r>
        <w:rPr/>
        <w:t>intelectuales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6"/>
        <w:jc w:val="both"/>
      </w:pPr>
      <w:r>
        <w:rPr/>
        <w:t>para muchas de las políticas de inmigración. Esta perspectiva contiene varias proposiciones y asunciones implícitas:</w:t>
      </w:r>
    </w:p>
    <w:p>
      <w:pPr>
        <w:pStyle w:val="BodyText"/>
      </w:pPr>
    </w:p>
    <w:p>
      <w:pPr>
        <w:pStyle w:val="ListParagraph"/>
        <w:numPr>
          <w:ilvl w:val="0"/>
          <w:numId w:val="8"/>
        </w:numPr>
        <w:tabs>
          <w:tab w:pos="873" w:val="left" w:leader="none"/>
        </w:tabs>
        <w:spacing w:line="360" w:lineRule="auto" w:before="145" w:after="0"/>
        <w:ind w:left="873" w:right="114" w:hanging="360"/>
        <w:jc w:val="both"/>
        <w:rPr>
          <w:sz w:val="24"/>
        </w:rPr>
      </w:pPr>
      <w:r>
        <w:rPr>
          <w:sz w:val="24"/>
        </w:rPr>
        <w:t>La migración internacional de trabajadores es causada por diferencias salariales entre</w:t>
      </w:r>
      <w:r>
        <w:rPr>
          <w:spacing w:val="-4"/>
          <w:sz w:val="24"/>
        </w:rPr>
        <w:t> </w:t>
      </w:r>
      <w:r>
        <w:rPr>
          <w:sz w:val="24"/>
        </w:rPr>
        <w:t>países.</w:t>
      </w:r>
    </w:p>
    <w:p>
      <w:pPr>
        <w:pStyle w:val="ListParagraph"/>
        <w:numPr>
          <w:ilvl w:val="0"/>
          <w:numId w:val="8"/>
        </w:numPr>
        <w:tabs>
          <w:tab w:pos="873" w:val="left" w:leader="none"/>
        </w:tabs>
        <w:spacing w:line="360" w:lineRule="auto" w:before="2" w:after="0"/>
        <w:ind w:left="873" w:right="113" w:hanging="360"/>
        <w:jc w:val="both"/>
        <w:rPr>
          <w:sz w:val="24"/>
        </w:rPr>
      </w:pPr>
      <w:r>
        <w:rPr>
          <w:sz w:val="24"/>
        </w:rPr>
        <w:t>La eliminación de tales diferencias salariales terminará con el movimiento de trabajadores, la migración no acontecerá ante la ausencia de tales diferencias.</w:t>
      </w:r>
    </w:p>
    <w:p>
      <w:pPr>
        <w:pStyle w:val="ListParagraph"/>
        <w:numPr>
          <w:ilvl w:val="0"/>
          <w:numId w:val="8"/>
        </w:numPr>
        <w:tabs>
          <w:tab w:pos="873" w:val="left" w:leader="none"/>
        </w:tabs>
        <w:spacing w:line="360" w:lineRule="auto" w:before="7" w:after="0"/>
        <w:ind w:left="873" w:right="104" w:hanging="360"/>
        <w:jc w:val="both"/>
        <w:rPr>
          <w:sz w:val="24"/>
        </w:rPr>
      </w:pPr>
      <w:r>
        <w:rPr>
          <w:sz w:val="24"/>
        </w:rPr>
        <w:t>Los flujos internacionales de capital humano –es decir, de trabajadores altamente cualificados– responden a las diferencias entre índices de beneficios de capital humano, que puede ser diferente del conjunto del índice salarial, provocando distintos patrones de migración opuestos a aquellos de los trabajadores no</w:t>
      </w:r>
      <w:r>
        <w:rPr>
          <w:spacing w:val="-19"/>
          <w:sz w:val="24"/>
        </w:rPr>
        <w:t> </w:t>
      </w:r>
      <w:r>
        <w:rPr>
          <w:sz w:val="24"/>
        </w:rPr>
        <w:t>cualificados</w:t>
      </w:r>
    </w:p>
    <w:p>
      <w:pPr>
        <w:pStyle w:val="ListParagraph"/>
        <w:numPr>
          <w:ilvl w:val="0"/>
          <w:numId w:val="8"/>
        </w:numPr>
        <w:tabs>
          <w:tab w:pos="873" w:val="left" w:leader="none"/>
        </w:tabs>
        <w:spacing w:line="360" w:lineRule="auto" w:before="2" w:after="0"/>
        <w:ind w:left="873" w:right="115" w:hanging="360"/>
        <w:jc w:val="both"/>
        <w:rPr>
          <w:sz w:val="24"/>
        </w:rPr>
      </w:pPr>
      <w:r>
        <w:rPr>
          <w:sz w:val="24"/>
        </w:rPr>
        <w:t>Los mercados de trabajo son mecanismos primarios por los que los flujos internacionales de mano de obra se inducen; otro tipo de mercados no tienen efectos importantes sobre la migración</w:t>
      </w:r>
      <w:r>
        <w:rPr>
          <w:spacing w:val="-24"/>
          <w:sz w:val="24"/>
        </w:rPr>
        <w:t> </w:t>
      </w:r>
      <w:r>
        <w:rPr>
          <w:sz w:val="24"/>
        </w:rPr>
        <w:t>internacional.</w:t>
      </w:r>
    </w:p>
    <w:p>
      <w:pPr>
        <w:pStyle w:val="ListParagraph"/>
        <w:numPr>
          <w:ilvl w:val="0"/>
          <w:numId w:val="8"/>
        </w:numPr>
        <w:tabs>
          <w:tab w:pos="873" w:val="left" w:leader="none"/>
        </w:tabs>
        <w:spacing w:line="360" w:lineRule="auto" w:before="7" w:after="0"/>
        <w:ind w:left="873" w:right="115" w:hanging="360"/>
        <w:jc w:val="both"/>
        <w:rPr>
          <w:sz w:val="24"/>
        </w:rPr>
      </w:pPr>
      <w:r>
        <w:rPr>
          <w:sz w:val="24"/>
        </w:rPr>
        <w:t>La forma en que los gobiernos pueden controlar los flujos migratorios es a través de la regulación o influencia en los mercados de trabajo en los países emisores o</w:t>
      </w:r>
      <w:r>
        <w:rPr>
          <w:spacing w:val="-9"/>
          <w:sz w:val="24"/>
        </w:rPr>
        <w:t> </w:t>
      </w:r>
      <w:r>
        <w:rPr>
          <w:sz w:val="24"/>
        </w:rPr>
        <w:t>receptores.</w:t>
      </w:r>
    </w:p>
    <w:p>
      <w:pPr>
        <w:pStyle w:val="BodyText"/>
      </w:pPr>
    </w:p>
    <w:p>
      <w:pPr>
        <w:pStyle w:val="BodyText"/>
        <w:spacing w:before="7"/>
        <w:rPr>
          <w:sz w:val="29"/>
        </w:rPr>
      </w:pPr>
    </w:p>
    <w:p>
      <w:pPr>
        <w:pStyle w:val="Heading3"/>
        <w:numPr>
          <w:ilvl w:val="2"/>
          <w:numId w:val="7"/>
        </w:numPr>
        <w:tabs>
          <w:tab w:pos="825" w:val="left" w:leader="none"/>
        </w:tabs>
        <w:spacing w:line="240" w:lineRule="auto" w:before="0" w:after="0"/>
        <w:ind w:left="825" w:right="0" w:hanging="673"/>
        <w:jc w:val="both"/>
        <w:rPr>
          <w:i/>
        </w:rPr>
      </w:pPr>
      <w:bookmarkStart w:name="_bookmark13" w:id="22"/>
      <w:bookmarkEnd w:id="22"/>
      <w:r>
        <w:rPr>
          <w:b w:val="0"/>
          <w:i w:val="0"/>
        </w:rPr>
      </w:r>
      <w:bookmarkStart w:name="_bookmark13" w:id="23"/>
      <w:bookmarkEnd w:id="23"/>
      <w:r>
        <w:rPr>
          <w:i/>
        </w:rPr>
        <w:t>T</w:t>
      </w:r>
      <w:r>
        <w:rPr>
          <w:i/>
        </w:rPr>
        <w:t>eoría neoclásica: modelo</w:t>
      </w:r>
      <w:r>
        <w:rPr>
          <w:i/>
          <w:spacing w:val="-25"/>
        </w:rPr>
        <w:t> </w:t>
      </w:r>
      <w:r>
        <w:rPr>
          <w:i/>
        </w:rPr>
        <w:t>microeconómico</w:t>
      </w:r>
    </w:p>
    <w:p>
      <w:pPr>
        <w:pStyle w:val="BodyText"/>
        <w:rPr>
          <w:b/>
          <w:i/>
        </w:rPr>
      </w:pPr>
    </w:p>
    <w:p>
      <w:pPr>
        <w:pStyle w:val="BodyText"/>
        <w:spacing w:line="360" w:lineRule="auto" w:before="183"/>
        <w:ind w:left="152" w:right="103"/>
        <w:jc w:val="both"/>
      </w:pPr>
      <w:r>
        <w:rPr/>
        <w:t>Junto al modelo macroeconómico existe un modelo microeconómico de elección individual, Sjastad (1962), Todaro (1989), Todaro y Maruszko (1987), citados por Arango (2003). En este plano, los actores individuales racionales deciden sus desplazamientos migratorios mediante un cálculo del costo-beneficio que los conduce a expectativas de un beneficio neto positivo, normalmente monetario, del desplazamiento.</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1"/>
        <w:jc w:val="both"/>
      </w:pPr>
      <w:r>
        <w:rPr/>
        <w:t>La migración internacional se conceptualiza como una forma de inversión  de capital humano. La gente elige moverse a aquellos lugares donde creen van a ser </w:t>
      </w:r>
      <w:r>
        <w:rPr>
          <w:spacing w:val="-3"/>
        </w:rPr>
        <w:t>más </w:t>
      </w:r>
      <w:r>
        <w:rPr/>
        <w:t>productivos, dada su cualificación; pero antes de que puedan adquirir el plus salarial asociado a la fantástica productividad laboral deben realizar ciertas inversiones, que incluyen los costos materiales del traslado, el costo de mantenimiento mientras se trasladan y buscan trabajo, los esfuerzos que conlleva aprender una nueva lengua y cultura, la difícil experiencia de adaptarse a un nuevo mercado de trabajo y los costes psicológicos de cortar viejos lazos y forjar otros nuevos. </w:t>
      </w:r>
      <w:r>
        <w:rPr>
          <w:spacing w:val="-4"/>
        </w:rPr>
        <w:t>El </w:t>
      </w:r>
      <w:r>
        <w:rPr/>
        <w:t>migrante potencial estima los costos y beneficios del traslado a localizaciones internacionales alternativas y </w:t>
      </w:r>
      <w:r>
        <w:rPr>
          <w:spacing w:val="-3"/>
        </w:rPr>
        <w:t>se </w:t>
      </w:r>
      <w:r>
        <w:rPr/>
        <w:t>reubica donde las expectativas del beneficio neto sean mayores en la perspectiva del tiempo (Borjas, 1990). Un emigrante potencial va a donde la expectativa de beneficio neto es mayor, lo que conduce a varias conclusiones importantes que difieren ligeramente de la anterior formulación</w:t>
      </w:r>
      <w:r>
        <w:rPr>
          <w:spacing w:val="-14"/>
        </w:rPr>
        <w:t> </w:t>
      </w:r>
      <w:r>
        <w:rPr/>
        <w:t>macroeconómica:</w:t>
      </w:r>
    </w:p>
    <w:p>
      <w:pPr>
        <w:pStyle w:val="BodyText"/>
      </w:pPr>
    </w:p>
    <w:p>
      <w:pPr>
        <w:pStyle w:val="ListParagraph"/>
        <w:numPr>
          <w:ilvl w:val="0"/>
          <w:numId w:val="9"/>
        </w:numPr>
        <w:tabs>
          <w:tab w:pos="873" w:val="left" w:leader="none"/>
        </w:tabs>
        <w:spacing w:line="360" w:lineRule="auto" w:before="140" w:after="0"/>
        <w:ind w:left="873" w:right="111" w:hanging="360"/>
        <w:jc w:val="both"/>
        <w:rPr>
          <w:sz w:val="24"/>
        </w:rPr>
      </w:pPr>
      <w:r>
        <w:rPr>
          <w:sz w:val="24"/>
        </w:rPr>
        <w:t>Los movimientos internacionales radican en las diferencias internacionales tanto en los índices salariales </w:t>
      </w:r>
      <w:r>
        <w:rPr>
          <w:spacing w:val="-4"/>
          <w:sz w:val="24"/>
        </w:rPr>
        <w:t>como </w:t>
      </w:r>
      <w:r>
        <w:rPr>
          <w:sz w:val="24"/>
        </w:rPr>
        <w:t>en los de empleo; cuyo producto determina las expectativas de beneficios (el primer modelo, por el contrario, asumía el pleno</w:t>
      </w:r>
      <w:r>
        <w:rPr>
          <w:spacing w:val="-7"/>
          <w:sz w:val="24"/>
        </w:rPr>
        <w:t> </w:t>
      </w:r>
      <w:r>
        <w:rPr>
          <w:sz w:val="24"/>
        </w:rPr>
        <w:t>empleo).</w:t>
      </w:r>
    </w:p>
    <w:p>
      <w:pPr>
        <w:pStyle w:val="ListParagraph"/>
        <w:numPr>
          <w:ilvl w:val="0"/>
          <w:numId w:val="9"/>
        </w:numPr>
        <w:tabs>
          <w:tab w:pos="873" w:val="left" w:leader="none"/>
        </w:tabs>
        <w:spacing w:line="360" w:lineRule="auto" w:before="2" w:after="0"/>
        <w:ind w:left="873" w:right="108" w:hanging="360"/>
        <w:jc w:val="both"/>
        <w:rPr>
          <w:sz w:val="24"/>
        </w:rPr>
      </w:pPr>
      <w:r>
        <w:rPr>
          <w:sz w:val="24"/>
        </w:rPr>
        <w:t>Las características del capital humano individual que incrementa  el probable índice salarial o la probabilidad de empleo en destino en relación al país de origen (educación, experiencia, capacitación, conocimiento de idiomas) incrementará las probabilidades del desplazamiento internacional, manteniéndose todo lo </w:t>
      </w:r>
      <w:r>
        <w:rPr>
          <w:spacing w:val="-3"/>
          <w:sz w:val="24"/>
        </w:rPr>
        <w:t>demás</w:t>
      </w:r>
      <w:r>
        <w:rPr>
          <w:spacing w:val="-2"/>
          <w:sz w:val="24"/>
        </w:rPr>
        <w:t> </w:t>
      </w:r>
      <w:r>
        <w:rPr>
          <w:sz w:val="24"/>
        </w:rPr>
        <w:t>constante.</w:t>
      </w:r>
    </w:p>
    <w:p>
      <w:pPr>
        <w:pStyle w:val="ListParagraph"/>
        <w:numPr>
          <w:ilvl w:val="0"/>
          <w:numId w:val="9"/>
        </w:numPr>
        <w:tabs>
          <w:tab w:pos="873" w:val="left" w:leader="none"/>
        </w:tabs>
        <w:spacing w:line="360" w:lineRule="auto" w:before="7" w:after="0"/>
        <w:ind w:left="873" w:right="110" w:hanging="360"/>
        <w:jc w:val="both"/>
        <w:rPr>
          <w:sz w:val="24"/>
        </w:rPr>
      </w:pPr>
      <w:r>
        <w:rPr>
          <w:sz w:val="24"/>
        </w:rPr>
        <w:t>Las características individuales, condiciones sociales, o tecnológicas que reducen el coste de desplazamiento incrementan los beneficios netos a la migración y por consiguiente, aumentan la probabilidad de movimientos internacionales.</w:t>
      </w:r>
    </w:p>
    <w:p>
      <w:pPr>
        <w:spacing w:after="0" w:line="360" w:lineRule="auto"/>
        <w:jc w:val="both"/>
        <w:rPr>
          <w:sz w:val="24"/>
        </w:rPr>
        <w:sectPr>
          <w:pgSz w:w="12240" w:h="15840"/>
          <w:pgMar w:header="0" w:footer="1382" w:top="1500" w:bottom="1580" w:left="1720" w:right="1420"/>
        </w:sectPr>
      </w:pPr>
    </w:p>
    <w:p>
      <w:pPr>
        <w:pStyle w:val="BodyText"/>
        <w:spacing w:before="11"/>
        <w:rPr>
          <w:sz w:val="25"/>
        </w:rPr>
      </w:pPr>
    </w:p>
    <w:p>
      <w:pPr>
        <w:pStyle w:val="ListParagraph"/>
        <w:numPr>
          <w:ilvl w:val="0"/>
          <w:numId w:val="9"/>
        </w:numPr>
        <w:tabs>
          <w:tab w:pos="873" w:val="left" w:leader="none"/>
        </w:tabs>
        <w:spacing w:line="360" w:lineRule="auto" w:before="69" w:after="0"/>
        <w:ind w:left="873" w:right="103" w:hanging="360"/>
        <w:jc w:val="both"/>
        <w:rPr>
          <w:sz w:val="24"/>
        </w:rPr>
      </w:pPr>
      <w:r>
        <w:rPr>
          <w:sz w:val="24"/>
        </w:rPr>
        <w:t>La migración continuará hasta que las expectativas de beneficio (el  producto entre el índice de ganancia y el de empleo) </w:t>
      </w:r>
      <w:r>
        <w:rPr>
          <w:spacing w:val="3"/>
          <w:sz w:val="24"/>
        </w:rPr>
        <w:t>sean </w:t>
      </w:r>
      <w:r>
        <w:rPr>
          <w:sz w:val="24"/>
        </w:rPr>
        <w:t>equiparadas internacionalmente (el resultado de los costos de desplazamiento), y los desplazamientos no </w:t>
      </w:r>
      <w:r>
        <w:rPr>
          <w:spacing w:val="-3"/>
          <w:sz w:val="24"/>
        </w:rPr>
        <w:t>se </w:t>
      </w:r>
      <w:r>
        <w:rPr>
          <w:sz w:val="24"/>
        </w:rPr>
        <w:t>detendrán hasta que este producto haya sido igualado.</w:t>
      </w:r>
    </w:p>
    <w:p>
      <w:pPr>
        <w:pStyle w:val="ListParagraph"/>
        <w:numPr>
          <w:ilvl w:val="0"/>
          <w:numId w:val="9"/>
        </w:numPr>
        <w:tabs>
          <w:tab w:pos="873" w:val="left" w:leader="none"/>
        </w:tabs>
        <w:spacing w:line="360" w:lineRule="auto" w:before="2" w:after="0"/>
        <w:ind w:left="873" w:right="112" w:hanging="360"/>
        <w:jc w:val="both"/>
        <w:rPr>
          <w:sz w:val="24"/>
        </w:rPr>
      </w:pPr>
      <w:r>
        <w:rPr>
          <w:sz w:val="24"/>
        </w:rPr>
        <w:t>La decisión de migrar radica en los desequilibrios o discontinuidades entre mercados de trabajo; otro tipo de mercados no influyen directamente en la decisión</w:t>
      </w:r>
      <w:r>
        <w:rPr>
          <w:spacing w:val="-8"/>
          <w:sz w:val="24"/>
        </w:rPr>
        <w:t> </w:t>
      </w:r>
      <w:r>
        <w:rPr>
          <w:sz w:val="24"/>
        </w:rPr>
        <w:t>migratoria.</w:t>
      </w:r>
    </w:p>
    <w:p>
      <w:pPr>
        <w:pStyle w:val="ListParagraph"/>
        <w:numPr>
          <w:ilvl w:val="0"/>
          <w:numId w:val="9"/>
        </w:numPr>
        <w:tabs>
          <w:tab w:pos="873" w:val="left" w:leader="none"/>
        </w:tabs>
        <w:spacing w:line="360" w:lineRule="auto" w:before="7" w:after="0"/>
        <w:ind w:left="873" w:right="110" w:hanging="360"/>
        <w:jc w:val="both"/>
        <w:rPr>
          <w:sz w:val="24"/>
        </w:rPr>
      </w:pPr>
      <w:r>
        <w:rPr>
          <w:sz w:val="24"/>
        </w:rPr>
        <w:t>Si las condiciones en los países receptores son psicológicamente atractivas para las expectativas de la inmigración, el costo de migración puede ser negativo. En este caso, una diferencia de ganancia negativa puede ser necesaria para detener la migración entre</w:t>
      </w:r>
      <w:r>
        <w:rPr>
          <w:spacing w:val="-24"/>
          <w:sz w:val="24"/>
        </w:rPr>
        <w:t> </w:t>
      </w:r>
      <w:r>
        <w:rPr>
          <w:sz w:val="24"/>
        </w:rPr>
        <w:t>países.</w:t>
      </w:r>
    </w:p>
    <w:p>
      <w:pPr>
        <w:pStyle w:val="ListParagraph"/>
        <w:numPr>
          <w:ilvl w:val="0"/>
          <w:numId w:val="9"/>
        </w:numPr>
        <w:tabs>
          <w:tab w:pos="873" w:val="left" w:leader="none"/>
        </w:tabs>
        <w:spacing w:line="360" w:lineRule="auto" w:before="7" w:after="0"/>
        <w:ind w:left="873" w:right="104" w:hanging="360"/>
        <w:jc w:val="both"/>
        <w:rPr>
          <w:sz w:val="24"/>
        </w:rPr>
      </w:pPr>
      <w:r>
        <w:rPr>
          <w:sz w:val="24"/>
        </w:rPr>
        <w:t>Los Gobiernos controlan la inmigración principalmente a través de políticas que afectan a la expectativa de ganancias en los países de origen o/y de destino, por ejemplo, aquellos que tratan de reducir la probabilidad de empleo o incrementar el riesgo de desempleo en el área de destino (a través de permisos de trabajo), aquellos que tratan de aumentar las rentas en el origen (a través de programas de desarrollo a </w:t>
      </w:r>
      <w:r>
        <w:rPr>
          <w:spacing w:val="2"/>
          <w:sz w:val="24"/>
        </w:rPr>
        <w:t>largo </w:t>
      </w:r>
      <w:r>
        <w:rPr>
          <w:sz w:val="24"/>
        </w:rPr>
        <w:t>plazo), o aquellos cuyo objetivo es incrementar los costos (tanto psicológicos como materiales) de la</w:t>
      </w:r>
      <w:r>
        <w:rPr>
          <w:spacing w:val="-8"/>
          <w:sz w:val="24"/>
        </w:rPr>
        <w:t> </w:t>
      </w:r>
      <w:r>
        <w:rPr>
          <w:sz w:val="24"/>
        </w:rPr>
        <w:t>migración.</w:t>
      </w:r>
    </w:p>
    <w:p>
      <w:pPr>
        <w:pStyle w:val="BodyText"/>
      </w:pPr>
    </w:p>
    <w:p>
      <w:pPr>
        <w:pStyle w:val="BodyText"/>
        <w:spacing w:before="8"/>
        <w:rPr>
          <w:sz w:val="29"/>
        </w:rPr>
      </w:pPr>
    </w:p>
    <w:p>
      <w:pPr>
        <w:pStyle w:val="Heading3"/>
        <w:numPr>
          <w:ilvl w:val="2"/>
          <w:numId w:val="7"/>
        </w:numPr>
        <w:tabs>
          <w:tab w:pos="825" w:val="left" w:leader="none"/>
        </w:tabs>
        <w:spacing w:line="240" w:lineRule="auto" w:before="0" w:after="0"/>
        <w:ind w:left="825" w:right="0" w:hanging="673"/>
        <w:jc w:val="both"/>
        <w:rPr>
          <w:i/>
        </w:rPr>
      </w:pPr>
      <w:bookmarkStart w:name="_bookmark14" w:id="24"/>
      <w:bookmarkEnd w:id="24"/>
      <w:r>
        <w:rPr>
          <w:b w:val="0"/>
          <w:i w:val="0"/>
        </w:rPr>
      </w:r>
      <w:bookmarkStart w:name="_bookmark14" w:id="25"/>
      <w:bookmarkEnd w:id="25"/>
      <w:r>
        <w:rPr>
          <w:i/>
        </w:rPr>
        <w:t>T</w:t>
      </w:r>
      <w:r>
        <w:rPr>
          <w:i/>
        </w:rPr>
        <w:t>eoría de</w:t>
      </w:r>
      <w:r>
        <w:rPr>
          <w:i/>
          <w:spacing w:val="-9"/>
        </w:rPr>
        <w:t> </w:t>
      </w:r>
      <w:r>
        <w:rPr>
          <w:i/>
        </w:rPr>
        <w:t>redes</w:t>
      </w:r>
    </w:p>
    <w:p>
      <w:pPr>
        <w:pStyle w:val="BodyText"/>
        <w:rPr>
          <w:b/>
          <w:i/>
        </w:rPr>
      </w:pPr>
    </w:p>
    <w:p>
      <w:pPr>
        <w:pStyle w:val="BodyText"/>
        <w:spacing w:line="360" w:lineRule="auto" w:before="182"/>
        <w:ind w:left="152" w:right="104"/>
        <w:jc w:val="both"/>
      </w:pPr>
      <w:r>
        <w:rPr/>
        <w:t>Las redes de migración se componen de lazos interpersonales que conectan a los migrantes, los migrantes anteriores, y los no migrantes en áreas de origen y destino a través de lazos de parentesco, amistad, o por pertenencia a la misma comunidad de origen. Las redes incrementan las posibilidades del flujo internacional al disminuir los costes y riesgos del desplazamiento e incrementa los deseados   beneficios   económicos   de   la  migración.   Las   conexiones   en red</w:t>
      </w:r>
    </w:p>
    <w:p>
      <w:pPr>
        <w:spacing w:after="0" w:line="360" w:lineRule="auto"/>
        <w:jc w:val="both"/>
        <w:sectPr>
          <w:footerReference w:type="default" r:id="rId12"/>
          <w:pgSz w:w="12240" w:h="15840"/>
          <w:pgMar w:footer="1382" w:header="0" w:top="1500" w:bottom="1580" w:left="1720" w:right="1420"/>
        </w:sectPr>
      </w:pPr>
    </w:p>
    <w:p>
      <w:pPr>
        <w:pStyle w:val="BodyText"/>
        <w:spacing w:before="11"/>
        <w:rPr>
          <w:sz w:val="25"/>
        </w:rPr>
      </w:pPr>
    </w:p>
    <w:p>
      <w:pPr>
        <w:pStyle w:val="BodyText"/>
        <w:spacing w:line="360" w:lineRule="auto" w:before="69"/>
        <w:ind w:left="152" w:right="103"/>
        <w:jc w:val="both"/>
      </w:pPr>
      <w:r>
        <w:rPr/>
        <w:t>constituyen una forma de capital social al que la gente puede recurrir para conseguir acceder a un empleo extranjero. Una vez que el número de inmigrantes alcanza el umbral, la expansión de las redes reduce el coste y los riesgos del desplazamiento, lo que causa el aumento de la probabilidad de emigrar, provoca desplazamientos adicionales, y posteriormente expande la red. A lo largo del tiempo, los comportamientos migratorios se expanden en el exterior para abarcar segmentos más amplios de las sociedades emisoras (Taylor, 1986; Massey y García, 1987; Massey, 1990 y  Gurak y Caces, 1992).</w:t>
      </w:r>
    </w:p>
    <w:p>
      <w:pPr>
        <w:pStyle w:val="BodyText"/>
      </w:pPr>
    </w:p>
    <w:p>
      <w:pPr>
        <w:pStyle w:val="BodyText"/>
        <w:spacing w:line="360" w:lineRule="auto" w:before="144"/>
        <w:ind w:left="152" w:right="101"/>
        <w:jc w:val="both"/>
      </w:pPr>
      <w:r>
        <w:rPr/>
        <w:t>Disminución de costos: Los primeros emigrantes que partieron en busca de un nuevo destino no tenían lazos sociales a los que aferrarse, y para ello la emigración era muy costosa, especialmente si ello suponía la entrada en otro país sin documentación. Una vez que el primer emigrante parte, sin embargo, el costo potencial de la migración se reduce sustancialmente para los amigos y parientes que parten tras él. A causa de las estructuras del parentesco y la amistad, cada nuevo emigrante crea un grupo de personas unidas por lazos sociales en el área de destino. Los migrantes se ven inevitablemente unidos a los no migrantes, y éstos aprovechan las obligaciones implícitas en las relaciones de parentesco o amistad para acceder a un empleo y para asistirse en el punto de destino.</w:t>
      </w:r>
    </w:p>
    <w:p>
      <w:pPr>
        <w:pStyle w:val="BodyText"/>
      </w:pPr>
    </w:p>
    <w:p>
      <w:pPr>
        <w:pStyle w:val="BodyText"/>
        <w:spacing w:line="360" w:lineRule="auto" w:before="144"/>
        <w:ind w:left="152" w:right="100"/>
        <w:jc w:val="both"/>
      </w:pPr>
      <w:r>
        <w:rPr/>
        <w:t>Una vez que el número de conexiones en red en un área de origen alcanza un umbral crítico, la migración se convierte en una auto-perpetuación debido a que cada acto de un emigrante, reduce los costos del siguiente para un número determinado de amigos y familiares, y algunas de estas personas se ven, por tanto, inducidas a emigrar, con la consiguiente expansión </w:t>
      </w:r>
      <w:r>
        <w:rPr>
          <w:spacing w:val="-3"/>
        </w:rPr>
        <w:t>del </w:t>
      </w:r>
      <w:r>
        <w:rPr/>
        <w:t>grupo de personas con lazos en el exterior, y la consecuente reducción de los costos para un nuevo grupo de personas, provocando que alguno de ellos emigre, y así</w:t>
      </w:r>
      <w:r>
        <w:rPr>
          <w:spacing w:val="-34"/>
        </w:rPr>
        <w:t> </w:t>
      </w:r>
      <w:r>
        <w:rPr/>
        <w:t>sucesivamente.</w:t>
      </w:r>
    </w:p>
    <w:p>
      <w:pPr>
        <w:spacing w:after="0" w:line="360" w:lineRule="auto"/>
        <w:jc w:val="both"/>
        <w:sectPr>
          <w:footerReference w:type="default" r:id="rId13"/>
          <w:pgSz w:w="12240" w:h="15840"/>
          <w:pgMar w:footer="1382" w:header="0" w:top="1500" w:bottom="1580" w:left="1720" w:right="1420"/>
          <w:pgNumType w:start="31"/>
        </w:sectPr>
      </w:pPr>
    </w:p>
    <w:p>
      <w:pPr>
        <w:pStyle w:val="BodyText"/>
        <w:spacing w:before="11"/>
        <w:rPr>
          <w:sz w:val="25"/>
        </w:rPr>
      </w:pPr>
    </w:p>
    <w:p>
      <w:pPr>
        <w:pStyle w:val="BodyText"/>
        <w:spacing w:line="360" w:lineRule="auto" w:before="69"/>
        <w:ind w:left="152" w:right="100"/>
        <w:jc w:val="both"/>
      </w:pPr>
      <w:r>
        <w:rPr/>
        <w:t>Disminución de riesgos: Las redes también hacen de la migración internacional algo extremadamente atractivo como estrategia para la diversificación de riesgos. Cuando las redes de migración están bien desarrolladas, ponen los trabajos de destino fácilmente al alcance de muchos de los miembros de la comunidad  y hacen de la emigración una fuente de ingresos segura y fidedigna. Así el autosostenible crecimiento de las redes sobrevenido a lo largo de la progresiva reducción de costes puede ser también explicado teóricamente por la progresiva reducción de los riesgos. Cada nuevo emigrante expande la red y reduce los riesgos de desplazamiento para todos aquellos con los que está relacionado, eventualmente haciéndolos virtualmente seguros y livianamente costosos diversificando las cuotas laborales de la familia a través de la inmigración.</w:t>
      </w:r>
    </w:p>
    <w:p>
      <w:pPr>
        <w:pStyle w:val="BodyText"/>
      </w:pPr>
    </w:p>
    <w:p>
      <w:pPr>
        <w:pStyle w:val="BodyText"/>
        <w:spacing w:line="360" w:lineRule="auto" w:before="144"/>
        <w:ind w:left="152" w:right="102"/>
        <w:jc w:val="both"/>
      </w:pPr>
      <w:r>
        <w:rPr/>
        <w:t>Esta teoría dinámica acepta el punto de vista de la migración internacional </w:t>
      </w:r>
      <w:r>
        <w:rPr>
          <w:spacing w:val="-4"/>
        </w:rPr>
        <w:t>como</w:t>
      </w:r>
      <w:r>
        <w:rPr>
          <w:spacing w:val="58"/>
        </w:rPr>
        <w:t> </w:t>
      </w:r>
      <w:r>
        <w:rPr/>
        <w:t>un proceso de decisión familiar o individual, pero argumenta que los actos de migración, en el momento presente, alteran sistemáticamente el contexto sobre el que se basan las decisiones de los migrantes futuros, incrementando enormemente las posibilidades de </w:t>
      </w:r>
      <w:r>
        <w:rPr>
          <w:spacing w:val="2"/>
        </w:rPr>
        <w:t>que </w:t>
      </w:r>
      <w:r>
        <w:rPr/>
        <w:t>estos decidan posteriormente migrar. Conceptualizar la migración como un proceso de difusión autosostenido tiene implicaciones y consecuencias que son bastante diferentes de aquellas derivadas de los análisis del equilibrio general típicamente empleados para estudiar la migración:</w:t>
      </w:r>
    </w:p>
    <w:p>
      <w:pPr>
        <w:pStyle w:val="BodyText"/>
      </w:pPr>
    </w:p>
    <w:p>
      <w:pPr>
        <w:pStyle w:val="ListParagraph"/>
        <w:numPr>
          <w:ilvl w:val="0"/>
          <w:numId w:val="10"/>
        </w:numPr>
        <w:tabs>
          <w:tab w:pos="873" w:val="left" w:leader="none"/>
        </w:tabs>
        <w:spacing w:line="360" w:lineRule="auto" w:before="140" w:after="0"/>
        <w:ind w:left="873" w:right="103" w:hanging="360"/>
        <w:jc w:val="both"/>
        <w:rPr>
          <w:sz w:val="24"/>
        </w:rPr>
      </w:pPr>
      <w:r>
        <w:rPr>
          <w:sz w:val="24"/>
        </w:rPr>
        <w:t>Una vez que comienza, la migración internacional tiende a expandirse continuamente hasta que las redes de conexión se han difundido tan ampliamente en una región de origen que toda su población, si desea emigrar, pueda hacerlo sin dificultad; entonces la migración empieza a desacelerarse.</w:t>
      </w:r>
    </w:p>
    <w:p>
      <w:pPr>
        <w:pStyle w:val="ListParagraph"/>
        <w:numPr>
          <w:ilvl w:val="0"/>
          <w:numId w:val="10"/>
        </w:numPr>
        <w:tabs>
          <w:tab w:pos="873" w:val="left" w:leader="none"/>
        </w:tabs>
        <w:spacing w:line="362" w:lineRule="auto" w:before="2" w:after="0"/>
        <w:ind w:left="873" w:right="102" w:hanging="360"/>
        <w:jc w:val="both"/>
        <w:rPr>
          <w:sz w:val="24"/>
        </w:rPr>
      </w:pPr>
      <w:r>
        <w:rPr>
          <w:sz w:val="24"/>
        </w:rPr>
        <w:t>El tamaño del flujo migratorio entre dos países no está estrechamente relacionado con las diferencias salariales o los índices de empleo,   </w:t>
      </w:r>
      <w:r>
        <w:rPr>
          <w:spacing w:val="54"/>
          <w:sz w:val="24"/>
        </w:rPr>
        <w:t> </w:t>
      </w:r>
      <w:r>
        <w:rPr>
          <w:sz w:val="24"/>
        </w:rPr>
        <w:t>porque</w:t>
      </w:r>
    </w:p>
    <w:p>
      <w:pPr>
        <w:spacing w:after="0" w:line="362" w:lineRule="auto"/>
        <w:jc w:val="both"/>
        <w:rPr>
          <w:sz w:val="24"/>
        </w:rPr>
        <w:sectPr>
          <w:pgSz w:w="12240" w:h="15840"/>
          <w:pgMar w:header="0" w:footer="1382" w:top="1500" w:bottom="1580" w:left="1720" w:right="1420"/>
        </w:sectPr>
      </w:pPr>
    </w:p>
    <w:p>
      <w:pPr>
        <w:pStyle w:val="BodyText"/>
        <w:spacing w:before="11"/>
        <w:rPr>
          <w:sz w:val="25"/>
        </w:rPr>
      </w:pPr>
    </w:p>
    <w:p>
      <w:pPr>
        <w:pStyle w:val="BodyText"/>
        <w:spacing w:line="360" w:lineRule="auto" w:before="69"/>
        <w:ind w:left="873" w:right="102"/>
        <w:jc w:val="both"/>
      </w:pPr>
      <w:r>
        <w:rPr/>
        <w:t>cualquier efecto que tengan tales variables en la promoción o inhibición migratoria es progresivamente eclipsado por el descenso del coste o de los riesgos de desplazamiento radicado en la expansión de las redes de migración en el tiempo.</w:t>
      </w:r>
    </w:p>
    <w:p>
      <w:pPr>
        <w:pStyle w:val="ListParagraph"/>
        <w:numPr>
          <w:ilvl w:val="0"/>
          <w:numId w:val="10"/>
        </w:numPr>
        <w:tabs>
          <w:tab w:pos="873" w:val="left" w:leader="none"/>
        </w:tabs>
        <w:spacing w:line="360" w:lineRule="auto" w:before="2" w:after="0"/>
        <w:ind w:left="873" w:right="102" w:hanging="360"/>
        <w:jc w:val="both"/>
        <w:rPr>
          <w:sz w:val="24"/>
        </w:rPr>
      </w:pPr>
      <w:r>
        <w:rPr>
          <w:sz w:val="24"/>
        </w:rPr>
        <w:t>Como la migración internacional se institucionaliza a través de la formación y elaboración de redes, se independiza progresivamente de los factores  que la originaron, ya fueran estructurales o</w:t>
      </w:r>
      <w:r>
        <w:rPr>
          <w:spacing w:val="-22"/>
          <w:sz w:val="24"/>
        </w:rPr>
        <w:t> </w:t>
      </w:r>
      <w:r>
        <w:rPr>
          <w:sz w:val="24"/>
        </w:rPr>
        <w:t>individuales.</w:t>
      </w:r>
    </w:p>
    <w:p>
      <w:pPr>
        <w:pStyle w:val="ListParagraph"/>
        <w:numPr>
          <w:ilvl w:val="0"/>
          <w:numId w:val="10"/>
        </w:numPr>
        <w:tabs>
          <w:tab w:pos="873" w:val="left" w:leader="none"/>
        </w:tabs>
        <w:spacing w:line="360" w:lineRule="auto" w:before="2" w:after="0"/>
        <w:ind w:left="873" w:right="100" w:hanging="360"/>
        <w:jc w:val="both"/>
        <w:rPr>
          <w:sz w:val="24"/>
        </w:rPr>
      </w:pPr>
      <w:r>
        <w:rPr>
          <w:sz w:val="24"/>
        </w:rPr>
        <w:t>Como las redes se expanden y los costes y riesgos de la inmigración descienden, el flujo migratorio </w:t>
      </w:r>
      <w:r>
        <w:rPr>
          <w:spacing w:val="-3"/>
          <w:sz w:val="24"/>
        </w:rPr>
        <w:t>se </w:t>
      </w:r>
      <w:r>
        <w:rPr>
          <w:sz w:val="24"/>
        </w:rPr>
        <w:t>convierte en menos selectivo en términos socioeconómicos y </w:t>
      </w:r>
      <w:r>
        <w:rPr>
          <w:spacing w:val="-3"/>
          <w:sz w:val="24"/>
        </w:rPr>
        <w:t>más </w:t>
      </w:r>
      <w:r>
        <w:rPr>
          <w:sz w:val="24"/>
        </w:rPr>
        <w:t>representativo respecto de las comunidades o sociedades de</w:t>
      </w:r>
      <w:r>
        <w:rPr>
          <w:spacing w:val="-8"/>
          <w:sz w:val="24"/>
        </w:rPr>
        <w:t> </w:t>
      </w:r>
      <w:r>
        <w:rPr>
          <w:sz w:val="24"/>
        </w:rPr>
        <w:t>origen.</w:t>
      </w:r>
    </w:p>
    <w:p>
      <w:pPr>
        <w:pStyle w:val="ListParagraph"/>
        <w:numPr>
          <w:ilvl w:val="0"/>
          <w:numId w:val="10"/>
        </w:numPr>
        <w:tabs>
          <w:tab w:pos="873" w:val="left" w:leader="none"/>
        </w:tabs>
        <w:spacing w:line="360" w:lineRule="auto" w:before="2" w:after="0"/>
        <w:ind w:left="873" w:right="101" w:hanging="360"/>
        <w:jc w:val="both"/>
        <w:rPr>
          <w:sz w:val="24"/>
        </w:rPr>
      </w:pPr>
      <w:r>
        <w:rPr>
          <w:sz w:val="24"/>
        </w:rPr>
        <w:t>Los gobiernos encontrarán grandes dificultades para regular los flujos migratorios una vez que éstos han comenzado, porque el proceso de formación de las redes descansa </w:t>
      </w:r>
      <w:r>
        <w:rPr>
          <w:spacing w:val="-3"/>
          <w:sz w:val="24"/>
        </w:rPr>
        <w:t>muy </w:t>
      </w:r>
      <w:r>
        <w:rPr>
          <w:sz w:val="24"/>
        </w:rPr>
        <w:t>lejos de su control y no implica problemáticas que puedan ser perseguidas mediante regímenes</w:t>
      </w:r>
      <w:r>
        <w:rPr>
          <w:spacing w:val="-26"/>
          <w:sz w:val="24"/>
        </w:rPr>
        <w:t> </w:t>
      </w:r>
      <w:r>
        <w:rPr>
          <w:sz w:val="24"/>
        </w:rPr>
        <w:t>políticos.</w:t>
      </w:r>
    </w:p>
    <w:p>
      <w:pPr>
        <w:pStyle w:val="ListParagraph"/>
        <w:numPr>
          <w:ilvl w:val="0"/>
          <w:numId w:val="10"/>
        </w:numPr>
        <w:tabs>
          <w:tab w:pos="873" w:val="left" w:leader="none"/>
        </w:tabs>
        <w:spacing w:line="360" w:lineRule="auto" w:before="2" w:after="0"/>
        <w:ind w:left="873" w:right="101" w:hanging="360"/>
        <w:jc w:val="both"/>
        <w:rPr>
          <w:sz w:val="24"/>
        </w:rPr>
      </w:pPr>
      <w:r>
        <w:rPr>
          <w:sz w:val="24"/>
        </w:rPr>
        <w:t>Sin embargo, ciertas políticas de inmigración, tales </w:t>
      </w:r>
      <w:r>
        <w:rPr>
          <w:spacing w:val="-4"/>
          <w:sz w:val="24"/>
        </w:rPr>
        <w:t>como </w:t>
      </w:r>
      <w:r>
        <w:rPr>
          <w:sz w:val="24"/>
        </w:rPr>
        <w:t>las que tratan de promover la reunificación familiar, funcionan como propósitos transversales en el control de los flujos migratorios, en tanto que refuerzan la red de migración otorgando a los parientes de la red derechos especiales de entrada en el</w:t>
      </w:r>
      <w:r>
        <w:rPr>
          <w:spacing w:val="-10"/>
          <w:sz w:val="24"/>
        </w:rPr>
        <w:t> </w:t>
      </w:r>
      <w:r>
        <w:rPr>
          <w:sz w:val="24"/>
        </w:rPr>
        <w:t>territorio.</w:t>
      </w:r>
    </w:p>
    <w:p>
      <w:pPr>
        <w:pStyle w:val="BodyText"/>
      </w:pPr>
    </w:p>
    <w:p>
      <w:pPr>
        <w:pStyle w:val="BodyText"/>
        <w:spacing w:before="8"/>
        <w:rPr>
          <w:sz w:val="29"/>
        </w:rPr>
      </w:pPr>
    </w:p>
    <w:p>
      <w:pPr>
        <w:pStyle w:val="Heading3"/>
        <w:ind w:left="152" w:firstLine="0"/>
        <w:rPr>
          <w:i/>
        </w:rPr>
      </w:pPr>
      <w:bookmarkStart w:name="_bookmark15" w:id="26"/>
      <w:bookmarkEnd w:id="26"/>
      <w:r>
        <w:rPr>
          <w:b w:val="0"/>
          <w:i w:val="0"/>
        </w:rPr>
      </w:r>
      <w:r>
        <w:rPr>
          <w:i/>
        </w:rPr>
        <w:t>6.4.4. La nueva teoría económica de la migración</w:t>
      </w:r>
    </w:p>
    <w:p>
      <w:pPr>
        <w:pStyle w:val="BodyText"/>
        <w:rPr>
          <w:b/>
          <w:i/>
        </w:rPr>
      </w:pPr>
    </w:p>
    <w:p>
      <w:pPr>
        <w:pStyle w:val="BodyText"/>
        <w:spacing w:line="360" w:lineRule="auto" w:before="182"/>
        <w:ind w:left="152" w:right="102"/>
        <w:jc w:val="both"/>
      </w:pPr>
      <w:r>
        <w:rPr/>
        <w:t>Una nueva economía de la migración ha surgido para cuestionar muchas de las asunciones y conclusiones de la teoría neoclásica. La clave de la perspicacia de esta aproximación es el fundamento de que las decisiones de la migración no se determinan por decisiones de carácter individual, si no por unidades más amplias de lazos parentales típicamente familias u hogares en los que los  individuos actúan  colectivamente  no  sólo  para  maximizar  las  expectativas  de  renta, sino</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5"/>
        <w:jc w:val="both"/>
      </w:pPr>
      <w:r>
        <w:rPr/>
        <w:t>también para minimizar riesgos y rebajar las constricciones asociadas a las insuficiencias de una variedad de mercados, distintos al mercado de trabajo </w:t>
      </w:r>
      <w:r>
        <w:rPr>
          <w:spacing w:val="2"/>
        </w:rPr>
        <w:t>(Stark </w:t>
      </w:r>
      <w:r>
        <w:rPr/>
        <w:t>y Levhari, 1982; Stark, 198; Lauby y Stark, 1988; Taylor, 1986; Stark, 1991)  citados por González</w:t>
      </w:r>
      <w:r>
        <w:rPr>
          <w:spacing w:val="-8"/>
        </w:rPr>
        <w:t> </w:t>
      </w:r>
      <w:r>
        <w:rPr/>
        <w:t>2001.</w:t>
      </w:r>
    </w:p>
    <w:p>
      <w:pPr>
        <w:pStyle w:val="BodyText"/>
      </w:pPr>
    </w:p>
    <w:p>
      <w:pPr>
        <w:pStyle w:val="BodyText"/>
        <w:spacing w:line="360" w:lineRule="auto" w:before="139"/>
        <w:ind w:left="152" w:right="102"/>
        <w:jc w:val="both"/>
      </w:pPr>
      <w:r>
        <w:rPr/>
        <w:t>Distintamente a los individuos, los hogares </w:t>
      </w:r>
      <w:r>
        <w:rPr>
          <w:spacing w:val="-3"/>
        </w:rPr>
        <w:t>se </w:t>
      </w:r>
      <w:r>
        <w:rPr/>
        <w:t>encuentran en una posición que les permite controlar los riesgos para el bienestar de sus economías diversificando las cuotas de los recursos familiares, tales como el trabajo familiar. Mientras que a algunos miembros de la familia les son asignadas actividades económicas locales, otros pueden ser enviados a trabajar a mercados laborales extranjeros donde los salarios y condiciones de empleo están negativa o débilmente correlacionadas con aquellas del área local. En el caso en el que las condiciones económicas locales se deterioren y las actividades de allí no consigan alcanzar un nivel de ingresos adecuado, el hogar puede contar con los miembros emigrados para</w:t>
      </w:r>
      <w:r>
        <w:rPr>
          <w:spacing w:val="-33"/>
        </w:rPr>
        <w:t> </w:t>
      </w:r>
      <w:r>
        <w:rPr/>
        <w:t>mantenerse.</w:t>
      </w:r>
    </w:p>
    <w:p>
      <w:pPr>
        <w:pStyle w:val="BodyText"/>
      </w:pPr>
    </w:p>
    <w:p>
      <w:pPr>
        <w:pStyle w:val="BodyText"/>
        <w:spacing w:line="360" w:lineRule="auto" w:before="140"/>
        <w:ind w:left="152" w:right="101"/>
        <w:jc w:val="both"/>
      </w:pPr>
      <w:r>
        <w:rPr/>
        <w:t>En países desarrollados, los riesgos para los ingresos familiares son generalmente minimizados a través de mercados de seguros privados o programas gubernamentales, pero en los países en desarrollo estos mecanismos institucionales para controlar los riesgos o son imperfectos, o no existen, o son inaccesibles para las familias pobres, contribuyendo a incentivar a éstos a la minimización de riesgos a través de la migración. En los países desarrollados, además, los mercados de crédito están bien desarrollados para permitir a las familias financiar sus proyectos, tales como la adopción de una nueva tecnología de producción. En la mayoría de las áreas en desarrollo, en contraste, los créditos no suelen estar disponibles o son concedidos sólo a costos muy altos. Ante la carencia de un acceso público o asequible a los seguros privados, las quiebras del mercado crean fuertes presiones sobre el desplazamiento internacional, como los siguientes ejemplos demuestran.</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9"/>
        <w:jc w:val="both"/>
      </w:pPr>
      <w:r>
        <w:rPr/>
        <w:t>Mercados de seguros agrarios: Siempre que una hacienda agrícola familiar emplea su tiempo y su dinero en la siembra de un cultivo, están apostando por  una inversión que será amortizada en un futuro en forma de producción que puede ser vendida a cambio de dinero en efectivo para adquirir los bienes o servicios deseados, o que puede ser consumida directamente para la subsistencia familiar. Sin embargo, en el tiempo transcurrido entre que un cultivo es sembrado y recolectado, elementos humanos o naturales pueden reducir o eliminar la  cosecha, dejando a la familia en una situación de insuficiencia de ingresos o de alimentos para</w:t>
      </w:r>
      <w:r>
        <w:rPr>
          <w:spacing w:val="-8"/>
        </w:rPr>
        <w:t> </w:t>
      </w:r>
      <w:r>
        <w:rPr/>
        <w:t>subsistir.</w:t>
      </w:r>
    </w:p>
    <w:p>
      <w:pPr>
        <w:pStyle w:val="BodyText"/>
      </w:pPr>
    </w:p>
    <w:p>
      <w:pPr>
        <w:pStyle w:val="BodyText"/>
        <w:spacing w:line="360" w:lineRule="auto" w:before="140"/>
        <w:ind w:left="152" w:right="104"/>
        <w:jc w:val="both"/>
      </w:pPr>
      <w:r>
        <w:rPr/>
        <w:t>Asimismo, la introducción de nuevas tecnologías agrícolas (como semillas transgénicas o nuevos métodos de cultivo) pueden alterar los riesgos objetivos y/u objetivos soportados por la hacienda familiar. El uso de nuevas variedades de semillas puede incrementar la producción agrícola siempre y cuando sea explotada por un experto; pero </w:t>
      </w:r>
      <w:r>
        <w:rPr>
          <w:spacing w:val="-3"/>
        </w:rPr>
        <w:t>si </w:t>
      </w:r>
      <w:r>
        <w:rPr/>
        <w:t>no es así, o su aplicación es errónea, la familia se encontrará con unas perspectivas de insuficiencia de ingresos o</w:t>
      </w:r>
      <w:r>
        <w:rPr>
          <w:spacing w:val="-28"/>
        </w:rPr>
        <w:t> </w:t>
      </w:r>
      <w:r>
        <w:rPr/>
        <w:t>alimentos.</w:t>
      </w:r>
    </w:p>
    <w:p>
      <w:pPr>
        <w:pStyle w:val="BodyText"/>
      </w:pPr>
    </w:p>
    <w:p>
      <w:pPr>
        <w:pStyle w:val="BodyText"/>
        <w:spacing w:line="360" w:lineRule="auto" w:before="144"/>
        <w:ind w:left="152" w:right="100"/>
        <w:jc w:val="both"/>
      </w:pPr>
      <w:r>
        <w:rPr/>
        <w:t>En los países desarrollados, esta suerte de riesgos objetivos y subjetivos son controlados a través de seguros agrícolas, por los que el agricultor paga una cuota a una compañía o a una agencia gubernamental para asegurar los cultivos ante futuras pérdidas. La institución aseguradora asume el riesgo de la futura producción, y si una sequía o inundación arruina la cosecha, o una nueva tecnología fracasa, éstos pagan al productor el valor de mercado de la cosecha asegurada, garantizando así el bienestar económico de la familia. Si los seguros agrícolas no estuviesen disponibles, las familias tendrán que auto-asegurarse a través del envío de uno o más trabajadores al extranjero para que remitan las ganancias al hogar, de esta forma las familias garantizan su obtención de ingresos incluso si la cosecha se pierde.</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2"/>
        <w:jc w:val="both"/>
      </w:pPr>
      <w:r>
        <w:rPr/>
        <w:t>Mercados de futuros: Cuando la hacienda familiar siembra un cultivo industrial, asume que el cultivo, cuando es cosechado, puede ser vendido por un precio suficiente para mantener a la familia o mejorar su bienestar. En esta apuesta, sin embargo, existe un riesgo, y es que el precio del cultivo puede caer a niveles inferiores de los esperados, dejando a la familia con unos ingresos insuficientes. En los países desarrollados, el riesgo de la variación de los precios es prevenido a través de los mercados de futuros, que permiten a los agricultores vender todo o parte de </w:t>
      </w:r>
      <w:r>
        <w:rPr>
          <w:spacing w:val="-3"/>
        </w:rPr>
        <w:t>su </w:t>
      </w:r>
      <w:r>
        <w:rPr/>
        <w:t>cosecha anticipadamente a un precio garantizado. </w:t>
      </w:r>
      <w:r>
        <w:rPr>
          <w:spacing w:val="-4"/>
        </w:rPr>
        <w:t>El </w:t>
      </w:r>
      <w:r>
        <w:rPr/>
        <w:t>inversor asume  el riesgo de que los precios cayesen por debajo del precio garantizado, y  obtendría los beneficios </w:t>
      </w:r>
      <w:r>
        <w:rPr>
          <w:spacing w:val="-3"/>
        </w:rPr>
        <w:t>si </w:t>
      </w:r>
      <w:r>
        <w:rPr/>
        <w:t>estos superasen este nivel. La mayoría de los países en desarrollo carecen de mercados de futuros, y si estos existen. Los agricultores de escasos recursos económicos generalmente no pueden acceder a ellos. La emigración ofrece un mecanismo por el cual los agricultores domésticos pueden auto-asegurarse contra los riesgos provocados por la fluctuación de los</w:t>
      </w:r>
      <w:r>
        <w:rPr>
          <w:spacing w:val="-27"/>
        </w:rPr>
        <w:t> </w:t>
      </w:r>
      <w:r>
        <w:rPr/>
        <w:t>precios.</w:t>
      </w:r>
    </w:p>
    <w:p>
      <w:pPr>
        <w:pStyle w:val="BodyText"/>
      </w:pPr>
    </w:p>
    <w:p>
      <w:pPr>
        <w:pStyle w:val="BodyText"/>
        <w:spacing w:line="360" w:lineRule="auto" w:before="140"/>
        <w:ind w:left="152" w:right="102"/>
        <w:jc w:val="both"/>
      </w:pPr>
      <w:r>
        <w:rPr/>
        <w:t>Seguros de desempleo: Las familias no agricultoras, así como muchas haciendas familiares, dependen de los salarios de los trabajadores miembros de esa familia. Si las condiciones de la economía local se deterioran y descienden los niveles de empleo, si un miembro de la familia sufre un accidente y no puede continuar trabajando, el sustento familiar puede ser amenazado por una carencia de ingresos. En los Estados del bienestar, los gobiernos mantienen programas sociales que protegen a los trabajadores y sus familias de estos riesgos, pero en los países en vías de desarrollo tales programas de desempleo o enfermedad son sólo parciales en su cobertura o simplemente no existen, con lo que incentivan a las familias a auto-asegurarse enviando trabajadores al extranjero.</w:t>
      </w:r>
    </w:p>
    <w:p>
      <w:pPr>
        <w:pStyle w:val="BodyText"/>
      </w:pPr>
    </w:p>
    <w:p>
      <w:pPr>
        <w:pStyle w:val="BodyText"/>
        <w:spacing w:line="360" w:lineRule="auto" w:before="140"/>
        <w:ind w:left="152" w:right="103"/>
        <w:jc w:val="both"/>
      </w:pPr>
      <w:r>
        <w:rPr/>
        <w:t>Si las condiciones de empleo en los mercados de trabajo locales y extranjeros se encuentran negativamente correlacionados o son discordantes, entonces la migración internacional  facilita  la  forma  de  reducir los  riesgos  salariales  de las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1"/>
        <w:jc w:val="both"/>
      </w:pPr>
      <w:r>
        <w:rPr/>
        <w:t>familias y garantiza una fiable fuente de ingresos, en </w:t>
      </w:r>
      <w:r>
        <w:rPr>
          <w:spacing w:val="-3"/>
        </w:rPr>
        <w:t>forma </w:t>
      </w:r>
      <w:r>
        <w:rPr/>
        <w:t>de envío de remesas para sostener a la familia. En realidad, la migración internacional cumple esta función aseguradora se observen o no éstas remesas enviadas desde el extranjero. Los migrantes, </w:t>
      </w:r>
      <w:r>
        <w:rPr>
          <w:spacing w:val="-4"/>
        </w:rPr>
        <w:t>como </w:t>
      </w:r>
      <w:r>
        <w:rPr/>
        <w:t>los contratos de seguro formales, sólo tienen </w:t>
      </w:r>
      <w:r>
        <w:rPr>
          <w:spacing w:val="2"/>
        </w:rPr>
        <w:t>que </w:t>
      </w:r>
      <w:r>
        <w:rPr/>
        <w:t>pagar </w:t>
      </w:r>
      <w:r>
        <w:rPr>
          <w:spacing w:val="-3"/>
        </w:rPr>
        <w:t>si </w:t>
      </w:r>
      <w:r>
        <w:rPr/>
        <w:t>las pérdidas acaban dándose. La existencia de un acuerdo de aseguración explícito o implícito, sin embargo, puede tener un efecto importante sobre la realidad económica familiar, y el deseo de adquirir esta seguridad puede ser una primera motivación para la participación de </w:t>
      </w:r>
      <w:r>
        <w:rPr>
          <w:spacing w:val="4"/>
        </w:rPr>
        <w:t>las </w:t>
      </w:r>
      <w:r>
        <w:rPr/>
        <w:t>familias en la migración internacional.</w:t>
      </w:r>
    </w:p>
    <w:p>
      <w:pPr>
        <w:pStyle w:val="BodyText"/>
      </w:pPr>
    </w:p>
    <w:p>
      <w:pPr>
        <w:pStyle w:val="BodyText"/>
        <w:spacing w:line="360" w:lineRule="auto" w:before="140"/>
        <w:ind w:left="152" w:right="101"/>
        <w:jc w:val="both"/>
      </w:pPr>
      <w:r>
        <w:rPr/>
        <w:t>Mercados de capital: Las familias podrían desear incrementar la productividad de sus recursos, pero para hacerlo necesitarían adquirir capital para realizar inversiones adicionales. Las haciendas agrícolas familiares, por ejemplo, podrían regar sus campos, usar fertilizantes, comprar semillas desarrolladas científicamente, o adquirir maquinaria, pero les podría faltar dinero para tales aportaciones. Las familias no dedicadas a la agricultura podrían, también, invertir en la educación o la práctica de sus miembros, o en la adquisición de bienes de capital que podrían ser usados para producir otros bienes que vender en el mercado para su consumo, pero de nuevo podrían encontrarse con </w:t>
      </w:r>
      <w:r>
        <w:rPr>
          <w:spacing w:val="5"/>
        </w:rPr>
        <w:t>la </w:t>
      </w:r>
      <w:r>
        <w:rPr/>
        <w:t>falta de efectivo para cubrir tales costos. En los países desarrollados, la inversión se  puede financiar a través de cajas de ahorro privadas o de préstamos, el acceso a ellos se ve enormemente asistido por sólidos y eficientes sistemas</w:t>
      </w:r>
      <w:r>
        <w:rPr>
          <w:spacing w:val="-23"/>
        </w:rPr>
        <w:t> </w:t>
      </w:r>
      <w:r>
        <w:rPr/>
        <w:t>bancarios.</w:t>
      </w:r>
    </w:p>
    <w:p>
      <w:pPr>
        <w:pStyle w:val="BodyText"/>
      </w:pPr>
    </w:p>
    <w:p>
      <w:pPr>
        <w:pStyle w:val="BodyText"/>
        <w:spacing w:line="360" w:lineRule="auto" w:before="140"/>
        <w:ind w:left="152" w:right="103"/>
        <w:jc w:val="both"/>
      </w:pPr>
      <w:r>
        <w:rPr/>
        <w:t>En estos países la solicitud de un préstamo puede incluir un sistema de protección contra los riesgos en caso de que los tipos de interés varíen. Sin embargo en muchos países en desarrollo las instituciones de ahorro o son poco fiables o están infra desarrolladas, y la gente es reacia a confiarles sus ahorros.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1"/>
        <w:jc w:val="both"/>
      </w:pPr>
      <w:r>
        <w:rPr/>
        <w:t>En los países en vías de desarrollo la necesidad de financiación se encuentra también entorpecida por la carencia de avales </w:t>
      </w:r>
      <w:r>
        <w:rPr>
          <w:spacing w:val="3"/>
        </w:rPr>
        <w:t>que </w:t>
      </w:r>
      <w:r>
        <w:rPr/>
        <w:t>habiliten el préstamo, debido a la escasez de capital de préstamo, o a que el sistema bancario no provea de una cobertura completa, sirviendo exclusivamente a las necesidades de los </w:t>
      </w:r>
      <w:r>
        <w:rPr>
          <w:spacing w:val="-3"/>
        </w:rPr>
        <w:t>más </w:t>
      </w:r>
      <w:r>
        <w:rPr/>
        <w:t>acomodados. Para las familias pobres el único acceso al préstamo lo encuentran en los prestamistas locales que imponen intereses </w:t>
      </w:r>
      <w:r>
        <w:rPr>
          <w:spacing w:val="-3"/>
        </w:rPr>
        <w:t>muy </w:t>
      </w:r>
      <w:r>
        <w:rPr/>
        <w:t>altos, haciendo los costos de la transacción prohibitivos. Bajo estas circunstancias la emigración parece </w:t>
      </w:r>
      <w:r>
        <w:rPr>
          <w:spacing w:val="3"/>
        </w:rPr>
        <w:t>una </w:t>
      </w:r>
      <w:r>
        <w:rPr/>
        <w:t>atractiva fuente alternativa de financiación para mejorar la productividad y  asegurar una estabilidad de consumo, y la familia encuentra así un fuerte incentivo para enviar a uno o </w:t>
      </w:r>
      <w:r>
        <w:rPr>
          <w:spacing w:val="-3"/>
        </w:rPr>
        <w:t>más </w:t>
      </w:r>
      <w:r>
        <w:rPr/>
        <w:t>trabajadores al extranjero para acumular ahorros o para transferir capital en </w:t>
      </w:r>
      <w:r>
        <w:rPr>
          <w:spacing w:val="-3"/>
        </w:rPr>
        <w:t>forma </w:t>
      </w:r>
      <w:r>
        <w:rPr/>
        <w:t>de</w:t>
      </w:r>
      <w:r>
        <w:rPr>
          <w:spacing w:val="4"/>
        </w:rPr>
        <w:t> </w:t>
      </w:r>
      <w:r>
        <w:rPr/>
        <w:t>envío.</w:t>
      </w:r>
    </w:p>
    <w:p>
      <w:pPr>
        <w:pStyle w:val="BodyText"/>
      </w:pPr>
    </w:p>
    <w:p>
      <w:pPr>
        <w:pStyle w:val="BodyText"/>
        <w:spacing w:line="360" w:lineRule="auto" w:before="144"/>
        <w:ind w:left="152" w:right="103"/>
        <w:jc w:val="both"/>
      </w:pPr>
      <w:r>
        <w:rPr/>
        <w:t>Una proposición clave en la precedente discusión es que el ingreso no es un bien homogéneo, tal y como asumieron los economistas neoclásicos. La fuente del ingreso es la cuestión principal, y las familias tienen incentivos significativos para invertir los escasos recursos familiares en actividades y proyectos que puedan contribuir al acceso a nuevos recursos, incluso si tales actividades no incrementan el ingreso total.</w:t>
      </w:r>
    </w:p>
    <w:p>
      <w:pPr>
        <w:pStyle w:val="BodyText"/>
      </w:pPr>
    </w:p>
    <w:p>
      <w:pPr>
        <w:pStyle w:val="BodyText"/>
        <w:spacing w:line="360" w:lineRule="auto" w:before="140"/>
        <w:ind w:left="152" w:right="100"/>
        <w:jc w:val="both"/>
      </w:pPr>
      <w:r>
        <w:rPr/>
        <w:t>Las nuevas teorías económicas sobre migración cuestionan también la asunción de que el ingreso tiene un efecto constante para el actor en el marco socioeconómico, es decir, que un aumento de 100 pesos en los ingresos significan lo mismo para una persona existan las condiciones de la comunidad local que existan e independientemente de la posición de la persona en la distribución del ingreso. Las nuevas teorías económicas argumentan, en cambio, que las familias envían trabajadores al exterior no sólo para conseguir nuevos ingresos en términos absolutos, sino también para incrementar el ingreso «relativo» a otras familias, y por lo tanto, reducir su «relativa» privación comparada con otros grupos de referencia (Stark y Taylor, 1986, 1988; Stark y Taylor, 1989, 1991; Stark,</w:t>
      </w:r>
      <w:r>
        <w:rPr>
          <w:spacing w:val="-33"/>
        </w:rPr>
        <w:t> </w:t>
      </w:r>
      <w:r>
        <w:rPr/>
        <w:t>1991).</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2"/>
        <w:jc w:val="both"/>
      </w:pPr>
      <w:r>
        <w:rPr/>
        <w:t>Los modelos surgidos de las “nuevas teorías económicas” proporcionan una serie de proposiciones e hipótesis que son bastante diferentes de aquellas emanadas  de las teorías neoclásicas, y conducen a una serie de prescripciones políticas </w:t>
      </w:r>
      <w:r>
        <w:rPr>
          <w:spacing w:val="-3"/>
        </w:rPr>
        <w:t>muy </w:t>
      </w:r>
      <w:r>
        <w:rPr/>
        <w:t>distintas:</w:t>
      </w:r>
    </w:p>
    <w:p>
      <w:pPr>
        <w:pStyle w:val="ListParagraph"/>
        <w:numPr>
          <w:ilvl w:val="0"/>
          <w:numId w:val="11"/>
        </w:numPr>
        <w:tabs>
          <w:tab w:pos="873" w:val="left" w:leader="none"/>
        </w:tabs>
        <w:spacing w:line="360" w:lineRule="auto" w:before="2" w:after="0"/>
        <w:ind w:left="873" w:right="101" w:hanging="360"/>
        <w:jc w:val="both"/>
        <w:rPr>
          <w:sz w:val="24"/>
        </w:rPr>
      </w:pPr>
      <w:r>
        <w:rPr>
          <w:sz w:val="24"/>
        </w:rPr>
        <w:t>Las familias, los hogares, u otras unidades culturales de producción y consumo definidas, son las unidades apropiadas para el análisis en la investigación sobre la migración, no el individuo</w:t>
      </w:r>
      <w:r>
        <w:rPr>
          <w:spacing w:val="-27"/>
          <w:sz w:val="24"/>
        </w:rPr>
        <w:t> </w:t>
      </w:r>
      <w:r>
        <w:rPr>
          <w:sz w:val="24"/>
        </w:rPr>
        <w:t>autónomo.</w:t>
      </w:r>
    </w:p>
    <w:p>
      <w:pPr>
        <w:pStyle w:val="ListParagraph"/>
        <w:numPr>
          <w:ilvl w:val="0"/>
          <w:numId w:val="11"/>
        </w:numPr>
        <w:tabs>
          <w:tab w:pos="873" w:val="left" w:leader="none"/>
        </w:tabs>
        <w:spacing w:line="360" w:lineRule="auto" w:before="2" w:after="0"/>
        <w:ind w:left="873" w:right="103" w:hanging="360"/>
        <w:jc w:val="both"/>
        <w:rPr>
          <w:sz w:val="24"/>
        </w:rPr>
      </w:pPr>
      <w:r>
        <w:rPr>
          <w:sz w:val="24"/>
        </w:rPr>
        <w:t>Una diferencia salarial no es una condición necesaria para que aparezca la migración internacional; las familias, pueden tener fuertes incentivos en la diversificación de los riesgos de la que provee la migración internacional incluso cuando no haya diferencias</w:t>
      </w:r>
      <w:r>
        <w:rPr>
          <w:spacing w:val="-19"/>
          <w:sz w:val="24"/>
        </w:rPr>
        <w:t> </w:t>
      </w:r>
      <w:r>
        <w:rPr>
          <w:sz w:val="24"/>
        </w:rPr>
        <w:t>salariales.</w:t>
      </w:r>
    </w:p>
    <w:p>
      <w:pPr>
        <w:pStyle w:val="ListParagraph"/>
        <w:numPr>
          <w:ilvl w:val="0"/>
          <w:numId w:val="11"/>
        </w:numPr>
        <w:tabs>
          <w:tab w:pos="873" w:val="left" w:leader="none"/>
        </w:tabs>
        <w:spacing w:line="360" w:lineRule="auto" w:before="2" w:after="0"/>
        <w:ind w:left="873" w:right="100" w:hanging="360"/>
        <w:jc w:val="both"/>
        <w:rPr>
          <w:sz w:val="24"/>
        </w:rPr>
      </w:pPr>
      <w:r>
        <w:rPr>
          <w:sz w:val="24"/>
        </w:rPr>
        <w:t>La migración interna y el empleo local o la producción local no son posibilidades que </w:t>
      </w:r>
      <w:r>
        <w:rPr>
          <w:spacing w:val="-3"/>
          <w:sz w:val="24"/>
        </w:rPr>
        <w:t>se </w:t>
      </w:r>
      <w:r>
        <w:rPr>
          <w:sz w:val="24"/>
        </w:rPr>
        <w:t>excluyan mutuamente. De hecho, hay importantes incentivos que llevan a la familia a participar tanto de las actividades locales como de la emigración. Un crecimiento de los beneficios de las actividades económicas locales podría aumentar el atractivo de la emigración como una reducción de los riesgos y el capital invertidos en aquellas actividades. Así, el desarrollo económico en regiones de origen de migración necesita no reducir los incentivos a la migración</w:t>
      </w:r>
      <w:r>
        <w:rPr>
          <w:spacing w:val="-21"/>
          <w:sz w:val="24"/>
        </w:rPr>
        <w:t> </w:t>
      </w:r>
      <w:r>
        <w:rPr>
          <w:sz w:val="24"/>
        </w:rPr>
        <w:t>internacional.</w:t>
      </w:r>
    </w:p>
    <w:p>
      <w:pPr>
        <w:pStyle w:val="ListParagraph"/>
        <w:numPr>
          <w:ilvl w:val="0"/>
          <w:numId w:val="11"/>
        </w:numPr>
        <w:tabs>
          <w:tab w:pos="873" w:val="left" w:leader="none"/>
        </w:tabs>
        <w:spacing w:line="360" w:lineRule="auto" w:before="2" w:after="0"/>
        <w:ind w:left="873" w:right="102" w:hanging="360"/>
        <w:jc w:val="both"/>
        <w:rPr>
          <w:sz w:val="24"/>
        </w:rPr>
      </w:pPr>
      <w:r>
        <w:rPr>
          <w:sz w:val="24"/>
        </w:rPr>
        <w:t>Los movimientos internacionales no se detienen necesariamente cuando  las diferencias salariales son eliminadas en el interno de los límites nacionales. Los incentivos a la migración económica continúan  su existencia </w:t>
      </w:r>
      <w:r>
        <w:rPr>
          <w:spacing w:val="-3"/>
          <w:sz w:val="24"/>
        </w:rPr>
        <w:t>si </w:t>
      </w:r>
      <w:r>
        <w:rPr>
          <w:sz w:val="24"/>
        </w:rPr>
        <w:t>los otros mercados en países </w:t>
      </w:r>
      <w:r>
        <w:rPr>
          <w:spacing w:val="3"/>
          <w:sz w:val="24"/>
        </w:rPr>
        <w:t>de </w:t>
      </w:r>
      <w:r>
        <w:rPr>
          <w:sz w:val="24"/>
        </w:rPr>
        <w:t>origen son imperfectos, están desequilibrados o simplemente</w:t>
      </w:r>
      <w:r>
        <w:rPr>
          <w:spacing w:val="-14"/>
          <w:sz w:val="24"/>
        </w:rPr>
        <w:t> </w:t>
      </w:r>
      <w:r>
        <w:rPr>
          <w:sz w:val="24"/>
        </w:rPr>
        <w:t>ausentes.</w:t>
      </w:r>
    </w:p>
    <w:p>
      <w:pPr>
        <w:pStyle w:val="ListParagraph"/>
        <w:numPr>
          <w:ilvl w:val="0"/>
          <w:numId w:val="11"/>
        </w:numPr>
        <w:tabs>
          <w:tab w:pos="873" w:val="left" w:leader="none"/>
        </w:tabs>
        <w:spacing w:line="360" w:lineRule="auto" w:before="7" w:after="0"/>
        <w:ind w:left="873" w:right="100" w:hanging="360"/>
        <w:jc w:val="both"/>
        <w:rPr>
          <w:sz w:val="24"/>
        </w:rPr>
      </w:pPr>
      <w:r>
        <w:rPr>
          <w:sz w:val="24"/>
        </w:rPr>
        <w:t>Las </w:t>
      </w:r>
      <w:r>
        <w:rPr>
          <w:spacing w:val="-2"/>
          <w:sz w:val="24"/>
        </w:rPr>
        <w:t>mismas </w:t>
      </w:r>
      <w:r>
        <w:rPr>
          <w:sz w:val="24"/>
        </w:rPr>
        <w:t>expectativas de beneficios no tienen el </w:t>
      </w:r>
      <w:r>
        <w:rPr>
          <w:spacing w:val="-3"/>
          <w:sz w:val="24"/>
        </w:rPr>
        <w:t>mismo </w:t>
      </w:r>
      <w:r>
        <w:rPr>
          <w:sz w:val="24"/>
        </w:rPr>
        <w:t>efecto en las probabilidades de emigrar para familias situadas en diferentes puntos de la distribución de los ingresos, o para las familias situadas en comunidades con diferentes distribuciones de</w:t>
      </w:r>
      <w:r>
        <w:rPr>
          <w:spacing w:val="-10"/>
          <w:sz w:val="24"/>
        </w:rPr>
        <w:t> </w:t>
      </w:r>
      <w:r>
        <w:rPr>
          <w:sz w:val="24"/>
        </w:rPr>
        <w:t>ingresos.</w:t>
      </w:r>
    </w:p>
    <w:p>
      <w:pPr>
        <w:spacing w:after="0" w:line="360" w:lineRule="auto"/>
        <w:jc w:val="both"/>
        <w:rPr>
          <w:sz w:val="24"/>
        </w:rPr>
        <w:sectPr>
          <w:pgSz w:w="12240" w:h="15840"/>
          <w:pgMar w:header="0" w:footer="1382" w:top="1500" w:bottom="1580" w:left="1720" w:right="1420"/>
        </w:sectPr>
      </w:pPr>
    </w:p>
    <w:p>
      <w:pPr>
        <w:pStyle w:val="BodyText"/>
        <w:spacing w:before="11"/>
        <w:rPr>
          <w:sz w:val="25"/>
        </w:rPr>
      </w:pPr>
    </w:p>
    <w:p>
      <w:pPr>
        <w:pStyle w:val="ListParagraph"/>
        <w:numPr>
          <w:ilvl w:val="0"/>
          <w:numId w:val="11"/>
        </w:numPr>
        <w:tabs>
          <w:tab w:pos="873" w:val="left" w:leader="none"/>
        </w:tabs>
        <w:spacing w:line="360" w:lineRule="auto" w:before="69" w:after="0"/>
        <w:ind w:left="873" w:right="100" w:hanging="360"/>
        <w:jc w:val="both"/>
        <w:rPr>
          <w:sz w:val="24"/>
        </w:rPr>
      </w:pPr>
      <w:r>
        <w:rPr>
          <w:sz w:val="24"/>
        </w:rPr>
        <w:t>Los gobiernos pueden influir en los índices de la migración no sólo a través de políticas que intervengan en el mercado de trabajo, sino también con aquellas políticas que den forma al mercado de seguros, al de capitales, y  al de futuros. Los programas públicos de aseguración, particularmente los programas de desempleo, pueden afectar significativamente a los  incentivos al desplazamiento</w:t>
      </w:r>
      <w:r>
        <w:rPr>
          <w:spacing w:val="-17"/>
          <w:sz w:val="24"/>
        </w:rPr>
        <w:t> </w:t>
      </w:r>
      <w:r>
        <w:rPr>
          <w:sz w:val="24"/>
        </w:rPr>
        <w:t>internacional.</w:t>
      </w:r>
    </w:p>
    <w:p>
      <w:pPr>
        <w:pStyle w:val="ListParagraph"/>
        <w:numPr>
          <w:ilvl w:val="0"/>
          <w:numId w:val="11"/>
        </w:numPr>
        <w:tabs>
          <w:tab w:pos="873" w:val="left" w:leader="none"/>
        </w:tabs>
        <w:spacing w:line="360" w:lineRule="auto" w:before="3" w:after="0"/>
        <w:ind w:left="873" w:right="101" w:hanging="360"/>
        <w:jc w:val="both"/>
        <w:rPr>
          <w:sz w:val="24"/>
        </w:rPr>
      </w:pPr>
      <w:r>
        <w:rPr>
          <w:sz w:val="24"/>
        </w:rPr>
        <w:t>Las políticas gubernamentales y los cambios económicos que conforman la distribución de la renta cambiarán </w:t>
      </w:r>
      <w:r>
        <w:rPr>
          <w:spacing w:val="2"/>
          <w:sz w:val="24"/>
        </w:rPr>
        <w:t>la </w:t>
      </w:r>
      <w:r>
        <w:rPr>
          <w:sz w:val="24"/>
        </w:rPr>
        <w:t>privación relativa de algunas familias y así alterarán sus incentivos para</w:t>
      </w:r>
      <w:r>
        <w:rPr>
          <w:spacing w:val="-11"/>
          <w:sz w:val="24"/>
        </w:rPr>
        <w:t> </w:t>
      </w:r>
      <w:r>
        <w:rPr>
          <w:sz w:val="24"/>
        </w:rPr>
        <w:t>migrar.</w:t>
      </w:r>
    </w:p>
    <w:p>
      <w:pPr>
        <w:pStyle w:val="BodyText"/>
      </w:pPr>
    </w:p>
    <w:p>
      <w:pPr>
        <w:pStyle w:val="BodyText"/>
        <w:spacing w:line="360" w:lineRule="auto" w:before="140"/>
        <w:ind w:left="152" w:right="116"/>
        <w:jc w:val="both"/>
      </w:pPr>
      <w:r>
        <w:rPr/>
        <w:t>A continuación se presenta un cuadro resumen de las teorías de la migración internacional, mostrando el supuesto de cada teoría y las variables utilizadas en la presente investigación. Véase tabla</w:t>
      </w:r>
      <w:r>
        <w:rPr>
          <w:spacing w:val="58"/>
        </w:rPr>
        <w:t> </w:t>
      </w:r>
      <w:r>
        <w:rPr/>
        <w:t>2.</w:t>
      </w:r>
    </w:p>
    <w:p>
      <w:pPr>
        <w:spacing w:after="0" w:line="360" w:lineRule="auto"/>
        <w:jc w:val="both"/>
        <w:sectPr>
          <w:footerReference w:type="default" r:id="rId14"/>
          <w:pgSz w:w="12240" w:h="15840"/>
          <w:pgMar w:footer="1382" w:header="0" w:top="1500" w:bottom="1580" w:left="1720" w:right="1420"/>
        </w:sectPr>
      </w:pPr>
    </w:p>
    <w:p>
      <w:pPr>
        <w:pStyle w:val="BodyText"/>
        <w:spacing w:before="11"/>
        <w:rPr>
          <w:sz w:val="25"/>
        </w:rPr>
      </w:pPr>
    </w:p>
    <w:p>
      <w:pPr>
        <w:pStyle w:val="BodyText"/>
        <w:spacing w:before="69"/>
        <w:ind w:left="2398"/>
      </w:pPr>
      <w:r>
        <w:rPr/>
        <w:t>Tabla 2. Teorías de la migración internacional</w:t>
      </w:r>
    </w:p>
    <w:p>
      <w:pPr>
        <w:pStyle w:val="BodyText"/>
        <w:rPr>
          <w:sz w:val="20"/>
        </w:rPr>
      </w:pPr>
    </w:p>
    <w:p>
      <w:pPr>
        <w:pStyle w:val="BodyText"/>
        <w:spacing w:before="9"/>
      </w:pPr>
      <w:r>
        <w:rPr/>
        <w:pict>
          <v:group style="position:absolute;margin-left:87.603996pt;margin-top:16.208029pt;width:454.1pt;height:1pt;mso-position-horizontal-relative:page;mso-position-vertical-relative:paragraph;z-index:1192;mso-wrap-distance-left:0;mso-wrap-distance-right:0" coordorigin="1752,324" coordsize="9082,20">
            <v:line style="position:absolute" from="1762,334" to="4178,334" stroked="true" strokeweight=".96001pt" strokecolor="#000000"/>
            <v:line style="position:absolute" from="4178,334" to="4197,334" stroked="true" strokeweight=".96001pt" strokecolor="#000000"/>
            <v:line style="position:absolute" from="4197,334" to="7501,334" stroked="true" strokeweight=".96001pt" strokecolor="#000000"/>
            <v:line style="position:absolute" from="7500,334" to="7520,334" stroked="true" strokeweight=".96001pt" strokecolor="#000000"/>
            <v:line style="position:absolute" from="7520,334" to="10823,334" stroked="true" strokeweight=".96001pt" strokecolor="#000000"/>
            <w10:wrap type="topAndBottom"/>
          </v:group>
        </w:pict>
      </w:r>
    </w:p>
    <w:p>
      <w:pPr>
        <w:pStyle w:val="Heading2"/>
        <w:tabs>
          <w:tab w:pos="2648" w:val="left" w:leader="none"/>
          <w:tab w:pos="5970" w:val="left" w:leader="none"/>
        </w:tabs>
        <w:spacing w:before="0"/>
        <w:ind w:left="232"/>
      </w:pPr>
      <w:r>
        <w:rPr/>
        <w:t>Teoría</w:t>
        <w:tab/>
        <w:t>Supuesto</w:t>
        <w:tab/>
        <w:t>Variables</w:t>
      </w:r>
      <w:r>
        <w:rPr>
          <w:spacing w:val="-5"/>
        </w:rPr>
        <w:t> </w:t>
      </w:r>
      <w:r>
        <w:rPr/>
        <w:t>clave</w:t>
      </w:r>
    </w:p>
    <w:p>
      <w:pPr>
        <w:spacing w:after="0"/>
        <w:sectPr>
          <w:footerReference w:type="default" r:id="rId15"/>
          <w:pgSz w:w="12240" w:h="15840"/>
          <w:pgMar w:footer="1322" w:header="0" w:top="1500" w:bottom="1520" w:left="1640" w:right="1300"/>
          <w:pgNumType w:start="41"/>
        </w:sectPr>
      </w:pPr>
    </w:p>
    <w:p>
      <w:pPr>
        <w:tabs>
          <w:tab w:pos="2648" w:val="left" w:leader="none"/>
          <w:tab w:pos="4681" w:val="left" w:leader="none"/>
          <w:tab w:pos="5635" w:val="left" w:leader="none"/>
        </w:tabs>
        <w:spacing w:before="26"/>
        <w:ind w:left="232" w:right="0" w:firstLine="0"/>
        <w:jc w:val="left"/>
        <w:rPr>
          <w:sz w:val="24"/>
        </w:rPr>
      </w:pPr>
      <w:r>
        <w:rPr/>
        <w:pict>
          <v:group style="position:absolute;margin-left:87.603996pt;margin-top:.535857pt;width:454.1pt;height:125.35pt;mso-position-horizontal-relative:page;mso-position-vertical-relative:paragraph;z-index:-61864" coordorigin="1752,11" coordsize="9082,2507">
            <v:shape style="position:absolute;left:1762;top:30;width:9062;height:2487" coordorigin="1762,30" coordsize="9062,2487" path="m4178,30l4072,30,4072,309,4072,309,4072,30,1873,30,1762,30,1762,309,1762,2517,4178,2517,4178,309,4178,30m7611,30l7500,30,7500,30,7395,30,7395,30,7395,861,7395,861,4288,861,4288,861,7395,861,7395,30,4288,30,4288,30,4178,30,4178,1413,4178,2517,7500,2517,7501,2517,7611,2517,7611,30m10713,1965l7611,1965,7611,2239,7611,2517,10713,2517,10713,2239,10713,1965m10713,1413l7611,1413,7611,1687,7611,1965,10713,1965,10713,1687,10713,1413m10713,861l7611,861,7611,1134,7611,1134,7611,1413,10713,1413,10713,1134,10713,1134,10713,861m10713,30l7611,30,7611,309,7611,582,7611,861,10713,861,10713,582,10713,309,10713,30m10824,30l10713,30,10713,2517,10824,2517,10824,30e" filled="true" fillcolor="#c0c0c0" stroked="false">
              <v:path arrowok="t"/>
              <v:fill type="solid"/>
            </v:shape>
            <v:line style="position:absolute" from="1762,21" to="4178,21" stroked="true" strokeweight=".96001pt" strokecolor="#000000"/>
            <v:line style="position:absolute" from="4178,21" to="4197,21" stroked="true" strokeweight=".96001pt" strokecolor="#000000"/>
            <v:line style="position:absolute" from="4197,21" to="7501,21" stroked="true" strokeweight=".96001pt" strokecolor="#000000"/>
            <v:line style="position:absolute" from="7500,21" to="7520,21" stroked="true" strokeweight=".96001pt" strokecolor="#000000"/>
            <v:line style="position:absolute" from="7520,21" to="10823,21" stroked="true" strokeweight=".96001pt" strokecolor="#000000"/>
            <w10:wrap type="none"/>
          </v:group>
        </w:pict>
      </w:r>
      <w:r>
        <w:rPr>
          <w:b/>
          <w:sz w:val="24"/>
        </w:rPr>
        <w:t>Teoría</w:t>
      </w:r>
      <w:r>
        <w:rPr>
          <w:b/>
          <w:spacing w:val="-1"/>
          <w:sz w:val="24"/>
        </w:rPr>
        <w:t> </w:t>
      </w:r>
      <w:r>
        <w:rPr>
          <w:b/>
          <w:sz w:val="24"/>
        </w:rPr>
        <w:t>neoclásica</w:t>
        <w:tab/>
      </w:r>
      <w:r>
        <w:rPr>
          <w:sz w:val="24"/>
        </w:rPr>
        <w:t>Macroeconómica</w:t>
        <w:tab/>
        <w:t>(Oferta</w:t>
        <w:tab/>
        <w:t>y</w:t>
      </w:r>
    </w:p>
    <w:p>
      <w:pPr>
        <w:pStyle w:val="BodyText"/>
        <w:tabs>
          <w:tab w:pos="5017" w:val="left" w:leader="none"/>
        </w:tabs>
        <w:spacing w:before="2"/>
        <w:ind w:left="2648"/>
      </w:pPr>
      <w:r>
        <w:rPr/>
        <w:t>demanda de mano de obra) Microeconómica</w:t>
        <w:tab/>
        <w:t>(coste- beneficio)</w:t>
      </w:r>
    </w:p>
    <w:p>
      <w:pPr>
        <w:pStyle w:val="BodyText"/>
      </w:pPr>
    </w:p>
    <w:p>
      <w:pPr>
        <w:pStyle w:val="BodyText"/>
      </w:pPr>
    </w:p>
    <w:p>
      <w:pPr>
        <w:pStyle w:val="BodyText"/>
      </w:pPr>
    </w:p>
    <w:p>
      <w:pPr>
        <w:pStyle w:val="BodyText"/>
      </w:pPr>
    </w:p>
    <w:p>
      <w:pPr>
        <w:pStyle w:val="BodyText"/>
      </w:pPr>
    </w:p>
    <w:p>
      <w:pPr>
        <w:tabs>
          <w:tab w:pos="2648" w:val="left" w:leader="none"/>
          <w:tab w:pos="3343" w:val="left" w:leader="none"/>
          <w:tab w:pos="5487" w:val="left" w:leader="none"/>
        </w:tabs>
        <w:spacing w:line="275" w:lineRule="exact" w:before="0"/>
        <w:ind w:left="232" w:right="0" w:firstLine="0"/>
        <w:jc w:val="left"/>
        <w:rPr>
          <w:sz w:val="24"/>
        </w:rPr>
      </w:pPr>
      <w:r>
        <w:rPr>
          <w:b/>
          <w:sz w:val="24"/>
        </w:rPr>
        <w:t>Teoría</w:t>
      </w:r>
      <w:r>
        <w:rPr>
          <w:b/>
          <w:spacing w:val="-5"/>
          <w:sz w:val="24"/>
        </w:rPr>
        <w:t> </w:t>
      </w:r>
      <w:r>
        <w:rPr>
          <w:b/>
          <w:sz w:val="24"/>
        </w:rPr>
        <w:t>de</w:t>
      </w:r>
      <w:r>
        <w:rPr>
          <w:b/>
          <w:spacing w:val="-1"/>
          <w:sz w:val="24"/>
        </w:rPr>
        <w:t> </w:t>
      </w:r>
      <w:r>
        <w:rPr>
          <w:b/>
          <w:sz w:val="24"/>
        </w:rPr>
        <w:t>redes</w:t>
        <w:tab/>
      </w:r>
      <w:r>
        <w:rPr>
          <w:sz w:val="24"/>
        </w:rPr>
        <w:t>El</w:t>
        <w:tab/>
        <w:t>establecimiento</w:t>
        <w:tab/>
        <w:t>de</w:t>
      </w:r>
    </w:p>
    <w:p>
      <w:pPr>
        <w:pStyle w:val="BodyText"/>
        <w:ind w:left="2648"/>
        <w:jc w:val="both"/>
      </w:pPr>
      <w:r>
        <w:rPr/>
        <w:t>familiares o amigos en el extranjero “incrementan la probabilidad del traslado internacional porque bajan los costos y los riesgos del movimiento e incrementan los rendimientos netos esperados de la migración.</w:t>
      </w:r>
    </w:p>
    <w:p>
      <w:pPr>
        <w:pStyle w:val="ListParagraph"/>
        <w:numPr>
          <w:ilvl w:val="0"/>
          <w:numId w:val="12"/>
        </w:numPr>
        <w:tabs>
          <w:tab w:pos="593" w:val="left" w:leader="none"/>
        </w:tabs>
        <w:spacing w:line="240" w:lineRule="auto" w:before="26" w:after="0"/>
        <w:ind w:left="592" w:right="223" w:hanging="360"/>
        <w:jc w:val="both"/>
        <w:rPr>
          <w:sz w:val="24"/>
        </w:rPr>
      </w:pPr>
      <w:r>
        <w:rPr>
          <w:spacing w:val="-4"/>
          <w:sz w:val="24"/>
        </w:rPr>
        <w:br w:type="column"/>
      </w:r>
      <w:r>
        <w:rPr>
          <w:sz w:val="24"/>
        </w:rPr>
        <w:t>Motivos de salida: mejores ingresos (salarios).</w:t>
      </w:r>
    </w:p>
    <w:p>
      <w:pPr>
        <w:pStyle w:val="ListParagraph"/>
        <w:numPr>
          <w:ilvl w:val="0"/>
          <w:numId w:val="12"/>
        </w:numPr>
        <w:tabs>
          <w:tab w:pos="593" w:val="left" w:leader="none"/>
        </w:tabs>
        <w:spacing w:line="240" w:lineRule="auto" w:before="2" w:after="0"/>
        <w:ind w:left="592" w:right="224" w:hanging="360"/>
        <w:jc w:val="both"/>
        <w:rPr>
          <w:sz w:val="24"/>
        </w:rPr>
      </w:pPr>
      <w:r>
        <w:rPr>
          <w:sz w:val="24"/>
        </w:rPr>
        <w:t>Ocupación: sector agrícola.</w:t>
      </w:r>
    </w:p>
    <w:p>
      <w:pPr>
        <w:pStyle w:val="ListParagraph"/>
        <w:numPr>
          <w:ilvl w:val="0"/>
          <w:numId w:val="12"/>
        </w:numPr>
        <w:tabs>
          <w:tab w:pos="593" w:val="left" w:leader="none"/>
        </w:tabs>
        <w:spacing w:line="275" w:lineRule="exact" w:before="2" w:after="0"/>
        <w:ind w:left="592" w:right="0" w:hanging="360"/>
        <w:jc w:val="left"/>
        <w:rPr>
          <w:sz w:val="24"/>
        </w:rPr>
      </w:pPr>
      <w:r>
        <w:rPr>
          <w:sz w:val="24"/>
        </w:rPr>
        <w:t>Estancia:</w:t>
      </w:r>
      <w:r>
        <w:rPr>
          <w:spacing w:val="-4"/>
          <w:sz w:val="24"/>
        </w:rPr>
        <w:t> </w:t>
      </w:r>
      <w:r>
        <w:rPr>
          <w:sz w:val="24"/>
        </w:rPr>
        <w:t>temporal.</w:t>
      </w:r>
    </w:p>
    <w:p>
      <w:pPr>
        <w:pStyle w:val="ListParagraph"/>
        <w:numPr>
          <w:ilvl w:val="0"/>
          <w:numId w:val="12"/>
        </w:numPr>
        <w:tabs>
          <w:tab w:pos="593" w:val="left" w:leader="none"/>
        </w:tabs>
        <w:spacing w:line="242" w:lineRule="auto" w:before="0" w:after="0"/>
        <w:ind w:left="592" w:right="220" w:hanging="360"/>
        <w:jc w:val="both"/>
        <w:rPr>
          <w:sz w:val="24"/>
        </w:rPr>
      </w:pPr>
      <w:r>
        <w:rPr>
          <w:sz w:val="24"/>
        </w:rPr>
        <w:t>Regreso: cuestiones familiares</w:t>
      </w:r>
    </w:p>
    <w:p>
      <w:pPr>
        <w:pStyle w:val="ListParagraph"/>
        <w:numPr>
          <w:ilvl w:val="0"/>
          <w:numId w:val="12"/>
        </w:numPr>
        <w:tabs>
          <w:tab w:pos="593" w:val="left" w:leader="none"/>
        </w:tabs>
        <w:spacing w:line="271" w:lineRule="exact" w:before="0" w:after="0"/>
        <w:ind w:left="592" w:right="0" w:hanging="360"/>
        <w:jc w:val="left"/>
        <w:rPr>
          <w:sz w:val="24"/>
        </w:rPr>
      </w:pPr>
      <w:r>
        <w:rPr>
          <w:sz w:val="24"/>
        </w:rPr>
        <w:t>Remesas</w:t>
      </w:r>
    </w:p>
    <w:p>
      <w:pPr>
        <w:pStyle w:val="ListParagraph"/>
        <w:numPr>
          <w:ilvl w:val="0"/>
          <w:numId w:val="13"/>
        </w:numPr>
        <w:tabs>
          <w:tab w:pos="593" w:val="left" w:leader="none"/>
        </w:tabs>
        <w:spacing w:line="240" w:lineRule="auto" w:before="2" w:after="0"/>
        <w:ind w:left="592" w:right="224" w:hanging="360"/>
        <w:jc w:val="both"/>
        <w:rPr>
          <w:sz w:val="24"/>
        </w:rPr>
      </w:pPr>
      <w:r>
        <w:rPr>
          <w:sz w:val="24"/>
        </w:rPr>
        <w:t>Motivos de salida: red social de</w:t>
      </w:r>
      <w:r>
        <w:rPr>
          <w:spacing w:val="-5"/>
          <w:sz w:val="24"/>
        </w:rPr>
        <w:t> </w:t>
      </w:r>
      <w:r>
        <w:rPr>
          <w:sz w:val="24"/>
        </w:rPr>
        <w:t>apoyo.</w:t>
      </w:r>
    </w:p>
    <w:p>
      <w:pPr>
        <w:pStyle w:val="ListParagraph"/>
        <w:numPr>
          <w:ilvl w:val="0"/>
          <w:numId w:val="13"/>
        </w:numPr>
        <w:tabs>
          <w:tab w:pos="593" w:val="left" w:leader="none"/>
        </w:tabs>
        <w:spacing w:line="274" w:lineRule="exact" w:before="8" w:after="0"/>
        <w:ind w:left="592" w:right="224" w:hanging="360"/>
        <w:jc w:val="both"/>
        <w:rPr>
          <w:sz w:val="24"/>
        </w:rPr>
      </w:pPr>
      <w:r>
        <w:rPr>
          <w:sz w:val="24"/>
        </w:rPr>
        <w:t>Ocupación: sector servicios</w:t>
      </w:r>
    </w:p>
    <w:p>
      <w:pPr>
        <w:pStyle w:val="ListParagraph"/>
        <w:numPr>
          <w:ilvl w:val="0"/>
          <w:numId w:val="13"/>
        </w:numPr>
        <w:tabs>
          <w:tab w:pos="593" w:val="left" w:leader="none"/>
        </w:tabs>
        <w:spacing w:line="273" w:lineRule="exact" w:before="0" w:after="0"/>
        <w:ind w:left="592" w:right="0" w:hanging="360"/>
        <w:jc w:val="left"/>
        <w:rPr>
          <w:sz w:val="24"/>
        </w:rPr>
      </w:pPr>
      <w:r>
        <w:rPr>
          <w:sz w:val="24"/>
        </w:rPr>
        <w:t>Estancia</w:t>
      </w:r>
      <w:r>
        <w:rPr>
          <w:spacing w:val="-8"/>
          <w:sz w:val="24"/>
        </w:rPr>
        <w:t> </w:t>
      </w:r>
      <w:r>
        <w:rPr>
          <w:sz w:val="24"/>
        </w:rPr>
        <w:t>permanente.</w:t>
      </w:r>
    </w:p>
    <w:p>
      <w:pPr>
        <w:pStyle w:val="ListParagraph"/>
        <w:numPr>
          <w:ilvl w:val="0"/>
          <w:numId w:val="13"/>
        </w:numPr>
        <w:tabs>
          <w:tab w:pos="593" w:val="left" w:leader="none"/>
          <w:tab w:pos="2857" w:val="left" w:leader="none"/>
        </w:tabs>
        <w:spacing w:line="240" w:lineRule="auto" w:before="0" w:after="0"/>
        <w:ind w:left="592" w:right="222" w:hanging="360"/>
        <w:jc w:val="both"/>
        <w:rPr>
          <w:sz w:val="24"/>
        </w:rPr>
      </w:pPr>
      <w:r>
        <w:rPr>
          <w:sz w:val="24"/>
        </w:rPr>
        <w:t>Regreso: cuestiones económicas</w:t>
        <w:tab/>
        <w:t>y sociales.</w:t>
      </w:r>
    </w:p>
    <w:p>
      <w:pPr>
        <w:pStyle w:val="ListParagraph"/>
        <w:numPr>
          <w:ilvl w:val="0"/>
          <w:numId w:val="13"/>
        </w:numPr>
        <w:tabs>
          <w:tab w:pos="593" w:val="left" w:leader="none"/>
        </w:tabs>
        <w:spacing w:line="240" w:lineRule="auto" w:before="2" w:after="0"/>
        <w:ind w:left="592" w:right="0" w:hanging="360"/>
        <w:jc w:val="left"/>
        <w:rPr>
          <w:sz w:val="24"/>
        </w:rPr>
      </w:pPr>
      <w:r>
        <w:rPr>
          <w:sz w:val="24"/>
        </w:rPr>
        <w:t>Remesas.</w:t>
      </w:r>
    </w:p>
    <w:p>
      <w:pPr>
        <w:spacing w:after="0" w:line="240" w:lineRule="auto"/>
        <w:jc w:val="left"/>
        <w:rPr>
          <w:sz w:val="24"/>
        </w:rPr>
        <w:sectPr>
          <w:type w:val="continuous"/>
          <w:pgSz w:w="12240" w:h="15840"/>
          <w:pgMar w:top="1500" w:bottom="1580" w:left="1640" w:right="1300"/>
          <w:cols w:num="2" w:equalWidth="0">
            <w:col w:w="5758" w:space="340"/>
            <w:col w:w="3202"/>
          </w:cols>
        </w:sectPr>
      </w:pPr>
    </w:p>
    <w:p>
      <w:pPr>
        <w:pStyle w:val="BodyText"/>
        <w:spacing w:before="6"/>
        <w:rPr>
          <w:sz w:val="17"/>
        </w:rPr>
      </w:pPr>
    </w:p>
    <w:p>
      <w:pPr>
        <w:spacing w:after="0"/>
        <w:rPr>
          <w:sz w:val="17"/>
        </w:rPr>
        <w:sectPr>
          <w:type w:val="continuous"/>
          <w:pgSz w:w="12240" w:h="15840"/>
          <w:pgMar w:top="1500" w:bottom="1580" w:left="1640" w:right="1300"/>
        </w:sectPr>
      </w:pPr>
    </w:p>
    <w:p>
      <w:pPr>
        <w:pStyle w:val="Heading2"/>
        <w:tabs>
          <w:tab w:pos="1302" w:val="left" w:leader="none"/>
        </w:tabs>
        <w:spacing w:line="274" w:lineRule="exact" w:before="75"/>
        <w:ind w:left="232"/>
      </w:pPr>
      <w:r>
        <w:rPr/>
        <w:pict>
          <v:group style="position:absolute;margin-left:87.384003pt;margin-top:3.910008pt;width:454.3pt;height:139.050pt;mso-position-horizontal-relative:page;mso-position-vertical-relative:paragraph;z-index:-61840" coordorigin="1748,78" coordsize="9086,2781">
            <v:shape style="position:absolute;left:1762;top:78;width:9062;height:2757" coordorigin="1762,78" coordsize="9062,2757" path="m4178,78l4072,78,4072,630,4072,630,4072,352,4072,78,1873,78,1762,78,1762,630,1762,2834,4178,2834,4178,630,4178,78m7611,78l7500,78,7395,78,7395,78,4288,78,4178,78,4178,2282,4288,2282,7395,2282,7395,2282,7500,2282,7500,2282,4178,2282,4178,2834,7500,2834,7501,2834,7611,2834,7611,78m10713,2560l7611,2560,7611,2834,10713,2834,10713,2560m10713,78l7611,78,7611,352,7611,630,7611,904,7611,904,7611,1178,7611,1456,7611,1730,7611,2008,7611,2282,7611,2560,10713,2560,10713,2282,10713,2008,10713,1730,10713,1456,10713,1178,10713,904,10713,904,10713,630,10713,352,10713,78m10824,78l10713,78,10713,2834,10824,2834,10824,78e" filled="true" fillcolor="#c0c0c0" stroked="false">
              <v:path arrowok="t"/>
              <v:fill type="solid"/>
            </v:shape>
            <v:rect style="position:absolute;left:1748;top:2839;width:2430;height:19" filled="true" fillcolor="#000000" stroked="false">
              <v:fill type="solid"/>
            </v:rect>
            <v:line style="position:absolute" from="4164,2849" to="4183,2849" stroked="true" strokeweight=".96002pt" strokecolor="#000000"/>
            <v:rect style="position:absolute;left:4183;top:2839;width:3318;height:19" filled="true" fillcolor="#000000" stroked="false">
              <v:fill type="solid"/>
            </v:rect>
            <v:line style="position:absolute" from="7486,2849" to="7505,2849" stroked="true" strokeweight=".96002pt" strokecolor="#000000"/>
            <v:line style="position:absolute" from="7505,2849" to="10823,2849" stroked="true" strokeweight=".96002pt" strokecolor="#000000"/>
            <w10:wrap type="none"/>
          </v:group>
        </w:pict>
      </w:r>
      <w:r>
        <w:rPr/>
        <w:t>Nueva</w:t>
        <w:tab/>
      </w:r>
      <w:r>
        <w:rPr>
          <w:spacing w:val="-1"/>
        </w:rPr>
        <w:t>economía </w:t>
      </w:r>
      <w:r>
        <w:rPr/>
        <w:t>de la</w:t>
      </w:r>
      <w:r>
        <w:rPr>
          <w:spacing w:val="-7"/>
        </w:rPr>
        <w:t> </w:t>
      </w:r>
      <w:r>
        <w:rPr/>
        <w:t>migración</w:t>
      </w:r>
    </w:p>
    <w:p>
      <w:pPr>
        <w:pStyle w:val="BodyText"/>
        <w:spacing w:before="74"/>
        <w:ind w:left="184"/>
        <w:jc w:val="both"/>
      </w:pPr>
      <w:r>
        <w:rPr/>
        <w:br w:type="column"/>
      </w:r>
      <w:r>
        <w:rPr/>
        <w:t>Las decisiones de la migración no se determinan por decisiones de carácter individual, si no por unidades más amplias de lazos parentales, típicamente familias u hogares.</w:t>
      </w:r>
    </w:p>
    <w:p>
      <w:pPr>
        <w:pStyle w:val="ListParagraph"/>
        <w:numPr>
          <w:ilvl w:val="0"/>
          <w:numId w:val="14"/>
        </w:numPr>
        <w:tabs>
          <w:tab w:pos="593" w:val="left" w:leader="none"/>
        </w:tabs>
        <w:spacing w:line="240" w:lineRule="auto" w:before="74" w:after="0"/>
        <w:ind w:left="592" w:right="223" w:hanging="360"/>
        <w:jc w:val="both"/>
        <w:rPr>
          <w:sz w:val="24"/>
        </w:rPr>
      </w:pPr>
      <w:r>
        <w:rPr>
          <w:spacing w:val="-4"/>
          <w:sz w:val="24"/>
        </w:rPr>
        <w:br w:type="column"/>
      </w:r>
      <w:r>
        <w:rPr>
          <w:sz w:val="24"/>
        </w:rPr>
        <w:t>Motivos de salida: decisión de carácter familiar.</w:t>
      </w:r>
    </w:p>
    <w:p>
      <w:pPr>
        <w:pStyle w:val="ListParagraph"/>
        <w:numPr>
          <w:ilvl w:val="0"/>
          <w:numId w:val="14"/>
        </w:numPr>
        <w:tabs>
          <w:tab w:pos="593" w:val="left" w:leader="none"/>
          <w:tab w:pos="2324" w:val="left" w:leader="none"/>
        </w:tabs>
        <w:spacing w:line="274" w:lineRule="exact" w:before="4" w:after="0"/>
        <w:ind w:left="592" w:right="224" w:hanging="360"/>
        <w:jc w:val="left"/>
        <w:rPr>
          <w:sz w:val="24"/>
        </w:rPr>
      </w:pPr>
      <w:r>
        <w:rPr>
          <w:sz w:val="24"/>
        </w:rPr>
        <w:t>Ocupación:</w:t>
        <w:tab/>
      </w:r>
      <w:r>
        <w:rPr>
          <w:spacing w:val="-1"/>
          <w:sz w:val="24"/>
        </w:rPr>
        <w:t>sector </w:t>
      </w:r>
      <w:r>
        <w:rPr>
          <w:sz w:val="24"/>
        </w:rPr>
        <w:t>servicios.</w:t>
      </w:r>
    </w:p>
    <w:p>
      <w:pPr>
        <w:pStyle w:val="ListParagraph"/>
        <w:numPr>
          <w:ilvl w:val="0"/>
          <w:numId w:val="14"/>
        </w:numPr>
        <w:tabs>
          <w:tab w:pos="593" w:val="left" w:leader="none"/>
        </w:tabs>
        <w:spacing w:line="273" w:lineRule="exact" w:before="0" w:after="0"/>
        <w:ind w:left="592" w:right="0" w:hanging="360"/>
        <w:jc w:val="left"/>
        <w:rPr>
          <w:sz w:val="24"/>
        </w:rPr>
      </w:pPr>
      <w:r>
        <w:rPr>
          <w:sz w:val="24"/>
        </w:rPr>
        <w:t>Estancia:</w:t>
      </w:r>
      <w:r>
        <w:rPr>
          <w:spacing w:val="-9"/>
          <w:sz w:val="24"/>
        </w:rPr>
        <w:t> </w:t>
      </w:r>
      <w:r>
        <w:rPr>
          <w:sz w:val="24"/>
        </w:rPr>
        <w:t>permanente</w:t>
      </w:r>
    </w:p>
    <w:p>
      <w:pPr>
        <w:pStyle w:val="ListParagraph"/>
        <w:numPr>
          <w:ilvl w:val="0"/>
          <w:numId w:val="14"/>
        </w:numPr>
        <w:tabs>
          <w:tab w:pos="593" w:val="left" w:leader="none"/>
          <w:tab w:pos="2857" w:val="left" w:leader="none"/>
        </w:tabs>
        <w:spacing w:line="240" w:lineRule="auto" w:before="0" w:after="0"/>
        <w:ind w:left="592" w:right="222" w:hanging="360"/>
        <w:jc w:val="left"/>
        <w:rPr>
          <w:sz w:val="24"/>
        </w:rPr>
      </w:pPr>
      <w:r>
        <w:rPr>
          <w:sz w:val="24"/>
        </w:rPr>
        <w:t>Cuestiones: económicas</w:t>
        <w:tab/>
        <w:t>y </w:t>
      </w:r>
      <w:r>
        <w:rPr>
          <w:sz w:val="24"/>
        </w:rPr>
        <w:t>sociales.</w:t>
      </w:r>
    </w:p>
    <w:p>
      <w:pPr>
        <w:pStyle w:val="ListParagraph"/>
        <w:numPr>
          <w:ilvl w:val="0"/>
          <w:numId w:val="14"/>
        </w:numPr>
        <w:tabs>
          <w:tab w:pos="593" w:val="left" w:leader="none"/>
        </w:tabs>
        <w:spacing w:line="240" w:lineRule="auto" w:before="3" w:after="0"/>
        <w:ind w:left="592" w:right="0" w:hanging="360"/>
        <w:jc w:val="left"/>
        <w:rPr>
          <w:sz w:val="24"/>
        </w:rPr>
      </w:pPr>
      <w:r>
        <w:rPr>
          <w:sz w:val="24"/>
        </w:rPr>
        <w:t>Remesas.</w:t>
      </w:r>
    </w:p>
    <w:p>
      <w:pPr>
        <w:spacing w:after="0" w:line="240" w:lineRule="auto"/>
        <w:jc w:val="left"/>
        <w:rPr>
          <w:sz w:val="24"/>
        </w:rPr>
        <w:sectPr>
          <w:type w:val="continuous"/>
          <w:pgSz w:w="12240" w:h="15840"/>
          <w:pgMar w:top="1500" w:bottom="1580" w:left="1640" w:right="1300"/>
          <w:cols w:num="3" w:equalWidth="0">
            <w:col w:w="2424" w:space="40"/>
            <w:col w:w="3293" w:space="342"/>
            <w:col w:w="3201"/>
          </w:cols>
        </w:sectPr>
      </w:pPr>
    </w:p>
    <w:p>
      <w:pPr>
        <w:pStyle w:val="BodyText"/>
        <w:spacing w:before="21"/>
        <w:ind w:left="1034"/>
      </w:pPr>
      <w:r>
        <w:rPr/>
        <w:t>Fuente: elaboración propia</w:t>
      </w:r>
    </w:p>
    <w:p>
      <w:pPr>
        <w:spacing w:after="0"/>
        <w:sectPr>
          <w:type w:val="continuous"/>
          <w:pgSz w:w="12240" w:h="15840"/>
          <w:pgMar w:top="1500" w:bottom="1580" w:left="1640" w:right="1300"/>
        </w:sectPr>
      </w:pPr>
    </w:p>
    <w:p>
      <w:pPr>
        <w:pStyle w:val="BodyText"/>
        <w:rPr>
          <w:rFonts w:ascii="Times New Roman"/>
          <w:sz w:val="20"/>
        </w:rPr>
      </w:pPr>
    </w:p>
    <w:p>
      <w:pPr>
        <w:pStyle w:val="BodyText"/>
        <w:spacing w:before="4"/>
        <w:rPr>
          <w:rFonts w:ascii="Times New Roman"/>
          <w:sz w:val="12"/>
        </w:rPr>
      </w:pPr>
    </w:p>
    <w:p>
      <w:pPr>
        <w:pStyle w:val="BodyText"/>
        <w:ind w:left="151"/>
        <w:rPr>
          <w:rFonts w:ascii="Times New Roman"/>
          <w:sz w:val="20"/>
        </w:rPr>
      </w:pPr>
      <w:r>
        <w:rPr>
          <w:rFonts w:ascii="Times New Roman"/>
          <w:sz w:val="20"/>
        </w:rPr>
        <w:drawing>
          <wp:inline distT="0" distB="0" distL="0" distR="0">
            <wp:extent cx="5525516" cy="7093839"/>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6" cstate="print"/>
                    <a:stretch>
                      <a:fillRect/>
                    </a:stretch>
                  </pic:blipFill>
                  <pic:spPr>
                    <a:xfrm>
                      <a:off x="0" y="0"/>
                      <a:ext cx="5525516" cy="709383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22" w:top="1500" w:bottom="1520" w:left="1720" w:right="1420"/>
        </w:sectPr>
      </w:pPr>
    </w:p>
    <w:p>
      <w:pPr>
        <w:pStyle w:val="BodyText"/>
        <w:spacing w:before="6"/>
        <w:rPr>
          <w:rFonts w:ascii="Times New Roman"/>
          <w:sz w:val="25"/>
        </w:rPr>
      </w:pPr>
    </w:p>
    <w:p>
      <w:pPr>
        <w:pStyle w:val="Heading2"/>
        <w:numPr>
          <w:ilvl w:val="1"/>
          <w:numId w:val="1"/>
        </w:numPr>
        <w:tabs>
          <w:tab w:pos="715" w:val="left" w:leader="none"/>
        </w:tabs>
        <w:spacing w:line="276" w:lineRule="auto" w:before="70" w:after="0"/>
        <w:ind w:left="1598" w:right="255" w:hanging="1306"/>
        <w:jc w:val="left"/>
      </w:pPr>
      <w:bookmarkStart w:name="_bookmark16" w:id="27"/>
      <w:bookmarkEnd w:id="27"/>
      <w:r>
        <w:rPr>
          <w:b w:val="0"/>
        </w:rPr>
      </w:r>
      <w:bookmarkStart w:name="_bookmark16" w:id="28"/>
      <w:bookmarkEnd w:id="28"/>
      <w:r>
        <w:rPr/>
        <w:t>D</w:t>
      </w:r>
      <w:r>
        <w:rPr/>
        <w:t>ETERMINACIÓN DE FACTORES DE MIGRACIÓN INTERNACIONAL</w:t>
      </w:r>
      <w:r>
        <w:rPr>
          <w:spacing w:val="-21"/>
        </w:rPr>
        <w:t> </w:t>
      </w:r>
      <w:r>
        <w:rPr/>
        <w:t>EN LOCALIDADES DEL SUR DEL ESTADO DE</w:t>
      </w:r>
      <w:r>
        <w:rPr>
          <w:spacing w:val="-21"/>
        </w:rPr>
        <w:t> </w:t>
      </w:r>
      <w:r>
        <w:rPr/>
        <w:t>MÉXICO.</w:t>
      </w:r>
    </w:p>
    <w:p>
      <w:pPr>
        <w:pStyle w:val="BodyText"/>
        <w:rPr>
          <w:b/>
        </w:rPr>
      </w:pPr>
    </w:p>
    <w:p>
      <w:pPr>
        <w:pStyle w:val="Heading2"/>
        <w:numPr>
          <w:ilvl w:val="1"/>
          <w:numId w:val="15"/>
        </w:numPr>
        <w:tabs>
          <w:tab w:pos="691" w:val="left" w:leader="none"/>
        </w:tabs>
        <w:spacing w:line="240" w:lineRule="auto" w:before="138" w:after="0"/>
        <w:ind w:left="690" w:right="0" w:hanging="470"/>
        <w:jc w:val="both"/>
      </w:pPr>
      <w:bookmarkStart w:name="_bookmark17" w:id="29"/>
      <w:bookmarkEnd w:id="29"/>
      <w:r>
        <w:rPr>
          <w:b w:val="0"/>
        </w:rPr>
      </w:r>
      <w:bookmarkStart w:name="_bookmark17" w:id="30"/>
      <w:bookmarkEnd w:id="30"/>
      <w:r>
        <w:rPr/>
        <w:t>I</w:t>
      </w:r>
      <w:r>
        <w:rPr/>
        <w:t>ntroducción</w:t>
      </w:r>
    </w:p>
    <w:p>
      <w:pPr>
        <w:pStyle w:val="BodyText"/>
        <w:rPr>
          <w:b/>
        </w:rPr>
      </w:pPr>
    </w:p>
    <w:p>
      <w:pPr>
        <w:pStyle w:val="BodyText"/>
        <w:spacing w:before="7"/>
        <w:rPr>
          <w:b/>
        </w:rPr>
      </w:pPr>
    </w:p>
    <w:p>
      <w:pPr>
        <w:pStyle w:val="BodyText"/>
        <w:spacing w:line="360" w:lineRule="auto"/>
        <w:ind w:left="152" w:right="109"/>
        <w:jc w:val="both"/>
      </w:pPr>
      <w:r>
        <w:rPr/>
        <w:t>La migración internacional es un fenómeno inmerso en el contexto de la globalización, estudiado por distintas disciplinas y se explica por factores económicos, sociales, demográficos, políticos y culturales interrelacionados. Entre los cuales se encuentran el desempleo, la pobreza, los ingresos precarios, la diferencia de salarios entre México y Estados Unidos, el bajo nivel educativo, las condiciones en la vivienda, los problemas de salud y de alimentación, son algunos determinantes de la migración internacional (Canales, 2004).</w:t>
      </w:r>
    </w:p>
    <w:p>
      <w:pPr>
        <w:pStyle w:val="BodyText"/>
      </w:pPr>
    </w:p>
    <w:p>
      <w:pPr>
        <w:pStyle w:val="BodyText"/>
        <w:spacing w:line="360" w:lineRule="auto" w:before="144"/>
        <w:ind w:left="152" w:right="100"/>
        <w:jc w:val="both"/>
      </w:pPr>
      <w:r>
        <w:rPr/>
        <w:t>México se encuentra insertado en esa dinámica, especialmente en la migración internacional, aunque el proceso de migración interna también ha sido importante en el siglo XX. La migración internacional de México hacia Estados Unidos tiene una larga tradición con un componente histórico y otro coyuntural, debido a que es el corredor migratorio más importante del mundo (Banco Mundial, 2005).</w:t>
      </w:r>
    </w:p>
    <w:p>
      <w:pPr>
        <w:pStyle w:val="BodyText"/>
      </w:pPr>
    </w:p>
    <w:p>
      <w:pPr>
        <w:pStyle w:val="BodyText"/>
        <w:spacing w:line="360" w:lineRule="auto" w:before="140"/>
        <w:ind w:left="152" w:right="106"/>
        <w:jc w:val="both"/>
      </w:pPr>
      <w:r>
        <w:rPr/>
        <w:t>El movimiento migratorio de mexicanos a Estados Unidos tiene profundas raíces estructurales y una prolongada tradición histórica, desarrollada a lo largo de más de 80 años en muy diversas regiones del país. Entre las fuerzas que contribuyen a estructurar este complejo sistema migratorio es posible destacar: las enormes asimetrías entre ambos países, el intenso crecimiento demográfico de la población mexicana en edad laboral, la insuficiente dinámica de la economía nacional para absorber la fuerza de trabajo excedente, la persistente demanda de mano de obra migrante en Estados Unidos, el considerable diferencial salarial entre ambas economías y la operación redes sociales y familiares que vinculan los lugares de origen con los de destino. (Corona y Tuirán, 2001).</w:t>
      </w:r>
    </w:p>
    <w:p>
      <w:pPr>
        <w:spacing w:after="0" w:line="360" w:lineRule="auto"/>
        <w:jc w:val="both"/>
        <w:sectPr>
          <w:pgSz w:w="12240" w:h="15840"/>
          <w:pgMar w:header="0" w:footer="1322" w:top="1500" w:bottom="1520" w:left="1720" w:right="1420"/>
        </w:sectPr>
      </w:pPr>
    </w:p>
    <w:p>
      <w:pPr>
        <w:pStyle w:val="BodyText"/>
        <w:spacing w:before="11"/>
        <w:rPr>
          <w:sz w:val="25"/>
        </w:rPr>
      </w:pPr>
    </w:p>
    <w:p>
      <w:pPr>
        <w:pStyle w:val="BodyText"/>
        <w:spacing w:line="360" w:lineRule="auto" w:before="69"/>
        <w:ind w:left="152" w:right="111"/>
        <w:jc w:val="both"/>
      </w:pPr>
      <w:r>
        <w:rPr/>
        <w:t>La mayoría de mexicanos que emigran a Estados Unidos se desplazan con el fin de mejorar su calidad de vida para ellos y para sus familiares que se quedan en México. Este propósito frecuentemente implica arriesgar la vida al cruzar la frontera sin documentos, dejar a la familia por periodos largos de tiempo, ser víctimas de discriminación y abuso y, en general enfrentarse a una gran cantidad de problemas en un ámbito desconocido (Rousse,</w:t>
      </w:r>
      <w:r>
        <w:rPr>
          <w:spacing w:val="-15"/>
        </w:rPr>
        <w:t> </w:t>
      </w:r>
      <w:r>
        <w:rPr/>
        <w:t>2001).</w:t>
      </w:r>
    </w:p>
    <w:p>
      <w:pPr>
        <w:pStyle w:val="BodyText"/>
      </w:pPr>
    </w:p>
    <w:p>
      <w:pPr>
        <w:pStyle w:val="BodyText"/>
        <w:spacing w:line="360" w:lineRule="auto" w:before="140"/>
        <w:ind w:left="152" w:right="114"/>
        <w:jc w:val="both"/>
      </w:pPr>
      <w:r>
        <w:rPr/>
        <w:t>A diferencia del patrón migratorio tradicional entre México y Estados Unidos, consistente en una migración de retorno, población de origen rural y masculino, las características actuales del patrón migratorio internacional han cambiado radicalmente. El nuevo patrón migratorio se caracteriza por una tendencia hacia una estancia definitiva, una creciente población de origen urbano adicional a la rural, la incorporación de mujeres en los flujos migratorios, la ampliación en los rangos de edad incluyendo infantes, adolescentes y ancianos, además de los adultos, entre otras, derivada de una formación de redes sociales.</w:t>
      </w:r>
    </w:p>
    <w:p>
      <w:pPr>
        <w:pStyle w:val="BodyText"/>
      </w:pPr>
    </w:p>
    <w:p>
      <w:pPr>
        <w:pStyle w:val="BodyText"/>
        <w:spacing w:line="360" w:lineRule="auto" w:before="144"/>
        <w:ind w:left="152" w:right="107"/>
        <w:jc w:val="both"/>
      </w:pPr>
      <w:r>
        <w:rPr/>
        <w:t>En la escala nacional, el Estado de México está clasificado con un grado de intensidad migratoria alto (CONAPO, 2010), equiparándose a entidades como Michoacán, perteneciente a la región tradicional de la migración internacional de origen mexicano. A pesar de que el Estado México no forma parte de los estados del país con tradición migratoria hacia Estados Unidos, desde la última década del siglo XX experimenta un crecimiento sin precedentes en su flujo migratorio internacional, que en un 99 por ciento tiene </w:t>
      </w:r>
      <w:r>
        <w:rPr>
          <w:spacing w:val="-4"/>
        </w:rPr>
        <w:t>como </w:t>
      </w:r>
      <w:r>
        <w:rPr/>
        <w:t>destino al vecino país del norte (INEGI, 2010). A nivel municipal, de los 125 municipios que conforman el Estado de México la región sur es la presenta mayor grado de intensidad migratoria, de ahí el interés de abordar este tema de estudio en   la</w:t>
      </w:r>
      <w:r>
        <w:rPr>
          <w:spacing w:val="-26"/>
        </w:rPr>
        <w:t> </w:t>
      </w:r>
      <w:r>
        <w:rPr/>
        <w:t>región.</w:t>
      </w:r>
    </w:p>
    <w:p>
      <w:pPr>
        <w:pStyle w:val="BodyText"/>
      </w:pPr>
    </w:p>
    <w:p>
      <w:pPr>
        <w:pStyle w:val="BodyText"/>
        <w:spacing w:line="362" w:lineRule="auto" w:before="140"/>
        <w:ind w:left="152" w:right="110"/>
        <w:jc w:val="both"/>
      </w:pPr>
      <w:r>
        <w:rPr/>
        <w:t>El presente estudio se basa en tres teorías, la teoría económica neoclásica cuyo supuesto esencial  es la racionalidad de los individuos en la toma  de    decisiones,</w:t>
      </w:r>
    </w:p>
    <w:p>
      <w:pPr>
        <w:spacing w:after="0" w:line="362" w:lineRule="auto"/>
        <w:jc w:val="both"/>
        <w:sectPr>
          <w:pgSz w:w="12240" w:h="15840"/>
          <w:pgMar w:header="0" w:footer="1322" w:top="1500" w:bottom="1580" w:left="1720" w:right="1420"/>
        </w:sectPr>
      </w:pPr>
    </w:p>
    <w:p>
      <w:pPr>
        <w:pStyle w:val="BodyText"/>
        <w:spacing w:before="11"/>
        <w:rPr>
          <w:sz w:val="25"/>
        </w:rPr>
      </w:pPr>
    </w:p>
    <w:p>
      <w:pPr>
        <w:pStyle w:val="BodyText"/>
        <w:spacing w:line="360" w:lineRule="auto" w:before="69"/>
        <w:ind w:left="152" w:right="101"/>
        <w:jc w:val="both"/>
      </w:pPr>
      <w:r>
        <w:rPr/>
        <w:t>las distancias y los costos, no son obstáculo en la acción del desplazamiento ni en la elección del lugar de llegada; la teoría de redes donde el establecimiento de familiares o amigos en el extranjero incrementan la probabilidad del traslado internacional porque bajan los costos y los riesgos, así como la nueva economía de la migración donde las decisiones de la migración no se determinan por decisiones de carácter individual, si no por unidades </w:t>
      </w:r>
      <w:r>
        <w:rPr>
          <w:spacing w:val="-3"/>
        </w:rPr>
        <w:t>más </w:t>
      </w:r>
      <w:r>
        <w:rPr/>
        <w:t>amplias </w:t>
      </w:r>
      <w:r>
        <w:rPr>
          <w:spacing w:val="4"/>
        </w:rPr>
        <w:t>de </w:t>
      </w:r>
      <w:r>
        <w:rPr/>
        <w:t>lazos parentales, típicamente familias u hogares. La metodología utilizada consiste en la técnica estadística componentes principales, con la finalidad de agrupar los municipios del sur del Estado de México por grado de marginación, de esa  manera, obtener las localidades que presentarían mayor intensidad migratoria dada esa</w:t>
      </w:r>
      <w:r>
        <w:rPr>
          <w:spacing w:val="-6"/>
        </w:rPr>
        <w:t> </w:t>
      </w:r>
      <w:r>
        <w:rPr/>
        <w:t>condición.</w:t>
      </w:r>
    </w:p>
    <w:p>
      <w:pPr>
        <w:pStyle w:val="BodyText"/>
      </w:pPr>
    </w:p>
    <w:p>
      <w:pPr>
        <w:pStyle w:val="Heading2"/>
        <w:numPr>
          <w:ilvl w:val="1"/>
          <w:numId w:val="15"/>
        </w:numPr>
        <w:tabs>
          <w:tab w:pos="557" w:val="left" w:leader="none"/>
        </w:tabs>
        <w:spacing w:line="240" w:lineRule="auto" w:before="139" w:after="0"/>
        <w:ind w:left="556" w:right="0" w:hanging="404"/>
        <w:jc w:val="both"/>
      </w:pPr>
      <w:bookmarkStart w:name="_bookmark18" w:id="31"/>
      <w:bookmarkEnd w:id="31"/>
      <w:r>
        <w:rPr>
          <w:b w:val="0"/>
        </w:rPr>
      </w:r>
      <w:bookmarkStart w:name="_bookmark18" w:id="32"/>
      <w:bookmarkEnd w:id="32"/>
      <w:r>
        <w:rPr/>
        <w:t>A</w:t>
      </w:r>
      <w:r>
        <w:rPr/>
        <w:t>ntecedentes</w:t>
      </w:r>
    </w:p>
    <w:p>
      <w:pPr>
        <w:pStyle w:val="BodyText"/>
        <w:rPr>
          <w:b/>
        </w:rPr>
      </w:pPr>
    </w:p>
    <w:p>
      <w:pPr>
        <w:pStyle w:val="BodyText"/>
        <w:spacing w:before="2"/>
        <w:rPr>
          <w:b/>
        </w:rPr>
      </w:pPr>
    </w:p>
    <w:p>
      <w:pPr>
        <w:pStyle w:val="BodyText"/>
        <w:spacing w:line="360" w:lineRule="auto" w:before="1"/>
        <w:ind w:left="152" w:right="100"/>
        <w:jc w:val="both"/>
      </w:pPr>
      <w:r>
        <w:rPr/>
        <w:t>Los antecedentes de la migración no solo </w:t>
      </w:r>
      <w:r>
        <w:rPr>
          <w:spacing w:val="-3"/>
        </w:rPr>
        <w:t>se </w:t>
      </w:r>
      <w:r>
        <w:rPr/>
        <w:t>restringen a los límites territoriales entre México y Estados unidos, sino a las condiciones legales, políticas, económicas y de seguridad generados entre los dos países y con efectos en la población migrante. A través del tiempo, las demandas de los migrantes y las reacciones de ambos gobiernos han conformado la historia de este movimiento, del </w:t>
      </w:r>
      <w:r>
        <w:rPr>
          <w:spacing w:val="-3"/>
        </w:rPr>
        <w:t>cual </w:t>
      </w:r>
      <w:r>
        <w:rPr/>
        <w:t>la población mexicana ha sido protagonista en la Unión</w:t>
      </w:r>
      <w:r>
        <w:rPr>
          <w:spacing w:val="-14"/>
        </w:rPr>
        <w:t> </w:t>
      </w:r>
      <w:r>
        <w:rPr/>
        <w:t>Americana.</w:t>
      </w:r>
    </w:p>
    <w:p>
      <w:pPr>
        <w:pStyle w:val="BodyText"/>
      </w:pPr>
    </w:p>
    <w:p>
      <w:pPr>
        <w:pStyle w:val="BodyText"/>
        <w:spacing w:line="360" w:lineRule="auto" w:before="144"/>
        <w:ind w:left="152" w:right="104"/>
        <w:jc w:val="both"/>
      </w:pPr>
      <w:r>
        <w:rPr/>
        <w:t>Con base en Massey, </w:t>
      </w:r>
      <w:r>
        <w:rPr>
          <w:i/>
        </w:rPr>
        <w:t>et .al. </w:t>
      </w:r>
      <w:r>
        <w:rPr/>
        <w:t>(2002) y Durand (2013), es posible distinguir cinco fases en la migración de México a los Estados Unidos. La primera de 1900 a 1929, durante la cual se formaron grupos de trabajadores a partir de relaciones familiares, con ánimos de lograr prosperidad económica, se dedicó a la agricultura y a los ferrocarriles. Se estima que en ese periodo emigraron alrededor de 730 mil mexicanos al país del norte, en donde Texas era el principal punto de concentración, una segunda etapa se presentó entre 1930 y 1941, ésta se caracterizó  por  una     deportación  masiva  y  por  un  movimiento  limitado      de</w:t>
      </w:r>
    </w:p>
    <w:p>
      <w:pPr>
        <w:spacing w:after="0" w:line="360" w:lineRule="auto"/>
        <w:jc w:val="both"/>
        <w:sectPr>
          <w:pgSz w:w="12240" w:h="15840"/>
          <w:pgMar w:header="0" w:footer="1322" w:top="1500" w:bottom="1580" w:left="1720" w:right="1420"/>
        </w:sectPr>
      </w:pPr>
    </w:p>
    <w:p>
      <w:pPr>
        <w:pStyle w:val="BodyText"/>
        <w:spacing w:before="11"/>
        <w:rPr>
          <w:sz w:val="25"/>
        </w:rPr>
      </w:pPr>
    </w:p>
    <w:p>
      <w:pPr>
        <w:pStyle w:val="BodyText"/>
        <w:spacing w:line="360" w:lineRule="auto" w:before="69"/>
        <w:ind w:left="152" w:right="103"/>
        <w:jc w:val="both"/>
      </w:pPr>
      <w:r>
        <w:rPr/>
        <w:t>personas, similar al primero, pero en donde más de medio millón de mexicanos fueron repatriados en dichos años, la tercera etapa, surge ante la demanda de trabajadores en Estados Unidos por la Segunda Guerra Mundial y la posguerra, durante 1942 a 1964. En estos periodos se estableció el programa “Bracero”, el cual fue un acuerdo bilateral a través del que se controlaba de manera temporal a trabajadores mexicanos para realizar actividades agrícolas, la cuarta fase es conocida como la migración indocumentada que abarca de 1965 a 1986. Esta se presentó ante la decisión del gobierno de norteamericano de suspender el programa “Bracero”, lo que impulsó el desarrollo del “coyotaje” y el tráfico de ilegales,</w:t>
      </w:r>
    </w:p>
    <w:p>
      <w:pPr>
        <w:pStyle w:val="BodyText"/>
      </w:pPr>
    </w:p>
    <w:p>
      <w:pPr>
        <w:pStyle w:val="BodyText"/>
        <w:spacing w:before="1"/>
        <w:rPr>
          <w:sz w:val="30"/>
        </w:rPr>
      </w:pPr>
    </w:p>
    <w:p>
      <w:pPr>
        <w:pStyle w:val="BodyText"/>
        <w:spacing w:line="360" w:lineRule="auto"/>
        <w:ind w:left="152" w:right="101"/>
        <w:jc w:val="both"/>
      </w:pPr>
      <w:r>
        <w:rPr/>
        <w:t>La quinta fase comenzó en 1986, concluyó en 2007 cuando la migración mexicana llegó a su tope </w:t>
      </w:r>
      <w:r>
        <w:rPr>
          <w:spacing w:val="-2"/>
        </w:rPr>
        <w:t>máximo </w:t>
      </w:r>
      <w:r>
        <w:rPr/>
        <w:t>con 12 millones de migrantes nacidos en México, de los cuales la mitad eran indocumentados. Se trata de un periodo complicado en el cual suceden hechos relevantes que reconfiguraron un nuevo patrón migratorio, </w:t>
      </w:r>
      <w:r>
        <w:rPr>
          <w:spacing w:val="-3"/>
        </w:rPr>
        <w:t>más </w:t>
      </w:r>
      <w:r>
        <w:rPr>
          <w:spacing w:val="2"/>
        </w:rPr>
        <w:t>allá </w:t>
      </w:r>
      <w:r>
        <w:rPr/>
        <w:t>del fuerte impacto que significó la</w:t>
      </w:r>
      <w:r>
        <w:rPr>
          <w:spacing w:val="-19"/>
        </w:rPr>
        <w:t> </w:t>
      </w:r>
      <w:r>
        <w:rPr/>
        <w:t>legalización.</w:t>
      </w:r>
    </w:p>
    <w:p>
      <w:pPr>
        <w:pStyle w:val="BodyText"/>
      </w:pPr>
    </w:p>
    <w:p>
      <w:pPr>
        <w:pStyle w:val="BodyText"/>
        <w:spacing w:line="360" w:lineRule="auto" w:before="144"/>
        <w:ind w:left="152" w:right="102"/>
        <w:jc w:val="both"/>
      </w:pPr>
      <w:r>
        <w:rPr/>
        <w:t>La sexta etapa de 2007 a 2013 más que un cambio espectacular o un factor preponderante en el nuevo patrón migratorio que se va conformando, se ha entretejido un complicado engranaje compuesto de múltiples piezas que trabajan en algunos casos articuladas, en otros por separado y también en abierta contradicción, durante esta etapa se presentó un freno en la  migración internacional México-Estados Unidos.</w:t>
      </w:r>
    </w:p>
    <w:p>
      <w:pPr>
        <w:pStyle w:val="BodyText"/>
      </w:pPr>
    </w:p>
    <w:p>
      <w:pPr>
        <w:pStyle w:val="BodyText"/>
        <w:spacing w:line="360" w:lineRule="auto" w:before="139"/>
        <w:ind w:left="152" w:right="104"/>
        <w:jc w:val="both"/>
      </w:pPr>
      <w:r>
        <w:rPr/>
        <w:t>Existe una variedad de modelos teóricos para explicar la migración internacional,  si bien cada una trata de explicar el </w:t>
      </w:r>
      <w:r>
        <w:rPr>
          <w:spacing w:val="-3"/>
        </w:rPr>
        <w:t>mismo </w:t>
      </w:r>
      <w:r>
        <w:rPr/>
        <w:t>tema, emplean conceptos, supuestos y marcos de referencia diferentes. En este caso parte de los enfoques teóricos proviene de un análisis compartido entre lo social y lo económico de las condiciones locales externas  en las  que  se lleva  acabo  el  transito  humano.</w:t>
      </w:r>
      <w:r>
        <w:rPr>
          <w:spacing w:val="18"/>
        </w:rPr>
        <w:t> </w:t>
      </w:r>
      <w:r>
        <w:rPr/>
        <w:t>Se</w:t>
      </w:r>
    </w:p>
    <w:p>
      <w:pPr>
        <w:spacing w:after="0" w:line="360" w:lineRule="auto"/>
        <w:jc w:val="both"/>
        <w:sectPr>
          <w:pgSz w:w="12240" w:h="15840"/>
          <w:pgMar w:header="0" w:footer="1322" w:top="1500" w:bottom="1580" w:left="1720" w:right="1420"/>
        </w:sectPr>
      </w:pPr>
    </w:p>
    <w:p>
      <w:pPr>
        <w:pStyle w:val="BodyText"/>
        <w:spacing w:before="11"/>
        <w:rPr>
          <w:sz w:val="25"/>
        </w:rPr>
      </w:pPr>
    </w:p>
    <w:p>
      <w:pPr>
        <w:pStyle w:val="BodyText"/>
        <w:spacing w:line="360" w:lineRule="auto" w:before="69"/>
        <w:ind w:left="152" w:right="111"/>
        <w:jc w:val="both"/>
      </w:pPr>
      <w:r>
        <w:rPr/>
        <w:t>plantea que no solo las diferencias salariales y las oportunidades de empleo explican el traslado de personas, sino el establecimiento de una tradición migratoria a través de redes socioculturales representadas por las familias de los migrantes en ambos lados de la frontera. Por lo tanto, las oportunidades de empleo, desarrollo y la existencia de redes sociales a través de la frontera, son elementos relevantes para explicar el fenómeno migratorio de un país menos desarrollado y su relación con otro más desarrollado.</w:t>
      </w:r>
    </w:p>
    <w:p>
      <w:pPr>
        <w:pStyle w:val="BodyText"/>
      </w:pPr>
    </w:p>
    <w:p>
      <w:pPr>
        <w:pStyle w:val="BodyText"/>
        <w:spacing w:line="360" w:lineRule="auto" w:before="144"/>
        <w:ind w:left="152" w:right="109"/>
        <w:jc w:val="both"/>
      </w:pPr>
      <w:r>
        <w:rPr/>
        <w:t>Las teorías en las cuales se sustenta la investigación, es en primer término, la teoría neoclásica, que emplea dos enfoques de análisis, el macroeconómico a través de la oferta y demanda de mano de obra por parte de la microeconomía y costo-beneficio de la migración por medio del enfoque macroeconómico. Además, se complementa con la teoría de redes y la de nueva economía de la migración. Cabe señalar que la teoría de redes acepta que la migración es una decisión individual, pero argumenta que </w:t>
      </w:r>
      <w:r>
        <w:rPr>
          <w:spacing w:val="3"/>
        </w:rPr>
        <w:t>las </w:t>
      </w:r>
      <w:r>
        <w:rPr/>
        <w:t>migraciones previas alteran sistemáticamente el contexto dentro </w:t>
      </w:r>
      <w:r>
        <w:rPr>
          <w:spacing w:val="-3"/>
        </w:rPr>
        <w:t>del </w:t>
      </w:r>
      <w:r>
        <w:rPr/>
        <w:t>cual se incrementa la posibilidad de que otros decidan migrar, lo cual lleva a una nueva economía de la migración donde la migración no se determina por decisiones de carácter individual, </w:t>
      </w:r>
      <w:r>
        <w:rPr>
          <w:spacing w:val="-3"/>
        </w:rPr>
        <w:t>si </w:t>
      </w:r>
      <w:r>
        <w:rPr/>
        <w:t>no por unidades </w:t>
      </w:r>
      <w:r>
        <w:rPr>
          <w:spacing w:val="-3"/>
        </w:rPr>
        <w:t>más  </w:t>
      </w:r>
      <w:r>
        <w:rPr/>
        <w:t>amplias de lazos parentales, típicamente familias u</w:t>
      </w:r>
      <w:r>
        <w:rPr>
          <w:spacing w:val="-28"/>
        </w:rPr>
        <w:t> </w:t>
      </w:r>
      <w:r>
        <w:rPr/>
        <w:t>hogares.</w:t>
      </w:r>
    </w:p>
    <w:p>
      <w:pPr>
        <w:pStyle w:val="BodyText"/>
      </w:pPr>
    </w:p>
    <w:p>
      <w:pPr>
        <w:pStyle w:val="Heading2"/>
        <w:numPr>
          <w:ilvl w:val="1"/>
          <w:numId w:val="15"/>
        </w:numPr>
        <w:tabs>
          <w:tab w:pos="557" w:val="left" w:leader="none"/>
        </w:tabs>
        <w:spacing w:line="240" w:lineRule="auto" w:before="139" w:after="0"/>
        <w:ind w:left="556" w:right="0" w:hanging="404"/>
        <w:jc w:val="both"/>
      </w:pPr>
      <w:bookmarkStart w:name="_bookmark19" w:id="33"/>
      <w:bookmarkEnd w:id="33"/>
      <w:r>
        <w:rPr>
          <w:b w:val="0"/>
        </w:rPr>
      </w:r>
      <w:bookmarkStart w:name="_bookmark19" w:id="34"/>
      <w:bookmarkEnd w:id="34"/>
      <w:r>
        <w:rPr/>
        <w:t>M</w:t>
      </w:r>
      <w:r>
        <w:rPr/>
        <w:t>etodología</w:t>
      </w:r>
    </w:p>
    <w:p>
      <w:pPr>
        <w:pStyle w:val="BodyText"/>
        <w:rPr>
          <w:b/>
        </w:rPr>
      </w:pPr>
    </w:p>
    <w:p>
      <w:pPr>
        <w:pStyle w:val="BodyText"/>
        <w:spacing w:before="2"/>
        <w:rPr>
          <w:b/>
          <w:sz w:val="26"/>
        </w:rPr>
      </w:pPr>
    </w:p>
    <w:p>
      <w:pPr>
        <w:pStyle w:val="BodyText"/>
        <w:spacing w:line="360" w:lineRule="auto"/>
        <w:ind w:left="152" w:right="105"/>
        <w:jc w:val="both"/>
      </w:pPr>
      <w:r>
        <w:rPr/>
        <w:t>Para el análisis en la presente investigación se utilizó componentes principales</w:t>
      </w:r>
      <w:r>
        <w:rPr>
          <w:position w:val="11"/>
          <w:sz w:val="16"/>
        </w:rPr>
        <w:t>1 </w:t>
      </w:r>
      <w:r>
        <w:rPr/>
        <w:t>la cual es una técnica estadística de síntesis de la información, o reducción de la dimensión</w:t>
      </w:r>
      <w:r>
        <w:rPr>
          <w:spacing w:val="51"/>
        </w:rPr>
        <w:t> </w:t>
      </w:r>
      <w:r>
        <w:rPr/>
        <w:t>(número</w:t>
      </w:r>
      <w:r>
        <w:rPr>
          <w:spacing w:val="51"/>
        </w:rPr>
        <w:t> </w:t>
      </w:r>
      <w:r>
        <w:rPr/>
        <w:t>de</w:t>
      </w:r>
      <w:r>
        <w:rPr>
          <w:spacing w:val="51"/>
        </w:rPr>
        <w:t> </w:t>
      </w:r>
      <w:r>
        <w:rPr/>
        <w:t>variables).</w:t>
      </w:r>
      <w:r>
        <w:rPr>
          <w:spacing w:val="50"/>
        </w:rPr>
        <w:t> </w:t>
      </w:r>
      <w:r>
        <w:rPr/>
        <w:t>Se</w:t>
      </w:r>
      <w:r>
        <w:rPr>
          <w:spacing w:val="51"/>
        </w:rPr>
        <w:t> </w:t>
      </w:r>
      <w:r>
        <w:rPr/>
        <w:t>empleó</w:t>
      </w:r>
      <w:r>
        <w:rPr>
          <w:spacing w:val="51"/>
        </w:rPr>
        <w:t> </w:t>
      </w:r>
      <w:r>
        <w:rPr/>
        <w:t>dicha</w:t>
      </w:r>
      <w:r>
        <w:rPr>
          <w:spacing w:val="51"/>
        </w:rPr>
        <w:t> </w:t>
      </w:r>
      <w:r>
        <w:rPr/>
        <w:t>técnica</w:t>
      </w:r>
      <w:r>
        <w:rPr>
          <w:spacing w:val="51"/>
        </w:rPr>
        <w:t> </w:t>
      </w:r>
      <w:r>
        <w:rPr/>
        <w:t>con la</w:t>
      </w:r>
      <w:r>
        <w:rPr>
          <w:spacing w:val="51"/>
        </w:rPr>
        <w:t> </w:t>
      </w:r>
      <w:r>
        <w:rPr/>
        <w:t>finalidad</w:t>
      </w:r>
      <w:r>
        <w:rPr>
          <w:spacing w:val="51"/>
        </w:rPr>
        <w:t> </w:t>
      </w:r>
      <w:r>
        <w:rPr/>
        <w:t>de</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264;mso-wrap-distance-left:0;mso-wrap-distance-right:0" from="93.648003pt,14.935869pt" to="237.698003pt,14.935869pt" stroked="true" strokeweight=".71997pt" strokecolor="#000000">
            <w10:wrap type="topAndBottom"/>
          </v:line>
        </w:pict>
      </w:r>
    </w:p>
    <w:p>
      <w:pPr>
        <w:spacing w:before="51"/>
        <w:ind w:left="152" w:right="0" w:firstLine="0"/>
        <w:jc w:val="left"/>
        <w:rPr>
          <w:sz w:val="16"/>
        </w:rPr>
      </w:pPr>
      <w:r>
        <w:rPr>
          <w:position w:val="8"/>
          <w:sz w:val="10"/>
        </w:rPr>
        <w:t>1 </w:t>
      </w:r>
      <w:r>
        <w:rPr>
          <w:sz w:val="16"/>
        </w:rPr>
        <w:t>El análisis de componentes principales comprende un procedimiento matemático que transforma un conjunto de variables correlaciónales de respuesta en un conjunto menor de variables no correlacionadas llamadas componentes principales.  Su</w:t>
      </w:r>
    </w:p>
    <w:p>
      <w:pPr>
        <w:spacing w:after="0"/>
        <w:jc w:val="left"/>
        <w:rPr>
          <w:sz w:val="16"/>
        </w:rPr>
        <w:sectPr>
          <w:pgSz w:w="12240" w:h="15840"/>
          <w:pgMar w:header="0" w:footer="1322" w:top="1500" w:bottom="1580" w:left="1720" w:right="1420"/>
        </w:sectPr>
      </w:pPr>
    </w:p>
    <w:p>
      <w:pPr>
        <w:pStyle w:val="BodyText"/>
        <w:spacing w:before="11"/>
        <w:rPr>
          <w:sz w:val="25"/>
        </w:rPr>
      </w:pPr>
    </w:p>
    <w:p>
      <w:pPr>
        <w:pStyle w:val="BodyText"/>
        <w:spacing w:line="355" w:lineRule="auto" w:before="69"/>
        <w:ind w:left="252" w:right="235"/>
        <w:jc w:val="both"/>
      </w:pPr>
      <w:r>
        <w:rPr/>
        <w:t>clasificar localidades del Estado de México que presentan mayor migración, enfocándose principalmente en localidades del municipio de Tenancingo.</w:t>
      </w:r>
    </w:p>
    <w:p>
      <w:pPr>
        <w:pStyle w:val="BodyText"/>
        <w:spacing w:line="360" w:lineRule="auto" w:before="76"/>
        <w:ind w:left="252" w:right="221"/>
        <w:jc w:val="both"/>
      </w:pPr>
      <w:r>
        <w:rPr/>
        <w:t>En relación con la migración internacional y desarrollo económico se han realizado modelos econométricos en los cuales retoman variables económicas, sociales y demográficas. Mendoza (2006), en un estudio sobre municipios con alta intensidad migratoria, retoma variables como los hogares, educación, el ingreso </w:t>
      </w:r>
      <w:r>
        <w:rPr>
          <w:i/>
        </w:rPr>
        <w:t>pér-cápita </w:t>
      </w:r>
      <w:r>
        <w:rPr/>
        <w:t>y la población económicamente activa, para explicar la migración</w:t>
      </w:r>
      <w:r>
        <w:rPr>
          <w:spacing w:val="-38"/>
        </w:rPr>
        <w:t> </w:t>
      </w:r>
      <w:r>
        <w:rPr/>
        <w:t>internacional.</w:t>
      </w:r>
    </w:p>
    <w:p>
      <w:pPr>
        <w:pStyle w:val="BodyText"/>
        <w:spacing w:line="357" w:lineRule="auto" w:before="209"/>
        <w:ind w:left="252" w:right="228"/>
        <w:jc w:val="both"/>
      </w:pPr>
      <w:r>
        <w:rPr/>
        <w:t>La selección de variables se hizo con base en la propuesta de Mendoza (2006), apoyado en los siguientes criterios: aquellas que caracterizan el desarrollo de los municipios, las que funcionan como indicadores de empleo, por último, las relacionadas con la pobreza, marginación y desarrollo social.</w:t>
      </w:r>
    </w:p>
    <w:p>
      <w:pPr>
        <w:pStyle w:val="BodyText"/>
      </w:pPr>
    </w:p>
    <w:p>
      <w:pPr>
        <w:pStyle w:val="BodyText"/>
        <w:spacing w:before="2"/>
        <w:rPr>
          <w:sz w:val="23"/>
        </w:rPr>
      </w:pPr>
    </w:p>
    <w:p>
      <w:pPr>
        <w:pStyle w:val="BodyText"/>
        <w:spacing w:line="360" w:lineRule="auto"/>
        <w:ind w:left="252" w:right="236"/>
        <w:jc w:val="both"/>
      </w:pPr>
      <w:r>
        <w:rPr/>
        <w:t>Para este análisis se tomaron en cuenta los 125 municipios que conforman el Estado de México, de los cuales de acuerdo con las variables tomadas en cuenta se obtuvieron ocho grupos conformados por municipios que en su interior tienen localidades que comparten características similares entre sí.</w:t>
      </w:r>
    </w:p>
    <w:p>
      <w:pPr>
        <w:pStyle w:val="BodyText"/>
      </w:pPr>
    </w:p>
    <w:p>
      <w:pPr>
        <w:pStyle w:val="BodyText"/>
        <w:spacing w:line="357" w:lineRule="auto" w:before="207"/>
        <w:ind w:left="252" w:right="228"/>
        <w:jc w:val="both"/>
      </w:pPr>
      <w:r>
        <w:rPr/>
        <w:t>El análisis de la migración desde una perspectiva municipal permite obtener de forma menos agregada que a nivel nacional, cuales son los factores que influyen en mayor medida sobre la migración internacional.</w:t>
      </w:r>
    </w:p>
    <w:p>
      <w:pPr>
        <w:pStyle w:val="BodyText"/>
      </w:pPr>
    </w:p>
    <w:p>
      <w:pPr>
        <w:pStyle w:val="BodyText"/>
        <w:spacing w:before="11"/>
        <w:rPr>
          <w:sz w:val="29"/>
        </w:rPr>
      </w:pPr>
    </w:p>
    <w:p>
      <w:pPr>
        <w:pStyle w:val="BodyText"/>
        <w:ind w:left="127" w:right="90"/>
        <w:jc w:val="center"/>
      </w:pPr>
      <w:r>
        <w:rPr/>
        <w:t>Tabla 3. Variables utilizadas</w:t>
      </w:r>
    </w:p>
    <w:p>
      <w:pPr>
        <w:pStyle w:val="BodyText"/>
        <w:spacing w:before="9"/>
        <w:rPr>
          <w:sz w:val="26"/>
        </w:rPr>
      </w:pPr>
      <w:r>
        <w:rPr/>
        <w:pict>
          <v:group style="position:absolute;margin-left:87.603996pt;margin-top:17.357046pt;width:454.1pt;height:1pt;mso-position-horizontal-relative:page;mso-position-vertical-relative:paragraph;z-index:1288;mso-wrap-distance-left:0;mso-wrap-distance-right:0" coordorigin="1752,347" coordsize="9082,20">
            <v:line style="position:absolute" from="1762,357" to="5369,357" stroked="true" strokeweight=".95996pt" strokecolor="#000000"/>
            <v:line style="position:absolute" from="5369,357" to="5388,357" stroked="true" strokeweight=".95996pt" strokecolor="#000000"/>
            <v:line style="position:absolute" from="5388,357" to="10824,357" stroked="true" strokeweight=".95996pt" strokecolor="#000000"/>
            <w10:wrap type="topAndBottom"/>
          </v:group>
        </w:pict>
      </w:r>
    </w:p>
    <w:p>
      <w:pPr>
        <w:pStyle w:val="BodyText"/>
        <w:tabs>
          <w:tab w:pos="3854" w:val="left" w:leader="none"/>
        </w:tabs>
        <w:spacing w:before="24" w:after="69"/>
        <w:ind w:left="252"/>
        <w:jc w:val="both"/>
      </w:pPr>
      <w:r>
        <w:rPr/>
        <w:t>Factores</w:t>
        <w:tab/>
        <w:t>Variables</w:t>
      </w:r>
    </w:p>
    <w:p>
      <w:pPr>
        <w:pStyle w:val="BodyText"/>
        <w:ind w:left="132"/>
        <w:rPr>
          <w:sz w:val="20"/>
        </w:rPr>
      </w:pPr>
      <w:r>
        <w:rPr>
          <w:sz w:val="20"/>
        </w:rPr>
        <w:pict>
          <v:group style="width:454.1pt;height:34.6pt;mso-position-horizontal-relative:char;mso-position-vertical-relative:line" coordorigin="0,0" coordsize="9082,692">
            <v:rect style="position:absolute;left:10;top:20;width:111;height:394" filled="true" fillcolor="#c0c0c0" stroked="false">
              <v:fill type="solid"/>
            </v:rect>
            <v:rect style="position:absolute;left:3506;top:20;width:106;height:394" filled="true" fillcolor="#c0c0c0" stroked="false">
              <v:fill type="solid"/>
            </v:rect>
            <v:rect style="position:absolute;left:10;top:414;width:3602;height:278" filled="true" fillcolor="#c0c0c0" stroked="false">
              <v:fill type="solid"/>
            </v:rect>
            <v:rect style="position:absolute;left:121;top:20;width:3385;height:394" filled="true" fillcolor="#c0c0c0" stroked="false">
              <v:fill type="solid"/>
            </v:rect>
            <v:rect style="position:absolute;left:3612;top:20;width:110;height:672" filled="true" fillcolor="#c0c0c0" stroked="false">
              <v:fill type="solid"/>
            </v:rect>
            <v:rect style="position:absolute;left:8961;top:20;width:110;height:672" filled="true" fillcolor="#c0c0c0" stroked="false">
              <v:fill type="solid"/>
            </v:rect>
            <v:rect style="position:absolute;left:3722;top:20;width:5239;height:336" filled="true" fillcolor="#c0c0c0" stroked="false">
              <v:fill type="solid"/>
            </v:rect>
            <v:rect style="position:absolute;left:3722;top:356;width:5239;height:336" filled="true" fillcolor="#c0c0c0" stroked="false">
              <v:fill type="solid"/>
            </v:rect>
            <v:line style="position:absolute" from="10,10" to="3617,10" stroked="true" strokeweight=".96002pt" strokecolor="#000000"/>
            <v:line style="position:absolute" from="3617,10" to="3636,10" stroked="true" strokeweight=".96002pt" strokecolor="#000000"/>
            <v:line style="position:absolute" from="3636,10" to="9072,10" stroked="true" strokeweight=".96002pt" strokecolor="#000000"/>
            <v:shape style="position:absolute;left:121;top:99;width:1188;height:240" type="#_x0000_t202" filled="false" stroked="false">
              <v:textbox inset="0,0,0,0">
                <w:txbxContent>
                  <w:p>
                    <w:pPr>
                      <w:spacing w:line="240" w:lineRule="exact" w:before="0"/>
                      <w:ind w:left="0" w:right="-20" w:firstLine="0"/>
                      <w:jc w:val="left"/>
                      <w:rPr>
                        <w:b/>
                        <w:sz w:val="24"/>
                      </w:rPr>
                    </w:pPr>
                    <w:r>
                      <w:rPr>
                        <w:b/>
                        <w:sz w:val="24"/>
                      </w:rPr>
                      <w:t>Desarrollo</w:t>
                    </w:r>
                  </w:p>
                </w:txbxContent>
              </v:textbox>
              <w10:wrap type="none"/>
            </v:shape>
            <v:shape style="position:absolute;left:3722;top:104;width:5237;height:514" type="#_x0000_t202" filled="false" stroked="false">
              <v:textbox inset="0,0,0,0">
                <w:txbxContent>
                  <w:p>
                    <w:pPr>
                      <w:spacing w:line="244" w:lineRule="exact" w:before="0"/>
                      <w:ind w:left="0" w:right="0" w:firstLine="0"/>
                      <w:jc w:val="left"/>
                      <w:rPr>
                        <w:sz w:val="24"/>
                      </w:rPr>
                    </w:pPr>
                    <w:r>
                      <w:rPr>
                        <w:sz w:val="24"/>
                      </w:rPr>
                      <w:t>Índice de desarrollo humano, índice de ingreso y</w:t>
                    </w:r>
                  </w:p>
                  <w:p>
                    <w:pPr>
                      <w:spacing w:line="270" w:lineRule="exact" w:before="0"/>
                      <w:ind w:left="0" w:right="0" w:firstLine="0"/>
                      <w:jc w:val="left"/>
                      <w:rPr>
                        <w:sz w:val="24"/>
                      </w:rPr>
                    </w:pPr>
                    <w:r>
                      <w:rPr>
                        <w:sz w:val="24"/>
                      </w:rPr>
                      <w:t>población analfabeta</w:t>
                    </w:r>
                  </w:p>
                </w:txbxContent>
              </v:textbox>
              <w10:wrap type="none"/>
            </v:shape>
          </v:group>
        </w:pict>
      </w:r>
      <w:r>
        <w:rPr>
          <w:sz w:val="20"/>
        </w:rPr>
      </w:r>
    </w:p>
    <w:p>
      <w:pPr>
        <w:pStyle w:val="BodyText"/>
        <w:tabs>
          <w:tab w:pos="3854" w:val="left" w:leader="none"/>
          <w:tab w:pos="4650" w:val="left" w:leader="none"/>
          <w:tab w:pos="6117" w:val="left" w:leader="none"/>
          <w:tab w:pos="8284" w:val="left" w:leader="none"/>
        </w:tabs>
        <w:spacing w:line="274" w:lineRule="exact" w:before="30"/>
        <w:ind w:left="3854" w:right="227" w:hanging="3602"/>
      </w:pPr>
      <w:r>
        <w:rPr/>
        <w:pict>
          <v:group style="position:absolute;margin-left:86.884003pt;margin-top:32.119999pt;width:454.8pt;height:1pt;mso-position-horizontal-relative:page;mso-position-vertical-relative:paragraph;z-index:1384;mso-wrap-distance-left:0;mso-wrap-distance-right:0" coordorigin="1738,642" coordsize="9096,20">
            <v:line style="position:absolute" from="1748,652" to="5369,652" stroked="true" strokeweight=".96002pt" strokecolor="#000000"/>
            <v:line style="position:absolute" from="5354,652" to="5374,652" stroked="true" strokeweight=".96002pt" strokecolor="#000000"/>
            <v:line style="position:absolute" from="5374,652" to="10824,652" stroked="true" strokeweight=".96002pt" strokecolor="#000000"/>
            <w10:wrap type="topAndBottom"/>
          </v:group>
        </w:pict>
      </w:r>
      <w:r>
        <w:rPr>
          <w:b/>
        </w:rPr>
        <w:t>Empleo</w:t>
        <w:tab/>
      </w:r>
      <w:r>
        <w:rPr/>
        <w:t>PEA</w:t>
        <w:tab/>
        <w:t>(Población</w:t>
        <w:tab/>
        <w:t>Económicamente</w:t>
        <w:tab/>
        <w:t>Activa), población ocupada y población</w:t>
      </w:r>
      <w:r>
        <w:rPr>
          <w:spacing w:val="-18"/>
        </w:rPr>
        <w:t> </w:t>
      </w:r>
      <w:r>
        <w:rPr/>
        <w:t>desocupada.</w:t>
      </w:r>
    </w:p>
    <w:p>
      <w:pPr>
        <w:spacing w:after="0" w:line="274" w:lineRule="exact"/>
        <w:sectPr>
          <w:pgSz w:w="12240" w:h="15840"/>
          <w:pgMar w:header="0" w:footer="1322" w:top="1500" w:bottom="1580" w:left="1620" w:right="1300"/>
        </w:sectPr>
      </w:pPr>
    </w:p>
    <w:p>
      <w:pPr>
        <w:pStyle w:val="BodyText"/>
        <w:rPr>
          <w:sz w:val="20"/>
        </w:rPr>
      </w:pPr>
    </w:p>
    <w:p>
      <w:pPr>
        <w:pStyle w:val="BodyText"/>
        <w:spacing w:before="4"/>
        <w:rPr>
          <w:sz w:val="12"/>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11"/>
        <w:gridCol w:w="5851"/>
      </w:tblGrid>
      <w:tr>
        <w:trPr>
          <w:trHeight w:val="692" w:hRule="exact"/>
        </w:trPr>
        <w:tc>
          <w:tcPr>
            <w:tcW w:w="3211" w:type="dxa"/>
            <w:tcBorders>
              <w:left w:val="nil"/>
              <w:right w:val="nil"/>
            </w:tcBorders>
            <w:shd w:val="clear" w:color="auto" w:fill="C0C0C0"/>
          </w:tcPr>
          <w:p>
            <w:pPr>
              <w:pStyle w:val="TableParagraph"/>
              <w:spacing w:before="48"/>
              <w:ind w:left="110"/>
              <w:rPr>
                <w:b/>
                <w:sz w:val="24"/>
              </w:rPr>
            </w:pPr>
            <w:r>
              <w:rPr>
                <w:b/>
                <w:sz w:val="24"/>
              </w:rPr>
              <w:t>Marginación y pobreza</w:t>
            </w:r>
          </w:p>
        </w:tc>
        <w:tc>
          <w:tcPr>
            <w:tcW w:w="5851" w:type="dxa"/>
            <w:tcBorders>
              <w:left w:val="nil"/>
              <w:right w:val="nil"/>
            </w:tcBorders>
            <w:shd w:val="clear" w:color="auto" w:fill="C0C0C0"/>
          </w:tcPr>
          <w:p>
            <w:pPr>
              <w:pStyle w:val="TableParagraph"/>
              <w:spacing w:line="274" w:lineRule="exact" w:before="59"/>
              <w:ind w:left="501"/>
              <w:rPr>
                <w:sz w:val="24"/>
              </w:rPr>
            </w:pPr>
            <w:r>
              <w:rPr>
                <w:sz w:val="24"/>
              </w:rPr>
              <w:t>Grado de marginación y carencias en la vivienda digna.</w:t>
            </w:r>
          </w:p>
        </w:tc>
      </w:tr>
    </w:tbl>
    <w:p>
      <w:pPr>
        <w:pStyle w:val="BodyText"/>
        <w:rPr>
          <w:sz w:val="20"/>
        </w:rPr>
      </w:pPr>
    </w:p>
    <w:p>
      <w:pPr>
        <w:pStyle w:val="BodyText"/>
        <w:spacing w:before="5"/>
        <w:rPr>
          <w:sz w:val="19"/>
        </w:rPr>
      </w:pPr>
    </w:p>
    <w:p>
      <w:pPr>
        <w:pStyle w:val="Heading2"/>
        <w:numPr>
          <w:ilvl w:val="1"/>
          <w:numId w:val="15"/>
        </w:numPr>
        <w:tabs>
          <w:tab w:pos="637" w:val="left" w:leader="none"/>
        </w:tabs>
        <w:spacing w:line="240" w:lineRule="auto" w:before="70" w:after="0"/>
        <w:ind w:left="636" w:right="0" w:hanging="404"/>
        <w:jc w:val="both"/>
      </w:pPr>
      <w:bookmarkStart w:name="_bookmark20" w:id="35"/>
      <w:bookmarkEnd w:id="35"/>
      <w:r>
        <w:rPr>
          <w:b w:val="0"/>
        </w:rPr>
      </w:r>
      <w:bookmarkStart w:name="_bookmark20" w:id="36"/>
      <w:bookmarkEnd w:id="36"/>
      <w:r>
        <w:rPr/>
        <w:t>Re</w:t>
      </w:r>
      <w:r>
        <w:rPr/>
        <w:t>sultados</w:t>
      </w:r>
    </w:p>
    <w:p>
      <w:pPr>
        <w:pStyle w:val="BodyText"/>
        <w:rPr>
          <w:b/>
        </w:rPr>
      </w:pPr>
    </w:p>
    <w:p>
      <w:pPr>
        <w:pStyle w:val="BodyText"/>
        <w:spacing w:before="1"/>
        <w:rPr>
          <w:b/>
          <w:sz w:val="35"/>
        </w:rPr>
      </w:pPr>
    </w:p>
    <w:p>
      <w:pPr>
        <w:pStyle w:val="BodyText"/>
        <w:spacing w:line="360" w:lineRule="auto"/>
        <w:ind w:left="232" w:right="254"/>
        <w:jc w:val="both"/>
      </w:pPr>
      <w:r>
        <w:rPr/>
        <w:t>Se obtuvieron siete grupos clasificados por municipios que en su interior tienen localidades que comparten características similares entre sí como número de población, actividades económicas desarrolladas, índices de desarrollo humano y grados de marginación.</w:t>
      </w:r>
    </w:p>
    <w:p>
      <w:pPr>
        <w:pStyle w:val="BodyText"/>
      </w:pPr>
    </w:p>
    <w:p>
      <w:pPr>
        <w:pStyle w:val="BodyText"/>
        <w:spacing w:line="360" w:lineRule="auto" w:before="140"/>
        <w:ind w:left="232" w:right="247"/>
        <w:jc w:val="both"/>
      </w:pPr>
      <w:r>
        <w:rPr/>
        <w:t>Hay municipios que no presentan alto índice de marginación, pero dentro de ellos hay localidades que </w:t>
      </w:r>
      <w:r>
        <w:rPr>
          <w:spacing w:val="-3"/>
        </w:rPr>
        <w:t>si </w:t>
      </w:r>
      <w:r>
        <w:rPr/>
        <w:t>tienen altos índices de marginación dadas las  características que distinguen a una localidad de otra dentro de un mismo municipio. La región del grupo VI quedó integrada por los municipios que conforman la zona sur del Estado de</w:t>
      </w:r>
      <w:r>
        <w:rPr>
          <w:spacing w:val="-18"/>
        </w:rPr>
        <w:t> </w:t>
      </w:r>
      <w:r>
        <w:rPr/>
        <w:t>México.</w:t>
      </w:r>
    </w:p>
    <w:p>
      <w:pPr>
        <w:spacing w:after="0" w:line="360" w:lineRule="auto"/>
        <w:jc w:val="both"/>
        <w:sectPr>
          <w:pgSz w:w="12240" w:h="15840"/>
          <w:pgMar w:header="0" w:footer="1322" w:top="1500" w:bottom="1580" w:left="1640" w:right="1280"/>
        </w:sectPr>
      </w:pPr>
    </w:p>
    <w:p>
      <w:pPr>
        <w:pStyle w:val="BodyText"/>
        <w:spacing w:before="11"/>
        <w:rPr>
          <w:sz w:val="25"/>
        </w:rPr>
      </w:pPr>
    </w:p>
    <w:p>
      <w:pPr>
        <w:pStyle w:val="BodyText"/>
        <w:spacing w:line="355" w:lineRule="auto" w:before="69"/>
        <w:ind w:left="4064" w:right="269" w:hanging="3400"/>
      </w:pPr>
      <w:r>
        <w:rPr/>
        <w:t>Tabla 4. Regiones del Estado de México de acuerdo con los Componentes Principales</w:t>
      </w:r>
    </w:p>
    <w:p>
      <w:pPr>
        <w:pStyle w:val="BodyText"/>
        <w:spacing w:before="11"/>
        <w:rPr>
          <w:sz w:val="6"/>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22"/>
        <w:gridCol w:w="2410"/>
        <w:gridCol w:w="385"/>
        <w:gridCol w:w="1354"/>
        <w:gridCol w:w="2690"/>
      </w:tblGrid>
      <w:tr>
        <w:trPr>
          <w:trHeight w:val="274" w:hRule="exact"/>
        </w:trPr>
        <w:tc>
          <w:tcPr>
            <w:tcW w:w="2222" w:type="dxa"/>
            <w:tcBorders>
              <w:left w:val="nil"/>
              <w:right w:val="nil"/>
            </w:tcBorders>
          </w:tcPr>
          <w:p>
            <w:pPr>
              <w:pStyle w:val="TableParagraph"/>
              <w:spacing w:line="248" w:lineRule="exact"/>
              <w:ind w:left="110"/>
              <w:rPr>
                <w:sz w:val="22"/>
              </w:rPr>
            </w:pPr>
            <w:r>
              <w:rPr>
                <w:w w:val="100"/>
                <w:sz w:val="22"/>
              </w:rPr>
              <w:t>I</w:t>
            </w:r>
          </w:p>
        </w:tc>
        <w:tc>
          <w:tcPr>
            <w:tcW w:w="2410" w:type="dxa"/>
            <w:tcBorders>
              <w:left w:val="nil"/>
              <w:right w:val="nil"/>
            </w:tcBorders>
          </w:tcPr>
          <w:p>
            <w:pPr>
              <w:pStyle w:val="TableParagraph"/>
              <w:spacing w:line="248" w:lineRule="exact"/>
              <w:ind w:left="179" w:right="939"/>
              <w:rPr>
                <w:sz w:val="22"/>
              </w:rPr>
            </w:pPr>
            <w:r>
              <w:rPr>
                <w:sz w:val="22"/>
              </w:rPr>
              <w:t>II</w:t>
            </w:r>
          </w:p>
        </w:tc>
        <w:tc>
          <w:tcPr>
            <w:tcW w:w="385" w:type="dxa"/>
            <w:tcBorders>
              <w:left w:val="nil"/>
              <w:right w:val="nil"/>
            </w:tcBorders>
          </w:tcPr>
          <w:p>
            <w:pPr>
              <w:pStyle w:val="TableParagraph"/>
              <w:spacing w:line="248" w:lineRule="exact"/>
              <w:ind w:left="107"/>
              <w:rPr>
                <w:sz w:val="22"/>
              </w:rPr>
            </w:pPr>
            <w:r>
              <w:rPr>
                <w:sz w:val="22"/>
              </w:rPr>
              <w:t>III</w:t>
            </w:r>
          </w:p>
        </w:tc>
        <w:tc>
          <w:tcPr>
            <w:tcW w:w="1354" w:type="dxa"/>
            <w:tcBorders>
              <w:left w:val="nil"/>
              <w:right w:val="nil"/>
            </w:tcBorders>
          </w:tcPr>
          <w:p>
            <w:pPr/>
          </w:p>
        </w:tc>
        <w:tc>
          <w:tcPr>
            <w:tcW w:w="2690" w:type="dxa"/>
            <w:tcBorders>
              <w:left w:val="nil"/>
              <w:right w:val="nil"/>
            </w:tcBorders>
          </w:tcPr>
          <w:p>
            <w:pPr>
              <w:pStyle w:val="TableParagraph"/>
              <w:spacing w:line="248" w:lineRule="exact"/>
              <w:ind w:left="481" w:right="171"/>
              <w:rPr>
                <w:sz w:val="22"/>
              </w:rPr>
            </w:pPr>
            <w:r>
              <w:rPr>
                <w:sz w:val="22"/>
              </w:rPr>
              <w:t>IV</w:t>
            </w:r>
          </w:p>
        </w:tc>
      </w:tr>
      <w:tr>
        <w:trPr>
          <w:trHeight w:val="2794" w:hRule="exact"/>
        </w:trPr>
        <w:tc>
          <w:tcPr>
            <w:tcW w:w="2222" w:type="dxa"/>
            <w:tcBorders>
              <w:left w:val="nil"/>
              <w:bottom w:val="nil"/>
              <w:right w:val="nil"/>
            </w:tcBorders>
            <w:shd w:val="clear" w:color="auto" w:fill="C0C0C0"/>
          </w:tcPr>
          <w:p>
            <w:pPr>
              <w:pStyle w:val="TableParagraph"/>
              <w:spacing w:line="242" w:lineRule="auto"/>
              <w:ind w:left="110" w:right="1431"/>
              <w:rPr>
                <w:sz w:val="22"/>
              </w:rPr>
            </w:pPr>
            <w:r>
              <w:rPr>
                <w:sz w:val="22"/>
              </w:rPr>
              <w:t>Toluca Lerma</w:t>
            </w:r>
          </w:p>
          <w:p>
            <w:pPr>
              <w:pStyle w:val="TableParagraph"/>
              <w:spacing w:line="242" w:lineRule="auto"/>
              <w:ind w:left="110" w:right="318"/>
              <w:rPr>
                <w:sz w:val="22"/>
              </w:rPr>
            </w:pPr>
            <w:r>
              <w:rPr>
                <w:sz w:val="22"/>
              </w:rPr>
              <w:t>Tenango del Valle Metepec</w:t>
            </w:r>
          </w:p>
          <w:p>
            <w:pPr>
              <w:pStyle w:val="TableParagraph"/>
              <w:ind w:left="110" w:right="160"/>
              <w:rPr>
                <w:sz w:val="22"/>
              </w:rPr>
            </w:pPr>
            <w:r>
              <w:rPr>
                <w:sz w:val="22"/>
              </w:rPr>
              <w:t>Almoloya de Juarez Tianquistenco Zinacantepec Xonacatlán</w:t>
            </w:r>
          </w:p>
          <w:p>
            <w:pPr>
              <w:pStyle w:val="TableParagraph"/>
              <w:spacing w:line="242" w:lineRule="auto"/>
              <w:ind w:left="110" w:right="257"/>
              <w:rPr>
                <w:sz w:val="22"/>
              </w:rPr>
            </w:pPr>
            <w:r>
              <w:rPr>
                <w:sz w:val="22"/>
              </w:rPr>
              <w:t>San Antonio la Isla Chapultepec Ocoyoacac</w:t>
            </w:r>
          </w:p>
        </w:tc>
        <w:tc>
          <w:tcPr>
            <w:tcW w:w="2410" w:type="dxa"/>
            <w:tcBorders>
              <w:left w:val="nil"/>
              <w:bottom w:val="nil"/>
              <w:right w:val="nil"/>
            </w:tcBorders>
            <w:shd w:val="clear" w:color="auto" w:fill="C0C0C0"/>
          </w:tcPr>
          <w:p>
            <w:pPr>
              <w:pStyle w:val="TableParagraph"/>
              <w:ind w:left="179" w:right="939"/>
              <w:rPr>
                <w:sz w:val="22"/>
              </w:rPr>
            </w:pPr>
            <w:r>
              <w:rPr>
                <w:sz w:val="22"/>
              </w:rPr>
              <w:t>Huixquilucan Jilotzingo Naucalpan Isidro Fabela Zumpango</w:t>
            </w:r>
          </w:p>
          <w:p>
            <w:pPr>
              <w:pStyle w:val="TableParagraph"/>
              <w:spacing w:line="242" w:lineRule="auto"/>
              <w:ind w:left="179"/>
              <w:rPr>
                <w:sz w:val="22"/>
              </w:rPr>
            </w:pPr>
            <w:r>
              <w:rPr>
                <w:sz w:val="22"/>
              </w:rPr>
              <w:t>San Martin de las Pirámides</w:t>
            </w:r>
          </w:p>
          <w:p>
            <w:pPr>
              <w:pStyle w:val="TableParagraph"/>
              <w:spacing w:line="250" w:lineRule="exact" w:before="5"/>
              <w:ind w:left="179" w:right="646"/>
              <w:rPr>
                <w:sz w:val="22"/>
              </w:rPr>
            </w:pPr>
            <w:r>
              <w:rPr>
                <w:sz w:val="22"/>
              </w:rPr>
              <w:t>Zumpango Nicolás Romero</w:t>
            </w:r>
          </w:p>
        </w:tc>
        <w:tc>
          <w:tcPr>
            <w:tcW w:w="1739" w:type="dxa"/>
            <w:gridSpan w:val="2"/>
            <w:tcBorders>
              <w:left w:val="nil"/>
              <w:bottom w:val="nil"/>
              <w:right w:val="nil"/>
            </w:tcBorders>
            <w:shd w:val="clear" w:color="auto" w:fill="C0C0C0"/>
          </w:tcPr>
          <w:p>
            <w:pPr>
              <w:pStyle w:val="TableParagraph"/>
              <w:ind w:left="107" w:right="462"/>
              <w:rPr>
                <w:sz w:val="22"/>
              </w:rPr>
            </w:pPr>
            <w:r>
              <w:rPr>
                <w:sz w:val="22"/>
              </w:rPr>
              <w:t>Chiautla Ozumba Texcoco Chiconcuac Temamatla Ayapango</w:t>
            </w:r>
          </w:p>
        </w:tc>
        <w:tc>
          <w:tcPr>
            <w:tcW w:w="2690" w:type="dxa"/>
            <w:tcBorders>
              <w:left w:val="nil"/>
              <w:bottom w:val="nil"/>
              <w:right w:val="nil"/>
            </w:tcBorders>
            <w:shd w:val="clear" w:color="auto" w:fill="C0C0C0"/>
          </w:tcPr>
          <w:p>
            <w:pPr>
              <w:pStyle w:val="TableParagraph"/>
              <w:spacing w:line="248" w:lineRule="exact"/>
              <w:ind w:left="481" w:right="171"/>
              <w:rPr>
                <w:sz w:val="22"/>
              </w:rPr>
            </w:pPr>
            <w:r>
              <w:rPr>
                <w:sz w:val="22"/>
              </w:rPr>
              <w:t>Tejupilco</w:t>
            </w:r>
          </w:p>
          <w:p>
            <w:pPr>
              <w:pStyle w:val="TableParagraph"/>
              <w:spacing w:line="250" w:lineRule="exact" w:before="7"/>
              <w:ind w:left="481" w:right="171"/>
              <w:rPr>
                <w:sz w:val="22"/>
              </w:rPr>
            </w:pPr>
            <w:r>
              <w:rPr>
                <w:sz w:val="22"/>
              </w:rPr>
              <w:t>San José del Rincón Luvianos</w:t>
            </w:r>
          </w:p>
          <w:p>
            <w:pPr>
              <w:pStyle w:val="TableParagraph"/>
              <w:ind w:left="481" w:right="697"/>
              <w:rPr>
                <w:sz w:val="22"/>
              </w:rPr>
            </w:pPr>
            <w:r>
              <w:rPr>
                <w:sz w:val="22"/>
              </w:rPr>
              <w:t>Tlatlaya Tejupilco Temascaltepec Villa Victoria</w:t>
            </w:r>
          </w:p>
          <w:p>
            <w:pPr>
              <w:pStyle w:val="TableParagraph"/>
              <w:tabs>
                <w:tab w:pos="1281" w:val="left" w:leader="none"/>
                <w:tab w:pos="2284" w:val="left" w:leader="none"/>
              </w:tabs>
              <w:spacing w:before="1"/>
              <w:ind w:left="481" w:right="105"/>
              <w:rPr>
                <w:sz w:val="22"/>
              </w:rPr>
            </w:pPr>
            <w:r>
              <w:rPr>
                <w:sz w:val="22"/>
              </w:rPr>
              <w:t>San</w:t>
              <w:tab/>
              <w:t>Felipe</w:t>
              <w:tab/>
              <w:t>del Progreso Otzolotepec Temoaya</w:t>
            </w:r>
          </w:p>
        </w:tc>
      </w:tr>
      <w:tr>
        <w:trPr>
          <w:trHeight w:val="250" w:hRule="exact"/>
        </w:trPr>
        <w:tc>
          <w:tcPr>
            <w:tcW w:w="2222" w:type="dxa"/>
            <w:tcBorders>
              <w:top w:val="nil"/>
              <w:left w:val="nil"/>
              <w:bottom w:val="nil"/>
              <w:right w:val="nil"/>
            </w:tcBorders>
          </w:tcPr>
          <w:p>
            <w:pPr>
              <w:pStyle w:val="TableParagraph"/>
              <w:spacing w:line="244" w:lineRule="exact"/>
              <w:ind w:left="110"/>
              <w:rPr>
                <w:b/>
                <w:sz w:val="22"/>
              </w:rPr>
            </w:pPr>
            <w:r>
              <w:rPr>
                <w:b/>
                <w:w w:val="100"/>
                <w:sz w:val="22"/>
              </w:rPr>
              <w:t>V</w:t>
            </w:r>
          </w:p>
        </w:tc>
        <w:tc>
          <w:tcPr>
            <w:tcW w:w="2410" w:type="dxa"/>
            <w:tcBorders>
              <w:top w:val="nil"/>
              <w:left w:val="nil"/>
              <w:bottom w:val="nil"/>
              <w:right w:val="nil"/>
            </w:tcBorders>
          </w:tcPr>
          <w:p>
            <w:pPr>
              <w:pStyle w:val="TableParagraph"/>
              <w:spacing w:line="249" w:lineRule="exact"/>
              <w:ind w:left="611" w:right="939"/>
              <w:rPr>
                <w:sz w:val="22"/>
              </w:rPr>
            </w:pPr>
            <w:r>
              <w:rPr>
                <w:sz w:val="22"/>
              </w:rPr>
              <w:t>VI</w:t>
            </w:r>
          </w:p>
        </w:tc>
        <w:tc>
          <w:tcPr>
            <w:tcW w:w="385" w:type="dxa"/>
            <w:tcBorders>
              <w:top w:val="nil"/>
              <w:left w:val="nil"/>
              <w:bottom w:val="nil"/>
              <w:right w:val="nil"/>
            </w:tcBorders>
          </w:tcPr>
          <w:p>
            <w:pPr/>
          </w:p>
        </w:tc>
        <w:tc>
          <w:tcPr>
            <w:tcW w:w="1354" w:type="dxa"/>
            <w:tcBorders>
              <w:top w:val="nil"/>
              <w:left w:val="nil"/>
              <w:bottom w:val="nil"/>
              <w:right w:val="nil"/>
            </w:tcBorders>
          </w:tcPr>
          <w:p>
            <w:pPr>
              <w:pStyle w:val="TableParagraph"/>
              <w:spacing w:line="249" w:lineRule="exact"/>
              <w:ind w:left="96"/>
              <w:rPr>
                <w:sz w:val="22"/>
              </w:rPr>
            </w:pPr>
            <w:r>
              <w:rPr>
                <w:sz w:val="22"/>
              </w:rPr>
              <w:t>VII</w:t>
            </w:r>
          </w:p>
        </w:tc>
        <w:tc>
          <w:tcPr>
            <w:tcW w:w="2690" w:type="dxa"/>
            <w:tcBorders>
              <w:top w:val="nil"/>
              <w:left w:val="nil"/>
              <w:bottom w:val="nil"/>
              <w:right w:val="nil"/>
            </w:tcBorders>
          </w:tcPr>
          <w:p>
            <w:pPr/>
          </w:p>
        </w:tc>
      </w:tr>
      <w:tr>
        <w:trPr>
          <w:trHeight w:val="3553" w:hRule="exact"/>
        </w:trPr>
        <w:tc>
          <w:tcPr>
            <w:tcW w:w="2222" w:type="dxa"/>
            <w:tcBorders>
              <w:top w:val="nil"/>
              <w:left w:val="nil"/>
              <w:right w:val="nil"/>
            </w:tcBorders>
            <w:shd w:val="clear" w:color="auto" w:fill="C0C0C0"/>
          </w:tcPr>
          <w:p>
            <w:pPr>
              <w:pStyle w:val="TableParagraph"/>
              <w:ind w:left="110" w:right="612"/>
              <w:rPr>
                <w:sz w:val="22"/>
              </w:rPr>
            </w:pPr>
            <w:r>
              <w:rPr>
                <w:sz w:val="22"/>
              </w:rPr>
              <w:t>Acambay Atlacomulco Temascalcingo Jocotitlan Temoaya</w:t>
            </w:r>
          </w:p>
          <w:p>
            <w:pPr>
              <w:pStyle w:val="TableParagraph"/>
              <w:spacing w:before="2"/>
              <w:ind w:left="110" w:right="575"/>
              <w:rPr>
                <w:sz w:val="22"/>
              </w:rPr>
            </w:pPr>
            <w:r>
              <w:rPr>
                <w:sz w:val="22"/>
              </w:rPr>
              <w:t>Villa de Allende Acambay Ixtlahuaca</w:t>
            </w:r>
          </w:p>
          <w:p>
            <w:pPr>
              <w:pStyle w:val="TableParagraph"/>
              <w:spacing w:before="1"/>
              <w:ind w:left="110" w:right="587"/>
              <w:rPr>
                <w:sz w:val="22"/>
              </w:rPr>
            </w:pPr>
            <w:r>
              <w:rPr>
                <w:sz w:val="22"/>
              </w:rPr>
              <w:t>El Oro Temascalcingo Temoaya Jiquipilco Chapa de Mota Timilpan</w:t>
            </w:r>
          </w:p>
        </w:tc>
        <w:tc>
          <w:tcPr>
            <w:tcW w:w="2795" w:type="dxa"/>
            <w:gridSpan w:val="2"/>
            <w:tcBorders>
              <w:top w:val="nil"/>
              <w:left w:val="nil"/>
              <w:right w:val="nil"/>
            </w:tcBorders>
            <w:shd w:val="clear" w:color="auto" w:fill="C0C0C0"/>
          </w:tcPr>
          <w:p>
            <w:pPr>
              <w:pStyle w:val="TableParagraph"/>
              <w:tabs>
                <w:tab w:pos="2429" w:val="left" w:leader="none"/>
              </w:tabs>
              <w:ind w:left="611" w:right="116"/>
              <w:rPr>
                <w:sz w:val="22"/>
              </w:rPr>
            </w:pPr>
            <w:r>
              <w:rPr>
                <w:sz w:val="22"/>
              </w:rPr>
              <w:t>Coatepec</w:t>
              <w:tab/>
              <w:t>de Harinas Zumpahuacán Almoloya</w:t>
              <w:tab/>
              <w:t>de Alquisiras</w:t>
            </w:r>
          </w:p>
          <w:p>
            <w:pPr>
              <w:pStyle w:val="TableParagraph"/>
              <w:spacing w:before="2"/>
              <w:ind w:left="611" w:right="541"/>
              <w:rPr>
                <w:sz w:val="22"/>
              </w:rPr>
            </w:pPr>
            <w:r>
              <w:rPr>
                <w:sz w:val="22"/>
              </w:rPr>
              <w:t>Sultepec Tonatico Ocuilan </w:t>
            </w:r>
            <w:r>
              <w:rPr>
                <w:b/>
                <w:sz w:val="22"/>
              </w:rPr>
              <w:t>Tenancingo </w:t>
            </w:r>
            <w:r>
              <w:rPr>
                <w:sz w:val="22"/>
              </w:rPr>
              <w:t>Sultepec  Ixtapan de </w:t>
            </w:r>
            <w:r>
              <w:rPr>
                <w:spacing w:val="-3"/>
                <w:sz w:val="22"/>
              </w:rPr>
              <w:t>la </w:t>
            </w:r>
            <w:r>
              <w:rPr>
                <w:sz w:val="22"/>
              </w:rPr>
              <w:t>Sal Malinalco</w:t>
            </w:r>
          </w:p>
        </w:tc>
        <w:tc>
          <w:tcPr>
            <w:tcW w:w="4044" w:type="dxa"/>
            <w:gridSpan w:val="2"/>
            <w:tcBorders>
              <w:top w:val="nil"/>
              <w:left w:val="nil"/>
              <w:right w:val="nil"/>
            </w:tcBorders>
            <w:shd w:val="clear" w:color="auto" w:fill="C0C0C0"/>
          </w:tcPr>
          <w:p>
            <w:pPr>
              <w:pStyle w:val="TableParagraph"/>
              <w:ind w:left="96" w:right="2423"/>
              <w:rPr>
                <w:sz w:val="22"/>
              </w:rPr>
            </w:pPr>
            <w:r>
              <w:rPr>
                <w:sz w:val="22"/>
              </w:rPr>
              <w:t>Valle de Bravo Santo Tomas Ixtapan del Oro Aculco Jilotepec</w:t>
            </w:r>
          </w:p>
          <w:p>
            <w:pPr>
              <w:pStyle w:val="TableParagraph"/>
              <w:spacing w:line="250" w:lineRule="exact" w:before="8"/>
              <w:ind w:left="96" w:right="2374"/>
              <w:rPr>
                <w:sz w:val="22"/>
              </w:rPr>
            </w:pPr>
            <w:r>
              <w:rPr>
                <w:sz w:val="22"/>
              </w:rPr>
              <w:t>Villa del Carbón Polotitlan</w:t>
            </w:r>
          </w:p>
        </w:tc>
      </w:tr>
    </w:tbl>
    <w:p>
      <w:pPr>
        <w:spacing w:before="52"/>
        <w:ind w:left="1702" w:right="269" w:firstLine="0"/>
        <w:jc w:val="left"/>
        <w:rPr>
          <w:sz w:val="20"/>
        </w:rPr>
      </w:pPr>
      <w:r>
        <w:rPr>
          <w:sz w:val="20"/>
        </w:rPr>
        <w:t>Fuente: Elaboración propia.</w:t>
      </w:r>
    </w:p>
    <w:p>
      <w:pPr>
        <w:spacing w:after="0"/>
        <w:jc w:val="left"/>
        <w:rPr>
          <w:sz w:val="20"/>
        </w:rPr>
        <w:sectPr>
          <w:footerReference w:type="default" r:id="rId17"/>
          <w:pgSz w:w="12240" w:h="15840"/>
          <w:pgMar w:footer="1382" w:header="0" w:top="1500" w:bottom="1580" w:left="1640" w:right="1280"/>
        </w:sectPr>
      </w:pPr>
    </w:p>
    <w:p>
      <w:pPr>
        <w:pStyle w:val="BodyText"/>
        <w:spacing w:before="11"/>
        <w:rPr>
          <w:sz w:val="25"/>
        </w:rPr>
      </w:pPr>
    </w:p>
    <w:p>
      <w:pPr>
        <w:pStyle w:val="BodyText"/>
        <w:spacing w:line="355" w:lineRule="auto" w:before="69"/>
        <w:ind w:left="4064" w:right="596" w:hanging="3472"/>
      </w:pPr>
      <w:r>
        <w:rPr/>
        <w:t>Tabla 5. Región sur del Estado de México de acuerdo con los Componentes Principales</w:t>
      </w:r>
    </w:p>
    <w:p>
      <w:pPr>
        <w:pStyle w:val="BodyText"/>
        <w:spacing w:before="11"/>
        <w:rPr>
          <w:sz w:val="6"/>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590"/>
        <w:gridCol w:w="5471"/>
      </w:tblGrid>
      <w:tr>
        <w:trPr>
          <w:trHeight w:val="691" w:hRule="exact"/>
        </w:trPr>
        <w:tc>
          <w:tcPr>
            <w:tcW w:w="3590" w:type="dxa"/>
            <w:tcBorders>
              <w:left w:val="nil"/>
              <w:right w:val="nil"/>
            </w:tcBorders>
          </w:tcPr>
          <w:p>
            <w:pPr>
              <w:pStyle w:val="TableParagraph"/>
              <w:spacing w:before="48"/>
              <w:ind w:left="110" w:right="1032"/>
              <w:rPr>
                <w:b/>
                <w:sz w:val="24"/>
              </w:rPr>
            </w:pPr>
            <w:r>
              <w:rPr>
                <w:b/>
                <w:sz w:val="24"/>
              </w:rPr>
              <w:t>VI</w:t>
            </w:r>
          </w:p>
        </w:tc>
        <w:tc>
          <w:tcPr>
            <w:tcW w:w="5471" w:type="dxa"/>
            <w:tcBorders>
              <w:left w:val="nil"/>
              <w:right w:val="nil"/>
            </w:tcBorders>
          </w:tcPr>
          <w:p>
            <w:pPr>
              <w:pStyle w:val="TableParagraph"/>
              <w:tabs>
                <w:tab w:pos="3197" w:val="left" w:leader="none"/>
                <w:tab w:pos="4243" w:val="left" w:leader="none"/>
              </w:tabs>
              <w:spacing w:line="274" w:lineRule="exact" w:before="54"/>
              <w:ind w:left="1048" w:right="110"/>
              <w:rPr>
                <w:b/>
                <w:sz w:val="24"/>
              </w:rPr>
            </w:pPr>
            <w:r>
              <w:rPr>
                <w:b/>
                <w:sz w:val="24"/>
              </w:rPr>
              <w:t>Localidades</w:t>
              <w:tab/>
              <w:t>de</w:t>
              <w:tab/>
            </w:r>
            <w:r>
              <w:rPr>
                <w:b/>
                <w:spacing w:val="-1"/>
                <w:sz w:val="24"/>
              </w:rPr>
              <w:t>Municipio </w:t>
            </w:r>
            <w:r>
              <w:rPr>
                <w:b/>
                <w:sz w:val="24"/>
              </w:rPr>
              <w:t>seleccionado:</w:t>
            </w:r>
            <w:r>
              <w:rPr>
                <w:b/>
                <w:spacing w:val="-14"/>
                <w:sz w:val="24"/>
              </w:rPr>
              <w:t> </w:t>
            </w:r>
            <w:r>
              <w:rPr>
                <w:b/>
                <w:sz w:val="24"/>
              </w:rPr>
              <w:t>Tenancingo</w:t>
            </w:r>
          </w:p>
        </w:tc>
      </w:tr>
      <w:tr>
        <w:trPr>
          <w:trHeight w:val="3611" w:hRule="exact"/>
        </w:trPr>
        <w:tc>
          <w:tcPr>
            <w:tcW w:w="3590" w:type="dxa"/>
            <w:tcBorders>
              <w:left w:val="nil"/>
              <w:right w:val="nil"/>
            </w:tcBorders>
            <w:shd w:val="clear" w:color="auto" w:fill="C0C0C0"/>
          </w:tcPr>
          <w:p>
            <w:pPr>
              <w:pStyle w:val="TableParagraph"/>
              <w:ind w:left="110" w:right="1032"/>
              <w:rPr>
                <w:sz w:val="24"/>
              </w:rPr>
            </w:pPr>
            <w:r>
              <w:rPr>
                <w:sz w:val="24"/>
              </w:rPr>
              <w:t>Coatepec de Harinas Zumpahuacán Almoloya de Alquisiras Sultepec</w:t>
            </w:r>
          </w:p>
          <w:p>
            <w:pPr>
              <w:pStyle w:val="TableParagraph"/>
              <w:ind w:left="110" w:right="1692"/>
              <w:rPr>
                <w:sz w:val="24"/>
              </w:rPr>
            </w:pPr>
            <w:r>
              <w:rPr>
                <w:sz w:val="24"/>
              </w:rPr>
              <w:t>Tonatico Ocuilan Tenancingo Sultepec  Ixtapan de la</w:t>
            </w:r>
            <w:r>
              <w:rPr>
                <w:spacing w:val="-3"/>
                <w:sz w:val="24"/>
              </w:rPr>
              <w:t> </w:t>
            </w:r>
            <w:r>
              <w:rPr>
                <w:spacing w:val="-2"/>
                <w:sz w:val="24"/>
              </w:rPr>
              <w:t>Sal</w:t>
            </w:r>
          </w:p>
          <w:p>
            <w:pPr>
              <w:pStyle w:val="TableParagraph"/>
              <w:spacing w:before="60"/>
              <w:ind w:left="110" w:right="1032"/>
              <w:rPr>
                <w:sz w:val="24"/>
              </w:rPr>
            </w:pPr>
            <w:r>
              <w:rPr>
                <w:sz w:val="24"/>
              </w:rPr>
              <w:t>Malinalco</w:t>
            </w:r>
          </w:p>
        </w:tc>
        <w:tc>
          <w:tcPr>
            <w:tcW w:w="5471" w:type="dxa"/>
            <w:tcBorders>
              <w:left w:val="nil"/>
              <w:right w:val="nil"/>
            </w:tcBorders>
            <w:shd w:val="clear" w:color="auto" w:fill="C0C0C0"/>
          </w:tcPr>
          <w:p>
            <w:pPr>
              <w:pStyle w:val="TableParagraph"/>
              <w:spacing w:line="272" w:lineRule="exact"/>
              <w:ind w:left="1048" w:right="110"/>
              <w:rPr>
                <w:sz w:val="24"/>
              </w:rPr>
            </w:pPr>
            <w:r>
              <w:rPr>
                <w:sz w:val="24"/>
              </w:rPr>
              <w:t>Acatzingo</w:t>
            </w:r>
          </w:p>
          <w:p>
            <w:pPr>
              <w:pStyle w:val="TableParagraph"/>
              <w:spacing w:before="2"/>
              <w:ind w:left="1048" w:right="2175"/>
              <w:rPr>
                <w:sz w:val="24"/>
              </w:rPr>
            </w:pPr>
            <w:r>
              <w:rPr>
                <w:sz w:val="24"/>
              </w:rPr>
              <w:t>Ejido de Teneria Ejido de Ixpuchiapan El Carmen Ixpuchiapan</w:t>
            </w:r>
          </w:p>
          <w:p>
            <w:pPr>
              <w:pStyle w:val="TableParagraph"/>
              <w:spacing w:before="2"/>
              <w:ind w:left="1048" w:right="2882"/>
              <w:rPr>
                <w:sz w:val="24"/>
              </w:rPr>
            </w:pPr>
            <w:r>
              <w:rPr>
                <w:sz w:val="24"/>
              </w:rPr>
              <w:t>La Compuerta La Lagunilla Quetzalapa</w:t>
            </w:r>
          </w:p>
          <w:p>
            <w:pPr>
              <w:pStyle w:val="TableParagraph"/>
              <w:ind w:left="1048" w:right="1736"/>
              <w:rPr>
                <w:sz w:val="24"/>
              </w:rPr>
            </w:pPr>
            <w:r>
              <w:rPr>
                <w:sz w:val="24"/>
              </w:rPr>
              <w:t>Rinconada de Atotonilco San José Chalmita Santa Teresita Acatzingo Terrenate</w:t>
            </w:r>
          </w:p>
          <w:p>
            <w:pPr>
              <w:pStyle w:val="TableParagraph"/>
              <w:spacing w:line="274" w:lineRule="exact"/>
              <w:ind w:left="1048" w:right="110"/>
              <w:rPr>
                <w:sz w:val="24"/>
              </w:rPr>
            </w:pPr>
            <w:r>
              <w:rPr>
                <w:sz w:val="24"/>
              </w:rPr>
              <w:t>Tepetzingo</w:t>
            </w:r>
          </w:p>
        </w:tc>
      </w:tr>
    </w:tbl>
    <w:p>
      <w:pPr>
        <w:spacing w:before="52"/>
        <w:ind w:left="75" w:right="90" w:firstLine="0"/>
        <w:jc w:val="center"/>
        <w:rPr>
          <w:sz w:val="20"/>
        </w:rPr>
      </w:pPr>
      <w:r>
        <w:rPr>
          <w:sz w:val="20"/>
        </w:rPr>
        <w:t>Fuente: Elaboración propia.</w:t>
      </w:r>
    </w:p>
    <w:p>
      <w:pPr>
        <w:pStyle w:val="BodyText"/>
        <w:rPr>
          <w:sz w:val="20"/>
        </w:rPr>
      </w:pPr>
    </w:p>
    <w:p>
      <w:pPr>
        <w:pStyle w:val="BodyText"/>
        <w:rPr>
          <w:sz w:val="20"/>
        </w:rPr>
      </w:pPr>
    </w:p>
    <w:p>
      <w:pPr>
        <w:pStyle w:val="BodyText"/>
        <w:spacing w:before="5"/>
        <w:rPr>
          <w:sz w:val="16"/>
        </w:rPr>
      </w:pPr>
    </w:p>
    <w:p>
      <w:pPr>
        <w:pStyle w:val="BodyText"/>
        <w:spacing w:line="360" w:lineRule="auto"/>
        <w:ind w:left="232" w:right="251"/>
        <w:jc w:val="both"/>
      </w:pPr>
      <w:r>
        <w:rPr/>
        <w:t>Las regiones I y V representan los municipios de menor o nula intensidad migratoria, dadas las características que presentan las localidades pertenecientes a los municipios como: alto índice de desarrollo humano, altos niveles de escolaridad, mayor acceso a servicios, baja marginación y son localidades en su mayoría urbanas (véase cuadro 3).</w:t>
      </w:r>
    </w:p>
    <w:p>
      <w:pPr>
        <w:pStyle w:val="BodyText"/>
      </w:pPr>
    </w:p>
    <w:p>
      <w:pPr>
        <w:pStyle w:val="BodyText"/>
        <w:spacing w:line="360" w:lineRule="auto" w:before="144"/>
        <w:ind w:left="232" w:right="254"/>
        <w:jc w:val="both"/>
      </w:pPr>
      <w:r>
        <w:rPr/>
        <w:t>La región II, III, IV y VII representan municipios de mediana intensidad migratoria, las localidades de estos municipios comparten características como: Índice de Desarrollo Humano medio y alto, altos niveles de escolaridad, sus localidades son urbano-rural, la mayoría de localidades presentan bajos niveles de marginación (véase cuadro 3).</w:t>
      </w:r>
    </w:p>
    <w:p>
      <w:pPr>
        <w:pStyle w:val="BodyText"/>
      </w:pPr>
    </w:p>
    <w:p>
      <w:pPr>
        <w:pStyle w:val="BodyText"/>
        <w:spacing w:line="362" w:lineRule="auto" w:before="197"/>
        <w:ind w:left="232" w:right="255"/>
        <w:jc w:val="both"/>
      </w:pPr>
      <w:r>
        <w:rPr/>
        <w:t>De la región VI que comprende los municipios que </w:t>
      </w:r>
      <w:r>
        <w:rPr>
          <w:spacing w:val="-2"/>
        </w:rPr>
        <w:t>forman </w:t>
      </w:r>
      <w:r>
        <w:rPr/>
        <w:t>parte de la región sur del</w:t>
      </w:r>
      <w:r>
        <w:rPr>
          <w:spacing w:val="26"/>
        </w:rPr>
        <w:t> </w:t>
      </w:r>
      <w:r>
        <w:rPr/>
        <w:t>Estado</w:t>
      </w:r>
      <w:r>
        <w:rPr>
          <w:spacing w:val="23"/>
        </w:rPr>
        <w:t> </w:t>
      </w:r>
      <w:r>
        <w:rPr/>
        <w:t>de</w:t>
      </w:r>
      <w:r>
        <w:rPr>
          <w:spacing w:val="23"/>
        </w:rPr>
        <w:t> </w:t>
      </w:r>
      <w:r>
        <w:rPr/>
        <w:t>México,</w:t>
      </w:r>
      <w:r>
        <w:rPr>
          <w:spacing w:val="22"/>
        </w:rPr>
        <w:t> </w:t>
      </w:r>
      <w:r>
        <w:rPr/>
        <w:t>son</w:t>
      </w:r>
      <w:r>
        <w:rPr>
          <w:spacing w:val="18"/>
        </w:rPr>
        <w:t> </w:t>
      </w:r>
      <w:r>
        <w:rPr/>
        <w:t>los</w:t>
      </w:r>
      <w:r>
        <w:rPr>
          <w:spacing w:val="22"/>
        </w:rPr>
        <w:t> </w:t>
      </w:r>
      <w:r>
        <w:rPr/>
        <w:t>que</w:t>
      </w:r>
      <w:r>
        <w:rPr>
          <w:spacing w:val="18"/>
        </w:rPr>
        <w:t> </w:t>
      </w:r>
      <w:r>
        <w:rPr/>
        <w:t>presentan</w:t>
      </w:r>
      <w:r>
        <w:rPr>
          <w:spacing w:val="23"/>
        </w:rPr>
        <w:t> </w:t>
      </w:r>
      <w:r>
        <w:rPr/>
        <w:t>los</w:t>
      </w:r>
      <w:r>
        <w:rPr>
          <w:spacing w:val="22"/>
        </w:rPr>
        <w:t> </w:t>
      </w:r>
      <w:r>
        <w:rPr>
          <w:spacing w:val="-3"/>
        </w:rPr>
        <w:t>más</w:t>
      </w:r>
      <w:r>
        <w:rPr>
          <w:spacing w:val="22"/>
        </w:rPr>
        <w:t> </w:t>
      </w:r>
      <w:r>
        <w:rPr/>
        <w:t>altos</w:t>
      </w:r>
      <w:r>
        <w:rPr>
          <w:spacing w:val="22"/>
        </w:rPr>
        <w:t> </w:t>
      </w:r>
      <w:r>
        <w:rPr/>
        <w:t>índices</w:t>
      </w:r>
      <w:r>
        <w:rPr>
          <w:spacing w:val="22"/>
        </w:rPr>
        <w:t> </w:t>
      </w:r>
      <w:r>
        <w:rPr/>
        <w:t>de</w:t>
      </w:r>
      <w:r>
        <w:rPr>
          <w:spacing w:val="23"/>
        </w:rPr>
        <w:t> </w:t>
      </w:r>
      <w:r>
        <w:rPr/>
        <w:t>migración</w:t>
      </w:r>
    </w:p>
    <w:p>
      <w:pPr>
        <w:spacing w:after="0" w:line="362" w:lineRule="auto"/>
        <w:jc w:val="both"/>
        <w:sectPr>
          <w:footerReference w:type="default" r:id="rId18"/>
          <w:pgSz w:w="12240" w:h="15840"/>
          <w:pgMar w:footer="1382" w:header="0" w:top="1500" w:bottom="1580" w:left="1640" w:right="1280"/>
          <w:pgNumType w:start="51"/>
        </w:sectPr>
      </w:pPr>
    </w:p>
    <w:p>
      <w:pPr>
        <w:pStyle w:val="BodyText"/>
        <w:spacing w:before="11"/>
        <w:rPr>
          <w:sz w:val="25"/>
        </w:rPr>
      </w:pPr>
    </w:p>
    <w:p>
      <w:pPr>
        <w:pStyle w:val="BodyText"/>
        <w:spacing w:line="360" w:lineRule="auto" w:before="69"/>
        <w:ind w:left="152" w:right="108"/>
        <w:jc w:val="both"/>
      </w:pPr>
      <w:r>
        <w:rPr/>
        <w:t>internacional, además dadas las características y actividades económicas desarrolladas la región es considerada como receptora de migrantes de otros municipios aledaños o de otros estados de la República Mexicana. Las localidades pertenecientes al municipio de Tenancingo comparten características como: índice de desarrollo humano medio, la mayoría de las localidades son consideradas rurales y de medianos niveles de marginación (véase cuadro 4).</w:t>
      </w:r>
    </w:p>
    <w:p>
      <w:pPr>
        <w:pStyle w:val="BodyText"/>
      </w:pPr>
    </w:p>
    <w:p>
      <w:pPr>
        <w:pStyle w:val="BodyText"/>
        <w:rPr>
          <w:sz w:val="23"/>
        </w:rPr>
      </w:pPr>
    </w:p>
    <w:p>
      <w:pPr>
        <w:pStyle w:val="BodyText"/>
        <w:spacing w:line="360" w:lineRule="auto"/>
        <w:ind w:left="152" w:right="101"/>
        <w:jc w:val="both"/>
      </w:pPr>
      <w:r>
        <w:rPr/>
        <w:t>De acuerdo con los resultados </w:t>
      </w:r>
      <w:r>
        <w:rPr>
          <w:spacing w:val="-3"/>
        </w:rPr>
        <w:t>se </w:t>
      </w:r>
      <w:r>
        <w:rPr/>
        <w:t>observó que las localidades </w:t>
      </w:r>
      <w:r>
        <w:rPr>
          <w:spacing w:val="-3"/>
        </w:rPr>
        <w:t>más </w:t>
      </w:r>
      <w:r>
        <w:rPr/>
        <w:t>marginadas no son las que presentan </w:t>
      </w:r>
      <w:r>
        <w:rPr>
          <w:spacing w:val="-3"/>
        </w:rPr>
        <w:t>más </w:t>
      </w:r>
      <w:r>
        <w:rPr/>
        <w:t>altos índices de migración, al contrario, las localidades en las cuales exista mayor tendencia a la migración son aquellas que presentan  un índice de desarrollo humano medio- alto, mejores niveles económicos y mayor acceso a servicios. Con base en estos rasgos, es posible observar que las teorías que explican el proceso migratorio como un fenómeno cuyo origen principal está en la situación económica de la población no es contundente, dado que los diferenciales de ingreso (salario) o de condiciones de vida no empujan a migrar: la población con la menor situación de bienestar no es la que emigra más. Por tanto, no se cumple la característica de municipios o localidades con bajo desarrollo conduzca a altos niveles de</w:t>
      </w:r>
      <w:r>
        <w:rPr>
          <w:spacing w:val="-13"/>
        </w:rPr>
        <w:t> </w:t>
      </w:r>
      <w:r>
        <w:rPr/>
        <w:t>migración.</w:t>
      </w:r>
    </w:p>
    <w:p>
      <w:pPr>
        <w:pStyle w:val="BodyText"/>
      </w:pPr>
    </w:p>
    <w:p>
      <w:pPr>
        <w:pStyle w:val="BodyText"/>
        <w:spacing w:before="11"/>
        <w:rPr>
          <w:sz w:val="22"/>
        </w:rPr>
      </w:pPr>
    </w:p>
    <w:p>
      <w:pPr>
        <w:pStyle w:val="BodyText"/>
        <w:spacing w:line="360" w:lineRule="auto"/>
        <w:ind w:left="152" w:right="114"/>
        <w:jc w:val="both"/>
      </w:pPr>
      <w:r>
        <w:rPr/>
        <w:t>El aspecto económico no es el motivo </w:t>
      </w:r>
      <w:r>
        <w:rPr>
          <w:spacing w:val="-3"/>
        </w:rPr>
        <w:t>más </w:t>
      </w:r>
      <w:r>
        <w:rPr/>
        <w:t>importante por el cual la gente sale de sus lugares de origen, sino </w:t>
      </w:r>
      <w:r>
        <w:rPr>
          <w:spacing w:val="-3"/>
        </w:rPr>
        <w:t>más </w:t>
      </w:r>
      <w:r>
        <w:rPr/>
        <w:t>bien este fenómeno responde </w:t>
      </w:r>
      <w:r>
        <w:rPr>
          <w:spacing w:val="-3"/>
        </w:rPr>
        <w:t>más </w:t>
      </w:r>
      <w:r>
        <w:rPr/>
        <w:t>a cuestiones de tipo social o cultural, que en realidad es posible considerar como una mezcla  de factores tanto económicos y no</w:t>
      </w:r>
      <w:r>
        <w:rPr>
          <w:spacing w:val="-23"/>
        </w:rPr>
        <w:t> </w:t>
      </w:r>
      <w:r>
        <w:rPr/>
        <w:t>económicos.</w:t>
      </w:r>
    </w:p>
    <w:p>
      <w:pPr>
        <w:pStyle w:val="BodyText"/>
      </w:pPr>
    </w:p>
    <w:p>
      <w:pPr>
        <w:pStyle w:val="Heading2"/>
        <w:numPr>
          <w:ilvl w:val="1"/>
          <w:numId w:val="15"/>
        </w:numPr>
        <w:tabs>
          <w:tab w:pos="557" w:val="left" w:leader="none"/>
        </w:tabs>
        <w:spacing w:line="240" w:lineRule="auto" w:before="139" w:after="0"/>
        <w:ind w:left="556" w:right="0" w:hanging="404"/>
        <w:jc w:val="both"/>
      </w:pPr>
      <w:bookmarkStart w:name="_bookmark21" w:id="37"/>
      <w:bookmarkEnd w:id="37"/>
      <w:r>
        <w:rPr>
          <w:b w:val="0"/>
        </w:rPr>
      </w:r>
      <w:bookmarkStart w:name="_bookmark21" w:id="38"/>
      <w:bookmarkEnd w:id="38"/>
      <w:r>
        <w:rPr/>
        <w:t>C</w:t>
      </w:r>
      <w:r>
        <w:rPr/>
        <w:t>onclusiones</w:t>
      </w:r>
    </w:p>
    <w:p>
      <w:pPr>
        <w:pStyle w:val="BodyText"/>
        <w:rPr>
          <w:b/>
        </w:rPr>
      </w:pPr>
    </w:p>
    <w:p>
      <w:pPr>
        <w:pStyle w:val="BodyText"/>
        <w:spacing w:before="2"/>
        <w:rPr>
          <w:b/>
        </w:rPr>
      </w:pPr>
    </w:p>
    <w:p>
      <w:pPr>
        <w:pStyle w:val="BodyText"/>
        <w:spacing w:line="360" w:lineRule="auto" w:before="1"/>
        <w:ind w:left="152" w:right="112"/>
        <w:jc w:val="both"/>
      </w:pPr>
      <w:r>
        <w:rPr/>
        <w:t>La migración de indocumentados mexicanos a Estados Unidos es un fenómeno que posee connotaciones históricas, culturales, sociales, económicas y    políticas.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5"/>
        <w:jc w:val="both"/>
      </w:pPr>
      <w:bookmarkStart w:name="_bookmark22" w:id="39"/>
      <w:bookmarkEnd w:id="39"/>
      <w:r>
        <w:rPr/>
      </w:r>
      <w:r>
        <w:rPr/>
        <w:t>Es un tema complejo y controvertido, cuyas causas incluyen tanto a México como a Estados Unidos ya que existe un mercado internacional de trabajo en el que Estados Unidos posee la demanda y México la oferta, sin embargo, este mercado laboral se ha caracterizado por la asimetría aún existente entre estos dos países y por una visión unilateral del problema migratorio en el que Estados Unidos tiene el poder de decisión en materia de política migratoria</w:t>
      </w:r>
      <w:r>
        <w:rPr>
          <w:spacing w:val="-26"/>
        </w:rPr>
        <w:t> </w:t>
      </w:r>
      <w:r>
        <w:rPr/>
        <w:t>bilateral.</w:t>
      </w:r>
    </w:p>
    <w:p>
      <w:pPr>
        <w:pStyle w:val="BodyText"/>
        <w:spacing w:line="360" w:lineRule="auto" w:before="209"/>
        <w:ind w:left="152" w:right="111"/>
        <w:jc w:val="both"/>
      </w:pPr>
      <w:r>
        <w:rPr/>
        <w:t>El aspecto económico posee un papel fundamental de la migración de México a Estados Unidos, sin embargo el fenómeno migratorio no se encuentra definido únicamente por ese factor ya que si bien la mayor parte de los emigrantes van en búsqueda de mejores oportunidades laborales y salariales, también emigran por cuestiones tradicionales, culturales y familiares.</w:t>
      </w:r>
    </w:p>
    <w:p>
      <w:pPr>
        <w:spacing w:after="0" w:line="360" w:lineRule="auto"/>
        <w:jc w:val="both"/>
        <w:sectPr>
          <w:pgSz w:w="12240" w:h="15840"/>
          <w:pgMar w:header="0" w:footer="1382" w:top="1500" w:bottom="1580" w:left="1720" w:right="1420"/>
        </w:sectPr>
      </w:pPr>
    </w:p>
    <w:p>
      <w:pPr>
        <w:pStyle w:val="BodyText"/>
        <w:spacing w:before="1"/>
        <w:rPr>
          <w:sz w:val="25"/>
        </w:rPr>
      </w:pPr>
    </w:p>
    <w:p>
      <w:pPr>
        <w:pStyle w:val="Heading2"/>
        <w:numPr>
          <w:ilvl w:val="1"/>
          <w:numId w:val="1"/>
        </w:numPr>
        <w:tabs>
          <w:tab w:pos="787" w:val="left" w:leader="none"/>
        </w:tabs>
        <w:spacing w:line="280" w:lineRule="auto" w:before="70" w:after="0"/>
        <w:ind w:left="565" w:right="253" w:hanging="268"/>
        <w:jc w:val="left"/>
      </w:pPr>
      <w:r>
        <w:rPr/>
        <w:t>TENDENCIAS EN </w:t>
      </w:r>
      <w:r>
        <w:rPr>
          <w:spacing w:val="3"/>
        </w:rPr>
        <w:t>LA </w:t>
      </w:r>
      <w:r>
        <w:rPr/>
        <w:t>MIGRACIÓN TRASNACIONAL</w:t>
      </w:r>
      <w:r>
        <w:rPr>
          <w:spacing w:val="-22"/>
        </w:rPr>
        <w:t> </w:t>
      </w:r>
      <w:r>
        <w:rPr/>
        <w:t>MÉXICO-ESTADOS UNIDOS: ANÁLISIS DE LOCALIDADES EN, TENANCINGO ESTADO</w:t>
      </w:r>
      <w:r>
        <w:rPr>
          <w:spacing w:val="-24"/>
        </w:rPr>
        <w:t> </w:t>
      </w:r>
      <w:r>
        <w:rPr/>
        <w:t>DE</w:t>
      </w:r>
    </w:p>
    <w:p>
      <w:pPr>
        <w:spacing w:line="272" w:lineRule="exact" w:before="0"/>
        <w:ind w:left="3361" w:right="3321" w:firstLine="0"/>
        <w:jc w:val="center"/>
        <w:rPr>
          <w:b/>
          <w:sz w:val="24"/>
        </w:rPr>
      </w:pPr>
      <w:r>
        <w:rPr>
          <w:b/>
          <w:sz w:val="24"/>
        </w:rPr>
        <w:t>MÉXICO</w:t>
      </w:r>
    </w:p>
    <w:p>
      <w:pPr>
        <w:pStyle w:val="BodyText"/>
        <w:rPr>
          <w:b/>
        </w:rPr>
      </w:pPr>
    </w:p>
    <w:p>
      <w:pPr>
        <w:pStyle w:val="Heading2"/>
        <w:spacing w:before="177"/>
        <w:ind w:left="152"/>
        <w:jc w:val="both"/>
      </w:pPr>
      <w:bookmarkStart w:name="_bookmark23" w:id="40"/>
      <w:bookmarkEnd w:id="40"/>
      <w:r>
        <w:rPr>
          <w:b w:val="0"/>
        </w:rPr>
      </w:r>
      <w:r>
        <w:rPr/>
        <w:t>8.1. Introducción</w:t>
      </w:r>
    </w:p>
    <w:p>
      <w:pPr>
        <w:pStyle w:val="BodyText"/>
        <w:rPr>
          <w:b/>
        </w:rPr>
      </w:pPr>
    </w:p>
    <w:p>
      <w:pPr>
        <w:pStyle w:val="BodyText"/>
        <w:spacing w:before="7"/>
        <w:rPr>
          <w:b/>
          <w:sz w:val="21"/>
        </w:rPr>
      </w:pPr>
    </w:p>
    <w:p>
      <w:pPr>
        <w:pStyle w:val="BodyText"/>
        <w:spacing w:line="360" w:lineRule="auto"/>
        <w:ind w:left="152" w:right="110"/>
        <w:jc w:val="both"/>
      </w:pPr>
      <w:r>
        <w:rPr/>
        <w:t>La migración trasnacional</w:t>
      </w:r>
      <w:r>
        <w:rPr>
          <w:position w:val="11"/>
          <w:sz w:val="16"/>
        </w:rPr>
        <w:t>2 </w:t>
      </w:r>
      <w:r>
        <w:rPr/>
        <w:t>es uno de los grandes fenómenos globales de nuestros días, se observa que en diferentes regiones del mundo y en el devenir de la historia se han dado de manera constante. Actualmente es cada vez mayor la movilidad de personas que cruzan limites internacionales y se desplazan a países que incluso pueden llegar a ser lejanos.</w:t>
      </w:r>
    </w:p>
    <w:p>
      <w:pPr>
        <w:pStyle w:val="BodyText"/>
      </w:pPr>
    </w:p>
    <w:p>
      <w:pPr>
        <w:pStyle w:val="BodyText"/>
        <w:spacing w:line="360" w:lineRule="auto" w:before="139"/>
        <w:ind w:left="152" w:right="114"/>
        <w:jc w:val="both"/>
      </w:pPr>
      <w:r>
        <w:rPr/>
        <w:t>La migración trasnacional es un fenómeno complejo, asociado a los movimientos de mercancías de capitales que </w:t>
      </w:r>
      <w:r>
        <w:rPr>
          <w:spacing w:val="-3"/>
        </w:rPr>
        <w:t>se </w:t>
      </w:r>
      <w:r>
        <w:rPr/>
        <w:t>ha acelerado a partir del proceso de  interacción global entre las naciones. Sus flujos se incrementaron a mediados de los años ochenta ocupando un rango de primera importancia en los ámbitos gubernamental y académico. En América del Norte se presenta un importante flujo migratorio del sur al norte (Becerril,</w:t>
      </w:r>
      <w:r>
        <w:rPr>
          <w:spacing w:val="-14"/>
        </w:rPr>
        <w:t> </w:t>
      </w:r>
      <w:r>
        <w:rPr/>
        <w:t>1993).</w:t>
      </w:r>
    </w:p>
    <w:p>
      <w:pPr>
        <w:pStyle w:val="BodyText"/>
      </w:pPr>
    </w:p>
    <w:p>
      <w:pPr>
        <w:pStyle w:val="BodyText"/>
        <w:spacing w:line="360" w:lineRule="auto" w:before="140"/>
        <w:ind w:left="152" w:right="101"/>
        <w:jc w:val="both"/>
      </w:pPr>
      <w:r>
        <w:rPr/>
        <w:pict>
          <v:line style="position:absolute;mso-position-horizontal-relative:page;mso-position-vertical-relative:paragraph;z-index:1408;mso-wrap-distance-left:0;mso-wrap-distance-right:0" from="93.648003pt,117.285873pt" to="237.698003pt,117.285873pt" stroked="true" strokeweight=".71997pt" strokecolor="#000000">
            <w10:wrap type="topAndBottom"/>
          </v:line>
        </w:pict>
      </w:r>
      <w:r>
        <w:rPr/>
        <w:t>Las características actuales del patrón migratorio trasnacional México-Estados Unidos son resultado de un cambio radical, </w:t>
      </w:r>
      <w:r>
        <w:rPr>
          <w:spacing w:val="-3"/>
        </w:rPr>
        <w:t>se </w:t>
      </w:r>
      <w:r>
        <w:rPr/>
        <w:t>caracteriza por una tendencia hacia una estancia definitiva, una creciente población de origen urbano adicional a la rural, la incorporación de las mujeres en los flujos migratorios la ampliación en los rangos  de  edad  incluyendo  infantes,  adolescentes,  ancianos  y  adultos.  </w:t>
      </w:r>
      <w:r>
        <w:rPr>
          <w:spacing w:val="51"/>
        </w:rPr>
        <w:t> </w:t>
      </w:r>
      <w:r>
        <w:rPr/>
        <w:t>Ante</w:t>
      </w:r>
    </w:p>
    <w:p>
      <w:pPr>
        <w:pStyle w:val="BodyText"/>
        <w:spacing w:before="33"/>
        <w:ind w:left="152" w:right="111"/>
        <w:jc w:val="both"/>
        <w:rPr>
          <w:rFonts w:ascii="Times New Roman" w:hAnsi="Times New Roman"/>
        </w:rPr>
      </w:pPr>
      <w:r>
        <w:rPr>
          <w:rFonts w:ascii="Times New Roman" w:hAnsi="Times New Roman"/>
          <w:position w:val="11"/>
          <w:sz w:val="16"/>
        </w:rPr>
        <w:t>2 </w:t>
      </w:r>
      <w:r>
        <w:rPr>
          <w:rFonts w:ascii="Times New Roman" w:hAnsi="Times New Roman"/>
        </w:rPr>
        <w:t>Migración transnacional: toda persona que transgrede las fronteras nacionales y se instala en el extranjero, solo que sus actividades tienen una mayor repercusión en el Estado que lo acoge. En este aspecto entran ciertos elementos como los avances de los transportes, tecnología, que permiten una mayor capacidad de relaciones sociales y formar mayores vínculos con diversos grupos sociales.</w:t>
      </w:r>
    </w:p>
    <w:p>
      <w:pPr>
        <w:pStyle w:val="BodyText"/>
        <w:spacing w:before="2"/>
        <w:ind w:left="152" w:right="138"/>
        <w:rPr>
          <w:rFonts w:ascii="Times New Roman" w:hAnsi="Times New Roman"/>
        </w:rPr>
      </w:pPr>
      <w:r>
        <w:rPr>
          <w:rFonts w:ascii="Times New Roman" w:hAnsi="Times New Roman"/>
        </w:rPr>
        <w:t>Migración internacional: toda persona que atraviesa fronteras nacionales, cambia su lugar de residencia y permanece suficiente tiempo viviendo en un país distinto, independientemente de la nacionalidad que posea.</w:t>
      </w:r>
    </w:p>
    <w:p>
      <w:pPr>
        <w:spacing w:after="0"/>
        <w:rPr>
          <w:rFonts w:ascii="Times New Roman" w:hAnsi="Times New Roman"/>
        </w:rPr>
        <w:sectPr>
          <w:pgSz w:w="12240" w:h="15840"/>
          <w:pgMar w:header="0" w:footer="1382" w:top="1500" w:bottom="1580" w:left="1720" w:right="1420"/>
        </w:sectPr>
      </w:pPr>
    </w:p>
    <w:p>
      <w:pPr>
        <w:pStyle w:val="BodyText"/>
        <w:spacing w:before="11"/>
        <w:rPr>
          <w:rFonts w:ascii="Times New Roman"/>
          <w:sz w:val="25"/>
        </w:rPr>
      </w:pPr>
    </w:p>
    <w:p>
      <w:pPr>
        <w:pStyle w:val="BodyText"/>
        <w:spacing w:line="360" w:lineRule="auto" w:before="69"/>
        <w:ind w:left="152" w:right="112"/>
        <w:jc w:val="both"/>
      </w:pPr>
      <w:r>
        <w:rPr/>
        <w:t>barreras e impedimentos legales para ingresar a los países de destino, así como  la ausencia de tratados poblacionales entre países que regulen la migración internacional, la mayoría de las personas se desplaza de </w:t>
      </w:r>
      <w:r>
        <w:rPr>
          <w:spacing w:val="-3"/>
        </w:rPr>
        <w:t>forma </w:t>
      </w:r>
      <w:r>
        <w:rPr/>
        <w:t>ilegal (Díaz,</w:t>
      </w:r>
      <w:r>
        <w:rPr>
          <w:spacing w:val="-16"/>
        </w:rPr>
        <w:t> </w:t>
      </w:r>
      <w:r>
        <w:rPr/>
        <w:t>2008).</w:t>
      </w:r>
    </w:p>
    <w:p>
      <w:pPr>
        <w:pStyle w:val="BodyText"/>
      </w:pPr>
    </w:p>
    <w:p>
      <w:pPr>
        <w:pStyle w:val="BodyText"/>
        <w:spacing w:line="360" w:lineRule="auto" w:before="144"/>
        <w:ind w:left="152" w:right="103"/>
        <w:jc w:val="both"/>
      </w:pPr>
      <w:r>
        <w:rPr/>
        <w:t>De acuerdo con los datos del Conteo General de Población y Vivienda de 1995 y del Censo de Población del 2000, el Estado de México ocupó el cuarto lugar de todas las entidades federativas en cuanto a la expulsión de población a Estados Unidos y el resto </w:t>
      </w:r>
      <w:r>
        <w:rPr>
          <w:spacing w:val="-3"/>
        </w:rPr>
        <w:t>del </w:t>
      </w:r>
      <w:r>
        <w:rPr/>
        <w:t>mundo. La participación del Estado de México en la  migración a Estados Unidos pasó del lugar 20 en 1970, al cuarto en 2000 (González,</w:t>
      </w:r>
      <w:r>
        <w:rPr>
          <w:spacing w:val="-6"/>
        </w:rPr>
        <w:t> </w:t>
      </w:r>
      <w:r>
        <w:rPr/>
        <w:t>2006).</w:t>
      </w:r>
    </w:p>
    <w:p>
      <w:pPr>
        <w:pStyle w:val="BodyText"/>
      </w:pPr>
    </w:p>
    <w:p>
      <w:pPr>
        <w:pStyle w:val="BodyText"/>
        <w:spacing w:line="360" w:lineRule="auto" w:before="140"/>
        <w:ind w:left="152" w:right="115"/>
        <w:jc w:val="both"/>
      </w:pPr>
      <w:r>
        <w:rPr/>
        <w:t>De los 125 municipios que conforman a la entidad mexiquense, aquellos que expulsan en mayor cuantía fuerza de trabajo hacia los Estados Unidos se encuentran en la región sur de la entidad, de esa forma representa la mayor intensidad migratoria CONAPO (2010). En consecuencia, de ahí se deriva el interés de la presente investigación, en la cual se analizan los motivos, causas y efectos del fenómeno migratorio en localidades de Tenancingo perteneciente a la región sur del Estado de México.</w:t>
      </w:r>
    </w:p>
    <w:p>
      <w:pPr>
        <w:pStyle w:val="BodyText"/>
      </w:pPr>
    </w:p>
    <w:p>
      <w:pPr>
        <w:pStyle w:val="BodyText"/>
        <w:spacing w:line="360" w:lineRule="auto" w:before="140"/>
        <w:ind w:left="152" w:right="111"/>
        <w:jc w:val="both"/>
      </w:pPr>
      <w:r>
        <w:rPr/>
        <w:t>El documento se integra por las siguientes secciones, en </w:t>
      </w:r>
      <w:r>
        <w:rPr>
          <w:spacing w:val="-2"/>
        </w:rPr>
        <w:t>primer </w:t>
      </w:r>
      <w:r>
        <w:rPr/>
        <w:t>término, los antecedentes históricos </w:t>
      </w:r>
      <w:r>
        <w:rPr>
          <w:spacing w:val="-3"/>
        </w:rPr>
        <w:t>más </w:t>
      </w:r>
      <w:r>
        <w:rPr/>
        <w:t>relevantes de este fenómeno migratorio correspondiendo al siglo XX y los inicios del XXI. En segundo lugar, se aborda el sustento teórico, cabe señalar que se parte de enfoques que cubren un análisis compartido entre lo social y lo económico de las condiciones locales y externas, además, se establecen las diferencias salariales y las oportunidades de empleo como elemento explicativo del fenómeno migratorio aunado a una tradición migratoria a través de redes socioculturales representadas por las familias de los migrantes en ambos lados de la frontera. La propuesta metodológica consiste en la realización de trabajo de campo en localidades detectadas como expulsoras</w:t>
      </w:r>
      <w:r>
        <w:rPr>
          <w:spacing w:val="40"/>
        </w:rPr>
        <w:t> </w:t>
      </w:r>
      <w:r>
        <w:rPr/>
        <w:t>del</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15"/>
        <w:jc w:val="both"/>
      </w:pPr>
      <w:r>
        <w:rPr/>
        <w:t>municipio de Tenancingo perteneciente al sur del Estado de México, por medio de muestreo se encuesta a la población para obtener información sobre las motivaciones y efectos de la migración.</w:t>
      </w:r>
    </w:p>
    <w:p>
      <w:pPr>
        <w:pStyle w:val="BodyText"/>
      </w:pPr>
    </w:p>
    <w:p>
      <w:pPr>
        <w:pStyle w:val="Heading2"/>
        <w:numPr>
          <w:ilvl w:val="1"/>
          <w:numId w:val="16"/>
        </w:numPr>
        <w:tabs>
          <w:tab w:pos="557" w:val="left" w:leader="none"/>
        </w:tabs>
        <w:spacing w:line="240" w:lineRule="auto" w:before="139" w:after="0"/>
        <w:ind w:left="556" w:right="0" w:hanging="404"/>
        <w:jc w:val="both"/>
      </w:pPr>
      <w:bookmarkStart w:name="_bookmark24" w:id="41"/>
      <w:bookmarkEnd w:id="41"/>
      <w:r>
        <w:rPr>
          <w:b w:val="0"/>
        </w:rPr>
      </w:r>
      <w:bookmarkStart w:name="_bookmark24" w:id="42"/>
      <w:bookmarkEnd w:id="42"/>
      <w:r>
        <w:rPr/>
        <w:t>A</w:t>
      </w:r>
      <w:r>
        <w:rPr/>
        <w:t>ntecedentes</w:t>
      </w:r>
    </w:p>
    <w:p>
      <w:pPr>
        <w:pStyle w:val="BodyText"/>
        <w:rPr>
          <w:b/>
        </w:rPr>
      </w:pPr>
    </w:p>
    <w:p>
      <w:pPr>
        <w:pStyle w:val="BodyText"/>
        <w:spacing w:before="2"/>
        <w:rPr>
          <w:b/>
        </w:rPr>
      </w:pPr>
    </w:p>
    <w:p>
      <w:pPr>
        <w:pStyle w:val="BodyText"/>
        <w:spacing w:line="360" w:lineRule="auto" w:before="1"/>
        <w:ind w:left="152" w:right="108"/>
        <w:jc w:val="both"/>
      </w:pPr>
      <w:r>
        <w:rPr/>
        <w:t>Los antecedentes de la migración se enfocan en las condiciones legales, políticas, económicas y de seguridad generados entre los dos países y con efectos en la población migrante. A través del tiempo, las demandas de los migrantes y las reacciones de ambos gobiernos han conformado la historia de este movimiento,  en la cual los mexicanos han sido protagonistas en la Unión Americana en  especial al final </w:t>
      </w:r>
      <w:r>
        <w:rPr>
          <w:spacing w:val="-3"/>
        </w:rPr>
        <w:t>del </w:t>
      </w:r>
      <w:r>
        <w:rPr/>
        <w:t>siglo</w:t>
      </w:r>
      <w:r>
        <w:rPr>
          <w:spacing w:val="1"/>
        </w:rPr>
        <w:t> </w:t>
      </w:r>
      <w:r>
        <w:rPr/>
        <w:t>pasado.</w:t>
      </w:r>
    </w:p>
    <w:p>
      <w:pPr>
        <w:pStyle w:val="BodyText"/>
      </w:pPr>
    </w:p>
    <w:p>
      <w:pPr>
        <w:pStyle w:val="BodyText"/>
        <w:spacing w:line="360" w:lineRule="auto" w:before="144"/>
        <w:ind w:left="152" w:right="104"/>
        <w:jc w:val="both"/>
      </w:pPr>
      <w:r>
        <w:rPr/>
        <w:t>De acuerdo con Massey, </w:t>
      </w:r>
      <w:r>
        <w:rPr>
          <w:i/>
        </w:rPr>
        <w:t>et al. </w:t>
      </w:r>
      <w:r>
        <w:rPr/>
        <w:t>(2002) y Durand (2013), es posible distinguir seis fases en la migración de México a los Estados Unidos. La primera comprende de 1900 a 1929, en este periodo se incrementó la emigración a Estados Unidos debido a la escasez de trabajadores agrícolas en el sur del país, aunque se debe por los efectos expulsores del conflicto armado derivado de la Revolución Mexicana, una segunda etapa se presentó entre 1930 y 1941, ya con fronteras cerradas se caracterizó por una deportación masiva y por un movimiento limitado de personas, durante la tercera etapa se estableció el Programa “Bracero”, éste consistía en un acuerdo bilateral a través del cual se controlaba de manera temporal la llegada de trabajadores mexicanos para realizar actividades agrícolas.</w:t>
      </w:r>
    </w:p>
    <w:p>
      <w:pPr>
        <w:pStyle w:val="BodyText"/>
      </w:pPr>
    </w:p>
    <w:p>
      <w:pPr>
        <w:pStyle w:val="BodyText"/>
        <w:spacing w:line="360" w:lineRule="auto" w:before="144"/>
        <w:ind w:left="152" w:right="100"/>
        <w:jc w:val="both"/>
      </w:pPr>
      <w:r>
        <w:rPr/>
        <w:t>La cuarta fase se conoce por la expansión de la migración indocumentada creciente cuyos años abarcan de 1965 a 1985, ésta fue generada por la decisión unilateral del gobierno de Estados Unidos de suspender el Programa “Bracero”, la quinta fase comprende de 1986 a 2006, la migración ilegal fue la que siguió predominando,  en  esta  etapa  se  estableció  la  ley  de  Reforma  y  Control   de</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06"/>
        <w:jc w:val="both"/>
      </w:pPr>
      <w:r>
        <w:rPr/>
        <w:t>Inmigración (IRCA) en Estados Unidos con el propósito de regularizar a los migrantes no legales, para señalar otro cambio relevante en el fenómeno migratorio, en una sexta etapa de 2007 a 2012 es posible describir, cuyo principal rasgo es el freno a la migración trasnacional desde México hacia Estados Unidos.</w:t>
      </w:r>
    </w:p>
    <w:p>
      <w:pPr>
        <w:pStyle w:val="BodyText"/>
      </w:pPr>
    </w:p>
    <w:p>
      <w:pPr>
        <w:pStyle w:val="BodyText"/>
        <w:spacing w:line="360" w:lineRule="auto" w:before="139"/>
        <w:ind w:left="152" w:right="112"/>
        <w:jc w:val="both"/>
      </w:pPr>
      <w:r>
        <w:rPr/>
        <w:t>A lo largo del tiempo se han desarrollado propuestas teóricas para el análisis del fenómeno migratorio en distintas épocas de la humanidad, en los inicios se explicaba principalmente la migración campo-ciudad, con el paso del tiempo se abordó la migración entre países, llegando a la migración trasnacional e internacional.</w:t>
      </w:r>
    </w:p>
    <w:p>
      <w:pPr>
        <w:pStyle w:val="BodyText"/>
      </w:pPr>
    </w:p>
    <w:p>
      <w:pPr>
        <w:pStyle w:val="BodyText"/>
        <w:spacing w:line="360" w:lineRule="auto" w:before="140"/>
        <w:ind w:left="152" w:right="101"/>
        <w:jc w:val="both"/>
      </w:pPr>
      <w:r>
        <w:rPr/>
        <w:t>La presente investigación se apoya en los modelos teóricos neoclásicos a través de la oferta y demanda de mano de obra por parte de la macroeconomía y costo- beneficio de la migración por medio de la microeconomía, la teoría de redes y nueva economía de la migración sustentan que el establecimiento de redes sociales de apoyo o familiares hace posible el traslado y determina el lugar destino del migrante.</w:t>
      </w:r>
    </w:p>
    <w:p>
      <w:pPr>
        <w:pStyle w:val="BodyText"/>
      </w:pPr>
    </w:p>
    <w:p>
      <w:pPr>
        <w:pStyle w:val="BodyText"/>
        <w:spacing w:line="360" w:lineRule="auto" w:before="140"/>
        <w:ind w:left="152" w:right="104"/>
        <w:jc w:val="both"/>
      </w:pPr>
      <w:r>
        <w:rPr/>
        <w:t>Cada teoría planteada propone supuestos diferentes, los cuales se enlazan o complementan para explicar, así mismo, entender los motivos de salida, el transito migratorio, los efectos en la llegada al destino. La partida del lugar de origen se da inicialmente por un determinante económico, búsqueda de mejores salarios para elevar sus condiciones de vida tanto del individuo como del núcleo familiar, además, para ello deben contar con una red social de apoyo para trasladarse desde el origen al destino final, dichas redes han dado lugar a la diversificación de lugares de llegada de los migrantes. Es posible resumir: las personas migran hacia donde considera que hay mejores salarios y cuentan con importantes redes sociales de apoyo en el lugar. En el cuadro 1 se resumen los principales  aspectos</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232"/>
      </w:pPr>
      <w:bookmarkStart w:name="_bookmark25" w:id="43"/>
      <w:bookmarkEnd w:id="43"/>
      <w:r>
        <w:rPr/>
      </w:r>
      <w:r>
        <w:rPr/>
        <w:t>de cada enfoque teórico que contribuyen al análisis de la migración en la presente investigación.</w:t>
      </w:r>
    </w:p>
    <w:p>
      <w:pPr>
        <w:pStyle w:val="BodyText"/>
      </w:pPr>
    </w:p>
    <w:p>
      <w:pPr>
        <w:pStyle w:val="BodyText"/>
      </w:pPr>
    </w:p>
    <w:p>
      <w:pPr>
        <w:pStyle w:val="BodyText"/>
        <w:spacing w:before="5"/>
      </w:pPr>
    </w:p>
    <w:p>
      <w:pPr>
        <w:pStyle w:val="BodyText"/>
        <w:spacing w:before="1"/>
        <w:ind w:left="938"/>
      </w:pPr>
      <w:r>
        <w:rPr/>
        <w:t>Tabla 6. Principales elementos de sustento teórico en la investigación</w:t>
      </w:r>
    </w:p>
    <w:p>
      <w:pPr>
        <w:pStyle w:val="BodyText"/>
        <w:rPr>
          <w:sz w:val="20"/>
        </w:rPr>
      </w:pPr>
    </w:p>
    <w:p>
      <w:pPr>
        <w:pStyle w:val="BodyText"/>
        <w:spacing w:before="9"/>
      </w:pPr>
      <w:r>
        <w:rPr/>
        <w:pict>
          <v:group style="position:absolute;margin-left:87.603996pt;margin-top:16.198013pt;width:454.1pt;height:1pt;mso-position-horizontal-relative:page;mso-position-vertical-relative:paragraph;z-index:1432;mso-wrap-distance-left:0;mso-wrap-distance-right:0" coordorigin="1752,324" coordsize="9082,20">
            <v:line style="position:absolute" from="1762,334" to="4178,334" stroked="true" strokeweight=".96001pt" strokecolor="#000000"/>
            <v:line style="position:absolute" from="4178,334" to="4197,334" stroked="true" strokeweight=".96001pt" strokecolor="#000000"/>
            <v:line style="position:absolute" from="4197,334" to="7501,334" stroked="true" strokeweight=".96001pt" strokecolor="#000000"/>
            <v:line style="position:absolute" from="7500,334" to="7520,334" stroked="true" strokeweight=".96001pt" strokecolor="#000000"/>
            <v:line style="position:absolute" from="7520,334" to="10823,334" stroked="true" strokeweight=".96001pt" strokecolor="#000000"/>
            <w10:wrap type="topAndBottom"/>
          </v:group>
        </w:pict>
      </w:r>
    </w:p>
    <w:p>
      <w:pPr>
        <w:pStyle w:val="Heading2"/>
        <w:tabs>
          <w:tab w:pos="2648" w:val="left" w:leader="none"/>
          <w:tab w:pos="5970" w:val="left" w:leader="none"/>
        </w:tabs>
        <w:spacing w:before="0"/>
        <w:ind w:left="232"/>
      </w:pPr>
      <w:r>
        <w:rPr/>
        <w:t>Teoría</w:t>
        <w:tab/>
        <w:t>Supuesto</w:t>
        <w:tab/>
        <w:t>Variables</w:t>
      </w:r>
      <w:r>
        <w:rPr>
          <w:spacing w:val="-5"/>
        </w:rPr>
        <w:t> </w:t>
      </w:r>
      <w:r>
        <w:rPr/>
        <w:t>clave</w:t>
      </w:r>
    </w:p>
    <w:p>
      <w:pPr>
        <w:spacing w:after="0"/>
        <w:sectPr>
          <w:pgSz w:w="12240" w:h="15840"/>
          <w:pgMar w:header="0" w:footer="1382" w:top="1500" w:bottom="1580" w:left="1640" w:right="1300"/>
        </w:sectPr>
      </w:pPr>
    </w:p>
    <w:p>
      <w:pPr>
        <w:tabs>
          <w:tab w:pos="2648" w:val="left" w:leader="none"/>
          <w:tab w:pos="4681" w:val="left" w:leader="none"/>
          <w:tab w:pos="5635" w:val="left" w:leader="none"/>
        </w:tabs>
        <w:spacing w:before="26"/>
        <w:ind w:left="232" w:right="0" w:firstLine="0"/>
        <w:jc w:val="left"/>
        <w:rPr>
          <w:sz w:val="24"/>
        </w:rPr>
      </w:pPr>
      <w:r>
        <w:rPr/>
        <w:pict>
          <v:group style="position:absolute;margin-left:87.603996pt;margin-top:.535859pt;width:454.1pt;height:97.75pt;mso-position-horizontal-relative:page;mso-position-vertical-relative:paragraph;z-index:-61456" coordorigin="1752,11" coordsize="9082,1955">
            <v:shape style="position:absolute;left:1762;top:30;width:9062;height:1935" coordorigin="1762,30" coordsize="9062,1935" path="m4072,30l1873,30,1762,30,1762,309,1873,309,4072,309,4072,30m4178,309l1762,309,1762,1965,4178,1965,4178,309m4178,30l4072,30,4072,309,4178,309,4178,30m7611,30l7500,30,7395,30,7395,30,7395,30,7395,309,7395,309,7395,1134,7395,1134,4288,1134,4288,1134,7395,1134,7395,309,4288,309,4288,309,7395,309,7395,30,4288,30,4288,30,4178,30,4178,1413,4178,1965,7500,1965,7501,1965,7611,1965,7611,30m10713,1134l7611,1134,7611,1413,7611,1687,7611,1965,10713,1965,10713,1687,10713,1413,10713,1134m10713,309l7611,309,7611,582,7611,861,7611,1134,10713,1134,10713,861,10713,582,10713,309m10713,30l7611,30,7611,309,10713,309,10713,30m10824,30l10713,30,10713,1965,10824,1965,10824,30e" filled="true" fillcolor="#c0c0c0" stroked="false">
              <v:path arrowok="t"/>
              <v:fill type="solid"/>
            </v:shape>
            <v:line style="position:absolute" from="1762,21" to="4178,21" stroked="true" strokeweight=".95999pt" strokecolor="#000000"/>
            <v:line style="position:absolute" from="4178,21" to="4197,21" stroked="true" strokeweight=".95999pt" strokecolor="#000000"/>
            <v:line style="position:absolute" from="4197,21" to="7501,21" stroked="true" strokeweight=".95999pt" strokecolor="#000000"/>
            <v:line style="position:absolute" from="7500,21" to="7520,21" stroked="true" strokeweight=".95999pt" strokecolor="#000000"/>
            <v:line style="position:absolute" from="7520,21" to="10823,21" stroked="true" strokeweight=".95999pt" strokecolor="#000000"/>
            <w10:wrap type="none"/>
          </v:group>
        </w:pict>
      </w:r>
      <w:r>
        <w:rPr>
          <w:b/>
          <w:sz w:val="24"/>
        </w:rPr>
        <w:t>Teoría</w:t>
      </w:r>
      <w:r>
        <w:rPr>
          <w:b/>
          <w:spacing w:val="-1"/>
          <w:sz w:val="24"/>
        </w:rPr>
        <w:t> </w:t>
      </w:r>
      <w:r>
        <w:rPr>
          <w:b/>
          <w:sz w:val="24"/>
        </w:rPr>
        <w:t>neoclásica</w:t>
        <w:tab/>
      </w:r>
      <w:r>
        <w:rPr>
          <w:sz w:val="24"/>
        </w:rPr>
        <w:t>Macroeconómica</w:t>
        <w:tab/>
        <w:t>(Oferta</w:t>
        <w:tab/>
        <w:t>y</w:t>
      </w:r>
    </w:p>
    <w:p>
      <w:pPr>
        <w:pStyle w:val="BodyText"/>
        <w:tabs>
          <w:tab w:pos="5017" w:val="left" w:leader="none"/>
        </w:tabs>
        <w:spacing w:before="2"/>
        <w:ind w:left="2648"/>
      </w:pPr>
      <w:r>
        <w:rPr/>
        <w:t>demanda de mano de obra) Microeconómica</w:t>
        <w:tab/>
        <w:t>(coste- beneficio)</w:t>
      </w:r>
    </w:p>
    <w:p>
      <w:pPr>
        <w:pStyle w:val="BodyText"/>
      </w:pPr>
    </w:p>
    <w:p>
      <w:pPr>
        <w:pStyle w:val="BodyText"/>
      </w:pPr>
    </w:p>
    <w:p>
      <w:pPr>
        <w:pStyle w:val="BodyText"/>
      </w:pPr>
    </w:p>
    <w:p>
      <w:pPr>
        <w:tabs>
          <w:tab w:pos="2648" w:val="left" w:leader="none"/>
          <w:tab w:pos="3343" w:val="left" w:leader="none"/>
          <w:tab w:pos="5487" w:val="left" w:leader="none"/>
        </w:tabs>
        <w:spacing w:line="275" w:lineRule="exact" w:before="0"/>
        <w:ind w:left="232" w:right="0" w:firstLine="0"/>
        <w:jc w:val="left"/>
        <w:rPr>
          <w:sz w:val="24"/>
        </w:rPr>
      </w:pPr>
      <w:r>
        <w:rPr>
          <w:b/>
          <w:sz w:val="24"/>
        </w:rPr>
        <w:t>Teoría</w:t>
      </w:r>
      <w:r>
        <w:rPr>
          <w:b/>
          <w:spacing w:val="-5"/>
          <w:sz w:val="24"/>
        </w:rPr>
        <w:t> </w:t>
      </w:r>
      <w:r>
        <w:rPr>
          <w:b/>
          <w:sz w:val="24"/>
        </w:rPr>
        <w:t>de</w:t>
      </w:r>
      <w:r>
        <w:rPr>
          <w:b/>
          <w:spacing w:val="-1"/>
          <w:sz w:val="24"/>
        </w:rPr>
        <w:t> </w:t>
      </w:r>
      <w:r>
        <w:rPr>
          <w:b/>
          <w:sz w:val="24"/>
        </w:rPr>
        <w:t>redes</w:t>
        <w:tab/>
      </w:r>
      <w:r>
        <w:rPr>
          <w:sz w:val="24"/>
        </w:rPr>
        <w:t>El</w:t>
        <w:tab/>
        <w:t>establecimiento</w:t>
        <w:tab/>
        <w:t>de</w:t>
      </w:r>
    </w:p>
    <w:p>
      <w:pPr>
        <w:pStyle w:val="BodyText"/>
        <w:ind w:left="2648"/>
        <w:jc w:val="both"/>
      </w:pPr>
      <w:r>
        <w:rPr/>
        <w:t>familiares o amigos en el extranjero “incrementan la probabilidad del traslado internacional porque bajan los costos y los riesgos del movimiento e incrementan los rendimientos netos esperados de la migración.</w:t>
      </w:r>
    </w:p>
    <w:p>
      <w:pPr>
        <w:pStyle w:val="BodyText"/>
        <w:spacing w:line="242" w:lineRule="auto" w:before="26"/>
        <w:ind w:left="172" w:right="387"/>
      </w:pPr>
      <w:r>
        <w:rPr/>
        <w:br w:type="column"/>
      </w:r>
      <w:r>
        <w:rPr/>
        <w:t>Motivos de salida: mejores ingresos (salarios).</w:t>
      </w:r>
    </w:p>
    <w:p>
      <w:pPr>
        <w:pStyle w:val="BodyText"/>
        <w:spacing w:line="242" w:lineRule="auto"/>
        <w:ind w:left="172" w:right="387"/>
      </w:pPr>
      <w:r>
        <w:rPr/>
        <w:t>Ocupación: sector agrícola. Estancia: temporal.</w:t>
      </w:r>
    </w:p>
    <w:p>
      <w:pPr>
        <w:pStyle w:val="BodyText"/>
        <w:tabs>
          <w:tab w:pos="2130" w:val="left" w:leader="none"/>
        </w:tabs>
        <w:spacing w:line="242" w:lineRule="auto"/>
        <w:ind w:left="172" w:right="223"/>
      </w:pPr>
      <w:r>
        <w:rPr/>
        <w:t>Regreso:</w:t>
        <w:tab/>
      </w:r>
      <w:r>
        <w:rPr>
          <w:spacing w:val="-1"/>
        </w:rPr>
        <w:t>cuestiones </w:t>
      </w:r>
      <w:r>
        <w:rPr/>
        <w:t>familiares</w:t>
      </w:r>
    </w:p>
    <w:p>
      <w:pPr>
        <w:pStyle w:val="BodyText"/>
        <w:spacing w:line="271" w:lineRule="exact"/>
        <w:ind w:left="172" w:right="387"/>
      </w:pPr>
      <w:r>
        <w:rPr/>
        <w:t>Remesas</w:t>
      </w:r>
    </w:p>
    <w:p>
      <w:pPr>
        <w:pStyle w:val="BodyText"/>
        <w:spacing w:line="274" w:lineRule="exact" w:before="8"/>
        <w:ind w:left="172" w:right="67"/>
      </w:pPr>
      <w:r>
        <w:rPr/>
        <w:t>Motivos de salida: red social de apoyo.</w:t>
      </w:r>
    </w:p>
    <w:p>
      <w:pPr>
        <w:pStyle w:val="BodyText"/>
        <w:ind w:left="172" w:right="374"/>
      </w:pPr>
      <w:r>
        <w:rPr/>
        <w:t>Ocupación: sector servicios Estancia permanente.</w:t>
      </w:r>
    </w:p>
    <w:p>
      <w:pPr>
        <w:pStyle w:val="BodyText"/>
        <w:tabs>
          <w:tab w:pos="2130" w:val="left" w:leader="none"/>
        </w:tabs>
        <w:spacing w:line="274" w:lineRule="exact" w:before="8"/>
        <w:ind w:left="172" w:right="223"/>
      </w:pPr>
      <w:r>
        <w:rPr/>
        <w:t>Regreso:</w:t>
        <w:tab/>
      </w:r>
      <w:r>
        <w:rPr>
          <w:spacing w:val="-1"/>
        </w:rPr>
        <w:t>cuestiones </w:t>
      </w:r>
      <w:r>
        <w:rPr/>
        <w:t>económicas y</w:t>
      </w:r>
      <w:r>
        <w:rPr>
          <w:spacing w:val="-6"/>
        </w:rPr>
        <w:t> </w:t>
      </w:r>
      <w:r>
        <w:rPr/>
        <w:t>sociales.</w:t>
      </w:r>
    </w:p>
    <w:p>
      <w:pPr>
        <w:pStyle w:val="BodyText"/>
        <w:spacing w:line="274" w:lineRule="exact"/>
        <w:ind w:left="172" w:right="387"/>
      </w:pPr>
      <w:r>
        <w:rPr/>
        <w:t>Remesas.</w:t>
      </w:r>
    </w:p>
    <w:p>
      <w:pPr>
        <w:spacing w:after="0" w:line="274" w:lineRule="exact"/>
        <w:sectPr>
          <w:type w:val="continuous"/>
          <w:pgSz w:w="12240" w:h="15840"/>
          <w:pgMar w:top="1500" w:bottom="1580" w:left="1640" w:right="1300"/>
          <w:cols w:num="2" w:equalWidth="0">
            <w:col w:w="5759" w:space="40"/>
            <w:col w:w="3501"/>
          </w:cols>
        </w:sectPr>
      </w:pPr>
    </w:p>
    <w:p>
      <w:pPr>
        <w:pStyle w:val="BodyText"/>
        <w:spacing w:before="11"/>
        <w:rPr>
          <w:sz w:val="23"/>
        </w:rPr>
      </w:pPr>
    </w:p>
    <w:p>
      <w:pPr>
        <w:pStyle w:val="BodyText"/>
        <w:ind w:left="107"/>
        <w:rPr>
          <w:sz w:val="20"/>
        </w:rPr>
      </w:pPr>
      <w:r>
        <w:rPr>
          <w:sz w:val="20"/>
        </w:rPr>
        <w:pict>
          <v:group style="width:454.3pt;height:81.650pt;mso-position-horizontal-relative:char;mso-position-vertical-relative:line" coordorigin="0,0" coordsize="9086,1633">
            <v:rect style="position:absolute;left:14;top:0;width:111;height:461" filled="true" fillcolor="#c0c0c0" stroked="false">
              <v:fill type="solid"/>
            </v:rect>
            <v:rect style="position:absolute;left:2324;top:0;width:106;height:461" filled="true" fillcolor="#c0c0c0" stroked="false">
              <v:fill type="solid"/>
            </v:rect>
            <v:rect style="position:absolute;left:14;top:461;width:2416;height:1152" filled="true" fillcolor="#c0c0c0" stroked="false">
              <v:fill type="solid"/>
            </v:rect>
            <v:rect style="position:absolute;left:125;top:0;width:2199;height:230" filled="true" fillcolor="#c0c0c0" stroked="false">
              <v:fill type="solid"/>
            </v:rect>
            <v:rect style="position:absolute;left:125;top:230;width:2199;height:230" filled="true" fillcolor="#c0c0c0" stroked="false">
              <v:fill type="solid"/>
            </v:rect>
            <v:rect style="position:absolute;left:2430;top:0;width:110;height:1613" filled="true" fillcolor="#c0c0c0" stroked="false">
              <v:fill type="solid"/>
            </v:rect>
            <v:rect style="position:absolute;left:5647;top:0;width:106;height:1613" filled="true" fillcolor="#c0c0c0" stroked="false">
              <v:fill type="solid"/>
            </v:rect>
            <v:rect style="position:absolute;left:2541;top:0;width:3107;height:230" filled="true" fillcolor="#c0c0c0" stroked="false">
              <v:fill type="solid"/>
            </v:rect>
            <v:rect style="position:absolute;left:2541;top:230;width:3107;height:230" filled="true" fillcolor="#c0c0c0" stroked="false">
              <v:fill type="solid"/>
            </v:rect>
            <v:rect style="position:absolute;left:2541;top:461;width:3107;height:230" filled="true" fillcolor="#c0c0c0" stroked="false">
              <v:fill type="solid"/>
            </v:rect>
            <v:rect style="position:absolute;left:2541;top:691;width:3107;height:230" filled="true" fillcolor="#c0c0c0" stroked="false">
              <v:fill type="solid"/>
            </v:rect>
            <v:rect style="position:absolute;left:2541;top:922;width:3107;height:230" filled="true" fillcolor="#c0c0c0" stroked="false">
              <v:fill type="solid"/>
            </v:rect>
            <v:rect style="position:absolute;left:2541;top:1152;width:3107;height:230" filled="true" fillcolor="#c0c0c0" stroked="false">
              <v:fill type="solid"/>
            </v:rect>
            <v:rect style="position:absolute;left:2541;top:1383;width:3107;height:231" filled="true" fillcolor="#c0c0c0" stroked="false">
              <v:fill type="solid"/>
            </v:rect>
            <v:rect style="position:absolute;left:5753;top:0;width:110;height:1613" filled="true" fillcolor="#c0c0c0" stroked="false">
              <v:fill type="solid"/>
            </v:rect>
            <v:rect style="position:absolute;left:8966;top:0;width:110;height:1613" filled="true" fillcolor="#c0c0c0" stroked="false">
              <v:fill type="solid"/>
            </v:rect>
            <v:rect style="position:absolute;left:5863;top:0;width:3102;height:230" filled="true" fillcolor="#c0c0c0" stroked="false">
              <v:fill type="solid"/>
            </v:rect>
            <v:rect style="position:absolute;left:5863;top:230;width:3102;height:230" filled="true" fillcolor="#c0c0c0" stroked="false">
              <v:fill type="solid"/>
            </v:rect>
            <v:rect style="position:absolute;left:5863;top:461;width:3102;height:230" filled="true" fillcolor="#c0c0c0" stroked="false">
              <v:fill type="solid"/>
            </v:rect>
            <v:rect style="position:absolute;left:5863;top:691;width:3102;height:230" filled="true" fillcolor="#c0c0c0" stroked="false">
              <v:fill type="solid"/>
            </v:rect>
            <v:rect style="position:absolute;left:5863;top:922;width:3102;height:230" filled="true" fillcolor="#c0c0c0" stroked="false">
              <v:fill type="solid"/>
            </v:rect>
            <v:rect style="position:absolute;left:5863;top:1152;width:3102;height:230" filled="true" fillcolor="#c0c0c0" stroked="false">
              <v:fill type="solid"/>
            </v:rect>
            <v:rect style="position:absolute;left:5863;top:1383;width:3102;height:231" filled="true" fillcolor="#c0c0c0" stroked="false">
              <v:fill type="solid"/>
            </v:rect>
            <v:rect style="position:absolute;left:0;top:1613;width:2430;height:19" filled="true" fillcolor="#000000" stroked="false">
              <v:fill type="solid"/>
            </v:rect>
            <v:line style="position:absolute" from="2416,1623" to="2435,1623" stroked="true" strokeweight=".96002pt" strokecolor="#000000"/>
            <v:line style="position:absolute" from="2435,1623" to="5753,1623" stroked="true" strokeweight=".96002pt" strokecolor="#000000"/>
            <v:line style="position:absolute" from="5738,1623" to="5758,1623" stroked="true" strokeweight=".96002pt" strokecolor="#000000"/>
            <v:line style="position:absolute" from="5758,1623" to="9076,1623" stroked="true" strokeweight=".96002pt" strokecolor="#000000"/>
            <v:shape style="position:absolute;left:125;top:14;width:5522;height:432" type="#_x0000_t202" filled="false" stroked="false">
              <v:textbox inset="0,0,0,0">
                <w:txbxContent>
                  <w:p>
                    <w:pPr>
                      <w:tabs>
                        <w:tab w:pos="2415" w:val="left" w:leader="none"/>
                      </w:tabs>
                      <w:spacing w:line="208" w:lineRule="exact" w:before="0"/>
                      <w:ind w:left="0" w:right="0" w:firstLine="0"/>
                      <w:jc w:val="left"/>
                      <w:rPr>
                        <w:sz w:val="20"/>
                      </w:rPr>
                    </w:pPr>
                    <w:r>
                      <w:rPr>
                        <w:b/>
                        <w:sz w:val="20"/>
                      </w:rPr>
                      <w:t>Nueva  economía</w:t>
                    </w:r>
                    <w:r>
                      <w:rPr>
                        <w:b/>
                        <w:spacing w:val="6"/>
                        <w:sz w:val="20"/>
                      </w:rPr>
                      <w:t> </w:t>
                    </w:r>
                    <w:r>
                      <w:rPr>
                        <w:b/>
                        <w:sz w:val="20"/>
                      </w:rPr>
                      <w:t>de</w:t>
                    </w:r>
                    <w:r>
                      <w:rPr>
                        <w:b/>
                        <w:spacing w:val="30"/>
                        <w:sz w:val="20"/>
                      </w:rPr>
                      <w:t> </w:t>
                    </w:r>
                    <w:r>
                      <w:rPr>
                        <w:b/>
                        <w:sz w:val="20"/>
                      </w:rPr>
                      <w:t>la</w:t>
                      <w:tab/>
                    </w:r>
                    <w:r>
                      <w:rPr>
                        <w:sz w:val="20"/>
                      </w:rPr>
                      <w:t>Las decisiones de la migración </w:t>
                    </w:r>
                    <w:r>
                      <w:rPr>
                        <w:spacing w:val="30"/>
                        <w:sz w:val="20"/>
                      </w:rPr>
                      <w:t> </w:t>
                    </w:r>
                    <w:r>
                      <w:rPr>
                        <w:sz w:val="20"/>
                      </w:rPr>
                      <w:t>no</w:t>
                    </w:r>
                  </w:p>
                  <w:p>
                    <w:pPr>
                      <w:spacing w:line="224" w:lineRule="exact" w:before="0"/>
                      <w:ind w:left="0" w:right="0" w:firstLine="0"/>
                      <w:jc w:val="left"/>
                      <w:rPr>
                        <w:b/>
                        <w:sz w:val="20"/>
                      </w:rPr>
                    </w:pPr>
                    <w:r>
                      <w:rPr>
                        <w:b/>
                        <w:sz w:val="20"/>
                      </w:rPr>
                      <w:t>migración</w:t>
                    </w:r>
                  </w:p>
                </w:txbxContent>
              </v:textbox>
              <w10:wrap type="none"/>
            </v:shape>
            <v:shape style="position:absolute;left:2541;top:249;width:3110;height:1124" type="#_x0000_t202" filled="false" stroked="false">
              <v:textbox inset="0,0,0,0">
                <w:txbxContent>
                  <w:p>
                    <w:pPr>
                      <w:spacing w:line="206" w:lineRule="exact" w:before="0"/>
                      <w:ind w:left="0" w:right="0" w:firstLine="0"/>
                      <w:jc w:val="both"/>
                      <w:rPr>
                        <w:sz w:val="20"/>
                      </w:rPr>
                    </w:pPr>
                    <w:r>
                      <w:rPr>
                        <w:sz w:val="20"/>
                      </w:rPr>
                      <w:t>se  determinan  por  decisiones de</w:t>
                    </w:r>
                  </w:p>
                  <w:p>
                    <w:pPr>
                      <w:spacing w:before="0"/>
                      <w:ind w:left="0" w:right="0" w:firstLine="0"/>
                      <w:jc w:val="both"/>
                      <w:rPr>
                        <w:sz w:val="20"/>
                      </w:rPr>
                    </w:pPr>
                    <w:r>
                      <w:rPr>
                        <w:sz w:val="20"/>
                      </w:rPr>
                      <w:t>carácter individual, si no por unidades más amplias de lazos parentales, típicamente familias u hogares.</w:t>
                    </w:r>
                  </w:p>
                </w:txbxContent>
              </v:textbox>
              <w10:wrap type="none"/>
            </v:shape>
            <v:shape style="position:absolute;left:5863;top:19;width:3102;height:893" type="#_x0000_t202" filled="false" stroked="false">
              <v:textbox inset="0,0,0,0">
                <w:txbxContent>
                  <w:p>
                    <w:pPr>
                      <w:spacing w:line="206" w:lineRule="exact" w:before="0"/>
                      <w:ind w:left="0" w:right="0" w:firstLine="0"/>
                      <w:jc w:val="left"/>
                      <w:rPr>
                        <w:sz w:val="20"/>
                      </w:rPr>
                    </w:pPr>
                    <w:r>
                      <w:rPr>
                        <w:sz w:val="20"/>
                      </w:rPr>
                      <w:t>Motivos   de   salida:   decisión  de</w:t>
                    </w:r>
                  </w:p>
                  <w:p>
                    <w:pPr>
                      <w:spacing w:before="0"/>
                      <w:ind w:left="0" w:right="602" w:firstLine="0"/>
                      <w:jc w:val="left"/>
                      <w:rPr>
                        <w:sz w:val="20"/>
                      </w:rPr>
                    </w:pPr>
                    <w:r>
                      <w:rPr>
                        <w:sz w:val="20"/>
                      </w:rPr>
                      <w:t>carácter familiar. Ocupación: sector</w:t>
                    </w:r>
                    <w:r>
                      <w:rPr>
                        <w:spacing w:val="-10"/>
                        <w:sz w:val="20"/>
                      </w:rPr>
                      <w:t> </w:t>
                    </w:r>
                    <w:r>
                      <w:rPr>
                        <w:sz w:val="20"/>
                      </w:rPr>
                      <w:t>servicios. Estancia:</w:t>
                    </w:r>
                    <w:r>
                      <w:rPr>
                        <w:spacing w:val="-2"/>
                        <w:sz w:val="20"/>
                      </w:rPr>
                      <w:t> </w:t>
                    </w:r>
                    <w:r>
                      <w:rPr>
                        <w:sz w:val="20"/>
                      </w:rPr>
                      <w:t>permanente</w:t>
                    </w:r>
                  </w:p>
                </w:txbxContent>
              </v:textbox>
              <w10:wrap type="none"/>
            </v:shape>
            <v:shape style="position:absolute;left:5863;top:941;width:1050;height:663" type="#_x0000_t202" filled="false" stroked="false">
              <v:textbox inset="0,0,0,0">
                <w:txbxContent>
                  <w:p>
                    <w:pPr>
                      <w:spacing w:line="206" w:lineRule="exact" w:before="0"/>
                      <w:ind w:left="0" w:right="-5" w:firstLine="0"/>
                      <w:jc w:val="left"/>
                      <w:rPr>
                        <w:sz w:val="20"/>
                      </w:rPr>
                    </w:pPr>
                    <w:r>
                      <w:rPr>
                        <w:spacing w:val="-2"/>
                        <w:sz w:val="20"/>
                      </w:rPr>
                      <w:t>Cuestiones:</w:t>
                    </w:r>
                  </w:p>
                  <w:p>
                    <w:pPr>
                      <w:spacing w:before="0"/>
                      <w:ind w:left="0" w:right="-5" w:firstLine="0"/>
                      <w:jc w:val="left"/>
                      <w:rPr>
                        <w:sz w:val="20"/>
                      </w:rPr>
                    </w:pPr>
                    <w:r>
                      <w:rPr>
                        <w:sz w:val="20"/>
                      </w:rPr>
                      <w:t>sociales. Remesas.</w:t>
                    </w:r>
                  </w:p>
                </w:txbxContent>
              </v:textbox>
              <w10:wrap type="none"/>
            </v:shape>
            <v:shape style="position:absolute;left:7355;top:941;width:1076;height:202" type="#_x0000_t202" filled="false" stroked="false">
              <v:textbox inset="0,0,0,0">
                <w:txbxContent>
                  <w:p>
                    <w:pPr>
                      <w:spacing w:line="202" w:lineRule="exact" w:before="0"/>
                      <w:ind w:left="0" w:right="-12" w:firstLine="0"/>
                      <w:jc w:val="left"/>
                      <w:rPr>
                        <w:sz w:val="20"/>
                      </w:rPr>
                    </w:pPr>
                    <w:r>
                      <w:rPr>
                        <w:sz w:val="20"/>
                      </w:rPr>
                      <w:t>económicas</w:t>
                    </w:r>
                  </w:p>
                </w:txbxContent>
              </v:textbox>
              <w10:wrap type="none"/>
            </v:shape>
            <v:shape style="position:absolute;left:8867;top:941;width:101;height:202" type="#_x0000_t202" filled="false" stroked="false">
              <v:textbox inset="0,0,0,0">
                <w:txbxContent>
                  <w:p>
                    <w:pPr>
                      <w:spacing w:line="202" w:lineRule="exact" w:before="0"/>
                      <w:ind w:left="0" w:right="0" w:firstLine="0"/>
                      <w:jc w:val="left"/>
                      <w:rPr>
                        <w:sz w:val="20"/>
                      </w:rPr>
                    </w:pPr>
                    <w:r>
                      <w:rPr>
                        <w:w w:val="100"/>
                        <w:sz w:val="20"/>
                      </w:rPr>
                      <w:t>y</w:t>
                    </w:r>
                  </w:p>
                </w:txbxContent>
              </v:textbox>
              <w10:wrap type="none"/>
            </v:shape>
          </v:group>
        </w:pict>
      </w:r>
      <w:r>
        <w:rPr>
          <w:sz w:val="20"/>
        </w:rPr>
      </w:r>
    </w:p>
    <w:p>
      <w:pPr>
        <w:pStyle w:val="BodyText"/>
        <w:spacing w:before="4"/>
        <w:rPr>
          <w:sz w:val="21"/>
        </w:rPr>
      </w:pPr>
    </w:p>
    <w:p>
      <w:pPr>
        <w:spacing w:before="76"/>
        <w:ind w:left="232" w:right="0" w:firstLine="0"/>
        <w:jc w:val="left"/>
        <w:rPr>
          <w:sz w:val="20"/>
        </w:rPr>
      </w:pPr>
      <w:r>
        <w:rPr>
          <w:sz w:val="20"/>
        </w:rPr>
        <w:t>Fuente: elaboración propia</w:t>
      </w:r>
    </w:p>
    <w:p>
      <w:pPr>
        <w:spacing w:after="0"/>
        <w:jc w:val="left"/>
        <w:rPr>
          <w:sz w:val="20"/>
        </w:rPr>
        <w:sectPr>
          <w:type w:val="continuous"/>
          <w:pgSz w:w="12240" w:h="15840"/>
          <w:pgMar w:top="1500" w:bottom="1580" w:left="1640" w:right="1300"/>
        </w:sectPr>
      </w:pPr>
    </w:p>
    <w:p>
      <w:pPr>
        <w:pStyle w:val="BodyText"/>
        <w:spacing w:before="6"/>
        <w:rPr>
          <w:sz w:val="25"/>
        </w:rPr>
      </w:pPr>
    </w:p>
    <w:p>
      <w:pPr>
        <w:pStyle w:val="Heading2"/>
        <w:numPr>
          <w:ilvl w:val="1"/>
          <w:numId w:val="16"/>
        </w:numPr>
        <w:tabs>
          <w:tab w:pos="557" w:val="left" w:leader="none"/>
        </w:tabs>
        <w:spacing w:line="240" w:lineRule="auto" w:before="70" w:after="0"/>
        <w:ind w:left="556" w:right="0" w:hanging="404"/>
        <w:jc w:val="both"/>
      </w:pPr>
      <w:r>
        <w:rPr/>
        <w:t>Metodología</w:t>
      </w:r>
    </w:p>
    <w:p>
      <w:pPr>
        <w:pStyle w:val="BodyText"/>
        <w:rPr>
          <w:b/>
        </w:rPr>
      </w:pPr>
    </w:p>
    <w:p>
      <w:pPr>
        <w:pStyle w:val="BodyText"/>
        <w:spacing w:before="3"/>
        <w:rPr>
          <w:b/>
        </w:rPr>
      </w:pPr>
    </w:p>
    <w:p>
      <w:pPr>
        <w:pStyle w:val="BodyText"/>
        <w:spacing w:line="360" w:lineRule="auto"/>
        <w:ind w:left="152" w:right="101"/>
        <w:jc w:val="both"/>
      </w:pPr>
      <w:r>
        <w:rPr/>
        <w:t>El estudio de la migración en localidades del sur del Estado de México con destino a Estados Unidos, se basa en análisis de información generada en fuentes primarias. Dicha información proviene de trabajo de campo, cuyo sustento es el muestreo de la población migrante en localidades seleccionadas. El trabajo de campo toma como referente a la propuesta metodológica de Baca y Kohler (2004). En la presente sección de metodología se presentan las actividades llevadas a cabo para la determinación de la muestra, diseño del cuestionario, desarrollo y aplicación  de las encuestas.</w:t>
      </w:r>
    </w:p>
    <w:p>
      <w:pPr>
        <w:pStyle w:val="BodyText"/>
      </w:pPr>
    </w:p>
    <w:p>
      <w:pPr>
        <w:pStyle w:val="BodyText"/>
        <w:spacing w:before="140"/>
        <w:ind w:left="152"/>
        <w:jc w:val="both"/>
      </w:pPr>
      <w:r>
        <w:rPr/>
        <w:t>1.- Población objetivo</w:t>
      </w:r>
    </w:p>
    <w:p>
      <w:pPr>
        <w:pStyle w:val="BodyText"/>
      </w:pPr>
    </w:p>
    <w:p>
      <w:pPr>
        <w:pStyle w:val="BodyText"/>
        <w:spacing w:before="2"/>
      </w:pPr>
    </w:p>
    <w:p>
      <w:pPr>
        <w:pStyle w:val="BodyText"/>
        <w:spacing w:line="360" w:lineRule="auto"/>
        <w:ind w:left="152" w:right="109"/>
        <w:jc w:val="both"/>
      </w:pPr>
      <w:r>
        <w:rPr/>
        <w:t>La población objetivo se constituye por los migrantes, los cuales son residentes u originarios de algunas localidades ya identificadas en el municipio de Tenancingo Estado de México. </w:t>
      </w:r>
      <w:r>
        <w:rPr>
          <w:spacing w:val="-4"/>
        </w:rPr>
        <w:t>El</w:t>
      </w:r>
      <w:r>
        <w:rPr>
          <w:spacing w:val="58"/>
        </w:rPr>
        <w:t> </w:t>
      </w:r>
      <w:r>
        <w:rPr/>
        <w:t>interés de tomar en cuenta este municipio para la investigación radica en que es un municipio considerado de baja migración debido a su diversificación de actividades económicas y su tendencia a la urbanización, pero en su interior hay localidades que </w:t>
      </w:r>
      <w:r>
        <w:rPr>
          <w:spacing w:val="-3"/>
        </w:rPr>
        <w:t>si </w:t>
      </w:r>
      <w:r>
        <w:rPr/>
        <w:t>presentan alta migración de acuerdo con información proporcionada por la Oficina de Asuntos Internacionales del municipio de Tenancingo.</w:t>
      </w:r>
    </w:p>
    <w:p>
      <w:pPr>
        <w:pStyle w:val="BodyText"/>
      </w:pPr>
    </w:p>
    <w:p>
      <w:pPr>
        <w:pStyle w:val="BodyText"/>
        <w:spacing w:before="140"/>
        <w:ind w:left="152"/>
        <w:jc w:val="both"/>
      </w:pPr>
      <w:r>
        <w:rPr/>
        <w:t>2.- Unidad de muestreo</w:t>
      </w:r>
    </w:p>
    <w:p>
      <w:pPr>
        <w:pStyle w:val="BodyText"/>
      </w:pPr>
    </w:p>
    <w:p>
      <w:pPr>
        <w:pStyle w:val="BodyText"/>
        <w:spacing w:before="2"/>
      </w:pPr>
    </w:p>
    <w:p>
      <w:pPr>
        <w:pStyle w:val="BodyText"/>
        <w:spacing w:line="360" w:lineRule="auto"/>
        <w:ind w:left="152" w:right="115"/>
        <w:jc w:val="both"/>
      </w:pPr>
      <w:r>
        <w:rPr/>
        <w:t>La unidad de muestreo está representada por los migrantes que se encontraban en las localidades de estudio en el momento de la encuesta, dado que son ellos los viven este proceso migratorio, así </w:t>
      </w:r>
      <w:r>
        <w:rPr>
          <w:spacing w:val="-3"/>
        </w:rPr>
        <w:t>mismo </w:t>
      </w:r>
      <w:r>
        <w:rPr/>
        <w:t>son los que conocen los beneficios o desventajas que ha traído la migración a sus familias en sus lugares de</w:t>
      </w:r>
      <w:r>
        <w:rPr>
          <w:spacing w:val="-29"/>
        </w:rPr>
        <w:t> </w:t>
      </w:r>
      <w:r>
        <w:rPr/>
        <w:t>origen.</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16"/>
        <w:jc w:val="both"/>
      </w:pPr>
      <w:r>
        <w:rPr/>
        <w:t>Los familiares de migrantes formaron parte de la unidad de muestreo debido a que en su mayoría son ellos los principales beneficiarios de la recepción de remesas.</w:t>
      </w:r>
    </w:p>
    <w:p>
      <w:pPr>
        <w:pStyle w:val="BodyText"/>
      </w:pPr>
    </w:p>
    <w:p>
      <w:pPr>
        <w:pStyle w:val="BodyText"/>
        <w:spacing w:before="145"/>
        <w:ind w:left="152"/>
        <w:jc w:val="both"/>
      </w:pPr>
      <w:r>
        <w:rPr/>
        <w:t>3.- Esquema de muestreo</w:t>
      </w:r>
    </w:p>
    <w:p>
      <w:pPr>
        <w:pStyle w:val="BodyText"/>
      </w:pPr>
    </w:p>
    <w:p>
      <w:pPr>
        <w:pStyle w:val="BodyText"/>
        <w:spacing w:before="9"/>
        <w:rPr>
          <w:sz w:val="23"/>
        </w:rPr>
      </w:pPr>
    </w:p>
    <w:p>
      <w:pPr>
        <w:pStyle w:val="BodyText"/>
        <w:spacing w:line="360" w:lineRule="auto"/>
        <w:ind w:left="152" w:right="111"/>
        <w:jc w:val="both"/>
      </w:pPr>
      <w:r>
        <w:rPr/>
        <w:t>El diseño de la encuesta corresponde a un esquema cuantitativo, a través de muestreo aleatorio simple, es decir, la selección de la muestra se hace respetando las propiedades de éste. </w:t>
      </w:r>
      <w:r>
        <w:rPr>
          <w:spacing w:val="-4"/>
        </w:rPr>
        <w:t>El </w:t>
      </w:r>
      <w:r>
        <w:rPr/>
        <w:t>esquema nos permite producir información interna del migrante y externa a través de sus familiares. Este esquema es adecuado debido  a que el objetivo de la investigación está centrado en analizar las motivaciones y efectos de la migración trasnacional en localidades de</w:t>
      </w:r>
      <w:r>
        <w:rPr>
          <w:spacing w:val="-23"/>
        </w:rPr>
        <w:t> </w:t>
      </w:r>
      <w:r>
        <w:rPr/>
        <w:t>estudio.</w:t>
      </w:r>
    </w:p>
    <w:p>
      <w:pPr>
        <w:pStyle w:val="BodyText"/>
      </w:pPr>
    </w:p>
    <w:p>
      <w:pPr>
        <w:pStyle w:val="BodyText"/>
        <w:spacing w:before="144"/>
        <w:ind w:left="152"/>
        <w:jc w:val="both"/>
      </w:pPr>
      <w:r>
        <w:rPr/>
        <w:t>4.- Marco de muestreo</w:t>
      </w:r>
    </w:p>
    <w:p>
      <w:pPr>
        <w:pStyle w:val="BodyText"/>
      </w:pPr>
    </w:p>
    <w:p>
      <w:pPr>
        <w:pStyle w:val="BodyText"/>
        <w:spacing w:before="9"/>
        <w:rPr>
          <w:sz w:val="23"/>
        </w:rPr>
      </w:pPr>
    </w:p>
    <w:p>
      <w:pPr>
        <w:pStyle w:val="BodyText"/>
        <w:spacing w:line="360" w:lineRule="auto"/>
        <w:ind w:left="152" w:right="107"/>
        <w:jc w:val="both"/>
      </w:pPr>
      <w:r>
        <w:rPr/>
        <w:t>Se encontró un problema sobre información disponible acerca del número de migrantes en la zona de estudio. Para determinar el tamaño de la muestra no se obtuvo la información exacta del total de migrantes en el municipio. La Oficina Municipal de Enlace con la Secretaria de Relaciones Exteriores del Ayuntamiento de Tenancingo no cuenta con datos exactos ni actualizados de este tema, solo proporcionó las localidades que tienen registradas con más altos índices de migración, las cuales se muestran en el cuadro 2.</w:t>
      </w:r>
    </w:p>
    <w:p>
      <w:pPr>
        <w:spacing w:after="0" w:line="360" w:lineRule="auto"/>
        <w:jc w:val="both"/>
        <w:sectPr>
          <w:footerReference w:type="default" r:id="rId19"/>
          <w:pgSz w:w="12240" w:h="15840"/>
          <w:pgMar w:footer="1382" w:header="0" w:top="1500" w:bottom="1580" w:left="1720" w:right="1420"/>
        </w:sectPr>
      </w:pPr>
    </w:p>
    <w:p>
      <w:pPr>
        <w:pStyle w:val="BodyText"/>
        <w:spacing w:before="11"/>
        <w:rPr>
          <w:sz w:val="25"/>
        </w:rPr>
      </w:pPr>
    </w:p>
    <w:p>
      <w:pPr>
        <w:pStyle w:val="BodyText"/>
        <w:spacing w:before="69"/>
        <w:ind w:left="1697" w:right="269"/>
      </w:pPr>
      <w:r>
        <w:rPr/>
        <w:t>Tabla 7. Población total de las localidades encuestadas</w:t>
      </w:r>
    </w:p>
    <w:p>
      <w:pPr>
        <w:pStyle w:val="BodyText"/>
        <w:rPr>
          <w:sz w:val="20"/>
        </w:rPr>
      </w:pPr>
    </w:p>
    <w:p>
      <w:pPr>
        <w:pStyle w:val="BodyText"/>
        <w:spacing w:before="2"/>
        <w:rPr>
          <w:sz w:val="28"/>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88"/>
        <w:gridCol w:w="3508"/>
        <w:gridCol w:w="2465"/>
      </w:tblGrid>
      <w:tr>
        <w:trPr>
          <w:trHeight w:val="734" w:hRule="exact"/>
        </w:trPr>
        <w:tc>
          <w:tcPr>
            <w:tcW w:w="3088" w:type="dxa"/>
            <w:tcBorders>
              <w:left w:val="nil"/>
              <w:right w:val="nil"/>
            </w:tcBorders>
          </w:tcPr>
          <w:p>
            <w:pPr>
              <w:pStyle w:val="TableParagraph"/>
              <w:spacing w:line="267" w:lineRule="exact"/>
              <w:ind w:left="110"/>
              <w:rPr>
                <w:b/>
                <w:sz w:val="24"/>
              </w:rPr>
            </w:pPr>
            <w:r>
              <w:rPr>
                <w:b/>
                <w:sz w:val="24"/>
              </w:rPr>
              <w:t>Localidad</w:t>
            </w:r>
          </w:p>
        </w:tc>
        <w:tc>
          <w:tcPr>
            <w:tcW w:w="3508" w:type="dxa"/>
            <w:tcBorders>
              <w:left w:val="nil"/>
              <w:right w:val="nil"/>
            </w:tcBorders>
          </w:tcPr>
          <w:p>
            <w:pPr>
              <w:pStyle w:val="TableParagraph"/>
              <w:tabs>
                <w:tab w:pos="3119" w:val="left" w:leader="none"/>
              </w:tabs>
              <w:spacing w:line="267" w:lineRule="exact"/>
              <w:ind w:left="1454"/>
              <w:rPr>
                <w:b/>
                <w:sz w:val="24"/>
              </w:rPr>
            </w:pPr>
            <w:r>
              <w:rPr>
                <w:b/>
                <w:sz w:val="24"/>
              </w:rPr>
              <w:t>Total</w:t>
              <w:tab/>
              <w:t>de</w:t>
            </w:r>
          </w:p>
          <w:p>
            <w:pPr>
              <w:pStyle w:val="TableParagraph"/>
              <w:spacing w:before="2"/>
              <w:ind w:left="1454"/>
              <w:rPr>
                <w:b/>
                <w:sz w:val="24"/>
              </w:rPr>
            </w:pPr>
            <w:r>
              <w:rPr>
                <w:b/>
                <w:sz w:val="24"/>
              </w:rPr>
              <w:t>habitantes</w:t>
            </w:r>
          </w:p>
        </w:tc>
        <w:tc>
          <w:tcPr>
            <w:tcW w:w="2465" w:type="dxa"/>
            <w:tcBorders>
              <w:left w:val="nil"/>
              <w:right w:val="nil"/>
            </w:tcBorders>
          </w:tcPr>
          <w:p>
            <w:pPr>
              <w:pStyle w:val="TableParagraph"/>
              <w:spacing w:line="242" w:lineRule="auto"/>
              <w:ind w:left="106"/>
              <w:rPr>
                <w:b/>
                <w:sz w:val="24"/>
              </w:rPr>
            </w:pPr>
            <w:r>
              <w:rPr>
                <w:b/>
                <w:sz w:val="24"/>
              </w:rPr>
              <w:t>Distribución de la muestra</w:t>
            </w:r>
          </w:p>
        </w:tc>
      </w:tr>
      <w:tr>
        <w:trPr>
          <w:trHeight w:val="283" w:hRule="exact"/>
        </w:trPr>
        <w:tc>
          <w:tcPr>
            <w:tcW w:w="3088" w:type="dxa"/>
            <w:tcBorders>
              <w:left w:val="nil"/>
              <w:bottom w:val="nil"/>
              <w:right w:val="nil"/>
            </w:tcBorders>
            <w:shd w:val="clear" w:color="auto" w:fill="C0C0C0"/>
          </w:tcPr>
          <w:p>
            <w:pPr>
              <w:pStyle w:val="TableParagraph"/>
              <w:spacing w:line="267" w:lineRule="exact"/>
              <w:ind w:left="110"/>
              <w:rPr>
                <w:b/>
                <w:sz w:val="24"/>
              </w:rPr>
            </w:pPr>
            <w:r>
              <w:rPr>
                <w:b/>
                <w:sz w:val="24"/>
              </w:rPr>
              <w:t>Acatzingo</w:t>
            </w:r>
          </w:p>
        </w:tc>
        <w:tc>
          <w:tcPr>
            <w:tcW w:w="3508" w:type="dxa"/>
            <w:tcBorders>
              <w:left w:val="nil"/>
              <w:bottom w:val="nil"/>
              <w:right w:val="nil"/>
            </w:tcBorders>
            <w:shd w:val="clear" w:color="auto" w:fill="C0C0C0"/>
          </w:tcPr>
          <w:p>
            <w:pPr>
              <w:pStyle w:val="TableParagraph"/>
              <w:spacing w:line="272" w:lineRule="exact"/>
              <w:ind w:left="1454"/>
              <w:rPr>
                <w:sz w:val="24"/>
              </w:rPr>
            </w:pPr>
            <w:r>
              <w:rPr>
                <w:sz w:val="24"/>
              </w:rPr>
              <w:t>1 914</w:t>
            </w:r>
          </w:p>
        </w:tc>
        <w:tc>
          <w:tcPr>
            <w:tcW w:w="2465" w:type="dxa"/>
            <w:tcBorders>
              <w:left w:val="nil"/>
              <w:bottom w:val="nil"/>
              <w:right w:val="nil"/>
            </w:tcBorders>
            <w:shd w:val="clear" w:color="auto" w:fill="C0C0C0"/>
          </w:tcPr>
          <w:p>
            <w:pPr>
              <w:pStyle w:val="TableParagraph"/>
              <w:spacing w:line="272" w:lineRule="exact"/>
              <w:ind w:left="106"/>
              <w:rPr>
                <w:sz w:val="24"/>
              </w:rPr>
            </w:pPr>
            <w:r>
              <w:rPr>
                <w:sz w:val="24"/>
              </w:rPr>
              <w:t>32</w:t>
            </w:r>
          </w:p>
        </w:tc>
      </w:tr>
      <w:tr>
        <w:trPr>
          <w:trHeight w:val="278" w:hRule="exact"/>
        </w:trPr>
        <w:tc>
          <w:tcPr>
            <w:tcW w:w="3088" w:type="dxa"/>
            <w:tcBorders>
              <w:top w:val="nil"/>
              <w:left w:val="nil"/>
              <w:bottom w:val="nil"/>
              <w:right w:val="nil"/>
            </w:tcBorders>
          </w:tcPr>
          <w:p>
            <w:pPr>
              <w:pStyle w:val="TableParagraph"/>
              <w:spacing w:line="267" w:lineRule="exact"/>
              <w:ind w:left="110"/>
              <w:rPr>
                <w:b/>
                <w:sz w:val="24"/>
              </w:rPr>
            </w:pPr>
            <w:r>
              <w:rPr>
                <w:b/>
                <w:sz w:val="24"/>
              </w:rPr>
              <w:t>Tepetzingo</w:t>
            </w:r>
          </w:p>
        </w:tc>
        <w:tc>
          <w:tcPr>
            <w:tcW w:w="3508" w:type="dxa"/>
            <w:tcBorders>
              <w:top w:val="nil"/>
              <w:left w:val="nil"/>
              <w:bottom w:val="nil"/>
              <w:right w:val="nil"/>
            </w:tcBorders>
          </w:tcPr>
          <w:p>
            <w:pPr>
              <w:pStyle w:val="TableParagraph"/>
              <w:spacing w:line="272" w:lineRule="exact"/>
              <w:ind w:left="1454"/>
              <w:rPr>
                <w:sz w:val="24"/>
              </w:rPr>
            </w:pPr>
            <w:r>
              <w:rPr>
                <w:sz w:val="24"/>
              </w:rPr>
              <w:t>1 819</w:t>
            </w:r>
          </w:p>
        </w:tc>
        <w:tc>
          <w:tcPr>
            <w:tcW w:w="2465" w:type="dxa"/>
            <w:tcBorders>
              <w:top w:val="nil"/>
              <w:left w:val="nil"/>
              <w:bottom w:val="nil"/>
              <w:right w:val="nil"/>
            </w:tcBorders>
          </w:tcPr>
          <w:p>
            <w:pPr>
              <w:pStyle w:val="TableParagraph"/>
              <w:spacing w:line="272" w:lineRule="exact"/>
              <w:ind w:left="106"/>
              <w:rPr>
                <w:sz w:val="24"/>
              </w:rPr>
            </w:pPr>
            <w:r>
              <w:rPr>
                <w:sz w:val="24"/>
              </w:rPr>
              <w:t>28</w:t>
            </w:r>
          </w:p>
        </w:tc>
      </w:tr>
      <w:tr>
        <w:trPr>
          <w:trHeight w:val="279" w:hRule="exact"/>
        </w:trPr>
        <w:tc>
          <w:tcPr>
            <w:tcW w:w="3088" w:type="dxa"/>
            <w:tcBorders>
              <w:top w:val="nil"/>
              <w:left w:val="nil"/>
              <w:bottom w:val="nil"/>
              <w:right w:val="nil"/>
            </w:tcBorders>
            <w:shd w:val="clear" w:color="auto" w:fill="C0C0C0"/>
          </w:tcPr>
          <w:p>
            <w:pPr>
              <w:pStyle w:val="TableParagraph"/>
              <w:spacing w:line="267" w:lineRule="exact"/>
              <w:ind w:left="110"/>
              <w:rPr>
                <w:b/>
                <w:sz w:val="24"/>
              </w:rPr>
            </w:pPr>
            <w:r>
              <w:rPr>
                <w:b/>
                <w:sz w:val="24"/>
              </w:rPr>
              <w:t>Tepalcatepec</w:t>
            </w:r>
          </w:p>
        </w:tc>
        <w:tc>
          <w:tcPr>
            <w:tcW w:w="3508" w:type="dxa"/>
            <w:tcBorders>
              <w:top w:val="nil"/>
              <w:left w:val="nil"/>
              <w:bottom w:val="nil"/>
              <w:right w:val="nil"/>
            </w:tcBorders>
            <w:shd w:val="clear" w:color="auto" w:fill="C0C0C0"/>
          </w:tcPr>
          <w:p>
            <w:pPr>
              <w:pStyle w:val="TableParagraph"/>
              <w:spacing w:line="272" w:lineRule="exact"/>
              <w:ind w:left="1454"/>
              <w:rPr>
                <w:sz w:val="24"/>
              </w:rPr>
            </w:pPr>
            <w:r>
              <w:rPr>
                <w:sz w:val="24"/>
              </w:rPr>
              <w:t>1 237</w:t>
            </w:r>
          </w:p>
        </w:tc>
        <w:tc>
          <w:tcPr>
            <w:tcW w:w="2465" w:type="dxa"/>
            <w:tcBorders>
              <w:top w:val="nil"/>
              <w:left w:val="nil"/>
              <w:bottom w:val="nil"/>
              <w:right w:val="nil"/>
            </w:tcBorders>
            <w:shd w:val="clear" w:color="auto" w:fill="C0C0C0"/>
          </w:tcPr>
          <w:p>
            <w:pPr>
              <w:pStyle w:val="TableParagraph"/>
              <w:spacing w:line="272" w:lineRule="exact"/>
              <w:ind w:left="106"/>
              <w:rPr>
                <w:sz w:val="24"/>
              </w:rPr>
            </w:pPr>
            <w:r>
              <w:rPr>
                <w:sz w:val="24"/>
              </w:rPr>
              <w:t>26</w:t>
            </w:r>
          </w:p>
        </w:tc>
      </w:tr>
      <w:tr>
        <w:trPr>
          <w:trHeight w:val="302" w:hRule="exact"/>
        </w:trPr>
        <w:tc>
          <w:tcPr>
            <w:tcW w:w="3088" w:type="dxa"/>
            <w:tcBorders>
              <w:top w:val="single" w:sz="6" w:space="0" w:color="C0C0C0"/>
              <w:left w:val="nil"/>
              <w:bottom w:val="nil"/>
              <w:right w:val="nil"/>
            </w:tcBorders>
          </w:tcPr>
          <w:p>
            <w:pPr>
              <w:pStyle w:val="TableParagraph"/>
              <w:spacing w:line="274" w:lineRule="exact"/>
              <w:ind w:left="110"/>
              <w:rPr>
                <w:b/>
                <w:sz w:val="24"/>
              </w:rPr>
            </w:pPr>
            <w:r>
              <w:rPr>
                <w:b/>
                <w:sz w:val="24"/>
              </w:rPr>
              <w:t>Terrenate</w:t>
            </w:r>
          </w:p>
        </w:tc>
        <w:tc>
          <w:tcPr>
            <w:tcW w:w="3508" w:type="dxa"/>
            <w:tcBorders>
              <w:top w:val="single" w:sz="6" w:space="0" w:color="C0C0C0"/>
              <w:left w:val="nil"/>
              <w:bottom w:val="nil"/>
              <w:right w:val="nil"/>
            </w:tcBorders>
          </w:tcPr>
          <w:p>
            <w:pPr>
              <w:pStyle w:val="TableParagraph"/>
              <w:spacing w:before="3"/>
              <w:ind w:left="1454"/>
              <w:rPr>
                <w:sz w:val="24"/>
              </w:rPr>
            </w:pPr>
            <w:r>
              <w:rPr>
                <w:sz w:val="24"/>
              </w:rPr>
              <w:t>514</w:t>
            </w:r>
          </w:p>
        </w:tc>
        <w:tc>
          <w:tcPr>
            <w:tcW w:w="2465" w:type="dxa"/>
            <w:tcBorders>
              <w:top w:val="single" w:sz="6" w:space="0" w:color="C0C0C0"/>
              <w:left w:val="nil"/>
              <w:bottom w:val="nil"/>
              <w:right w:val="nil"/>
            </w:tcBorders>
          </w:tcPr>
          <w:p>
            <w:pPr>
              <w:pStyle w:val="TableParagraph"/>
              <w:spacing w:before="3"/>
              <w:ind w:left="106"/>
              <w:rPr>
                <w:sz w:val="24"/>
              </w:rPr>
            </w:pPr>
            <w:r>
              <w:rPr>
                <w:sz w:val="24"/>
              </w:rPr>
              <w:t>19</w:t>
            </w:r>
          </w:p>
        </w:tc>
      </w:tr>
      <w:tr>
        <w:trPr>
          <w:trHeight w:val="590" w:hRule="exact"/>
        </w:trPr>
        <w:tc>
          <w:tcPr>
            <w:tcW w:w="3088" w:type="dxa"/>
            <w:tcBorders>
              <w:top w:val="nil"/>
              <w:left w:val="nil"/>
              <w:right w:val="nil"/>
            </w:tcBorders>
            <w:shd w:val="clear" w:color="auto" w:fill="C0C0C0"/>
          </w:tcPr>
          <w:p>
            <w:pPr>
              <w:pStyle w:val="TableParagraph"/>
              <w:spacing w:line="267" w:lineRule="exact"/>
              <w:ind w:left="110"/>
              <w:rPr>
                <w:b/>
                <w:sz w:val="24"/>
              </w:rPr>
            </w:pPr>
            <w:r>
              <w:rPr>
                <w:b/>
                <w:sz w:val="24"/>
              </w:rPr>
              <w:t>Total</w:t>
            </w:r>
          </w:p>
        </w:tc>
        <w:tc>
          <w:tcPr>
            <w:tcW w:w="3508" w:type="dxa"/>
            <w:tcBorders>
              <w:top w:val="nil"/>
              <w:left w:val="nil"/>
              <w:right w:val="nil"/>
            </w:tcBorders>
            <w:shd w:val="clear" w:color="auto" w:fill="C0C0C0"/>
          </w:tcPr>
          <w:p>
            <w:pPr>
              <w:pStyle w:val="TableParagraph"/>
              <w:spacing w:line="272" w:lineRule="exact"/>
              <w:ind w:left="1454"/>
              <w:rPr>
                <w:sz w:val="24"/>
              </w:rPr>
            </w:pPr>
            <w:r>
              <w:rPr>
                <w:sz w:val="24"/>
              </w:rPr>
              <w:t>5 484</w:t>
            </w:r>
          </w:p>
        </w:tc>
        <w:tc>
          <w:tcPr>
            <w:tcW w:w="2465" w:type="dxa"/>
            <w:tcBorders>
              <w:top w:val="nil"/>
              <w:left w:val="nil"/>
              <w:right w:val="nil"/>
            </w:tcBorders>
            <w:shd w:val="clear" w:color="auto" w:fill="C0C0C0"/>
          </w:tcPr>
          <w:p>
            <w:pPr>
              <w:pStyle w:val="TableParagraph"/>
              <w:spacing w:line="272" w:lineRule="exact"/>
              <w:ind w:left="106"/>
              <w:rPr>
                <w:sz w:val="24"/>
              </w:rPr>
            </w:pPr>
            <w:r>
              <w:rPr>
                <w:sz w:val="24"/>
              </w:rPr>
              <w:t>105</w:t>
            </w:r>
          </w:p>
        </w:tc>
      </w:tr>
    </w:tbl>
    <w:p>
      <w:pPr>
        <w:spacing w:line="225" w:lineRule="exact" w:before="0"/>
        <w:ind w:left="232" w:right="0" w:firstLine="0"/>
        <w:jc w:val="both"/>
        <w:rPr>
          <w:sz w:val="20"/>
        </w:rPr>
      </w:pPr>
      <w:r>
        <w:rPr>
          <w:sz w:val="20"/>
        </w:rPr>
        <w:t>Fuente: Elaboración propia, con base en información del  Censo de Población y Vivienda 2010.</w:t>
      </w:r>
    </w:p>
    <w:p>
      <w:pPr>
        <w:pStyle w:val="BodyText"/>
        <w:rPr>
          <w:sz w:val="20"/>
        </w:rPr>
      </w:pPr>
    </w:p>
    <w:p>
      <w:pPr>
        <w:pStyle w:val="BodyText"/>
        <w:rPr>
          <w:sz w:val="26"/>
        </w:rPr>
      </w:pPr>
    </w:p>
    <w:p>
      <w:pPr>
        <w:pStyle w:val="BodyText"/>
        <w:spacing w:before="1"/>
        <w:ind w:left="232"/>
        <w:jc w:val="both"/>
      </w:pPr>
      <w:r>
        <w:rPr/>
        <w:t>5.- Técnica de compilación de información</w:t>
      </w:r>
    </w:p>
    <w:p>
      <w:pPr>
        <w:pStyle w:val="BodyText"/>
      </w:pPr>
    </w:p>
    <w:p>
      <w:pPr>
        <w:pStyle w:val="BodyText"/>
        <w:spacing w:before="2"/>
      </w:pPr>
    </w:p>
    <w:p>
      <w:pPr>
        <w:pStyle w:val="BodyText"/>
        <w:spacing w:line="360" w:lineRule="auto"/>
        <w:ind w:left="232" w:right="255"/>
        <w:jc w:val="both"/>
      </w:pPr>
      <w:r>
        <w:rPr/>
        <w:t>La técnica empleada para la captación de datos de campo es la encuesta. La cual consiste en la recopilación de información a través de entrevistas en los domicilios de persona a persona sobre una parte de la población.</w:t>
      </w:r>
    </w:p>
    <w:p>
      <w:pPr>
        <w:pStyle w:val="BodyText"/>
      </w:pPr>
    </w:p>
    <w:p>
      <w:pPr>
        <w:pStyle w:val="BodyText"/>
        <w:spacing w:before="144"/>
        <w:ind w:left="232"/>
        <w:jc w:val="both"/>
      </w:pPr>
      <w:r>
        <w:rPr/>
        <w:t>6.- Determinación de la muestra</w:t>
      </w:r>
    </w:p>
    <w:p>
      <w:pPr>
        <w:pStyle w:val="BodyText"/>
      </w:pPr>
    </w:p>
    <w:p>
      <w:pPr>
        <w:pStyle w:val="BodyText"/>
        <w:spacing w:before="9"/>
        <w:rPr>
          <w:sz w:val="23"/>
        </w:rPr>
      </w:pPr>
    </w:p>
    <w:p>
      <w:pPr>
        <w:pStyle w:val="BodyText"/>
        <w:spacing w:line="360" w:lineRule="auto"/>
        <w:ind w:left="232" w:right="256"/>
        <w:jc w:val="both"/>
      </w:pPr>
      <w:r>
        <w:rPr/>
        <w:t>Para determinar el número de encuestas a efectuar, se realizó la determinación del tamaño de la muestra. De acuerdo con Ferré (2003), con un nivel de confianza al 90%, para poblaciones finitas (menos de 100000</w:t>
      </w:r>
      <w:r>
        <w:rPr>
          <w:spacing w:val="-26"/>
        </w:rPr>
        <w:t> </w:t>
      </w:r>
      <w:r>
        <w:rPr/>
        <w:t>unidades).</w:t>
      </w:r>
    </w:p>
    <w:p>
      <w:pPr>
        <w:pStyle w:val="BodyText"/>
      </w:pPr>
    </w:p>
    <w:p>
      <w:pPr>
        <w:pStyle w:val="BodyText"/>
        <w:spacing w:before="140"/>
        <w:ind w:left="232"/>
        <w:jc w:val="both"/>
      </w:pPr>
      <w:r>
        <w:rPr/>
        <w:t>Donde:</w:t>
      </w:r>
    </w:p>
    <w:p>
      <w:pPr>
        <w:pStyle w:val="BodyText"/>
        <w:spacing w:before="137"/>
        <w:ind w:left="232"/>
        <w:jc w:val="both"/>
      </w:pPr>
      <w:r>
        <w:rPr/>
        <w:t>p: porcentaje por buscar</w:t>
      </w:r>
    </w:p>
    <w:p>
      <w:pPr>
        <w:pStyle w:val="BodyText"/>
        <w:spacing w:line="362" w:lineRule="auto" w:before="137"/>
        <w:ind w:left="232" w:right="5332"/>
      </w:pPr>
      <w:r>
        <w:rPr/>
        <w:t>q: porcentaje complementario (1-p) e: límite de error (al 10.0%)</w:t>
      </w:r>
    </w:p>
    <w:p>
      <w:pPr>
        <w:pStyle w:val="BodyText"/>
        <w:ind w:left="232"/>
        <w:jc w:val="both"/>
      </w:pPr>
      <w:r>
        <w:rPr/>
        <w:t>N: tamaño del universo</w:t>
      </w:r>
    </w:p>
    <w:p>
      <w:pPr>
        <w:pStyle w:val="BodyText"/>
        <w:spacing w:line="360" w:lineRule="auto" w:before="137"/>
        <w:ind w:left="232"/>
      </w:pPr>
      <w:r>
        <w:rPr/>
        <w:t>De acuerdo con la formula mostrada y los datos presentados en el cuadro 1 (N=97 946) se tiene que:</w:t>
      </w:r>
    </w:p>
    <w:p>
      <w:pPr>
        <w:spacing w:after="0" w:line="360" w:lineRule="auto"/>
        <w:sectPr>
          <w:footerReference w:type="default" r:id="rId20"/>
          <w:pgSz w:w="12240" w:h="15840"/>
          <w:pgMar w:footer="1382" w:header="0" w:top="1500" w:bottom="1580" w:left="1640" w:right="1280"/>
          <w:pgNumType w:start="61"/>
        </w:sectPr>
      </w:pPr>
    </w:p>
    <w:p>
      <w:pPr>
        <w:pStyle w:val="BodyText"/>
        <w:rPr>
          <w:sz w:val="20"/>
        </w:rPr>
      </w:pPr>
    </w:p>
    <w:p>
      <w:pPr>
        <w:pStyle w:val="BodyText"/>
        <w:rPr>
          <w:sz w:val="20"/>
        </w:rPr>
      </w:pPr>
    </w:p>
    <w:p>
      <w:pPr>
        <w:pStyle w:val="BodyText"/>
        <w:spacing w:before="2"/>
      </w:pPr>
    </w:p>
    <w:p>
      <w:pPr>
        <w:spacing w:after="0"/>
        <w:sectPr>
          <w:pgSz w:w="12240" w:h="15840"/>
          <w:pgMar w:header="0" w:footer="1382" w:top="1500" w:bottom="1580" w:left="1720" w:right="1420"/>
        </w:sectPr>
      </w:pPr>
    </w:p>
    <w:p>
      <w:pPr>
        <w:pStyle w:val="Heading1"/>
        <w:tabs>
          <w:tab w:pos="1768" w:val="left" w:leader="none"/>
        </w:tabs>
        <w:spacing w:line="541" w:lineRule="exact" w:before="55"/>
        <w:ind w:left="681"/>
      </w:pPr>
      <w:r>
        <w:rPr/>
        <w:pict>
          <v:line style="position:absolute;mso-position-horizontal-relative:page;mso-position-vertical-relative:paragraph;z-index:-61432" from="151.618439pt,26.185993pt" to="332.107223pt,26.185993pt" stroked="true" strokeweight=".197444pt" strokecolor="#000000">
            <w10:wrap type="none"/>
          </v:line>
        </w:pict>
      </w:r>
      <w:r>
        <w:rPr>
          <w:i/>
          <w:w w:val="120"/>
          <w:position w:val="-21"/>
        </w:rPr>
        <w:t>n</w:t>
      </w:r>
      <w:r>
        <w:rPr>
          <w:i/>
          <w:spacing w:val="-20"/>
          <w:w w:val="120"/>
          <w:position w:val="-21"/>
        </w:rPr>
        <w:t> </w:t>
      </w:r>
      <w:r>
        <w:rPr>
          <w:rFonts w:ascii="Symbol" w:hAnsi="Symbol"/>
          <w:w w:val="120"/>
          <w:position w:val="-21"/>
        </w:rPr>
        <w:t></w:t>
      </w:r>
      <w:r>
        <w:rPr>
          <w:w w:val="120"/>
          <w:position w:val="-21"/>
        </w:rPr>
        <w:tab/>
      </w:r>
      <w:r>
        <w:rPr>
          <w:w w:val="120"/>
        </w:rPr>
        <w:t>4</w:t>
      </w:r>
      <w:r>
        <w:rPr>
          <w:spacing w:val="-75"/>
          <w:w w:val="120"/>
        </w:rPr>
        <w:t> </w:t>
      </w:r>
      <w:r>
        <w:rPr>
          <w:spacing w:val="9"/>
          <w:w w:val="120"/>
        </w:rPr>
        <w:t>*50</w:t>
      </w:r>
      <w:r>
        <w:rPr>
          <w:spacing w:val="-75"/>
          <w:w w:val="120"/>
        </w:rPr>
        <w:t> </w:t>
      </w:r>
      <w:r>
        <w:rPr>
          <w:spacing w:val="9"/>
          <w:w w:val="120"/>
        </w:rPr>
        <w:t>*50</w:t>
      </w:r>
      <w:r>
        <w:rPr>
          <w:spacing w:val="-75"/>
          <w:w w:val="120"/>
        </w:rPr>
        <w:t> </w:t>
      </w:r>
      <w:r>
        <w:rPr>
          <w:spacing w:val="2"/>
          <w:w w:val="120"/>
        </w:rPr>
        <w:t>*5484</w:t>
      </w:r>
    </w:p>
    <w:p>
      <w:pPr>
        <w:spacing w:line="346" w:lineRule="exact" w:before="0"/>
        <w:ind w:left="1278" w:right="-12" w:firstLine="0"/>
        <w:jc w:val="left"/>
        <w:rPr>
          <w:rFonts w:ascii="Times New Roman" w:hAnsi="Times New Roman"/>
          <w:sz w:val="35"/>
        </w:rPr>
      </w:pPr>
      <w:r>
        <w:rPr>
          <w:rFonts w:ascii="Times New Roman" w:hAnsi="Times New Roman"/>
          <w:spacing w:val="-3"/>
          <w:w w:val="120"/>
          <w:sz w:val="35"/>
        </w:rPr>
        <w:t>10</w:t>
      </w:r>
      <w:r>
        <w:rPr>
          <w:rFonts w:ascii="Times New Roman" w:hAnsi="Times New Roman"/>
          <w:spacing w:val="-73"/>
          <w:w w:val="120"/>
          <w:sz w:val="35"/>
        </w:rPr>
        <w:t> </w:t>
      </w:r>
      <w:r>
        <w:rPr>
          <w:rFonts w:ascii="Times New Roman" w:hAnsi="Times New Roman"/>
          <w:w w:val="120"/>
          <w:sz w:val="35"/>
        </w:rPr>
        <w:t>*10</w:t>
      </w:r>
      <w:r>
        <w:rPr>
          <w:rFonts w:ascii="Times New Roman" w:hAnsi="Times New Roman"/>
          <w:spacing w:val="-73"/>
          <w:w w:val="120"/>
          <w:sz w:val="35"/>
        </w:rPr>
        <w:t> </w:t>
      </w:r>
      <w:r>
        <w:rPr>
          <w:rFonts w:ascii="Times New Roman" w:hAnsi="Times New Roman"/>
          <w:spacing w:val="3"/>
          <w:w w:val="120"/>
          <w:sz w:val="35"/>
        </w:rPr>
        <w:t>*5484</w:t>
      </w:r>
      <w:r>
        <w:rPr>
          <w:rFonts w:ascii="Times New Roman" w:hAnsi="Times New Roman"/>
          <w:spacing w:val="-52"/>
          <w:w w:val="120"/>
          <w:sz w:val="35"/>
        </w:rPr>
        <w:t> </w:t>
      </w:r>
      <w:r>
        <w:rPr>
          <w:rFonts w:ascii="Symbol" w:hAnsi="Symbol"/>
          <w:w w:val="120"/>
          <w:sz w:val="35"/>
        </w:rPr>
        <w:t></w:t>
      </w:r>
      <w:r>
        <w:rPr>
          <w:rFonts w:ascii="Times New Roman" w:hAnsi="Times New Roman"/>
          <w:spacing w:val="-52"/>
          <w:w w:val="120"/>
          <w:sz w:val="35"/>
        </w:rPr>
        <w:t> </w:t>
      </w:r>
      <w:r>
        <w:rPr>
          <w:rFonts w:ascii="Times New Roman" w:hAnsi="Times New Roman"/>
          <w:spacing w:val="-3"/>
          <w:w w:val="120"/>
          <w:sz w:val="35"/>
        </w:rPr>
        <w:t>50</w:t>
      </w:r>
      <w:r>
        <w:rPr>
          <w:rFonts w:ascii="Times New Roman" w:hAnsi="Times New Roman"/>
          <w:spacing w:val="-73"/>
          <w:w w:val="120"/>
          <w:sz w:val="35"/>
        </w:rPr>
        <w:t> </w:t>
      </w:r>
      <w:r>
        <w:rPr>
          <w:rFonts w:ascii="Times New Roman" w:hAnsi="Times New Roman"/>
          <w:spacing w:val="7"/>
          <w:w w:val="120"/>
          <w:sz w:val="35"/>
        </w:rPr>
        <w:t>*50</w:t>
      </w:r>
    </w:p>
    <w:p>
      <w:pPr>
        <w:spacing w:before="245"/>
        <w:ind w:left="78" w:right="0" w:firstLine="0"/>
        <w:jc w:val="left"/>
        <w:rPr>
          <w:rFonts w:ascii="Times New Roman" w:hAnsi="Times New Roman"/>
          <w:sz w:val="35"/>
        </w:rPr>
      </w:pPr>
      <w:r>
        <w:rPr/>
        <w:br w:type="column"/>
      </w:r>
      <w:r>
        <w:rPr>
          <w:rFonts w:ascii="Symbol" w:hAnsi="Symbol"/>
          <w:w w:val="120"/>
          <w:sz w:val="35"/>
        </w:rPr>
        <w:t></w:t>
      </w:r>
      <w:r>
        <w:rPr>
          <w:rFonts w:ascii="Times New Roman" w:hAnsi="Times New Roman"/>
          <w:w w:val="120"/>
          <w:sz w:val="35"/>
        </w:rPr>
        <w:t> 99.54</w:t>
      </w:r>
    </w:p>
    <w:p>
      <w:pPr>
        <w:spacing w:after="0"/>
        <w:jc w:val="left"/>
        <w:rPr>
          <w:rFonts w:ascii="Times New Roman" w:hAnsi="Times New Roman"/>
          <w:sz w:val="35"/>
        </w:rPr>
        <w:sectPr>
          <w:type w:val="continuous"/>
          <w:pgSz w:w="12240" w:h="15840"/>
          <w:pgMar w:top="1500" w:bottom="1580" w:left="1720" w:right="1420"/>
          <w:cols w:num="2" w:equalWidth="0">
            <w:col w:w="4893" w:space="40"/>
            <w:col w:w="4167"/>
          </w:cols>
        </w:sectPr>
      </w:pPr>
    </w:p>
    <w:p>
      <w:pPr>
        <w:pStyle w:val="BodyText"/>
        <w:rPr>
          <w:rFonts w:ascii="Times New Roman"/>
          <w:sz w:val="20"/>
        </w:rPr>
      </w:pPr>
    </w:p>
    <w:p>
      <w:pPr>
        <w:pStyle w:val="BodyText"/>
        <w:spacing w:before="2"/>
        <w:rPr>
          <w:rFonts w:ascii="Times New Roman"/>
          <w:sz w:val="22"/>
        </w:rPr>
      </w:pPr>
    </w:p>
    <w:p>
      <w:pPr>
        <w:pStyle w:val="BodyText"/>
        <w:spacing w:line="360" w:lineRule="auto" w:before="70"/>
        <w:ind w:left="152" w:right="106"/>
        <w:jc w:val="both"/>
      </w:pPr>
      <w:r>
        <w:rPr/>
        <w:t>Se parte del supuesto de que p y q son iguales (dado que se quiere conocer en la misma proporción tanto de hombres como mujeres), dada una población de 5 484 habitantes de localidades detectadas </w:t>
      </w:r>
      <w:r>
        <w:rPr>
          <w:spacing w:val="-5"/>
        </w:rPr>
        <w:t>como </w:t>
      </w:r>
      <w:r>
        <w:rPr/>
        <w:t>expulsoras de migrantes en Tenancingo, </w:t>
      </w:r>
      <w:r>
        <w:rPr>
          <w:spacing w:val="-3"/>
        </w:rPr>
        <w:t>se </w:t>
      </w:r>
      <w:r>
        <w:rPr/>
        <w:t>tiene un valor de n = 99.54 encuestas por aplicar en las  localidades</w:t>
      </w:r>
      <w:r>
        <w:rPr>
          <w:spacing w:val="-7"/>
        </w:rPr>
        <w:t> </w:t>
      </w:r>
      <w:r>
        <w:rPr/>
        <w:t>seleccionadas.</w:t>
      </w:r>
    </w:p>
    <w:p>
      <w:pPr>
        <w:pStyle w:val="BodyText"/>
      </w:pPr>
    </w:p>
    <w:p>
      <w:pPr>
        <w:pStyle w:val="BodyText"/>
      </w:pPr>
    </w:p>
    <w:p>
      <w:pPr>
        <w:pStyle w:val="BodyText"/>
      </w:pPr>
    </w:p>
    <w:p>
      <w:pPr>
        <w:pStyle w:val="BodyText"/>
      </w:pPr>
    </w:p>
    <w:p>
      <w:pPr>
        <w:pStyle w:val="BodyText"/>
        <w:spacing w:before="142"/>
        <w:ind w:left="152"/>
        <w:jc w:val="both"/>
      </w:pPr>
      <w:r>
        <w:rPr/>
        <w:t>7.-  Diseño del cuestionario</w:t>
      </w:r>
    </w:p>
    <w:p>
      <w:pPr>
        <w:pStyle w:val="BodyText"/>
      </w:pPr>
    </w:p>
    <w:p>
      <w:pPr>
        <w:pStyle w:val="BodyText"/>
        <w:spacing w:before="9"/>
        <w:rPr>
          <w:sz w:val="23"/>
        </w:rPr>
      </w:pPr>
    </w:p>
    <w:p>
      <w:pPr>
        <w:pStyle w:val="BodyText"/>
        <w:spacing w:line="360" w:lineRule="auto"/>
        <w:ind w:left="152" w:right="106"/>
        <w:jc w:val="both"/>
      </w:pPr>
      <w:r>
        <w:rPr/>
        <w:t>La encuesta se conforma por tres secciones a saber, en la primera se refiere a información socioeconómica del familiar y del migrante, la segunda a cuestiones de motivos de salida de sus lugares de origen, beneficios obtenidos de la migración, ocupación, tipo de migración y motivos de regreso y la tercera sección sobre los montos de remesas recibidas y los usos que les dan a éstas los familiares. Las preguntas son de formato cerrado en su mayoría, con el propósito de hacer </w:t>
      </w:r>
      <w:r>
        <w:rPr>
          <w:spacing w:val="-3"/>
        </w:rPr>
        <w:t>más </w:t>
      </w:r>
      <w:r>
        <w:rPr/>
        <w:t>simple su tabulación y</w:t>
      </w:r>
      <w:r>
        <w:rPr>
          <w:spacing w:val="-5"/>
        </w:rPr>
        <w:t> </w:t>
      </w:r>
      <w:r>
        <w:rPr/>
        <w:t>análisis.</w:t>
      </w:r>
    </w:p>
    <w:p>
      <w:pPr>
        <w:pStyle w:val="BodyText"/>
      </w:pPr>
    </w:p>
    <w:p>
      <w:pPr>
        <w:pStyle w:val="BodyText"/>
        <w:spacing w:before="140"/>
        <w:ind w:left="152"/>
        <w:jc w:val="both"/>
      </w:pPr>
      <w:r>
        <w:rPr/>
        <w:t>8.- Periodo y lugar de aplicación</w:t>
      </w:r>
    </w:p>
    <w:p>
      <w:pPr>
        <w:pStyle w:val="BodyText"/>
      </w:pPr>
    </w:p>
    <w:p>
      <w:pPr>
        <w:pStyle w:val="BodyText"/>
        <w:spacing w:before="2"/>
      </w:pPr>
    </w:p>
    <w:p>
      <w:pPr>
        <w:pStyle w:val="BodyText"/>
        <w:spacing w:line="360" w:lineRule="auto"/>
        <w:ind w:left="152" w:right="104"/>
        <w:jc w:val="both"/>
      </w:pPr>
      <w:r>
        <w:rPr/>
        <w:t>La aplicación de las encuestas se llevó a cabo en las localidades seleccionadas en los domicilios de los informantes, en los meses de diciembre 2012 y enero de 2013, dado que es un periodo en el que regresan de manera temporal más migrantes a sus lugares de origen.</w:t>
      </w:r>
    </w:p>
    <w:p>
      <w:pPr>
        <w:spacing w:after="0" w:line="360" w:lineRule="auto"/>
        <w:jc w:val="both"/>
        <w:sectPr>
          <w:type w:val="continuous"/>
          <w:pgSz w:w="12240" w:h="15840"/>
          <w:pgMar w:top="1500" w:bottom="1580" w:left="1720" w:right="1420"/>
        </w:sectPr>
      </w:pPr>
    </w:p>
    <w:p>
      <w:pPr>
        <w:pStyle w:val="BodyText"/>
        <w:spacing w:before="6"/>
        <w:rPr>
          <w:sz w:val="25"/>
        </w:rPr>
      </w:pPr>
    </w:p>
    <w:p>
      <w:pPr>
        <w:pStyle w:val="Heading2"/>
        <w:numPr>
          <w:ilvl w:val="1"/>
          <w:numId w:val="16"/>
        </w:numPr>
        <w:tabs>
          <w:tab w:pos="557" w:val="left" w:leader="none"/>
        </w:tabs>
        <w:spacing w:line="240" w:lineRule="auto" w:before="70" w:after="0"/>
        <w:ind w:left="556" w:right="0" w:hanging="404"/>
        <w:jc w:val="both"/>
      </w:pPr>
      <w:bookmarkStart w:name="_bookmark26" w:id="44"/>
      <w:bookmarkEnd w:id="44"/>
      <w:r>
        <w:rPr>
          <w:b w:val="0"/>
        </w:rPr>
      </w:r>
      <w:bookmarkStart w:name="_bookmark26" w:id="45"/>
      <w:bookmarkEnd w:id="45"/>
      <w:r>
        <w:rPr/>
        <w:t>P</w:t>
      </w:r>
      <w:r>
        <w:rPr/>
        <w:t>resentación y análisis de</w:t>
      </w:r>
      <w:r>
        <w:rPr>
          <w:spacing w:val="-21"/>
        </w:rPr>
        <w:t> </w:t>
      </w:r>
      <w:r>
        <w:rPr/>
        <w:t>resultados</w:t>
      </w:r>
    </w:p>
    <w:p>
      <w:pPr>
        <w:pStyle w:val="BodyText"/>
        <w:rPr>
          <w:b/>
        </w:rPr>
      </w:pPr>
    </w:p>
    <w:p>
      <w:pPr>
        <w:pStyle w:val="BodyText"/>
        <w:rPr>
          <w:b/>
        </w:rPr>
      </w:pPr>
    </w:p>
    <w:p>
      <w:pPr>
        <w:pStyle w:val="Heading3"/>
        <w:numPr>
          <w:ilvl w:val="2"/>
          <w:numId w:val="16"/>
        </w:numPr>
        <w:tabs>
          <w:tab w:pos="825" w:val="left" w:leader="none"/>
        </w:tabs>
        <w:spacing w:line="240" w:lineRule="auto" w:before="200" w:after="0"/>
        <w:ind w:left="825" w:right="0" w:hanging="673"/>
        <w:jc w:val="both"/>
        <w:rPr>
          <w:i/>
        </w:rPr>
      </w:pPr>
      <w:bookmarkStart w:name="_bookmark27" w:id="46"/>
      <w:bookmarkEnd w:id="46"/>
      <w:r>
        <w:rPr>
          <w:b w:val="0"/>
          <w:i w:val="0"/>
        </w:rPr>
      </w:r>
      <w:bookmarkStart w:name="_bookmark27" w:id="47"/>
      <w:bookmarkEnd w:id="47"/>
      <w:r>
        <w:rPr>
          <w:i/>
        </w:rPr>
        <w:t>S</w:t>
      </w:r>
      <w:r>
        <w:rPr>
          <w:i/>
        </w:rPr>
        <w:t>ituación socioeconómica del municipio de</w:t>
      </w:r>
      <w:r>
        <w:rPr>
          <w:i/>
          <w:spacing w:val="-39"/>
        </w:rPr>
        <w:t> </w:t>
      </w:r>
      <w:r>
        <w:rPr>
          <w:i/>
        </w:rPr>
        <w:t>Tenancingo</w:t>
      </w:r>
    </w:p>
    <w:p>
      <w:pPr>
        <w:pStyle w:val="BodyText"/>
        <w:rPr>
          <w:b/>
          <w:i/>
        </w:rPr>
      </w:pPr>
    </w:p>
    <w:p>
      <w:pPr>
        <w:pStyle w:val="BodyText"/>
        <w:spacing w:line="360" w:lineRule="auto" w:before="182"/>
        <w:ind w:left="152" w:right="103"/>
        <w:jc w:val="both"/>
      </w:pPr>
      <w:r>
        <w:rPr/>
        <w:t>Tenancingo se localiza en el sur del Estado de México, limita al norte con los municipios de Tenango del Valle y Joquicingo; al sur con el municipio de Zumpahuacán; al este con el municipio de Malinalco; al oeste con el municipio de Villa Guerrero. Para 2010, en Tenancingo hay un total de 6814 hogares. De los cuales, 6616 son casas normales o departamentos. De acuerdo con la dotación de servicios, 255 hogares tienen piso de tierra y 402 consisten en un cuarto solo, hay 6384 viviendas que cuentan con instalaciones sanitarias, 6220 viviendas  que están conectado a la red pública y 6430 viviendas tienen acceso a la luz eléctrica, 1520 tienen una o más computadoras, 3829 cuentan por lo menos con una lavadora y 6291 viviendas tienen uno o más televisores (CONAPO, 2010).</w:t>
      </w:r>
    </w:p>
    <w:p>
      <w:pPr>
        <w:pStyle w:val="BodyText"/>
      </w:pPr>
    </w:p>
    <w:p>
      <w:pPr>
        <w:pStyle w:val="BodyText"/>
        <w:spacing w:line="348" w:lineRule="auto" w:before="144"/>
        <w:ind w:left="152" w:right="112"/>
        <w:jc w:val="both"/>
      </w:pPr>
      <w:r>
        <w:rPr/>
        <w:t>En 2010, la población económica activa ocupada (PEA) fue de 25,374 personas, de las cuales el 99.01 por cien estaban ocupadas y sólo el 0.99 por cien se encontraba en situación de desempleo.  Con relación a los    niveles de ingreso, el</w:t>
      </w:r>
    </w:p>
    <w:p>
      <w:pPr>
        <w:pStyle w:val="BodyText"/>
        <w:spacing w:line="348" w:lineRule="auto" w:before="2"/>
        <w:ind w:left="152" w:right="111"/>
        <w:jc w:val="both"/>
      </w:pPr>
      <w:r>
        <w:rPr/>
        <w:t>7.9 por cien de la población no percibe ingresos (1,974 personas), la población  que percibe una retribución inferior a un salario mínimo representa el 13.3 por cien (3,325 habitantes); el 36.8 por cien percibe de 1 a 2 veces el salario mínimo (9,224 empleados); el 29.6 por cien se ubica en el grupo de ingresos mayores a 2 y</w:t>
      </w:r>
      <w:r>
        <w:rPr>
          <w:spacing w:val="6"/>
        </w:rPr>
        <w:t> </w:t>
      </w:r>
      <w:r>
        <w:rPr/>
        <w:t>hasta</w:t>
      </w:r>
    </w:p>
    <w:p>
      <w:pPr>
        <w:pStyle w:val="BodyText"/>
        <w:spacing w:line="348" w:lineRule="auto" w:before="7"/>
        <w:ind w:left="152" w:right="105"/>
        <w:jc w:val="both"/>
      </w:pPr>
      <w:r>
        <w:rPr/>
        <w:t>5 veces el salario mínimo (7,441 ocupados); el 5.1 por cien percibe ingresos mayores a 5 y hasta 10 veces el salario mínimo (1,288 personas) y sólo el 5.6 por cien tiene ingresos mayores a 10 salarios mínimos (1,401 personas empleadas) (CONAPO,2010).</w:t>
      </w:r>
    </w:p>
    <w:p>
      <w:pPr>
        <w:pStyle w:val="BodyText"/>
        <w:spacing w:before="9"/>
        <w:rPr>
          <w:sz w:val="34"/>
        </w:rPr>
      </w:pPr>
    </w:p>
    <w:p>
      <w:pPr>
        <w:pStyle w:val="BodyText"/>
        <w:spacing w:line="350" w:lineRule="auto"/>
        <w:ind w:left="152" w:right="105"/>
        <w:jc w:val="both"/>
      </w:pPr>
      <w:r>
        <w:rPr/>
        <w:t>Los niveles de escolaridad de la población, en general, son inferiores a los registrados en promedio en la entidad. De la población alfabetizada, el    51.71 por</w:t>
      </w:r>
    </w:p>
    <w:p>
      <w:pPr>
        <w:spacing w:after="0" w:line="350" w:lineRule="auto"/>
        <w:jc w:val="both"/>
        <w:sectPr>
          <w:pgSz w:w="12240" w:h="15840"/>
          <w:pgMar w:header="0" w:footer="1382" w:top="1500" w:bottom="1580" w:left="1720" w:right="1420"/>
        </w:sectPr>
      </w:pPr>
    </w:p>
    <w:p>
      <w:pPr>
        <w:pStyle w:val="BodyText"/>
        <w:spacing w:before="11"/>
        <w:rPr>
          <w:sz w:val="25"/>
        </w:rPr>
      </w:pPr>
    </w:p>
    <w:p>
      <w:pPr>
        <w:pStyle w:val="BodyText"/>
        <w:spacing w:before="69"/>
        <w:ind w:left="232"/>
        <w:jc w:val="both"/>
      </w:pPr>
      <w:r>
        <w:rPr/>
        <w:t>cien presenta educación primaria, 23.13 por cien tiene educación media básica,</w:t>
      </w:r>
    </w:p>
    <w:p>
      <w:pPr>
        <w:pStyle w:val="BodyText"/>
        <w:spacing w:line="350" w:lineRule="auto" w:before="122"/>
        <w:ind w:left="232" w:right="235"/>
        <w:jc w:val="both"/>
      </w:pPr>
      <w:r>
        <w:rPr/>
        <w:t>10.26 por cien posee educación superior y sólo el 0.5 por ciento cuenta con maestría o doctorado (CONAPO, 2010).</w:t>
      </w:r>
    </w:p>
    <w:p>
      <w:pPr>
        <w:pStyle w:val="BodyText"/>
        <w:spacing w:before="6"/>
        <w:rPr>
          <w:sz w:val="34"/>
        </w:rPr>
      </w:pPr>
    </w:p>
    <w:p>
      <w:pPr>
        <w:pStyle w:val="Heading3"/>
        <w:numPr>
          <w:ilvl w:val="2"/>
          <w:numId w:val="16"/>
        </w:numPr>
        <w:tabs>
          <w:tab w:pos="905" w:val="left" w:leader="none"/>
        </w:tabs>
        <w:spacing w:line="240" w:lineRule="auto" w:before="0" w:after="0"/>
        <w:ind w:left="905" w:right="0" w:hanging="673"/>
        <w:jc w:val="both"/>
        <w:rPr>
          <w:i/>
        </w:rPr>
      </w:pPr>
      <w:bookmarkStart w:name="_bookmark28" w:id="48"/>
      <w:bookmarkEnd w:id="48"/>
      <w:r>
        <w:rPr>
          <w:b w:val="0"/>
          <w:i w:val="0"/>
        </w:rPr>
      </w:r>
      <w:bookmarkStart w:name="_bookmark28" w:id="49"/>
      <w:bookmarkEnd w:id="49"/>
      <w:r>
        <w:rPr>
          <w:i/>
        </w:rPr>
        <w:t>De</w:t>
      </w:r>
      <w:r>
        <w:rPr>
          <w:i/>
        </w:rPr>
        <w:t>scripción de</w:t>
      </w:r>
      <w:r>
        <w:rPr>
          <w:i/>
          <w:spacing w:val="-17"/>
        </w:rPr>
        <w:t> </w:t>
      </w:r>
      <w:r>
        <w:rPr>
          <w:i/>
        </w:rPr>
        <w:t>resultados</w:t>
      </w:r>
    </w:p>
    <w:p>
      <w:pPr>
        <w:pStyle w:val="BodyText"/>
        <w:rPr>
          <w:b/>
          <w:i/>
        </w:rPr>
      </w:pPr>
    </w:p>
    <w:p>
      <w:pPr>
        <w:pStyle w:val="BodyText"/>
        <w:spacing w:before="8"/>
        <w:rPr>
          <w:b/>
          <w:i/>
          <w:sz w:val="21"/>
        </w:rPr>
      </w:pPr>
    </w:p>
    <w:p>
      <w:pPr>
        <w:pStyle w:val="BodyText"/>
        <w:spacing w:line="348" w:lineRule="auto"/>
        <w:ind w:left="232" w:right="230"/>
        <w:jc w:val="both"/>
      </w:pPr>
      <w:r>
        <w:rPr/>
        <w:t>En primer término, los aspectos socioeconómicos de los informantes muestran  que en las localidades estudias se presentan cambios en la tendencia migratoria, es decir, se ha equiparado casi en igual número la emigración tanto en hombres como mujeres, con una edad relativamente joven y </w:t>
      </w:r>
      <w:r>
        <w:rPr>
          <w:spacing w:val="-3"/>
        </w:rPr>
        <w:t>más </w:t>
      </w:r>
      <w:r>
        <w:rPr/>
        <w:t>del 50 por cien recibe de  1 a 3 salarios mínimos (Véase cuadro</w:t>
      </w:r>
      <w:r>
        <w:rPr>
          <w:spacing w:val="-15"/>
        </w:rPr>
        <w:t> </w:t>
      </w:r>
      <w:r>
        <w:rPr/>
        <w:t>3).</w:t>
      </w:r>
    </w:p>
    <w:p>
      <w:pPr>
        <w:pStyle w:val="BodyText"/>
        <w:spacing w:before="2"/>
        <w:rPr>
          <w:sz w:val="35"/>
        </w:rPr>
      </w:pPr>
    </w:p>
    <w:p>
      <w:pPr>
        <w:pStyle w:val="BodyText"/>
        <w:ind w:left="2715" w:right="2715"/>
        <w:jc w:val="center"/>
      </w:pPr>
      <w:r>
        <w:rPr/>
        <w:t>Tabla 8. Aspectos socioeconómicos</w:t>
      </w:r>
    </w:p>
    <w:p>
      <w:pPr>
        <w:pStyle w:val="BodyText"/>
        <w:spacing w:before="9"/>
        <w:rPr>
          <w:sz w:val="18"/>
        </w:rPr>
      </w:pPr>
      <w:r>
        <w:rPr/>
        <w:pict>
          <v:group style="position:absolute;margin-left:87.603996pt;margin-top:12.797046pt;width:454.1pt;height:1pt;mso-position-horizontal-relative:page;mso-position-vertical-relative:paragraph;z-index:1672;mso-wrap-distance-left:0;mso-wrap-distance-right:0" coordorigin="1752,256" coordsize="9082,20">
            <v:line style="position:absolute" from="1762,266" to="4840,266" stroked="true" strokeweight=".95999pt" strokecolor="#000000"/>
            <v:line style="position:absolute" from="4840,266" to="4860,266" stroked="true" strokeweight=".95999pt" strokecolor="#000000"/>
            <v:line style="position:absolute" from="4860,266" to="8864,266" stroked="true" strokeweight=".95999pt" strokecolor="#000000"/>
            <v:line style="position:absolute" from="8864,266" to="8884,266" stroked="true" strokeweight=".95999pt" strokecolor="#000000"/>
            <v:line style="position:absolute" from="8884,266" to="10823,266" stroked="true" strokeweight=".95999pt" strokecolor="#000000"/>
            <w10:wrap type="topAndBottom"/>
          </v:group>
        </w:pict>
      </w:r>
    </w:p>
    <w:p>
      <w:pPr>
        <w:tabs>
          <w:tab w:pos="3305" w:val="left" w:leader="none"/>
          <w:tab w:pos="7330" w:val="left" w:leader="none"/>
        </w:tabs>
        <w:spacing w:line="219" w:lineRule="exact" w:before="0" w:after="16"/>
        <w:ind w:left="232" w:right="0" w:firstLine="0"/>
        <w:jc w:val="left"/>
        <w:rPr>
          <w:b/>
          <w:sz w:val="22"/>
        </w:rPr>
      </w:pPr>
      <w:r>
        <w:rPr>
          <w:b/>
          <w:sz w:val="22"/>
        </w:rPr>
        <w:t>Variable</w:t>
        <w:tab/>
        <w:t>Nivel</w:t>
      </w:r>
      <w:r>
        <w:rPr>
          <w:b/>
          <w:spacing w:val="-3"/>
          <w:sz w:val="22"/>
        </w:rPr>
        <w:t> </w:t>
      </w:r>
      <w:r>
        <w:rPr>
          <w:b/>
          <w:sz w:val="22"/>
        </w:rPr>
        <w:t>o paramento</w:t>
        <w:tab/>
        <w:t>Valor</w:t>
      </w:r>
      <w:r>
        <w:rPr>
          <w:b/>
          <w:spacing w:val="-1"/>
          <w:sz w:val="22"/>
        </w:rPr>
        <w:t> </w:t>
      </w:r>
      <w:r>
        <w:rPr>
          <w:b/>
          <w:sz w:val="22"/>
        </w:rPr>
        <w:t>porcentual</w:t>
      </w: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65"/>
        <w:gridCol w:w="4040"/>
        <w:gridCol w:w="2557"/>
      </w:tblGrid>
      <w:tr>
        <w:trPr>
          <w:trHeight w:val="282" w:hRule="exact"/>
        </w:trPr>
        <w:tc>
          <w:tcPr>
            <w:tcW w:w="9062" w:type="dxa"/>
            <w:gridSpan w:val="3"/>
            <w:tcBorders>
              <w:left w:val="nil"/>
              <w:bottom w:val="nil"/>
              <w:right w:val="nil"/>
            </w:tcBorders>
            <w:shd w:val="clear" w:color="auto" w:fill="C0C0C0"/>
          </w:tcPr>
          <w:p>
            <w:pPr>
              <w:pStyle w:val="TableParagraph"/>
              <w:spacing w:line="244" w:lineRule="exact"/>
              <w:ind w:left="110"/>
              <w:rPr>
                <w:b/>
                <w:sz w:val="22"/>
              </w:rPr>
            </w:pPr>
            <w:r>
              <w:rPr>
                <w:b/>
                <w:sz w:val="22"/>
              </w:rPr>
              <w:t>Bloque 1. Aspectos socioeconómicos</w:t>
            </w:r>
          </w:p>
        </w:tc>
      </w:tr>
      <w:tr>
        <w:trPr>
          <w:trHeight w:val="242" w:hRule="exact"/>
        </w:trPr>
        <w:tc>
          <w:tcPr>
            <w:tcW w:w="2465" w:type="dxa"/>
            <w:tcBorders>
              <w:top w:val="nil"/>
              <w:left w:val="nil"/>
              <w:bottom w:val="nil"/>
              <w:right w:val="nil"/>
            </w:tcBorders>
          </w:tcPr>
          <w:p>
            <w:pPr>
              <w:pStyle w:val="TableParagraph"/>
              <w:spacing w:line="243" w:lineRule="exact"/>
              <w:ind w:left="110"/>
              <w:rPr>
                <w:b/>
                <w:sz w:val="22"/>
              </w:rPr>
            </w:pPr>
            <w:r>
              <w:rPr>
                <w:b/>
                <w:sz w:val="22"/>
              </w:rPr>
              <w:t>Sexo</w:t>
            </w:r>
          </w:p>
        </w:tc>
        <w:tc>
          <w:tcPr>
            <w:tcW w:w="4040" w:type="dxa"/>
            <w:tcBorders>
              <w:top w:val="nil"/>
              <w:left w:val="nil"/>
              <w:bottom w:val="nil"/>
              <w:right w:val="nil"/>
            </w:tcBorders>
          </w:tcPr>
          <w:p>
            <w:pPr>
              <w:pStyle w:val="TableParagraph"/>
              <w:spacing w:line="248" w:lineRule="exact"/>
              <w:ind w:left="718"/>
              <w:rPr>
                <w:sz w:val="22"/>
              </w:rPr>
            </w:pPr>
            <w:r>
              <w:rPr>
                <w:sz w:val="22"/>
              </w:rPr>
              <w:t>Masculino</w:t>
            </w:r>
          </w:p>
        </w:tc>
        <w:tc>
          <w:tcPr>
            <w:tcW w:w="2557" w:type="dxa"/>
            <w:tcBorders>
              <w:top w:val="nil"/>
              <w:left w:val="nil"/>
              <w:bottom w:val="nil"/>
              <w:right w:val="nil"/>
            </w:tcBorders>
          </w:tcPr>
          <w:p>
            <w:pPr>
              <w:pStyle w:val="TableParagraph"/>
              <w:spacing w:line="248" w:lineRule="exact"/>
              <w:ind w:left="703"/>
              <w:rPr>
                <w:sz w:val="22"/>
              </w:rPr>
            </w:pPr>
            <w:r>
              <w:rPr>
                <w:sz w:val="22"/>
              </w:rPr>
              <w:t>55%</w:t>
            </w:r>
          </w:p>
        </w:tc>
      </w:tr>
      <w:tr>
        <w:trPr>
          <w:trHeight w:val="249" w:hRule="exact"/>
        </w:trPr>
        <w:tc>
          <w:tcPr>
            <w:tcW w:w="2465" w:type="dxa"/>
            <w:tcBorders>
              <w:top w:val="nil"/>
              <w:left w:val="nil"/>
              <w:bottom w:val="nil"/>
              <w:right w:val="nil"/>
            </w:tcBorders>
          </w:tcPr>
          <w:p>
            <w:pPr/>
          </w:p>
        </w:tc>
        <w:tc>
          <w:tcPr>
            <w:tcW w:w="4040" w:type="dxa"/>
            <w:tcBorders>
              <w:top w:val="nil"/>
              <w:left w:val="nil"/>
              <w:bottom w:val="nil"/>
              <w:right w:val="nil"/>
            </w:tcBorders>
          </w:tcPr>
          <w:p>
            <w:pPr>
              <w:pStyle w:val="TableParagraph"/>
              <w:spacing w:line="242" w:lineRule="exact"/>
              <w:ind w:left="718"/>
              <w:rPr>
                <w:sz w:val="22"/>
              </w:rPr>
            </w:pPr>
            <w:r>
              <w:rPr>
                <w:sz w:val="22"/>
              </w:rPr>
              <w:t>Femenino</w:t>
            </w:r>
          </w:p>
        </w:tc>
        <w:tc>
          <w:tcPr>
            <w:tcW w:w="2557" w:type="dxa"/>
            <w:tcBorders>
              <w:top w:val="nil"/>
              <w:left w:val="nil"/>
              <w:bottom w:val="nil"/>
              <w:right w:val="nil"/>
            </w:tcBorders>
          </w:tcPr>
          <w:p>
            <w:pPr>
              <w:pStyle w:val="TableParagraph"/>
              <w:spacing w:line="242" w:lineRule="exact"/>
              <w:ind w:left="703"/>
              <w:rPr>
                <w:sz w:val="22"/>
              </w:rPr>
            </w:pPr>
            <w:r>
              <w:rPr>
                <w:sz w:val="22"/>
              </w:rPr>
              <w:t>45%</w:t>
            </w:r>
          </w:p>
        </w:tc>
      </w:tr>
      <w:tr>
        <w:trPr>
          <w:trHeight w:val="258" w:hRule="exact"/>
        </w:trPr>
        <w:tc>
          <w:tcPr>
            <w:tcW w:w="2465" w:type="dxa"/>
            <w:tcBorders>
              <w:top w:val="nil"/>
              <w:left w:val="nil"/>
              <w:bottom w:val="nil"/>
              <w:right w:val="nil"/>
            </w:tcBorders>
            <w:shd w:val="clear" w:color="auto" w:fill="C0C0C0"/>
          </w:tcPr>
          <w:p>
            <w:pPr>
              <w:pStyle w:val="TableParagraph"/>
              <w:spacing w:line="243" w:lineRule="exact"/>
              <w:ind w:left="110"/>
              <w:rPr>
                <w:b/>
                <w:sz w:val="22"/>
              </w:rPr>
            </w:pPr>
            <w:r>
              <w:rPr>
                <w:b/>
                <w:sz w:val="22"/>
              </w:rPr>
              <w:t>Edad</w:t>
            </w:r>
          </w:p>
        </w:tc>
        <w:tc>
          <w:tcPr>
            <w:tcW w:w="4040" w:type="dxa"/>
            <w:tcBorders>
              <w:top w:val="nil"/>
              <w:left w:val="nil"/>
              <w:bottom w:val="nil"/>
              <w:right w:val="nil"/>
            </w:tcBorders>
            <w:shd w:val="clear" w:color="auto" w:fill="C0C0C0"/>
          </w:tcPr>
          <w:p>
            <w:pPr>
              <w:pStyle w:val="TableParagraph"/>
              <w:spacing w:line="248" w:lineRule="exact"/>
              <w:ind w:left="718"/>
              <w:rPr>
                <w:sz w:val="22"/>
              </w:rPr>
            </w:pPr>
            <w:r>
              <w:rPr>
                <w:sz w:val="22"/>
              </w:rPr>
              <w:t>18-25</w:t>
            </w:r>
          </w:p>
        </w:tc>
        <w:tc>
          <w:tcPr>
            <w:tcW w:w="2557" w:type="dxa"/>
            <w:tcBorders>
              <w:top w:val="nil"/>
              <w:left w:val="nil"/>
              <w:bottom w:val="nil"/>
              <w:right w:val="nil"/>
            </w:tcBorders>
            <w:shd w:val="clear" w:color="auto" w:fill="C0C0C0"/>
          </w:tcPr>
          <w:p>
            <w:pPr>
              <w:pStyle w:val="TableParagraph"/>
              <w:spacing w:line="248" w:lineRule="exact"/>
              <w:ind w:left="703"/>
              <w:rPr>
                <w:sz w:val="22"/>
              </w:rPr>
            </w:pPr>
            <w:r>
              <w:rPr>
                <w:sz w:val="22"/>
              </w:rPr>
              <w:t>38%</w:t>
            </w:r>
          </w:p>
        </w:tc>
      </w:tr>
      <w:tr>
        <w:trPr>
          <w:trHeight w:val="252" w:hRule="exact"/>
        </w:trPr>
        <w:tc>
          <w:tcPr>
            <w:tcW w:w="2465" w:type="dxa"/>
            <w:tcBorders>
              <w:top w:val="nil"/>
              <w:left w:val="nil"/>
              <w:bottom w:val="nil"/>
              <w:right w:val="nil"/>
            </w:tcBorders>
            <w:shd w:val="clear" w:color="auto" w:fill="C0C0C0"/>
          </w:tcPr>
          <w:p>
            <w:pPr/>
          </w:p>
        </w:tc>
        <w:tc>
          <w:tcPr>
            <w:tcW w:w="4040" w:type="dxa"/>
            <w:tcBorders>
              <w:top w:val="nil"/>
              <w:left w:val="nil"/>
              <w:bottom w:val="nil"/>
              <w:right w:val="nil"/>
            </w:tcBorders>
            <w:shd w:val="clear" w:color="auto" w:fill="C0C0C0"/>
          </w:tcPr>
          <w:p>
            <w:pPr>
              <w:pStyle w:val="TableParagraph"/>
              <w:spacing w:line="240" w:lineRule="exact"/>
              <w:ind w:left="718"/>
              <w:rPr>
                <w:sz w:val="22"/>
              </w:rPr>
            </w:pPr>
            <w:r>
              <w:rPr>
                <w:sz w:val="22"/>
              </w:rPr>
              <w:t>26-30</w:t>
            </w:r>
          </w:p>
        </w:tc>
        <w:tc>
          <w:tcPr>
            <w:tcW w:w="2557" w:type="dxa"/>
            <w:tcBorders>
              <w:top w:val="nil"/>
              <w:left w:val="nil"/>
              <w:bottom w:val="nil"/>
              <w:right w:val="nil"/>
            </w:tcBorders>
            <w:shd w:val="clear" w:color="auto" w:fill="C0C0C0"/>
          </w:tcPr>
          <w:p>
            <w:pPr>
              <w:pStyle w:val="TableParagraph"/>
              <w:spacing w:line="240" w:lineRule="exact"/>
              <w:ind w:left="703"/>
              <w:rPr>
                <w:sz w:val="22"/>
              </w:rPr>
            </w:pPr>
            <w:r>
              <w:rPr>
                <w:sz w:val="22"/>
              </w:rPr>
              <w:t>23%</w:t>
            </w:r>
          </w:p>
        </w:tc>
      </w:tr>
      <w:tr>
        <w:trPr>
          <w:trHeight w:val="254" w:hRule="exact"/>
        </w:trPr>
        <w:tc>
          <w:tcPr>
            <w:tcW w:w="2465" w:type="dxa"/>
            <w:tcBorders>
              <w:top w:val="nil"/>
              <w:left w:val="nil"/>
              <w:bottom w:val="nil"/>
              <w:right w:val="nil"/>
            </w:tcBorders>
            <w:shd w:val="clear" w:color="auto" w:fill="C0C0C0"/>
          </w:tcPr>
          <w:p>
            <w:pPr/>
          </w:p>
        </w:tc>
        <w:tc>
          <w:tcPr>
            <w:tcW w:w="4040" w:type="dxa"/>
            <w:tcBorders>
              <w:top w:val="nil"/>
              <w:left w:val="nil"/>
              <w:bottom w:val="nil"/>
              <w:right w:val="nil"/>
            </w:tcBorders>
            <w:shd w:val="clear" w:color="auto" w:fill="C0C0C0"/>
          </w:tcPr>
          <w:p>
            <w:pPr>
              <w:pStyle w:val="TableParagraph"/>
              <w:spacing w:line="242" w:lineRule="exact"/>
              <w:ind w:left="718"/>
              <w:rPr>
                <w:sz w:val="22"/>
              </w:rPr>
            </w:pPr>
            <w:r>
              <w:rPr>
                <w:sz w:val="22"/>
              </w:rPr>
              <w:t>31-40</w:t>
            </w:r>
          </w:p>
        </w:tc>
        <w:tc>
          <w:tcPr>
            <w:tcW w:w="2557" w:type="dxa"/>
            <w:tcBorders>
              <w:top w:val="nil"/>
              <w:left w:val="nil"/>
              <w:bottom w:val="nil"/>
              <w:right w:val="nil"/>
            </w:tcBorders>
            <w:shd w:val="clear" w:color="auto" w:fill="C0C0C0"/>
          </w:tcPr>
          <w:p>
            <w:pPr>
              <w:pStyle w:val="TableParagraph"/>
              <w:spacing w:line="242" w:lineRule="exact"/>
              <w:ind w:left="703"/>
              <w:rPr>
                <w:sz w:val="22"/>
              </w:rPr>
            </w:pPr>
            <w:r>
              <w:rPr>
                <w:sz w:val="22"/>
              </w:rPr>
              <w:t>20%</w:t>
            </w:r>
          </w:p>
        </w:tc>
      </w:tr>
      <w:tr>
        <w:trPr>
          <w:trHeight w:val="244" w:hRule="exact"/>
        </w:trPr>
        <w:tc>
          <w:tcPr>
            <w:tcW w:w="2465" w:type="dxa"/>
            <w:tcBorders>
              <w:top w:val="nil"/>
              <w:left w:val="nil"/>
              <w:bottom w:val="nil"/>
              <w:right w:val="nil"/>
            </w:tcBorders>
            <w:shd w:val="clear" w:color="auto" w:fill="C0C0C0"/>
          </w:tcPr>
          <w:p>
            <w:pPr/>
          </w:p>
        </w:tc>
        <w:tc>
          <w:tcPr>
            <w:tcW w:w="4040" w:type="dxa"/>
            <w:tcBorders>
              <w:top w:val="nil"/>
              <w:left w:val="nil"/>
              <w:bottom w:val="nil"/>
              <w:right w:val="nil"/>
            </w:tcBorders>
            <w:shd w:val="clear" w:color="auto" w:fill="C0C0C0"/>
          </w:tcPr>
          <w:p>
            <w:pPr>
              <w:pStyle w:val="TableParagraph"/>
              <w:spacing w:line="242" w:lineRule="exact"/>
              <w:ind w:left="718"/>
              <w:rPr>
                <w:sz w:val="22"/>
              </w:rPr>
            </w:pPr>
            <w:r>
              <w:rPr>
                <w:sz w:val="22"/>
              </w:rPr>
              <w:t>Más de 40</w:t>
            </w:r>
          </w:p>
        </w:tc>
        <w:tc>
          <w:tcPr>
            <w:tcW w:w="2557" w:type="dxa"/>
            <w:tcBorders>
              <w:top w:val="nil"/>
              <w:left w:val="nil"/>
              <w:bottom w:val="nil"/>
              <w:right w:val="nil"/>
            </w:tcBorders>
            <w:shd w:val="clear" w:color="auto" w:fill="C0C0C0"/>
          </w:tcPr>
          <w:p>
            <w:pPr>
              <w:pStyle w:val="TableParagraph"/>
              <w:spacing w:line="242" w:lineRule="exact"/>
              <w:ind w:left="703"/>
              <w:rPr>
                <w:sz w:val="22"/>
              </w:rPr>
            </w:pPr>
            <w:r>
              <w:rPr>
                <w:sz w:val="22"/>
              </w:rPr>
              <w:t>19%</w:t>
            </w:r>
          </w:p>
        </w:tc>
      </w:tr>
      <w:tr>
        <w:trPr>
          <w:trHeight w:val="260" w:hRule="exact"/>
        </w:trPr>
        <w:tc>
          <w:tcPr>
            <w:tcW w:w="2465" w:type="dxa"/>
            <w:tcBorders>
              <w:top w:val="nil"/>
              <w:left w:val="nil"/>
              <w:bottom w:val="nil"/>
              <w:right w:val="nil"/>
            </w:tcBorders>
          </w:tcPr>
          <w:p>
            <w:pPr>
              <w:pStyle w:val="TableParagraph"/>
              <w:spacing w:line="243" w:lineRule="exact"/>
              <w:ind w:left="110"/>
              <w:rPr>
                <w:b/>
                <w:sz w:val="22"/>
              </w:rPr>
            </w:pPr>
            <w:r>
              <w:rPr>
                <w:b/>
                <w:sz w:val="22"/>
              </w:rPr>
              <w:t>Estado civil</w:t>
            </w:r>
          </w:p>
        </w:tc>
        <w:tc>
          <w:tcPr>
            <w:tcW w:w="4040" w:type="dxa"/>
            <w:tcBorders>
              <w:top w:val="nil"/>
              <w:left w:val="nil"/>
              <w:bottom w:val="nil"/>
              <w:right w:val="nil"/>
            </w:tcBorders>
          </w:tcPr>
          <w:p>
            <w:pPr>
              <w:pStyle w:val="TableParagraph"/>
              <w:spacing w:line="248" w:lineRule="exact"/>
              <w:ind w:left="718"/>
              <w:rPr>
                <w:sz w:val="22"/>
              </w:rPr>
            </w:pPr>
            <w:r>
              <w:rPr>
                <w:sz w:val="22"/>
              </w:rPr>
              <w:t>Casado</w:t>
            </w:r>
          </w:p>
        </w:tc>
        <w:tc>
          <w:tcPr>
            <w:tcW w:w="2557" w:type="dxa"/>
            <w:tcBorders>
              <w:top w:val="nil"/>
              <w:left w:val="nil"/>
              <w:bottom w:val="nil"/>
              <w:right w:val="nil"/>
            </w:tcBorders>
          </w:tcPr>
          <w:p>
            <w:pPr>
              <w:pStyle w:val="TableParagraph"/>
              <w:spacing w:line="248" w:lineRule="exact"/>
              <w:ind w:left="703"/>
              <w:rPr>
                <w:sz w:val="22"/>
              </w:rPr>
            </w:pPr>
            <w:r>
              <w:rPr>
                <w:sz w:val="22"/>
              </w:rPr>
              <w:t>52%</w:t>
            </w:r>
          </w:p>
        </w:tc>
      </w:tr>
      <w:tr>
        <w:trPr>
          <w:trHeight w:val="254" w:hRule="exact"/>
        </w:trPr>
        <w:tc>
          <w:tcPr>
            <w:tcW w:w="2465" w:type="dxa"/>
            <w:tcBorders>
              <w:top w:val="nil"/>
              <w:left w:val="nil"/>
              <w:bottom w:val="nil"/>
              <w:right w:val="nil"/>
            </w:tcBorders>
          </w:tcPr>
          <w:p>
            <w:pPr/>
          </w:p>
        </w:tc>
        <w:tc>
          <w:tcPr>
            <w:tcW w:w="4040" w:type="dxa"/>
            <w:tcBorders>
              <w:top w:val="nil"/>
              <w:left w:val="nil"/>
              <w:bottom w:val="nil"/>
              <w:right w:val="nil"/>
            </w:tcBorders>
          </w:tcPr>
          <w:p>
            <w:pPr>
              <w:pStyle w:val="TableParagraph"/>
              <w:spacing w:line="242" w:lineRule="exact"/>
              <w:ind w:left="718"/>
              <w:rPr>
                <w:sz w:val="22"/>
              </w:rPr>
            </w:pPr>
            <w:r>
              <w:rPr>
                <w:sz w:val="22"/>
              </w:rPr>
              <w:t>Unión libre</w:t>
            </w:r>
          </w:p>
        </w:tc>
        <w:tc>
          <w:tcPr>
            <w:tcW w:w="2557" w:type="dxa"/>
            <w:tcBorders>
              <w:top w:val="nil"/>
              <w:left w:val="nil"/>
              <w:bottom w:val="nil"/>
              <w:right w:val="nil"/>
            </w:tcBorders>
          </w:tcPr>
          <w:p>
            <w:pPr>
              <w:pStyle w:val="TableParagraph"/>
              <w:spacing w:line="242" w:lineRule="exact"/>
              <w:ind w:left="703"/>
              <w:rPr>
                <w:sz w:val="22"/>
              </w:rPr>
            </w:pPr>
            <w:r>
              <w:rPr>
                <w:sz w:val="22"/>
              </w:rPr>
              <w:t>23%</w:t>
            </w:r>
          </w:p>
        </w:tc>
      </w:tr>
      <w:tr>
        <w:trPr>
          <w:trHeight w:val="252" w:hRule="exact"/>
        </w:trPr>
        <w:tc>
          <w:tcPr>
            <w:tcW w:w="2465" w:type="dxa"/>
            <w:tcBorders>
              <w:top w:val="nil"/>
              <w:left w:val="nil"/>
              <w:bottom w:val="nil"/>
              <w:right w:val="nil"/>
            </w:tcBorders>
          </w:tcPr>
          <w:p>
            <w:pPr/>
          </w:p>
        </w:tc>
        <w:tc>
          <w:tcPr>
            <w:tcW w:w="4040" w:type="dxa"/>
            <w:tcBorders>
              <w:top w:val="nil"/>
              <w:left w:val="nil"/>
              <w:bottom w:val="nil"/>
              <w:right w:val="nil"/>
            </w:tcBorders>
          </w:tcPr>
          <w:p>
            <w:pPr>
              <w:pStyle w:val="TableParagraph"/>
              <w:spacing w:line="242" w:lineRule="exact"/>
              <w:ind w:left="718"/>
              <w:rPr>
                <w:sz w:val="22"/>
              </w:rPr>
            </w:pPr>
            <w:r>
              <w:rPr>
                <w:sz w:val="22"/>
              </w:rPr>
              <w:t>Soltero</w:t>
            </w:r>
          </w:p>
        </w:tc>
        <w:tc>
          <w:tcPr>
            <w:tcW w:w="2557" w:type="dxa"/>
            <w:tcBorders>
              <w:top w:val="nil"/>
              <w:left w:val="nil"/>
              <w:bottom w:val="nil"/>
              <w:right w:val="nil"/>
            </w:tcBorders>
          </w:tcPr>
          <w:p>
            <w:pPr>
              <w:pStyle w:val="TableParagraph"/>
              <w:spacing w:line="242" w:lineRule="exact"/>
              <w:ind w:left="703"/>
              <w:rPr>
                <w:sz w:val="22"/>
              </w:rPr>
            </w:pPr>
            <w:r>
              <w:rPr>
                <w:sz w:val="22"/>
              </w:rPr>
              <w:t>20%</w:t>
            </w:r>
          </w:p>
        </w:tc>
      </w:tr>
      <w:tr>
        <w:trPr>
          <w:trHeight w:val="289" w:hRule="exact"/>
        </w:trPr>
        <w:tc>
          <w:tcPr>
            <w:tcW w:w="2465" w:type="dxa"/>
            <w:tcBorders>
              <w:top w:val="nil"/>
              <w:left w:val="nil"/>
              <w:bottom w:val="nil"/>
              <w:right w:val="nil"/>
            </w:tcBorders>
          </w:tcPr>
          <w:p>
            <w:pPr/>
          </w:p>
        </w:tc>
        <w:tc>
          <w:tcPr>
            <w:tcW w:w="4040" w:type="dxa"/>
            <w:tcBorders>
              <w:top w:val="nil"/>
              <w:left w:val="nil"/>
              <w:bottom w:val="nil"/>
              <w:right w:val="nil"/>
            </w:tcBorders>
          </w:tcPr>
          <w:p>
            <w:pPr>
              <w:pStyle w:val="TableParagraph"/>
              <w:spacing w:line="240" w:lineRule="exact"/>
              <w:ind w:left="718"/>
              <w:rPr>
                <w:sz w:val="22"/>
              </w:rPr>
            </w:pPr>
            <w:r>
              <w:rPr>
                <w:sz w:val="22"/>
              </w:rPr>
              <w:t>Viudo</w:t>
            </w:r>
          </w:p>
        </w:tc>
        <w:tc>
          <w:tcPr>
            <w:tcW w:w="2557" w:type="dxa"/>
            <w:tcBorders>
              <w:top w:val="nil"/>
              <w:left w:val="nil"/>
              <w:bottom w:val="nil"/>
              <w:right w:val="nil"/>
            </w:tcBorders>
          </w:tcPr>
          <w:p>
            <w:pPr>
              <w:pStyle w:val="TableParagraph"/>
              <w:spacing w:line="240" w:lineRule="exact"/>
              <w:ind w:left="703"/>
              <w:rPr>
                <w:sz w:val="22"/>
              </w:rPr>
            </w:pPr>
            <w:r>
              <w:rPr>
                <w:sz w:val="22"/>
              </w:rPr>
              <w:t>5%</w:t>
            </w:r>
          </w:p>
        </w:tc>
      </w:tr>
      <w:tr>
        <w:trPr>
          <w:trHeight w:val="258" w:hRule="exact"/>
        </w:trPr>
        <w:tc>
          <w:tcPr>
            <w:tcW w:w="2465" w:type="dxa"/>
            <w:tcBorders>
              <w:top w:val="nil"/>
              <w:left w:val="nil"/>
              <w:bottom w:val="nil"/>
              <w:right w:val="nil"/>
            </w:tcBorders>
            <w:shd w:val="clear" w:color="auto" w:fill="C0C0C0"/>
          </w:tcPr>
          <w:p>
            <w:pPr>
              <w:pStyle w:val="TableParagraph"/>
              <w:spacing w:line="243" w:lineRule="exact"/>
              <w:ind w:left="110"/>
              <w:rPr>
                <w:b/>
                <w:sz w:val="22"/>
              </w:rPr>
            </w:pPr>
            <w:r>
              <w:rPr>
                <w:b/>
                <w:sz w:val="22"/>
              </w:rPr>
              <w:t>Nivel educativo</w:t>
            </w:r>
          </w:p>
        </w:tc>
        <w:tc>
          <w:tcPr>
            <w:tcW w:w="4040" w:type="dxa"/>
            <w:tcBorders>
              <w:top w:val="nil"/>
              <w:left w:val="nil"/>
              <w:bottom w:val="nil"/>
              <w:right w:val="nil"/>
            </w:tcBorders>
            <w:shd w:val="clear" w:color="auto" w:fill="C0C0C0"/>
          </w:tcPr>
          <w:p>
            <w:pPr>
              <w:pStyle w:val="TableParagraph"/>
              <w:spacing w:line="248" w:lineRule="exact"/>
              <w:ind w:left="718"/>
              <w:rPr>
                <w:sz w:val="22"/>
              </w:rPr>
            </w:pPr>
            <w:r>
              <w:rPr>
                <w:sz w:val="22"/>
              </w:rPr>
              <w:t>Primaria</w:t>
            </w:r>
          </w:p>
        </w:tc>
        <w:tc>
          <w:tcPr>
            <w:tcW w:w="2557" w:type="dxa"/>
            <w:tcBorders>
              <w:top w:val="nil"/>
              <w:left w:val="nil"/>
              <w:bottom w:val="nil"/>
              <w:right w:val="nil"/>
            </w:tcBorders>
            <w:shd w:val="clear" w:color="auto" w:fill="C0C0C0"/>
          </w:tcPr>
          <w:p>
            <w:pPr>
              <w:pStyle w:val="TableParagraph"/>
              <w:spacing w:line="248" w:lineRule="exact"/>
              <w:ind w:left="703"/>
              <w:rPr>
                <w:sz w:val="22"/>
              </w:rPr>
            </w:pPr>
            <w:r>
              <w:rPr>
                <w:sz w:val="22"/>
              </w:rPr>
              <w:t>20%</w:t>
            </w:r>
          </w:p>
        </w:tc>
      </w:tr>
      <w:tr>
        <w:trPr>
          <w:trHeight w:val="252" w:hRule="exact"/>
        </w:trPr>
        <w:tc>
          <w:tcPr>
            <w:tcW w:w="2465" w:type="dxa"/>
            <w:tcBorders>
              <w:top w:val="nil"/>
              <w:left w:val="nil"/>
              <w:bottom w:val="nil"/>
              <w:right w:val="nil"/>
            </w:tcBorders>
            <w:shd w:val="clear" w:color="auto" w:fill="C0C0C0"/>
          </w:tcPr>
          <w:p>
            <w:pPr/>
          </w:p>
        </w:tc>
        <w:tc>
          <w:tcPr>
            <w:tcW w:w="4040" w:type="dxa"/>
            <w:tcBorders>
              <w:top w:val="nil"/>
              <w:left w:val="nil"/>
              <w:bottom w:val="nil"/>
              <w:right w:val="nil"/>
            </w:tcBorders>
            <w:shd w:val="clear" w:color="auto" w:fill="C0C0C0"/>
          </w:tcPr>
          <w:p>
            <w:pPr>
              <w:pStyle w:val="TableParagraph"/>
              <w:spacing w:line="240" w:lineRule="exact"/>
              <w:ind w:left="718"/>
              <w:rPr>
                <w:sz w:val="22"/>
              </w:rPr>
            </w:pPr>
            <w:r>
              <w:rPr>
                <w:sz w:val="22"/>
              </w:rPr>
              <w:t>Secundaria</w:t>
            </w:r>
          </w:p>
        </w:tc>
        <w:tc>
          <w:tcPr>
            <w:tcW w:w="2557" w:type="dxa"/>
            <w:tcBorders>
              <w:top w:val="nil"/>
              <w:left w:val="nil"/>
              <w:bottom w:val="nil"/>
              <w:right w:val="nil"/>
            </w:tcBorders>
            <w:shd w:val="clear" w:color="auto" w:fill="C0C0C0"/>
          </w:tcPr>
          <w:p>
            <w:pPr>
              <w:pStyle w:val="TableParagraph"/>
              <w:spacing w:line="240" w:lineRule="exact"/>
              <w:ind w:left="703"/>
              <w:rPr>
                <w:sz w:val="22"/>
              </w:rPr>
            </w:pPr>
            <w:r>
              <w:rPr>
                <w:sz w:val="22"/>
              </w:rPr>
              <w:t>38%</w:t>
            </w:r>
          </w:p>
        </w:tc>
      </w:tr>
      <w:tr>
        <w:trPr>
          <w:trHeight w:val="255" w:hRule="exact"/>
        </w:trPr>
        <w:tc>
          <w:tcPr>
            <w:tcW w:w="2465" w:type="dxa"/>
            <w:tcBorders>
              <w:top w:val="nil"/>
              <w:left w:val="nil"/>
              <w:bottom w:val="nil"/>
              <w:right w:val="nil"/>
            </w:tcBorders>
            <w:shd w:val="clear" w:color="auto" w:fill="C0C0C0"/>
          </w:tcPr>
          <w:p>
            <w:pPr/>
          </w:p>
        </w:tc>
        <w:tc>
          <w:tcPr>
            <w:tcW w:w="4040" w:type="dxa"/>
            <w:tcBorders>
              <w:top w:val="nil"/>
              <w:left w:val="nil"/>
              <w:bottom w:val="nil"/>
              <w:right w:val="nil"/>
            </w:tcBorders>
            <w:shd w:val="clear" w:color="auto" w:fill="C0C0C0"/>
          </w:tcPr>
          <w:p>
            <w:pPr>
              <w:pStyle w:val="TableParagraph"/>
              <w:spacing w:line="243" w:lineRule="exact"/>
              <w:ind w:left="718"/>
              <w:rPr>
                <w:sz w:val="22"/>
              </w:rPr>
            </w:pPr>
            <w:r>
              <w:rPr>
                <w:sz w:val="22"/>
              </w:rPr>
              <w:t>Bachillerato concluido</w:t>
            </w:r>
          </w:p>
        </w:tc>
        <w:tc>
          <w:tcPr>
            <w:tcW w:w="2557" w:type="dxa"/>
            <w:tcBorders>
              <w:top w:val="nil"/>
              <w:left w:val="nil"/>
              <w:bottom w:val="nil"/>
              <w:right w:val="nil"/>
            </w:tcBorders>
            <w:shd w:val="clear" w:color="auto" w:fill="C0C0C0"/>
          </w:tcPr>
          <w:p>
            <w:pPr>
              <w:pStyle w:val="TableParagraph"/>
              <w:spacing w:line="243" w:lineRule="exact"/>
              <w:ind w:left="703"/>
              <w:rPr>
                <w:sz w:val="22"/>
              </w:rPr>
            </w:pPr>
            <w:r>
              <w:rPr>
                <w:sz w:val="22"/>
              </w:rPr>
              <w:t>23%</w:t>
            </w:r>
          </w:p>
        </w:tc>
      </w:tr>
      <w:tr>
        <w:trPr>
          <w:trHeight w:val="252" w:hRule="exact"/>
        </w:trPr>
        <w:tc>
          <w:tcPr>
            <w:tcW w:w="2465" w:type="dxa"/>
            <w:tcBorders>
              <w:top w:val="nil"/>
              <w:left w:val="nil"/>
              <w:bottom w:val="nil"/>
              <w:right w:val="nil"/>
            </w:tcBorders>
            <w:shd w:val="clear" w:color="auto" w:fill="C0C0C0"/>
          </w:tcPr>
          <w:p>
            <w:pPr/>
          </w:p>
        </w:tc>
        <w:tc>
          <w:tcPr>
            <w:tcW w:w="4040" w:type="dxa"/>
            <w:tcBorders>
              <w:top w:val="nil"/>
              <w:left w:val="nil"/>
              <w:bottom w:val="nil"/>
              <w:right w:val="nil"/>
            </w:tcBorders>
            <w:shd w:val="clear" w:color="auto" w:fill="C0C0C0"/>
          </w:tcPr>
          <w:p>
            <w:pPr>
              <w:pStyle w:val="TableParagraph"/>
              <w:spacing w:line="242" w:lineRule="exact"/>
              <w:ind w:left="718"/>
              <w:rPr>
                <w:sz w:val="22"/>
              </w:rPr>
            </w:pPr>
            <w:r>
              <w:rPr>
                <w:sz w:val="22"/>
              </w:rPr>
              <w:t>Bachillerato inconcluso</w:t>
            </w:r>
          </w:p>
        </w:tc>
        <w:tc>
          <w:tcPr>
            <w:tcW w:w="2557" w:type="dxa"/>
            <w:tcBorders>
              <w:top w:val="nil"/>
              <w:left w:val="nil"/>
              <w:bottom w:val="nil"/>
              <w:right w:val="nil"/>
            </w:tcBorders>
            <w:shd w:val="clear" w:color="auto" w:fill="C0C0C0"/>
          </w:tcPr>
          <w:p>
            <w:pPr>
              <w:pStyle w:val="TableParagraph"/>
              <w:spacing w:line="242" w:lineRule="exact"/>
              <w:ind w:left="703"/>
              <w:rPr>
                <w:sz w:val="22"/>
              </w:rPr>
            </w:pPr>
            <w:r>
              <w:rPr>
                <w:sz w:val="22"/>
              </w:rPr>
              <w:t>15%</w:t>
            </w:r>
          </w:p>
        </w:tc>
      </w:tr>
      <w:tr>
        <w:trPr>
          <w:trHeight w:val="246" w:hRule="exact"/>
        </w:trPr>
        <w:tc>
          <w:tcPr>
            <w:tcW w:w="2465" w:type="dxa"/>
            <w:tcBorders>
              <w:top w:val="nil"/>
              <w:left w:val="nil"/>
              <w:bottom w:val="nil"/>
              <w:right w:val="nil"/>
            </w:tcBorders>
            <w:shd w:val="clear" w:color="auto" w:fill="C0C0C0"/>
          </w:tcPr>
          <w:p>
            <w:pPr/>
          </w:p>
        </w:tc>
        <w:tc>
          <w:tcPr>
            <w:tcW w:w="4040" w:type="dxa"/>
            <w:tcBorders>
              <w:top w:val="nil"/>
              <w:left w:val="nil"/>
              <w:bottom w:val="nil"/>
              <w:right w:val="nil"/>
            </w:tcBorders>
            <w:shd w:val="clear" w:color="auto" w:fill="C0C0C0"/>
          </w:tcPr>
          <w:p>
            <w:pPr>
              <w:pStyle w:val="TableParagraph"/>
              <w:spacing w:line="240" w:lineRule="exact"/>
              <w:ind w:left="718"/>
              <w:rPr>
                <w:sz w:val="22"/>
              </w:rPr>
            </w:pPr>
            <w:r>
              <w:rPr>
                <w:sz w:val="22"/>
              </w:rPr>
              <w:t>Licenciatura</w:t>
            </w:r>
          </w:p>
        </w:tc>
        <w:tc>
          <w:tcPr>
            <w:tcW w:w="2557" w:type="dxa"/>
            <w:tcBorders>
              <w:top w:val="nil"/>
              <w:left w:val="nil"/>
              <w:bottom w:val="nil"/>
              <w:right w:val="nil"/>
            </w:tcBorders>
            <w:shd w:val="clear" w:color="auto" w:fill="C0C0C0"/>
          </w:tcPr>
          <w:p>
            <w:pPr>
              <w:pStyle w:val="TableParagraph"/>
              <w:spacing w:line="240" w:lineRule="exact"/>
              <w:ind w:left="703"/>
              <w:rPr>
                <w:sz w:val="22"/>
              </w:rPr>
            </w:pPr>
            <w:r>
              <w:rPr>
                <w:sz w:val="22"/>
              </w:rPr>
              <w:t>3%</w:t>
            </w:r>
          </w:p>
        </w:tc>
      </w:tr>
      <w:tr>
        <w:trPr>
          <w:trHeight w:val="260" w:hRule="exact"/>
        </w:trPr>
        <w:tc>
          <w:tcPr>
            <w:tcW w:w="2465" w:type="dxa"/>
            <w:tcBorders>
              <w:top w:val="nil"/>
              <w:left w:val="nil"/>
              <w:bottom w:val="nil"/>
              <w:right w:val="nil"/>
            </w:tcBorders>
          </w:tcPr>
          <w:p>
            <w:pPr>
              <w:pStyle w:val="TableParagraph"/>
              <w:spacing w:line="243" w:lineRule="exact"/>
              <w:ind w:left="110"/>
              <w:rPr>
                <w:b/>
                <w:sz w:val="22"/>
              </w:rPr>
            </w:pPr>
            <w:r>
              <w:rPr>
                <w:b/>
                <w:sz w:val="22"/>
              </w:rPr>
              <w:t>Ingreso familiar</w:t>
            </w:r>
          </w:p>
        </w:tc>
        <w:tc>
          <w:tcPr>
            <w:tcW w:w="4040" w:type="dxa"/>
            <w:tcBorders>
              <w:top w:val="nil"/>
              <w:left w:val="nil"/>
              <w:bottom w:val="nil"/>
              <w:right w:val="nil"/>
            </w:tcBorders>
          </w:tcPr>
          <w:p>
            <w:pPr>
              <w:pStyle w:val="TableParagraph"/>
              <w:spacing w:line="248" w:lineRule="exact"/>
              <w:ind w:left="718"/>
              <w:rPr>
                <w:sz w:val="22"/>
              </w:rPr>
            </w:pPr>
            <w:r>
              <w:rPr>
                <w:sz w:val="22"/>
              </w:rPr>
              <w:t>Hasta 1 salario mínimo</w:t>
            </w:r>
          </w:p>
        </w:tc>
        <w:tc>
          <w:tcPr>
            <w:tcW w:w="2557" w:type="dxa"/>
            <w:tcBorders>
              <w:top w:val="nil"/>
              <w:left w:val="nil"/>
              <w:bottom w:val="nil"/>
              <w:right w:val="nil"/>
            </w:tcBorders>
          </w:tcPr>
          <w:p>
            <w:pPr>
              <w:pStyle w:val="TableParagraph"/>
              <w:spacing w:line="248" w:lineRule="exact"/>
              <w:ind w:left="703"/>
              <w:rPr>
                <w:sz w:val="22"/>
              </w:rPr>
            </w:pPr>
            <w:r>
              <w:rPr>
                <w:sz w:val="22"/>
              </w:rPr>
              <w:t>30%</w:t>
            </w:r>
          </w:p>
        </w:tc>
      </w:tr>
      <w:tr>
        <w:trPr>
          <w:trHeight w:val="252" w:hRule="exact"/>
        </w:trPr>
        <w:tc>
          <w:tcPr>
            <w:tcW w:w="2465" w:type="dxa"/>
            <w:tcBorders>
              <w:top w:val="nil"/>
              <w:left w:val="nil"/>
              <w:bottom w:val="nil"/>
              <w:right w:val="nil"/>
            </w:tcBorders>
          </w:tcPr>
          <w:p>
            <w:pPr/>
          </w:p>
        </w:tc>
        <w:tc>
          <w:tcPr>
            <w:tcW w:w="4040" w:type="dxa"/>
            <w:tcBorders>
              <w:top w:val="nil"/>
              <w:left w:val="nil"/>
              <w:bottom w:val="nil"/>
              <w:right w:val="nil"/>
            </w:tcBorders>
          </w:tcPr>
          <w:p>
            <w:pPr>
              <w:pStyle w:val="TableParagraph"/>
              <w:spacing w:line="242" w:lineRule="exact"/>
              <w:ind w:left="718"/>
              <w:rPr>
                <w:sz w:val="22"/>
              </w:rPr>
            </w:pPr>
            <w:r>
              <w:rPr>
                <w:sz w:val="22"/>
              </w:rPr>
              <w:t>De 2 a 3 salarios mínimos</w:t>
            </w:r>
          </w:p>
        </w:tc>
        <w:tc>
          <w:tcPr>
            <w:tcW w:w="2557" w:type="dxa"/>
            <w:tcBorders>
              <w:top w:val="nil"/>
              <w:left w:val="nil"/>
              <w:bottom w:val="nil"/>
              <w:right w:val="nil"/>
            </w:tcBorders>
          </w:tcPr>
          <w:p>
            <w:pPr>
              <w:pStyle w:val="TableParagraph"/>
              <w:spacing w:line="242" w:lineRule="exact"/>
              <w:ind w:left="703"/>
              <w:rPr>
                <w:sz w:val="22"/>
              </w:rPr>
            </w:pPr>
            <w:r>
              <w:rPr>
                <w:sz w:val="22"/>
              </w:rPr>
              <w:t>29%</w:t>
            </w:r>
          </w:p>
        </w:tc>
      </w:tr>
      <w:tr>
        <w:trPr>
          <w:trHeight w:val="252" w:hRule="exact"/>
        </w:trPr>
        <w:tc>
          <w:tcPr>
            <w:tcW w:w="2465" w:type="dxa"/>
            <w:tcBorders>
              <w:top w:val="nil"/>
              <w:left w:val="nil"/>
              <w:bottom w:val="nil"/>
              <w:right w:val="nil"/>
            </w:tcBorders>
          </w:tcPr>
          <w:p>
            <w:pPr/>
          </w:p>
        </w:tc>
        <w:tc>
          <w:tcPr>
            <w:tcW w:w="4040" w:type="dxa"/>
            <w:tcBorders>
              <w:top w:val="nil"/>
              <w:left w:val="nil"/>
              <w:bottom w:val="nil"/>
              <w:right w:val="nil"/>
            </w:tcBorders>
          </w:tcPr>
          <w:p>
            <w:pPr>
              <w:pStyle w:val="TableParagraph"/>
              <w:spacing w:line="240" w:lineRule="exact"/>
              <w:ind w:left="718"/>
              <w:rPr>
                <w:sz w:val="22"/>
              </w:rPr>
            </w:pPr>
            <w:r>
              <w:rPr>
                <w:sz w:val="22"/>
              </w:rPr>
              <w:t>De 4 a 5 salarios mínimos</w:t>
            </w:r>
          </w:p>
        </w:tc>
        <w:tc>
          <w:tcPr>
            <w:tcW w:w="2557" w:type="dxa"/>
            <w:tcBorders>
              <w:top w:val="nil"/>
              <w:left w:val="nil"/>
              <w:bottom w:val="nil"/>
              <w:right w:val="nil"/>
            </w:tcBorders>
          </w:tcPr>
          <w:p>
            <w:pPr>
              <w:pStyle w:val="TableParagraph"/>
              <w:spacing w:line="240" w:lineRule="exact"/>
              <w:ind w:left="703"/>
              <w:rPr>
                <w:sz w:val="22"/>
              </w:rPr>
            </w:pPr>
            <w:r>
              <w:rPr>
                <w:sz w:val="22"/>
              </w:rPr>
              <w:t>23%</w:t>
            </w:r>
          </w:p>
        </w:tc>
      </w:tr>
      <w:tr>
        <w:trPr>
          <w:trHeight w:val="255" w:hRule="exact"/>
        </w:trPr>
        <w:tc>
          <w:tcPr>
            <w:tcW w:w="2465" w:type="dxa"/>
            <w:tcBorders>
              <w:top w:val="nil"/>
              <w:left w:val="nil"/>
              <w:bottom w:val="nil"/>
              <w:right w:val="nil"/>
            </w:tcBorders>
          </w:tcPr>
          <w:p>
            <w:pPr/>
          </w:p>
        </w:tc>
        <w:tc>
          <w:tcPr>
            <w:tcW w:w="4040" w:type="dxa"/>
            <w:tcBorders>
              <w:top w:val="nil"/>
              <w:left w:val="nil"/>
              <w:bottom w:val="nil"/>
              <w:right w:val="nil"/>
            </w:tcBorders>
          </w:tcPr>
          <w:p>
            <w:pPr>
              <w:pStyle w:val="TableParagraph"/>
              <w:spacing w:line="242" w:lineRule="exact"/>
              <w:ind w:left="718"/>
              <w:rPr>
                <w:sz w:val="22"/>
              </w:rPr>
            </w:pPr>
            <w:r>
              <w:rPr>
                <w:sz w:val="22"/>
              </w:rPr>
              <w:t>De 5 a 6 salarios mínimos</w:t>
            </w:r>
          </w:p>
        </w:tc>
        <w:tc>
          <w:tcPr>
            <w:tcW w:w="2557" w:type="dxa"/>
            <w:tcBorders>
              <w:top w:val="nil"/>
              <w:left w:val="nil"/>
              <w:bottom w:val="nil"/>
              <w:right w:val="nil"/>
            </w:tcBorders>
          </w:tcPr>
          <w:p>
            <w:pPr>
              <w:pStyle w:val="TableParagraph"/>
              <w:spacing w:line="242" w:lineRule="exact"/>
              <w:ind w:left="703"/>
              <w:rPr>
                <w:sz w:val="22"/>
              </w:rPr>
            </w:pPr>
            <w:r>
              <w:rPr>
                <w:sz w:val="22"/>
              </w:rPr>
              <w:t>13%</w:t>
            </w:r>
          </w:p>
        </w:tc>
      </w:tr>
      <w:tr>
        <w:trPr>
          <w:trHeight w:val="258" w:hRule="exact"/>
        </w:trPr>
        <w:tc>
          <w:tcPr>
            <w:tcW w:w="2465" w:type="dxa"/>
            <w:tcBorders>
              <w:top w:val="nil"/>
              <w:left w:val="nil"/>
              <w:right w:val="nil"/>
            </w:tcBorders>
          </w:tcPr>
          <w:p>
            <w:pPr/>
          </w:p>
        </w:tc>
        <w:tc>
          <w:tcPr>
            <w:tcW w:w="4040" w:type="dxa"/>
            <w:tcBorders>
              <w:top w:val="nil"/>
              <w:left w:val="nil"/>
              <w:right w:val="nil"/>
            </w:tcBorders>
          </w:tcPr>
          <w:p>
            <w:pPr>
              <w:pStyle w:val="TableParagraph"/>
              <w:spacing w:line="243" w:lineRule="exact"/>
              <w:ind w:left="718"/>
              <w:rPr>
                <w:sz w:val="22"/>
              </w:rPr>
            </w:pPr>
            <w:r>
              <w:rPr>
                <w:sz w:val="22"/>
              </w:rPr>
              <w:t>Más de 7 salarios mínimos</w:t>
            </w:r>
          </w:p>
        </w:tc>
        <w:tc>
          <w:tcPr>
            <w:tcW w:w="2557" w:type="dxa"/>
            <w:tcBorders>
              <w:top w:val="nil"/>
              <w:left w:val="nil"/>
              <w:right w:val="nil"/>
            </w:tcBorders>
          </w:tcPr>
          <w:p>
            <w:pPr>
              <w:pStyle w:val="TableParagraph"/>
              <w:spacing w:line="243" w:lineRule="exact"/>
              <w:ind w:left="703"/>
              <w:rPr>
                <w:sz w:val="22"/>
              </w:rPr>
            </w:pPr>
            <w:r>
              <w:rPr>
                <w:sz w:val="22"/>
              </w:rPr>
              <w:t>5%</w:t>
            </w:r>
          </w:p>
        </w:tc>
      </w:tr>
    </w:tbl>
    <w:p>
      <w:pPr>
        <w:pStyle w:val="BodyText"/>
        <w:rPr>
          <w:b/>
          <w:sz w:val="28"/>
        </w:rPr>
      </w:pPr>
    </w:p>
    <w:p>
      <w:pPr>
        <w:spacing w:before="76"/>
        <w:ind w:left="232" w:right="0" w:firstLine="0"/>
        <w:jc w:val="left"/>
        <w:rPr>
          <w:sz w:val="20"/>
        </w:rPr>
      </w:pPr>
      <w:r>
        <w:rPr>
          <w:sz w:val="20"/>
        </w:rPr>
        <w:t>Fuente: Elaboración propia con base en trabajo de campo, diciembre  2012 a enero 2013.</w:t>
      </w:r>
    </w:p>
    <w:p>
      <w:pPr>
        <w:spacing w:after="0"/>
        <w:jc w:val="left"/>
        <w:rPr>
          <w:sz w:val="20"/>
        </w:rPr>
        <w:sectPr>
          <w:pgSz w:w="12240" w:h="15840"/>
          <w:pgMar w:header="0" w:footer="1382" w:top="1500" w:bottom="1580" w:left="1640" w:right="1300"/>
        </w:sectPr>
      </w:pPr>
    </w:p>
    <w:p>
      <w:pPr>
        <w:pStyle w:val="BodyText"/>
        <w:spacing w:before="11"/>
        <w:rPr>
          <w:sz w:val="25"/>
        </w:rPr>
      </w:pPr>
    </w:p>
    <w:p>
      <w:pPr>
        <w:pStyle w:val="BodyText"/>
        <w:spacing w:line="360" w:lineRule="auto" w:before="69"/>
        <w:ind w:left="232" w:right="228"/>
        <w:jc w:val="both"/>
      </w:pPr>
      <w:r>
        <w:rPr/>
        <w:t>La migración presenta diferentes motivos que conducen a las personas decidir su salida de sus lugares de origen, llegando a ser la principal causa las cuestiones económicas. Así mismo, existen otras causas como la imitación de familiares, amigos o vecinos, el establecimiento de redes sociales que les apoyan en el lugar destino, lo cual hace más posible nuevos flujos migratorios.</w:t>
      </w:r>
    </w:p>
    <w:p>
      <w:pPr>
        <w:pStyle w:val="BodyText"/>
      </w:pPr>
    </w:p>
    <w:p>
      <w:pPr>
        <w:pStyle w:val="BodyText"/>
        <w:spacing w:before="140"/>
        <w:ind w:left="2715" w:right="2708"/>
        <w:jc w:val="center"/>
      </w:pPr>
      <w:r>
        <w:rPr/>
        <w:t>Tabla 9. Migración</w:t>
      </w:r>
    </w:p>
    <w:p>
      <w:pPr>
        <w:pStyle w:val="BodyText"/>
        <w:spacing w:before="9"/>
        <w:rPr>
          <w:sz w:val="8"/>
        </w:rPr>
      </w:pPr>
      <w:r>
        <w:rPr/>
        <w:pict>
          <v:group style="position:absolute;margin-left:87.603996pt;margin-top:7.037048pt;width:454.1pt;height:1pt;mso-position-horizontal-relative:page;mso-position-vertical-relative:paragraph;z-index:1696;mso-wrap-distance-left:0;mso-wrap-distance-right:0" coordorigin="1752,141" coordsize="9082,20">
            <v:line style="position:absolute" from="1762,151" to="5109,151" stroked="true" strokeweight=".96001pt" strokecolor="#000000"/>
            <v:line style="position:absolute" from="5109,151" to="5128,151" stroked="true" strokeweight=".96001pt" strokecolor="#000000"/>
            <v:line style="position:absolute" from="5128,151" to="8821,151" stroked="true" strokeweight=".96001pt" strokecolor="#000000"/>
            <v:line style="position:absolute" from="8821,151" to="8840,151" stroked="true" strokeweight=".96001pt" strokecolor="#000000"/>
            <v:line style="position:absolute" from="8840,151" to="10824,151" stroked="true" strokeweight=".96001pt" strokecolor="#000000"/>
            <w10:wrap type="topAndBottom"/>
          </v:group>
        </w:pict>
      </w:r>
    </w:p>
    <w:p>
      <w:pPr>
        <w:tabs>
          <w:tab w:pos="3574" w:val="left" w:leader="none"/>
          <w:tab w:pos="7286" w:val="left" w:leader="none"/>
        </w:tabs>
        <w:spacing w:before="0"/>
        <w:ind w:left="7287" w:right="834" w:hanging="7055"/>
        <w:jc w:val="left"/>
        <w:rPr>
          <w:b/>
          <w:sz w:val="23"/>
        </w:rPr>
      </w:pPr>
      <w:r>
        <w:rPr>
          <w:b/>
          <w:sz w:val="23"/>
        </w:rPr>
        <w:t>Variable</w:t>
        <w:tab/>
        <w:t>Nivel</w:t>
      </w:r>
      <w:r>
        <w:rPr>
          <w:b/>
          <w:spacing w:val="-4"/>
          <w:sz w:val="23"/>
        </w:rPr>
        <w:t> </w:t>
      </w:r>
      <w:r>
        <w:rPr>
          <w:b/>
          <w:sz w:val="23"/>
        </w:rPr>
        <w:t>o</w:t>
      </w:r>
      <w:r>
        <w:rPr>
          <w:b/>
          <w:spacing w:val="-4"/>
          <w:sz w:val="23"/>
        </w:rPr>
        <w:t> </w:t>
      </w:r>
      <w:r>
        <w:rPr>
          <w:b/>
          <w:sz w:val="23"/>
        </w:rPr>
        <w:t>parámetro</w:t>
        <w:tab/>
        <w:t>Valor </w:t>
      </w:r>
      <w:r>
        <w:rPr>
          <w:b/>
          <w:spacing w:val="-1"/>
          <w:sz w:val="23"/>
        </w:rPr>
        <w:t>porcentual</w:t>
      </w:r>
    </w:p>
    <w:p>
      <w:pPr>
        <w:spacing w:after="0"/>
        <w:jc w:val="left"/>
        <w:rPr>
          <w:sz w:val="23"/>
        </w:rPr>
        <w:sectPr>
          <w:pgSz w:w="12240" w:h="15840"/>
          <w:pgMar w:header="0" w:footer="1382" w:top="1500" w:bottom="1580" w:left="1640" w:right="1300"/>
        </w:sectPr>
      </w:pPr>
    </w:p>
    <w:p>
      <w:pPr>
        <w:spacing w:before="18"/>
        <w:ind w:left="232" w:right="0" w:firstLine="0"/>
        <w:jc w:val="left"/>
        <w:rPr>
          <w:b/>
          <w:sz w:val="23"/>
        </w:rPr>
      </w:pPr>
      <w:r>
        <w:rPr/>
        <w:pict>
          <v:group style="position:absolute;margin-left:87.603996pt;margin-top:.146860pt;width:454.1pt;height:19pt;mso-position-horizontal-relative:page;mso-position-vertical-relative:paragraph;z-index:-61360" coordorigin="1752,3" coordsize="9082,380">
            <v:shape style="position:absolute;left:1762;top:23;width:9062;height:360" coordorigin="1762,23" coordsize="9062,360" path="m10824,23l10713,23,10713,287,10713,23,1873,23,1762,23,1762,287,1762,383,10823,383,10823,287,10824,23e" filled="true" fillcolor="#c0c0c0" stroked="false">
              <v:path arrowok="t"/>
              <v:fill type="solid"/>
            </v:shape>
            <v:line style="position:absolute" from="1762,13" to="5109,13" stroked="true" strokeweight=".95999pt" strokecolor="#000000"/>
            <v:line style="position:absolute" from="5109,13" to="5128,13" stroked="true" strokeweight=".95999pt" strokecolor="#000000"/>
            <v:line style="position:absolute" from="5128,13" to="8821,13" stroked="true" strokeweight=".95999pt" strokecolor="#000000"/>
            <v:line style="position:absolute" from="8821,13" to="8840,13" stroked="true" strokeweight=".95999pt" strokecolor="#000000"/>
            <v:line style="position:absolute" from="8840,13" to="10824,13" stroked="true" strokeweight=".95999pt" strokecolor="#000000"/>
            <w10:wrap type="none"/>
          </v:group>
        </w:pict>
      </w:r>
      <w:r>
        <w:rPr>
          <w:b/>
          <w:sz w:val="23"/>
        </w:rPr>
        <w:t>Bloque 2. Migración</w:t>
      </w:r>
    </w:p>
    <w:p>
      <w:pPr>
        <w:tabs>
          <w:tab w:pos="3670" w:val="left" w:leader="none"/>
        </w:tabs>
        <w:spacing w:line="244" w:lineRule="auto" w:before="101"/>
        <w:ind w:left="3670" w:right="0" w:hanging="3438"/>
        <w:jc w:val="left"/>
        <w:rPr>
          <w:sz w:val="23"/>
        </w:rPr>
      </w:pPr>
      <w:r>
        <w:rPr>
          <w:b/>
          <w:sz w:val="23"/>
        </w:rPr>
        <w:t>Condición</w:t>
      </w:r>
      <w:r>
        <w:rPr>
          <w:b/>
          <w:spacing w:val="-2"/>
          <w:sz w:val="23"/>
        </w:rPr>
        <w:t> </w:t>
      </w:r>
      <w:r>
        <w:rPr>
          <w:b/>
          <w:sz w:val="23"/>
        </w:rPr>
        <w:t>de</w:t>
      </w:r>
      <w:r>
        <w:rPr>
          <w:b/>
          <w:spacing w:val="-4"/>
          <w:sz w:val="23"/>
        </w:rPr>
        <w:t> </w:t>
      </w:r>
      <w:r>
        <w:rPr>
          <w:b/>
          <w:sz w:val="23"/>
        </w:rPr>
        <w:t>migrante</w:t>
        <w:tab/>
      </w:r>
      <w:r>
        <w:rPr>
          <w:sz w:val="23"/>
        </w:rPr>
        <w:t>Si No</w:t>
      </w:r>
    </w:p>
    <w:p>
      <w:pPr>
        <w:pStyle w:val="BodyText"/>
        <w:rPr>
          <w:sz w:val="22"/>
        </w:rPr>
      </w:pPr>
      <w:r>
        <w:rPr/>
        <w:br w:type="column"/>
      </w:r>
      <w:r>
        <w:rPr>
          <w:sz w:val="22"/>
        </w:rPr>
      </w:r>
    </w:p>
    <w:p>
      <w:pPr>
        <w:spacing w:before="131"/>
        <w:ind w:left="232" w:right="0" w:firstLine="0"/>
        <w:jc w:val="left"/>
        <w:rPr>
          <w:sz w:val="23"/>
        </w:rPr>
      </w:pPr>
      <w:r>
        <w:rPr>
          <w:sz w:val="23"/>
        </w:rPr>
        <w:t>100%</w:t>
      </w:r>
    </w:p>
    <w:p>
      <w:pPr>
        <w:spacing w:after="0"/>
        <w:jc w:val="left"/>
        <w:rPr>
          <w:sz w:val="23"/>
        </w:rPr>
        <w:sectPr>
          <w:type w:val="continuous"/>
          <w:pgSz w:w="12240" w:h="15840"/>
          <w:pgMar w:top="1500" w:bottom="1580" w:left="1640" w:right="1300"/>
          <w:cols w:num="2" w:equalWidth="0">
            <w:col w:w="3969" w:space="3167"/>
            <w:col w:w="2164"/>
          </w:cols>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41"/>
        <w:gridCol w:w="3701"/>
        <w:gridCol w:w="1920"/>
      </w:tblGrid>
      <w:tr>
        <w:trPr>
          <w:trHeight w:val="274" w:hRule="exact"/>
        </w:trPr>
        <w:tc>
          <w:tcPr>
            <w:tcW w:w="3441" w:type="dxa"/>
            <w:shd w:val="clear" w:color="auto" w:fill="C0C0C0"/>
          </w:tcPr>
          <w:p>
            <w:pPr>
              <w:pStyle w:val="TableParagraph"/>
              <w:tabs>
                <w:tab w:pos="1631" w:val="left" w:leader="none"/>
                <w:tab w:pos="2236" w:val="left" w:leader="none"/>
                <w:tab w:pos="2763" w:val="left" w:leader="none"/>
              </w:tabs>
              <w:spacing w:line="254" w:lineRule="exact"/>
              <w:ind w:left="110"/>
              <w:rPr>
                <w:b/>
                <w:sz w:val="23"/>
              </w:rPr>
            </w:pPr>
            <w:r>
              <w:rPr>
                <w:b/>
                <w:sz w:val="23"/>
              </w:rPr>
              <w:t>Ocupación</w:t>
              <w:tab/>
              <w:t>en</w:t>
              <w:tab/>
              <w:t>el</w:t>
              <w:tab/>
              <w:t>lugar</w:t>
            </w:r>
          </w:p>
        </w:tc>
        <w:tc>
          <w:tcPr>
            <w:tcW w:w="3701" w:type="dxa"/>
            <w:shd w:val="clear" w:color="auto" w:fill="C0C0C0"/>
          </w:tcPr>
          <w:p>
            <w:pPr>
              <w:pStyle w:val="TableParagraph"/>
              <w:spacing w:line="259" w:lineRule="exact"/>
              <w:ind w:left="108"/>
              <w:rPr>
                <w:sz w:val="23"/>
              </w:rPr>
            </w:pPr>
            <w:r>
              <w:rPr>
                <w:sz w:val="23"/>
              </w:rPr>
              <w:t>Construcción</w:t>
            </w:r>
          </w:p>
        </w:tc>
        <w:tc>
          <w:tcPr>
            <w:tcW w:w="1920" w:type="dxa"/>
            <w:shd w:val="clear" w:color="auto" w:fill="C0C0C0"/>
          </w:tcPr>
          <w:p>
            <w:pPr>
              <w:pStyle w:val="TableParagraph"/>
              <w:spacing w:line="259" w:lineRule="exact"/>
              <w:ind w:left="105"/>
              <w:rPr>
                <w:sz w:val="23"/>
              </w:rPr>
            </w:pPr>
            <w:r>
              <w:rPr>
                <w:sz w:val="23"/>
              </w:rPr>
              <w:t>22%</w:t>
            </w:r>
          </w:p>
        </w:tc>
      </w:tr>
      <w:tr>
        <w:trPr>
          <w:trHeight w:val="266" w:hRule="exact"/>
        </w:trPr>
        <w:tc>
          <w:tcPr>
            <w:tcW w:w="3441" w:type="dxa"/>
            <w:shd w:val="clear" w:color="auto" w:fill="C0C0C0"/>
          </w:tcPr>
          <w:p>
            <w:pPr>
              <w:pStyle w:val="TableParagraph"/>
              <w:spacing w:line="244" w:lineRule="exact"/>
              <w:ind w:left="110"/>
              <w:rPr>
                <w:b/>
                <w:sz w:val="23"/>
              </w:rPr>
            </w:pPr>
            <w:r>
              <w:rPr>
                <w:b/>
                <w:sz w:val="23"/>
              </w:rPr>
              <w:t>destino</w:t>
            </w:r>
          </w:p>
        </w:tc>
        <w:tc>
          <w:tcPr>
            <w:tcW w:w="3701" w:type="dxa"/>
            <w:shd w:val="clear" w:color="auto" w:fill="C0C0C0"/>
          </w:tcPr>
          <w:p>
            <w:pPr>
              <w:pStyle w:val="TableParagraph"/>
              <w:spacing w:line="249" w:lineRule="exact"/>
              <w:ind w:left="108"/>
              <w:rPr>
                <w:sz w:val="23"/>
              </w:rPr>
            </w:pPr>
            <w:r>
              <w:rPr>
                <w:sz w:val="23"/>
              </w:rPr>
              <w:t>Limpieza</w:t>
            </w:r>
          </w:p>
        </w:tc>
        <w:tc>
          <w:tcPr>
            <w:tcW w:w="1920" w:type="dxa"/>
            <w:shd w:val="clear" w:color="auto" w:fill="C0C0C0"/>
          </w:tcPr>
          <w:p>
            <w:pPr>
              <w:pStyle w:val="TableParagraph"/>
              <w:spacing w:line="249" w:lineRule="exact"/>
              <w:ind w:left="105"/>
              <w:rPr>
                <w:sz w:val="23"/>
              </w:rPr>
            </w:pPr>
            <w:r>
              <w:rPr>
                <w:sz w:val="23"/>
              </w:rPr>
              <w:t>22%</w:t>
            </w:r>
          </w:p>
        </w:tc>
      </w:tr>
      <w:tr>
        <w:trPr>
          <w:trHeight w:val="792" w:hRule="exact"/>
        </w:trPr>
        <w:tc>
          <w:tcPr>
            <w:tcW w:w="3441" w:type="dxa"/>
            <w:shd w:val="clear" w:color="auto" w:fill="C0C0C0"/>
          </w:tcPr>
          <w:p>
            <w:pPr/>
          </w:p>
        </w:tc>
        <w:tc>
          <w:tcPr>
            <w:tcW w:w="3701" w:type="dxa"/>
            <w:shd w:val="clear" w:color="auto" w:fill="C0C0C0"/>
          </w:tcPr>
          <w:p>
            <w:pPr>
              <w:pStyle w:val="TableParagraph"/>
              <w:spacing w:line="246" w:lineRule="exact"/>
              <w:ind w:left="108"/>
              <w:rPr>
                <w:sz w:val="23"/>
              </w:rPr>
            </w:pPr>
            <w:r>
              <w:rPr>
                <w:sz w:val="23"/>
              </w:rPr>
              <w:t>Empleado   en   estacionamientos</w:t>
            </w:r>
          </w:p>
          <w:p>
            <w:pPr>
              <w:pStyle w:val="TableParagraph"/>
              <w:ind w:left="108" w:right="1540"/>
              <w:rPr>
                <w:sz w:val="23"/>
              </w:rPr>
            </w:pPr>
            <w:r>
              <w:rPr>
                <w:sz w:val="23"/>
              </w:rPr>
              <w:t>comerciales/comida Empleado industria</w:t>
            </w:r>
          </w:p>
        </w:tc>
        <w:tc>
          <w:tcPr>
            <w:tcW w:w="1920" w:type="dxa"/>
            <w:shd w:val="clear" w:color="auto" w:fill="C0C0C0"/>
          </w:tcPr>
          <w:p>
            <w:pPr>
              <w:pStyle w:val="TableParagraph"/>
              <w:spacing w:line="246" w:lineRule="exact"/>
              <w:ind w:left="105"/>
              <w:rPr>
                <w:sz w:val="23"/>
              </w:rPr>
            </w:pPr>
            <w:r>
              <w:rPr>
                <w:sz w:val="23"/>
              </w:rPr>
              <w:t>19%</w:t>
            </w:r>
          </w:p>
          <w:p>
            <w:pPr>
              <w:pStyle w:val="TableParagraph"/>
              <w:spacing w:before="10"/>
              <w:ind w:left="0"/>
              <w:rPr>
                <w:sz w:val="22"/>
              </w:rPr>
            </w:pPr>
          </w:p>
          <w:p>
            <w:pPr>
              <w:pStyle w:val="TableParagraph"/>
              <w:ind w:left="105"/>
              <w:rPr>
                <w:sz w:val="23"/>
              </w:rPr>
            </w:pPr>
            <w:r>
              <w:rPr>
                <w:sz w:val="23"/>
              </w:rPr>
              <w:t>17%</w:t>
            </w:r>
          </w:p>
        </w:tc>
      </w:tr>
      <w:tr>
        <w:trPr>
          <w:trHeight w:val="264" w:hRule="exact"/>
        </w:trPr>
        <w:tc>
          <w:tcPr>
            <w:tcW w:w="3441" w:type="dxa"/>
            <w:shd w:val="clear" w:color="auto" w:fill="C0C0C0"/>
          </w:tcPr>
          <w:p>
            <w:pPr/>
          </w:p>
        </w:tc>
        <w:tc>
          <w:tcPr>
            <w:tcW w:w="3701" w:type="dxa"/>
            <w:shd w:val="clear" w:color="auto" w:fill="C0C0C0"/>
          </w:tcPr>
          <w:p>
            <w:pPr>
              <w:pStyle w:val="TableParagraph"/>
              <w:spacing w:line="247" w:lineRule="exact"/>
              <w:ind w:left="108"/>
              <w:rPr>
                <w:sz w:val="23"/>
              </w:rPr>
            </w:pPr>
            <w:r>
              <w:rPr>
                <w:sz w:val="23"/>
              </w:rPr>
              <w:t>Jornalero agrícola</w:t>
            </w:r>
          </w:p>
        </w:tc>
        <w:tc>
          <w:tcPr>
            <w:tcW w:w="1920" w:type="dxa"/>
            <w:shd w:val="clear" w:color="auto" w:fill="C0C0C0"/>
          </w:tcPr>
          <w:p>
            <w:pPr>
              <w:pStyle w:val="TableParagraph"/>
              <w:spacing w:line="247" w:lineRule="exact"/>
              <w:ind w:left="105"/>
              <w:rPr>
                <w:sz w:val="23"/>
              </w:rPr>
            </w:pPr>
            <w:r>
              <w:rPr>
                <w:sz w:val="23"/>
              </w:rPr>
              <w:t>15%</w:t>
            </w:r>
          </w:p>
        </w:tc>
      </w:tr>
      <w:tr>
        <w:trPr>
          <w:trHeight w:val="251" w:hRule="exact"/>
        </w:trPr>
        <w:tc>
          <w:tcPr>
            <w:tcW w:w="3441" w:type="dxa"/>
            <w:shd w:val="clear" w:color="auto" w:fill="C0C0C0"/>
          </w:tcPr>
          <w:p>
            <w:pPr/>
          </w:p>
        </w:tc>
        <w:tc>
          <w:tcPr>
            <w:tcW w:w="3701" w:type="dxa"/>
            <w:shd w:val="clear" w:color="auto" w:fill="C0C0C0"/>
          </w:tcPr>
          <w:p>
            <w:pPr>
              <w:pStyle w:val="TableParagraph"/>
              <w:spacing w:line="246" w:lineRule="exact"/>
              <w:ind w:left="108"/>
              <w:rPr>
                <w:sz w:val="23"/>
              </w:rPr>
            </w:pPr>
            <w:r>
              <w:rPr>
                <w:sz w:val="23"/>
              </w:rPr>
              <w:t>Chofer</w:t>
            </w:r>
          </w:p>
        </w:tc>
        <w:tc>
          <w:tcPr>
            <w:tcW w:w="1920" w:type="dxa"/>
            <w:shd w:val="clear" w:color="auto" w:fill="C0C0C0"/>
          </w:tcPr>
          <w:p>
            <w:pPr>
              <w:pStyle w:val="TableParagraph"/>
              <w:spacing w:line="246" w:lineRule="exact"/>
              <w:ind w:left="105"/>
              <w:rPr>
                <w:sz w:val="23"/>
              </w:rPr>
            </w:pPr>
            <w:r>
              <w:rPr>
                <w:sz w:val="23"/>
              </w:rPr>
              <w:t>5%</w:t>
            </w:r>
          </w:p>
        </w:tc>
      </w:tr>
      <w:tr>
        <w:trPr>
          <w:trHeight w:val="543" w:hRule="exact"/>
        </w:trPr>
        <w:tc>
          <w:tcPr>
            <w:tcW w:w="3441" w:type="dxa"/>
          </w:tcPr>
          <w:p>
            <w:pPr>
              <w:pStyle w:val="TableParagraph"/>
              <w:ind w:left="110"/>
              <w:rPr>
                <w:b/>
                <w:sz w:val="23"/>
              </w:rPr>
            </w:pPr>
            <w:r>
              <w:rPr>
                <w:b/>
                <w:sz w:val="23"/>
              </w:rPr>
              <w:t>Temporalidad en la estancia migratoria</w:t>
            </w:r>
          </w:p>
        </w:tc>
        <w:tc>
          <w:tcPr>
            <w:tcW w:w="3701" w:type="dxa"/>
          </w:tcPr>
          <w:p>
            <w:pPr>
              <w:pStyle w:val="TableParagraph"/>
              <w:ind w:left="108"/>
              <w:rPr>
                <w:sz w:val="23"/>
              </w:rPr>
            </w:pPr>
            <w:r>
              <w:rPr>
                <w:sz w:val="23"/>
              </w:rPr>
              <w:t>Temporal, vive más tiempo en México</w:t>
            </w:r>
          </w:p>
        </w:tc>
        <w:tc>
          <w:tcPr>
            <w:tcW w:w="1920" w:type="dxa"/>
          </w:tcPr>
          <w:p>
            <w:pPr>
              <w:pStyle w:val="TableParagraph"/>
              <w:spacing w:line="259" w:lineRule="exact"/>
              <w:ind w:left="105"/>
              <w:rPr>
                <w:sz w:val="23"/>
              </w:rPr>
            </w:pPr>
            <w:r>
              <w:rPr>
                <w:sz w:val="23"/>
              </w:rPr>
              <w:t>48%</w:t>
            </w:r>
          </w:p>
        </w:tc>
      </w:tr>
      <w:tr>
        <w:trPr>
          <w:trHeight w:val="266" w:hRule="exact"/>
        </w:trPr>
        <w:tc>
          <w:tcPr>
            <w:tcW w:w="3441" w:type="dxa"/>
          </w:tcPr>
          <w:p>
            <w:pPr/>
          </w:p>
        </w:tc>
        <w:tc>
          <w:tcPr>
            <w:tcW w:w="3701" w:type="dxa"/>
          </w:tcPr>
          <w:p>
            <w:pPr>
              <w:pStyle w:val="TableParagraph"/>
              <w:spacing w:line="249" w:lineRule="exact"/>
              <w:ind w:left="108"/>
              <w:rPr>
                <w:sz w:val="23"/>
              </w:rPr>
            </w:pPr>
            <w:r>
              <w:rPr>
                <w:sz w:val="23"/>
              </w:rPr>
              <w:t>Permanente</w:t>
            </w:r>
          </w:p>
        </w:tc>
        <w:tc>
          <w:tcPr>
            <w:tcW w:w="1920" w:type="dxa"/>
          </w:tcPr>
          <w:p>
            <w:pPr>
              <w:pStyle w:val="TableParagraph"/>
              <w:spacing w:line="249" w:lineRule="exact"/>
              <w:ind w:left="105"/>
              <w:rPr>
                <w:sz w:val="23"/>
              </w:rPr>
            </w:pPr>
            <w:r>
              <w:rPr>
                <w:sz w:val="23"/>
              </w:rPr>
              <w:t>36%</w:t>
            </w:r>
          </w:p>
        </w:tc>
      </w:tr>
      <w:tr>
        <w:trPr>
          <w:trHeight w:val="251" w:hRule="exact"/>
        </w:trPr>
        <w:tc>
          <w:tcPr>
            <w:tcW w:w="3441" w:type="dxa"/>
          </w:tcPr>
          <w:p>
            <w:pPr/>
          </w:p>
        </w:tc>
        <w:tc>
          <w:tcPr>
            <w:tcW w:w="3701" w:type="dxa"/>
          </w:tcPr>
          <w:p>
            <w:pPr>
              <w:pStyle w:val="TableParagraph"/>
              <w:spacing w:line="246" w:lineRule="exact"/>
              <w:ind w:left="108"/>
              <w:rPr>
                <w:sz w:val="23"/>
              </w:rPr>
            </w:pPr>
            <w:r>
              <w:rPr>
                <w:sz w:val="23"/>
              </w:rPr>
              <w:t>Temporal vive más tiempo en EU.</w:t>
            </w:r>
          </w:p>
        </w:tc>
        <w:tc>
          <w:tcPr>
            <w:tcW w:w="1920" w:type="dxa"/>
          </w:tcPr>
          <w:p>
            <w:pPr>
              <w:pStyle w:val="TableParagraph"/>
              <w:spacing w:line="246" w:lineRule="exact"/>
              <w:ind w:left="167"/>
              <w:rPr>
                <w:sz w:val="23"/>
              </w:rPr>
            </w:pPr>
            <w:r>
              <w:rPr>
                <w:sz w:val="23"/>
              </w:rPr>
              <w:t>16%</w:t>
            </w:r>
          </w:p>
        </w:tc>
      </w:tr>
      <w:tr>
        <w:trPr>
          <w:trHeight w:val="277" w:hRule="exact"/>
        </w:trPr>
        <w:tc>
          <w:tcPr>
            <w:tcW w:w="3441" w:type="dxa"/>
            <w:shd w:val="clear" w:color="auto" w:fill="C0C0C0"/>
          </w:tcPr>
          <w:p>
            <w:pPr>
              <w:pStyle w:val="TableParagraph"/>
              <w:spacing w:line="255" w:lineRule="exact"/>
              <w:ind w:left="110"/>
              <w:rPr>
                <w:b/>
                <w:sz w:val="23"/>
              </w:rPr>
            </w:pPr>
            <w:r>
              <w:rPr>
                <w:b/>
                <w:sz w:val="23"/>
              </w:rPr>
              <w:t>Causas de migración</w:t>
            </w:r>
          </w:p>
        </w:tc>
        <w:tc>
          <w:tcPr>
            <w:tcW w:w="3701" w:type="dxa"/>
            <w:shd w:val="clear" w:color="auto" w:fill="C0C0C0"/>
          </w:tcPr>
          <w:p>
            <w:pPr>
              <w:pStyle w:val="TableParagraph"/>
              <w:spacing w:line="259" w:lineRule="exact"/>
              <w:ind w:left="108"/>
              <w:rPr>
                <w:sz w:val="23"/>
              </w:rPr>
            </w:pPr>
            <w:r>
              <w:rPr>
                <w:sz w:val="23"/>
              </w:rPr>
              <w:t>Situación económica</w:t>
            </w:r>
          </w:p>
        </w:tc>
        <w:tc>
          <w:tcPr>
            <w:tcW w:w="1920" w:type="dxa"/>
            <w:shd w:val="clear" w:color="auto" w:fill="C0C0C0"/>
          </w:tcPr>
          <w:p>
            <w:pPr>
              <w:pStyle w:val="TableParagraph"/>
              <w:spacing w:line="259" w:lineRule="exact"/>
              <w:ind w:left="105"/>
              <w:rPr>
                <w:sz w:val="23"/>
              </w:rPr>
            </w:pPr>
            <w:r>
              <w:rPr>
                <w:sz w:val="23"/>
              </w:rPr>
              <w:t>24%</w:t>
            </w:r>
          </w:p>
        </w:tc>
      </w:tr>
      <w:tr>
        <w:trPr>
          <w:trHeight w:val="264" w:hRule="exact"/>
        </w:trPr>
        <w:tc>
          <w:tcPr>
            <w:tcW w:w="3441" w:type="dxa"/>
            <w:shd w:val="clear" w:color="auto" w:fill="C0C0C0"/>
          </w:tcPr>
          <w:p>
            <w:pPr/>
          </w:p>
        </w:tc>
        <w:tc>
          <w:tcPr>
            <w:tcW w:w="3701" w:type="dxa"/>
            <w:shd w:val="clear" w:color="auto" w:fill="C0C0C0"/>
          </w:tcPr>
          <w:p>
            <w:pPr>
              <w:pStyle w:val="TableParagraph"/>
              <w:spacing w:line="246" w:lineRule="exact"/>
              <w:ind w:left="108"/>
              <w:rPr>
                <w:sz w:val="23"/>
              </w:rPr>
            </w:pPr>
            <w:r>
              <w:rPr>
                <w:sz w:val="23"/>
              </w:rPr>
              <w:t>Situación social</w:t>
            </w:r>
          </w:p>
        </w:tc>
        <w:tc>
          <w:tcPr>
            <w:tcW w:w="1920" w:type="dxa"/>
            <w:shd w:val="clear" w:color="auto" w:fill="C0C0C0"/>
          </w:tcPr>
          <w:p>
            <w:pPr>
              <w:pStyle w:val="TableParagraph"/>
              <w:spacing w:line="246" w:lineRule="exact"/>
              <w:ind w:left="105"/>
              <w:rPr>
                <w:sz w:val="23"/>
              </w:rPr>
            </w:pPr>
            <w:r>
              <w:rPr>
                <w:sz w:val="23"/>
              </w:rPr>
              <w:t>25%</w:t>
            </w:r>
          </w:p>
        </w:tc>
      </w:tr>
      <w:tr>
        <w:trPr>
          <w:trHeight w:val="264" w:hRule="exact"/>
        </w:trPr>
        <w:tc>
          <w:tcPr>
            <w:tcW w:w="3441" w:type="dxa"/>
            <w:shd w:val="clear" w:color="auto" w:fill="C0C0C0"/>
          </w:tcPr>
          <w:p>
            <w:pPr/>
          </w:p>
        </w:tc>
        <w:tc>
          <w:tcPr>
            <w:tcW w:w="3701" w:type="dxa"/>
            <w:shd w:val="clear" w:color="auto" w:fill="C0C0C0"/>
          </w:tcPr>
          <w:p>
            <w:pPr>
              <w:pStyle w:val="TableParagraph"/>
              <w:spacing w:line="246" w:lineRule="exact"/>
              <w:ind w:left="108"/>
              <w:rPr>
                <w:sz w:val="23"/>
              </w:rPr>
            </w:pPr>
            <w:r>
              <w:rPr>
                <w:sz w:val="23"/>
              </w:rPr>
              <w:t>Imitación familiares y amigos</w:t>
            </w:r>
          </w:p>
        </w:tc>
        <w:tc>
          <w:tcPr>
            <w:tcW w:w="1920" w:type="dxa"/>
            <w:shd w:val="clear" w:color="auto" w:fill="C0C0C0"/>
          </w:tcPr>
          <w:p>
            <w:pPr>
              <w:pStyle w:val="TableParagraph"/>
              <w:spacing w:line="246" w:lineRule="exact"/>
              <w:ind w:left="105"/>
              <w:rPr>
                <w:sz w:val="23"/>
              </w:rPr>
            </w:pPr>
            <w:r>
              <w:rPr>
                <w:sz w:val="23"/>
              </w:rPr>
              <w:t>18%</w:t>
            </w:r>
          </w:p>
        </w:tc>
      </w:tr>
      <w:tr>
        <w:trPr>
          <w:trHeight w:val="779" w:hRule="exact"/>
        </w:trPr>
        <w:tc>
          <w:tcPr>
            <w:tcW w:w="3441" w:type="dxa"/>
            <w:shd w:val="clear" w:color="auto" w:fill="C0C0C0"/>
          </w:tcPr>
          <w:p>
            <w:pPr/>
          </w:p>
        </w:tc>
        <w:tc>
          <w:tcPr>
            <w:tcW w:w="3701" w:type="dxa"/>
            <w:shd w:val="clear" w:color="auto" w:fill="C0C0C0"/>
          </w:tcPr>
          <w:p>
            <w:pPr>
              <w:pStyle w:val="TableParagraph"/>
              <w:spacing w:line="246" w:lineRule="exact"/>
              <w:ind w:left="108"/>
              <w:rPr>
                <w:sz w:val="23"/>
              </w:rPr>
            </w:pPr>
            <w:r>
              <w:rPr>
                <w:sz w:val="23"/>
              </w:rPr>
              <w:t>Se  tienen  conocidos  en  el lugar</w:t>
            </w:r>
          </w:p>
          <w:p>
            <w:pPr>
              <w:pStyle w:val="TableParagraph"/>
              <w:ind w:left="108" w:right="1844"/>
              <w:rPr>
                <w:sz w:val="23"/>
              </w:rPr>
            </w:pPr>
            <w:r>
              <w:rPr>
                <w:sz w:val="23"/>
              </w:rPr>
              <w:t>destino Situación</w:t>
            </w:r>
            <w:r>
              <w:rPr>
                <w:spacing w:val="-13"/>
                <w:sz w:val="23"/>
              </w:rPr>
              <w:t> </w:t>
            </w:r>
            <w:r>
              <w:rPr>
                <w:sz w:val="23"/>
              </w:rPr>
              <w:t>familiar</w:t>
            </w:r>
          </w:p>
        </w:tc>
        <w:tc>
          <w:tcPr>
            <w:tcW w:w="1920" w:type="dxa"/>
            <w:shd w:val="clear" w:color="auto" w:fill="C0C0C0"/>
          </w:tcPr>
          <w:p>
            <w:pPr>
              <w:pStyle w:val="TableParagraph"/>
              <w:spacing w:line="246" w:lineRule="exact"/>
              <w:ind w:left="105"/>
              <w:rPr>
                <w:sz w:val="23"/>
              </w:rPr>
            </w:pPr>
            <w:r>
              <w:rPr>
                <w:sz w:val="23"/>
              </w:rPr>
              <w:t>18%</w:t>
            </w:r>
          </w:p>
          <w:p>
            <w:pPr>
              <w:pStyle w:val="TableParagraph"/>
              <w:spacing w:before="10"/>
              <w:ind w:left="0"/>
              <w:rPr>
                <w:sz w:val="22"/>
              </w:rPr>
            </w:pPr>
          </w:p>
          <w:p>
            <w:pPr>
              <w:pStyle w:val="TableParagraph"/>
              <w:ind w:left="105"/>
              <w:rPr>
                <w:sz w:val="23"/>
              </w:rPr>
            </w:pPr>
            <w:r>
              <w:rPr>
                <w:sz w:val="23"/>
              </w:rPr>
              <w:t>13%</w:t>
            </w:r>
          </w:p>
        </w:tc>
      </w:tr>
      <w:tr>
        <w:trPr>
          <w:trHeight w:val="277" w:hRule="exact"/>
        </w:trPr>
        <w:tc>
          <w:tcPr>
            <w:tcW w:w="3441" w:type="dxa"/>
          </w:tcPr>
          <w:p>
            <w:pPr>
              <w:pStyle w:val="TableParagraph"/>
              <w:spacing w:line="255" w:lineRule="exact"/>
              <w:ind w:left="110"/>
              <w:rPr>
                <w:b/>
                <w:sz w:val="23"/>
              </w:rPr>
            </w:pPr>
            <w:r>
              <w:rPr>
                <w:b/>
                <w:sz w:val="23"/>
              </w:rPr>
              <w:t>Beneficios de la migración</w:t>
            </w:r>
          </w:p>
        </w:tc>
        <w:tc>
          <w:tcPr>
            <w:tcW w:w="3701" w:type="dxa"/>
          </w:tcPr>
          <w:p>
            <w:pPr>
              <w:pStyle w:val="TableParagraph"/>
              <w:spacing w:line="259" w:lineRule="exact"/>
              <w:ind w:left="108"/>
              <w:rPr>
                <w:sz w:val="23"/>
              </w:rPr>
            </w:pPr>
            <w:r>
              <w:rPr>
                <w:sz w:val="23"/>
              </w:rPr>
              <w:t>Mejores puestos de trabajo</w:t>
            </w:r>
          </w:p>
        </w:tc>
        <w:tc>
          <w:tcPr>
            <w:tcW w:w="1920" w:type="dxa"/>
          </w:tcPr>
          <w:p>
            <w:pPr>
              <w:pStyle w:val="TableParagraph"/>
              <w:spacing w:line="259" w:lineRule="exact"/>
              <w:ind w:left="105"/>
              <w:rPr>
                <w:sz w:val="23"/>
              </w:rPr>
            </w:pPr>
            <w:r>
              <w:rPr>
                <w:sz w:val="23"/>
              </w:rPr>
              <w:t>34%</w:t>
            </w:r>
          </w:p>
        </w:tc>
      </w:tr>
      <w:tr>
        <w:trPr>
          <w:trHeight w:val="266" w:hRule="exact"/>
        </w:trPr>
        <w:tc>
          <w:tcPr>
            <w:tcW w:w="3441" w:type="dxa"/>
          </w:tcPr>
          <w:p>
            <w:pPr/>
          </w:p>
        </w:tc>
        <w:tc>
          <w:tcPr>
            <w:tcW w:w="3701" w:type="dxa"/>
          </w:tcPr>
          <w:p>
            <w:pPr>
              <w:pStyle w:val="TableParagraph"/>
              <w:tabs>
                <w:tab w:pos="1143" w:val="left" w:leader="none"/>
                <w:tab w:pos="2107" w:val="left" w:leader="none"/>
                <w:tab w:pos="2585" w:val="left" w:leader="none"/>
              </w:tabs>
              <w:spacing w:line="246" w:lineRule="exact"/>
              <w:ind w:left="108"/>
              <w:rPr>
                <w:sz w:val="23"/>
              </w:rPr>
            </w:pPr>
            <w:r>
              <w:rPr>
                <w:sz w:val="23"/>
              </w:rPr>
              <w:t>Mejores</w:t>
              <w:tab/>
              <w:t>medios</w:t>
              <w:tab/>
              <w:t>de</w:t>
              <w:tab/>
              <w:t>desarrollo</w:t>
            </w:r>
          </w:p>
        </w:tc>
        <w:tc>
          <w:tcPr>
            <w:tcW w:w="1920" w:type="dxa"/>
          </w:tcPr>
          <w:p>
            <w:pPr>
              <w:pStyle w:val="TableParagraph"/>
              <w:spacing w:line="246" w:lineRule="exact"/>
              <w:ind w:left="105"/>
              <w:rPr>
                <w:sz w:val="23"/>
              </w:rPr>
            </w:pPr>
            <w:r>
              <w:rPr>
                <w:sz w:val="23"/>
              </w:rPr>
              <w:t>32%</w:t>
            </w:r>
          </w:p>
        </w:tc>
      </w:tr>
      <w:tr>
        <w:trPr>
          <w:trHeight w:val="530" w:hRule="exact"/>
        </w:trPr>
        <w:tc>
          <w:tcPr>
            <w:tcW w:w="3441" w:type="dxa"/>
          </w:tcPr>
          <w:p>
            <w:pPr/>
          </w:p>
        </w:tc>
        <w:tc>
          <w:tcPr>
            <w:tcW w:w="3701" w:type="dxa"/>
          </w:tcPr>
          <w:p>
            <w:pPr>
              <w:pStyle w:val="TableParagraph"/>
              <w:spacing w:line="249" w:lineRule="exact"/>
              <w:ind w:left="108"/>
              <w:rPr>
                <w:sz w:val="23"/>
              </w:rPr>
            </w:pPr>
            <w:r>
              <w:rPr>
                <w:sz w:val="23"/>
              </w:rPr>
              <w:t>familiar</w:t>
            </w:r>
          </w:p>
          <w:p>
            <w:pPr>
              <w:pStyle w:val="TableParagraph"/>
              <w:tabs>
                <w:tab w:pos="947" w:val="left" w:leader="none"/>
                <w:tab w:pos="3475" w:val="left" w:leader="none"/>
              </w:tabs>
              <w:spacing w:line="264" w:lineRule="exact"/>
              <w:ind w:left="108"/>
              <w:rPr>
                <w:sz w:val="23"/>
              </w:rPr>
            </w:pPr>
            <w:r>
              <w:rPr>
                <w:sz w:val="23"/>
              </w:rPr>
              <w:t>Mayor</w:t>
              <w:tab/>
              <w:t>seguridad  </w:t>
            </w:r>
            <w:r>
              <w:rPr>
                <w:spacing w:val="6"/>
                <w:sz w:val="23"/>
              </w:rPr>
              <w:t> </w:t>
            </w:r>
            <w:r>
              <w:rPr>
                <w:sz w:val="23"/>
              </w:rPr>
              <w:t>económica</w:t>
              <w:tab/>
              <w:t>y</w:t>
            </w:r>
          </w:p>
        </w:tc>
        <w:tc>
          <w:tcPr>
            <w:tcW w:w="1920" w:type="dxa"/>
          </w:tcPr>
          <w:p>
            <w:pPr>
              <w:pStyle w:val="TableParagraph"/>
              <w:spacing w:before="6"/>
              <w:ind w:left="0"/>
              <w:rPr>
                <w:sz w:val="21"/>
              </w:rPr>
            </w:pPr>
          </w:p>
          <w:p>
            <w:pPr>
              <w:pStyle w:val="TableParagraph"/>
              <w:spacing w:before="1"/>
              <w:ind w:left="105"/>
              <w:rPr>
                <w:sz w:val="23"/>
              </w:rPr>
            </w:pPr>
            <w:r>
              <w:rPr>
                <w:sz w:val="23"/>
              </w:rPr>
              <w:t>19%</w:t>
            </w:r>
          </w:p>
        </w:tc>
      </w:tr>
      <w:tr>
        <w:trPr>
          <w:trHeight w:val="515" w:hRule="exact"/>
        </w:trPr>
        <w:tc>
          <w:tcPr>
            <w:tcW w:w="3441" w:type="dxa"/>
          </w:tcPr>
          <w:p>
            <w:pPr/>
          </w:p>
        </w:tc>
        <w:tc>
          <w:tcPr>
            <w:tcW w:w="3701" w:type="dxa"/>
          </w:tcPr>
          <w:p>
            <w:pPr>
              <w:pStyle w:val="TableParagraph"/>
              <w:spacing w:line="246" w:lineRule="exact"/>
              <w:ind w:left="108"/>
              <w:rPr>
                <w:sz w:val="23"/>
              </w:rPr>
            </w:pPr>
            <w:r>
              <w:rPr>
                <w:sz w:val="23"/>
              </w:rPr>
              <w:t>social</w:t>
            </w:r>
          </w:p>
          <w:p>
            <w:pPr>
              <w:pStyle w:val="TableParagraph"/>
              <w:spacing w:line="264" w:lineRule="exact"/>
              <w:ind w:left="108"/>
              <w:rPr>
                <w:sz w:val="23"/>
              </w:rPr>
            </w:pPr>
            <w:r>
              <w:rPr>
                <w:sz w:val="23"/>
              </w:rPr>
              <w:t>Realización personal</w:t>
            </w:r>
          </w:p>
        </w:tc>
        <w:tc>
          <w:tcPr>
            <w:tcW w:w="1920" w:type="dxa"/>
          </w:tcPr>
          <w:p>
            <w:pPr>
              <w:pStyle w:val="TableParagraph"/>
              <w:spacing w:before="4"/>
              <w:ind w:left="0"/>
              <w:rPr>
                <w:sz w:val="21"/>
              </w:rPr>
            </w:pPr>
          </w:p>
          <w:p>
            <w:pPr>
              <w:pStyle w:val="TableParagraph"/>
              <w:ind w:left="105"/>
              <w:rPr>
                <w:sz w:val="23"/>
              </w:rPr>
            </w:pPr>
            <w:r>
              <w:rPr>
                <w:sz w:val="23"/>
              </w:rPr>
              <w:t>15%</w:t>
            </w:r>
          </w:p>
        </w:tc>
      </w:tr>
      <w:tr>
        <w:trPr>
          <w:trHeight w:val="277" w:hRule="exact"/>
        </w:trPr>
        <w:tc>
          <w:tcPr>
            <w:tcW w:w="3441" w:type="dxa"/>
            <w:shd w:val="clear" w:color="auto" w:fill="C0C0C0"/>
          </w:tcPr>
          <w:p>
            <w:pPr>
              <w:pStyle w:val="TableParagraph"/>
              <w:spacing w:line="254" w:lineRule="exact"/>
              <w:ind w:left="110"/>
              <w:rPr>
                <w:b/>
                <w:sz w:val="23"/>
              </w:rPr>
            </w:pPr>
            <w:r>
              <w:rPr>
                <w:b/>
                <w:sz w:val="23"/>
              </w:rPr>
              <w:t>Desventajas de la migración</w:t>
            </w:r>
          </w:p>
        </w:tc>
        <w:tc>
          <w:tcPr>
            <w:tcW w:w="3701" w:type="dxa"/>
            <w:shd w:val="clear" w:color="auto" w:fill="C0C0C0"/>
          </w:tcPr>
          <w:p>
            <w:pPr>
              <w:pStyle w:val="TableParagraph"/>
              <w:spacing w:line="259" w:lineRule="exact"/>
              <w:ind w:left="108"/>
              <w:rPr>
                <w:sz w:val="23"/>
              </w:rPr>
            </w:pPr>
            <w:r>
              <w:rPr>
                <w:sz w:val="23"/>
              </w:rPr>
              <w:t>Discriminación social y laboral</w:t>
            </w:r>
          </w:p>
        </w:tc>
        <w:tc>
          <w:tcPr>
            <w:tcW w:w="1920" w:type="dxa"/>
            <w:shd w:val="clear" w:color="auto" w:fill="C0C0C0"/>
          </w:tcPr>
          <w:p>
            <w:pPr>
              <w:pStyle w:val="TableParagraph"/>
              <w:spacing w:line="259" w:lineRule="exact"/>
              <w:ind w:left="105"/>
              <w:rPr>
                <w:sz w:val="23"/>
              </w:rPr>
            </w:pPr>
            <w:r>
              <w:rPr>
                <w:sz w:val="23"/>
              </w:rPr>
              <w:t>39%</w:t>
            </w:r>
          </w:p>
        </w:tc>
      </w:tr>
      <w:tr>
        <w:trPr>
          <w:trHeight w:val="264" w:hRule="exact"/>
        </w:trPr>
        <w:tc>
          <w:tcPr>
            <w:tcW w:w="3441" w:type="dxa"/>
            <w:shd w:val="clear" w:color="auto" w:fill="C0C0C0"/>
          </w:tcPr>
          <w:p>
            <w:pPr/>
          </w:p>
        </w:tc>
        <w:tc>
          <w:tcPr>
            <w:tcW w:w="3701" w:type="dxa"/>
            <w:shd w:val="clear" w:color="auto" w:fill="C0C0C0"/>
          </w:tcPr>
          <w:p>
            <w:pPr>
              <w:pStyle w:val="TableParagraph"/>
              <w:spacing w:line="247" w:lineRule="exact"/>
              <w:ind w:left="108"/>
              <w:rPr>
                <w:sz w:val="23"/>
              </w:rPr>
            </w:pPr>
            <w:r>
              <w:rPr>
                <w:sz w:val="23"/>
              </w:rPr>
              <w:t>Explotación laboral</w:t>
            </w:r>
          </w:p>
        </w:tc>
        <w:tc>
          <w:tcPr>
            <w:tcW w:w="1920" w:type="dxa"/>
            <w:shd w:val="clear" w:color="auto" w:fill="C0C0C0"/>
          </w:tcPr>
          <w:p>
            <w:pPr>
              <w:pStyle w:val="TableParagraph"/>
              <w:spacing w:line="247" w:lineRule="exact"/>
              <w:ind w:left="105"/>
              <w:rPr>
                <w:sz w:val="23"/>
              </w:rPr>
            </w:pPr>
            <w:r>
              <w:rPr>
                <w:sz w:val="23"/>
              </w:rPr>
              <w:t>32%</w:t>
            </w:r>
          </w:p>
        </w:tc>
      </w:tr>
      <w:tr>
        <w:trPr>
          <w:trHeight w:val="261" w:hRule="exact"/>
        </w:trPr>
        <w:tc>
          <w:tcPr>
            <w:tcW w:w="3441" w:type="dxa"/>
            <w:tcBorders>
              <w:bottom w:val="single" w:sz="8" w:space="0" w:color="000000"/>
            </w:tcBorders>
            <w:shd w:val="clear" w:color="auto" w:fill="C0C0C0"/>
          </w:tcPr>
          <w:p>
            <w:pPr/>
          </w:p>
        </w:tc>
        <w:tc>
          <w:tcPr>
            <w:tcW w:w="3701" w:type="dxa"/>
            <w:tcBorders>
              <w:bottom w:val="single" w:sz="8" w:space="0" w:color="000000"/>
            </w:tcBorders>
            <w:shd w:val="clear" w:color="auto" w:fill="C0C0C0"/>
          </w:tcPr>
          <w:p>
            <w:pPr>
              <w:pStyle w:val="TableParagraph"/>
              <w:spacing w:line="246" w:lineRule="exact"/>
              <w:ind w:left="108"/>
              <w:rPr>
                <w:sz w:val="23"/>
              </w:rPr>
            </w:pPr>
            <w:r>
              <w:rPr>
                <w:sz w:val="23"/>
              </w:rPr>
              <w:t>Poca seguridad legal</w:t>
            </w:r>
          </w:p>
        </w:tc>
        <w:tc>
          <w:tcPr>
            <w:tcW w:w="1920" w:type="dxa"/>
            <w:tcBorders>
              <w:bottom w:val="single" w:sz="8" w:space="0" w:color="000000"/>
            </w:tcBorders>
            <w:shd w:val="clear" w:color="auto" w:fill="C0C0C0"/>
          </w:tcPr>
          <w:p>
            <w:pPr>
              <w:pStyle w:val="TableParagraph"/>
              <w:spacing w:line="246" w:lineRule="exact"/>
              <w:ind w:left="105"/>
              <w:rPr>
                <w:sz w:val="23"/>
              </w:rPr>
            </w:pPr>
            <w:r>
              <w:rPr>
                <w:sz w:val="23"/>
              </w:rPr>
              <w:t>29%</w:t>
            </w:r>
          </w:p>
        </w:tc>
      </w:tr>
    </w:tbl>
    <w:p>
      <w:pPr>
        <w:spacing w:after="0" w:line="246" w:lineRule="exact"/>
        <w:rPr>
          <w:sz w:val="23"/>
        </w:rPr>
        <w:sectPr>
          <w:type w:val="continuous"/>
          <w:pgSz w:w="12240" w:h="15840"/>
          <w:pgMar w:top="1500" w:bottom="1580" w:left="1640" w:right="1300"/>
        </w:sectPr>
      </w:pPr>
    </w:p>
    <w:p>
      <w:pPr>
        <w:pStyle w:val="BodyText"/>
        <w:rPr>
          <w:sz w:val="20"/>
        </w:rPr>
      </w:pPr>
    </w:p>
    <w:p>
      <w:pPr>
        <w:pStyle w:val="BodyText"/>
        <w:spacing w:before="4"/>
        <w:rPr>
          <w:sz w:val="12"/>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40"/>
        <w:gridCol w:w="3700"/>
        <w:gridCol w:w="1922"/>
      </w:tblGrid>
      <w:tr>
        <w:trPr>
          <w:trHeight w:val="1599" w:hRule="exact"/>
        </w:trPr>
        <w:tc>
          <w:tcPr>
            <w:tcW w:w="3440" w:type="dxa"/>
            <w:tcBorders>
              <w:left w:val="nil"/>
              <w:bottom w:val="nil"/>
              <w:right w:val="nil"/>
            </w:tcBorders>
          </w:tcPr>
          <w:p>
            <w:pPr>
              <w:pStyle w:val="TableParagraph"/>
              <w:spacing w:line="260" w:lineRule="exact"/>
              <w:ind w:left="110"/>
              <w:rPr>
                <w:b/>
                <w:sz w:val="23"/>
              </w:rPr>
            </w:pPr>
            <w:r>
              <w:rPr>
                <w:b/>
                <w:sz w:val="23"/>
              </w:rPr>
              <w:t>Motivos de regreso</w:t>
            </w:r>
          </w:p>
        </w:tc>
        <w:tc>
          <w:tcPr>
            <w:tcW w:w="3700" w:type="dxa"/>
            <w:tcBorders>
              <w:left w:val="nil"/>
              <w:bottom w:val="nil"/>
              <w:right w:val="nil"/>
            </w:tcBorders>
          </w:tcPr>
          <w:p>
            <w:pPr>
              <w:pStyle w:val="TableParagraph"/>
              <w:ind w:left="109" w:right="259"/>
              <w:rPr>
                <w:sz w:val="23"/>
              </w:rPr>
            </w:pPr>
            <w:r>
              <w:rPr>
                <w:sz w:val="23"/>
              </w:rPr>
              <w:t>Cuestiones económicas del país Situación familiar</w:t>
            </w:r>
          </w:p>
          <w:p>
            <w:pPr>
              <w:pStyle w:val="TableParagraph"/>
              <w:tabs>
                <w:tab w:pos="2369" w:val="left" w:leader="none"/>
              </w:tabs>
              <w:ind w:left="109" w:right="104"/>
              <w:rPr>
                <w:sz w:val="23"/>
              </w:rPr>
            </w:pPr>
            <w:r>
              <w:rPr>
                <w:sz w:val="23"/>
              </w:rPr>
              <w:t>Cuestiones</w:t>
              <w:tab/>
            </w:r>
            <w:r>
              <w:rPr>
                <w:spacing w:val="-1"/>
                <w:sz w:val="23"/>
              </w:rPr>
              <w:t>económicas </w:t>
            </w:r>
            <w:r>
              <w:rPr>
                <w:sz w:val="23"/>
              </w:rPr>
              <w:t>personales</w:t>
            </w:r>
          </w:p>
          <w:p>
            <w:pPr>
              <w:pStyle w:val="TableParagraph"/>
              <w:spacing w:line="264" w:lineRule="exact"/>
              <w:ind w:left="109" w:right="259"/>
              <w:rPr>
                <w:sz w:val="23"/>
              </w:rPr>
            </w:pPr>
            <w:r>
              <w:rPr>
                <w:sz w:val="23"/>
              </w:rPr>
              <w:t>Problemas legales</w:t>
            </w:r>
          </w:p>
        </w:tc>
        <w:tc>
          <w:tcPr>
            <w:tcW w:w="1922" w:type="dxa"/>
            <w:tcBorders>
              <w:left w:val="nil"/>
              <w:bottom w:val="nil"/>
              <w:right w:val="nil"/>
            </w:tcBorders>
          </w:tcPr>
          <w:p>
            <w:pPr>
              <w:pStyle w:val="TableParagraph"/>
              <w:ind w:left="106"/>
              <w:rPr>
                <w:sz w:val="23"/>
              </w:rPr>
            </w:pPr>
            <w:r>
              <w:rPr>
                <w:sz w:val="23"/>
              </w:rPr>
              <w:t>39%</w:t>
            </w:r>
          </w:p>
          <w:p>
            <w:pPr>
              <w:pStyle w:val="TableParagraph"/>
              <w:spacing w:before="11"/>
              <w:ind w:left="0"/>
              <w:rPr>
                <w:sz w:val="22"/>
              </w:rPr>
            </w:pPr>
          </w:p>
          <w:p>
            <w:pPr>
              <w:pStyle w:val="TableParagraph"/>
              <w:spacing w:line="264" w:lineRule="exact"/>
              <w:ind w:left="106"/>
              <w:rPr>
                <w:sz w:val="23"/>
              </w:rPr>
            </w:pPr>
            <w:r>
              <w:rPr>
                <w:sz w:val="23"/>
              </w:rPr>
              <w:t>22%</w:t>
            </w:r>
          </w:p>
          <w:p>
            <w:pPr>
              <w:pStyle w:val="TableParagraph"/>
              <w:spacing w:line="264" w:lineRule="exact"/>
              <w:ind w:left="106"/>
              <w:rPr>
                <w:sz w:val="23"/>
              </w:rPr>
            </w:pPr>
            <w:r>
              <w:rPr>
                <w:sz w:val="23"/>
              </w:rPr>
              <w:t>20%</w:t>
            </w:r>
          </w:p>
          <w:p>
            <w:pPr>
              <w:pStyle w:val="TableParagraph"/>
              <w:spacing w:before="10"/>
              <w:ind w:left="0"/>
              <w:rPr>
                <w:sz w:val="22"/>
              </w:rPr>
            </w:pPr>
          </w:p>
          <w:p>
            <w:pPr>
              <w:pStyle w:val="TableParagraph"/>
              <w:ind w:left="106"/>
              <w:rPr>
                <w:sz w:val="23"/>
              </w:rPr>
            </w:pPr>
            <w:r>
              <w:rPr>
                <w:sz w:val="23"/>
              </w:rPr>
              <w:t>19%</w:t>
            </w:r>
          </w:p>
        </w:tc>
      </w:tr>
      <w:tr>
        <w:trPr>
          <w:trHeight w:val="802" w:hRule="exact"/>
        </w:trPr>
        <w:tc>
          <w:tcPr>
            <w:tcW w:w="3440" w:type="dxa"/>
            <w:tcBorders>
              <w:top w:val="nil"/>
              <w:left w:val="nil"/>
              <w:right w:val="nil"/>
            </w:tcBorders>
            <w:shd w:val="clear" w:color="auto" w:fill="C0C0C0"/>
          </w:tcPr>
          <w:p>
            <w:pPr>
              <w:pStyle w:val="TableParagraph"/>
              <w:spacing w:line="264" w:lineRule="exact"/>
              <w:ind w:left="110"/>
              <w:rPr>
                <w:b/>
                <w:sz w:val="23"/>
              </w:rPr>
            </w:pPr>
            <w:r>
              <w:rPr>
                <w:b/>
                <w:sz w:val="23"/>
              </w:rPr>
              <w:t>Decisión de radicar en su lugar de origen</w:t>
            </w:r>
          </w:p>
        </w:tc>
        <w:tc>
          <w:tcPr>
            <w:tcW w:w="3700" w:type="dxa"/>
            <w:tcBorders>
              <w:top w:val="nil"/>
              <w:left w:val="nil"/>
              <w:right w:val="nil"/>
            </w:tcBorders>
            <w:shd w:val="clear" w:color="auto" w:fill="C0C0C0"/>
          </w:tcPr>
          <w:p>
            <w:pPr>
              <w:pStyle w:val="TableParagraph"/>
              <w:ind w:left="109" w:right="3276"/>
              <w:rPr>
                <w:sz w:val="23"/>
              </w:rPr>
            </w:pPr>
            <w:r>
              <w:rPr>
                <w:sz w:val="23"/>
              </w:rPr>
              <w:t>Si No</w:t>
            </w:r>
          </w:p>
        </w:tc>
        <w:tc>
          <w:tcPr>
            <w:tcW w:w="1922" w:type="dxa"/>
            <w:tcBorders>
              <w:top w:val="nil"/>
              <w:left w:val="nil"/>
              <w:right w:val="nil"/>
            </w:tcBorders>
            <w:shd w:val="clear" w:color="auto" w:fill="C0C0C0"/>
          </w:tcPr>
          <w:p>
            <w:pPr>
              <w:pStyle w:val="TableParagraph"/>
              <w:spacing w:line="264" w:lineRule="exact"/>
              <w:ind w:left="106"/>
              <w:rPr>
                <w:sz w:val="23"/>
              </w:rPr>
            </w:pPr>
            <w:r>
              <w:rPr>
                <w:sz w:val="23"/>
              </w:rPr>
              <w:t>72%</w:t>
            </w:r>
          </w:p>
          <w:p>
            <w:pPr>
              <w:pStyle w:val="TableParagraph"/>
              <w:spacing w:line="264" w:lineRule="exact"/>
              <w:ind w:left="106"/>
              <w:rPr>
                <w:sz w:val="23"/>
              </w:rPr>
            </w:pPr>
            <w:r>
              <w:rPr>
                <w:sz w:val="23"/>
              </w:rPr>
              <w:t>28%</w:t>
            </w:r>
          </w:p>
        </w:tc>
      </w:tr>
    </w:tbl>
    <w:p>
      <w:pPr>
        <w:pStyle w:val="BodyText"/>
        <w:rPr>
          <w:sz w:val="23"/>
        </w:rPr>
      </w:pPr>
    </w:p>
    <w:p>
      <w:pPr>
        <w:spacing w:before="76"/>
        <w:ind w:left="232" w:right="0" w:firstLine="0"/>
        <w:jc w:val="both"/>
        <w:rPr>
          <w:sz w:val="20"/>
        </w:rPr>
      </w:pPr>
      <w:r>
        <w:rPr>
          <w:sz w:val="20"/>
        </w:rPr>
        <w:t>Fuente: elaboración propia con base en trabajo de campo, diciembre 2012 a enero 2013.</w:t>
      </w:r>
    </w:p>
    <w:p>
      <w:pPr>
        <w:pStyle w:val="BodyText"/>
        <w:rPr>
          <w:sz w:val="20"/>
        </w:rPr>
      </w:pPr>
    </w:p>
    <w:p>
      <w:pPr>
        <w:pStyle w:val="BodyText"/>
        <w:rPr>
          <w:sz w:val="26"/>
        </w:rPr>
      </w:pPr>
    </w:p>
    <w:p>
      <w:pPr>
        <w:pStyle w:val="BodyText"/>
        <w:spacing w:line="360" w:lineRule="auto"/>
        <w:ind w:left="232" w:right="250"/>
        <w:jc w:val="both"/>
      </w:pPr>
      <w:r>
        <w:rPr/>
        <w:t>La mayoría presenta estancia migratoria temporal, dado su estatus migratorio ilegal. La mayor parte de la población encuestada manifestó que el  principal motivo por el que regreso a su lugar de origen es la cuestión económica por la que atraviesa Estados Unidos, así como las situación social que viven en aquel país principalmente por las políticas migratorias adversas para la población migrante (en especial los indocumentados). El mayor segmento de la población migrante se emplea en el sector</w:t>
      </w:r>
      <w:r>
        <w:rPr>
          <w:spacing w:val="-6"/>
        </w:rPr>
        <w:t> </w:t>
      </w:r>
      <w:r>
        <w:rPr/>
        <w:t>servicios.</w:t>
      </w:r>
    </w:p>
    <w:p>
      <w:pPr>
        <w:pStyle w:val="BodyText"/>
      </w:pPr>
    </w:p>
    <w:p>
      <w:pPr>
        <w:pStyle w:val="BodyText"/>
        <w:spacing w:line="360" w:lineRule="auto" w:before="144"/>
        <w:ind w:left="232" w:right="243"/>
        <w:jc w:val="both"/>
      </w:pPr>
      <w:r>
        <w:rPr/>
        <w:t>De acuerdo con lo manifestado por los informantes en las localidades estudiadas del municipio de Tenancingo, los principales beneficios obtenidos de la migración son los mejores puestos de trabajo, lo cual les genera mejores remuneraciones salariales y mejores medios de desarrollo familiar, es decir un costo-beneficio con saldo favorable, el costo de dejar a su familia se compensa con el beneficio de  que su familia pueda tener mejores condiciones de vida (Véase cuadro</w:t>
      </w:r>
      <w:r>
        <w:rPr>
          <w:spacing w:val="-34"/>
        </w:rPr>
        <w:t> </w:t>
      </w:r>
      <w:r>
        <w:rPr/>
        <w:t>4).</w:t>
      </w:r>
    </w:p>
    <w:p>
      <w:pPr>
        <w:pStyle w:val="BodyText"/>
      </w:pPr>
    </w:p>
    <w:p>
      <w:pPr>
        <w:pStyle w:val="BodyText"/>
        <w:spacing w:line="360" w:lineRule="auto" w:before="144"/>
        <w:ind w:left="232" w:right="244"/>
        <w:jc w:val="both"/>
      </w:pPr>
      <w:r>
        <w:rPr/>
        <w:t>Las remesas son el principal beneficio derivado de la migración, en las localidades de estudio, en su mayoría, las familias de los migrantes reciben recursos derivados de las remesas. Éstas son utilizadas principalmente para cubrir las necesidades básicas de alimentación, educación y salud, dejando </w:t>
      </w:r>
      <w:r>
        <w:rPr>
          <w:spacing w:val="7"/>
        </w:rPr>
        <w:t>en </w:t>
      </w:r>
      <w:r>
        <w:rPr/>
        <w:t>segundo término aspectos como ahorro o inversión en actividades productivas. Se infiere que</w:t>
      </w:r>
      <w:r>
        <w:rPr>
          <w:spacing w:val="22"/>
        </w:rPr>
        <w:t> </w:t>
      </w:r>
      <w:r>
        <w:rPr/>
        <w:t>los</w:t>
      </w:r>
      <w:r>
        <w:rPr>
          <w:spacing w:val="21"/>
        </w:rPr>
        <w:t> </w:t>
      </w:r>
      <w:r>
        <w:rPr/>
        <w:t>montos</w:t>
      </w:r>
      <w:r>
        <w:rPr>
          <w:spacing w:val="26"/>
        </w:rPr>
        <w:t> </w:t>
      </w:r>
      <w:r>
        <w:rPr/>
        <w:t>y</w:t>
      </w:r>
      <w:r>
        <w:rPr>
          <w:spacing w:val="26"/>
        </w:rPr>
        <w:t> </w:t>
      </w:r>
      <w:r>
        <w:rPr/>
        <w:t>la</w:t>
      </w:r>
      <w:r>
        <w:rPr>
          <w:spacing w:val="26"/>
        </w:rPr>
        <w:t> </w:t>
      </w:r>
      <w:r>
        <w:rPr/>
        <w:t>frecuencia</w:t>
      </w:r>
      <w:r>
        <w:rPr>
          <w:spacing w:val="22"/>
        </w:rPr>
        <w:t> </w:t>
      </w:r>
      <w:r>
        <w:rPr/>
        <w:t>del</w:t>
      </w:r>
      <w:r>
        <w:rPr>
          <w:spacing w:val="25"/>
        </w:rPr>
        <w:t> </w:t>
      </w:r>
      <w:r>
        <w:rPr/>
        <w:t>envío</w:t>
      </w:r>
      <w:r>
        <w:rPr>
          <w:spacing w:val="22"/>
        </w:rPr>
        <w:t> </w:t>
      </w:r>
      <w:r>
        <w:rPr/>
        <w:t>de</w:t>
      </w:r>
      <w:r>
        <w:rPr>
          <w:spacing w:val="22"/>
        </w:rPr>
        <w:t> </w:t>
      </w:r>
      <w:r>
        <w:rPr/>
        <w:t>recursos</w:t>
      </w:r>
      <w:r>
        <w:rPr>
          <w:spacing w:val="26"/>
        </w:rPr>
        <w:t> </w:t>
      </w:r>
      <w:r>
        <w:rPr/>
        <w:t>solo</w:t>
      </w:r>
      <w:r>
        <w:rPr>
          <w:spacing w:val="26"/>
        </w:rPr>
        <w:t> </w:t>
      </w:r>
      <w:r>
        <w:rPr/>
        <w:t>permiten</w:t>
      </w:r>
      <w:r>
        <w:rPr>
          <w:spacing w:val="26"/>
        </w:rPr>
        <w:t> </w:t>
      </w:r>
      <w:r>
        <w:rPr/>
        <w:t>un</w:t>
      </w:r>
      <w:r>
        <w:rPr>
          <w:spacing w:val="22"/>
        </w:rPr>
        <w:t> </w:t>
      </w:r>
      <w:r>
        <w:rPr/>
        <w:t>grado</w:t>
      </w:r>
      <w:r>
        <w:rPr>
          <w:spacing w:val="22"/>
        </w:rPr>
        <w:t> </w:t>
      </w:r>
      <w:r>
        <w:rPr/>
        <w:t>de</w:t>
      </w:r>
    </w:p>
    <w:p>
      <w:pPr>
        <w:spacing w:after="0" w:line="360" w:lineRule="auto"/>
        <w:jc w:val="both"/>
        <w:sectPr>
          <w:pgSz w:w="12240" w:h="15840"/>
          <w:pgMar w:header="0" w:footer="1382" w:top="1500" w:bottom="1580" w:left="1640" w:right="1280"/>
        </w:sectPr>
      </w:pPr>
    </w:p>
    <w:p>
      <w:pPr>
        <w:pStyle w:val="BodyText"/>
        <w:spacing w:before="11"/>
        <w:rPr>
          <w:sz w:val="25"/>
        </w:rPr>
      </w:pPr>
    </w:p>
    <w:p>
      <w:pPr>
        <w:pStyle w:val="BodyText"/>
        <w:spacing w:line="360" w:lineRule="auto" w:before="69"/>
        <w:ind w:left="252" w:right="269"/>
      </w:pPr>
      <w:r>
        <w:rPr/>
        <w:pict>
          <v:line style="position:absolute;mso-position-horizontal-relative:page;mso-position-vertical-relative:paragraph;z-index:-61336" from="87.384003pt,108.81588pt" to="541.174003pt,108.81588pt" stroked="true" strokeweight=".96001pt" strokecolor="#000000">
            <w10:wrap type="none"/>
          </v:line>
        </w:pict>
      </w:r>
      <w:r>
        <w:rPr/>
        <w:pict>
          <v:group style="position:absolute;margin-left:86.884003pt;margin-top:130.895889pt;width:454.8pt;height:2pt;mso-position-horizontal-relative:page;mso-position-vertical-relative:paragraph;z-index:-61312" coordorigin="1738,2618" coordsize="9096,40">
            <v:line style="position:absolute" from="1762,2647" to="4979,2647" stroked="true" strokeweight=".96001pt" strokecolor="#000000"/>
            <v:line style="position:absolute" from="4980,2647" to="4999,2647" stroked="true" strokeweight=".96001pt" strokecolor="#000000"/>
            <v:line style="position:absolute" from="4999,2647" to="8720,2647" stroked="true" strokeweight=".96001pt" strokecolor="#000000"/>
            <v:line style="position:absolute" from="8720,2647" to="8739,2647" stroked="true" strokeweight=".96001pt" strokecolor="#000000"/>
            <v:line style="position:absolute" from="8739,2647" to="10824,2647" stroked="true" strokeweight=".96001pt" strokecolor="#000000"/>
            <v:line style="position:absolute" from="1748,2628" to="5018,2628" stroked="true" strokeweight=".95999pt" strokecolor="#000000"/>
            <v:line style="position:absolute" from="5004,2628" to="5023,2628" stroked="true" strokeweight=".95999pt" strokecolor="#000000"/>
            <v:line style="position:absolute" from="5023,2628" to="8442,2628" stroked="true" strokeweight=".95999pt" strokecolor="#000000"/>
            <v:line style="position:absolute" from="8427,2628" to="8447,2628" stroked="true" strokeweight=".95999pt" strokecolor="#000000"/>
            <v:line style="position:absolute" from="8447,2628" to="10824,2628" stroked="true" strokeweight=".95999pt" strokecolor="#000000"/>
            <w10:wrap type="none"/>
          </v:group>
        </w:pict>
      </w:r>
      <w:r>
        <w:rPr/>
        <w:t>subsistencia y no de proporcionar recursos o capacidades para alcanzar niveles socioeconómicos más altos (Véase cuadro 5).</w:t>
      </w:r>
    </w:p>
    <w:p>
      <w:pPr>
        <w:pStyle w:val="BodyText"/>
        <w:rPr>
          <w:sz w:val="20"/>
        </w:rPr>
      </w:pPr>
    </w:p>
    <w:p>
      <w:pPr>
        <w:pStyle w:val="BodyText"/>
        <w:spacing w:before="6"/>
        <w:rPr>
          <w:sz w:val="10"/>
        </w:rPr>
      </w:pPr>
    </w:p>
    <w:tbl>
      <w:tblPr>
        <w:tblW w:w="0" w:type="auto"/>
        <w:jc w:val="left"/>
        <w:tblInd w:w="1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7"/>
        <w:gridCol w:w="483"/>
        <w:gridCol w:w="2960"/>
        <w:gridCol w:w="2882"/>
      </w:tblGrid>
      <w:tr>
        <w:trPr>
          <w:trHeight w:val="496" w:hRule="exact"/>
        </w:trPr>
        <w:tc>
          <w:tcPr>
            <w:tcW w:w="3220" w:type="dxa"/>
            <w:gridSpan w:val="2"/>
            <w:tcBorders>
              <w:bottom w:val="single" w:sz="8" w:space="0" w:color="000000"/>
            </w:tcBorders>
          </w:tcPr>
          <w:p>
            <w:pPr/>
          </w:p>
        </w:tc>
        <w:tc>
          <w:tcPr>
            <w:tcW w:w="2960" w:type="dxa"/>
            <w:tcBorders>
              <w:bottom w:val="single" w:sz="8" w:space="0" w:color="000000"/>
            </w:tcBorders>
          </w:tcPr>
          <w:p>
            <w:pPr>
              <w:pStyle w:val="TableParagraph"/>
              <w:spacing w:before="69"/>
              <w:ind w:left="271"/>
              <w:rPr>
                <w:sz w:val="24"/>
              </w:rPr>
            </w:pPr>
            <w:r>
              <w:rPr>
                <w:sz w:val="24"/>
              </w:rPr>
              <w:t>Tabla 10. Remesas</w:t>
            </w:r>
          </w:p>
        </w:tc>
        <w:tc>
          <w:tcPr>
            <w:tcW w:w="2882" w:type="dxa"/>
            <w:vMerge w:val="restart"/>
          </w:tcPr>
          <w:p>
            <w:pPr/>
          </w:p>
        </w:tc>
      </w:tr>
      <w:tr>
        <w:trPr>
          <w:trHeight w:val="509" w:hRule="exact"/>
        </w:trPr>
        <w:tc>
          <w:tcPr>
            <w:tcW w:w="2737" w:type="dxa"/>
            <w:tcBorders>
              <w:top w:val="single" w:sz="8" w:space="0" w:color="000000"/>
              <w:bottom w:val="single" w:sz="8" w:space="0" w:color="000000"/>
            </w:tcBorders>
          </w:tcPr>
          <w:p>
            <w:pPr>
              <w:pStyle w:val="TableParagraph"/>
              <w:spacing w:line="267" w:lineRule="exact"/>
              <w:ind w:left="110"/>
              <w:rPr>
                <w:b/>
                <w:sz w:val="24"/>
              </w:rPr>
            </w:pPr>
            <w:r>
              <w:rPr>
                <w:b/>
                <w:sz w:val="24"/>
              </w:rPr>
              <w:t>Bloque 3. Remesas</w:t>
            </w:r>
          </w:p>
        </w:tc>
        <w:tc>
          <w:tcPr>
            <w:tcW w:w="483" w:type="dxa"/>
            <w:tcBorders>
              <w:top w:val="single" w:sz="8" w:space="0" w:color="000000"/>
              <w:bottom w:val="single" w:sz="8" w:space="0" w:color="000000"/>
            </w:tcBorders>
          </w:tcPr>
          <w:p>
            <w:pPr/>
          </w:p>
        </w:tc>
        <w:tc>
          <w:tcPr>
            <w:tcW w:w="2960" w:type="dxa"/>
            <w:tcBorders>
              <w:top w:val="single" w:sz="8" w:space="0" w:color="000000"/>
              <w:bottom w:val="single" w:sz="8" w:space="0" w:color="000000"/>
            </w:tcBorders>
          </w:tcPr>
          <w:p>
            <w:pPr/>
          </w:p>
        </w:tc>
        <w:tc>
          <w:tcPr>
            <w:tcW w:w="2882" w:type="dxa"/>
            <w:vMerge/>
            <w:tcBorders>
              <w:bottom w:val="single" w:sz="8" w:space="0" w:color="000000"/>
            </w:tcBorders>
          </w:tcPr>
          <w:p>
            <w:pPr/>
          </w:p>
        </w:tc>
      </w:tr>
      <w:tr>
        <w:trPr>
          <w:trHeight w:val="413" w:hRule="exact"/>
        </w:trPr>
        <w:tc>
          <w:tcPr>
            <w:tcW w:w="2737" w:type="dxa"/>
            <w:tcBorders>
              <w:top w:val="single" w:sz="8" w:space="0" w:color="000000"/>
            </w:tcBorders>
          </w:tcPr>
          <w:p>
            <w:pPr>
              <w:pStyle w:val="TableParagraph"/>
              <w:spacing w:line="267" w:lineRule="exact"/>
              <w:ind w:left="110"/>
              <w:rPr>
                <w:b/>
                <w:sz w:val="24"/>
              </w:rPr>
            </w:pPr>
            <w:r>
              <w:rPr>
                <w:b/>
                <w:sz w:val="24"/>
              </w:rPr>
              <w:t>Variable</w:t>
            </w:r>
          </w:p>
        </w:tc>
        <w:tc>
          <w:tcPr>
            <w:tcW w:w="483" w:type="dxa"/>
            <w:tcBorders>
              <w:top w:val="single" w:sz="8" w:space="0" w:color="000000"/>
            </w:tcBorders>
          </w:tcPr>
          <w:p>
            <w:pPr/>
          </w:p>
        </w:tc>
        <w:tc>
          <w:tcPr>
            <w:tcW w:w="2960" w:type="dxa"/>
            <w:tcBorders>
              <w:top w:val="single" w:sz="8" w:space="0" w:color="000000"/>
            </w:tcBorders>
          </w:tcPr>
          <w:p>
            <w:pPr>
              <w:pStyle w:val="TableParagraph"/>
              <w:spacing w:line="267" w:lineRule="exact"/>
              <w:ind w:left="141"/>
              <w:rPr>
                <w:b/>
                <w:sz w:val="24"/>
              </w:rPr>
            </w:pPr>
            <w:r>
              <w:rPr>
                <w:b/>
                <w:sz w:val="24"/>
              </w:rPr>
              <w:t>Nivel o parámetro</w:t>
            </w:r>
          </w:p>
        </w:tc>
        <w:tc>
          <w:tcPr>
            <w:tcW w:w="2882" w:type="dxa"/>
            <w:tcBorders>
              <w:top w:val="single" w:sz="8" w:space="0" w:color="000000"/>
            </w:tcBorders>
          </w:tcPr>
          <w:p>
            <w:pPr>
              <w:pStyle w:val="TableParagraph"/>
              <w:spacing w:line="267" w:lineRule="exact"/>
              <w:ind w:left="610"/>
              <w:rPr>
                <w:b/>
                <w:sz w:val="24"/>
              </w:rPr>
            </w:pPr>
            <w:r>
              <w:rPr>
                <w:b/>
                <w:sz w:val="24"/>
              </w:rPr>
              <w:t>Valor porcentual</w:t>
            </w:r>
          </w:p>
        </w:tc>
      </w:tr>
      <w:tr>
        <w:trPr>
          <w:trHeight w:val="283" w:hRule="exact"/>
        </w:trPr>
        <w:tc>
          <w:tcPr>
            <w:tcW w:w="2737" w:type="dxa"/>
            <w:shd w:val="clear" w:color="auto" w:fill="C0C0C0"/>
          </w:tcPr>
          <w:p>
            <w:pPr>
              <w:pStyle w:val="TableParagraph"/>
              <w:spacing w:line="267" w:lineRule="exact"/>
              <w:ind w:left="110"/>
              <w:rPr>
                <w:b/>
                <w:sz w:val="24"/>
              </w:rPr>
            </w:pPr>
            <w:r>
              <w:rPr>
                <w:b/>
                <w:sz w:val="24"/>
              </w:rPr>
              <w:t>Envío remesas</w:t>
            </w:r>
          </w:p>
        </w:tc>
        <w:tc>
          <w:tcPr>
            <w:tcW w:w="483" w:type="dxa"/>
            <w:shd w:val="clear" w:color="auto" w:fill="C0C0C0"/>
          </w:tcPr>
          <w:p>
            <w:pPr/>
          </w:p>
        </w:tc>
        <w:tc>
          <w:tcPr>
            <w:tcW w:w="2960" w:type="dxa"/>
            <w:shd w:val="clear" w:color="auto" w:fill="C0C0C0"/>
          </w:tcPr>
          <w:p>
            <w:pPr>
              <w:pStyle w:val="TableParagraph"/>
              <w:spacing w:line="272" w:lineRule="exact"/>
              <w:ind w:left="108"/>
              <w:rPr>
                <w:sz w:val="24"/>
              </w:rPr>
            </w:pPr>
            <w:r>
              <w:rPr>
                <w:sz w:val="24"/>
              </w:rPr>
              <w:t>Si</w:t>
            </w:r>
          </w:p>
        </w:tc>
        <w:tc>
          <w:tcPr>
            <w:tcW w:w="2882" w:type="dxa"/>
            <w:shd w:val="clear" w:color="auto" w:fill="C0C0C0"/>
          </w:tcPr>
          <w:p>
            <w:pPr>
              <w:pStyle w:val="TableParagraph"/>
              <w:spacing w:line="272" w:lineRule="exact"/>
              <w:ind w:left="884"/>
              <w:rPr>
                <w:sz w:val="24"/>
              </w:rPr>
            </w:pPr>
            <w:r>
              <w:rPr>
                <w:sz w:val="24"/>
              </w:rPr>
              <w:t>98%</w:t>
            </w:r>
          </w:p>
        </w:tc>
      </w:tr>
      <w:tr>
        <w:trPr>
          <w:trHeight w:val="350" w:hRule="exact"/>
        </w:trPr>
        <w:tc>
          <w:tcPr>
            <w:tcW w:w="2737" w:type="dxa"/>
            <w:shd w:val="clear" w:color="auto" w:fill="C0C0C0"/>
          </w:tcPr>
          <w:p>
            <w:pPr/>
          </w:p>
        </w:tc>
        <w:tc>
          <w:tcPr>
            <w:tcW w:w="483" w:type="dxa"/>
            <w:shd w:val="clear" w:color="auto" w:fill="C0C0C0"/>
          </w:tcPr>
          <w:p>
            <w:pPr/>
          </w:p>
        </w:tc>
        <w:tc>
          <w:tcPr>
            <w:tcW w:w="2960" w:type="dxa"/>
            <w:shd w:val="clear" w:color="auto" w:fill="C0C0C0"/>
          </w:tcPr>
          <w:p>
            <w:pPr>
              <w:pStyle w:val="TableParagraph"/>
              <w:spacing w:line="262" w:lineRule="exact"/>
              <w:ind w:left="108"/>
              <w:rPr>
                <w:sz w:val="24"/>
              </w:rPr>
            </w:pPr>
            <w:r>
              <w:rPr>
                <w:sz w:val="24"/>
              </w:rPr>
              <w:t>No</w:t>
            </w:r>
          </w:p>
        </w:tc>
        <w:tc>
          <w:tcPr>
            <w:tcW w:w="2882" w:type="dxa"/>
            <w:shd w:val="clear" w:color="auto" w:fill="C0C0C0"/>
          </w:tcPr>
          <w:p>
            <w:pPr>
              <w:pStyle w:val="TableParagraph"/>
              <w:spacing w:line="262" w:lineRule="exact"/>
              <w:ind w:left="884"/>
              <w:rPr>
                <w:sz w:val="24"/>
              </w:rPr>
            </w:pPr>
            <w:r>
              <w:rPr>
                <w:sz w:val="24"/>
              </w:rPr>
              <w:t>2%</w:t>
            </w:r>
          </w:p>
        </w:tc>
      </w:tr>
      <w:tr>
        <w:trPr>
          <w:trHeight w:val="283" w:hRule="exact"/>
        </w:trPr>
        <w:tc>
          <w:tcPr>
            <w:tcW w:w="2737" w:type="dxa"/>
          </w:tcPr>
          <w:p>
            <w:pPr>
              <w:pStyle w:val="TableParagraph"/>
              <w:spacing w:line="267" w:lineRule="exact"/>
              <w:ind w:left="110"/>
              <w:rPr>
                <w:b/>
                <w:sz w:val="24"/>
              </w:rPr>
            </w:pPr>
            <w:r>
              <w:rPr>
                <w:b/>
                <w:sz w:val="24"/>
              </w:rPr>
              <w:t>Frecuencia   de  envío</w:t>
            </w:r>
          </w:p>
        </w:tc>
        <w:tc>
          <w:tcPr>
            <w:tcW w:w="483" w:type="dxa"/>
          </w:tcPr>
          <w:p>
            <w:pPr>
              <w:pStyle w:val="TableParagraph"/>
              <w:spacing w:line="267" w:lineRule="exact"/>
              <w:ind w:left="92"/>
              <w:rPr>
                <w:b/>
                <w:sz w:val="24"/>
              </w:rPr>
            </w:pPr>
            <w:r>
              <w:rPr>
                <w:b/>
                <w:sz w:val="24"/>
              </w:rPr>
              <w:t>de</w:t>
            </w:r>
          </w:p>
        </w:tc>
        <w:tc>
          <w:tcPr>
            <w:tcW w:w="2960" w:type="dxa"/>
            <w:tcBorders>
              <w:top w:val="single" w:sz="33" w:space="0" w:color="C0C0C0"/>
            </w:tcBorders>
          </w:tcPr>
          <w:p>
            <w:pPr>
              <w:pStyle w:val="TableParagraph"/>
              <w:spacing w:line="231" w:lineRule="exact"/>
              <w:ind w:left="108"/>
              <w:rPr>
                <w:sz w:val="24"/>
              </w:rPr>
            </w:pPr>
            <w:r>
              <w:rPr>
                <w:sz w:val="24"/>
              </w:rPr>
              <w:t>1 vez al mes</w:t>
            </w:r>
          </w:p>
        </w:tc>
        <w:tc>
          <w:tcPr>
            <w:tcW w:w="2882" w:type="dxa"/>
            <w:tcBorders>
              <w:top w:val="single" w:sz="33" w:space="0" w:color="C0C0C0"/>
            </w:tcBorders>
          </w:tcPr>
          <w:p>
            <w:pPr>
              <w:pStyle w:val="TableParagraph"/>
              <w:spacing w:line="231" w:lineRule="exact"/>
              <w:ind w:left="884"/>
              <w:rPr>
                <w:sz w:val="24"/>
              </w:rPr>
            </w:pPr>
            <w:r>
              <w:rPr>
                <w:sz w:val="24"/>
              </w:rPr>
              <w:t>18%</w:t>
            </w:r>
          </w:p>
        </w:tc>
      </w:tr>
      <w:tr>
        <w:trPr>
          <w:trHeight w:val="278" w:hRule="exact"/>
        </w:trPr>
        <w:tc>
          <w:tcPr>
            <w:tcW w:w="2737" w:type="dxa"/>
          </w:tcPr>
          <w:p>
            <w:pPr>
              <w:pStyle w:val="TableParagraph"/>
              <w:spacing w:line="262" w:lineRule="exact"/>
              <w:ind w:left="110"/>
              <w:rPr>
                <w:b/>
                <w:sz w:val="24"/>
              </w:rPr>
            </w:pPr>
            <w:r>
              <w:rPr>
                <w:b/>
                <w:sz w:val="24"/>
              </w:rPr>
              <w:t>remesas</w:t>
            </w:r>
          </w:p>
        </w:tc>
        <w:tc>
          <w:tcPr>
            <w:tcW w:w="483" w:type="dxa"/>
          </w:tcPr>
          <w:p>
            <w:pPr/>
          </w:p>
        </w:tc>
        <w:tc>
          <w:tcPr>
            <w:tcW w:w="2960" w:type="dxa"/>
          </w:tcPr>
          <w:p>
            <w:pPr>
              <w:pStyle w:val="TableParagraph"/>
              <w:spacing w:line="267" w:lineRule="exact"/>
              <w:ind w:left="108"/>
              <w:rPr>
                <w:sz w:val="24"/>
              </w:rPr>
            </w:pPr>
            <w:r>
              <w:rPr>
                <w:sz w:val="24"/>
              </w:rPr>
              <w:t>2 veces al mes</w:t>
            </w:r>
          </w:p>
        </w:tc>
        <w:tc>
          <w:tcPr>
            <w:tcW w:w="2882" w:type="dxa"/>
          </w:tcPr>
          <w:p>
            <w:pPr>
              <w:pStyle w:val="TableParagraph"/>
              <w:spacing w:line="267" w:lineRule="exact"/>
              <w:ind w:left="884"/>
              <w:rPr>
                <w:sz w:val="24"/>
              </w:rPr>
            </w:pPr>
            <w:r>
              <w:rPr>
                <w:sz w:val="24"/>
              </w:rPr>
              <w:t>56%</w:t>
            </w:r>
          </w:p>
        </w:tc>
      </w:tr>
      <w:tr>
        <w:trPr>
          <w:trHeight w:val="276" w:hRule="exact"/>
        </w:trPr>
        <w:tc>
          <w:tcPr>
            <w:tcW w:w="2737" w:type="dxa"/>
          </w:tcPr>
          <w:p>
            <w:pPr/>
          </w:p>
        </w:tc>
        <w:tc>
          <w:tcPr>
            <w:tcW w:w="483" w:type="dxa"/>
          </w:tcPr>
          <w:p>
            <w:pPr/>
          </w:p>
        </w:tc>
        <w:tc>
          <w:tcPr>
            <w:tcW w:w="2960" w:type="dxa"/>
          </w:tcPr>
          <w:p>
            <w:pPr>
              <w:pStyle w:val="TableParagraph"/>
              <w:spacing w:line="262" w:lineRule="exact"/>
              <w:ind w:left="108"/>
              <w:rPr>
                <w:sz w:val="24"/>
              </w:rPr>
            </w:pPr>
            <w:r>
              <w:rPr>
                <w:sz w:val="24"/>
              </w:rPr>
              <w:t>1 vez por semana</w:t>
            </w:r>
          </w:p>
        </w:tc>
        <w:tc>
          <w:tcPr>
            <w:tcW w:w="2882" w:type="dxa"/>
          </w:tcPr>
          <w:p>
            <w:pPr>
              <w:pStyle w:val="TableParagraph"/>
              <w:spacing w:line="262" w:lineRule="exact"/>
              <w:ind w:left="884"/>
              <w:rPr>
                <w:sz w:val="24"/>
              </w:rPr>
            </w:pPr>
            <w:r>
              <w:rPr>
                <w:sz w:val="24"/>
              </w:rPr>
              <w:t>15%</w:t>
            </w:r>
          </w:p>
        </w:tc>
      </w:tr>
      <w:tr>
        <w:trPr>
          <w:trHeight w:val="267" w:hRule="exact"/>
        </w:trPr>
        <w:tc>
          <w:tcPr>
            <w:tcW w:w="2737" w:type="dxa"/>
          </w:tcPr>
          <w:p>
            <w:pPr/>
          </w:p>
        </w:tc>
        <w:tc>
          <w:tcPr>
            <w:tcW w:w="483" w:type="dxa"/>
          </w:tcPr>
          <w:p>
            <w:pPr/>
          </w:p>
        </w:tc>
        <w:tc>
          <w:tcPr>
            <w:tcW w:w="2960" w:type="dxa"/>
          </w:tcPr>
          <w:p>
            <w:pPr>
              <w:pStyle w:val="TableParagraph"/>
              <w:spacing w:line="265" w:lineRule="exact"/>
              <w:ind w:left="108"/>
              <w:rPr>
                <w:sz w:val="24"/>
              </w:rPr>
            </w:pPr>
            <w:r>
              <w:rPr>
                <w:sz w:val="24"/>
              </w:rPr>
              <w:t>Otro</w:t>
            </w:r>
          </w:p>
        </w:tc>
        <w:tc>
          <w:tcPr>
            <w:tcW w:w="2882" w:type="dxa"/>
          </w:tcPr>
          <w:p>
            <w:pPr>
              <w:pStyle w:val="TableParagraph"/>
              <w:spacing w:line="265" w:lineRule="exact"/>
              <w:ind w:left="884"/>
              <w:rPr>
                <w:sz w:val="24"/>
              </w:rPr>
            </w:pPr>
            <w:r>
              <w:rPr>
                <w:sz w:val="24"/>
              </w:rPr>
              <w:t>11%</w:t>
            </w:r>
          </w:p>
        </w:tc>
      </w:tr>
      <w:tr>
        <w:trPr>
          <w:trHeight w:val="283" w:hRule="exact"/>
        </w:trPr>
        <w:tc>
          <w:tcPr>
            <w:tcW w:w="2737" w:type="dxa"/>
            <w:shd w:val="clear" w:color="auto" w:fill="C0C0C0"/>
          </w:tcPr>
          <w:p>
            <w:pPr/>
          </w:p>
        </w:tc>
        <w:tc>
          <w:tcPr>
            <w:tcW w:w="483" w:type="dxa"/>
            <w:shd w:val="clear" w:color="auto" w:fill="C0C0C0"/>
          </w:tcPr>
          <w:p>
            <w:pPr/>
          </w:p>
        </w:tc>
        <w:tc>
          <w:tcPr>
            <w:tcW w:w="2960" w:type="dxa"/>
            <w:shd w:val="clear" w:color="auto" w:fill="C0C0C0"/>
          </w:tcPr>
          <w:p>
            <w:pPr>
              <w:pStyle w:val="TableParagraph"/>
              <w:spacing w:line="272" w:lineRule="exact"/>
              <w:ind w:left="108"/>
              <w:rPr>
                <w:sz w:val="24"/>
              </w:rPr>
            </w:pPr>
            <w:r>
              <w:rPr>
                <w:sz w:val="24"/>
              </w:rPr>
              <w:t>Alimentación</w:t>
            </w:r>
          </w:p>
        </w:tc>
        <w:tc>
          <w:tcPr>
            <w:tcW w:w="2882" w:type="dxa"/>
            <w:shd w:val="clear" w:color="auto" w:fill="C0C0C0"/>
          </w:tcPr>
          <w:p>
            <w:pPr>
              <w:pStyle w:val="TableParagraph"/>
              <w:spacing w:line="272" w:lineRule="exact"/>
              <w:ind w:left="884"/>
              <w:rPr>
                <w:sz w:val="24"/>
              </w:rPr>
            </w:pPr>
            <w:r>
              <w:rPr>
                <w:sz w:val="24"/>
              </w:rPr>
              <w:t>20%</w:t>
            </w:r>
          </w:p>
        </w:tc>
      </w:tr>
      <w:tr>
        <w:trPr>
          <w:trHeight w:val="278" w:hRule="exact"/>
        </w:trPr>
        <w:tc>
          <w:tcPr>
            <w:tcW w:w="2737" w:type="dxa"/>
            <w:shd w:val="clear" w:color="auto" w:fill="C0C0C0"/>
          </w:tcPr>
          <w:p>
            <w:pPr>
              <w:pStyle w:val="TableParagraph"/>
              <w:spacing w:line="262" w:lineRule="exact"/>
              <w:ind w:left="110"/>
              <w:rPr>
                <w:b/>
                <w:sz w:val="24"/>
              </w:rPr>
            </w:pPr>
            <w:r>
              <w:rPr>
                <w:b/>
                <w:sz w:val="24"/>
              </w:rPr>
              <w:t>Uso de las remesas</w:t>
            </w:r>
          </w:p>
        </w:tc>
        <w:tc>
          <w:tcPr>
            <w:tcW w:w="483" w:type="dxa"/>
            <w:shd w:val="clear" w:color="auto" w:fill="C0C0C0"/>
          </w:tcPr>
          <w:p>
            <w:pPr/>
          </w:p>
        </w:tc>
        <w:tc>
          <w:tcPr>
            <w:tcW w:w="2960" w:type="dxa"/>
            <w:shd w:val="clear" w:color="auto" w:fill="C0C0C0"/>
          </w:tcPr>
          <w:p>
            <w:pPr>
              <w:pStyle w:val="TableParagraph"/>
              <w:spacing w:line="267" w:lineRule="exact"/>
              <w:ind w:left="108"/>
              <w:rPr>
                <w:sz w:val="24"/>
              </w:rPr>
            </w:pPr>
            <w:r>
              <w:rPr>
                <w:sz w:val="24"/>
              </w:rPr>
              <w:t>Salud</w:t>
            </w:r>
          </w:p>
        </w:tc>
        <w:tc>
          <w:tcPr>
            <w:tcW w:w="2882" w:type="dxa"/>
            <w:shd w:val="clear" w:color="auto" w:fill="C0C0C0"/>
          </w:tcPr>
          <w:p>
            <w:pPr>
              <w:pStyle w:val="TableParagraph"/>
              <w:spacing w:line="267" w:lineRule="exact"/>
              <w:ind w:left="884"/>
              <w:rPr>
                <w:sz w:val="24"/>
              </w:rPr>
            </w:pPr>
            <w:r>
              <w:rPr>
                <w:sz w:val="24"/>
              </w:rPr>
              <w:t>16%</w:t>
            </w:r>
          </w:p>
        </w:tc>
      </w:tr>
      <w:tr>
        <w:trPr>
          <w:trHeight w:val="276" w:hRule="exact"/>
        </w:trPr>
        <w:tc>
          <w:tcPr>
            <w:tcW w:w="2737" w:type="dxa"/>
            <w:shd w:val="clear" w:color="auto" w:fill="C0C0C0"/>
          </w:tcPr>
          <w:p>
            <w:pPr/>
          </w:p>
        </w:tc>
        <w:tc>
          <w:tcPr>
            <w:tcW w:w="483" w:type="dxa"/>
            <w:shd w:val="clear" w:color="auto" w:fill="C0C0C0"/>
          </w:tcPr>
          <w:p>
            <w:pPr/>
          </w:p>
        </w:tc>
        <w:tc>
          <w:tcPr>
            <w:tcW w:w="2960" w:type="dxa"/>
            <w:shd w:val="clear" w:color="auto" w:fill="C0C0C0"/>
          </w:tcPr>
          <w:p>
            <w:pPr>
              <w:pStyle w:val="TableParagraph"/>
              <w:spacing w:line="262" w:lineRule="exact"/>
              <w:ind w:left="108"/>
              <w:rPr>
                <w:sz w:val="24"/>
              </w:rPr>
            </w:pPr>
            <w:r>
              <w:rPr>
                <w:sz w:val="24"/>
              </w:rPr>
              <w:t>Construcción</w:t>
            </w:r>
          </w:p>
        </w:tc>
        <w:tc>
          <w:tcPr>
            <w:tcW w:w="2882" w:type="dxa"/>
            <w:shd w:val="clear" w:color="auto" w:fill="C0C0C0"/>
          </w:tcPr>
          <w:p>
            <w:pPr>
              <w:pStyle w:val="TableParagraph"/>
              <w:spacing w:line="262" w:lineRule="exact"/>
              <w:ind w:left="884"/>
              <w:rPr>
                <w:sz w:val="24"/>
              </w:rPr>
            </w:pPr>
            <w:r>
              <w:rPr>
                <w:sz w:val="24"/>
              </w:rPr>
              <w:t>15%</w:t>
            </w:r>
          </w:p>
        </w:tc>
      </w:tr>
      <w:tr>
        <w:trPr>
          <w:trHeight w:val="276" w:hRule="exact"/>
        </w:trPr>
        <w:tc>
          <w:tcPr>
            <w:tcW w:w="2737" w:type="dxa"/>
            <w:shd w:val="clear" w:color="auto" w:fill="C0C0C0"/>
          </w:tcPr>
          <w:p>
            <w:pPr/>
          </w:p>
        </w:tc>
        <w:tc>
          <w:tcPr>
            <w:tcW w:w="483" w:type="dxa"/>
            <w:shd w:val="clear" w:color="auto" w:fill="C0C0C0"/>
          </w:tcPr>
          <w:p>
            <w:pPr/>
          </w:p>
        </w:tc>
        <w:tc>
          <w:tcPr>
            <w:tcW w:w="2960" w:type="dxa"/>
            <w:shd w:val="clear" w:color="auto" w:fill="C0C0C0"/>
          </w:tcPr>
          <w:p>
            <w:pPr>
              <w:pStyle w:val="TableParagraph"/>
              <w:spacing w:line="265" w:lineRule="exact"/>
              <w:ind w:left="108"/>
              <w:rPr>
                <w:sz w:val="24"/>
              </w:rPr>
            </w:pPr>
            <w:r>
              <w:rPr>
                <w:sz w:val="24"/>
              </w:rPr>
              <w:t>Pago de deudas</w:t>
            </w:r>
          </w:p>
        </w:tc>
        <w:tc>
          <w:tcPr>
            <w:tcW w:w="2882" w:type="dxa"/>
            <w:shd w:val="clear" w:color="auto" w:fill="C0C0C0"/>
          </w:tcPr>
          <w:p>
            <w:pPr>
              <w:pStyle w:val="TableParagraph"/>
              <w:spacing w:line="265" w:lineRule="exact"/>
              <w:ind w:left="884"/>
              <w:rPr>
                <w:sz w:val="24"/>
              </w:rPr>
            </w:pPr>
            <w:r>
              <w:rPr>
                <w:sz w:val="24"/>
              </w:rPr>
              <w:t>13%</w:t>
            </w:r>
          </w:p>
        </w:tc>
      </w:tr>
      <w:tr>
        <w:trPr>
          <w:trHeight w:val="276" w:hRule="exact"/>
        </w:trPr>
        <w:tc>
          <w:tcPr>
            <w:tcW w:w="2737" w:type="dxa"/>
            <w:shd w:val="clear" w:color="auto" w:fill="C0C0C0"/>
          </w:tcPr>
          <w:p>
            <w:pPr/>
          </w:p>
        </w:tc>
        <w:tc>
          <w:tcPr>
            <w:tcW w:w="483" w:type="dxa"/>
            <w:shd w:val="clear" w:color="auto" w:fill="C0C0C0"/>
          </w:tcPr>
          <w:p>
            <w:pPr/>
          </w:p>
        </w:tc>
        <w:tc>
          <w:tcPr>
            <w:tcW w:w="2960" w:type="dxa"/>
            <w:shd w:val="clear" w:color="auto" w:fill="C0C0C0"/>
          </w:tcPr>
          <w:p>
            <w:pPr>
              <w:pStyle w:val="TableParagraph"/>
              <w:spacing w:line="262" w:lineRule="exact"/>
              <w:ind w:left="108"/>
              <w:rPr>
                <w:sz w:val="24"/>
              </w:rPr>
            </w:pPr>
            <w:r>
              <w:rPr>
                <w:sz w:val="24"/>
              </w:rPr>
              <w:t>Educación</w:t>
            </w:r>
          </w:p>
        </w:tc>
        <w:tc>
          <w:tcPr>
            <w:tcW w:w="2882" w:type="dxa"/>
            <w:shd w:val="clear" w:color="auto" w:fill="C0C0C0"/>
          </w:tcPr>
          <w:p>
            <w:pPr>
              <w:pStyle w:val="TableParagraph"/>
              <w:spacing w:line="262" w:lineRule="exact"/>
              <w:ind w:left="884"/>
              <w:rPr>
                <w:sz w:val="24"/>
              </w:rPr>
            </w:pPr>
            <w:r>
              <w:rPr>
                <w:sz w:val="24"/>
              </w:rPr>
              <w:t>13%</w:t>
            </w:r>
          </w:p>
        </w:tc>
      </w:tr>
      <w:tr>
        <w:trPr>
          <w:trHeight w:val="276" w:hRule="exact"/>
        </w:trPr>
        <w:tc>
          <w:tcPr>
            <w:tcW w:w="2737" w:type="dxa"/>
            <w:shd w:val="clear" w:color="auto" w:fill="C0C0C0"/>
          </w:tcPr>
          <w:p>
            <w:pPr/>
          </w:p>
        </w:tc>
        <w:tc>
          <w:tcPr>
            <w:tcW w:w="483" w:type="dxa"/>
            <w:shd w:val="clear" w:color="auto" w:fill="C0C0C0"/>
          </w:tcPr>
          <w:p>
            <w:pPr/>
          </w:p>
        </w:tc>
        <w:tc>
          <w:tcPr>
            <w:tcW w:w="2960" w:type="dxa"/>
            <w:shd w:val="clear" w:color="auto" w:fill="C0C0C0"/>
          </w:tcPr>
          <w:p>
            <w:pPr>
              <w:pStyle w:val="TableParagraph"/>
              <w:spacing w:line="265" w:lineRule="exact"/>
              <w:ind w:left="108"/>
              <w:rPr>
                <w:sz w:val="24"/>
              </w:rPr>
            </w:pPr>
            <w:r>
              <w:rPr>
                <w:sz w:val="24"/>
              </w:rPr>
              <w:t>Ahorro</w:t>
            </w:r>
          </w:p>
        </w:tc>
        <w:tc>
          <w:tcPr>
            <w:tcW w:w="2882" w:type="dxa"/>
            <w:shd w:val="clear" w:color="auto" w:fill="C0C0C0"/>
          </w:tcPr>
          <w:p>
            <w:pPr>
              <w:pStyle w:val="TableParagraph"/>
              <w:spacing w:line="265" w:lineRule="exact"/>
              <w:ind w:left="884"/>
              <w:rPr>
                <w:sz w:val="24"/>
              </w:rPr>
            </w:pPr>
            <w:r>
              <w:rPr>
                <w:sz w:val="24"/>
              </w:rPr>
              <w:t>12%</w:t>
            </w:r>
          </w:p>
        </w:tc>
      </w:tr>
      <w:tr>
        <w:trPr>
          <w:trHeight w:val="278" w:hRule="exact"/>
        </w:trPr>
        <w:tc>
          <w:tcPr>
            <w:tcW w:w="2737" w:type="dxa"/>
            <w:tcBorders>
              <w:bottom w:val="single" w:sz="8" w:space="0" w:color="000000"/>
            </w:tcBorders>
            <w:shd w:val="clear" w:color="auto" w:fill="C0C0C0"/>
          </w:tcPr>
          <w:p>
            <w:pPr/>
          </w:p>
        </w:tc>
        <w:tc>
          <w:tcPr>
            <w:tcW w:w="483" w:type="dxa"/>
            <w:tcBorders>
              <w:bottom w:val="single" w:sz="8" w:space="0" w:color="000000"/>
            </w:tcBorders>
            <w:shd w:val="clear" w:color="auto" w:fill="C0C0C0"/>
          </w:tcPr>
          <w:p>
            <w:pPr/>
          </w:p>
        </w:tc>
        <w:tc>
          <w:tcPr>
            <w:tcW w:w="2960" w:type="dxa"/>
            <w:tcBorders>
              <w:bottom w:val="single" w:sz="8" w:space="0" w:color="000000"/>
            </w:tcBorders>
            <w:shd w:val="clear" w:color="auto" w:fill="C0C0C0"/>
          </w:tcPr>
          <w:p>
            <w:pPr>
              <w:pStyle w:val="TableParagraph"/>
              <w:spacing w:line="262" w:lineRule="exact"/>
              <w:ind w:left="108"/>
              <w:rPr>
                <w:sz w:val="24"/>
              </w:rPr>
            </w:pPr>
            <w:r>
              <w:rPr>
                <w:sz w:val="24"/>
              </w:rPr>
              <w:t>Negocios</w:t>
            </w:r>
          </w:p>
        </w:tc>
        <w:tc>
          <w:tcPr>
            <w:tcW w:w="2882" w:type="dxa"/>
            <w:tcBorders>
              <w:bottom w:val="single" w:sz="8" w:space="0" w:color="000000"/>
            </w:tcBorders>
            <w:shd w:val="clear" w:color="auto" w:fill="C0C0C0"/>
          </w:tcPr>
          <w:p>
            <w:pPr>
              <w:pStyle w:val="TableParagraph"/>
              <w:spacing w:line="262" w:lineRule="exact"/>
              <w:ind w:left="884"/>
              <w:rPr>
                <w:sz w:val="24"/>
              </w:rPr>
            </w:pPr>
            <w:r>
              <w:rPr>
                <w:sz w:val="24"/>
              </w:rPr>
              <w:t>11%</w:t>
            </w:r>
          </w:p>
        </w:tc>
      </w:tr>
    </w:tbl>
    <w:p>
      <w:pPr>
        <w:pStyle w:val="BodyText"/>
        <w:rPr>
          <w:sz w:val="28"/>
        </w:rPr>
      </w:pPr>
    </w:p>
    <w:p>
      <w:pPr>
        <w:spacing w:before="76"/>
        <w:ind w:left="387" w:right="269" w:firstLine="0"/>
        <w:jc w:val="left"/>
        <w:rPr>
          <w:sz w:val="20"/>
        </w:rPr>
      </w:pPr>
      <w:r>
        <w:rPr>
          <w:sz w:val="20"/>
        </w:rPr>
        <w:t>Fuente: elaboración propia con base en trabajo de campo, diciembre 2012 a enero 2013.</w:t>
      </w:r>
    </w:p>
    <w:p>
      <w:pPr>
        <w:pStyle w:val="BodyText"/>
        <w:rPr>
          <w:sz w:val="20"/>
        </w:rPr>
      </w:pPr>
    </w:p>
    <w:p>
      <w:pPr>
        <w:pStyle w:val="BodyText"/>
        <w:spacing w:before="7"/>
        <w:rPr>
          <w:sz w:val="25"/>
        </w:rPr>
      </w:pPr>
    </w:p>
    <w:p>
      <w:pPr>
        <w:pStyle w:val="Heading2"/>
        <w:numPr>
          <w:ilvl w:val="1"/>
          <w:numId w:val="16"/>
        </w:numPr>
        <w:tabs>
          <w:tab w:pos="657" w:val="left" w:leader="none"/>
        </w:tabs>
        <w:spacing w:line="240" w:lineRule="auto" w:before="0" w:after="0"/>
        <w:ind w:left="656" w:right="0" w:hanging="404"/>
        <w:jc w:val="both"/>
      </w:pPr>
      <w:bookmarkStart w:name="_bookmark29" w:id="50"/>
      <w:bookmarkEnd w:id="50"/>
      <w:r>
        <w:rPr>
          <w:b w:val="0"/>
        </w:rPr>
      </w:r>
      <w:bookmarkStart w:name="_bookmark29" w:id="51"/>
      <w:bookmarkEnd w:id="51"/>
      <w:r>
        <w:rPr/>
        <w:t>C</w:t>
      </w:r>
      <w:r>
        <w:rPr/>
        <w:t>onclusiones</w:t>
      </w:r>
    </w:p>
    <w:p>
      <w:pPr>
        <w:pStyle w:val="BodyText"/>
        <w:rPr>
          <w:b/>
        </w:rPr>
      </w:pPr>
    </w:p>
    <w:p>
      <w:pPr>
        <w:pStyle w:val="BodyText"/>
        <w:spacing w:before="7"/>
        <w:rPr>
          <w:b/>
        </w:rPr>
      </w:pPr>
    </w:p>
    <w:p>
      <w:pPr>
        <w:pStyle w:val="BodyText"/>
        <w:spacing w:line="360" w:lineRule="auto"/>
        <w:ind w:left="252" w:right="231"/>
        <w:jc w:val="both"/>
      </w:pPr>
      <w:r>
        <w:rPr/>
        <w:t>En las recientes décadas el Estado de México, principalmente la región sur, es  una zona caracterizada por ser gran expulsora de migrantes, quienes salen en búsqueda de nuevas oportunidades laborales que les permitan mejorar sus condiciones económicas y sociales dentro de su lugar de</w:t>
      </w:r>
      <w:r>
        <w:rPr>
          <w:spacing w:val="-18"/>
        </w:rPr>
        <w:t> </w:t>
      </w:r>
      <w:r>
        <w:rPr/>
        <w:t>origen.</w:t>
      </w:r>
    </w:p>
    <w:p>
      <w:pPr>
        <w:pStyle w:val="BodyText"/>
      </w:pPr>
    </w:p>
    <w:p>
      <w:pPr>
        <w:pStyle w:val="BodyText"/>
        <w:spacing w:line="362" w:lineRule="auto" w:before="139"/>
        <w:ind w:left="252" w:right="235"/>
        <w:jc w:val="both"/>
      </w:pPr>
      <w:r>
        <w:rPr/>
        <w:t>El principal beneficio derivado de la migración es el envío de remesas, las cuales son utilizadas para cubrir las necesidades básicas de alimentación, educación y vivienda,    por    lo    que    no    proporciona    recursos    para    alcanzar </w:t>
      </w:r>
      <w:r>
        <w:rPr>
          <w:spacing w:val="66"/>
        </w:rPr>
        <w:t> </w:t>
      </w:r>
      <w:r>
        <w:rPr/>
        <w:t>niveles</w:t>
      </w:r>
    </w:p>
    <w:p>
      <w:pPr>
        <w:spacing w:after="0" w:line="362" w:lineRule="auto"/>
        <w:jc w:val="both"/>
        <w:sectPr>
          <w:pgSz w:w="12240" w:h="15840"/>
          <w:pgMar w:header="0" w:footer="1382" w:top="1500" w:bottom="1580" w:left="1620" w:right="1300"/>
        </w:sectPr>
      </w:pPr>
    </w:p>
    <w:p>
      <w:pPr>
        <w:pStyle w:val="BodyText"/>
        <w:spacing w:before="11"/>
        <w:rPr>
          <w:sz w:val="25"/>
        </w:rPr>
      </w:pPr>
    </w:p>
    <w:p>
      <w:pPr>
        <w:pStyle w:val="BodyText"/>
        <w:spacing w:line="360" w:lineRule="auto" w:before="69"/>
        <w:ind w:left="152" w:right="114"/>
        <w:jc w:val="both"/>
      </w:pPr>
      <w:bookmarkStart w:name="_bookmark30" w:id="52"/>
      <w:bookmarkEnd w:id="52"/>
      <w:r>
        <w:rPr/>
      </w:r>
      <w:r>
        <w:rPr/>
        <w:t>socioeconómicos más altos, lo cual no cumple con el costo de la migración de mejorar la calidad de vida.</w:t>
      </w:r>
    </w:p>
    <w:p>
      <w:pPr>
        <w:pStyle w:val="BodyText"/>
      </w:pPr>
    </w:p>
    <w:p>
      <w:pPr>
        <w:pStyle w:val="BodyText"/>
        <w:spacing w:line="360" w:lineRule="auto" w:before="145"/>
        <w:ind w:left="152" w:right="114"/>
        <w:jc w:val="both"/>
      </w:pPr>
      <w:r>
        <w:rPr/>
        <w:t>Entre las principales características de hogares encuestados que presentan migración internacional  se encontró que en estas familias a menudo se   advierte:</w:t>
      </w:r>
    </w:p>
    <w:p>
      <w:pPr>
        <w:pStyle w:val="BodyText"/>
        <w:spacing w:line="360" w:lineRule="auto" w:before="2"/>
        <w:ind w:left="152" w:right="103"/>
        <w:jc w:val="both"/>
      </w:pPr>
      <w:r>
        <w:rPr/>
        <w:t>a) la ausencia del jefe del hogar b) mayor presencia femenina; y c) una elevada razón de dependencia.</w:t>
      </w:r>
    </w:p>
    <w:p>
      <w:pPr>
        <w:pStyle w:val="BodyText"/>
      </w:pPr>
    </w:p>
    <w:p>
      <w:pPr>
        <w:pStyle w:val="BodyText"/>
        <w:spacing w:line="357" w:lineRule="auto" w:before="144"/>
        <w:ind w:left="152" w:right="116"/>
        <w:jc w:val="both"/>
      </w:pPr>
      <w:r>
        <w:rPr/>
        <w:t>La mayoría de la población migrante cuenta con un nivel educativo básico, lo que nos deja ver que son persona con escaza preparación laboral, ya que en estos niveles no dan ningún tipo de herramientas o capacitación para poder insertarse al ámbito laboral.</w:t>
      </w:r>
    </w:p>
    <w:p>
      <w:pPr>
        <w:pStyle w:val="BodyText"/>
        <w:spacing w:line="360" w:lineRule="auto" w:before="212"/>
        <w:ind w:left="152" w:right="110"/>
        <w:jc w:val="both"/>
      </w:pPr>
      <w:r>
        <w:rPr/>
        <w:t>La frecuencia de envío de remesas permite inferir una estrecha vinculación entre  el migrante y sus</w:t>
      </w:r>
      <w:r>
        <w:rPr>
          <w:spacing w:val="-7"/>
        </w:rPr>
        <w:t> </w:t>
      </w:r>
      <w:r>
        <w:rPr/>
        <w:t>familiares.</w:t>
      </w:r>
    </w:p>
    <w:p>
      <w:pPr>
        <w:pStyle w:val="BodyText"/>
        <w:spacing w:line="360" w:lineRule="auto" w:before="209"/>
        <w:ind w:left="152" w:right="103"/>
        <w:jc w:val="both"/>
      </w:pPr>
      <w:r>
        <w:rPr/>
        <w:t>De tal manera, la migración en las localidades estudiadas se origina por motivaciones y causas que no son exclusivas del orden económico, otros factores como las redes sociales (capital social) y la toma de decisiones en grupo, en conjunto, permiten entender el proceso migratorio en años recientes dentro de un municipio que no está en alta marginación y pobreza.</w:t>
      </w:r>
    </w:p>
    <w:p>
      <w:pPr>
        <w:spacing w:after="0" w:line="360" w:lineRule="auto"/>
        <w:jc w:val="both"/>
        <w:sectPr>
          <w:pgSz w:w="12240" w:h="15840"/>
          <w:pgMar w:header="0" w:footer="1382" w:top="1500" w:bottom="1580" w:left="1720" w:right="1420"/>
        </w:sectPr>
      </w:pPr>
    </w:p>
    <w:p>
      <w:pPr>
        <w:pStyle w:val="BodyText"/>
        <w:spacing w:before="1"/>
        <w:rPr>
          <w:sz w:val="25"/>
        </w:rPr>
      </w:pPr>
    </w:p>
    <w:p>
      <w:pPr>
        <w:pStyle w:val="Heading2"/>
        <w:numPr>
          <w:ilvl w:val="1"/>
          <w:numId w:val="1"/>
        </w:numPr>
        <w:tabs>
          <w:tab w:pos="3779" w:val="left" w:leader="none"/>
        </w:tabs>
        <w:spacing w:line="240" w:lineRule="auto" w:before="70" w:after="0"/>
        <w:ind w:left="3778" w:right="0" w:hanging="356"/>
        <w:jc w:val="left"/>
      </w:pPr>
      <w:r>
        <w:rPr/>
        <w:t>CONCLUSIONES</w:t>
      </w:r>
    </w:p>
    <w:p>
      <w:pPr>
        <w:pStyle w:val="BodyText"/>
        <w:rPr>
          <w:b/>
        </w:rPr>
      </w:pPr>
    </w:p>
    <w:p>
      <w:pPr>
        <w:pStyle w:val="BodyText"/>
        <w:spacing w:line="360" w:lineRule="auto" w:before="188"/>
        <w:ind w:left="152" w:right="108"/>
        <w:jc w:val="both"/>
      </w:pPr>
      <w:r>
        <w:rPr/>
        <w:t>En las recientes décadas el Estado de México, principalmente la región sur, es  una zona caracterizada por ser gran expulsora de migrantes, quienes salen en busca de nuevas oportunidades laborales que les permitan mejorar sus condiciones económicas y sociales dentro de su lugar de origen. Las localidades con situación de menor bienestar no son las mayores expulsoras, son las que tienen una condición menos desventajosa, así, la migración es un fenómeno que va </w:t>
      </w:r>
      <w:r>
        <w:rPr>
          <w:spacing w:val="-3"/>
        </w:rPr>
        <w:t>más </w:t>
      </w:r>
      <w:r>
        <w:rPr/>
        <w:t>allá de una búsqueda de mejor situación económica de las familias, </w:t>
      </w:r>
      <w:r>
        <w:rPr>
          <w:spacing w:val="-3"/>
        </w:rPr>
        <w:t>más </w:t>
      </w:r>
      <w:r>
        <w:rPr/>
        <w:t>empleos y mejores salarios, también responden a otros factores como las redes sociales y la tradición</w:t>
      </w:r>
      <w:r>
        <w:rPr>
          <w:spacing w:val="-12"/>
        </w:rPr>
        <w:t> </w:t>
      </w:r>
      <w:r>
        <w:rPr/>
        <w:t>migratoria.</w:t>
      </w:r>
    </w:p>
    <w:p>
      <w:pPr>
        <w:pStyle w:val="BodyText"/>
      </w:pPr>
    </w:p>
    <w:p>
      <w:pPr>
        <w:pStyle w:val="BodyText"/>
        <w:spacing w:line="360" w:lineRule="auto" w:before="144"/>
        <w:ind w:left="152" w:right="103"/>
        <w:jc w:val="both"/>
      </w:pPr>
      <w:r>
        <w:rPr/>
        <w:t>Además de las ya clásicas y muy estudiadas razones que provocan la migración como son los cambios en la sociedad de origen y </w:t>
      </w:r>
      <w:r>
        <w:rPr>
          <w:spacing w:val="2"/>
        </w:rPr>
        <w:t>destino </w:t>
      </w:r>
      <w:r>
        <w:rPr/>
        <w:t>a lo largo del tiempo por el acceso a la prosperidad económica, se encuentra el punto relacionado con la reunificación familiar. Aunado a ello, la presencia de redes sociales y una  creciente cultura de migración a nivel nacional, provocaron cambios en la demografía y origen de los migrantes, ya no siendo solamente exclusiva de un sector de la población ni de ciertas zonas o niveles socioeconómicos, lo que provoca la presencia emergente de nuevos grupos como son en localidades del municipio de Tenancingo, una zona de reciente</w:t>
      </w:r>
      <w:r>
        <w:rPr>
          <w:spacing w:val="-21"/>
        </w:rPr>
        <w:t> </w:t>
      </w:r>
      <w:r>
        <w:rPr/>
        <w:t>migración.</w:t>
      </w:r>
    </w:p>
    <w:p>
      <w:pPr>
        <w:pStyle w:val="BodyText"/>
      </w:pPr>
    </w:p>
    <w:p>
      <w:pPr>
        <w:pStyle w:val="BodyText"/>
        <w:spacing w:line="360" w:lineRule="auto" w:before="140"/>
        <w:ind w:left="152" w:right="103"/>
        <w:jc w:val="both"/>
      </w:pPr>
      <w:r>
        <w:rPr/>
        <w:t>A nivel regional en el Estado de México, se encuentran ciertas condiciones que han influido en las intenciones migratorias. </w:t>
      </w:r>
      <w:r>
        <w:rPr>
          <w:spacing w:val="-4"/>
        </w:rPr>
        <w:t>El </w:t>
      </w:r>
      <w:r>
        <w:rPr/>
        <w:t>representar un estado que ha vivido una historia de constantes flujos migratorios, debido entre otras cosas, a sus características ambientales, económicas y culturales así como su cercanía con la ciudad de México, lo ha convertido en una </w:t>
      </w:r>
      <w:r>
        <w:rPr>
          <w:spacing w:val="-3"/>
        </w:rPr>
        <w:t>zona </w:t>
      </w:r>
      <w:r>
        <w:rPr/>
        <w:t>de vital importancia y estratégica, provocando que en ella se concentre la migración interna y que sea un</w:t>
      </w:r>
      <w:r>
        <w:rPr>
          <w:spacing w:val="49"/>
        </w:rPr>
        <w:t> </w:t>
      </w:r>
      <w:r>
        <w:rPr/>
        <w:t>plataforma</w:t>
      </w:r>
    </w:p>
    <w:p>
      <w:pPr>
        <w:spacing w:after="0" w:line="360" w:lineRule="auto"/>
        <w:jc w:val="both"/>
        <w:sectPr>
          <w:pgSz w:w="12240" w:h="15840"/>
          <w:pgMar w:header="0" w:footer="1382" w:top="1500" w:bottom="1580" w:left="1720" w:right="1420"/>
        </w:sectPr>
      </w:pPr>
    </w:p>
    <w:p>
      <w:pPr>
        <w:pStyle w:val="BodyText"/>
        <w:spacing w:before="11"/>
        <w:rPr>
          <w:sz w:val="25"/>
        </w:rPr>
      </w:pPr>
    </w:p>
    <w:p>
      <w:pPr>
        <w:pStyle w:val="BodyText"/>
        <w:spacing w:line="360" w:lineRule="auto" w:before="69"/>
        <w:ind w:left="152" w:right="117"/>
        <w:jc w:val="both"/>
      </w:pPr>
      <w:r>
        <w:rPr/>
        <w:t>para la migración hacia diversas ciudades en el interior del país y en las últimas décadas hacia el extranjero.</w:t>
      </w:r>
    </w:p>
    <w:p>
      <w:pPr>
        <w:pStyle w:val="BodyText"/>
      </w:pPr>
    </w:p>
    <w:p>
      <w:pPr>
        <w:pStyle w:val="BodyText"/>
        <w:spacing w:line="360" w:lineRule="auto" w:before="145"/>
        <w:ind w:left="152" w:right="101"/>
        <w:jc w:val="both"/>
      </w:pPr>
      <w:r>
        <w:rPr/>
        <w:t>Asimismo es un estado donde confluye una gran diversidad cultural, pero también grandes contrastes socioeconómicos y enormes desigualdades, con presencia de poblaciones urbanas con un alto nivel de vida y rurales con altos niveles de marginación y pobreza. Esta desigualdad social aunada a los problemas que presenta el campo, como la disminución de la productividad, la caída de precios, así como la falta de apoyo al sector agropecuario y las carencias en las redes de comunicación en las zonas rurales ha generado que la migración se convierta en una opción de sobrevivencia para amplios sectores de la entidad. En el municipio de Tenancingo se presenta una situación similar dadas las características del municipio, el cual es considerado de baja marginación, nivel de desarrollo humano alto y bajo nivel de migración, pero en su interior encontramos localidades que presentan altos niveles de migración, como el caso de las cuatro localidades estudiadas.</w:t>
      </w:r>
    </w:p>
    <w:p>
      <w:pPr>
        <w:pStyle w:val="BodyText"/>
      </w:pPr>
    </w:p>
    <w:p>
      <w:pPr>
        <w:pStyle w:val="BodyText"/>
        <w:spacing w:line="360" w:lineRule="auto" w:before="144"/>
        <w:ind w:left="152" w:right="109"/>
        <w:jc w:val="both"/>
      </w:pPr>
      <w:r>
        <w:rPr/>
        <w:t>De acuerdo con la teoría neoclásica, de redes y de la nueva economía de la migración complementan las causas, motivos y beneficios de la migración. Los migrantes se dirigen a los mercados donde obtienen mejores salarios, asimismo las redes sociales son de vital importancia para el apoyo en su traslado y llegad al lugar destino. A pesar de tener el deseo de asentarse permanentemente en su nuevo lugar de residencia, las condiciones económicas están generando el fenómeno de los migrantes retornados.</w:t>
      </w:r>
    </w:p>
    <w:p>
      <w:pPr>
        <w:pStyle w:val="BodyText"/>
      </w:pPr>
    </w:p>
    <w:p>
      <w:pPr>
        <w:pStyle w:val="BodyText"/>
        <w:spacing w:line="360" w:lineRule="auto" w:before="144"/>
        <w:ind w:left="152" w:right="110"/>
        <w:jc w:val="both"/>
      </w:pPr>
      <w:r>
        <w:rPr/>
        <w:t>El estudio de Componentes Principales y el trabajo de campo aplicado en cuatro localidades del municipio de Tenancingo, nos permitió conocer que el fenómeno migratorio internacional va más haya de las cuestiones netamente económicas, dado que las localidades encuestadas presentan bajo niveles de marginación e</w:t>
      </w:r>
    </w:p>
    <w:p>
      <w:pPr>
        <w:spacing w:after="0" w:line="360" w:lineRule="auto"/>
        <w:jc w:val="both"/>
        <w:sectPr>
          <w:footerReference w:type="default" r:id="rId21"/>
          <w:pgSz w:w="12240" w:h="15840"/>
          <w:pgMar w:footer="1382" w:header="0" w:top="1500" w:bottom="1580" w:left="1720" w:right="1420"/>
        </w:sectPr>
      </w:pPr>
    </w:p>
    <w:p>
      <w:pPr>
        <w:pStyle w:val="BodyText"/>
        <w:spacing w:before="11"/>
        <w:rPr>
          <w:sz w:val="25"/>
        </w:rPr>
      </w:pPr>
    </w:p>
    <w:p>
      <w:pPr>
        <w:pStyle w:val="BodyText"/>
        <w:spacing w:line="360" w:lineRule="auto" w:before="69"/>
        <w:ind w:left="152" w:right="107"/>
        <w:jc w:val="both"/>
      </w:pPr>
      <w:r>
        <w:rPr/>
        <w:t>índice de desarrollo humano medio y más de la mitad de la población manifestó que el principal motivo de salida de su lugar de origen es la cuestión social y la imitación de familiares y amigos.</w:t>
      </w:r>
    </w:p>
    <w:p>
      <w:pPr>
        <w:pStyle w:val="BodyText"/>
      </w:pPr>
    </w:p>
    <w:p>
      <w:pPr>
        <w:pStyle w:val="BodyText"/>
        <w:spacing w:line="360" w:lineRule="auto" w:before="144"/>
        <w:ind w:left="152" w:right="106"/>
        <w:jc w:val="both"/>
      </w:pPr>
      <w:r>
        <w:rPr/>
        <w:t>De acuerdo a la información obtenida la migración en las localidades estudiadas pertenecientes al municipio de Tenancingo, se origina por motivaciones y causas que no son exclusivas del orden económico, otros factores como las redes  sociales (capital social) y la toma de decisiones en grupo, en conjunto, permiten entender el proceso migratorio en años recientes dentro de un municipio que no está en alta marginación y</w:t>
      </w:r>
      <w:r>
        <w:rPr>
          <w:spacing w:val="-11"/>
        </w:rPr>
        <w:t> </w:t>
      </w:r>
      <w:r>
        <w:rPr/>
        <w:t>pobreza.</w:t>
      </w:r>
    </w:p>
    <w:p>
      <w:pPr>
        <w:pStyle w:val="BodyText"/>
      </w:pPr>
    </w:p>
    <w:p>
      <w:pPr>
        <w:pStyle w:val="BodyText"/>
        <w:spacing w:line="360" w:lineRule="auto" w:before="140"/>
        <w:ind w:left="152" w:right="105"/>
        <w:jc w:val="both"/>
      </w:pPr>
      <w:r>
        <w:rPr/>
        <w:t>La hipótesis planteada, los determinantes que originan la migración internacional México-Estados Unidos, caso localidades rurales de Tenancingo, han cambiado con el paso del tiempo, ya no sólo se enfocan a cuestiones netamente  económicas, los aspectos sociales, culturales y familiares están adquiriendo cada día </w:t>
      </w:r>
      <w:r>
        <w:rPr>
          <w:spacing w:val="-3"/>
        </w:rPr>
        <w:t>más </w:t>
      </w:r>
      <w:r>
        <w:rPr/>
        <w:t>relevancia, se cumple, dado que de acuerdo a los resultados obtenidos la situación social que viven los migrantes en su lugar de origen aunado a la presencia de redes sociales de apoyo en el lugar destino se convierten en determinantes de la migración</w:t>
      </w:r>
      <w:r>
        <w:rPr>
          <w:spacing w:val="-17"/>
        </w:rPr>
        <w:t> </w:t>
      </w:r>
      <w:r>
        <w:rPr/>
        <w:t>internacional.</w:t>
      </w:r>
    </w:p>
    <w:p>
      <w:pPr>
        <w:pStyle w:val="BodyText"/>
      </w:pPr>
    </w:p>
    <w:p>
      <w:pPr>
        <w:pStyle w:val="BodyText"/>
        <w:spacing w:line="360" w:lineRule="auto" w:before="144"/>
        <w:ind w:left="152" w:right="102"/>
        <w:jc w:val="both"/>
      </w:pPr>
      <w:r>
        <w:rPr/>
        <w:t>Los resultados obtenidos dejan claro que el perfil socioeconómico de los migrantes esta cambiando debido a que el número de migrantes hombre y mujeres es casi  en la </w:t>
      </w:r>
      <w:r>
        <w:rPr>
          <w:spacing w:val="-3"/>
        </w:rPr>
        <w:t>misma </w:t>
      </w:r>
      <w:r>
        <w:rPr/>
        <w:t>cantidad 45 por ciento mujeres y 55 por ciento hombre, con una edad promedio de 18 a 30 años, la mayoría casados, con estudios básicos/nivel medio superior y con ingresos económicos de 2 a 5 salarios mínimos en</w:t>
      </w:r>
      <w:r>
        <w:rPr>
          <w:spacing w:val="-25"/>
        </w:rPr>
        <w:t> </w:t>
      </w:r>
      <w:r>
        <w:rPr/>
        <w:t>promedio.</w:t>
      </w:r>
    </w:p>
    <w:p>
      <w:pPr>
        <w:pStyle w:val="BodyText"/>
      </w:pPr>
    </w:p>
    <w:p>
      <w:pPr>
        <w:pStyle w:val="BodyText"/>
        <w:spacing w:before="1"/>
        <w:rPr>
          <w:sz w:val="30"/>
        </w:rPr>
      </w:pPr>
    </w:p>
    <w:p>
      <w:pPr>
        <w:pStyle w:val="BodyText"/>
        <w:spacing w:line="360" w:lineRule="auto"/>
        <w:ind w:left="152" w:right="115"/>
        <w:jc w:val="both"/>
      </w:pPr>
      <w:r>
        <w:rPr/>
        <w:t>Las motivaciones de la migración internacional van </w:t>
      </w:r>
      <w:r>
        <w:rPr>
          <w:spacing w:val="-3"/>
        </w:rPr>
        <w:t>más </w:t>
      </w:r>
      <w:r>
        <w:rPr/>
        <w:t>allá de las cuestiones económicas debido a que de acuerdo a los resultados encontrados no son las localidades   </w:t>
      </w:r>
      <w:r>
        <w:rPr>
          <w:spacing w:val="-3"/>
        </w:rPr>
        <w:t>más   </w:t>
      </w:r>
      <w:r>
        <w:rPr/>
        <w:t>marginadas  las  que  presentan   mayor   índice  de </w:t>
      </w:r>
      <w:r>
        <w:rPr>
          <w:spacing w:val="58"/>
        </w:rPr>
        <w:t> </w:t>
      </w:r>
      <w:r>
        <w:rPr/>
        <w:t>migración</w:t>
      </w:r>
    </w:p>
    <w:p>
      <w:pPr>
        <w:spacing w:after="0" w:line="360" w:lineRule="auto"/>
        <w:jc w:val="both"/>
        <w:sectPr>
          <w:footerReference w:type="default" r:id="rId22"/>
          <w:pgSz w:w="12240" w:h="15840"/>
          <w:pgMar w:footer="1322" w:header="0" w:top="1500" w:bottom="1520" w:left="1720" w:right="1420"/>
          <w:pgNumType w:start="71"/>
        </w:sectPr>
      </w:pPr>
    </w:p>
    <w:p>
      <w:pPr>
        <w:pStyle w:val="BodyText"/>
        <w:spacing w:before="11"/>
        <w:rPr>
          <w:sz w:val="25"/>
        </w:rPr>
      </w:pPr>
    </w:p>
    <w:p>
      <w:pPr>
        <w:pStyle w:val="BodyText"/>
        <w:spacing w:line="360" w:lineRule="auto" w:before="69"/>
        <w:ind w:left="152" w:right="104"/>
        <w:jc w:val="both"/>
      </w:pPr>
      <w:bookmarkStart w:name="_bookmark31" w:id="53"/>
      <w:bookmarkEnd w:id="53"/>
      <w:r>
        <w:rPr/>
      </w:r>
      <w:r>
        <w:rPr/>
        <w:t>internacional, si no caso contrario en la región de estudio la migración se presenta con mayor incidencia en las localidades que presentan altos y medianos índices  de Desarrollo Humano y bajos niveles de marginación, lo cual lleva a inferir que  los motivos de migración responden </w:t>
      </w:r>
      <w:r>
        <w:rPr>
          <w:spacing w:val="-3"/>
        </w:rPr>
        <w:t>más </w:t>
      </w:r>
      <w:r>
        <w:rPr/>
        <w:t>a cuestiones sociales y</w:t>
      </w:r>
      <w:r>
        <w:rPr>
          <w:spacing w:val="-16"/>
        </w:rPr>
        <w:t> </w:t>
      </w:r>
      <w:r>
        <w:rPr/>
        <w:t>familiares.</w:t>
      </w:r>
    </w:p>
    <w:p>
      <w:pPr>
        <w:spacing w:after="0" w:line="360" w:lineRule="auto"/>
        <w:jc w:val="both"/>
        <w:sectPr>
          <w:pgSz w:w="12240" w:h="15840"/>
          <w:pgMar w:header="0" w:footer="1322" w:top="1500" w:bottom="1580" w:left="1720" w:right="1420"/>
        </w:sectPr>
      </w:pPr>
    </w:p>
    <w:p>
      <w:pPr>
        <w:pStyle w:val="BodyText"/>
        <w:spacing w:before="1"/>
        <w:rPr>
          <w:sz w:val="25"/>
        </w:rPr>
      </w:pPr>
    </w:p>
    <w:p>
      <w:pPr>
        <w:pStyle w:val="Heading2"/>
        <w:numPr>
          <w:ilvl w:val="1"/>
          <w:numId w:val="1"/>
        </w:numPr>
        <w:tabs>
          <w:tab w:pos="3851" w:val="left" w:leader="none"/>
        </w:tabs>
        <w:spacing w:line="240" w:lineRule="auto" w:before="70" w:after="0"/>
        <w:ind w:left="3850" w:right="0" w:hanging="293"/>
        <w:jc w:val="left"/>
      </w:pPr>
      <w:r>
        <w:rPr/>
        <w:t>BIBLIOGRAFÍA</w:t>
      </w:r>
    </w:p>
    <w:p>
      <w:pPr>
        <w:pStyle w:val="BodyText"/>
        <w:rPr>
          <w:b/>
        </w:rPr>
      </w:pPr>
    </w:p>
    <w:p>
      <w:pPr>
        <w:pStyle w:val="BodyText"/>
        <w:spacing w:before="9"/>
        <w:rPr>
          <w:b/>
          <w:sz w:val="33"/>
        </w:rPr>
      </w:pPr>
    </w:p>
    <w:p>
      <w:pPr>
        <w:pStyle w:val="BodyText"/>
        <w:spacing w:line="360" w:lineRule="auto" w:before="1"/>
        <w:ind w:left="152" w:right="124"/>
        <w:jc w:val="both"/>
      </w:pPr>
      <w:r>
        <w:rPr/>
        <w:t>Alba, A. (2012): Anuario de migración y remesas en México. BBVA Bancomer Research.</w:t>
      </w:r>
    </w:p>
    <w:p>
      <w:pPr>
        <w:pStyle w:val="BodyText"/>
      </w:pPr>
    </w:p>
    <w:p>
      <w:pPr>
        <w:spacing w:line="360" w:lineRule="auto" w:before="144"/>
        <w:ind w:left="152" w:right="117" w:firstLine="0"/>
        <w:jc w:val="both"/>
        <w:rPr>
          <w:sz w:val="24"/>
        </w:rPr>
      </w:pPr>
      <w:r>
        <w:rPr>
          <w:sz w:val="24"/>
        </w:rPr>
        <w:t>Ahumada, Q. (2009): </w:t>
      </w:r>
      <w:r>
        <w:rPr>
          <w:i/>
          <w:sz w:val="24"/>
        </w:rPr>
        <w:t>Desarrollo trasnacional: migración internacional y desarrollo </w:t>
      </w:r>
      <w:r>
        <w:rPr>
          <w:i/>
          <w:sz w:val="24"/>
        </w:rPr>
        <w:t>regional en el municipio de Tonatico. </w:t>
      </w:r>
      <w:r>
        <w:rPr>
          <w:sz w:val="24"/>
        </w:rPr>
        <w:t>Tesis de maestría. Colegio Mexiquense.</w:t>
      </w:r>
    </w:p>
    <w:p>
      <w:pPr>
        <w:pStyle w:val="BodyText"/>
      </w:pPr>
    </w:p>
    <w:p>
      <w:pPr>
        <w:spacing w:line="364" w:lineRule="auto" w:before="139"/>
        <w:ind w:left="152" w:right="111" w:firstLine="0"/>
        <w:jc w:val="both"/>
        <w:rPr>
          <w:sz w:val="24"/>
        </w:rPr>
      </w:pPr>
      <w:r>
        <w:rPr>
          <w:sz w:val="24"/>
        </w:rPr>
        <w:t>Arango, J. (2003). La explicación de las migraciones: luz y sombra. </w:t>
      </w:r>
      <w:r>
        <w:rPr>
          <w:i/>
          <w:sz w:val="24"/>
        </w:rPr>
        <w:t>Migración y </w:t>
      </w:r>
      <w:r>
        <w:rPr>
          <w:i/>
          <w:sz w:val="24"/>
        </w:rPr>
        <w:t>desarrollo</w:t>
      </w:r>
      <w:r>
        <w:rPr>
          <w:sz w:val="24"/>
        </w:rPr>
        <w:t>, (1), 1-30.</w:t>
      </w:r>
    </w:p>
    <w:p>
      <w:pPr>
        <w:pStyle w:val="BodyText"/>
        <w:spacing w:before="7"/>
        <w:rPr>
          <w:sz w:val="35"/>
        </w:rPr>
      </w:pPr>
    </w:p>
    <w:p>
      <w:pPr>
        <w:spacing w:line="360" w:lineRule="auto" w:before="0"/>
        <w:ind w:left="152" w:right="105" w:firstLine="0"/>
        <w:jc w:val="both"/>
        <w:rPr>
          <w:sz w:val="24"/>
        </w:rPr>
      </w:pPr>
      <w:r>
        <w:rPr>
          <w:sz w:val="24"/>
        </w:rPr>
        <w:t>Baca,J., y Kohler, A. (2005). </w:t>
      </w:r>
      <w:r>
        <w:rPr>
          <w:i/>
          <w:sz w:val="24"/>
        </w:rPr>
        <w:t>Estudio sobre migración y remesas en Colombia</w:t>
      </w:r>
      <w:r>
        <w:rPr>
          <w:sz w:val="24"/>
        </w:rPr>
        <w:t>. Bogotá, OIM.</w:t>
      </w:r>
    </w:p>
    <w:p>
      <w:pPr>
        <w:pStyle w:val="BodyText"/>
      </w:pPr>
    </w:p>
    <w:p>
      <w:pPr>
        <w:pStyle w:val="BodyText"/>
        <w:spacing w:line="360" w:lineRule="auto" w:before="144"/>
        <w:ind w:left="152" w:right="114"/>
        <w:jc w:val="both"/>
      </w:pPr>
      <w:r>
        <w:rPr/>
        <w:t>Becerril, J. (1993). Migración hacia Estados Unidos de oriundos del Estado de México. </w:t>
      </w:r>
      <w:r>
        <w:rPr>
          <w:i/>
        </w:rPr>
        <w:t>Papeles de Población</w:t>
      </w:r>
      <w:r>
        <w:rPr/>
        <w:t>, (17), 107-127.</w:t>
      </w:r>
    </w:p>
    <w:p>
      <w:pPr>
        <w:pStyle w:val="BodyText"/>
      </w:pPr>
    </w:p>
    <w:p>
      <w:pPr>
        <w:spacing w:before="139"/>
        <w:ind w:left="152" w:right="0" w:firstLine="0"/>
        <w:jc w:val="both"/>
        <w:rPr>
          <w:sz w:val="24"/>
        </w:rPr>
      </w:pPr>
      <w:r>
        <w:rPr>
          <w:sz w:val="24"/>
        </w:rPr>
        <w:t>Borjas, D. (1990). Migración en México</w:t>
      </w:r>
      <w:r>
        <w:rPr>
          <w:i/>
          <w:sz w:val="24"/>
        </w:rPr>
        <w:t>. Razón y Palabra</w:t>
      </w:r>
      <w:r>
        <w:rPr>
          <w:sz w:val="24"/>
        </w:rPr>
        <w:t>. (54), 68-72.</w:t>
      </w:r>
    </w:p>
    <w:p>
      <w:pPr>
        <w:pStyle w:val="BodyText"/>
      </w:pPr>
    </w:p>
    <w:p>
      <w:pPr>
        <w:pStyle w:val="BodyText"/>
        <w:spacing w:before="2"/>
      </w:pPr>
    </w:p>
    <w:p>
      <w:pPr>
        <w:pStyle w:val="BodyText"/>
        <w:spacing w:line="355" w:lineRule="auto" w:before="1"/>
        <w:ind w:left="152" w:right="107"/>
        <w:jc w:val="both"/>
      </w:pPr>
      <w:r>
        <w:rPr/>
        <w:t>BANCO MUNDIAL. (2005): América Latina la segunda región del mundo en recepción de remesas. Disponible en:</w:t>
      </w:r>
    </w:p>
    <w:p>
      <w:pPr>
        <w:pStyle w:val="BodyText"/>
        <w:spacing w:line="355" w:lineRule="auto" w:before="215"/>
        <w:ind w:left="152" w:right="125"/>
        <w:jc w:val="both"/>
      </w:pPr>
      <w:hyperlink r:id="rId23">
        <w:r>
          <w:rPr/>
          <w:t>http://www.enlatino.com/dinero/dinero/el-banco-mundial-asegura-que-las-remesas-</w:t>
        </w:r>
      </w:hyperlink>
      <w:r>
        <w:rPr/>
        <w:t> se-estan-recuperando-22534</w:t>
      </w:r>
    </w:p>
    <w:p>
      <w:pPr>
        <w:spacing w:line="360" w:lineRule="auto" w:before="214"/>
        <w:ind w:left="152" w:right="109" w:firstLine="0"/>
        <w:jc w:val="both"/>
        <w:rPr>
          <w:sz w:val="24"/>
        </w:rPr>
      </w:pPr>
      <w:r>
        <w:rPr>
          <w:sz w:val="24"/>
        </w:rPr>
        <w:t>Consejo Nacional de Población de Población. (2010). </w:t>
      </w:r>
      <w:r>
        <w:rPr>
          <w:i/>
          <w:sz w:val="24"/>
        </w:rPr>
        <w:t>Cambios en las tendencias </w:t>
      </w:r>
      <w:r>
        <w:rPr>
          <w:i/>
          <w:sz w:val="24"/>
        </w:rPr>
        <w:t>del patrón migratorio en México. </w:t>
      </w:r>
      <w:r>
        <w:rPr>
          <w:sz w:val="24"/>
        </w:rPr>
        <w:t>Recuperado el 23 de agosto de 2012 en: </w:t>
      </w:r>
      <w:hyperlink r:id="rId24">
        <w:r>
          <w:rPr>
            <w:sz w:val="24"/>
          </w:rPr>
          <w:t>http://www.conapo.gob.mx/es/CONAPO/Encuesta_sobre_Migracion_en_la_Fronte</w:t>
        </w:r>
      </w:hyperlink>
      <w:r>
        <w:rPr>
          <w:sz w:val="24"/>
        </w:rPr>
        <w:t> ra_Norte_de_Mexico_2010</w:t>
      </w:r>
    </w:p>
    <w:p>
      <w:pPr>
        <w:spacing w:after="0" w:line="360" w:lineRule="auto"/>
        <w:jc w:val="both"/>
        <w:rPr>
          <w:sz w:val="24"/>
        </w:rPr>
        <w:sectPr>
          <w:pgSz w:w="12240" w:h="15840"/>
          <w:pgMar w:header="0" w:footer="1322" w:top="1500" w:bottom="1580" w:left="1720" w:right="1420"/>
        </w:sectPr>
      </w:pPr>
    </w:p>
    <w:p>
      <w:pPr>
        <w:pStyle w:val="BodyText"/>
        <w:spacing w:before="11"/>
        <w:rPr>
          <w:sz w:val="25"/>
        </w:rPr>
      </w:pPr>
    </w:p>
    <w:p>
      <w:pPr>
        <w:pStyle w:val="BodyText"/>
        <w:spacing w:before="69"/>
        <w:ind w:left="152"/>
        <w:jc w:val="both"/>
      </w:pPr>
      <w:r>
        <w:rPr/>
        <w:t>Canales,  A.  (2004):  Vivir  del  norte;  remesas,  desarrollo  y  pobreza en México.</w:t>
      </w:r>
    </w:p>
    <w:p>
      <w:pPr>
        <w:spacing w:before="137"/>
        <w:ind w:left="152" w:right="0" w:firstLine="0"/>
        <w:jc w:val="both"/>
        <w:rPr>
          <w:sz w:val="24"/>
        </w:rPr>
      </w:pPr>
      <w:r>
        <w:rPr>
          <w:i/>
          <w:sz w:val="24"/>
        </w:rPr>
        <w:t>Papeles de Población</w:t>
      </w:r>
      <w:r>
        <w:rPr>
          <w:sz w:val="24"/>
        </w:rPr>
        <w:t>. (16) 34-45</w:t>
      </w:r>
    </w:p>
    <w:p>
      <w:pPr>
        <w:pStyle w:val="BodyText"/>
      </w:pPr>
    </w:p>
    <w:p>
      <w:pPr>
        <w:pStyle w:val="BodyText"/>
        <w:spacing w:before="3"/>
      </w:pPr>
    </w:p>
    <w:p>
      <w:pPr>
        <w:spacing w:line="360" w:lineRule="auto" w:before="0"/>
        <w:ind w:left="152" w:right="109" w:firstLine="0"/>
        <w:jc w:val="both"/>
        <w:rPr>
          <w:sz w:val="24"/>
        </w:rPr>
      </w:pPr>
      <w:r>
        <w:rPr>
          <w:sz w:val="24"/>
        </w:rPr>
        <w:t>Castles, S.; M.J. Miller. (1998): </w:t>
      </w:r>
      <w:r>
        <w:rPr>
          <w:i/>
          <w:sz w:val="24"/>
        </w:rPr>
        <w:t>The Age of Migration. International Population </w:t>
      </w:r>
      <w:r>
        <w:rPr>
          <w:i/>
          <w:sz w:val="24"/>
        </w:rPr>
        <w:t>Movements in the Modern World. Nueva York</w:t>
      </w:r>
      <w:r>
        <w:rPr>
          <w:sz w:val="24"/>
        </w:rPr>
        <w:t>, The Guildford Press.</w:t>
      </w:r>
    </w:p>
    <w:p>
      <w:pPr>
        <w:pStyle w:val="BodyText"/>
      </w:pPr>
    </w:p>
    <w:p>
      <w:pPr>
        <w:pStyle w:val="BodyText"/>
        <w:spacing w:line="360" w:lineRule="auto" w:before="140"/>
        <w:ind w:left="152" w:right="120"/>
        <w:jc w:val="both"/>
      </w:pPr>
      <w:r>
        <w:rPr/>
        <w:t>CEPAL. (2005): Migración internacional, remesas y desarrollo local en América Latina y el Caribe. LC/MEX/L.420, México.</w:t>
      </w:r>
    </w:p>
    <w:p>
      <w:pPr>
        <w:pStyle w:val="BodyText"/>
      </w:pPr>
    </w:p>
    <w:p>
      <w:pPr>
        <w:pStyle w:val="BodyText"/>
        <w:spacing w:line="360" w:lineRule="auto" w:before="144"/>
        <w:ind w:left="152" w:right="111"/>
        <w:jc w:val="both"/>
      </w:pPr>
      <w:r>
        <w:rPr/>
        <w:t>Corona, R.; R. Tuirán. (2008): Magnitud de la emigración de mexicanos a Estados Unidos después del año 2000. </w:t>
      </w:r>
      <w:r>
        <w:rPr>
          <w:i/>
        </w:rPr>
        <w:t>Papeles de Población. </w:t>
      </w:r>
      <w:r>
        <w:rPr/>
        <w:t>(14) 9-38.</w:t>
      </w:r>
    </w:p>
    <w:p>
      <w:pPr>
        <w:pStyle w:val="BodyText"/>
      </w:pPr>
    </w:p>
    <w:p>
      <w:pPr>
        <w:spacing w:line="360" w:lineRule="auto" w:before="144"/>
        <w:ind w:left="152" w:right="108" w:firstLine="0"/>
        <w:jc w:val="both"/>
        <w:rPr>
          <w:i/>
          <w:sz w:val="24"/>
        </w:rPr>
      </w:pPr>
      <w:r>
        <w:rPr>
          <w:sz w:val="24"/>
        </w:rPr>
        <w:t>Cornelius, W. (1998): Mexican Migration to the United States: Causes, Consequences, and the U.S. Responses. </w:t>
      </w:r>
      <w:r>
        <w:rPr>
          <w:i/>
          <w:sz w:val="24"/>
        </w:rPr>
        <w:t>Cambridge, Mit Center for International </w:t>
      </w:r>
      <w:r>
        <w:rPr>
          <w:i/>
          <w:sz w:val="24"/>
        </w:rPr>
        <w:t>Studies.</w:t>
      </w:r>
    </w:p>
    <w:p>
      <w:pPr>
        <w:pStyle w:val="BodyText"/>
        <w:rPr>
          <w:i/>
        </w:rPr>
      </w:pPr>
    </w:p>
    <w:p>
      <w:pPr>
        <w:pStyle w:val="BodyText"/>
        <w:spacing w:before="7"/>
        <w:rPr>
          <w:i/>
          <w:sz w:val="29"/>
        </w:rPr>
      </w:pPr>
    </w:p>
    <w:p>
      <w:pPr>
        <w:pStyle w:val="BodyText"/>
        <w:spacing w:line="360" w:lineRule="auto"/>
        <w:ind w:left="152" w:right="111"/>
        <w:jc w:val="both"/>
      </w:pPr>
      <w:r>
        <w:rPr/>
        <w:t>Corona, R.; R. Tuirán. (2001): La migración internacional desde y hacia México en. La población de México. Tendencias y perspectivas sociodemográficas hacia el siglo XXI. México, CONAPO y Fondo de Cultura Económica, 444-484.</w:t>
      </w:r>
    </w:p>
    <w:p>
      <w:pPr>
        <w:pStyle w:val="BodyText"/>
      </w:pPr>
    </w:p>
    <w:p>
      <w:pPr>
        <w:pStyle w:val="BodyText"/>
        <w:spacing w:before="1"/>
        <w:rPr>
          <w:sz w:val="30"/>
        </w:rPr>
      </w:pPr>
    </w:p>
    <w:p>
      <w:pPr>
        <w:pStyle w:val="BodyText"/>
        <w:spacing w:line="360" w:lineRule="auto"/>
        <w:ind w:left="152" w:right="114"/>
        <w:jc w:val="both"/>
      </w:pPr>
      <w:r>
        <w:rPr/>
        <w:t>Díaz, J. (2008). Migración de mexicanos desde y hacia Estados Unidos de América: estadistas, problemáticas y retos. </w:t>
      </w:r>
      <w:r>
        <w:rPr>
          <w:i/>
        </w:rPr>
        <w:t>Papeles de Población</w:t>
      </w:r>
      <w:r>
        <w:rPr/>
        <w:t>.  (2) 4-6.</w:t>
      </w:r>
    </w:p>
    <w:p>
      <w:pPr>
        <w:pStyle w:val="BodyText"/>
      </w:pPr>
    </w:p>
    <w:p>
      <w:pPr>
        <w:pStyle w:val="BodyText"/>
        <w:spacing w:line="360" w:lineRule="auto" w:before="144"/>
        <w:ind w:left="152" w:right="114"/>
        <w:jc w:val="both"/>
      </w:pPr>
      <w:r>
        <w:rPr/>
        <w:t>Durand, J.; S. Massey. (2008): Teorías de migración internacional: una aproximación y revisión. ReDCE, (10).</w:t>
      </w:r>
    </w:p>
    <w:p>
      <w:pPr>
        <w:pStyle w:val="BodyText"/>
        <w:spacing w:before="8"/>
        <w:rPr>
          <w:sz w:val="35"/>
        </w:rPr>
      </w:pPr>
    </w:p>
    <w:p>
      <w:pPr>
        <w:spacing w:before="0"/>
        <w:ind w:left="152" w:right="0" w:firstLine="0"/>
        <w:jc w:val="both"/>
        <w:rPr>
          <w:sz w:val="24"/>
        </w:rPr>
      </w:pPr>
      <w:r>
        <w:rPr>
          <w:sz w:val="24"/>
        </w:rPr>
        <w:t>Durand, J. (2013). Nueva fase migratoria. </w:t>
      </w:r>
      <w:r>
        <w:rPr>
          <w:i/>
          <w:sz w:val="24"/>
        </w:rPr>
        <w:t>Papeles de Población</w:t>
      </w:r>
      <w:r>
        <w:rPr>
          <w:sz w:val="24"/>
        </w:rPr>
        <w:t>. (77), 83-113.</w:t>
      </w:r>
    </w:p>
    <w:p>
      <w:pPr>
        <w:spacing w:after="0"/>
        <w:jc w:val="both"/>
        <w:rPr>
          <w:sz w:val="24"/>
        </w:rPr>
        <w:sectPr>
          <w:pgSz w:w="12240" w:h="15840"/>
          <w:pgMar w:header="0" w:footer="1322" w:top="1500" w:bottom="1580" w:left="1720" w:right="1420"/>
        </w:sectPr>
      </w:pPr>
    </w:p>
    <w:p>
      <w:pPr>
        <w:pStyle w:val="BodyText"/>
        <w:spacing w:before="11"/>
        <w:rPr>
          <w:sz w:val="25"/>
        </w:rPr>
      </w:pPr>
    </w:p>
    <w:p>
      <w:pPr>
        <w:pStyle w:val="BodyText"/>
        <w:spacing w:line="360" w:lineRule="auto" w:before="69"/>
        <w:ind w:left="152" w:right="105"/>
        <w:jc w:val="both"/>
      </w:pPr>
      <w:r>
        <w:rPr/>
        <w:t>González, G. (2001). La migración y las remesas mexicanas en el contexto de la globalización. </w:t>
      </w:r>
      <w:r>
        <w:rPr>
          <w:i/>
        </w:rPr>
        <w:t>Problemas del desarrollo</w:t>
      </w:r>
      <w:r>
        <w:rPr/>
        <w:t>, revista Latinoamericana de economía. (148), 221-233.</w:t>
      </w:r>
    </w:p>
    <w:p>
      <w:pPr>
        <w:pStyle w:val="BodyText"/>
      </w:pPr>
    </w:p>
    <w:p>
      <w:pPr>
        <w:spacing w:line="360" w:lineRule="auto" w:before="144"/>
        <w:ind w:left="152" w:right="106" w:firstLine="0"/>
        <w:jc w:val="both"/>
        <w:rPr>
          <w:sz w:val="24"/>
        </w:rPr>
      </w:pPr>
      <w:r>
        <w:rPr>
          <w:sz w:val="24"/>
        </w:rPr>
        <w:t>González, C. (2007): La organización de los inmigrantes mexicanos en Los Ángeles: La Lealtad de los Oriundos. </w:t>
      </w:r>
      <w:r>
        <w:rPr>
          <w:i/>
          <w:sz w:val="24"/>
        </w:rPr>
        <w:t>Revista Mexicana de Política Exterior. </w:t>
      </w:r>
      <w:r>
        <w:rPr>
          <w:sz w:val="24"/>
        </w:rPr>
        <w:t>(32), 54-72.</w:t>
      </w:r>
    </w:p>
    <w:p>
      <w:pPr>
        <w:pStyle w:val="BodyText"/>
      </w:pPr>
    </w:p>
    <w:p>
      <w:pPr>
        <w:spacing w:before="144"/>
        <w:ind w:left="152" w:right="0" w:firstLine="0"/>
        <w:jc w:val="both"/>
        <w:rPr>
          <w:sz w:val="24"/>
        </w:rPr>
      </w:pPr>
      <w:r>
        <w:rPr>
          <w:sz w:val="24"/>
        </w:rPr>
        <w:t>González, C. (2008): </w:t>
      </w:r>
      <w:r>
        <w:rPr>
          <w:i/>
          <w:sz w:val="24"/>
        </w:rPr>
        <w:t>La frontera que vino del norte</w:t>
      </w:r>
      <w:r>
        <w:rPr>
          <w:sz w:val="24"/>
        </w:rPr>
        <w:t>. México, Taurus.</w:t>
      </w:r>
    </w:p>
    <w:p>
      <w:pPr>
        <w:pStyle w:val="BodyText"/>
      </w:pPr>
    </w:p>
    <w:p>
      <w:pPr>
        <w:pStyle w:val="BodyText"/>
        <w:spacing w:before="9"/>
        <w:rPr>
          <w:sz w:val="23"/>
        </w:rPr>
      </w:pPr>
    </w:p>
    <w:p>
      <w:pPr>
        <w:pStyle w:val="BodyText"/>
        <w:spacing w:line="360" w:lineRule="auto"/>
        <w:ind w:left="152" w:right="105"/>
        <w:jc w:val="both"/>
      </w:pPr>
      <w:r>
        <w:rPr/>
        <w:t>Kenedy, D. (1996): Can </w:t>
      </w:r>
      <w:r>
        <w:rPr>
          <w:spacing w:val="-3"/>
        </w:rPr>
        <w:t>we </w:t>
      </w:r>
      <w:r>
        <w:rPr/>
        <w:t>still afford to be a nation of immigrants. </w:t>
      </w:r>
      <w:r>
        <w:rPr>
          <w:i/>
        </w:rPr>
        <w:t>Atlantic  </w:t>
      </w:r>
      <w:r>
        <w:rPr>
          <w:i/>
        </w:rPr>
        <w:t>Monthly </w:t>
      </w:r>
      <w:r>
        <w:rPr/>
        <w:t>(278),</w:t>
      </w:r>
      <w:r>
        <w:rPr>
          <w:spacing w:val="-7"/>
        </w:rPr>
        <w:t> </w:t>
      </w:r>
      <w:r>
        <w:rPr/>
        <w:t>52-68.</w:t>
      </w:r>
    </w:p>
    <w:p>
      <w:pPr>
        <w:pStyle w:val="BodyText"/>
      </w:pPr>
    </w:p>
    <w:p>
      <w:pPr>
        <w:pStyle w:val="BodyText"/>
        <w:spacing w:before="144"/>
        <w:ind w:left="152"/>
        <w:jc w:val="both"/>
      </w:pPr>
      <w:r>
        <w:rPr/>
        <w:t>Ibarra, G. (2003). Clubes de migrantes oriundos mexicanos en los Estados Unidos.</w:t>
      </w:r>
    </w:p>
    <w:p>
      <w:pPr>
        <w:spacing w:before="137"/>
        <w:ind w:left="152" w:right="0" w:firstLine="0"/>
        <w:jc w:val="both"/>
        <w:rPr>
          <w:sz w:val="24"/>
        </w:rPr>
      </w:pPr>
      <w:r>
        <w:rPr>
          <w:i/>
          <w:sz w:val="24"/>
        </w:rPr>
        <w:t>Migraciones Internacionales</w:t>
      </w:r>
      <w:r>
        <w:rPr>
          <w:sz w:val="24"/>
        </w:rPr>
        <w:t>, (03) 183-188.</w:t>
      </w:r>
    </w:p>
    <w:p>
      <w:pPr>
        <w:pStyle w:val="BodyText"/>
      </w:pPr>
    </w:p>
    <w:p>
      <w:pPr>
        <w:pStyle w:val="BodyText"/>
      </w:pPr>
    </w:p>
    <w:p>
      <w:pPr>
        <w:pStyle w:val="BodyText"/>
        <w:spacing w:line="360" w:lineRule="auto" w:before="199"/>
        <w:ind w:left="152" w:right="108"/>
        <w:jc w:val="both"/>
      </w:pPr>
      <w:r>
        <w:rPr/>
        <w:t>INEGI, 2010, “Principales resultados por localidad”, Censo de Población y  Vivienda 2010, Estado de México,</w:t>
      </w:r>
      <w:r>
        <w:rPr>
          <w:spacing w:val="-15"/>
        </w:rPr>
        <w:t> </w:t>
      </w:r>
      <w:r>
        <w:rPr/>
        <w:t>en:</w:t>
      </w:r>
    </w:p>
    <w:p>
      <w:pPr>
        <w:pStyle w:val="BodyText"/>
        <w:spacing w:line="360" w:lineRule="auto" w:before="204"/>
        <w:ind w:left="152" w:right="118"/>
        <w:jc w:val="both"/>
      </w:pPr>
      <w:hyperlink r:id="rId25">
        <w:r>
          <w:rPr>
            <w:spacing w:val="-1"/>
          </w:rPr>
          <w:t>http://www.inegi.org.mx/est/contenidos/espanol/sistemas/conteo2010/localidad/iter/</w:t>
        </w:r>
      </w:hyperlink>
      <w:r>
        <w:rPr>
          <w:spacing w:val="-1"/>
        </w:rPr>
        <w:t> </w:t>
      </w:r>
      <w:r>
        <w:rPr/>
        <w:t>default.asp?s=est&amp;c=10395.</w:t>
      </w:r>
    </w:p>
    <w:p>
      <w:pPr>
        <w:spacing w:line="360" w:lineRule="auto" w:before="209"/>
        <w:ind w:left="152" w:right="103" w:firstLine="0"/>
        <w:jc w:val="both"/>
        <w:rPr>
          <w:sz w:val="24"/>
        </w:rPr>
      </w:pPr>
      <w:r>
        <w:rPr>
          <w:sz w:val="24"/>
        </w:rPr>
        <w:t>Lewis, W. Arthur, (1954). Economic development with unlimited supplies of Labor, en </w:t>
      </w:r>
      <w:r>
        <w:rPr>
          <w:i/>
          <w:sz w:val="24"/>
        </w:rPr>
        <w:t>The Manchester School of Economic and Social Studies</w:t>
      </w:r>
      <w:r>
        <w:rPr>
          <w:sz w:val="24"/>
        </w:rPr>
        <w:t>, (22), 139- 191.</w:t>
      </w:r>
    </w:p>
    <w:p>
      <w:pPr>
        <w:pStyle w:val="BodyText"/>
      </w:pPr>
    </w:p>
    <w:p>
      <w:pPr>
        <w:pStyle w:val="BodyText"/>
        <w:spacing w:line="362" w:lineRule="auto" w:before="139"/>
        <w:ind w:left="152" w:right="110"/>
        <w:jc w:val="both"/>
      </w:pPr>
      <w:r>
        <w:rPr/>
        <w:t>Massey,D. y E. Taylor (1993). Teorías de la migración internacional: una revision y aproximación. Population and Development review, (19), 3-9.</w:t>
      </w:r>
    </w:p>
    <w:p>
      <w:pPr>
        <w:pStyle w:val="BodyText"/>
        <w:spacing w:before="10"/>
        <w:rPr>
          <w:sz w:val="35"/>
        </w:rPr>
      </w:pPr>
    </w:p>
    <w:p>
      <w:pPr>
        <w:pStyle w:val="BodyText"/>
        <w:ind w:left="152"/>
        <w:jc w:val="both"/>
      </w:pPr>
      <w:r>
        <w:rPr/>
        <w:t>Massey,  D.  (2001).  International  migration  theory:  the  North  American    case.</w:t>
      </w:r>
    </w:p>
    <w:p>
      <w:pPr>
        <w:spacing w:before="137"/>
        <w:ind w:left="152" w:right="0" w:firstLine="0"/>
        <w:jc w:val="both"/>
        <w:rPr>
          <w:sz w:val="24"/>
        </w:rPr>
      </w:pPr>
      <w:r>
        <w:rPr>
          <w:i/>
          <w:sz w:val="24"/>
        </w:rPr>
        <w:t>Population and development review. </w:t>
      </w:r>
      <w:r>
        <w:rPr>
          <w:sz w:val="24"/>
        </w:rPr>
        <w:t>(20), 699-751.</w:t>
      </w:r>
    </w:p>
    <w:p>
      <w:pPr>
        <w:spacing w:after="0"/>
        <w:jc w:val="both"/>
        <w:rPr>
          <w:sz w:val="24"/>
        </w:rPr>
        <w:sectPr>
          <w:pgSz w:w="12240" w:h="15840"/>
          <w:pgMar w:header="0" w:footer="1322" w:top="1500" w:bottom="1580" w:left="1720" w:right="1420"/>
        </w:sectPr>
      </w:pPr>
    </w:p>
    <w:p>
      <w:pPr>
        <w:pStyle w:val="BodyText"/>
        <w:rPr>
          <w:sz w:val="20"/>
        </w:rPr>
      </w:pPr>
    </w:p>
    <w:p>
      <w:pPr>
        <w:pStyle w:val="BodyText"/>
        <w:rPr>
          <w:sz w:val="20"/>
        </w:rPr>
      </w:pPr>
    </w:p>
    <w:p>
      <w:pPr>
        <w:pStyle w:val="BodyText"/>
        <w:spacing w:before="10"/>
        <w:rPr>
          <w:sz w:val="21"/>
        </w:rPr>
      </w:pPr>
    </w:p>
    <w:p>
      <w:pPr>
        <w:spacing w:line="360" w:lineRule="auto" w:before="69"/>
        <w:ind w:left="152" w:right="107" w:firstLine="0"/>
        <w:jc w:val="both"/>
        <w:rPr>
          <w:sz w:val="24"/>
        </w:rPr>
      </w:pPr>
      <w:bookmarkStart w:name="_bookmark32" w:id="54"/>
      <w:bookmarkEnd w:id="54"/>
      <w:r>
        <w:rPr/>
      </w:r>
      <w:r>
        <w:rPr>
          <w:sz w:val="24"/>
        </w:rPr>
        <w:t>Massey, D., J. Durand, y N. Malone. (2002). </w:t>
      </w:r>
      <w:r>
        <w:rPr>
          <w:i/>
          <w:sz w:val="24"/>
        </w:rPr>
        <w:t>Beyond Smoke and Mirrors. Mexican </w:t>
      </w:r>
      <w:r>
        <w:rPr>
          <w:i/>
          <w:sz w:val="24"/>
        </w:rPr>
        <w:t>Inmigration in an era of Economic Integration</w:t>
      </w:r>
      <w:r>
        <w:rPr>
          <w:sz w:val="24"/>
        </w:rPr>
        <w:t>, México, </w:t>
      </w:r>
      <w:r>
        <w:rPr>
          <w:color w:val="221F1F"/>
          <w:sz w:val="24"/>
        </w:rPr>
        <w:t>Porrúa.</w:t>
      </w:r>
    </w:p>
    <w:p>
      <w:pPr>
        <w:pStyle w:val="BodyText"/>
      </w:pPr>
    </w:p>
    <w:p>
      <w:pPr>
        <w:pStyle w:val="BodyText"/>
        <w:spacing w:line="360" w:lineRule="auto" w:before="144"/>
        <w:ind w:left="152" w:right="101"/>
        <w:jc w:val="both"/>
      </w:pPr>
      <w:r>
        <w:rPr>
          <w:color w:val="221F1F"/>
        </w:rPr>
        <w:t>Massey, D. (2003). Teorías de la migración internacional. </w:t>
      </w:r>
      <w:r>
        <w:rPr>
          <w:i/>
          <w:color w:val="221F1F"/>
        </w:rPr>
        <w:t>Revista trabajo</w:t>
      </w:r>
      <w:r>
        <w:rPr>
          <w:color w:val="221F1F"/>
        </w:rPr>
        <w:t>, (03), 72- 98.</w:t>
      </w:r>
    </w:p>
    <w:p>
      <w:pPr>
        <w:pStyle w:val="BodyText"/>
      </w:pPr>
    </w:p>
    <w:p>
      <w:pPr>
        <w:pStyle w:val="BodyText"/>
        <w:spacing w:line="360" w:lineRule="auto" w:before="140"/>
        <w:ind w:left="152" w:right="101"/>
        <w:jc w:val="both"/>
      </w:pPr>
      <w:r>
        <w:rPr/>
        <w:t>Massey, D. y J. Durand. (2009): Nuevos escenarios de la migración México- Estados Unidos. Las consecuencias de la guerra antiinmigrante. </w:t>
      </w:r>
      <w:r>
        <w:rPr>
          <w:i/>
        </w:rPr>
        <w:t>Papeles de </w:t>
      </w:r>
      <w:r>
        <w:rPr>
          <w:i/>
        </w:rPr>
        <w:t>Población. </w:t>
      </w:r>
      <w:r>
        <w:rPr/>
        <w:t>(61): 101-128.</w:t>
      </w:r>
    </w:p>
    <w:p>
      <w:pPr>
        <w:pStyle w:val="BodyText"/>
      </w:pPr>
    </w:p>
    <w:p>
      <w:pPr>
        <w:pStyle w:val="BodyText"/>
        <w:spacing w:before="140"/>
        <w:ind w:left="152"/>
        <w:jc w:val="both"/>
      </w:pPr>
      <w:r>
        <w:rPr/>
        <w:t>Taylor, J. E. (1990). “Theories of international Migration: A Review and  Appraisal”,</w:t>
      </w:r>
    </w:p>
    <w:p>
      <w:pPr>
        <w:spacing w:before="141"/>
        <w:ind w:left="152" w:right="0" w:firstLine="0"/>
        <w:jc w:val="both"/>
        <w:rPr>
          <w:sz w:val="24"/>
        </w:rPr>
      </w:pPr>
      <w:r>
        <w:rPr>
          <w:i/>
          <w:sz w:val="24"/>
        </w:rPr>
        <w:t>Population and Development Review</w:t>
      </w:r>
      <w:r>
        <w:rPr>
          <w:sz w:val="24"/>
        </w:rPr>
        <w:t>, (3), 67-70.</w:t>
      </w:r>
    </w:p>
    <w:p>
      <w:pPr>
        <w:pStyle w:val="BodyText"/>
      </w:pPr>
    </w:p>
    <w:p>
      <w:pPr>
        <w:pStyle w:val="BodyText"/>
        <w:spacing w:before="9"/>
        <w:rPr>
          <w:sz w:val="23"/>
        </w:rPr>
      </w:pPr>
    </w:p>
    <w:p>
      <w:pPr>
        <w:spacing w:line="360" w:lineRule="auto" w:before="0"/>
        <w:ind w:left="152" w:right="117" w:firstLine="0"/>
        <w:jc w:val="both"/>
        <w:rPr>
          <w:sz w:val="24"/>
        </w:rPr>
      </w:pPr>
      <w:r>
        <w:rPr>
          <w:sz w:val="24"/>
        </w:rPr>
        <w:t>Todaro P. (1969). A model of labor migration and urban unemployment in less developed countries</w:t>
      </w:r>
      <w:r>
        <w:rPr>
          <w:i/>
          <w:sz w:val="24"/>
        </w:rPr>
        <w:t>. American Economic Review, </w:t>
      </w:r>
      <w:r>
        <w:rPr>
          <w:sz w:val="24"/>
        </w:rPr>
        <w:t>(3), 69-74.</w:t>
      </w:r>
    </w:p>
    <w:p>
      <w:pPr>
        <w:pStyle w:val="BodyText"/>
      </w:pPr>
    </w:p>
    <w:p>
      <w:pPr>
        <w:spacing w:line="360" w:lineRule="auto" w:before="144"/>
        <w:ind w:left="152" w:right="103" w:firstLine="0"/>
        <w:jc w:val="both"/>
        <w:rPr>
          <w:sz w:val="24"/>
        </w:rPr>
      </w:pPr>
      <w:r>
        <w:rPr>
          <w:sz w:val="24"/>
        </w:rPr>
        <w:t>Todaro, P. (1998). </w:t>
      </w:r>
      <w:r>
        <w:rPr>
          <w:i/>
          <w:sz w:val="24"/>
        </w:rPr>
        <w:t>El desarrollo económico del Tercer Mundo</w:t>
      </w:r>
      <w:r>
        <w:rPr>
          <w:sz w:val="24"/>
        </w:rPr>
        <w:t>, Madrid España, Alianza.</w:t>
      </w:r>
    </w:p>
    <w:p>
      <w:pPr>
        <w:spacing w:after="0" w:line="360" w:lineRule="auto"/>
        <w:jc w:val="both"/>
        <w:rPr>
          <w:sz w:val="24"/>
        </w:rPr>
        <w:sectPr>
          <w:pgSz w:w="12240" w:h="15840"/>
          <w:pgMar w:header="0" w:footer="1322" w:top="1500" w:bottom="1580" w:left="1720" w:right="1420"/>
        </w:sectPr>
      </w:pPr>
    </w:p>
    <w:p>
      <w:pPr>
        <w:pStyle w:val="BodyText"/>
        <w:spacing w:before="1"/>
        <w:rPr>
          <w:sz w:val="25"/>
        </w:rPr>
      </w:pPr>
    </w:p>
    <w:p>
      <w:pPr>
        <w:pStyle w:val="Heading2"/>
        <w:ind w:left="1919" w:right="1915"/>
        <w:jc w:val="center"/>
      </w:pPr>
      <w:r>
        <w:rPr/>
        <w:drawing>
          <wp:anchor distT="0" distB="0" distL="0" distR="0" allowOverlap="1" layoutInCell="1" locked="0" behindDoc="0" simplePos="0" relativeHeight="1792">
            <wp:simplePos x="0" y="0"/>
            <wp:positionH relativeFrom="page">
              <wp:posOffset>447675</wp:posOffset>
            </wp:positionH>
            <wp:positionV relativeFrom="paragraph">
              <wp:posOffset>-183186</wp:posOffset>
            </wp:positionV>
            <wp:extent cx="666750" cy="666750"/>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26" cstate="print"/>
                    <a:stretch>
                      <a:fillRect/>
                    </a:stretch>
                  </pic:blipFill>
                  <pic:spPr>
                    <a:xfrm>
                      <a:off x="0" y="0"/>
                      <a:ext cx="666750" cy="666750"/>
                    </a:xfrm>
                    <a:prstGeom prst="rect">
                      <a:avLst/>
                    </a:prstGeom>
                  </pic:spPr>
                </pic:pic>
              </a:graphicData>
            </a:graphic>
          </wp:anchor>
        </w:drawing>
      </w:r>
      <w:r>
        <w:rPr/>
        <w:t>ANEXO</w:t>
      </w:r>
    </w:p>
    <w:p>
      <w:pPr>
        <w:spacing w:before="44"/>
        <w:ind w:left="1919" w:right="1920" w:firstLine="0"/>
        <w:jc w:val="center"/>
        <w:rPr>
          <w:b/>
          <w:sz w:val="20"/>
        </w:rPr>
      </w:pPr>
      <w:r>
        <w:rPr>
          <w:b/>
          <w:sz w:val="20"/>
        </w:rPr>
        <w:t>CUESTIONARIO SOBRE CAUSAS  DE MIGRACIÓN INTERNACIONAL EN MÉXICO</w:t>
      </w:r>
    </w:p>
    <w:p>
      <w:pPr>
        <w:spacing w:before="1"/>
        <w:ind w:left="1430" w:right="0" w:firstLine="0"/>
        <w:jc w:val="left"/>
        <w:rPr>
          <w:b/>
          <w:sz w:val="20"/>
        </w:rPr>
      </w:pPr>
      <w:r>
        <w:rPr>
          <w:b/>
          <w:sz w:val="20"/>
        </w:rPr>
        <w:t>(Migrantes)</w:t>
      </w:r>
    </w:p>
    <w:p>
      <w:pPr>
        <w:pStyle w:val="BodyText"/>
        <w:rPr>
          <w:b/>
          <w:sz w:val="20"/>
        </w:rPr>
      </w:pPr>
    </w:p>
    <w:p>
      <w:pPr>
        <w:pStyle w:val="BodyText"/>
        <w:spacing w:before="4"/>
        <w:rPr>
          <w:b/>
          <w:sz w:val="11"/>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50"/>
        <w:gridCol w:w="6599"/>
      </w:tblGrid>
      <w:tr>
        <w:trPr>
          <w:trHeight w:val="348" w:hRule="exact"/>
        </w:trPr>
        <w:tc>
          <w:tcPr>
            <w:tcW w:w="11350" w:type="dxa"/>
            <w:gridSpan w:val="2"/>
          </w:tcPr>
          <w:p>
            <w:pPr>
              <w:pStyle w:val="TableParagraph"/>
              <w:spacing w:line="206" w:lineRule="exact"/>
              <w:rPr>
                <w:sz w:val="20"/>
              </w:rPr>
            </w:pPr>
            <w:r>
              <w:rPr>
                <w:sz w:val="20"/>
              </w:rPr>
              <w:t>Analizar las principales causas socioeconómicos por las cuales se presenta la migración internacional en México</w:t>
            </w:r>
          </w:p>
        </w:tc>
      </w:tr>
      <w:tr>
        <w:trPr>
          <w:trHeight w:val="372" w:hRule="exact"/>
        </w:trPr>
        <w:tc>
          <w:tcPr>
            <w:tcW w:w="4750" w:type="dxa"/>
          </w:tcPr>
          <w:p>
            <w:pPr/>
          </w:p>
        </w:tc>
        <w:tc>
          <w:tcPr>
            <w:tcW w:w="6599" w:type="dxa"/>
          </w:tcPr>
          <w:p>
            <w:pPr>
              <w:pStyle w:val="TableParagraph"/>
              <w:tabs>
                <w:tab w:pos="2461" w:val="left" w:leader="none"/>
              </w:tabs>
              <w:spacing w:before="122"/>
              <w:ind w:left="0" w:right="234"/>
              <w:jc w:val="right"/>
              <w:rPr>
                <w:sz w:val="20"/>
              </w:rPr>
            </w:pPr>
            <w:r>
              <w:rPr>
                <w:sz w:val="20"/>
              </w:rPr>
              <w:t>núm.</w:t>
            </w:r>
            <w:r>
              <w:rPr>
                <w:spacing w:val="1"/>
                <w:sz w:val="20"/>
              </w:rPr>
              <w:t> </w:t>
            </w:r>
            <w:r>
              <w:rPr>
                <w:sz w:val="20"/>
              </w:rPr>
              <w:t>cuestionario</w:t>
            </w:r>
            <w:r>
              <w:rPr>
                <w:spacing w:val="-5"/>
                <w:sz w:val="20"/>
              </w:rPr>
              <w:t> </w:t>
            </w:r>
            <w:r>
              <w:rPr>
                <w:w w:val="100"/>
                <w:sz w:val="20"/>
                <w:u w:val="single"/>
              </w:rPr>
              <w:t> </w:t>
            </w:r>
            <w:r>
              <w:rPr>
                <w:sz w:val="20"/>
                <w:u w:val="single"/>
              </w:rPr>
              <w:tab/>
            </w:r>
          </w:p>
        </w:tc>
      </w:tr>
      <w:tr>
        <w:trPr>
          <w:trHeight w:val="240" w:hRule="exact"/>
        </w:trPr>
        <w:tc>
          <w:tcPr>
            <w:tcW w:w="4750" w:type="dxa"/>
          </w:tcPr>
          <w:p>
            <w:pPr/>
          </w:p>
        </w:tc>
        <w:tc>
          <w:tcPr>
            <w:tcW w:w="6599" w:type="dxa"/>
          </w:tcPr>
          <w:p>
            <w:pPr>
              <w:pStyle w:val="TableParagraph"/>
              <w:tabs>
                <w:tab w:pos="2548" w:val="left" w:leader="none"/>
              </w:tabs>
              <w:spacing w:line="230" w:lineRule="exact"/>
              <w:ind w:left="0" w:right="147"/>
              <w:jc w:val="right"/>
              <w:rPr>
                <w:sz w:val="20"/>
              </w:rPr>
            </w:pPr>
            <w:r>
              <w:rPr>
                <w:spacing w:val="-1"/>
                <w:sz w:val="20"/>
              </w:rPr>
              <w:t>Fecha </w:t>
            </w:r>
            <w:r>
              <w:rPr>
                <w:spacing w:val="-1"/>
                <w:w w:val="100"/>
                <w:sz w:val="20"/>
                <w:u w:val="single"/>
              </w:rPr>
              <w:t> </w:t>
            </w:r>
            <w:r>
              <w:rPr>
                <w:spacing w:val="-1"/>
                <w:sz w:val="20"/>
                <w:u w:val="single"/>
              </w:rPr>
              <w:tab/>
            </w:r>
          </w:p>
        </w:tc>
      </w:tr>
      <w:tr>
        <w:trPr>
          <w:trHeight w:val="471" w:hRule="exact"/>
        </w:trPr>
        <w:tc>
          <w:tcPr>
            <w:tcW w:w="4750" w:type="dxa"/>
          </w:tcPr>
          <w:p>
            <w:pPr>
              <w:pStyle w:val="TableParagraph"/>
              <w:spacing w:before="2"/>
              <w:ind w:left="0"/>
              <w:rPr>
                <w:b/>
                <w:sz w:val="19"/>
              </w:rPr>
            </w:pPr>
          </w:p>
          <w:p>
            <w:pPr>
              <w:pStyle w:val="TableParagraph"/>
              <w:tabs>
                <w:tab w:pos="1533" w:val="left" w:leader="none"/>
                <w:tab w:pos="2541" w:val="left" w:leader="none"/>
              </w:tabs>
              <w:rPr>
                <w:sz w:val="20"/>
              </w:rPr>
            </w:pPr>
            <w:r>
              <w:rPr>
                <w:sz w:val="20"/>
              </w:rPr>
              <w:t>SEXO </w:t>
            </w:r>
            <w:r>
              <w:rPr>
                <w:spacing w:val="5"/>
                <w:sz w:val="20"/>
              </w:rPr>
              <w:t> </w:t>
            </w:r>
            <w:r>
              <w:rPr>
                <w:sz w:val="20"/>
              </w:rPr>
              <w:t>M</w:t>
            </w:r>
            <w:r>
              <w:rPr>
                <w:sz w:val="20"/>
                <w:u w:val="single"/>
              </w:rPr>
              <w:tab/>
            </w:r>
            <w:r>
              <w:rPr>
                <w:sz w:val="20"/>
              </w:rPr>
              <w:t>F</w:t>
            </w:r>
            <w:r>
              <w:rPr>
                <w:w w:val="100"/>
                <w:sz w:val="20"/>
                <w:u w:val="single"/>
              </w:rPr>
              <w:t> </w:t>
            </w:r>
            <w:r>
              <w:rPr>
                <w:sz w:val="20"/>
                <w:u w:val="single"/>
              </w:rPr>
              <w:tab/>
            </w:r>
          </w:p>
        </w:tc>
        <w:tc>
          <w:tcPr>
            <w:tcW w:w="6599" w:type="dxa"/>
          </w:tcPr>
          <w:p>
            <w:pPr>
              <w:pStyle w:val="TableParagraph"/>
              <w:tabs>
                <w:tab w:pos="1840" w:val="left" w:leader="none"/>
                <w:tab w:pos="3309" w:val="left" w:leader="none"/>
                <w:tab w:pos="3342" w:val="left" w:leader="none"/>
              </w:tabs>
              <w:ind w:left="1548" w:right="1633"/>
              <w:rPr>
                <w:sz w:val="20"/>
              </w:rPr>
            </w:pPr>
            <w:r>
              <w:rPr>
                <w:sz w:val="20"/>
              </w:rPr>
              <w:t>EDAD  18-25</w:t>
            </w:r>
            <w:r>
              <w:rPr>
                <w:spacing w:val="2"/>
                <w:sz w:val="20"/>
              </w:rPr>
              <w:t> </w:t>
            </w:r>
            <w:r>
              <w:rPr>
                <w:sz w:val="20"/>
              </w:rPr>
              <w:t>( </w:t>
            </w:r>
            <w:r>
              <w:rPr>
                <w:spacing w:val="52"/>
                <w:sz w:val="20"/>
              </w:rPr>
              <w:t> </w:t>
            </w:r>
            <w:r>
              <w:rPr>
                <w:sz w:val="20"/>
              </w:rPr>
              <w:t>)</w:t>
              <w:tab/>
              <w:t>26-30   ( </w:t>
            </w:r>
            <w:r>
              <w:rPr>
                <w:spacing w:val="54"/>
                <w:sz w:val="20"/>
              </w:rPr>
              <w:t> </w:t>
            </w:r>
            <w:r>
              <w:rPr>
                <w:sz w:val="20"/>
              </w:rPr>
              <w:t>) </w:t>
            </w:r>
            <w:r>
              <w:rPr>
                <w:spacing w:val="50"/>
                <w:sz w:val="20"/>
              </w:rPr>
              <w:t> </w:t>
            </w:r>
            <w:r>
              <w:rPr>
                <w:sz w:val="20"/>
              </w:rPr>
              <w:t>31-41</w:t>
            </w:r>
            <w:r>
              <w:rPr>
                <w:w w:val="100"/>
                <w:sz w:val="20"/>
              </w:rPr>
              <w:t> </w:t>
            </w:r>
            <w:r>
              <w:rPr>
                <w:sz w:val="20"/>
              </w:rPr>
              <w:t>(</w:t>
              <w:tab/>
              <w:t>)   40 O</w:t>
            </w:r>
            <w:r>
              <w:rPr>
                <w:spacing w:val="-3"/>
                <w:sz w:val="20"/>
              </w:rPr>
              <w:t> </w:t>
            </w:r>
            <w:r>
              <w:rPr>
                <w:sz w:val="20"/>
              </w:rPr>
              <w:t>MAS</w:t>
            </w:r>
            <w:r>
              <w:rPr>
                <w:spacing w:val="-3"/>
                <w:sz w:val="20"/>
              </w:rPr>
              <w:t> </w:t>
            </w:r>
            <w:r>
              <w:rPr>
                <w:sz w:val="20"/>
              </w:rPr>
              <w:t>(</w:t>
              <w:tab/>
              <w:tab/>
              <w:t>)</w:t>
            </w:r>
          </w:p>
        </w:tc>
      </w:tr>
      <w:tr>
        <w:trPr>
          <w:trHeight w:val="240" w:hRule="exact"/>
        </w:trPr>
        <w:tc>
          <w:tcPr>
            <w:tcW w:w="11350" w:type="dxa"/>
            <w:gridSpan w:val="2"/>
          </w:tcPr>
          <w:p>
            <w:pPr>
              <w:pStyle w:val="TableParagraph"/>
              <w:tabs>
                <w:tab w:pos="1803" w:val="left" w:leader="none"/>
                <w:tab w:pos="3213" w:val="left" w:leader="none"/>
                <w:tab w:pos="3558" w:val="left" w:leader="none"/>
                <w:tab w:pos="4751" w:val="left" w:leader="none"/>
                <w:tab w:pos="5034" w:val="left" w:leader="none"/>
                <w:tab w:pos="6017" w:val="left" w:leader="none"/>
                <w:tab w:pos="8147" w:val="left" w:leader="none"/>
              </w:tabs>
              <w:spacing w:line="230" w:lineRule="exact"/>
              <w:rPr>
                <w:sz w:val="20"/>
              </w:rPr>
            </w:pPr>
            <w:r>
              <w:rPr>
                <w:sz w:val="20"/>
              </w:rPr>
              <w:t>ESTADO</w:t>
            </w:r>
            <w:r>
              <w:rPr>
                <w:spacing w:val="2"/>
                <w:sz w:val="20"/>
              </w:rPr>
              <w:t> </w:t>
            </w:r>
            <w:r>
              <w:rPr>
                <w:sz w:val="20"/>
              </w:rPr>
              <w:t>CIVIL</w:t>
              <w:tab/>
              <w:t>SOLTERO</w:t>
            </w:r>
            <w:r>
              <w:rPr>
                <w:spacing w:val="1"/>
                <w:sz w:val="20"/>
              </w:rPr>
              <w:t> </w:t>
            </w:r>
            <w:r>
              <w:rPr>
                <w:sz w:val="20"/>
              </w:rPr>
              <w:t>(</w:t>
              <w:tab/>
              <w:t>)</w:t>
              <w:tab/>
              <w:t>CASADO</w:t>
            </w:r>
            <w:r>
              <w:rPr>
                <w:spacing w:val="-2"/>
                <w:sz w:val="20"/>
              </w:rPr>
              <w:t> </w:t>
            </w:r>
            <w:r>
              <w:rPr>
                <w:sz w:val="20"/>
              </w:rPr>
              <w:t>(</w:t>
              <w:tab/>
              <w:t>)</w:t>
              <w:tab/>
              <w:t>VIUDO</w:t>
            </w:r>
            <w:r>
              <w:rPr>
                <w:spacing w:val="-2"/>
                <w:sz w:val="20"/>
              </w:rPr>
              <w:t> </w:t>
            </w:r>
            <w:r>
              <w:rPr>
                <w:sz w:val="20"/>
              </w:rPr>
              <w:t>(</w:t>
              <w:tab/>
              <w:t>)  EN UNIÓN</w:t>
            </w:r>
            <w:r>
              <w:rPr>
                <w:spacing w:val="-8"/>
                <w:sz w:val="20"/>
              </w:rPr>
              <w:t> </w:t>
            </w:r>
            <w:r>
              <w:rPr>
                <w:sz w:val="20"/>
              </w:rPr>
              <w:t>LIBRE (</w:t>
              <w:tab/>
              <w:t>)   OTRO( </w:t>
            </w:r>
            <w:r>
              <w:rPr>
                <w:spacing w:val="54"/>
                <w:sz w:val="20"/>
              </w:rPr>
              <w:t> </w:t>
            </w:r>
            <w:r>
              <w:rPr>
                <w:sz w:val="20"/>
              </w:rPr>
              <w:t>)</w:t>
            </w:r>
          </w:p>
        </w:tc>
      </w:tr>
      <w:tr>
        <w:trPr>
          <w:trHeight w:val="466" w:hRule="exact"/>
        </w:trPr>
        <w:tc>
          <w:tcPr>
            <w:tcW w:w="11350" w:type="dxa"/>
            <w:gridSpan w:val="2"/>
          </w:tcPr>
          <w:p>
            <w:pPr>
              <w:pStyle w:val="TableParagraph"/>
              <w:tabs>
                <w:tab w:pos="1749" w:val="left" w:leader="none"/>
                <w:tab w:pos="7581" w:val="left" w:leader="none"/>
              </w:tabs>
              <w:spacing w:line="235" w:lineRule="auto"/>
              <w:ind w:right="1224"/>
              <w:rPr>
                <w:sz w:val="20"/>
              </w:rPr>
            </w:pPr>
            <w:r>
              <w:rPr>
                <w:sz w:val="20"/>
              </w:rPr>
              <w:t>NIVEL EDUCATIVO ALCANZADO  BACHILLERATO/TÉCNICO</w:t>
            </w:r>
            <w:r>
              <w:rPr>
                <w:spacing w:val="-7"/>
                <w:sz w:val="20"/>
              </w:rPr>
              <w:t> </w:t>
            </w:r>
            <w:r>
              <w:rPr>
                <w:sz w:val="20"/>
              </w:rPr>
              <w:t>INCONCLUSA</w:t>
            </w:r>
            <w:r>
              <w:rPr>
                <w:spacing w:val="-4"/>
                <w:sz w:val="20"/>
              </w:rPr>
              <w:t> </w:t>
            </w:r>
            <w:r>
              <w:rPr>
                <w:sz w:val="20"/>
              </w:rPr>
              <w:t>(</w:t>
              <w:tab/>
              <w:t>)BACHILLERATO</w:t>
            </w:r>
            <w:r>
              <w:rPr>
                <w:spacing w:val="-10"/>
                <w:sz w:val="20"/>
              </w:rPr>
              <w:t> </w:t>
            </w:r>
            <w:r>
              <w:rPr>
                <w:sz w:val="20"/>
              </w:rPr>
              <w:t>TÉCNICO</w:t>
            </w:r>
            <w:r>
              <w:rPr>
                <w:w w:val="100"/>
                <w:sz w:val="20"/>
              </w:rPr>
              <w:t> </w:t>
            </w:r>
            <w:r>
              <w:rPr>
                <w:sz w:val="20"/>
              </w:rPr>
              <w:t>CONCLUIDO</w:t>
            </w:r>
            <w:r>
              <w:rPr>
                <w:spacing w:val="-2"/>
                <w:sz w:val="20"/>
              </w:rPr>
              <w:t> </w:t>
            </w:r>
            <w:r>
              <w:rPr>
                <w:sz w:val="20"/>
              </w:rPr>
              <w:t>(</w:t>
              <w:tab/>
              <w:t>)</w:t>
            </w:r>
          </w:p>
        </w:tc>
      </w:tr>
      <w:tr>
        <w:trPr>
          <w:trHeight w:val="250" w:hRule="exact"/>
        </w:trPr>
        <w:tc>
          <w:tcPr>
            <w:tcW w:w="11350" w:type="dxa"/>
            <w:gridSpan w:val="2"/>
          </w:tcPr>
          <w:p>
            <w:pPr>
              <w:pStyle w:val="TableParagraph"/>
              <w:tabs>
                <w:tab w:pos="4833" w:val="left" w:leader="none"/>
                <w:tab w:pos="9563" w:val="left" w:leader="none"/>
              </w:tabs>
              <w:spacing w:line="230" w:lineRule="exact"/>
              <w:rPr>
                <w:sz w:val="20"/>
              </w:rPr>
            </w:pPr>
            <w:r>
              <w:rPr>
                <w:sz w:val="20"/>
              </w:rPr>
              <w:t>ESTUDIOS UNIVERSITARIOS</w:t>
            </w:r>
            <w:r>
              <w:rPr>
                <w:spacing w:val="-2"/>
                <w:sz w:val="20"/>
              </w:rPr>
              <w:t> </w:t>
            </w:r>
            <w:r>
              <w:rPr>
                <w:sz w:val="20"/>
              </w:rPr>
              <w:t>INCONCLUSOS</w:t>
            </w:r>
            <w:r>
              <w:rPr>
                <w:spacing w:val="-5"/>
                <w:sz w:val="20"/>
              </w:rPr>
              <w:t> </w:t>
            </w:r>
            <w:r>
              <w:rPr>
                <w:sz w:val="20"/>
              </w:rPr>
              <w:t>(</w:t>
              <w:tab/>
              <w:t>)  ESTUDIOS UNIVERSITARIOS</w:t>
            </w:r>
            <w:r>
              <w:rPr>
                <w:spacing w:val="-9"/>
                <w:sz w:val="20"/>
              </w:rPr>
              <w:t> </w:t>
            </w:r>
            <w:r>
              <w:rPr>
                <w:sz w:val="20"/>
              </w:rPr>
              <w:t>CONCLUIDOS</w:t>
            </w:r>
            <w:r>
              <w:rPr>
                <w:spacing w:val="51"/>
                <w:sz w:val="20"/>
              </w:rPr>
              <w:t> </w:t>
            </w:r>
            <w:r>
              <w:rPr>
                <w:sz w:val="20"/>
              </w:rPr>
              <w:t>(</w:t>
              <w:tab/>
              <w:t>)</w:t>
            </w:r>
          </w:p>
        </w:tc>
      </w:tr>
      <w:tr>
        <w:trPr>
          <w:trHeight w:val="363" w:hRule="exact"/>
        </w:trPr>
        <w:tc>
          <w:tcPr>
            <w:tcW w:w="4750" w:type="dxa"/>
          </w:tcPr>
          <w:p>
            <w:pPr>
              <w:pStyle w:val="TableParagraph"/>
              <w:tabs>
                <w:tab w:pos="2173" w:val="left" w:leader="none"/>
                <w:tab w:pos="3338" w:val="left" w:leader="none"/>
                <w:tab w:pos="4571" w:val="left" w:leader="none"/>
              </w:tabs>
              <w:spacing w:line="230" w:lineRule="exact"/>
              <w:rPr>
                <w:sz w:val="20"/>
              </w:rPr>
            </w:pPr>
            <w:r>
              <w:rPr>
                <w:sz w:val="20"/>
              </w:rPr>
              <w:t>PAÍS DONDE</w:t>
            </w:r>
            <w:r>
              <w:rPr>
                <w:spacing w:val="-4"/>
                <w:sz w:val="20"/>
              </w:rPr>
              <w:t> </w:t>
            </w:r>
            <w:r>
              <w:rPr>
                <w:sz w:val="20"/>
              </w:rPr>
              <w:t>VIVE</w:t>
              <w:tab/>
              <w:t>ESTADO</w:t>
            </w:r>
            <w:r>
              <w:rPr>
                <w:spacing w:val="1"/>
                <w:sz w:val="20"/>
              </w:rPr>
              <w:t> </w:t>
            </w:r>
            <w:r>
              <w:rPr>
                <w:sz w:val="20"/>
              </w:rPr>
              <w:t>(</w:t>
              <w:tab/>
              <w:t>)</w:t>
            </w:r>
            <w:r>
              <w:rPr>
                <w:spacing w:val="-3"/>
                <w:sz w:val="20"/>
              </w:rPr>
              <w:t> </w:t>
            </w:r>
            <w:r>
              <w:rPr>
                <w:sz w:val="20"/>
              </w:rPr>
              <w:t>CIUDAD</w:t>
            </w:r>
            <w:r>
              <w:rPr>
                <w:spacing w:val="-5"/>
                <w:sz w:val="20"/>
              </w:rPr>
              <w:t> </w:t>
            </w:r>
            <w:r>
              <w:rPr>
                <w:sz w:val="20"/>
              </w:rPr>
              <w:t>(</w:t>
              <w:tab/>
              <w:t>)</w:t>
            </w:r>
          </w:p>
        </w:tc>
        <w:tc>
          <w:tcPr>
            <w:tcW w:w="6599" w:type="dxa"/>
          </w:tcPr>
          <w:p>
            <w:pPr/>
          </w:p>
        </w:tc>
      </w:tr>
      <w:tr>
        <w:trPr>
          <w:trHeight w:val="718" w:hRule="exact"/>
        </w:trPr>
        <w:tc>
          <w:tcPr>
            <w:tcW w:w="4750" w:type="dxa"/>
          </w:tcPr>
          <w:p>
            <w:pPr>
              <w:pStyle w:val="TableParagraph"/>
              <w:spacing w:before="9"/>
              <w:ind w:left="0"/>
              <w:rPr>
                <w:b/>
                <w:sz w:val="29"/>
              </w:rPr>
            </w:pPr>
          </w:p>
          <w:p>
            <w:pPr>
              <w:pStyle w:val="TableParagraph"/>
              <w:rPr>
                <w:sz w:val="20"/>
              </w:rPr>
            </w:pPr>
            <w:r>
              <w:rPr>
                <w:sz w:val="20"/>
              </w:rPr>
              <w:t>1. ¿Usted habita actualmente en :</w:t>
            </w:r>
          </w:p>
        </w:tc>
        <w:tc>
          <w:tcPr>
            <w:tcW w:w="6599" w:type="dxa"/>
          </w:tcPr>
          <w:p>
            <w:pPr>
              <w:pStyle w:val="TableParagraph"/>
              <w:spacing w:before="113"/>
              <w:ind w:left="2331"/>
              <w:rPr>
                <w:sz w:val="20"/>
              </w:rPr>
            </w:pPr>
            <w:r>
              <w:rPr>
                <w:sz w:val="20"/>
              </w:rPr>
              <w:t>Casa propia (   )   Alquila (   )  Otro (</w:t>
            </w:r>
          </w:p>
          <w:p>
            <w:pPr>
              <w:pStyle w:val="TableParagraph"/>
              <w:ind w:left="0" w:right="1868"/>
              <w:jc w:val="center"/>
              <w:rPr>
                <w:sz w:val="20"/>
              </w:rPr>
            </w:pPr>
            <w:r>
              <w:rPr>
                <w:w w:val="100"/>
                <w:sz w:val="20"/>
              </w:rPr>
              <w:t>)</w:t>
            </w:r>
          </w:p>
        </w:tc>
      </w:tr>
      <w:tr>
        <w:trPr>
          <w:trHeight w:val="497" w:hRule="exact"/>
        </w:trPr>
        <w:tc>
          <w:tcPr>
            <w:tcW w:w="11350" w:type="dxa"/>
            <w:gridSpan w:val="2"/>
          </w:tcPr>
          <w:p>
            <w:pPr>
              <w:pStyle w:val="TableParagraph"/>
              <w:tabs>
                <w:tab w:pos="4726" w:val="left" w:leader="none"/>
                <w:tab w:pos="9610" w:val="left" w:leader="none"/>
              </w:tabs>
              <w:spacing w:before="124"/>
              <w:rPr>
                <w:sz w:val="20"/>
              </w:rPr>
            </w:pPr>
            <w:r>
              <w:rPr>
                <w:sz w:val="20"/>
              </w:rPr>
              <w:t>2.¿Con cuantas</w:t>
            </w:r>
            <w:r>
              <w:rPr>
                <w:spacing w:val="-3"/>
                <w:sz w:val="20"/>
              </w:rPr>
              <w:t> </w:t>
            </w:r>
            <w:r>
              <w:rPr>
                <w:sz w:val="20"/>
              </w:rPr>
              <w:t>personas</w:t>
            </w:r>
            <w:r>
              <w:rPr>
                <w:spacing w:val="-8"/>
                <w:sz w:val="20"/>
              </w:rPr>
              <w:t> </w:t>
            </w:r>
            <w:r>
              <w:rPr>
                <w:sz w:val="20"/>
              </w:rPr>
              <w:t>vive?</w:t>
            </w:r>
            <w:r>
              <w:rPr>
                <w:sz w:val="20"/>
                <w:u w:val="single"/>
              </w:rPr>
              <w:tab/>
            </w:r>
            <w:r>
              <w:rPr>
                <w:sz w:val="20"/>
              </w:rPr>
              <w:t>2.1 ¿ Cuantos no </w:t>
            </w:r>
            <w:r>
              <w:rPr>
                <w:spacing w:val="-3"/>
                <w:sz w:val="20"/>
              </w:rPr>
              <w:t>son</w:t>
            </w:r>
            <w:r>
              <w:rPr>
                <w:sz w:val="20"/>
              </w:rPr>
              <w:t> familiares?</w:t>
            </w:r>
            <w:r>
              <w:rPr>
                <w:w w:val="100"/>
                <w:sz w:val="20"/>
                <w:u w:val="single"/>
              </w:rPr>
              <w:t> </w:t>
            </w:r>
            <w:r>
              <w:rPr>
                <w:sz w:val="20"/>
                <w:u w:val="single"/>
              </w:rPr>
              <w:tab/>
            </w:r>
          </w:p>
        </w:tc>
      </w:tr>
      <w:tr>
        <w:trPr>
          <w:trHeight w:val="372" w:hRule="exact"/>
        </w:trPr>
        <w:tc>
          <w:tcPr>
            <w:tcW w:w="4750" w:type="dxa"/>
          </w:tcPr>
          <w:p>
            <w:pPr>
              <w:pStyle w:val="TableParagraph"/>
              <w:spacing w:before="122"/>
              <w:rPr>
                <w:sz w:val="20"/>
              </w:rPr>
            </w:pPr>
            <w:r>
              <w:rPr>
                <w:sz w:val="20"/>
              </w:rPr>
              <w:t>3.¿Trabaja?</w:t>
            </w:r>
          </w:p>
        </w:tc>
        <w:tc>
          <w:tcPr>
            <w:tcW w:w="6599" w:type="dxa"/>
          </w:tcPr>
          <w:p>
            <w:pPr/>
          </w:p>
        </w:tc>
      </w:tr>
      <w:tr>
        <w:trPr>
          <w:trHeight w:val="372" w:hRule="exact"/>
        </w:trPr>
        <w:tc>
          <w:tcPr>
            <w:tcW w:w="4750" w:type="dxa"/>
          </w:tcPr>
          <w:p>
            <w:pPr>
              <w:pStyle w:val="TableParagraph"/>
              <w:tabs>
                <w:tab w:pos="1082" w:val="left" w:leader="none"/>
                <w:tab w:pos="1427" w:val="left" w:leader="none"/>
                <w:tab w:pos="2324" w:val="left" w:leader="none"/>
                <w:tab w:pos="2726" w:val="left" w:leader="none"/>
                <w:tab w:pos="3844" w:val="left" w:leader="none"/>
              </w:tabs>
              <w:spacing w:line="230" w:lineRule="exact"/>
              <w:rPr>
                <w:sz w:val="20"/>
              </w:rPr>
            </w:pPr>
            <w:r>
              <w:rPr>
                <w:sz w:val="20"/>
              </w:rPr>
              <w:t>3.1 </w:t>
            </w:r>
            <w:r>
              <w:rPr>
                <w:spacing w:val="3"/>
                <w:sz w:val="20"/>
              </w:rPr>
              <w:t> </w:t>
            </w:r>
            <w:r>
              <w:rPr>
                <w:spacing w:val="-3"/>
                <w:sz w:val="20"/>
              </w:rPr>
              <w:t>si</w:t>
            </w:r>
            <w:r>
              <w:rPr>
                <w:spacing w:val="4"/>
                <w:sz w:val="20"/>
              </w:rPr>
              <w:t> </w:t>
            </w:r>
            <w:r>
              <w:rPr>
                <w:sz w:val="20"/>
              </w:rPr>
              <w:t>(</w:t>
              <w:tab/>
              <w:t>)</w:t>
              <w:tab/>
              <w:t>3.2</w:t>
            </w:r>
            <w:r>
              <w:rPr>
                <w:spacing w:val="-1"/>
                <w:sz w:val="20"/>
              </w:rPr>
              <w:t> </w:t>
            </w:r>
            <w:r>
              <w:rPr>
                <w:sz w:val="20"/>
              </w:rPr>
              <w:t>no</w:t>
            </w:r>
            <w:r>
              <w:rPr>
                <w:spacing w:val="-1"/>
                <w:sz w:val="20"/>
              </w:rPr>
              <w:t> </w:t>
            </w:r>
            <w:r>
              <w:rPr>
                <w:sz w:val="20"/>
              </w:rPr>
              <w:t>(</w:t>
              <w:tab/>
              <w:t>)</w:t>
              <w:tab/>
              <w:t>3.3</w:t>
            </w:r>
            <w:r>
              <w:rPr>
                <w:spacing w:val="-5"/>
                <w:sz w:val="20"/>
              </w:rPr>
              <w:t> </w:t>
            </w:r>
            <w:r>
              <w:rPr>
                <w:sz w:val="20"/>
              </w:rPr>
              <w:t>Otro</w:t>
            </w:r>
            <w:r>
              <w:rPr>
                <w:spacing w:val="53"/>
                <w:sz w:val="20"/>
              </w:rPr>
              <w:t> </w:t>
            </w:r>
            <w:r>
              <w:rPr>
                <w:sz w:val="20"/>
              </w:rPr>
              <w:t>(</w:t>
              <w:tab/>
              <w:t>)</w:t>
            </w:r>
          </w:p>
        </w:tc>
        <w:tc>
          <w:tcPr>
            <w:tcW w:w="6599" w:type="dxa"/>
          </w:tcPr>
          <w:p>
            <w:pPr/>
          </w:p>
        </w:tc>
      </w:tr>
      <w:tr>
        <w:trPr>
          <w:trHeight w:val="372" w:hRule="exact"/>
        </w:trPr>
        <w:tc>
          <w:tcPr>
            <w:tcW w:w="4750" w:type="dxa"/>
          </w:tcPr>
          <w:p>
            <w:pPr>
              <w:pStyle w:val="TableParagraph"/>
              <w:spacing w:before="122"/>
              <w:rPr>
                <w:sz w:val="20"/>
              </w:rPr>
            </w:pPr>
            <w:r>
              <w:rPr>
                <w:sz w:val="20"/>
              </w:rPr>
              <w:t>4.¿Cual es su ocupación, o a que se dedica?</w:t>
            </w:r>
          </w:p>
        </w:tc>
        <w:tc>
          <w:tcPr>
            <w:tcW w:w="6599" w:type="dxa"/>
          </w:tcPr>
          <w:p>
            <w:pPr/>
          </w:p>
        </w:tc>
      </w:tr>
      <w:tr>
        <w:trPr>
          <w:trHeight w:val="247" w:hRule="exact"/>
        </w:trPr>
        <w:tc>
          <w:tcPr>
            <w:tcW w:w="11350" w:type="dxa"/>
            <w:gridSpan w:val="2"/>
          </w:tcPr>
          <w:p>
            <w:pPr>
              <w:pStyle w:val="TableParagraph"/>
              <w:tabs>
                <w:tab w:pos="3448" w:val="left" w:leader="none"/>
                <w:tab w:pos="7349" w:val="left" w:leader="none"/>
              </w:tabs>
              <w:spacing w:line="230" w:lineRule="exact"/>
              <w:rPr>
                <w:sz w:val="20"/>
              </w:rPr>
            </w:pPr>
            <w:r>
              <w:rPr>
                <w:sz w:val="20"/>
              </w:rPr>
              <w:t>4.1 Empleado de la</w:t>
            </w:r>
            <w:r>
              <w:rPr>
                <w:spacing w:val="-5"/>
                <w:sz w:val="20"/>
              </w:rPr>
              <w:t> </w:t>
            </w:r>
            <w:r>
              <w:rPr>
                <w:sz w:val="20"/>
              </w:rPr>
              <w:t>construcción (</w:t>
              <w:tab/>
              <w:t>)   4.2  Empleado de transporte</w:t>
            </w:r>
            <w:r>
              <w:rPr>
                <w:spacing w:val="-8"/>
                <w:sz w:val="20"/>
              </w:rPr>
              <w:t> </w:t>
            </w:r>
            <w:r>
              <w:rPr>
                <w:sz w:val="20"/>
              </w:rPr>
              <w:t>(chofer)</w:t>
            </w:r>
            <w:r>
              <w:rPr>
                <w:spacing w:val="54"/>
                <w:sz w:val="20"/>
              </w:rPr>
              <w:t> </w:t>
            </w:r>
            <w:r>
              <w:rPr>
                <w:sz w:val="20"/>
              </w:rPr>
              <w:t>(</w:t>
              <w:tab/>
              <w:t>)</w:t>
            </w:r>
          </w:p>
        </w:tc>
      </w:tr>
      <w:tr>
        <w:trPr>
          <w:trHeight w:val="247" w:hRule="exact"/>
        </w:trPr>
        <w:tc>
          <w:tcPr>
            <w:tcW w:w="4750" w:type="dxa"/>
          </w:tcPr>
          <w:p>
            <w:pPr>
              <w:pStyle w:val="TableParagraph"/>
              <w:tabs>
                <w:tab w:pos="3779" w:val="left" w:leader="none"/>
              </w:tabs>
              <w:spacing w:line="227" w:lineRule="exact"/>
              <w:rPr>
                <w:sz w:val="20"/>
              </w:rPr>
            </w:pPr>
            <w:r>
              <w:rPr>
                <w:sz w:val="20"/>
              </w:rPr>
              <w:t>4.3 Empleado domestico</w:t>
            </w:r>
            <w:r>
              <w:rPr>
                <w:spacing w:val="-2"/>
                <w:sz w:val="20"/>
              </w:rPr>
              <w:t> </w:t>
            </w:r>
            <w:r>
              <w:rPr>
                <w:sz w:val="20"/>
              </w:rPr>
              <w:t>(limpieza) </w:t>
            </w:r>
            <w:r>
              <w:rPr>
                <w:spacing w:val="50"/>
                <w:sz w:val="20"/>
              </w:rPr>
              <w:t> </w:t>
            </w:r>
            <w:r>
              <w:rPr>
                <w:sz w:val="20"/>
              </w:rPr>
              <w:t>(</w:t>
              <w:tab/>
              <w:t>)</w:t>
            </w:r>
          </w:p>
        </w:tc>
        <w:tc>
          <w:tcPr>
            <w:tcW w:w="6599" w:type="dxa"/>
          </w:tcPr>
          <w:p>
            <w:pPr/>
          </w:p>
        </w:tc>
      </w:tr>
      <w:tr>
        <w:trPr>
          <w:trHeight w:val="250" w:hRule="exact"/>
        </w:trPr>
        <w:tc>
          <w:tcPr>
            <w:tcW w:w="11350" w:type="dxa"/>
            <w:gridSpan w:val="2"/>
          </w:tcPr>
          <w:p>
            <w:pPr>
              <w:pStyle w:val="TableParagraph"/>
              <w:tabs>
                <w:tab w:pos="2484" w:val="left" w:leader="none"/>
                <w:tab w:pos="6303" w:val="left" w:leader="none"/>
              </w:tabs>
              <w:spacing w:line="230" w:lineRule="exact"/>
              <w:rPr>
                <w:sz w:val="20"/>
              </w:rPr>
            </w:pPr>
            <w:r>
              <w:rPr>
                <w:sz w:val="20"/>
              </w:rPr>
              <w:t>4.4 Jornalero agrícola</w:t>
            </w:r>
            <w:r>
              <w:rPr>
                <w:spacing w:val="-5"/>
                <w:sz w:val="20"/>
              </w:rPr>
              <w:t> </w:t>
            </w:r>
            <w:r>
              <w:rPr>
                <w:sz w:val="20"/>
              </w:rPr>
              <w:t>(</w:t>
              <w:tab/>
              <w:t>)   4.5 Obrero/empleado en la</w:t>
            </w:r>
            <w:r>
              <w:rPr>
                <w:spacing w:val="-12"/>
                <w:sz w:val="20"/>
              </w:rPr>
              <w:t> </w:t>
            </w:r>
            <w:r>
              <w:rPr>
                <w:sz w:val="20"/>
              </w:rPr>
              <w:t>industria</w:t>
            </w:r>
            <w:r>
              <w:rPr>
                <w:spacing w:val="53"/>
                <w:sz w:val="20"/>
              </w:rPr>
              <w:t> </w:t>
            </w:r>
            <w:r>
              <w:rPr>
                <w:sz w:val="20"/>
              </w:rPr>
              <w:t>(</w:t>
              <w:tab/>
              <w:t>)</w:t>
            </w:r>
          </w:p>
        </w:tc>
      </w:tr>
      <w:tr>
        <w:trPr>
          <w:trHeight w:val="247" w:hRule="exact"/>
        </w:trPr>
        <w:tc>
          <w:tcPr>
            <w:tcW w:w="11350" w:type="dxa"/>
            <w:gridSpan w:val="2"/>
          </w:tcPr>
          <w:p>
            <w:pPr>
              <w:pStyle w:val="TableParagraph"/>
              <w:tabs>
                <w:tab w:pos="5881" w:val="left" w:leader="none"/>
              </w:tabs>
              <w:spacing w:line="230" w:lineRule="exact"/>
              <w:ind w:left="257"/>
              <w:rPr>
                <w:sz w:val="20"/>
              </w:rPr>
            </w:pPr>
            <w:r>
              <w:rPr>
                <w:sz w:val="20"/>
              </w:rPr>
              <w:t>4.6  Empleado en estacionamientos comerciales/de</w:t>
            </w:r>
            <w:r>
              <w:rPr>
                <w:spacing w:val="-12"/>
                <w:sz w:val="20"/>
              </w:rPr>
              <w:t> </w:t>
            </w:r>
            <w:r>
              <w:rPr>
                <w:sz w:val="20"/>
              </w:rPr>
              <w:t>comida</w:t>
            </w:r>
            <w:r>
              <w:rPr>
                <w:spacing w:val="-1"/>
                <w:sz w:val="20"/>
              </w:rPr>
              <w:t> </w:t>
            </w:r>
            <w:r>
              <w:rPr>
                <w:sz w:val="20"/>
              </w:rPr>
              <w:t>(</w:t>
              <w:tab/>
              <w:t>)</w:t>
            </w:r>
          </w:p>
        </w:tc>
      </w:tr>
      <w:tr>
        <w:trPr>
          <w:trHeight w:val="372" w:hRule="exact"/>
        </w:trPr>
        <w:tc>
          <w:tcPr>
            <w:tcW w:w="11350" w:type="dxa"/>
            <w:gridSpan w:val="2"/>
          </w:tcPr>
          <w:p>
            <w:pPr>
              <w:pStyle w:val="TableParagraph"/>
              <w:tabs>
                <w:tab w:pos="3870" w:val="left" w:leader="none"/>
                <w:tab w:pos="6604" w:val="left" w:leader="none"/>
                <w:tab w:pos="6892" w:val="left" w:leader="none"/>
                <w:tab w:pos="7961" w:val="left" w:leader="none"/>
                <w:tab w:pos="9439" w:val="left" w:leader="none"/>
              </w:tabs>
              <w:spacing w:line="228" w:lineRule="exact"/>
              <w:rPr>
                <w:sz w:val="20"/>
              </w:rPr>
            </w:pPr>
            <w:r>
              <w:rPr>
                <w:sz w:val="20"/>
              </w:rPr>
              <w:t>4.7 Empresario, dirige negocio</w:t>
            </w:r>
            <w:r>
              <w:rPr>
                <w:spacing w:val="-2"/>
                <w:sz w:val="20"/>
              </w:rPr>
              <w:t> </w:t>
            </w:r>
            <w:r>
              <w:rPr>
                <w:sz w:val="20"/>
              </w:rPr>
              <w:t>propio</w:t>
            </w:r>
            <w:r>
              <w:rPr>
                <w:spacing w:val="-2"/>
                <w:sz w:val="20"/>
              </w:rPr>
              <w:t> </w:t>
            </w:r>
            <w:r>
              <w:rPr>
                <w:sz w:val="20"/>
              </w:rPr>
              <w:t>(</w:t>
              <w:tab/>
              <w:t>)   4.8  Ejerce </w:t>
            </w:r>
            <w:r>
              <w:rPr>
                <w:spacing w:val="-3"/>
                <w:sz w:val="20"/>
              </w:rPr>
              <w:t>su</w:t>
            </w:r>
            <w:r>
              <w:rPr>
                <w:spacing w:val="-5"/>
                <w:sz w:val="20"/>
              </w:rPr>
              <w:t> </w:t>
            </w:r>
            <w:r>
              <w:rPr>
                <w:sz w:val="20"/>
              </w:rPr>
              <w:t>profesión </w:t>
            </w:r>
            <w:r>
              <w:rPr>
                <w:spacing w:val="4"/>
                <w:sz w:val="20"/>
              </w:rPr>
              <w:t> </w:t>
            </w:r>
            <w:r>
              <w:rPr>
                <w:sz w:val="20"/>
              </w:rPr>
              <w:t>(</w:t>
              <w:tab/>
              <w:t>)</w:t>
              <w:tab/>
              <w:t>4.9</w:t>
            </w:r>
            <w:r>
              <w:rPr>
                <w:spacing w:val="-4"/>
                <w:sz w:val="20"/>
              </w:rPr>
              <w:t> </w:t>
            </w:r>
            <w:r>
              <w:rPr>
                <w:sz w:val="20"/>
              </w:rPr>
              <w:t>Otra</w:t>
            </w:r>
            <w:r>
              <w:rPr>
                <w:spacing w:val="-4"/>
                <w:sz w:val="20"/>
              </w:rPr>
              <w:t> </w:t>
            </w:r>
            <w:r>
              <w:rPr>
                <w:sz w:val="20"/>
              </w:rPr>
              <w:t>(</w:t>
              <w:tab/>
              <w:t>)</w:t>
            </w:r>
            <w:r>
              <w:rPr>
                <w:spacing w:val="50"/>
                <w:sz w:val="20"/>
              </w:rPr>
              <w:t> </w:t>
            </w:r>
            <w:r>
              <w:rPr>
                <w:sz w:val="20"/>
              </w:rPr>
              <w:t>cual?</w:t>
            </w:r>
            <w:r>
              <w:rPr>
                <w:w w:val="100"/>
                <w:sz w:val="20"/>
                <w:u w:val="single"/>
              </w:rPr>
              <w:t> </w:t>
            </w:r>
            <w:r>
              <w:rPr>
                <w:sz w:val="20"/>
                <w:u w:val="single"/>
              </w:rPr>
              <w:tab/>
            </w:r>
          </w:p>
        </w:tc>
      </w:tr>
      <w:tr>
        <w:trPr>
          <w:trHeight w:val="372" w:hRule="exact"/>
        </w:trPr>
        <w:tc>
          <w:tcPr>
            <w:tcW w:w="4750" w:type="dxa"/>
          </w:tcPr>
          <w:p>
            <w:pPr>
              <w:pStyle w:val="TableParagraph"/>
              <w:spacing w:before="124"/>
              <w:rPr>
                <w:sz w:val="20"/>
              </w:rPr>
            </w:pPr>
            <w:r>
              <w:rPr>
                <w:sz w:val="20"/>
              </w:rPr>
              <w:t>5.¿Por que escogió el país?</w:t>
            </w:r>
          </w:p>
        </w:tc>
        <w:tc>
          <w:tcPr>
            <w:tcW w:w="6599" w:type="dxa"/>
          </w:tcPr>
          <w:p>
            <w:pPr/>
          </w:p>
        </w:tc>
      </w:tr>
      <w:tr>
        <w:trPr>
          <w:trHeight w:val="247" w:hRule="exact"/>
        </w:trPr>
        <w:tc>
          <w:tcPr>
            <w:tcW w:w="11350" w:type="dxa"/>
            <w:gridSpan w:val="2"/>
          </w:tcPr>
          <w:p>
            <w:pPr>
              <w:pStyle w:val="TableParagraph"/>
              <w:tabs>
                <w:tab w:pos="2790" w:val="left" w:leader="none"/>
                <w:tab w:pos="6260" w:val="left" w:leader="none"/>
                <w:tab w:pos="9690" w:val="left" w:leader="none"/>
              </w:tabs>
              <w:spacing w:line="227" w:lineRule="exact"/>
              <w:rPr>
                <w:sz w:val="20"/>
              </w:rPr>
            </w:pPr>
            <w:r>
              <w:rPr>
                <w:sz w:val="20"/>
              </w:rPr>
              <w:t>5.1 Hay buenas</w:t>
            </w:r>
            <w:r>
              <w:rPr>
                <w:spacing w:val="-5"/>
                <w:sz w:val="20"/>
              </w:rPr>
              <w:t> </w:t>
            </w:r>
            <w:r>
              <w:rPr>
                <w:sz w:val="20"/>
              </w:rPr>
              <w:t>escuelas</w:t>
            </w:r>
            <w:r>
              <w:rPr>
                <w:spacing w:val="-4"/>
                <w:sz w:val="20"/>
              </w:rPr>
              <w:t> </w:t>
            </w:r>
            <w:r>
              <w:rPr>
                <w:sz w:val="20"/>
              </w:rPr>
              <w:t>(</w:t>
              <w:tab/>
              <w:t>)   5.2  Se puede hacer negocios</w:t>
            </w:r>
            <w:r>
              <w:rPr>
                <w:spacing w:val="-9"/>
                <w:sz w:val="20"/>
              </w:rPr>
              <w:t> </w:t>
            </w:r>
            <w:r>
              <w:rPr>
                <w:sz w:val="20"/>
              </w:rPr>
              <w:t>( </w:t>
            </w:r>
            <w:r>
              <w:rPr>
                <w:spacing w:val="55"/>
                <w:sz w:val="20"/>
              </w:rPr>
              <w:t> </w:t>
            </w:r>
            <w:r>
              <w:rPr>
                <w:sz w:val="20"/>
              </w:rPr>
              <w:t>)</w:t>
              <w:tab/>
              <w:t>5.3  Hay situación social</w:t>
            </w:r>
            <w:r>
              <w:rPr>
                <w:spacing w:val="-10"/>
                <w:sz w:val="20"/>
              </w:rPr>
              <w:t> </w:t>
            </w:r>
            <w:r>
              <w:rPr>
                <w:sz w:val="20"/>
              </w:rPr>
              <w:t>favorable</w:t>
            </w:r>
            <w:r>
              <w:rPr>
                <w:spacing w:val="53"/>
                <w:sz w:val="20"/>
              </w:rPr>
              <w:t> </w:t>
            </w:r>
            <w:r>
              <w:rPr>
                <w:sz w:val="20"/>
              </w:rPr>
              <w:t>(</w:t>
              <w:tab/>
              <w:t>)</w:t>
            </w:r>
          </w:p>
        </w:tc>
      </w:tr>
      <w:tr>
        <w:trPr>
          <w:trHeight w:val="250" w:hRule="exact"/>
        </w:trPr>
        <w:tc>
          <w:tcPr>
            <w:tcW w:w="11350" w:type="dxa"/>
            <w:gridSpan w:val="2"/>
          </w:tcPr>
          <w:p>
            <w:pPr>
              <w:pStyle w:val="TableParagraph"/>
              <w:tabs>
                <w:tab w:pos="3980" w:val="left" w:leader="none"/>
                <w:tab w:pos="4329" w:val="left" w:leader="none"/>
                <w:tab w:pos="8393" w:val="left" w:leader="none"/>
                <w:tab w:pos="9458" w:val="left" w:leader="none"/>
              </w:tabs>
              <w:spacing w:line="230" w:lineRule="exact"/>
              <w:rPr>
                <w:sz w:val="20"/>
              </w:rPr>
            </w:pPr>
            <w:r>
              <w:rPr>
                <w:sz w:val="20"/>
              </w:rPr>
              <w:t>5.4 Hay situación económica</w:t>
            </w:r>
            <w:r>
              <w:rPr>
                <w:spacing w:val="-7"/>
                <w:sz w:val="20"/>
              </w:rPr>
              <w:t> </w:t>
            </w:r>
            <w:r>
              <w:rPr>
                <w:sz w:val="20"/>
              </w:rPr>
              <w:t>favorable</w:t>
            </w:r>
            <w:r>
              <w:rPr>
                <w:spacing w:val="-1"/>
                <w:sz w:val="20"/>
              </w:rPr>
              <w:t> </w:t>
            </w:r>
            <w:r>
              <w:rPr>
                <w:sz w:val="20"/>
              </w:rPr>
              <w:t>(</w:t>
              <w:tab/>
              <w:t>)</w:t>
              <w:tab/>
              <w:t>5.5  Hay familiares/amigos que</w:t>
            </w:r>
            <w:r>
              <w:rPr>
                <w:spacing w:val="-16"/>
                <w:sz w:val="20"/>
              </w:rPr>
              <w:t> </w:t>
            </w:r>
            <w:r>
              <w:rPr>
                <w:sz w:val="20"/>
              </w:rPr>
              <w:t>me apoyan</w:t>
              <w:tab/>
              <w:t>5.6</w:t>
            </w:r>
            <w:r>
              <w:rPr>
                <w:spacing w:val="-4"/>
                <w:sz w:val="20"/>
              </w:rPr>
              <w:t> </w:t>
            </w:r>
            <w:r>
              <w:rPr>
                <w:sz w:val="20"/>
              </w:rPr>
              <w:t>Otro</w:t>
            </w:r>
            <w:r>
              <w:rPr>
                <w:spacing w:val="-4"/>
                <w:sz w:val="20"/>
              </w:rPr>
              <w:t> </w:t>
            </w:r>
            <w:r>
              <w:rPr>
                <w:sz w:val="20"/>
              </w:rPr>
              <w:t>(</w:t>
              <w:tab/>
              <w:t>)</w:t>
            </w:r>
          </w:p>
        </w:tc>
      </w:tr>
      <w:tr>
        <w:trPr>
          <w:trHeight w:val="372" w:hRule="exact"/>
        </w:trPr>
        <w:tc>
          <w:tcPr>
            <w:tcW w:w="4750" w:type="dxa"/>
          </w:tcPr>
          <w:p>
            <w:pPr>
              <w:pStyle w:val="TableParagraph"/>
              <w:tabs>
                <w:tab w:pos="2061" w:val="left" w:leader="none"/>
              </w:tabs>
              <w:spacing w:line="230" w:lineRule="exact"/>
              <w:rPr>
                <w:sz w:val="20"/>
              </w:rPr>
            </w:pPr>
            <w:r>
              <w:rPr>
                <w:sz w:val="20"/>
              </w:rPr>
              <w:t>¿Cuál? </w:t>
            </w:r>
            <w:r>
              <w:rPr>
                <w:w w:val="100"/>
                <w:sz w:val="20"/>
                <w:u w:val="single"/>
              </w:rPr>
              <w:t> </w:t>
            </w:r>
            <w:r>
              <w:rPr>
                <w:sz w:val="20"/>
                <w:u w:val="single"/>
              </w:rPr>
              <w:tab/>
            </w:r>
          </w:p>
        </w:tc>
        <w:tc>
          <w:tcPr>
            <w:tcW w:w="6599" w:type="dxa"/>
          </w:tcPr>
          <w:p>
            <w:pPr/>
          </w:p>
        </w:tc>
      </w:tr>
      <w:tr>
        <w:trPr>
          <w:trHeight w:val="372" w:hRule="exact"/>
        </w:trPr>
        <w:tc>
          <w:tcPr>
            <w:tcW w:w="4750" w:type="dxa"/>
          </w:tcPr>
          <w:p>
            <w:pPr>
              <w:pStyle w:val="TableParagraph"/>
              <w:spacing w:before="122"/>
              <w:rPr>
                <w:sz w:val="20"/>
              </w:rPr>
            </w:pPr>
            <w:r>
              <w:rPr>
                <w:sz w:val="20"/>
              </w:rPr>
              <w:t>6.¿La migración es ?</w:t>
            </w:r>
          </w:p>
        </w:tc>
        <w:tc>
          <w:tcPr>
            <w:tcW w:w="6599" w:type="dxa"/>
          </w:tcPr>
          <w:p>
            <w:pPr/>
          </w:p>
        </w:tc>
      </w:tr>
      <w:tr>
        <w:trPr>
          <w:trHeight w:val="247" w:hRule="exact"/>
        </w:trPr>
        <w:tc>
          <w:tcPr>
            <w:tcW w:w="11350" w:type="dxa"/>
            <w:gridSpan w:val="2"/>
          </w:tcPr>
          <w:p>
            <w:pPr>
              <w:pStyle w:val="TableParagraph"/>
              <w:tabs>
                <w:tab w:pos="4570" w:val="left" w:leader="none"/>
                <w:tab w:pos="8845" w:val="left" w:leader="none"/>
              </w:tabs>
              <w:spacing w:line="230" w:lineRule="exact"/>
              <w:rPr>
                <w:sz w:val="20"/>
              </w:rPr>
            </w:pPr>
            <w:r>
              <w:rPr>
                <w:sz w:val="20"/>
              </w:rPr>
              <w:t>6.1 Permanente y visita familiares en</w:t>
            </w:r>
            <w:r>
              <w:rPr>
                <w:spacing w:val="46"/>
                <w:sz w:val="20"/>
              </w:rPr>
              <w:t> </w:t>
            </w:r>
            <w:r>
              <w:rPr>
                <w:sz w:val="20"/>
              </w:rPr>
              <w:t>México (</w:t>
              <w:tab/>
              <w:t>)  6.2 Temporal, vive mas tiempo en</w:t>
            </w:r>
            <w:r>
              <w:rPr>
                <w:spacing w:val="-23"/>
                <w:sz w:val="20"/>
              </w:rPr>
              <w:t> </w:t>
            </w:r>
            <w:r>
              <w:rPr>
                <w:sz w:val="20"/>
              </w:rPr>
              <w:t>México </w:t>
            </w:r>
            <w:r>
              <w:rPr>
                <w:spacing w:val="4"/>
                <w:sz w:val="20"/>
              </w:rPr>
              <w:t> </w:t>
            </w:r>
            <w:r>
              <w:rPr>
                <w:sz w:val="20"/>
              </w:rPr>
              <w:t>(</w:t>
              <w:tab/>
              <w:t>)</w:t>
            </w:r>
          </w:p>
        </w:tc>
      </w:tr>
      <w:tr>
        <w:trPr>
          <w:trHeight w:val="372" w:hRule="exact"/>
        </w:trPr>
        <w:tc>
          <w:tcPr>
            <w:tcW w:w="11350" w:type="dxa"/>
            <w:gridSpan w:val="2"/>
          </w:tcPr>
          <w:p>
            <w:pPr>
              <w:pStyle w:val="TableParagraph"/>
              <w:tabs>
                <w:tab w:pos="4303" w:val="left" w:leader="none"/>
                <w:tab w:pos="4706" w:val="left" w:leader="none"/>
                <w:tab w:pos="7474" w:val="left" w:leader="none"/>
              </w:tabs>
              <w:spacing w:line="227" w:lineRule="exact"/>
              <w:rPr>
                <w:sz w:val="20"/>
              </w:rPr>
            </w:pPr>
            <w:r>
              <w:rPr>
                <w:sz w:val="20"/>
              </w:rPr>
              <w:t>6.3 Temporal vive mas en Estados</w:t>
            </w:r>
            <w:r>
              <w:rPr>
                <w:spacing w:val="-11"/>
                <w:sz w:val="20"/>
              </w:rPr>
              <w:t> </w:t>
            </w:r>
            <w:r>
              <w:rPr>
                <w:sz w:val="20"/>
              </w:rPr>
              <w:t>Unidos</w:t>
            </w:r>
            <w:r>
              <w:rPr>
                <w:spacing w:val="-4"/>
                <w:sz w:val="20"/>
              </w:rPr>
              <w:t> </w:t>
            </w:r>
            <w:r>
              <w:rPr>
                <w:sz w:val="20"/>
              </w:rPr>
              <w:t>(</w:t>
              <w:tab/>
              <w:t>)</w:t>
              <w:tab/>
              <w:t>6.4 Otro (   )</w:t>
            </w:r>
            <w:r>
              <w:rPr>
                <w:spacing w:val="-7"/>
                <w:sz w:val="20"/>
              </w:rPr>
              <w:t> </w:t>
            </w:r>
            <w:r>
              <w:rPr>
                <w:sz w:val="20"/>
              </w:rPr>
              <w:t>¿Cuál? </w:t>
            </w:r>
            <w:r>
              <w:rPr>
                <w:w w:val="100"/>
                <w:sz w:val="20"/>
                <w:u w:val="single"/>
              </w:rPr>
              <w:t> </w:t>
            </w:r>
            <w:r>
              <w:rPr>
                <w:sz w:val="20"/>
                <w:u w:val="single"/>
              </w:rPr>
              <w:tab/>
            </w:r>
          </w:p>
        </w:tc>
      </w:tr>
      <w:tr>
        <w:trPr>
          <w:trHeight w:val="372" w:hRule="exact"/>
        </w:trPr>
        <w:tc>
          <w:tcPr>
            <w:tcW w:w="4750" w:type="dxa"/>
          </w:tcPr>
          <w:p>
            <w:pPr>
              <w:pStyle w:val="TableParagraph"/>
              <w:spacing w:before="124"/>
              <w:rPr>
                <w:sz w:val="20"/>
              </w:rPr>
            </w:pPr>
            <w:r>
              <w:rPr>
                <w:sz w:val="20"/>
              </w:rPr>
              <w:t>7.¿Motivo por el que salio de México?</w:t>
            </w:r>
          </w:p>
        </w:tc>
        <w:tc>
          <w:tcPr>
            <w:tcW w:w="6599" w:type="dxa"/>
          </w:tcPr>
          <w:p>
            <w:pPr/>
          </w:p>
        </w:tc>
      </w:tr>
      <w:tr>
        <w:trPr>
          <w:trHeight w:val="247" w:hRule="exact"/>
        </w:trPr>
        <w:tc>
          <w:tcPr>
            <w:tcW w:w="11350" w:type="dxa"/>
            <w:gridSpan w:val="2"/>
          </w:tcPr>
          <w:p>
            <w:pPr>
              <w:pStyle w:val="TableParagraph"/>
              <w:tabs>
                <w:tab w:pos="1648" w:val="left" w:leader="none"/>
                <w:tab w:pos="5203" w:val="left" w:leader="none"/>
                <w:tab w:pos="9157" w:val="left" w:leader="none"/>
              </w:tabs>
              <w:spacing w:line="227" w:lineRule="exact"/>
              <w:rPr>
                <w:sz w:val="20"/>
              </w:rPr>
            </w:pPr>
            <w:r>
              <w:rPr>
                <w:sz w:val="20"/>
              </w:rPr>
              <w:t>7.1 Estudios</w:t>
            </w:r>
            <w:r>
              <w:rPr>
                <w:spacing w:val="-3"/>
                <w:sz w:val="20"/>
              </w:rPr>
              <w:t> </w:t>
            </w:r>
            <w:r>
              <w:rPr>
                <w:sz w:val="20"/>
              </w:rPr>
              <w:t>(</w:t>
              <w:tab/>
              <w:t>)   7.2  Situación social</w:t>
            </w:r>
            <w:r>
              <w:rPr>
                <w:spacing w:val="-7"/>
                <w:sz w:val="20"/>
              </w:rPr>
              <w:t> </w:t>
            </w:r>
            <w:r>
              <w:rPr>
                <w:sz w:val="20"/>
              </w:rPr>
              <w:t>desfavorable</w:t>
            </w:r>
            <w:r>
              <w:rPr>
                <w:spacing w:val="-2"/>
                <w:sz w:val="20"/>
              </w:rPr>
              <w:t> </w:t>
            </w:r>
            <w:r>
              <w:rPr>
                <w:sz w:val="20"/>
              </w:rPr>
              <w:t>(</w:t>
              <w:tab/>
              <w:t>)   7.3 Situación económica</w:t>
            </w:r>
            <w:r>
              <w:rPr>
                <w:spacing w:val="-5"/>
                <w:sz w:val="20"/>
              </w:rPr>
              <w:t> </w:t>
            </w:r>
            <w:r>
              <w:rPr>
                <w:sz w:val="20"/>
              </w:rPr>
              <w:t>desfavorable</w:t>
            </w:r>
            <w:r>
              <w:rPr>
                <w:spacing w:val="-6"/>
                <w:sz w:val="20"/>
              </w:rPr>
              <w:t> </w:t>
            </w:r>
            <w:r>
              <w:rPr>
                <w:sz w:val="20"/>
              </w:rPr>
              <w:t>(</w:t>
              <w:tab/>
              <w:t>)</w:t>
            </w:r>
          </w:p>
        </w:tc>
      </w:tr>
      <w:tr>
        <w:trPr>
          <w:trHeight w:val="250" w:hRule="exact"/>
        </w:trPr>
        <w:tc>
          <w:tcPr>
            <w:tcW w:w="11350" w:type="dxa"/>
            <w:gridSpan w:val="2"/>
          </w:tcPr>
          <w:p>
            <w:pPr>
              <w:pStyle w:val="TableParagraph"/>
              <w:tabs>
                <w:tab w:pos="3602" w:val="left" w:leader="none"/>
                <w:tab w:pos="3895" w:val="left" w:leader="none"/>
                <w:tab w:pos="7157" w:val="left" w:leader="none"/>
              </w:tabs>
              <w:spacing w:line="230" w:lineRule="exact"/>
              <w:rPr>
                <w:sz w:val="20"/>
              </w:rPr>
            </w:pPr>
            <w:r>
              <w:rPr>
                <w:sz w:val="20"/>
              </w:rPr>
              <w:t>7.4 Situación familiar</w:t>
            </w:r>
            <w:r>
              <w:rPr>
                <w:spacing w:val="-8"/>
                <w:sz w:val="20"/>
              </w:rPr>
              <w:t> </w:t>
            </w:r>
            <w:r>
              <w:rPr>
                <w:sz w:val="20"/>
              </w:rPr>
              <w:t>desfavorable</w:t>
            </w:r>
            <w:r>
              <w:rPr>
                <w:spacing w:val="-4"/>
                <w:sz w:val="20"/>
              </w:rPr>
              <w:t> </w:t>
            </w:r>
            <w:r>
              <w:rPr>
                <w:sz w:val="20"/>
              </w:rPr>
              <w:t>(</w:t>
              <w:tab/>
              <w:t>)</w:t>
              <w:tab/>
              <w:t>7.5 Situación social</w:t>
            </w:r>
            <w:r>
              <w:rPr>
                <w:spacing w:val="-8"/>
                <w:sz w:val="20"/>
              </w:rPr>
              <w:t> </w:t>
            </w:r>
            <w:r>
              <w:rPr>
                <w:sz w:val="20"/>
              </w:rPr>
              <w:t>desfavorable</w:t>
            </w:r>
            <w:r>
              <w:rPr>
                <w:spacing w:val="-3"/>
                <w:sz w:val="20"/>
              </w:rPr>
              <w:t> </w:t>
            </w:r>
            <w:r>
              <w:rPr>
                <w:sz w:val="20"/>
              </w:rPr>
              <w:t>(</w:t>
              <w:tab/>
              <w:t>)</w:t>
            </w:r>
          </w:p>
        </w:tc>
      </w:tr>
      <w:tr>
        <w:trPr>
          <w:trHeight w:val="372" w:hRule="exact"/>
        </w:trPr>
        <w:tc>
          <w:tcPr>
            <w:tcW w:w="4750" w:type="dxa"/>
          </w:tcPr>
          <w:p>
            <w:pPr>
              <w:pStyle w:val="TableParagraph"/>
              <w:tabs>
                <w:tab w:pos="3500" w:val="left" w:leader="none"/>
              </w:tabs>
              <w:rPr>
                <w:sz w:val="20"/>
              </w:rPr>
            </w:pPr>
            <w:r>
              <w:rPr>
                <w:sz w:val="20"/>
              </w:rPr>
              <w:t>7.6 Imitación familiares y</w:t>
            </w:r>
            <w:r>
              <w:rPr>
                <w:spacing w:val="-7"/>
                <w:sz w:val="20"/>
              </w:rPr>
              <w:t> </w:t>
            </w:r>
            <w:r>
              <w:rPr>
                <w:sz w:val="20"/>
              </w:rPr>
              <w:t>amigos</w:t>
            </w:r>
            <w:r>
              <w:rPr>
                <w:spacing w:val="53"/>
                <w:sz w:val="20"/>
              </w:rPr>
              <w:t> </w:t>
            </w:r>
            <w:r>
              <w:rPr>
                <w:sz w:val="20"/>
              </w:rPr>
              <w:t>(</w:t>
              <w:tab/>
              <w:t>)</w:t>
            </w:r>
          </w:p>
        </w:tc>
        <w:tc>
          <w:tcPr>
            <w:tcW w:w="6599" w:type="dxa"/>
          </w:tcPr>
          <w:p>
            <w:pPr/>
          </w:p>
        </w:tc>
      </w:tr>
      <w:tr>
        <w:trPr>
          <w:trHeight w:val="494" w:hRule="exact"/>
        </w:trPr>
        <w:tc>
          <w:tcPr>
            <w:tcW w:w="11350" w:type="dxa"/>
            <w:gridSpan w:val="2"/>
          </w:tcPr>
          <w:p>
            <w:pPr>
              <w:pStyle w:val="TableParagraph"/>
              <w:tabs>
                <w:tab w:pos="4705" w:val="left" w:leader="none"/>
                <w:tab w:pos="4993" w:val="left" w:leader="none"/>
                <w:tab w:pos="7114" w:val="left" w:leader="none"/>
                <w:tab w:pos="9931" w:val="left" w:leader="none"/>
              </w:tabs>
              <w:spacing w:before="122"/>
              <w:rPr>
                <w:sz w:val="20"/>
              </w:rPr>
            </w:pPr>
            <w:r>
              <w:rPr>
                <w:sz w:val="20"/>
              </w:rPr>
              <w:t>7.7 Se tienen conocidos en el lugar de</w:t>
            </w:r>
            <w:r>
              <w:rPr>
                <w:spacing w:val="-9"/>
                <w:sz w:val="20"/>
              </w:rPr>
              <w:t> </w:t>
            </w:r>
            <w:r>
              <w:rPr>
                <w:sz w:val="20"/>
              </w:rPr>
              <w:t>destino </w:t>
            </w:r>
            <w:r>
              <w:rPr>
                <w:spacing w:val="1"/>
                <w:sz w:val="20"/>
              </w:rPr>
              <w:t> </w:t>
            </w:r>
            <w:r>
              <w:rPr>
                <w:sz w:val="20"/>
              </w:rPr>
              <w:t>(</w:t>
              <w:tab/>
              <w:t>)</w:t>
              <w:tab/>
              <w:t>7.8  Hacer</w:t>
            </w:r>
            <w:r>
              <w:rPr>
                <w:spacing w:val="-3"/>
                <w:sz w:val="20"/>
              </w:rPr>
              <w:t> </w:t>
            </w:r>
            <w:r>
              <w:rPr>
                <w:sz w:val="20"/>
              </w:rPr>
              <w:t>negocios</w:t>
            </w:r>
            <w:r>
              <w:rPr>
                <w:spacing w:val="-5"/>
                <w:sz w:val="20"/>
              </w:rPr>
              <w:t> </w:t>
            </w:r>
            <w:r>
              <w:rPr>
                <w:sz w:val="20"/>
              </w:rPr>
              <w:t>(</w:t>
              <w:tab/>
              <w:t>) </w:t>
            </w:r>
            <w:r>
              <w:rPr>
                <w:spacing w:val="53"/>
                <w:sz w:val="20"/>
              </w:rPr>
              <w:t> </w:t>
            </w:r>
            <w:r>
              <w:rPr>
                <w:sz w:val="20"/>
              </w:rPr>
              <w:t>7.9</w:t>
            </w:r>
            <w:r>
              <w:rPr>
                <w:spacing w:val="-1"/>
                <w:sz w:val="20"/>
              </w:rPr>
              <w:t> </w:t>
            </w:r>
            <w:r>
              <w:rPr>
                <w:sz w:val="20"/>
              </w:rPr>
              <w:t>¿Cuál?</w:t>
            </w:r>
            <w:r>
              <w:rPr>
                <w:sz w:val="20"/>
                <w:u w:val="single"/>
              </w:rPr>
              <w:t> </w:t>
              <w:tab/>
            </w:r>
            <w:r>
              <w:rPr>
                <w:sz w:val="20"/>
              </w:rPr>
              <w:t>_</w:t>
            </w:r>
          </w:p>
        </w:tc>
      </w:tr>
      <w:tr>
        <w:trPr>
          <w:trHeight w:val="348" w:hRule="exact"/>
        </w:trPr>
        <w:tc>
          <w:tcPr>
            <w:tcW w:w="11350" w:type="dxa"/>
            <w:gridSpan w:val="2"/>
          </w:tcPr>
          <w:p>
            <w:pPr>
              <w:pStyle w:val="TableParagraph"/>
              <w:spacing w:before="122"/>
              <w:rPr>
                <w:sz w:val="20"/>
              </w:rPr>
            </w:pPr>
            <w:r>
              <w:rPr>
                <w:sz w:val="20"/>
              </w:rPr>
              <w:t>8.En caso de migración temporal, cuales son los mese o época del año de residencia en EUA?</w:t>
            </w:r>
          </w:p>
        </w:tc>
      </w:tr>
    </w:tbl>
    <w:p>
      <w:pPr>
        <w:spacing w:after="0"/>
        <w:rPr>
          <w:sz w:val="20"/>
        </w:rPr>
        <w:sectPr>
          <w:pgSz w:w="12240" w:h="15840"/>
          <w:pgMar w:header="0" w:footer="1322" w:top="1500" w:bottom="1580" w:left="500" w:right="160"/>
        </w:sectPr>
      </w:pPr>
    </w:p>
    <w:p>
      <w:pPr>
        <w:pStyle w:val="BodyText"/>
        <w:rPr>
          <w:rFonts w:ascii="Times New Roman"/>
          <w:sz w:val="20"/>
        </w:rPr>
      </w:pPr>
    </w:p>
    <w:p>
      <w:pPr>
        <w:pStyle w:val="BodyText"/>
        <w:spacing w:before="8"/>
        <w:rPr>
          <w:rFonts w:ascii="Times New Roman"/>
          <w:sz w:val="15"/>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02"/>
      </w:tblGrid>
      <w:tr>
        <w:trPr>
          <w:trHeight w:val="348" w:hRule="exact"/>
        </w:trPr>
        <w:tc>
          <w:tcPr>
            <w:tcW w:w="10602" w:type="dxa"/>
          </w:tcPr>
          <w:p>
            <w:pPr>
              <w:pStyle w:val="TableParagraph"/>
              <w:tabs>
                <w:tab w:pos="3051" w:val="left" w:leader="none"/>
              </w:tabs>
              <w:spacing w:line="206" w:lineRule="exact"/>
              <w:rPr>
                <w:sz w:val="20"/>
              </w:rPr>
            </w:pPr>
            <w:r>
              <w:rPr>
                <w:sz w:val="20"/>
              </w:rPr>
              <w:t>Periodo</w:t>
            </w:r>
            <w:r>
              <w:rPr>
                <w:w w:val="100"/>
                <w:sz w:val="20"/>
                <w:u w:val="single"/>
              </w:rPr>
              <w:t> </w:t>
            </w:r>
            <w:r>
              <w:rPr>
                <w:sz w:val="20"/>
                <w:u w:val="single"/>
              </w:rPr>
              <w:tab/>
            </w:r>
          </w:p>
        </w:tc>
      </w:tr>
      <w:tr>
        <w:trPr>
          <w:trHeight w:val="495" w:hRule="exact"/>
        </w:trPr>
        <w:tc>
          <w:tcPr>
            <w:tcW w:w="10602" w:type="dxa"/>
          </w:tcPr>
          <w:p>
            <w:pPr>
              <w:pStyle w:val="TableParagraph"/>
              <w:spacing w:before="122"/>
              <w:rPr>
                <w:sz w:val="20"/>
              </w:rPr>
            </w:pPr>
            <w:r>
              <w:rPr>
                <w:sz w:val="20"/>
              </w:rPr>
              <w:t>9.¿ En caso de migración temporal, cuantas veces (temporadas) ha estado en EUA?   Entre que periodo de meses</w:t>
            </w:r>
          </w:p>
        </w:tc>
      </w:tr>
      <w:tr>
        <w:trPr>
          <w:trHeight w:val="372" w:hRule="exact"/>
        </w:trPr>
        <w:tc>
          <w:tcPr>
            <w:tcW w:w="10602" w:type="dxa"/>
          </w:tcPr>
          <w:p>
            <w:pPr>
              <w:pStyle w:val="TableParagraph"/>
              <w:spacing w:before="122"/>
              <w:rPr>
                <w:sz w:val="20"/>
              </w:rPr>
            </w:pPr>
            <w:r>
              <w:rPr>
                <w:sz w:val="20"/>
              </w:rPr>
              <w:t>10.¿Los beneficios principales por migrar son:</w:t>
            </w:r>
          </w:p>
        </w:tc>
      </w:tr>
      <w:tr>
        <w:trPr>
          <w:trHeight w:val="250" w:hRule="exact"/>
        </w:trPr>
        <w:tc>
          <w:tcPr>
            <w:tcW w:w="10602" w:type="dxa"/>
          </w:tcPr>
          <w:p>
            <w:pPr>
              <w:pStyle w:val="TableParagraph"/>
              <w:tabs>
                <w:tab w:pos="2872" w:val="left" w:leader="none"/>
                <w:tab w:pos="7315" w:val="left" w:leader="none"/>
              </w:tabs>
              <w:spacing w:line="230" w:lineRule="exact"/>
              <w:rPr>
                <w:sz w:val="20"/>
              </w:rPr>
            </w:pPr>
            <w:r>
              <w:rPr>
                <w:sz w:val="20"/>
              </w:rPr>
              <w:t>10.1 Realización</w:t>
            </w:r>
            <w:r>
              <w:rPr>
                <w:spacing w:val="-7"/>
                <w:sz w:val="20"/>
              </w:rPr>
              <w:t> </w:t>
            </w:r>
            <w:r>
              <w:rPr>
                <w:sz w:val="20"/>
              </w:rPr>
              <w:t>Personal</w:t>
            </w:r>
            <w:r>
              <w:rPr>
                <w:spacing w:val="3"/>
                <w:sz w:val="20"/>
              </w:rPr>
              <w:t> </w:t>
            </w:r>
            <w:r>
              <w:rPr>
                <w:sz w:val="20"/>
              </w:rPr>
              <w:t>(</w:t>
              <w:tab/>
              <w:t>)   10.2  Mejores puestos de salarios y</w:t>
            </w:r>
            <w:r>
              <w:rPr>
                <w:spacing w:val="-15"/>
                <w:sz w:val="20"/>
              </w:rPr>
              <w:t> </w:t>
            </w:r>
            <w:r>
              <w:rPr>
                <w:sz w:val="20"/>
              </w:rPr>
              <w:t>trabajo</w:t>
            </w:r>
            <w:r>
              <w:rPr>
                <w:spacing w:val="-1"/>
                <w:sz w:val="20"/>
              </w:rPr>
              <w:t> </w:t>
            </w:r>
            <w:r>
              <w:rPr>
                <w:sz w:val="20"/>
              </w:rPr>
              <w:t>(</w:t>
              <w:tab/>
              <w:t>)</w:t>
            </w:r>
          </w:p>
        </w:tc>
      </w:tr>
      <w:tr>
        <w:trPr>
          <w:trHeight w:val="247" w:hRule="exact"/>
        </w:trPr>
        <w:tc>
          <w:tcPr>
            <w:tcW w:w="10602" w:type="dxa"/>
          </w:tcPr>
          <w:p>
            <w:pPr>
              <w:pStyle w:val="TableParagraph"/>
              <w:spacing w:line="230" w:lineRule="exact"/>
              <w:rPr>
                <w:sz w:val="20"/>
              </w:rPr>
            </w:pPr>
            <w:r>
              <w:rPr>
                <w:sz w:val="20"/>
              </w:rPr>
              <w:t>10.3 Mayores recursos o medios de desarrollo familiar (  )</w:t>
            </w:r>
          </w:p>
        </w:tc>
      </w:tr>
      <w:tr>
        <w:trPr>
          <w:trHeight w:val="247" w:hRule="exact"/>
        </w:trPr>
        <w:tc>
          <w:tcPr>
            <w:tcW w:w="10602" w:type="dxa"/>
          </w:tcPr>
          <w:p>
            <w:pPr>
              <w:pStyle w:val="TableParagraph"/>
              <w:tabs>
                <w:tab w:pos="4283" w:val="left" w:leader="none"/>
                <w:tab w:pos="8163" w:val="left" w:leader="none"/>
              </w:tabs>
              <w:spacing w:line="227" w:lineRule="exact"/>
              <w:rPr>
                <w:sz w:val="20"/>
              </w:rPr>
            </w:pPr>
            <w:r>
              <w:rPr>
                <w:sz w:val="20"/>
              </w:rPr>
              <w:t>10.4 Mayor seguridad económica y</w:t>
            </w:r>
            <w:r>
              <w:rPr>
                <w:spacing w:val="-8"/>
                <w:sz w:val="20"/>
              </w:rPr>
              <w:t> </w:t>
            </w:r>
            <w:r>
              <w:rPr>
                <w:sz w:val="20"/>
              </w:rPr>
              <w:t>social </w:t>
            </w:r>
            <w:r>
              <w:rPr>
                <w:spacing w:val="4"/>
                <w:sz w:val="20"/>
              </w:rPr>
              <w:t> </w:t>
            </w:r>
            <w:r>
              <w:rPr>
                <w:sz w:val="20"/>
              </w:rPr>
              <w:t>(</w:t>
              <w:tab/>
              <w:t>)   10.5 Mejores condiciones de</w:t>
            </w:r>
            <w:r>
              <w:rPr>
                <w:spacing w:val="-14"/>
                <w:sz w:val="20"/>
              </w:rPr>
              <w:t> </w:t>
            </w:r>
            <w:r>
              <w:rPr>
                <w:sz w:val="20"/>
              </w:rPr>
              <w:t>estudio (</w:t>
              <w:tab/>
              <w:t>)</w:t>
            </w:r>
          </w:p>
        </w:tc>
      </w:tr>
      <w:tr>
        <w:trPr>
          <w:trHeight w:val="372" w:hRule="exact"/>
        </w:trPr>
        <w:tc>
          <w:tcPr>
            <w:tcW w:w="10602" w:type="dxa"/>
          </w:tcPr>
          <w:p>
            <w:pPr>
              <w:pStyle w:val="TableParagraph"/>
              <w:tabs>
                <w:tab w:pos="4158" w:val="left" w:leader="none"/>
              </w:tabs>
              <w:spacing w:line="230" w:lineRule="exact"/>
              <w:rPr>
                <w:sz w:val="20"/>
              </w:rPr>
            </w:pPr>
            <w:r>
              <w:rPr>
                <w:sz w:val="20"/>
              </w:rPr>
              <w:t>10.6  Mejores ambientes para</w:t>
            </w:r>
            <w:r>
              <w:rPr>
                <w:spacing w:val="-6"/>
                <w:sz w:val="20"/>
              </w:rPr>
              <w:t> </w:t>
            </w:r>
            <w:r>
              <w:rPr>
                <w:sz w:val="20"/>
              </w:rPr>
              <w:t>negocios</w:t>
            </w:r>
            <w:r>
              <w:rPr>
                <w:spacing w:val="52"/>
                <w:sz w:val="20"/>
              </w:rPr>
              <w:t> </w:t>
            </w:r>
            <w:r>
              <w:rPr>
                <w:sz w:val="20"/>
              </w:rPr>
              <w:t>(</w:t>
              <w:tab/>
              <w:t>)</w:t>
            </w:r>
          </w:p>
        </w:tc>
      </w:tr>
      <w:tr>
        <w:trPr>
          <w:trHeight w:val="372" w:hRule="exact"/>
        </w:trPr>
        <w:tc>
          <w:tcPr>
            <w:tcW w:w="10602" w:type="dxa"/>
          </w:tcPr>
          <w:p>
            <w:pPr>
              <w:pStyle w:val="TableParagraph"/>
              <w:spacing w:before="122"/>
              <w:rPr>
                <w:sz w:val="20"/>
              </w:rPr>
            </w:pPr>
            <w:r>
              <w:rPr>
                <w:sz w:val="20"/>
              </w:rPr>
              <w:t>11 Las desventajas principales por migrar son:</w:t>
            </w:r>
          </w:p>
        </w:tc>
      </w:tr>
      <w:tr>
        <w:trPr>
          <w:trHeight w:val="250" w:hRule="exact"/>
        </w:trPr>
        <w:tc>
          <w:tcPr>
            <w:tcW w:w="10602" w:type="dxa"/>
          </w:tcPr>
          <w:p>
            <w:pPr>
              <w:pStyle w:val="TableParagraph"/>
              <w:tabs>
                <w:tab w:pos="3971" w:val="left" w:leader="none"/>
                <w:tab w:pos="8065" w:val="left" w:leader="none"/>
              </w:tabs>
              <w:spacing w:line="230" w:lineRule="exact"/>
              <w:rPr>
                <w:sz w:val="20"/>
              </w:rPr>
            </w:pPr>
            <w:r>
              <w:rPr>
                <w:sz w:val="20"/>
              </w:rPr>
              <w:t>11.1 La discriminación social y</w:t>
            </w:r>
            <w:r>
              <w:rPr>
                <w:spacing w:val="-5"/>
                <w:sz w:val="20"/>
              </w:rPr>
              <w:t> </w:t>
            </w:r>
            <w:r>
              <w:rPr>
                <w:sz w:val="20"/>
              </w:rPr>
              <w:t>laboral </w:t>
            </w:r>
            <w:r>
              <w:rPr>
                <w:spacing w:val="1"/>
                <w:sz w:val="20"/>
              </w:rPr>
              <w:t> </w:t>
            </w:r>
            <w:r>
              <w:rPr>
                <w:sz w:val="20"/>
              </w:rPr>
              <w:t>(</w:t>
              <w:tab/>
              <w:t>)  11.2 Explotación laboral y bajos</w:t>
            </w:r>
            <w:r>
              <w:rPr>
                <w:spacing w:val="-14"/>
                <w:sz w:val="20"/>
              </w:rPr>
              <w:t> </w:t>
            </w:r>
            <w:r>
              <w:rPr>
                <w:sz w:val="20"/>
              </w:rPr>
              <w:t>salarios</w:t>
            </w:r>
            <w:r>
              <w:rPr>
                <w:spacing w:val="-4"/>
                <w:sz w:val="20"/>
              </w:rPr>
              <w:t> </w:t>
            </w:r>
            <w:r>
              <w:rPr>
                <w:sz w:val="20"/>
              </w:rPr>
              <w:t>(</w:t>
              <w:tab/>
              <w:t>)</w:t>
            </w:r>
          </w:p>
        </w:tc>
      </w:tr>
      <w:tr>
        <w:trPr>
          <w:trHeight w:val="247" w:hRule="exact"/>
        </w:trPr>
        <w:tc>
          <w:tcPr>
            <w:tcW w:w="10602" w:type="dxa"/>
          </w:tcPr>
          <w:p>
            <w:pPr>
              <w:pStyle w:val="TableParagraph"/>
              <w:tabs>
                <w:tab w:pos="4680" w:val="left" w:leader="none"/>
              </w:tabs>
              <w:spacing w:line="230" w:lineRule="exact"/>
              <w:rPr>
                <w:sz w:val="20"/>
              </w:rPr>
            </w:pPr>
            <w:r>
              <w:rPr>
                <w:sz w:val="20"/>
              </w:rPr>
              <w:t>11.3 Pocos puestos de trabajo y bajos</w:t>
            </w:r>
            <w:r>
              <w:rPr>
                <w:spacing w:val="-10"/>
                <w:sz w:val="20"/>
              </w:rPr>
              <w:t> </w:t>
            </w:r>
            <w:r>
              <w:rPr>
                <w:sz w:val="20"/>
              </w:rPr>
              <w:t>salarios</w:t>
            </w:r>
            <w:r>
              <w:rPr>
                <w:spacing w:val="-4"/>
                <w:sz w:val="20"/>
              </w:rPr>
              <w:t> </w:t>
            </w:r>
            <w:r>
              <w:rPr>
                <w:sz w:val="20"/>
              </w:rPr>
              <w:t>(</w:t>
              <w:tab/>
              <w:t>)</w:t>
            </w:r>
          </w:p>
        </w:tc>
      </w:tr>
      <w:tr>
        <w:trPr>
          <w:trHeight w:val="372" w:hRule="exact"/>
        </w:trPr>
        <w:tc>
          <w:tcPr>
            <w:tcW w:w="10602" w:type="dxa"/>
          </w:tcPr>
          <w:p>
            <w:pPr>
              <w:pStyle w:val="TableParagraph"/>
              <w:tabs>
                <w:tab w:pos="4672" w:val="left" w:leader="none"/>
                <w:tab w:pos="4959" w:val="left" w:leader="none"/>
                <w:tab w:pos="6135" w:val="left" w:leader="none"/>
                <w:tab w:pos="9058" w:val="left" w:leader="none"/>
              </w:tabs>
              <w:spacing w:line="227" w:lineRule="exact"/>
              <w:rPr>
                <w:sz w:val="20"/>
              </w:rPr>
            </w:pPr>
            <w:r>
              <w:rPr>
                <w:sz w:val="20"/>
              </w:rPr>
              <w:t>11.4 Poca seguridad legal, económica o</w:t>
            </w:r>
            <w:r>
              <w:rPr>
                <w:spacing w:val="-6"/>
                <w:sz w:val="20"/>
              </w:rPr>
              <w:t> </w:t>
            </w:r>
            <w:r>
              <w:rPr>
                <w:sz w:val="20"/>
              </w:rPr>
              <w:t>social</w:t>
            </w:r>
            <w:r>
              <w:rPr>
                <w:spacing w:val="2"/>
                <w:sz w:val="20"/>
              </w:rPr>
              <w:t> </w:t>
            </w:r>
            <w:r>
              <w:rPr>
                <w:sz w:val="20"/>
              </w:rPr>
              <w:t>(</w:t>
              <w:tab/>
              <w:t>)</w:t>
              <w:tab/>
              <w:t>11.5</w:t>
            </w:r>
            <w:r>
              <w:rPr>
                <w:spacing w:val="-2"/>
                <w:sz w:val="20"/>
              </w:rPr>
              <w:t> </w:t>
            </w:r>
            <w:r>
              <w:rPr>
                <w:sz w:val="20"/>
              </w:rPr>
              <w:t>Otro</w:t>
            </w:r>
            <w:r>
              <w:rPr>
                <w:spacing w:val="-2"/>
                <w:sz w:val="20"/>
              </w:rPr>
              <w:t> </w:t>
            </w:r>
            <w:r>
              <w:rPr>
                <w:sz w:val="20"/>
              </w:rPr>
              <w:t>(</w:t>
              <w:tab/>
              <w:t>) </w:t>
            </w:r>
            <w:r>
              <w:rPr>
                <w:spacing w:val="53"/>
                <w:sz w:val="20"/>
              </w:rPr>
              <w:t> </w:t>
            </w:r>
            <w:r>
              <w:rPr>
                <w:sz w:val="20"/>
              </w:rPr>
              <w:t>¿Cuál?</w:t>
            </w:r>
            <w:r>
              <w:rPr>
                <w:w w:val="100"/>
                <w:sz w:val="20"/>
                <w:u w:val="single"/>
              </w:rPr>
              <w:t> </w:t>
            </w:r>
            <w:r>
              <w:rPr>
                <w:sz w:val="20"/>
                <w:u w:val="single"/>
              </w:rPr>
              <w:tab/>
            </w:r>
          </w:p>
        </w:tc>
      </w:tr>
      <w:tr>
        <w:trPr>
          <w:trHeight w:val="372" w:hRule="exact"/>
        </w:trPr>
        <w:tc>
          <w:tcPr>
            <w:tcW w:w="10602" w:type="dxa"/>
          </w:tcPr>
          <w:p>
            <w:pPr>
              <w:pStyle w:val="TableParagraph"/>
              <w:spacing w:before="124"/>
              <w:rPr>
                <w:sz w:val="20"/>
              </w:rPr>
            </w:pPr>
            <w:r>
              <w:rPr>
                <w:sz w:val="20"/>
              </w:rPr>
              <w:t>12. ¿La estancia/residencial en EUA es:</w:t>
            </w:r>
          </w:p>
        </w:tc>
      </w:tr>
      <w:tr>
        <w:trPr>
          <w:trHeight w:val="248" w:hRule="exact"/>
        </w:trPr>
        <w:tc>
          <w:tcPr>
            <w:tcW w:w="10602" w:type="dxa"/>
          </w:tcPr>
          <w:p>
            <w:pPr>
              <w:pStyle w:val="TableParagraph"/>
              <w:tabs>
                <w:tab w:pos="9486" w:val="left" w:leader="none"/>
              </w:tabs>
              <w:spacing w:line="228" w:lineRule="exact"/>
              <w:rPr>
                <w:sz w:val="20"/>
              </w:rPr>
            </w:pPr>
            <w:r>
              <w:rPr>
                <w:sz w:val="20"/>
              </w:rPr>
              <w:t>12.1 Legal y permanente (visa , ciudadanía)   12.2 Legal y temporal (Visa)   12.3 Ilegal y</w:t>
            </w:r>
            <w:r>
              <w:rPr>
                <w:spacing w:val="-23"/>
                <w:sz w:val="20"/>
              </w:rPr>
              <w:t> </w:t>
            </w:r>
            <w:r>
              <w:rPr>
                <w:sz w:val="20"/>
              </w:rPr>
              <w:t>permanente</w:t>
            </w:r>
            <w:r>
              <w:rPr>
                <w:spacing w:val="-2"/>
                <w:sz w:val="20"/>
              </w:rPr>
              <w:t> </w:t>
            </w:r>
            <w:r>
              <w:rPr>
                <w:sz w:val="20"/>
              </w:rPr>
              <w:t>(</w:t>
              <w:tab/>
              <w:t>)</w:t>
            </w:r>
          </w:p>
        </w:tc>
      </w:tr>
      <w:tr>
        <w:trPr>
          <w:trHeight w:val="372" w:hRule="exact"/>
        </w:trPr>
        <w:tc>
          <w:tcPr>
            <w:tcW w:w="10602" w:type="dxa"/>
          </w:tcPr>
          <w:p>
            <w:pPr>
              <w:pStyle w:val="TableParagraph"/>
              <w:tabs>
                <w:tab w:pos="2626" w:val="left" w:leader="none"/>
              </w:tabs>
              <w:spacing w:line="230" w:lineRule="exact"/>
              <w:rPr>
                <w:sz w:val="20"/>
              </w:rPr>
            </w:pPr>
            <w:r>
              <w:rPr>
                <w:sz w:val="20"/>
              </w:rPr>
              <w:t>12.4 Ilegal y</w:t>
            </w:r>
            <w:r>
              <w:rPr>
                <w:spacing w:val="-3"/>
                <w:sz w:val="20"/>
              </w:rPr>
              <w:t> </w:t>
            </w:r>
            <w:r>
              <w:rPr>
                <w:sz w:val="20"/>
              </w:rPr>
              <w:t>temporal   (</w:t>
              <w:tab/>
              <w:t>)</w:t>
            </w:r>
          </w:p>
        </w:tc>
      </w:tr>
      <w:tr>
        <w:trPr>
          <w:trHeight w:val="372" w:hRule="exact"/>
        </w:trPr>
        <w:tc>
          <w:tcPr>
            <w:tcW w:w="10602" w:type="dxa"/>
          </w:tcPr>
          <w:p>
            <w:pPr>
              <w:pStyle w:val="TableParagraph"/>
              <w:spacing w:before="122"/>
              <w:rPr>
                <w:sz w:val="20"/>
              </w:rPr>
            </w:pPr>
            <w:r>
              <w:rPr>
                <w:sz w:val="20"/>
              </w:rPr>
              <w:t>13.¿Piensa radicar definitivamente en su lugar de origen?</w:t>
            </w:r>
          </w:p>
        </w:tc>
      </w:tr>
      <w:tr>
        <w:trPr>
          <w:trHeight w:val="883" w:hRule="exact"/>
        </w:trPr>
        <w:tc>
          <w:tcPr>
            <w:tcW w:w="10602" w:type="dxa"/>
          </w:tcPr>
          <w:p>
            <w:pPr>
              <w:pStyle w:val="TableParagraph"/>
              <w:tabs>
                <w:tab w:pos="1169" w:val="left" w:leader="none"/>
                <w:tab w:pos="1461" w:val="left" w:leader="none"/>
                <w:tab w:pos="2502" w:val="left" w:leader="none"/>
              </w:tabs>
              <w:spacing w:line="230" w:lineRule="exact"/>
              <w:rPr>
                <w:sz w:val="20"/>
              </w:rPr>
            </w:pPr>
            <w:r>
              <w:rPr>
                <w:sz w:val="20"/>
              </w:rPr>
              <w:t>13.1 Si (</w:t>
              <w:tab/>
              <w:t>)</w:t>
              <w:tab/>
              <w:t>13.2</w:t>
            </w:r>
            <w:r>
              <w:rPr>
                <w:spacing w:val="51"/>
                <w:sz w:val="20"/>
              </w:rPr>
              <w:t> </w:t>
            </w:r>
            <w:r>
              <w:rPr>
                <w:sz w:val="20"/>
              </w:rPr>
              <w:t>No(</w:t>
              <w:tab/>
              <w:t>)</w:t>
            </w:r>
          </w:p>
        </w:tc>
      </w:tr>
      <w:tr>
        <w:trPr>
          <w:trHeight w:val="881" w:hRule="exact"/>
        </w:trPr>
        <w:tc>
          <w:tcPr>
            <w:tcW w:w="10602" w:type="dxa"/>
          </w:tcPr>
          <w:p>
            <w:pPr>
              <w:pStyle w:val="TableParagraph"/>
              <w:ind w:left="0"/>
              <w:rPr>
                <w:rFonts w:ascii="Times New Roman"/>
                <w:sz w:val="20"/>
              </w:rPr>
            </w:pPr>
          </w:p>
          <w:p>
            <w:pPr>
              <w:pStyle w:val="TableParagraph"/>
              <w:ind w:left="0"/>
              <w:rPr>
                <w:rFonts w:ascii="Times New Roman"/>
                <w:sz w:val="20"/>
              </w:rPr>
            </w:pPr>
          </w:p>
          <w:p>
            <w:pPr>
              <w:pStyle w:val="TableParagraph"/>
              <w:spacing w:before="173"/>
              <w:rPr>
                <w:sz w:val="20"/>
              </w:rPr>
            </w:pPr>
            <w:r>
              <w:rPr>
                <w:sz w:val="20"/>
              </w:rPr>
              <w:t>14.¿ Envía  dinero a sus familias?</w:t>
            </w:r>
          </w:p>
        </w:tc>
      </w:tr>
      <w:tr>
        <w:trPr>
          <w:trHeight w:val="372" w:hRule="exact"/>
        </w:trPr>
        <w:tc>
          <w:tcPr>
            <w:tcW w:w="10602" w:type="dxa"/>
          </w:tcPr>
          <w:p>
            <w:pPr>
              <w:pStyle w:val="TableParagraph"/>
              <w:tabs>
                <w:tab w:pos="938" w:val="left" w:leader="none"/>
                <w:tab w:pos="2122" w:val="left" w:leader="none"/>
                <w:tab w:pos="2415" w:val="left" w:leader="none"/>
                <w:tab w:pos="3081" w:val="left" w:leader="none"/>
                <w:tab w:pos="3734" w:val="left" w:leader="none"/>
              </w:tabs>
              <w:spacing w:line="227" w:lineRule="exact"/>
              <w:rPr>
                <w:sz w:val="20"/>
              </w:rPr>
            </w:pPr>
            <w:r>
              <w:rPr>
                <w:sz w:val="20"/>
              </w:rPr>
              <w:t>Envía</w:t>
              <w:tab/>
              <w:t>14.1</w:t>
            </w:r>
            <w:r>
              <w:rPr>
                <w:spacing w:val="53"/>
                <w:sz w:val="20"/>
              </w:rPr>
              <w:t> </w:t>
            </w:r>
            <w:r>
              <w:rPr>
                <w:spacing w:val="-3"/>
                <w:sz w:val="20"/>
              </w:rPr>
              <w:t>Si  </w:t>
            </w:r>
            <w:r>
              <w:rPr>
                <w:spacing w:val="11"/>
                <w:sz w:val="20"/>
              </w:rPr>
              <w:t> </w:t>
            </w:r>
            <w:r>
              <w:rPr>
                <w:sz w:val="20"/>
              </w:rPr>
              <w:t>(</w:t>
              <w:tab/>
              <w:t>)</w:t>
              <w:tab/>
              <w:t>14.2</w:t>
              <w:tab/>
              <w:t>No</w:t>
            </w:r>
            <w:r>
              <w:rPr>
                <w:spacing w:val="52"/>
                <w:sz w:val="20"/>
              </w:rPr>
              <w:t> </w:t>
            </w:r>
            <w:r>
              <w:rPr>
                <w:sz w:val="20"/>
              </w:rPr>
              <w:t>(</w:t>
              <w:tab/>
              <w:t>)</w:t>
            </w:r>
          </w:p>
        </w:tc>
      </w:tr>
      <w:tr>
        <w:trPr>
          <w:trHeight w:val="372" w:hRule="exact"/>
        </w:trPr>
        <w:tc>
          <w:tcPr>
            <w:tcW w:w="10602" w:type="dxa"/>
          </w:tcPr>
          <w:p>
            <w:pPr>
              <w:pStyle w:val="TableParagraph"/>
              <w:spacing w:before="124"/>
              <w:rPr>
                <w:sz w:val="20"/>
              </w:rPr>
            </w:pPr>
            <w:r>
              <w:rPr>
                <w:sz w:val="20"/>
              </w:rPr>
              <w:t>15.¿Cada cuanto acostumbra a enviar dinero?</w:t>
            </w:r>
          </w:p>
        </w:tc>
      </w:tr>
      <w:tr>
        <w:trPr>
          <w:trHeight w:val="247" w:hRule="exact"/>
        </w:trPr>
        <w:tc>
          <w:tcPr>
            <w:tcW w:w="10602" w:type="dxa"/>
          </w:tcPr>
          <w:p>
            <w:pPr>
              <w:pStyle w:val="TableParagraph"/>
              <w:tabs>
                <w:tab w:pos="3016" w:val="left" w:leader="none"/>
                <w:tab w:pos="3304" w:val="left" w:leader="none"/>
                <w:tab w:pos="7683" w:val="left" w:leader="none"/>
              </w:tabs>
              <w:spacing w:line="227" w:lineRule="exact"/>
              <w:rPr>
                <w:sz w:val="20"/>
              </w:rPr>
            </w:pPr>
            <w:r>
              <w:rPr>
                <w:sz w:val="20"/>
              </w:rPr>
              <w:t>15.1 1 Vez cada dos</w:t>
            </w:r>
            <w:r>
              <w:rPr>
                <w:spacing w:val="-8"/>
                <w:sz w:val="20"/>
              </w:rPr>
              <w:t> </w:t>
            </w:r>
            <w:r>
              <w:rPr>
                <w:sz w:val="20"/>
              </w:rPr>
              <w:t>meses</w:t>
            </w:r>
            <w:r>
              <w:rPr>
                <w:spacing w:val="-3"/>
                <w:sz w:val="20"/>
              </w:rPr>
              <w:t> </w:t>
            </w:r>
            <w:r>
              <w:rPr>
                <w:sz w:val="20"/>
              </w:rPr>
              <w:t>(</w:t>
              <w:tab/>
              <w:t>)</w:t>
              <w:tab/>
              <w:t>15.2  1 vez al mes (   )   15.3  2 veces al</w:t>
            </w:r>
            <w:r>
              <w:rPr>
                <w:spacing w:val="-14"/>
                <w:sz w:val="20"/>
              </w:rPr>
              <w:t> </w:t>
            </w:r>
            <w:r>
              <w:rPr>
                <w:sz w:val="20"/>
              </w:rPr>
              <w:t>mes  (</w:t>
              <w:tab/>
              <w:t>)</w:t>
            </w:r>
          </w:p>
        </w:tc>
      </w:tr>
      <w:tr>
        <w:trPr>
          <w:trHeight w:val="372" w:hRule="exact"/>
        </w:trPr>
        <w:tc>
          <w:tcPr>
            <w:tcW w:w="10602" w:type="dxa"/>
          </w:tcPr>
          <w:p>
            <w:pPr>
              <w:pStyle w:val="TableParagraph"/>
              <w:tabs>
                <w:tab w:pos="2824" w:val="left" w:leader="none"/>
                <w:tab w:pos="7934" w:val="left" w:leader="none"/>
              </w:tabs>
              <w:spacing w:line="230" w:lineRule="exact"/>
              <w:rPr>
                <w:sz w:val="20"/>
              </w:rPr>
            </w:pPr>
            <w:r>
              <w:rPr>
                <w:sz w:val="20"/>
              </w:rPr>
              <w:t>15.4 2 veces a la</w:t>
            </w:r>
            <w:r>
              <w:rPr>
                <w:spacing w:val="-6"/>
                <w:sz w:val="20"/>
              </w:rPr>
              <w:t> </w:t>
            </w:r>
            <w:r>
              <w:rPr>
                <w:sz w:val="20"/>
              </w:rPr>
              <w:t>semana (</w:t>
              <w:tab/>
              <w:t>)   15.5  1 vez por semana  (   )   15.6</w:t>
            </w:r>
            <w:r>
              <w:rPr>
                <w:spacing w:val="46"/>
                <w:sz w:val="20"/>
              </w:rPr>
              <w:t> </w:t>
            </w:r>
            <w:r>
              <w:rPr>
                <w:sz w:val="20"/>
              </w:rPr>
              <w:t>Otro</w:t>
            </w:r>
            <w:r>
              <w:rPr>
                <w:spacing w:val="-5"/>
                <w:sz w:val="20"/>
              </w:rPr>
              <w:t> </w:t>
            </w:r>
            <w:r>
              <w:rPr>
                <w:w w:val="100"/>
                <w:sz w:val="20"/>
                <w:u w:val="single"/>
              </w:rPr>
              <w:t> </w:t>
            </w:r>
            <w:r>
              <w:rPr>
                <w:sz w:val="20"/>
                <w:u w:val="single"/>
              </w:rPr>
              <w:tab/>
            </w:r>
          </w:p>
        </w:tc>
      </w:tr>
      <w:tr>
        <w:trPr>
          <w:trHeight w:val="372" w:hRule="exact"/>
        </w:trPr>
        <w:tc>
          <w:tcPr>
            <w:tcW w:w="10602" w:type="dxa"/>
          </w:tcPr>
          <w:p>
            <w:pPr>
              <w:pStyle w:val="TableParagraph"/>
              <w:spacing w:before="122"/>
              <w:rPr>
                <w:sz w:val="20"/>
              </w:rPr>
            </w:pPr>
            <w:r>
              <w:rPr>
                <w:sz w:val="20"/>
              </w:rPr>
              <w:t>16.¿Si envía dinero, en que cree que han invertido el dinero que ha enviado?</w:t>
            </w:r>
          </w:p>
        </w:tc>
      </w:tr>
      <w:tr>
        <w:trPr>
          <w:trHeight w:val="250" w:hRule="exact"/>
        </w:trPr>
        <w:tc>
          <w:tcPr>
            <w:tcW w:w="10602" w:type="dxa"/>
          </w:tcPr>
          <w:p>
            <w:pPr>
              <w:pStyle w:val="TableParagraph"/>
              <w:tabs>
                <w:tab w:pos="2450" w:val="left" w:leader="none"/>
                <w:tab w:pos="2795" w:val="left" w:leader="none"/>
                <w:tab w:pos="4094" w:val="left" w:leader="none"/>
              </w:tabs>
              <w:spacing w:line="230" w:lineRule="exact"/>
              <w:rPr>
                <w:sz w:val="20"/>
              </w:rPr>
            </w:pPr>
            <w:r>
              <w:rPr>
                <w:sz w:val="20"/>
              </w:rPr>
              <w:t>16.1 Pago de</w:t>
            </w:r>
            <w:r>
              <w:rPr>
                <w:spacing w:val="-3"/>
                <w:sz w:val="20"/>
              </w:rPr>
              <w:t> </w:t>
            </w:r>
            <w:r>
              <w:rPr>
                <w:sz w:val="20"/>
              </w:rPr>
              <w:t>deudas</w:t>
            </w:r>
            <w:r>
              <w:rPr>
                <w:spacing w:val="-4"/>
                <w:sz w:val="20"/>
              </w:rPr>
              <w:t> </w:t>
            </w:r>
            <w:r>
              <w:rPr>
                <w:sz w:val="20"/>
              </w:rPr>
              <w:t>(</w:t>
              <w:tab/>
              <w:t>)</w:t>
              <w:tab/>
              <w:t>16.2</w:t>
            </w:r>
            <w:r>
              <w:rPr>
                <w:spacing w:val="-6"/>
                <w:sz w:val="20"/>
              </w:rPr>
              <w:t> </w:t>
            </w:r>
            <w:r>
              <w:rPr>
                <w:sz w:val="20"/>
              </w:rPr>
              <w:t>Salud</w:t>
            </w:r>
            <w:r>
              <w:rPr>
                <w:spacing w:val="-1"/>
                <w:sz w:val="20"/>
              </w:rPr>
              <w:t> </w:t>
            </w:r>
            <w:r>
              <w:rPr>
                <w:sz w:val="20"/>
              </w:rPr>
              <w:t>(</w:t>
              <w:tab/>
              <w:t>)   16.3 Negocios ( </w:t>
            </w:r>
            <w:r>
              <w:rPr>
                <w:spacing w:val="50"/>
                <w:sz w:val="20"/>
              </w:rPr>
              <w:t> </w:t>
            </w:r>
            <w:r>
              <w:rPr>
                <w:sz w:val="20"/>
              </w:rPr>
              <w:t>)</w:t>
            </w:r>
          </w:p>
        </w:tc>
      </w:tr>
      <w:tr>
        <w:trPr>
          <w:trHeight w:val="248" w:hRule="exact"/>
        </w:trPr>
        <w:tc>
          <w:tcPr>
            <w:tcW w:w="10602" w:type="dxa"/>
          </w:tcPr>
          <w:p>
            <w:pPr>
              <w:pStyle w:val="TableParagraph"/>
              <w:tabs>
                <w:tab w:pos="4105" w:val="left" w:leader="none"/>
                <w:tab w:pos="7133" w:val="left" w:leader="none"/>
              </w:tabs>
              <w:spacing w:line="230" w:lineRule="exact"/>
              <w:rPr>
                <w:sz w:val="20"/>
              </w:rPr>
            </w:pPr>
            <w:r>
              <w:rPr>
                <w:sz w:val="20"/>
              </w:rPr>
              <w:t>16.4 Construcción/compra de</w:t>
            </w:r>
            <w:r>
              <w:rPr>
                <w:spacing w:val="-8"/>
                <w:sz w:val="20"/>
              </w:rPr>
              <w:t> </w:t>
            </w:r>
            <w:r>
              <w:rPr>
                <w:sz w:val="20"/>
              </w:rPr>
              <w:t>viviendas</w:t>
            </w:r>
            <w:r>
              <w:rPr>
                <w:spacing w:val="-4"/>
                <w:sz w:val="20"/>
              </w:rPr>
              <w:t> </w:t>
            </w:r>
            <w:r>
              <w:rPr>
                <w:sz w:val="20"/>
              </w:rPr>
              <w:t>(</w:t>
              <w:tab/>
              <w:t>)   16.5</w:t>
            </w:r>
            <w:r>
              <w:rPr>
                <w:spacing w:val="-8"/>
                <w:sz w:val="20"/>
              </w:rPr>
              <w:t> </w:t>
            </w:r>
            <w:r>
              <w:rPr>
                <w:sz w:val="20"/>
              </w:rPr>
              <w:t>Alimentación/vestuario</w:t>
            </w:r>
            <w:r>
              <w:rPr>
                <w:spacing w:val="-6"/>
                <w:sz w:val="20"/>
              </w:rPr>
              <w:t> </w:t>
            </w:r>
            <w:r>
              <w:rPr>
                <w:sz w:val="20"/>
              </w:rPr>
              <w:t>(</w:t>
              <w:tab/>
              <w:t>)</w:t>
            </w:r>
          </w:p>
        </w:tc>
      </w:tr>
      <w:tr>
        <w:trPr>
          <w:trHeight w:val="248" w:hRule="exact"/>
        </w:trPr>
        <w:tc>
          <w:tcPr>
            <w:tcW w:w="10602" w:type="dxa"/>
          </w:tcPr>
          <w:p>
            <w:pPr>
              <w:pStyle w:val="TableParagraph"/>
              <w:tabs>
                <w:tab w:pos="1927" w:val="left" w:leader="none"/>
                <w:tab w:pos="2215" w:val="left" w:leader="none"/>
                <w:tab w:pos="3702" w:val="left" w:leader="none"/>
                <w:tab w:pos="6859" w:val="left" w:leader="none"/>
              </w:tabs>
              <w:spacing w:line="228" w:lineRule="exact"/>
              <w:rPr>
                <w:sz w:val="20"/>
              </w:rPr>
            </w:pPr>
            <w:r>
              <w:rPr>
                <w:sz w:val="20"/>
              </w:rPr>
              <w:t>16.6 Educación (</w:t>
              <w:tab/>
              <w:t>)</w:t>
              <w:tab/>
              <w:t>16.7 Ahorros</w:t>
            </w:r>
            <w:r>
              <w:rPr>
                <w:spacing w:val="-3"/>
                <w:sz w:val="20"/>
              </w:rPr>
              <w:t> </w:t>
            </w:r>
            <w:r>
              <w:rPr>
                <w:sz w:val="20"/>
              </w:rPr>
              <w:t>(</w:t>
              <w:tab/>
              <w:t>)  16.8 Compra de otros</w:t>
            </w:r>
            <w:r>
              <w:rPr>
                <w:spacing w:val="-10"/>
                <w:sz w:val="20"/>
              </w:rPr>
              <w:t> </w:t>
            </w:r>
            <w:r>
              <w:rPr>
                <w:sz w:val="20"/>
              </w:rPr>
              <w:t>bienes</w:t>
            </w:r>
            <w:r>
              <w:rPr>
                <w:spacing w:val="-4"/>
                <w:sz w:val="20"/>
              </w:rPr>
              <w:t> </w:t>
            </w:r>
            <w:r>
              <w:rPr>
                <w:sz w:val="20"/>
              </w:rPr>
              <w:t>(</w:t>
              <w:tab/>
              <w:t>)</w:t>
            </w:r>
          </w:p>
        </w:tc>
      </w:tr>
      <w:tr>
        <w:trPr>
          <w:trHeight w:val="372" w:hRule="exact"/>
        </w:trPr>
        <w:tc>
          <w:tcPr>
            <w:tcW w:w="10602" w:type="dxa"/>
          </w:tcPr>
          <w:p>
            <w:pPr>
              <w:pStyle w:val="TableParagraph"/>
              <w:tabs>
                <w:tab w:pos="1927" w:val="left" w:leader="none"/>
              </w:tabs>
              <w:spacing w:line="230" w:lineRule="exact"/>
              <w:rPr>
                <w:sz w:val="20"/>
              </w:rPr>
            </w:pPr>
            <w:r>
              <w:rPr>
                <w:sz w:val="20"/>
              </w:rPr>
              <w:t>18.9 Vehículos</w:t>
            </w:r>
            <w:r>
              <w:rPr>
                <w:spacing w:val="54"/>
                <w:sz w:val="20"/>
              </w:rPr>
              <w:t> </w:t>
            </w:r>
            <w:r>
              <w:rPr>
                <w:sz w:val="20"/>
              </w:rPr>
              <w:t>(</w:t>
              <w:tab/>
              <w:t>)</w:t>
            </w:r>
          </w:p>
        </w:tc>
      </w:tr>
      <w:tr>
        <w:trPr>
          <w:trHeight w:val="372" w:hRule="exact"/>
        </w:trPr>
        <w:tc>
          <w:tcPr>
            <w:tcW w:w="10602" w:type="dxa"/>
          </w:tcPr>
          <w:p>
            <w:pPr>
              <w:pStyle w:val="TableParagraph"/>
              <w:spacing w:before="122"/>
              <w:rPr>
                <w:sz w:val="20"/>
              </w:rPr>
            </w:pPr>
            <w:r>
              <w:rPr>
                <w:sz w:val="20"/>
              </w:rPr>
              <w:t>17.¿Envía algún otro tipo de remesa que no sea dinero?</w:t>
            </w:r>
          </w:p>
        </w:tc>
      </w:tr>
      <w:tr>
        <w:trPr>
          <w:trHeight w:val="372" w:hRule="exact"/>
        </w:trPr>
        <w:tc>
          <w:tcPr>
            <w:tcW w:w="10602" w:type="dxa"/>
          </w:tcPr>
          <w:p>
            <w:pPr>
              <w:pStyle w:val="TableParagraph"/>
              <w:tabs>
                <w:tab w:pos="1192" w:val="left" w:leader="none"/>
                <w:tab w:pos="1480" w:val="left" w:leader="none"/>
                <w:tab w:pos="2492" w:val="left" w:leader="none"/>
              </w:tabs>
              <w:spacing w:line="230" w:lineRule="exact"/>
              <w:rPr>
                <w:sz w:val="20"/>
              </w:rPr>
            </w:pPr>
            <w:r>
              <w:rPr>
                <w:sz w:val="20"/>
              </w:rPr>
              <w:t>17.1 </w:t>
            </w:r>
            <w:r>
              <w:rPr>
                <w:spacing w:val="-3"/>
                <w:sz w:val="20"/>
              </w:rPr>
              <w:t>si </w:t>
            </w:r>
            <w:r>
              <w:rPr>
                <w:spacing w:val="10"/>
                <w:sz w:val="20"/>
              </w:rPr>
              <w:t> </w:t>
            </w:r>
            <w:r>
              <w:rPr>
                <w:sz w:val="20"/>
              </w:rPr>
              <w:t>(</w:t>
              <w:tab/>
              <w:t>)</w:t>
              <w:tab/>
              <w:t>17.2 no (</w:t>
              <w:tab/>
              <w:t>)</w:t>
            </w:r>
          </w:p>
        </w:tc>
      </w:tr>
      <w:tr>
        <w:trPr>
          <w:trHeight w:val="372" w:hRule="exact"/>
        </w:trPr>
        <w:tc>
          <w:tcPr>
            <w:tcW w:w="10602" w:type="dxa"/>
          </w:tcPr>
          <w:p>
            <w:pPr>
              <w:pStyle w:val="TableParagraph"/>
              <w:spacing w:before="122"/>
              <w:rPr>
                <w:sz w:val="20"/>
              </w:rPr>
            </w:pPr>
            <w:r>
              <w:rPr>
                <w:sz w:val="20"/>
              </w:rPr>
              <w:t>18.¿Que tipo de artículos son los que envía?</w:t>
            </w:r>
          </w:p>
        </w:tc>
      </w:tr>
      <w:tr>
        <w:trPr>
          <w:trHeight w:val="250" w:hRule="exact"/>
        </w:trPr>
        <w:tc>
          <w:tcPr>
            <w:tcW w:w="10602" w:type="dxa"/>
          </w:tcPr>
          <w:p>
            <w:pPr>
              <w:pStyle w:val="TableParagraph"/>
              <w:tabs>
                <w:tab w:pos="6935" w:val="left" w:leader="none"/>
                <w:tab w:pos="9629" w:val="left" w:leader="none"/>
              </w:tabs>
              <w:rPr>
                <w:sz w:val="20"/>
              </w:rPr>
            </w:pPr>
            <w:r>
              <w:rPr>
                <w:sz w:val="20"/>
              </w:rPr>
              <w:t>18.1 Ropa (   )   18.2  Comida (   )   18.3 Medicinas (   )   18.4</w:t>
            </w:r>
            <w:r>
              <w:rPr>
                <w:spacing w:val="39"/>
                <w:sz w:val="20"/>
              </w:rPr>
              <w:t> </w:t>
            </w:r>
            <w:r>
              <w:rPr>
                <w:sz w:val="20"/>
              </w:rPr>
              <w:t>Juguetes</w:t>
            </w:r>
            <w:r>
              <w:rPr>
                <w:spacing w:val="-4"/>
                <w:sz w:val="20"/>
              </w:rPr>
              <w:t> </w:t>
            </w:r>
            <w:r>
              <w:rPr>
                <w:sz w:val="20"/>
              </w:rPr>
              <w:t>(</w:t>
              <w:tab/>
              <w:t>)   18.5</w:t>
            </w:r>
            <w:r>
              <w:rPr>
                <w:spacing w:val="52"/>
                <w:sz w:val="20"/>
              </w:rPr>
              <w:t> </w:t>
            </w:r>
            <w:r>
              <w:rPr>
                <w:sz w:val="20"/>
              </w:rPr>
              <w:t>electrodomésticos</w:t>
            </w:r>
            <w:r>
              <w:rPr>
                <w:spacing w:val="-4"/>
                <w:sz w:val="20"/>
              </w:rPr>
              <w:t> </w:t>
            </w:r>
            <w:r>
              <w:rPr>
                <w:sz w:val="20"/>
              </w:rPr>
              <w:t>(</w:t>
              <w:tab/>
              <w:t>)</w:t>
            </w:r>
          </w:p>
        </w:tc>
      </w:tr>
      <w:tr>
        <w:trPr>
          <w:trHeight w:val="384" w:hRule="exact"/>
        </w:trPr>
        <w:tc>
          <w:tcPr>
            <w:tcW w:w="10602" w:type="dxa"/>
          </w:tcPr>
          <w:p>
            <w:pPr>
              <w:pStyle w:val="TableParagraph"/>
              <w:tabs>
                <w:tab w:pos="3017" w:val="left" w:leader="none"/>
              </w:tabs>
              <w:spacing w:line="230" w:lineRule="exact"/>
              <w:rPr>
                <w:sz w:val="20"/>
              </w:rPr>
            </w:pPr>
            <w:r>
              <w:rPr>
                <w:sz w:val="20"/>
              </w:rPr>
              <w:t>18.6</w:t>
            </w:r>
            <w:r>
              <w:rPr>
                <w:spacing w:val="4"/>
                <w:sz w:val="20"/>
              </w:rPr>
              <w:t> </w:t>
            </w:r>
            <w:r>
              <w:rPr>
                <w:sz w:val="20"/>
              </w:rPr>
              <w:t>Otros</w:t>
            </w:r>
            <w:r>
              <w:rPr>
                <w:spacing w:val="-3"/>
                <w:sz w:val="20"/>
              </w:rPr>
              <w:t> </w:t>
            </w:r>
            <w:r>
              <w:rPr>
                <w:w w:val="100"/>
                <w:sz w:val="20"/>
                <w:u w:val="single"/>
              </w:rPr>
              <w:t> </w:t>
            </w:r>
            <w:r>
              <w:rPr>
                <w:sz w:val="20"/>
                <w:u w:val="single"/>
              </w:rPr>
              <w:tab/>
            </w:r>
          </w:p>
        </w:tc>
      </w:tr>
      <w:tr>
        <w:trPr>
          <w:trHeight w:val="360" w:hRule="exact"/>
        </w:trPr>
        <w:tc>
          <w:tcPr>
            <w:tcW w:w="10602" w:type="dxa"/>
          </w:tcPr>
          <w:p>
            <w:pPr>
              <w:pStyle w:val="TableParagraph"/>
              <w:spacing w:before="134"/>
              <w:ind w:left="3426"/>
              <w:rPr>
                <w:b/>
                <w:sz w:val="20"/>
              </w:rPr>
            </w:pPr>
            <w:r>
              <w:rPr>
                <w:b/>
                <w:sz w:val="20"/>
              </w:rPr>
              <w:t>¡¡¡Muchas Gracias por su tiempo!!!</w:t>
            </w:r>
          </w:p>
        </w:tc>
      </w:tr>
    </w:tbl>
    <w:sectPr>
      <w:pgSz w:w="12240" w:h="15840"/>
      <w:pgMar w:header="0" w:footer="1322" w:top="1500" w:bottom="1520" w:left="500" w:right="9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9.880005pt;margin-top:711.895996pt;width:9.6pt;height:13.05pt;mso-position-horizontal-relative:page;mso-position-vertical-relative:page;z-index:-62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pt;margin-top:711.895996pt;width:13.05pt;height:13.05pt;mso-position-horizontal-relative:page;mso-position-vertical-relative:page;z-index:-61840"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pt;margin-top:711.895996pt;width:15.05pt;height:13.05pt;mso-position-horizontal-relative:page;mso-position-vertical-relative:page;z-index:-61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pt;margin-top:711.895996pt;width:13.05pt;height:13.05pt;mso-position-horizontal-relative:page;mso-position-vertical-relative:page;z-index:-61792"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pt;margin-top:711.895996pt;width:15.05pt;height:13.05pt;mso-position-horizontal-relative:page;mso-position-vertical-relative:page;z-index:-61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pt;margin-top:711.895996pt;width:13.05pt;height:13.05pt;mso-position-horizontal-relative:page;mso-position-vertical-relative:page;z-index:-61744"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07pt;margin-top:711.895996pt;width:15.05pt;height:13.05pt;mso-position-horizontal-relative:page;mso-position-vertical-relative:page;z-index:-61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78</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pt;margin-top:711.895996pt;width:13.05pt;height:13.05pt;mso-position-horizontal-relative:page;mso-position-vertical-relative:page;z-index:-62032"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pt;margin-top:711.895996pt;width:15.05pt;height:13.05pt;mso-position-horizontal-relative:page;mso-position-vertical-relative:page;z-index:-62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pt;margin-top:711.895996pt;width:13.05pt;height:13.05pt;mso-position-horizontal-relative:page;mso-position-vertical-relative:page;z-index:-61984"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pt;margin-top:711.895996pt;width:15.05pt;height:13.05pt;mso-position-horizontal-relative:page;mso-position-vertical-relative:page;z-index:-61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pt;margin-top:711.895996pt;width:13.05pt;height:13.05pt;mso-position-horizontal-relative:page;mso-position-vertical-relative:page;z-index:-61936"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pt;margin-top:711.895996pt;width:15.05pt;height:13.05pt;mso-position-horizontal-relative:page;mso-position-vertical-relative:page;z-index:-61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pt;margin-top:711.895996pt;width:13.05pt;height:13.05pt;mso-position-horizontal-relative:page;mso-position-vertical-relative:page;z-index:-61888"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07pt;margin-top:711.895996pt;width:15.05pt;height:13.05pt;mso-position-horizontal-relative:page;mso-position-vertical-relative:page;z-index:-61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8"/>
      <w:numFmt w:val="decimal"/>
      <w:lvlText w:val="%1"/>
      <w:lvlJc w:val="left"/>
      <w:pPr>
        <w:ind w:left="556" w:hanging="404"/>
        <w:jc w:val="left"/>
      </w:pPr>
      <w:rPr>
        <w:rFonts w:hint="default"/>
      </w:rPr>
    </w:lvl>
    <w:lvl w:ilvl="1">
      <w:start w:val="2"/>
      <w:numFmt w:val="decimal"/>
      <w:lvlText w:val="%1.%2"/>
      <w:lvlJc w:val="left"/>
      <w:pPr>
        <w:ind w:left="556" w:hanging="404"/>
        <w:jc w:val="right"/>
      </w:pPr>
      <w:rPr>
        <w:rFonts w:hint="default" w:ascii="Arial" w:hAnsi="Arial" w:eastAsia="Arial" w:cs="Arial"/>
        <w:b/>
        <w:bCs/>
        <w:w w:val="99"/>
        <w:sz w:val="24"/>
        <w:szCs w:val="24"/>
      </w:rPr>
    </w:lvl>
    <w:lvl w:ilvl="2">
      <w:start w:val="1"/>
      <w:numFmt w:val="decimal"/>
      <w:lvlText w:val="%1.%2.%3."/>
      <w:lvlJc w:val="left"/>
      <w:pPr>
        <w:ind w:left="825" w:hanging="673"/>
        <w:jc w:val="right"/>
      </w:pPr>
      <w:rPr>
        <w:rFonts w:hint="default" w:ascii="Arial" w:hAnsi="Arial" w:eastAsia="Arial" w:cs="Arial"/>
        <w:b/>
        <w:bCs/>
        <w:i/>
        <w:w w:val="99"/>
        <w:sz w:val="24"/>
        <w:szCs w:val="24"/>
      </w:rPr>
    </w:lvl>
    <w:lvl w:ilvl="3">
      <w:start w:val="1"/>
      <w:numFmt w:val="bullet"/>
      <w:lvlText w:val="•"/>
      <w:lvlJc w:val="left"/>
      <w:pPr>
        <w:ind w:left="2660" w:hanging="673"/>
      </w:pPr>
      <w:rPr>
        <w:rFonts w:hint="default"/>
      </w:rPr>
    </w:lvl>
    <w:lvl w:ilvl="4">
      <w:start w:val="1"/>
      <w:numFmt w:val="bullet"/>
      <w:lvlText w:val="•"/>
      <w:lvlJc w:val="left"/>
      <w:pPr>
        <w:ind w:left="3580" w:hanging="673"/>
      </w:pPr>
      <w:rPr>
        <w:rFonts w:hint="default"/>
      </w:rPr>
    </w:lvl>
    <w:lvl w:ilvl="5">
      <w:start w:val="1"/>
      <w:numFmt w:val="bullet"/>
      <w:lvlText w:val="•"/>
      <w:lvlJc w:val="left"/>
      <w:pPr>
        <w:ind w:left="4500" w:hanging="673"/>
      </w:pPr>
      <w:rPr>
        <w:rFonts w:hint="default"/>
      </w:rPr>
    </w:lvl>
    <w:lvl w:ilvl="6">
      <w:start w:val="1"/>
      <w:numFmt w:val="bullet"/>
      <w:lvlText w:val="•"/>
      <w:lvlJc w:val="left"/>
      <w:pPr>
        <w:ind w:left="5420" w:hanging="673"/>
      </w:pPr>
      <w:rPr>
        <w:rFonts w:hint="default"/>
      </w:rPr>
    </w:lvl>
    <w:lvl w:ilvl="7">
      <w:start w:val="1"/>
      <w:numFmt w:val="bullet"/>
      <w:lvlText w:val="•"/>
      <w:lvlJc w:val="left"/>
      <w:pPr>
        <w:ind w:left="6340" w:hanging="673"/>
      </w:pPr>
      <w:rPr>
        <w:rFonts w:hint="default"/>
      </w:rPr>
    </w:lvl>
    <w:lvl w:ilvl="8">
      <w:start w:val="1"/>
      <w:numFmt w:val="bullet"/>
      <w:lvlText w:val="•"/>
      <w:lvlJc w:val="left"/>
      <w:pPr>
        <w:ind w:left="7260" w:hanging="673"/>
      </w:pPr>
      <w:rPr>
        <w:rFonts w:hint="default"/>
      </w:rPr>
    </w:lvl>
  </w:abstractNum>
  <w:abstractNum w:abstractNumId="14">
    <w:multiLevelType w:val="hybridMultilevel"/>
    <w:lvl w:ilvl="0">
      <w:start w:val="7"/>
      <w:numFmt w:val="decimal"/>
      <w:lvlText w:val="%1"/>
      <w:lvlJc w:val="left"/>
      <w:pPr>
        <w:ind w:left="690" w:hanging="471"/>
        <w:jc w:val="left"/>
      </w:pPr>
      <w:rPr>
        <w:rFonts w:hint="default"/>
      </w:rPr>
    </w:lvl>
    <w:lvl w:ilvl="1">
      <w:start w:val="1"/>
      <w:numFmt w:val="decimal"/>
      <w:lvlText w:val="%1.%2"/>
      <w:lvlJc w:val="left"/>
      <w:pPr>
        <w:ind w:left="690" w:hanging="471"/>
        <w:jc w:val="right"/>
      </w:pPr>
      <w:rPr>
        <w:rFonts w:hint="default" w:ascii="Arial" w:hAnsi="Arial" w:eastAsia="Arial" w:cs="Arial"/>
        <w:b/>
        <w:bCs/>
        <w:w w:val="99"/>
        <w:sz w:val="24"/>
        <w:szCs w:val="24"/>
      </w:rPr>
    </w:lvl>
    <w:lvl w:ilvl="2">
      <w:start w:val="1"/>
      <w:numFmt w:val="bullet"/>
      <w:lvlText w:val="•"/>
      <w:lvlJc w:val="left"/>
      <w:pPr>
        <w:ind w:left="2380" w:hanging="471"/>
      </w:pPr>
      <w:rPr>
        <w:rFonts w:hint="default"/>
      </w:rPr>
    </w:lvl>
    <w:lvl w:ilvl="3">
      <w:start w:val="1"/>
      <w:numFmt w:val="bullet"/>
      <w:lvlText w:val="•"/>
      <w:lvlJc w:val="left"/>
      <w:pPr>
        <w:ind w:left="3220" w:hanging="471"/>
      </w:pPr>
      <w:rPr>
        <w:rFonts w:hint="default"/>
      </w:rPr>
    </w:lvl>
    <w:lvl w:ilvl="4">
      <w:start w:val="1"/>
      <w:numFmt w:val="bullet"/>
      <w:lvlText w:val="•"/>
      <w:lvlJc w:val="left"/>
      <w:pPr>
        <w:ind w:left="4060" w:hanging="471"/>
      </w:pPr>
      <w:rPr>
        <w:rFonts w:hint="default"/>
      </w:rPr>
    </w:lvl>
    <w:lvl w:ilvl="5">
      <w:start w:val="1"/>
      <w:numFmt w:val="bullet"/>
      <w:lvlText w:val="•"/>
      <w:lvlJc w:val="left"/>
      <w:pPr>
        <w:ind w:left="4900" w:hanging="471"/>
      </w:pPr>
      <w:rPr>
        <w:rFonts w:hint="default"/>
      </w:rPr>
    </w:lvl>
    <w:lvl w:ilvl="6">
      <w:start w:val="1"/>
      <w:numFmt w:val="bullet"/>
      <w:lvlText w:val="•"/>
      <w:lvlJc w:val="left"/>
      <w:pPr>
        <w:ind w:left="5740" w:hanging="471"/>
      </w:pPr>
      <w:rPr>
        <w:rFonts w:hint="default"/>
      </w:rPr>
    </w:lvl>
    <w:lvl w:ilvl="7">
      <w:start w:val="1"/>
      <w:numFmt w:val="bullet"/>
      <w:lvlText w:val="•"/>
      <w:lvlJc w:val="left"/>
      <w:pPr>
        <w:ind w:left="6580" w:hanging="471"/>
      </w:pPr>
      <w:rPr>
        <w:rFonts w:hint="default"/>
      </w:rPr>
    </w:lvl>
    <w:lvl w:ilvl="8">
      <w:start w:val="1"/>
      <w:numFmt w:val="bullet"/>
      <w:lvlText w:val="•"/>
      <w:lvlJc w:val="left"/>
      <w:pPr>
        <w:ind w:left="7420" w:hanging="471"/>
      </w:pPr>
      <w:rPr>
        <w:rFonts w:hint="default"/>
      </w:rPr>
    </w:lvl>
  </w:abstractNum>
  <w:abstractNum w:abstractNumId="13">
    <w:multiLevelType w:val="hybridMultilevel"/>
    <w:lvl w:ilvl="0">
      <w:start w:val="1"/>
      <w:numFmt w:val="decimal"/>
      <w:lvlText w:val="%1)"/>
      <w:lvlJc w:val="left"/>
      <w:pPr>
        <w:ind w:left="592" w:hanging="360"/>
        <w:jc w:val="left"/>
      </w:pPr>
      <w:rPr>
        <w:rFonts w:hint="default" w:ascii="Arial" w:hAnsi="Arial" w:eastAsia="Arial" w:cs="Arial"/>
        <w:w w:val="99"/>
        <w:sz w:val="24"/>
        <w:szCs w:val="24"/>
      </w:rPr>
    </w:lvl>
    <w:lvl w:ilvl="1">
      <w:start w:val="1"/>
      <w:numFmt w:val="bullet"/>
      <w:lvlText w:val="•"/>
      <w:lvlJc w:val="left"/>
      <w:pPr>
        <w:ind w:left="860" w:hanging="360"/>
      </w:pPr>
      <w:rPr>
        <w:rFonts w:hint="default"/>
      </w:rPr>
    </w:lvl>
    <w:lvl w:ilvl="2">
      <w:start w:val="1"/>
      <w:numFmt w:val="bullet"/>
      <w:lvlText w:val="•"/>
      <w:lvlJc w:val="left"/>
      <w:pPr>
        <w:ind w:left="1120" w:hanging="360"/>
      </w:pPr>
      <w:rPr>
        <w:rFonts w:hint="default"/>
      </w:rPr>
    </w:lvl>
    <w:lvl w:ilvl="3">
      <w:start w:val="1"/>
      <w:numFmt w:val="bullet"/>
      <w:lvlText w:val="•"/>
      <w:lvlJc w:val="left"/>
      <w:pPr>
        <w:ind w:left="1380" w:hanging="360"/>
      </w:pPr>
      <w:rPr>
        <w:rFonts w:hint="default"/>
      </w:rPr>
    </w:lvl>
    <w:lvl w:ilvl="4">
      <w:start w:val="1"/>
      <w:numFmt w:val="bullet"/>
      <w:lvlText w:val="•"/>
      <w:lvlJc w:val="left"/>
      <w:pPr>
        <w:ind w:left="1640" w:hanging="360"/>
      </w:pPr>
      <w:rPr>
        <w:rFonts w:hint="default"/>
      </w:rPr>
    </w:lvl>
    <w:lvl w:ilvl="5">
      <w:start w:val="1"/>
      <w:numFmt w:val="bullet"/>
      <w:lvlText w:val="•"/>
      <w:lvlJc w:val="left"/>
      <w:pPr>
        <w:ind w:left="1900" w:hanging="360"/>
      </w:pPr>
      <w:rPr>
        <w:rFonts w:hint="default"/>
      </w:rPr>
    </w:lvl>
    <w:lvl w:ilvl="6">
      <w:start w:val="1"/>
      <w:numFmt w:val="bullet"/>
      <w:lvlText w:val="•"/>
      <w:lvlJc w:val="left"/>
      <w:pPr>
        <w:ind w:left="2160" w:hanging="360"/>
      </w:pPr>
      <w:rPr>
        <w:rFonts w:hint="default"/>
      </w:rPr>
    </w:lvl>
    <w:lvl w:ilvl="7">
      <w:start w:val="1"/>
      <w:numFmt w:val="bullet"/>
      <w:lvlText w:val="•"/>
      <w:lvlJc w:val="left"/>
      <w:pPr>
        <w:ind w:left="2421" w:hanging="360"/>
      </w:pPr>
      <w:rPr>
        <w:rFonts w:hint="default"/>
      </w:rPr>
    </w:lvl>
    <w:lvl w:ilvl="8">
      <w:start w:val="1"/>
      <w:numFmt w:val="bullet"/>
      <w:lvlText w:val="•"/>
      <w:lvlJc w:val="left"/>
      <w:pPr>
        <w:ind w:left="2681" w:hanging="360"/>
      </w:pPr>
      <w:rPr>
        <w:rFonts w:hint="default"/>
      </w:rPr>
    </w:lvl>
  </w:abstractNum>
  <w:abstractNum w:abstractNumId="12">
    <w:multiLevelType w:val="hybridMultilevel"/>
    <w:lvl w:ilvl="0">
      <w:start w:val="1"/>
      <w:numFmt w:val="decimal"/>
      <w:lvlText w:val="%1)"/>
      <w:lvlJc w:val="left"/>
      <w:pPr>
        <w:ind w:left="592" w:hanging="360"/>
        <w:jc w:val="left"/>
      </w:pPr>
      <w:rPr>
        <w:rFonts w:hint="default" w:ascii="Arial" w:hAnsi="Arial" w:eastAsia="Arial" w:cs="Arial"/>
        <w:w w:val="99"/>
        <w:sz w:val="24"/>
        <w:szCs w:val="24"/>
      </w:rPr>
    </w:lvl>
    <w:lvl w:ilvl="1">
      <w:start w:val="1"/>
      <w:numFmt w:val="bullet"/>
      <w:lvlText w:val="•"/>
      <w:lvlJc w:val="left"/>
      <w:pPr>
        <w:ind w:left="860" w:hanging="360"/>
      </w:pPr>
      <w:rPr>
        <w:rFonts w:hint="default"/>
      </w:rPr>
    </w:lvl>
    <w:lvl w:ilvl="2">
      <w:start w:val="1"/>
      <w:numFmt w:val="bullet"/>
      <w:lvlText w:val="•"/>
      <w:lvlJc w:val="left"/>
      <w:pPr>
        <w:ind w:left="1120" w:hanging="360"/>
      </w:pPr>
      <w:rPr>
        <w:rFonts w:hint="default"/>
      </w:rPr>
    </w:lvl>
    <w:lvl w:ilvl="3">
      <w:start w:val="1"/>
      <w:numFmt w:val="bullet"/>
      <w:lvlText w:val="•"/>
      <w:lvlJc w:val="left"/>
      <w:pPr>
        <w:ind w:left="1380" w:hanging="360"/>
      </w:pPr>
      <w:rPr>
        <w:rFonts w:hint="default"/>
      </w:rPr>
    </w:lvl>
    <w:lvl w:ilvl="4">
      <w:start w:val="1"/>
      <w:numFmt w:val="bullet"/>
      <w:lvlText w:val="•"/>
      <w:lvlJc w:val="left"/>
      <w:pPr>
        <w:ind w:left="1640" w:hanging="360"/>
      </w:pPr>
      <w:rPr>
        <w:rFonts w:hint="default"/>
      </w:rPr>
    </w:lvl>
    <w:lvl w:ilvl="5">
      <w:start w:val="1"/>
      <w:numFmt w:val="bullet"/>
      <w:lvlText w:val="•"/>
      <w:lvlJc w:val="left"/>
      <w:pPr>
        <w:ind w:left="1900" w:hanging="360"/>
      </w:pPr>
      <w:rPr>
        <w:rFonts w:hint="default"/>
      </w:rPr>
    </w:lvl>
    <w:lvl w:ilvl="6">
      <w:start w:val="1"/>
      <w:numFmt w:val="bullet"/>
      <w:lvlText w:val="•"/>
      <w:lvlJc w:val="left"/>
      <w:pPr>
        <w:ind w:left="2160" w:hanging="360"/>
      </w:pPr>
      <w:rPr>
        <w:rFonts w:hint="default"/>
      </w:rPr>
    </w:lvl>
    <w:lvl w:ilvl="7">
      <w:start w:val="1"/>
      <w:numFmt w:val="bullet"/>
      <w:lvlText w:val="•"/>
      <w:lvlJc w:val="left"/>
      <w:pPr>
        <w:ind w:left="2421" w:hanging="360"/>
      </w:pPr>
      <w:rPr>
        <w:rFonts w:hint="default"/>
      </w:rPr>
    </w:lvl>
    <w:lvl w:ilvl="8">
      <w:start w:val="1"/>
      <w:numFmt w:val="bullet"/>
      <w:lvlText w:val="•"/>
      <w:lvlJc w:val="left"/>
      <w:pPr>
        <w:ind w:left="2681" w:hanging="360"/>
      </w:pPr>
      <w:rPr>
        <w:rFonts w:hint="default"/>
      </w:rPr>
    </w:lvl>
  </w:abstractNum>
  <w:abstractNum w:abstractNumId="11">
    <w:multiLevelType w:val="hybridMultilevel"/>
    <w:lvl w:ilvl="0">
      <w:start w:val="1"/>
      <w:numFmt w:val="decimal"/>
      <w:lvlText w:val="%1)"/>
      <w:lvlJc w:val="left"/>
      <w:pPr>
        <w:ind w:left="592" w:hanging="360"/>
        <w:jc w:val="left"/>
      </w:pPr>
      <w:rPr>
        <w:rFonts w:hint="default" w:ascii="Arial" w:hAnsi="Arial" w:eastAsia="Arial" w:cs="Arial"/>
        <w:w w:val="99"/>
        <w:sz w:val="24"/>
        <w:szCs w:val="24"/>
      </w:rPr>
    </w:lvl>
    <w:lvl w:ilvl="1">
      <w:start w:val="1"/>
      <w:numFmt w:val="bullet"/>
      <w:lvlText w:val="•"/>
      <w:lvlJc w:val="left"/>
      <w:pPr>
        <w:ind w:left="860" w:hanging="360"/>
      </w:pPr>
      <w:rPr>
        <w:rFonts w:hint="default"/>
      </w:rPr>
    </w:lvl>
    <w:lvl w:ilvl="2">
      <w:start w:val="1"/>
      <w:numFmt w:val="bullet"/>
      <w:lvlText w:val="•"/>
      <w:lvlJc w:val="left"/>
      <w:pPr>
        <w:ind w:left="1120" w:hanging="360"/>
      </w:pPr>
      <w:rPr>
        <w:rFonts w:hint="default"/>
      </w:rPr>
    </w:lvl>
    <w:lvl w:ilvl="3">
      <w:start w:val="1"/>
      <w:numFmt w:val="bullet"/>
      <w:lvlText w:val="•"/>
      <w:lvlJc w:val="left"/>
      <w:pPr>
        <w:ind w:left="1380" w:hanging="360"/>
      </w:pPr>
      <w:rPr>
        <w:rFonts w:hint="default"/>
      </w:rPr>
    </w:lvl>
    <w:lvl w:ilvl="4">
      <w:start w:val="1"/>
      <w:numFmt w:val="bullet"/>
      <w:lvlText w:val="•"/>
      <w:lvlJc w:val="left"/>
      <w:pPr>
        <w:ind w:left="1640" w:hanging="360"/>
      </w:pPr>
      <w:rPr>
        <w:rFonts w:hint="default"/>
      </w:rPr>
    </w:lvl>
    <w:lvl w:ilvl="5">
      <w:start w:val="1"/>
      <w:numFmt w:val="bullet"/>
      <w:lvlText w:val="•"/>
      <w:lvlJc w:val="left"/>
      <w:pPr>
        <w:ind w:left="1900" w:hanging="360"/>
      </w:pPr>
      <w:rPr>
        <w:rFonts w:hint="default"/>
      </w:rPr>
    </w:lvl>
    <w:lvl w:ilvl="6">
      <w:start w:val="1"/>
      <w:numFmt w:val="bullet"/>
      <w:lvlText w:val="•"/>
      <w:lvlJc w:val="left"/>
      <w:pPr>
        <w:ind w:left="2160" w:hanging="360"/>
      </w:pPr>
      <w:rPr>
        <w:rFonts w:hint="default"/>
      </w:rPr>
    </w:lvl>
    <w:lvl w:ilvl="7">
      <w:start w:val="1"/>
      <w:numFmt w:val="bullet"/>
      <w:lvlText w:val="•"/>
      <w:lvlJc w:val="left"/>
      <w:pPr>
        <w:ind w:left="2421" w:hanging="360"/>
      </w:pPr>
      <w:rPr>
        <w:rFonts w:hint="default"/>
      </w:rPr>
    </w:lvl>
    <w:lvl w:ilvl="8">
      <w:start w:val="1"/>
      <w:numFmt w:val="bullet"/>
      <w:lvlText w:val="•"/>
      <w:lvlJc w:val="left"/>
      <w:pPr>
        <w:ind w:left="2681" w:hanging="360"/>
      </w:pPr>
      <w:rPr>
        <w:rFonts w:hint="default"/>
      </w:rPr>
    </w:lvl>
  </w:abstractNum>
  <w:abstractNum w:abstractNumId="10">
    <w:multiLevelType w:val="hybridMultilevel"/>
    <w:lvl w:ilvl="0">
      <w:start w:val="1"/>
      <w:numFmt w:val="decimal"/>
      <w:lvlText w:val="%1."/>
      <w:lvlJc w:val="left"/>
      <w:pPr>
        <w:ind w:left="873" w:hanging="360"/>
        <w:jc w:val="left"/>
      </w:pPr>
      <w:rPr>
        <w:rFonts w:hint="default" w:ascii="Arial" w:hAnsi="Arial" w:eastAsia="Arial" w:cs="Arial"/>
        <w:spacing w:val="-8"/>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9">
    <w:multiLevelType w:val="hybridMultilevel"/>
    <w:lvl w:ilvl="0">
      <w:start w:val="1"/>
      <w:numFmt w:val="decimal"/>
      <w:lvlText w:val="%1."/>
      <w:lvlJc w:val="left"/>
      <w:pPr>
        <w:ind w:left="873" w:hanging="360"/>
        <w:jc w:val="left"/>
      </w:pPr>
      <w:rPr>
        <w:rFonts w:hint="default" w:ascii="Arial" w:hAnsi="Arial" w:eastAsia="Arial" w:cs="Arial"/>
        <w:spacing w:val="-8"/>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8">
    <w:multiLevelType w:val="hybridMultilevel"/>
    <w:lvl w:ilvl="0">
      <w:start w:val="1"/>
      <w:numFmt w:val="decimal"/>
      <w:lvlText w:val="%1."/>
      <w:lvlJc w:val="left"/>
      <w:pPr>
        <w:ind w:left="873" w:hanging="360"/>
        <w:jc w:val="left"/>
      </w:pPr>
      <w:rPr>
        <w:rFonts w:hint="default" w:ascii="Arial" w:hAnsi="Arial" w:eastAsia="Arial" w:cs="Arial"/>
        <w:spacing w:val="-8"/>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7">
    <w:multiLevelType w:val="hybridMultilevel"/>
    <w:lvl w:ilvl="0">
      <w:start w:val="1"/>
      <w:numFmt w:val="decimal"/>
      <w:lvlText w:val="%1."/>
      <w:lvlJc w:val="left"/>
      <w:pPr>
        <w:ind w:left="873" w:hanging="360"/>
        <w:jc w:val="left"/>
      </w:pPr>
      <w:rPr>
        <w:rFonts w:hint="default" w:ascii="Arial" w:hAnsi="Arial" w:eastAsia="Arial" w:cs="Arial"/>
        <w:spacing w:val="-8"/>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6">
    <w:multiLevelType w:val="hybridMultilevel"/>
    <w:lvl w:ilvl="0">
      <w:start w:val="6"/>
      <w:numFmt w:val="decimal"/>
      <w:lvlText w:val="%1"/>
      <w:lvlJc w:val="left"/>
      <w:pPr>
        <w:ind w:left="825" w:hanging="673"/>
        <w:jc w:val="left"/>
      </w:pPr>
      <w:rPr>
        <w:rFonts w:hint="default"/>
      </w:rPr>
    </w:lvl>
    <w:lvl w:ilvl="1">
      <w:start w:val="3"/>
      <w:numFmt w:val="decimal"/>
      <w:lvlText w:val="%1.%2"/>
      <w:lvlJc w:val="left"/>
      <w:pPr>
        <w:ind w:left="825" w:hanging="673"/>
        <w:jc w:val="left"/>
      </w:pPr>
      <w:rPr>
        <w:rFonts w:hint="default"/>
      </w:rPr>
    </w:lvl>
    <w:lvl w:ilvl="2">
      <w:start w:val="1"/>
      <w:numFmt w:val="decimal"/>
      <w:lvlText w:val="%1.%2.%3."/>
      <w:lvlJc w:val="left"/>
      <w:pPr>
        <w:ind w:left="825" w:hanging="673"/>
        <w:jc w:val="left"/>
      </w:pPr>
      <w:rPr>
        <w:rFonts w:hint="default" w:ascii="Arial" w:hAnsi="Arial" w:eastAsia="Arial" w:cs="Arial"/>
        <w:b/>
        <w:bCs/>
        <w:i/>
        <w:spacing w:val="0"/>
        <w:w w:val="99"/>
        <w:sz w:val="24"/>
        <w:szCs w:val="24"/>
      </w:rPr>
    </w:lvl>
    <w:lvl w:ilvl="3">
      <w:start w:val="1"/>
      <w:numFmt w:val="bullet"/>
      <w:lvlText w:val="•"/>
      <w:lvlJc w:val="left"/>
      <w:pPr>
        <w:ind w:left="3304" w:hanging="673"/>
      </w:pPr>
      <w:rPr>
        <w:rFonts w:hint="default"/>
      </w:rPr>
    </w:lvl>
    <w:lvl w:ilvl="4">
      <w:start w:val="1"/>
      <w:numFmt w:val="bullet"/>
      <w:lvlText w:val="•"/>
      <w:lvlJc w:val="left"/>
      <w:pPr>
        <w:ind w:left="4132" w:hanging="673"/>
      </w:pPr>
      <w:rPr>
        <w:rFonts w:hint="default"/>
      </w:rPr>
    </w:lvl>
    <w:lvl w:ilvl="5">
      <w:start w:val="1"/>
      <w:numFmt w:val="bullet"/>
      <w:lvlText w:val="•"/>
      <w:lvlJc w:val="left"/>
      <w:pPr>
        <w:ind w:left="4960" w:hanging="673"/>
      </w:pPr>
      <w:rPr>
        <w:rFonts w:hint="default"/>
      </w:rPr>
    </w:lvl>
    <w:lvl w:ilvl="6">
      <w:start w:val="1"/>
      <w:numFmt w:val="bullet"/>
      <w:lvlText w:val="•"/>
      <w:lvlJc w:val="left"/>
      <w:pPr>
        <w:ind w:left="5788" w:hanging="673"/>
      </w:pPr>
      <w:rPr>
        <w:rFonts w:hint="default"/>
      </w:rPr>
    </w:lvl>
    <w:lvl w:ilvl="7">
      <w:start w:val="1"/>
      <w:numFmt w:val="bullet"/>
      <w:lvlText w:val="•"/>
      <w:lvlJc w:val="left"/>
      <w:pPr>
        <w:ind w:left="6616" w:hanging="673"/>
      </w:pPr>
      <w:rPr>
        <w:rFonts w:hint="default"/>
      </w:rPr>
    </w:lvl>
    <w:lvl w:ilvl="8">
      <w:start w:val="1"/>
      <w:numFmt w:val="bullet"/>
      <w:lvlText w:val="•"/>
      <w:lvlJc w:val="left"/>
      <w:pPr>
        <w:ind w:left="7444" w:hanging="673"/>
      </w:pPr>
      <w:rPr>
        <w:rFonts w:hint="default"/>
      </w:rPr>
    </w:lvl>
  </w:abstractNum>
  <w:abstractNum w:abstractNumId="5">
    <w:multiLevelType w:val="hybridMultilevel"/>
    <w:lvl w:ilvl="0">
      <w:start w:val="6"/>
      <w:numFmt w:val="decimal"/>
      <w:lvlText w:val="%1"/>
      <w:lvlJc w:val="left"/>
      <w:pPr>
        <w:ind w:left="623" w:hanging="471"/>
        <w:jc w:val="left"/>
      </w:pPr>
      <w:rPr>
        <w:rFonts w:hint="default"/>
      </w:rPr>
    </w:lvl>
    <w:lvl w:ilvl="1">
      <w:start w:val="1"/>
      <w:numFmt w:val="decimal"/>
      <w:lvlText w:val="%1.%2."/>
      <w:lvlJc w:val="left"/>
      <w:pPr>
        <w:ind w:left="623" w:hanging="471"/>
        <w:jc w:val="left"/>
      </w:pPr>
      <w:rPr>
        <w:rFonts w:hint="default" w:ascii="Arial" w:hAnsi="Arial" w:eastAsia="Arial" w:cs="Arial"/>
        <w:b/>
        <w:bCs/>
        <w:w w:val="99"/>
        <w:sz w:val="24"/>
        <w:szCs w:val="24"/>
      </w:rPr>
    </w:lvl>
    <w:lvl w:ilvl="2">
      <w:start w:val="1"/>
      <w:numFmt w:val="decimal"/>
      <w:lvlText w:val="%3."/>
      <w:lvlJc w:val="left"/>
      <w:pPr>
        <w:ind w:left="873" w:hanging="360"/>
        <w:jc w:val="left"/>
      </w:pPr>
      <w:rPr>
        <w:rFonts w:hint="default" w:ascii="Arial" w:hAnsi="Arial" w:eastAsia="Arial" w:cs="Arial"/>
        <w:spacing w:val="-33"/>
        <w:w w:val="99"/>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4">
    <w:multiLevelType w:val="hybridMultilevel"/>
    <w:lvl w:ilvl="0">
      <w:start w:val="1"/>
      <w:numFmt w:val="decimal"/>
      <w:lvlText w:val="%1."/>
      <w:lvlJc w:val="left"/>
      <w:pPr>
        <w:ind w:left="873" w:hanging="360"/>
        <w:jc w:val="left"/>
      </w:pPr>
      <w:rPr>
        <w:rFonts w:hint="default" w:ascii="Arial" w:hAnsi="Arial" w:eastAsia="Arial" w:cs="Arial"/>
        <w:spacing w:val="-8"/>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3">
    <w:multiLevelType w:val="hybridMultilevel"/>
    <w:lvl w:ilvl="0">
      <w:start w:val="8"/>
      <w:numFmt w:val="decimal"/>
      <w:lvlText w:val="%1"/>
      <w:lvlJc w:val="left"/>
      <w:pPr>
        <w:ind w:left="742" w:hanging="369"/>
        <w:jc w:val="left"/>
      </w:pPr>
      <w:rPr>
        <w:rFonts w:hint="default"/>
      </w:rPr>
    </w:lvl>
    <w:lvl w:ilvl="1">
      <w:start w:val="2"/>
      <w:numFmt w:val="decimal"/>
      <w:lvlText w:val="%1.%2"/>
      <w:lvlJc w:val="left"/>
      <w:pPr>
        <w:ind w:left="742" w:hanging="369"/>
        <w:jc w:val="left"/>
      </w:pPr>
      <w:rPr>
        <w:rFonts w:hint="default" w:ascii="Arial" w:hAnsi="Arial" w:eastAsia="Arial" w:cs="Arial"/>
        <w:spacing w:val="0"/>
        <w:w w:val="100"/>
        <w:sz w:val="22"/>
        <w:szCs w:val="22"/>
      </w:rPr>
    </w:lvl>
    <w:lvl w:ilvl="2">
      <w:start w:val="1"/>
      <w:numFmt w:val="decimal"/>
      <w:lvlText w:val="%1.%2.%3."/>
      <w:lvlJc w:val="left"/>
      <w:pPr>
        <w:ind w:left="1208" w:hanging="614"/>
        <w:jc w:val="left"/>
      </w:pPr>
      <w:rPr>
        <w:rFonts w:hint="default" w:ascii="Arial" w:hAnsi="Arial" w:eastAsia="Arial" w:cs="Arial"/>
        <w:i/>
        <w:spacing w:val="-3"/>
        <w:w w:val="100"/>
        <w:sz w:val="22"/>
        <w:szCs w:val="22"/>
      </w:rPr>
    </w:lvl>
    <w:lvl w:ilvl="3">
      <w:start w:val="1"/>
      <w:numFmt w:val="bullet"/>
      <w:lvlText w:val="•"/>
      <w:lvlJc w:val="left"/>
      <w:pPr>
        <w:ind w:left="2955" w:hanging="614"/>
      </w:pPr>
      <w:rPr>
        <w:rFonts w:hint="default"/>
      </w:rPr>
    </w:lvl>
    <w:lvl w:ilvl="4">
      <w:start w:val="1"/>
      <w:numFmt w:val="bullet"/>
      <w:lvlText w:val="•"/>
      <w:lvlJc w:val="left"/>
      <w:pPr>
        <w:ind w:left="3833" w:hanging="614"/>
      </w:pPr>
      <w:rPr>
        <w:rFonts w:hint="default"/>
      </w:rPr>
    </w:lvl>
    <w:lvl w:ilvl="5">
      <w:start w:val="1"/>
      <w:numFmt w:val="bullet"/>
      <w:lvlText w:val="•"/>
      <w:lvlJc w:val="left"/>
      <w:pPr>
        <w:ind w:left="4711" w:hanging="614"/>
      </w:pPr>
      <w:rPr>
        <w:rFonts w:hint="default"/>
      </w:rPr>
    </w:lvl>
    <w:lvl w:ilvl="6">
      <w:start w:val="1"/>
      <w:numFmt w:val="bullet"/>
      <w:lvlText w:val="•"/>
      <w:lvlJc w:val="left"/>
      <w:pPr>
        <w:ind w:left="5588" w:hanging="614"/>
      </w:pPr>
      <w:rPr>
        <w:rFonts w:hint="default"/>
      </w:rPr>
    </w:lvl>
    <w:lvl w:ilvl="7">
      <w:start w:val="1"/>
      <w:numFmt w:val="bullet"/>
      <w:lvlText w:val="•"/>
      <w:lvlJc w:val="left"/>
      <w:pPr>
        <w:ind w:left="6466" w:hanging="614"/>
      </w:pPr>
      <w:rPr>
        <w:rFonts w:hint="default"/>
      </w:rPr>
    </w:lvl>
    <w:lvl w:ilvl="8">
      <w:start w:val="1"/>
      <w:numFmt w:val="bullet"/>
      <w:lvlText w:val="•"/>
      <w:lvlJc w:val="left"/>
      <w:pPr>
        <w:ind w:left="7344" w:hanging="614"/>
      </w:pPr>
      <w:rPr>
        <w:rFonts w:hint="default"/>
      </w:rPr>
    </w:lvl>
  </w:abstractNum>
  <w:abstractNum w:abstractNumId="2">
    <w:multiLevelType w:val="hybridMultilevel"/>
    <w:lvl w:ilvl="0">
      <w:start w:val="7"/>
      <w:numFmt w:val="decimal"/>
      <w:lvlText w:val="%1"/>
      <w:lvlJc w:val="left"/>
      <w:pPr>
        <w:ind w:left="805" w:hanging="432"/>
        <w:jc w:val="left"/>
      </w:pPr>
      <w:rPr>
        <w:rFonts w:hint="default"/>
      </w:rPr>
    </w:lvl>
    <w:lvl w:ilvl="1">
      <w:start w:val="1"/>
      <w:numFmt w:val="decimal"/>
      <w:lvlText w:val="%1.%2"/>
      <w:lvlJc w:val="left"/>
      <w:pPr>
        <w:ind w:left="805" w:hanging="432"/>
        <w:jc w:val="left"/>
      </w:pPr>
      <w:rPr>
        <w:rFonts w:hint="default" w:ascii="Arial" w:hAnsi="Arial" w:eastAsia="Arial" w:cs="Arial"/>
        <w:spacing w:val="0"/>
        <w:w w:val="100"/>
        <w:sz w:val="22"/>
        <w:szCs w:val="22"/>
      </w:rPr>
    </w:lvl>
    <w:lvl w:ilvl="2">
      <w:start w:val="1"/>
      <w:numFmt w:val="bullet"/>
      <w:lvlText w:val="•"/>
      <w:lvlJc w:val="left"/>
      <w:pPr>
        <w:ind w:left="2460" w:hanging="432"/>
      </w:pPr>
      <w:rPr>
        <w:rFonts w:hint="default"/>
      </w:rPr>
    </w:lvl>
    <w:lvl w:ilvl="3">
      <w:start w:val="1"/>
      <w:numFmt w:val="bullet"/>
      <w:lvlText w:val="•"/>
      <w:lvlJc w:val="left"/>
      <w:pPr>
        <w:ind w:left="3290" w:hanging="432"/>
      </w:pPr>
      <w:rPr>
        <w:rFonts w:hint="default"/>
      </w:rPr>
    </w:lvl>
    <w:lvl w:ilvl="4">
      <w:start w:val="1"/>
      <w:numFmt w:val="bullet"/>
      <w:lvlText w:val="•"/>
      <w:lvlJc w:val="left"/>
      <w:pPr>
        <w:ind w:left="4120" w:hanging="432"/>
      </w:pPr>
      <w:rPr>
        <w:rFonts w:hint="default"/>
      </w:rPr>
    </w:lvl>
    <w:lvl w:ilvl="5">
      <w:start w:val="1"/>
      <w:numFmt w:val="bullet"/>
      <w:lvlText w:val="•"/>
      <w:lvlJc w:val="left"/>
      <w:pPr>
        <w:ind w:left="4950" w:hanging="432"/>
      </w:pPr>
      <w:rPr>
        <w:rFonts w:hint="default"/>
      </w:rPr>
    </w:lvl>
    <w:lvl w:ilvl="6">
      <w:start w:val="1"/>
      <w:numFmt w:val="bullet"/>
      <w:lvlText w:val="•"/>
      <w:lvlJc w:val="left"/>
      <w:pPr>
        <w:ind w:left="5780" w:hanging="432"/>
      </w:pPr>
      <w:rPr>
        <w:rFonts w:hint="default"/>
      </w:rPr>
    </w:lvl>
    <w:lvl w:ilvl="7">
      <w:start w:val="1"/>
      <w:numFmt w:val="bullet"/>
      <w:lvlText w:val="•"/>
      <w:lvlJc w:val="left"/>
      <w:pPr>
        <w:ind w:left="6610" w:hanging="432"/>
      </w:pPr>
      <w:rPr>
        <w:rFonts w:hint="default"/>
      </w:rPr>
    </w:lvl>
    <w:lvl w:ilvl="8">
      <w:start w:val="1"/>
      <w:numFmt w:val="bullet"/>
      <w:lvlText w:val="•"/>
      <w:lvlJc w:val="left"/>
      <w:pPr>
        <w:ind w:left="7440" w:hanging="432"/>
      </w:pPr>
      <w:rPr>
        <w:rFonts w:hint="default"/>
      </w:rPr>
    </w:lvl>
  </w:abstractNum>
  <w:abstractNum w:abstractNumId="1">
    <w:multiLevelType w:val="hybridMultilevel"/>
    <w:lvl w:ilvl="0">
      <w:start w:val="6"/>
      <w:numFmt w:val="decimal"/>
      <w:lvlText w:val="%1"/>
      <w:lvlJc w:val="left"/>
      <w:pPr>
        <w:ind w:left="805" w:hanging="432"/>
        <w:jc w:val="left"/>
      </w:pPr>
      <w:rPr>
        <w:rFonts w:hint="default"/>
      </w:rPr>
    </w:lvl>
    <w:lvl w:ilvl="1">
      <w:start w:val="1"/>
      <w:numFmt w:val="decimal"/>
      <w:lvlText w:val="%1.%2."/>
      <w:lvlJc w:val="left"/>
      <w:pPr>
        <w:ind w:left="805" w:hanging="432"/>
        <w:jc w:val="left"/>
      </w:pPr>
      <w:rPr>
        <w:rFonts w:hint="default" w:ascii="Arial" w:hAnsi="Arial" w:eastAsia="Arial" w:cs="Arial"/>
        <w:spacing w:val="-3"/>
        <w:w w:val="100"/>
        <w:sz w:val="22"/>
        <w:szCs w:val="22"/>
      </w:rPr>
    </w:lvl>
    <w:lvl w:ilvl="2">
      <w:start w:val="1"/>
      <w:numFmt w:val="decimal"/>
      <w:lvlText w:val="%1.%2.%3."/>
      <w:lvlJc w:val="left"/>
      <w:pPr>
        <w:ind w:left="1208" w:hanging="614"/>
        <w:jc w:val="left"/>
      </w:pPr>
      <w:rPr>
        <w:rFonts w:hint="default" w:ascii="Arial" w:hAnsi="Arial" w:eastAsia="Arial" w:cs="Arial"/>
        <w:i/>
        <w:spacing w:val="-3"/>
        <w:w w:val="100"/>
        <w:sz w:val="22"/>
        <w:szCs w:val="22"/>
      </w:rPr>
    </w:lvl>
    <w:lvl w:ilvl="3">
      <w:start w:val="1"/>
      <w:numFmt w:val="bullet"/>
      <w:lvlText w:val="•"/>
      <w:lvlJc w:val="left"/>
      <w:pPr>
        <w:ind w:left="2955" w:hanging="614"/>
      </w:pPr>
      <w:rPr>
        <w:rFonts w:hint="default"/>
      </w:rPr>
    </w:lvl>
    <w:lvl w:ilvl="4">
      <w:start w:val="1"/>
      <w:numFmt w:val="bullet"/>
      <w:lvlText w:val="•"/>
      <w:lvlJc w:val="left"/>
      <w:pPr>
        <w:ind w:left="3833" w:hanging="614"/>
      </w:pPr>
      <w:rPr>
        <w:rFonts w:hint="default"/>
      </w:rPr>
    </w:lvl>
    <w:lvl w:ilvl="5">
      <w:start w:val="1"/>
      <w:numFmt w:val="bullet"/>
      <w:lvlText w:val="•"/>
      <w:lvlJc w:val="left"/>
      <w:pPr>
        <w:ind w:left="4711" w:hanging="614"/>
      </w:pPr>
      <w:rPr>
        <w:rFonts w:hint="default"/>
      </w:rPr>
    </w:lvl>
    <w:lvl w:ilvl="6">
      <w:start w:val="1"/>
      <w:numFmt w:val="bullet"/>
      <w:lvlText w:val="•"/>
      <w:lvlJc w:val="left"/>
      <w:pPr>
        <w:ind w:left="5588" w:hanging="614"/>
      </w:pPr>
      <w:rPr>
        <w:rFonts w:hint="default"/>
      </w:rPr>
    </w:lvl>
    <w:lvl w:ilvl="7">
      <w:start w:val="1"/>
      <w:numFmt w:val="bullet"/>
      <w:lvlText w:val="•"/>
      <w:lvlJc w:val="left"/>
      <w:pPr>
        <w:ind w:left="6466" w:hanging="614"/>
      </w:pPr>
      <w:rPr>
        <w:rFonts w:hint="default"/>
      </w:rPr>
    </w:lvl>
    <w:lvl w:ilvl="8">
      <w:start w:val="1"/>
      <w:numFmt w:val="bullet"/>
      <w:lvlText w:val="•"/>
      <w:lvlJc w:val="left"/>
      <w:pPr>
        <w:ind w:left="7344" w:hanging="614"/>
      </w:pPr>
      <w:rPr>
        <w:rFonts w:hint="default"/>
      </w:rPr>
    </w:lvl>
  </w:abstractNum>
  <w:abstractNum w:abstractNumId="0">
    <w:multiLevelType w:val="hybridMultilevel"/>
    <w:lvl w:ilvl="0">
      <w:start w:val="1"/>
      <w:numFmt w:val="upperRoman"/>
      <w:lvlText w:val="%1."/>
      <w:lvlJc w:val="left"/>
      <w:pPr>
        <w:ind w:left="152" w:hanging="183"/>
        <w:jc w:val="left"/>
      </w:pPr>
      <w:rPr>
        <w:rFonts w:hint="default" w:ascii="Arial" w:hAnsi="Arial" w:eastAsia="Arial" w:cs="Arial"/>
        <w:spacing w:val="-4"/>
        <w:w w:val="100"/>
        <w:sz w:val="22"/>
        <w:szCs w:val="22"/>
      </w:rPr>
    </w:lvl>
    <w:lvl w:ilvl="1">
      <w:start w:val="1"/>
      <w:numFmt w:val="upperRoman"/>
      <w:lvlText w:val="%2."/>
      <w:lvlJc w:val="left"/>
      <w:pPr>
        <w:ind w:left="1598" w:hanging="202"/>
        <w:jc w:val="right"/>
      </w:pPr>
      <w:rPr>
        <w:rFonts w:hint="default" w:ascii="Arial" w:hAnsi="Arial" w:eastAsia="Arial" w:cs="Arial"/>
        <w:b/>
        <w:bCs/>
        <w:spacing w:val="-5"/>
        <w:w w:val="100"/>
        <w:sz w:val="24"/>
        <w:szCs w:val="24"/>
      </w:rPr>
    </w:lvl>
    <w:lvl w:ilvl="2">
      <w:start w:val="1"/>
      <w:numFmt w:val="bullet"/>
      <w:lvlText w:val="•"/>
      <w:lvlJc w:val="left"/>
      <w:pPr>
        <w:ind w:left="2433" w:hanging="202"/>
      </w:pPr>
      <w:rPr>
        <w:rFonts w:hint="default"/>
      </w:rPr>
    </w:lvl>
    <w:lvl w:ilvl="3">
      <w:start w:val="1"/>
      <w:numFmt w:val="bullet"/>
      <w:lvlText w:val="•"/>
      <w:lvlJc w:val="left"/>
      <w:pPr>
        <w:ind w:left="3266" w:hanging="202"/>
      </w:pPr>
      <w:rPr>
        <w:rFonts w:hint="default"/>
      </w:rPr>
    </w:lvl>
    <w:lvl w:ilvl="4">
      <w:start w:val="1"/>
      <w:numFmt w:val="bullet"/>
      <w:lvlText w:val="•"/>
      <w:lvlJc w:val="left"/>
      <w:pPr>
        <w:ind w:left="4100" w:hanging="202"/>
      </w:pPr>
      <w:rPr>
        <w:rFonts w:hint="default"/>
      </w:rPr>
    </w:lvl>
    <w:lvl w:ilvl="5">
      <w:start w:val="1"/>
      <w:numFmt w:val="bullet"/>
      <w:lvlText w:val="•"/>
      <w:lvlJc w:val="left"/>
      <w:pPr>
        <w:ind w:left="4933" w:hanging="202"/>
      </w:pPr>
      <w:rPr>
        <w:rFonts w:hint="default"/>
      </w:rPr>
    </w:lvl>
    <w:lvl w:ilvl="6">
      <w:start w:val="1"/>
      <w:numFmt w:val="bullet"/>
      <w:lvlText w:val="•"/>
      <w:lvlJc w:val="left"/>
      <w:pPr>
        <w:ind w:left="5766" w:hanging="202"/>
      </w:pPr>
      <w:rPr>
        <w:rFonts w:hint="default"/>
      </w:rPr>
    </w:lvl>
    <w:lvl w:ilvl="7">
      <w:start w:val="1"/>
      <w:numFmt w:val="bullet"/>
      <w:lvlText w:val="•"/>
      <w:lvlJc w:val="left"/>
      <w:pPr>
        <w:ind w:left="6600" w:hanging="202"/>
      </w:pPr>
      <w:rPr>
        <w:rFonts w:hint="default"/>
      </w:rPr>
    </w:lvl>
    <w:lvl w:ilvl="8">
      <w:start w:val="1"/>
      <w:numFmt w:val="bullet"/>
      <w:lvlText w:val="•"/>
      <w:lvlJc w:val="left"/>
      <w:pPr>
        <w:ind w:left="7433" w:hanging="202"/>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52"/>
    </w:pPr>
    <w:rPr>
      <w:rFonts w:ascii="Arial" w:hAnsi="Arial" w:eastAsia="Arial" w:cs="Arial"/>
      <w:sz w:val="22"/>
      <w:szCs w:val="22"/>
    </w:rPr>
  </w:style>
  <w:style w:styleId="TOC2" w:type="paragraph">
    <w:name w:val="TOC 2"/>
    <w:basedOn w:val="Normal"/>
    <w:uiPriority w:val="1"/>
    <w:qFormat/>
    <w:pPr>
      <w:spacing w:before="139"/>
      <w:ind w:left="742" w:hanging="369"/>
    </w:pPr>
    <w:rPr>
      <w:rFonts w:ascii="Arial" w:hAnsi="Arial" w:eastAsia="Arial" w:cs="Arial"/>
      <w:sz w:val="22"/>
      <w:szCs w:val="22"/>
    </w:rPr>
  </w:style>
  <w:style w:styleId="TOC3" w:type="paragraph">
    <w:name w:val="TOC 3"/>
    <w:basedOn w:val="Normal"/>
    <w:uiPriority w:val="1"/>
    <w:qFormat/>
    <w:pPr>
      <w:spacing w:before="139"/>
      <w:ind w:left="1208" w:hanging="614"/>
    </w:pPr>
    <w:rPr>
      <w:rFonts w:ascii="Arial" w:hAnsi="Arial" w:eastAsia="Arial" w:cs="Arial"/>
      <w: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78"/>
      <w:outlineLvl w:val="1"/>
    </w:pPr>
    <w:rPr>
      <w:rFonts w:ascii="Times New Roman" w:hAnsi="Times New Roman" w:eastAsia="Times New Roman" w:cs="Times New Roman"/>
      <w:sz w:val="35"/>
      <w:szCs w:val="35"/>
    </w:rPr>
  </w:style>
  <w:style w:styleId="Heading2" w:type="paragraph">
    <w:name w:val="Heading 2"/>
    <w:basedOn w:val="Normal"/>
    <w:uiPriority w:val="1"/>
    <w:qFormat/>
    <w:pPr>
      <w:spacing w:before="70"/>
      <w:ind w:left="556"/>
      <w:outlineLvl w:val="2"/>
    </w:pPr>
    <w:rPr>
      <w:rFonts w:ascii="Arial" w:hAnsi="Arial" w:eastAsia="Arial" w:cs="Arial"/>
      <w:b/>
      <w:bCs/>
      <w:sz w:val="24"/>
      <w:szCs w:val="24"/>
    </w:rPr>
  </w:style>
  <w:style w:styleId="Heading3" w:type="paragraph">
    <w:name w:val="Heading 3"/>
    <w:basedOn w:val="Normal"/>
    <w:uiPriority w:val="1"/>
    <w:qFormat/>
    <w:pPr>
      <w:ind w:left="825" w:hanging="673"/>
      <w:jc w:val="both"/>
      <w:outlineLvl w:val="3"/>
    </w:pPr>
    <w:rPr>
      <w:rFonts w:ascii="Arial" w:hAnsi="Arial" w:eastAsia="Arial" w:cs="Arial"/>
      <w:b/>
      <w:bCs/>
      <w:i/>
      <w:sz w:val="24"/>
      <w:szCs w:val="24"/>
    </w:rPr>
  </w:style>
  <w:style w:styleId="ListParagraph" w:type="paragraph">
    <w:name w:val="List Paragraph"/>
    <w:basedOn w:val="Normal"/>
    <w:uiPriority w:val="1"/>
    <w:qFormat/>
    <w:pPr>
      <w:spacing w:before="2"/>
      <w:ind w:left="873" w:hanging="360"/>
      <w:jc w:val="both"/>
    </w:pPr>
    <w:rPr>
      <w:rFonts w:ascii="Arial" w:hAnsi="Arial" w:eastAsia="Arial" w:cs="Arial"/>
    </w:rPr>
  </w:style>
  <w:style w:styleId="TableParagraph" w:type="paragraph">
    <w:name w:val="Table Paragraph"/>
    <w:basedOn w:val="Normal"/>
    <w:uiPriority w:val="1"/>
    <w:qFormat/>
    <w:pPr>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image" Target="media/image2.png"/><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image" Target="media/image3.jpeg"/><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footer" Target="footer15.xml"/><Relationship Id="rId23" Type="http://schemas.openxmlformats.org/officeDocument/2006/relationships/hyperlink" Target="http://www.enlatino.com/dinero/dinero/el-banco-mundial-asegura-que-las-remesas-" TargetMode="External"/><Relationship Id="rId24" Type="http://schemas.openxmlformats.org/officeDocument/2006/relationships/hyperlink" Target="http://www.conapo.gob.mx/es/CONAPO/Encuesta_sobre_Migracion_en_la_Fronte" TargetMode="External"/><Relationship Id="rId25" Type="http://schemas.openxmlformats.org/officeDocument/2006/relationships/hyperlink" Target="http://www.inegi.org.mx/est/contenidos/espanol/sistemas/conteo2010/localidad/iter/" TargetMode="External"/><Relationship Id="rId26" Type="http://schemas.openxmlformats.org/officeDocument/2006/relationships/image" Target="media/image4.png"/><Relationship Id="rId2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DANTE INFERNO</dc:creator>
  <dcterms:created xsi:type="dcterms:W3CDTF">2017-05-23T19:52:27Z</dcterms:created>
  <dcterms:modified xsi:type="dcterms:W3CDTF">2017-05-23T19:52:27Z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2014-07-15T00:00:00Z</vt:filetime>
  </property>
  <property fmtid="{D5CDD505-2E9C-101B-9397-08002B2CF9AE}" pid="3" name="Creator">
    <vt:lpwstr>Microsoft® Word 2010</vt:lpwstr>
  </property>
  <property fmtid="{D5CDD505-2E9C-101B-9397-08002B2CF9AE}" pid="4" name="LastSaved">
    <vt:filetime>2017-05-23T00:00:00Z</vt:filetime>
  </property>
</Properties>
</file>